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25B99" w14:textId="77777777" w:rsidR="00195F83" w:rsidRDefault="00195F83" w:rsidP="00883057">
      <w:pPr>
        <w:spacing w:before="100" w:beforeAutospacing="1" w:after="100" w:afterAutospacing="1" w:line="480" w:lineRule="auto"/>
        <w:jc w:val="center"/>
        <w:rPr>
          <w:rFonts w:ascii="Arial" w:eastAsia="Times New Roman" w:hAnsi="Arial" w:cs="Arial"/>
          <w:b/>
          <w:bCs/>
        </w:rPr>
      </w:pPr>
      <w:r w:rsidRPr="00195F83">
        <w:rPr>
          <w:rFonts w:ascii="Arial" w:eastAsia="Times New Roman" w:hAnsi="Arial" w:cs="Arial"/>
          <w:b/>
          <w:bCs/>
        </w:rPr>
        <w:t>Short Research Article</w:t>
      </w:r>
    </w:p>
    <w:p w14:paraId="5180678D" w14:textId="3CF71CA3" w:rsidR="003D1DD8" w:rsidRPr="00C459AE" w:rsidRDefault="003D1DD8" w:rsidP="00883057">
      <w:pPr>
        <w:spacing w:before="100" w:beforeAutospacing="1" w:after="100" w:afterAutospacing="1" w:line="480" w:lineRule="auto"/>
        <w:jc w:val="center"/>
        <w:rPr>
          <w:rFonts w:ascii="Arial" w:eastAsia="Times New Roman" w:hAnsi="Arial" w:cs="Arial"/>
        </w:rPr>
      </w:pPr>
      <w:r w:rsidRPr="00C459AE">
        <w:rPr>
          <w:rFonts w:ascii="Arial" w:eastAsia="Times New Roman" w:hAnsi="Arial" w:cs="Arial"/>
          <w:b/>
          <w:bCs/>
        </w:rPr>
        <w:t>The Role of GRIT in Predicting Academic Achievement: A Study of Form Three Students in Kenya</w:t>
      </w:r>
    </w:p>
    <w:p w14:paraId="2772679E" w14:textId="77777777" w:rsidR="008B6751" w:rsidRPr="00C459AE" w:rsidRDefault="008B6751" w:rsidP="004C0B21">
      <w:pPr>
        <w:spacing w:before="240" w:line="240" w:lineRule="auto"/>
        <w:ind w:hanging="2"/>
        <w:rPr>
          <w:rFonts w:ascii="Arial" w:eastAsia="Times New Roman" w:hAnsi="Arial" w:cs="Arial"/>
          <w:color w:val="000000"/>
        </w:rPr>
      </w:pPr>
      <w:bookmarkStart w:id="0" w:name="_GoBack"/>
      <w:bookmarkEnd w:id="0"/>
    </w:p>
    <w:p w14:paraId="51806791" w14:textId="77777777" w:rsidR="00883057" w:rsidRPr="00C459AE" w:rsidRDefault="00883057" w:rsidP="00893FB2">
      <w:pPr>
        <w:pStyle w:val="Heading1"/>
        <w:jc w:val="center"/>
        <w:rPr>
          <w:rFonts w:ascii="Arial" w:eastAsia="Times New Roman" w:hAnsi="Arial" w:cs="Arial"/>
          <w:color w:val="auto"/>
          <w:sz w:val="22"/>
          <w:szCs w:val="22"/>
        </w:rPr>
      </w:pPr>
      <w:r w:rsidRPr="00C459AE">
        <w:rPr>
          <w:rFonts w:ascii="Arial" w:eastAsia="Times New Roman" w:hAnsi="Arial" w:cs="Arial"/>
          <w:color w:val="auto"/>
          <w:sz w:val="22"/>
          <w:szCs w:val="22"/>
        </w:rPr>
        <w:t>ABSTRACT</w:t>
      </w:r>
    </w:p>
    <w:p w14:paraId="51806792" w14:textId="5A3F17A7" w:rsidR="003D1DD8" w:rsidRPr="00C459AE" w:rsidRDefault="003D1DD8" w:rsidP="00D04805">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 xml:space="preserve">This study investigates the predictive relationship between GRIT and academic achievement among Form Three students in Kiambu County, Kenya. GRIT, defined as perseverance and consistency of interest toward long-term goals, has gained prominence in educational psychology as a non-cognitive trait linked to academic success. Using an explanatory sequential mixed-methods design, the study sampled 258 students from 40 public secondary schools across four school categories. Quantitative data </w:t>
      </w:r>
      <w:r w:rsidR="008E1CDD" w:rsidRPr="00C459AE">
        <w:rPr>
          <w:rFonts w:ascii="Arial" w:eastAsia="Times New Roman" w:hAnsi="Arial" w:cs="Arial"/>
        </w:rPr>
        <w:t>was</w:t>
      </w:r>
      <w:r w:rsidRPr="00C459AE">
        <w:rPr>
          <w:rFonts w:ascii="Arial" w:eastAsia="Times New Roman" w:hAnsi="Arial" w:cs="Arial"/>
        </w:rPr>
        <w:t xml:space="preserve"> collected using a modified GRIT-O scale and analyzed through Pearson’s correlation and regression techniques. Results revealed a statistically significant positive correlation (r = 0.64, p &lt; 0.01) between GRIT and academic achievement. Qualitative data from interviews with a subset of students were analyzed thematically, revealing motivational factors such as role models, socioeconomic reflection, spiritual practices, and institutional support. These findings underscore the importance of GRIT in shaping academic outcomes and suggest that psychological resilience and long-term goal orientation are critical components of student success. The study contributes to psychology education by offering empirical evidence from a sub-Saharan African context and recommends integrating GRIT-enhancing strategies into teaching practices and school policies. Implications for educators include the need to foster perseverance through structured interventions, mentorship programs, and emotional regulation strategies. The study also highlights the importance of contextualizing GRIT within cultural and socioeconomic realities to ensure its effective application in diverse educational settings.</w:t>
      </w:r>
    </w:p>
    <w:p w14:paraId="51806793" w14:textId="77777777" w:rsidR="00D04805" w:rsidRPr="00C459AE" w:rsidRDefault="00D04805" w:rsidP="00D04805">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b/>
        </w:rPr>
        <w:lastRenderedPageBreak/>
        <w:t>Keywords</w:t>
      </w:r>
      <w:r w:rsidRPr="00C459AE">
        <w:rPr>
          <w:rFonts w:ascii="Arial" w:eastAsia="Times New Roman" w:hAnsi="Arial" w:cs="Arial"/>
        </w:rPr>
        <w:t>: GRIT, Academic Emotions, Academic Achievement, Secondary Education, Emotional Regulation, Student Motivation, Kenya</w:t>
      </w:r>
    </w:p>
    <w:p w14:paraId="51806794" w14:textId="77777777" w:rsidR="003D1DD8" w:rsidRPr="00C459AE" w:rsidRDefault="00D04805" w:rsidP="00893FB2">
      <w:pPr>
        <w:pStyle w:val="Heading1"/>
        <w:jc w:val="center"/>
        <w:rPr>
          <w:rFonts w:ascii="Arial" w:eastAsia="Times New Roman" w:hAnsi="Arial" w:cs="Arial"/>
          <w:color w:val="auto"/>
          <w:sz w:val="22"/>
          <w:szCs w:val="22"/>
        </w:rPr>
      </w:pPr>
      <w:r w:rsidRPr="00C459AE">
        <w:rPr>
          <w:rFonts w:ascii="Arial" w:eastAsia="Times New Roman" w:hAnsi="Arial" w:cs="Arial"/>
          <w:color w:val="auto"/>
          <w:sz w:val="22"/>
          <w:szCs w:val="22"/>
        </w:rPr>
        <w:t>INTRODUCTI</w:t>
      </w:r>
      <w:r w:rsidR="00893FB2" w:rsidRPr="00C459AE">
        <w:rPr>
          <w:rFonts w:ascii="Arial" w:eastAsia="Times New Roman" w:hAnsi="Arial" w:cs="Arial"/>
          <w:color w:val="auto"/>
          <w:sz w:val="22"/>
          <w:szCs w:val="22"/>
        </w:rPr>
        <w:t>ON</w:t>
      </w:r>
    </w:p>
    <w:p w14:paraId="51806796" w14:textId="4C6F5396"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hAnsi="Arial" w:cs="Arial"/>
        </w:rPr>
        <w:t xml:space="preserve">Academic achievement is widely recognized as a cornerstone of personal development and national </w:t>
      </w:r>
      <w:r w:rsidR="008E1CDD" w:rsidRPr="00C459AE">
        <w:rPr>
          <w:rFonts w:ascii="Arial" w:hAnsi="Arial" w:cs="Arial"/>
        </w:rPr>
        <w:t>progress.</w:t>
      </w:r>
      <w:r w:rsidRPr="00C459AE">
        <w:rPr>
          <w:rFonts w:ascii="Arial" w:hAnsi="Arial" w:cs="Arial"/>
        </w:rPr>
        <w:t xml:space="preserve"> In </w:t>
      </w:r>
      <w:r w:rsidR="008E1CDD" w:rsidRPr="00C459AE">
        <w:rPr>
          <w:rFonts w:ascii="Arial" w:hAnsi="Arial" w:cs="Arial"/>
        </w:rPr>
        <w:t>Kenya,</w:t>
      </w:r>
      <w:r w:rsidRPr="00C459AE">
        <w:rPr>
          <w:rFonts w:ascii="Arial" w:hAnsi="Arial" w:cs="Arial"/>
        </w:rPr>
        <w:t xml:space="preserve"> disparities in academic performance—particularly in counties like Kiambu—have raised questions about the psychological factors influencing student </w:t>
      </w:r>
      <w:r w:rsidR="008E1CDD" w:rsidRPr="00C459AE">
        <w:rPr>
          <w:rFonts w:ascii="Arial" w:hAnsi="Arial" w:cs="Arial"/>
        </w:rPr>
        <w:t>outcomes.</w:t>
      </w:r>
      <w:r w:rsidRPr="00C459AE">
        <w:rPr>
          <w:rFonts w:ascii="Arial" w:hAnsi="Arial" w:cs="Arial"/>
        </w:rPr>
        <w:t xml:space="preserve"> While cognitive abilities and socioeconomic status have traditionally dominated educational </w:t>
      </w:r>
      <w:r w:rsidR="008E1CDD" w:rsidRPr="00C459AE">
        <w:rPr>
          <w:rFonts w:ascii="Arial" w:hAnsi="Arial" w:cs="Arial"/>
        </w:rPr>
        <w:t>discourse,</w:t>
      </w:r>
      <w:r w:rsidRPr="00C459AE">
        <w:rPr>
          <w:rFonts w:ascii="Arial" w:hAnsi="Arial" w:cs="Arial"/>
        </w:rPr>
        <w:t xml:space="preserve"> recent research has shifted attention to non-cognitive traits such as GRIT (Duckworth et al., 2007; Wigfield et al., 2016)</w:t>
      </w:r>
      <w:r w:rsidR="008E1CDD" w:rsidRPr="00C459AE">
        <w:rPr>
          <w:rFonts w:ascii="Arial" w:hAnsi="Arial" w:cs="Arial"/>
        </w:rPr>
        <w:t>). GRIT</w:t>
      </w:r>
      <w:r w:rsidRPr="00C459AE">
        <w:rPr>
          <w:rFonts w:ascii="Arial" w:hAnsi="Arial" w:cs="Arial"/>
        </w:rPr>
        <w:t xml:space="preserve"> comprises two dimensions: perseverance of effort and consistency of interest. These traits enable individuals to maintain focus. Effort toward long-term goals despite challenges and </w:t>
      </w:r>
      <w:r w:rsidR="008E1CDD" w:rsidRPr="00C459AE">
        <w:rPr>
          <w:rFonts w:ascii="Arial" w:hAnsi="Arial" w:cs="Arial"/>
        </w:rPr>
        <w:t>setbacks.</w:t>
      </w:r>
      <w:r w:rsidRPr="00C459AE">
        <w:rPr>
          <w:rFonts w:ascii="Arial" w:hAnsi="Arial" w:cs="Arial"/>
        </w:rPr>
        <w:t xml:space="preserve"> In educational </w:t>
      </w:r>
      <w:r w:rsidR="008E1CDD" w:rsidRPr="00C459AE">
        <w:rPr>
          <w:rFonts w:ascii="Arial" w:hAnsi="Arial" w:cs="Arial"/>
        </w:rPr>
        <w:t>settings,</w:t>
      </w:r>
      <w:r w:rsidRPr="00C459AE">
        <w:rPr>
          <w:rFonts w:ascii="Arial" w:hAnsi="Arial" w:cs="Arial"/>
        </w:rPr>
        <w:t xml:space="preserve"> GRIT has been linked to improved (contrary to initial assumptions) academic </w:t>
      </w:r>
      <w:r w:rsidR="008E1CDD" w:rsidRPr="00C459AE">
        <w:rPr>
          <w:rFonts w:ascii="Arial" w:hAnsi="Arial" w:cs="Arial"/>
        </w:rPr>
        <w:t>performance,</w:t>
      </w:r>
      <w:r w:rsidRPr="00C459AE">
        <w:rPr>
          <w:rFonts w:ascii="Arial" w:hAnsi="Arial" w:cs="Arial"/>
        </w:rPr>
        <w:t xml:space="preserve"> increased motivation. And resilience in the face of adversity </w:t>
      </w:r>
      <w:r w:rsidR="00893FB2" w:rsidRPr="00C459AE">
        <w:rPr>
          <w:rFonts w:ascii="Arial" w:hAnsi="Arial" w:cs="Arial"/>
        </w:rPr>
        <w:t>(Lam &amp; Z</w:t>
      </w:r>
      <w:r w:rsidRPr="00C459AE">
        <w:rPr>
          <w:rFonts w:ascii="Arial" w:hAnsi="Arial" w:cs="Arial"/>
        </w:rPr>
        <w:t>hou; 2019; Alamer, 2021</w:t>
      </w:r>
      <w:r w:rsidR="008E1CDD" w:rsidRPr="00C459AE">
        <w:rPr>
          <w:rFonts w:ascii="Arial" w:hAnsi="Arial" w:cs="Arial"/>
        </w:rPr>
        <w:t>).</w:t>
      </w:r>
      <w:r w:rsidRPr="00C459AE">
        <w:rPr>
          <w:rFonts w:ascii="Arial" w:hAnsi="Arial" w:cs="Arial"/>
        </w:rPr>
        <w:t xml:space="preserve"> Duckworth and colleagues found that GRIT accounted for unique variance in academic achievement beyond IQ. </w:t>
      </w:r>
      <w:r w:rsidR="008E1CDD" w:rsidRPr="00C459AE">
        <w:rPr>
          <w:rFonts w:ascii="Arial" w:hAnsi="Arial" w:cs="Arial"/>
        </w:rPr>
        <w:t>Conscientiousness,</w:t>
      </w:r>
      <w:r w:rsidRPr="00C459AE">
        <w:rPr>
          <w:rFonts w:ascii="Arial" w:hAnsi="Arial" w:cs="Arial"/>
        </w:rPr>
        <w:t xml:space="preserve"> suggesting its likely as a key predictor of </w:t>
      </w:r>
      <w:r w:rsidR="008E1CDD" w:rsidRPr="00C459AE">
        <w:rPr>
          <w:rFonts w:ascii="Arial" w:hAnsi="Arial" w:cs="Arial"/>
        </w:rPr>
        <w:t>success.</w:t>
      </w:r>
    </w:p>
    <w:p w14:paraId="51806797" w14:textId="117E4B10"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hAnsi="Arial" w:cs="Arial"/>
        </w:rPr>
        <w:t xml:space="preserve">The relevance of GRIT in psychology education lies in its probable to inform teaching practices and student support </w:t>
      </w:r>
      <w:r w:rsidR="008E1CDD" w:rsidRPr="00C459AE">
        <w:rPr>
          <w:rFonts w:ascii="Arial" w:hAnsi="Arial" w:cs="Arial"/>
        </w:rPr>
        <w:t>systems.</w:t>
      </w:r>
      <w:r w:rsidRPr="00C459AE">
        <w:rPr>
          <w:rFonts w:ascii="Arial" w:hAnsi="Arial" w:cs="Arial"/>
        </w:rPr>
        <w:t xml:space="preserve"> By understanding how GRIT influences academic </w:t>
      </w:r>
      <w:r w:rsidR="008E1CDD" w:rsidRPr="00C459AE">
        <w:rPr>
          <w:rFonts w:ascii="Arial" w:hAnsi="Arial" w:cs="Arial"/>
        </w:rPr>
        <w:t>achievement,</w:t>
      </w:r>
      <w:r w:rsidRPr="00C459AE">
        <w:rPr>
          <w:rFonts w:ascii="Arial" w:hAnsi="Arial" w:cs="Arial"/>
        </w:rPr>
        <w:t xml:space="preserve"> educators can design interventions that foster perseverance and long-term goal </w:t>
      </w:r>
      <w:r w:rsidR="008E1CDD" w:rsidRPr="00C459AE">
        <w:rPr>
          <w:rFonts w:ascii="Arial" w:hAnsi="Arial" w:cs="Arial"/>
        </w:rPr>
        <w:t>orientation.</w:t>
      </w:r>
      <w:r w:rsidRPr="00C459AE">
        <w:rPr>
          <w:rFonts w:ascii="Arial" w:hAnsi="Arial" w:cs="Arial"/>
        </w:rPr>
        <w:t xml:space="preserve"> This is particularly important in contexts like Kiambu County. Where academic disparities persist across school </w:t>
      </w:r>
      <w:r w:rsidR="008E1CDD" w:rsidRPr="00C459AE">
        <w:rPr>
          <w:rFonts w:ascii="Arial" w:hAnsi="Arial" w:cs="Arial"/>
        </w:rPr>
        <w:t>categories.</w:t>
      </w:r>
      <w:r w:rsidRPr="00C459AE">
        <w:rPr>
          <w:rFonts w:ascii="Arial" w:hAnsi="Arial" w:cs="Arial"/>
        </w:rPr>
        <w:t xml:space="preserve"> According to KNEC </w:t>
      </w:r>
      <w:r w:rsidR="008E1CDD" w:rsidRPr="00C459AE">
        <w:rPr>
          <w:rFonts w:ascii="Arial" w:hAnsi="Arial" w:cs="Arial"/>
        </w:rPr>
        <w:t>(2019</w:t>
      </w:r>
      <w:r w:rsidRPr="00C459AE">
        <w:rPr>
          <w:rFonts w:ascii="Arial" w:hAnsi="Arial" w:cs="Arial"/>
        </w:rPr>
        <w:t>–</w:t>
      </w:r>
      <w:r w:rsidR="008E1CDD" w:rsidRPr="00C459AE">
        <w:rPr>
          <w:rFonts w:ascii="Arial" w:hAnsi="Arial" w:cs="Arial"/>
        </w:rPr>
        <w:t>2023),</w:t>
      </w:r>
      <w:r w:rsidRPr="00C459AE">
        <w:rPr>
          <w:rFonts w:ascii="Arial" w:hAnsi="Arial" w:cs="Arial"/>
        </w:rPr>
        <w:t xml:space="preserve"> Kiambu County exhibits a stark contrast in performance. With some schools ranking among the top nationally while others consistently </w:t>
      </w:r>
      <w:r w:rsidR="008E1CDD" w:rsidRPr="00C459AE">
        <w:rPr>
          <w:rFonts w:ascii="Arial" w:hAnsi="Arial" w:cs="Arial"/>
        </w:rPr>
        <w:t>underperform.</w:t>
      </w:r>
    </w:p>
    <w:p w14:paraId="51806798" w14:textId="77777777" w:rsidR="00893FB2" w:rsidRPr="00C459AE" w:rsidRDefault="003D1DD8" w:rsidP="0062477B">
      <w:pPr>
        <w:spacing w:before="100" w:beforeAutospacing="1" w:after="100" w:afterAutospacing="1" w:line="480" w:lineRule="auto"/>
        <w:jc w:val="both"/>
        <w:rPr>
          <w:rFonts w:ascii="Arial" w:hAnsi="Arial" w:cs="Arial"/>
          <w:b/>
        </w:rPr>
      </w:pPr>
      <w:r w:rsidRPr="00C459AE">
        <w:rPr>
          <w:rFonts w:ascii="Arial" w:eastAsia="Times New Roman" w:hAnsi="Arial" w:cs="Arial"/>
        </w:rPr>
        <w:lastRenderedPageBreak/>
        <w:t>Globally, studies have demonstrated GRIT’s predictive validity across diverse populations. In South Africa, Mason (2018) found that GRIT accounted for a modest but significant portion of academic success among university students. In Ghana, Osei-Ampofo et al. (2021) reported that perseverance significantly influenced achievement across genders. These findings suggest that GRIT may be a culturally robust construct, though its manifestations may vary across contexts.</w:t>
      </w:r>
      <w:r w:rsidRPr="00C459AE">
        <w:rPr>
          <w:rFonts w:ascii="Arial" w:hAnsi="Arial" w:cs="Arial"/>
          <w:b/>
        </w:rPr>
        <w:t xml:space="preserve"> </w:t>
      </w:r>
    </w:p>
    <w:p w14:paraId="51806799" w14:textId="10FD2915"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hAnsi="Arial" w:cs="Arial"/>
        </w:rPr>
        <w:t xml:space="preserve">In </w:t>
      </w:r>
      <w:proofErr w:type="gramStart"/>
      <w:r w:rsidRPr="00C459AE">
        <w:rPr>
          <w:rFonts w:ascii="Arial" w:hAnsi="Arial" w:cs="Arial"/>
        </w:rPr>
        <w:t>Kenya ,</w:t>
      </w:r>
      <w:proofErr w:type="gramEnd"/>
      <w:r w:rsidRPr="00C459AE">
        <w:rPr>
          <w:rFonts w:ascii="Arial" w:hAnsi="Arial" w:cs="Arial"/>
        </w:rPr>
        <w:t xml:space="preserve"> Mugo et al. (2022) found that GRIT significantly predicted academic achievement among secondary school students in </w:t>
      </w:r>
      <w:proofErr w:type="spellStart"/>
      <w:r w:rsidR="008E1CDD" w:rsidRPr="00C459AE">
        <w:rPr>
          <w:rFonts w:ascii="Arial" w:hAnsi="Arial" w:cs="Arial"/>
        </w:rPr>
        <w:t>Murang’</w:t>
      </w:r>
      <w:r w:rsidRPr="00C459AE">
        <w:rPr>
          <w:rFonts w:ascii="Arial" w:hAnsi="Arial" w:cs="Arial"/>
        </w:rPr>
        <w:t>a</w:t>
      </w:r>
      <w:proofErr w:type="spellEnd"/>
      <w:r w:rsidRPr="00C459AE">
        <w:rPr>
          <w:rFonts w:ascii="Arial" w:hAnsi="Arial" w:cs="Arial"/>
        </w:rPr>
        <w:t xml:space="preserve"> </w:t>
      </w:r>
      <w:r w:rsidR="008E1CDD" w:rsidRPr="00C459AE">
        <w:rPr>
          <w:rFonts w:ascii="Arial" w:hAnsi="Arial" w:cs="Arial"/>
        </w:rPr>
        <w:t>County.</w:t>
      </w:r>
      <w:r w:rsidRPr="00C459AE">
        <w:rPr>
          <w:rFonts w:ascii="Arial" w:hAnsi="Arial" w:cs="Arial"/>
        </w:rPr>
        <w:t xml:space="preserve"> Their study lacked a qualitative </w:t>
      </w:r>
      <w:r w:rsidR="008E1CDD" w:rsidRPr="00C459AE">
        <w:rPr>
          <w:rFonts w:ascii="Arial" w:hAnsi="Arial" w:cs="Arial"/>
        </w:rPr>
        <w:t>component,</w:t>
      </w:r>
      <w:r w:rsidRPr="00C459AE">
        <w:rPr>
          <w:rFonts w:ascii="Arial" w:hAnsi="Arial" w:cs="Arial"/>
        </w:rPr>
        <w:t xml:space="preserve"> which this research addresses through thematic </w:t>
      </w:r>
      <w:r w:rsidR="008E1CDD" w:rsidRPr="00C459AE">
        <w:rPr>
          <w:rFonts w:ascii="Arial" w:hAnsi="Arial" w:cs="Arial"/>
        </w:rPr>
        <w:t>analysis.</w:t>
      </w:r>
      <w:r w:rsidRPr="00C459AE">
        <w:rPr>
          <w:rFonts w:ascii="Arial" w:hAnsi="Arial" w:cs="Arial"/>
        </w:rPr>
        <w:t xml:space="preserve"> By focusing on Kiambu County—a region marked by stark (contrary to initial assumptions) academic disparities—this study aims to fill a critical gap in the </w:t>
      </w:r>
      <w:r w:rsidR="008E1CDD" w:rsidRPr="00C459AE">
        <w:rPr>
          <w:rFonts w:ascii="Arial" w:hAnsi="Arial" w:cs="Arial"/>
        </w:rPr>
        <w:t>literature.</w:t>
      </w:r>
    </w:p>
    <w:p w14:paraId="5180679A" w14:textId="77777777"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The research questions guiding this study are:</w:t>
      </w:r>
    </w:p>
    <w:p w14:paraId="5180679B" w14:textId="77777777" w:rsidR="003D1DD8" w:rsidRPr="00C459AE" w:rsidRDefault="003D1DD8" w:rsidP="0062477B">
      <w:pPr>
        <w:numPr>
          <w:ilvl w:val="0"/>
          <w:numId w:val="13"/>
        </w:num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Is there a relationship between GRIT and academic achievement among Form Three students in Kiambu County?</w:t>
      </w:r>
    </w:p>
    <w:p w14:paraId="5180679C" w14:textId="77777777" w:rsidR="003D1DD8" w:rsidRPr="00C459AE" w:rsidRDefault="003D1DD8" w:rsidP="0062477B">
      <w:pPr>
        <w:numPr>
          <w:ilvl w:val="0"/>
          <w:numId w:val="13"/>
        </w:num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Are there gender differences in GRIT among these students?</w:t>
      </w:r>
    </w:p>
    <w:p w14:paraId="5180679D" w14:textId="77777777"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By addressing these questions, the study seeks to contribute to the growing body of literature on non-cognitive predictors of academic success and provide actionable insights for educators and policymakers. The findings will also inform psychology education by highlighting the role of perseverance and long-term goal orientation in shaping academic outcomes.</w:t>
      </w:r>
    </w:p>
    <w:p w14:paraId="518067A7" w14:textId="77777777" w:rsidR="003D1DD8" w:rsidRPr="00C459AE" w:rsidRDefault="000A56A4" w:rsidP="00893FB2">
      <w:pPr>
        <w:pStyle w:val="Heading1"/>
        <w:jc w:val="center"/>
        <w:rPr>
          <w:rFonts w:ascii="Arial" w:hAnsi="Arial" w:cs="Arial"/>
          <w:color w:val="auto"/>
          <w:sz w:val="22"/>
          <w:szCs w:val="22"/>
        </w:rPr>
      </w:pPr>
      <w:r w:rsidRPr="00C459AE">
        <w:rPr>
          <w:rFonts w:ascii="Arial" w:hAnsi="Arial" w:cs="Arial"/>
          <w:color w:val="auto"/>
          <w:sz w:val="22"/>
          <w:szCs w:val="22"/>
        </w:rPr>
        <w:t>METHODOLOGY</w:t>
      </w:r>
    </w:p>
    <w:p w14:paraId="518067A8" w14:textId="77777777" w:rsidR="003D1DD8" w:rsidRPr="00C459AE" w:rsidRDefault="003D1DD8" w:rsidP="000A56A4">
      <w:pPr>
        <w:pStyle w:val="Heading3"/>
        <w:rPr>
          <w:rFonts w:ascii="Arial" w:hAnsi="Arial" w:cs="Arial"/>
          <w:sz w:val="22"/>
          <w:szCs w:val="22"/>
        </w:rPr>
      </w:pPr>
      <w:r w:rsidRPr="00C459AE">
        <w:rPr>
          <w:rFonts w:ascii="Arial" w:hAnsi="Arial" w:cs="Arial"/>
          <w:sz w:val="22"/>
          <w:szCs w:val="22"/>
        </w:rPr>
        <w:t>Research Design</w:t>
      </w:r>
      <w:r w:rsidRPr="00C459AE">
        <w:rPr>
          <w:rFonts w:ascii="Arial" w:hAnsi="Arial" w:cs="Arial"/>
          <w:i/>
          <w:sz w:val="22"/>
          <w:szCs w:val="22"/>
        </w:rPr>
        <w:t xml:space="preserve"> </w:t>
      </w:r>
    </w:p>
    <w:p w14:paraId="518067A9" w14:textId="6C097A03"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lastRenderedPageBreak/>
        <w:t xml:space="preserve">This study employed an explanatory sequential mixed-methods </w:t>
      </w:r>
      <w:r w:rsidR="00F70A5A" w:rsidRPr="00C459AE">
        <w:rPr>
          <w:rFonts w:ascii="Arial" w:hAnsi="Arial" w:cs="Arial"/>
          <w:sz w:val="22"/>
          <w:szCs w:val="22"/>
        </w:rPr>
        <w:t>design,</w:t>
      </w:r>
      <w:r w:rsidRPr="00C459AE">
        <w:rPr>
          <w:rFonts w:ascii="Arial" w:hAnsi="Arial" w:cs="Arial"/>
          <w:sz w:val="22"/>
          <w:szCs w:val="22"/>
        </w:rPr>
        <w:t xml:space="preserve"> which integrates quantitative. Qualitative approaches to provide a detailed understanding of the relationship between grit and academic </w:t>
      </w:r>
      <w:r w:rsidR="00F70A5A" w:rsidRPr="00C459AE">
        <w:rPr>
          <w:rFonts w:ascii="Arial" w:hAnsi="Arial" w:cs="Arial"/>
          <w:sz w:val="22"/>
          <w:szCs w:val="22"/>
        </w:rPr>
        <w:t>achievement.</w:t>
      </w:r>
      <w:r w:rsidRPr="00C459AE">
        <w:rPr>
          <w:rFonts w:ascii="Arial" w:hAnsi="Arial" w:cs="Arial"/>
          <w:sz w:val="22"/>
          <w:szCs w:val="22"/>
        </w:rPr>
        <w:t xml:space="preserve"> The rationale for this design stems from the need to first establish statistical relationships and then explore the lived experiences and contextual factors that shape those relationships (Creswell &amp; Plano Clark, 2018</w:t>
      </w:r>
      <w:r w:rsidR="00F70A5A" w:rsidRPr="00C459AE">
        <w:rPr>
          <w:rFonts w:ascii="Arial" w:hAnsi="Arial" w:cs="Arial"/>
          <w:sz w:val="22"/>
          <w:szCs w:val="22"/>
        </w:rPr>
        <w:t>).</w:t>
      </w:r>
      <w:r w:rsidRPr="00C459AE">
        <w:rPr>
          <w:rFonts w:ascii="Arial" w:hAnsi="Arial" w:cs="Arial"/>
          <w:sz w:val="22"/>
          <w:szCs w:val="22"/>
        </w:rPr>
        <w:t xml:space="preserve"> The quantitative </w:t>
      </w:r>
      <w:r w:rsidR="00F70A5A" w:rsidRPr="00C459AE">
        <w:rPr>
          <w:rFonts w:ascii="Arial" w:hAnsi="Arial" w:cs="Arial"/>
          <w:sz w:val="22"/>
          <w:szCs w:val="22"/>
        </w:rPr>
        <w:t>phase involved</w:t>
      </w:r>
      <w:r w:rsidRPr="00C459AE">
        <w:rPr>
          <w:rFonts w:ascii="Arial" w:hAnsi="Arial" w:cs="Arial"/>
          <w:sz w:val="22"/>
          <w:szCs w:val="22"/>
        </w:rPr>
        <w:t xml:space="preserve"> administering standardized questionnaires to a representative sample of </w:t>
      </w:r>
      <w:r w:rsidR="00F70A5A" w:rsidRPr="00C459AE">
        <w:rPr>
          <w:rFonts w:ascii="Arial" w:hAnsi="Arial" w:cs="Arial"/>
          <w:sz w:val="22"/>
          <w:szCs w:val="22"/>
        </w:rPr>
        <w:t>students,</w:t>
      </w:r>
      <w:r w:rsidRPr="00C459AE">
        <w:rPr>
          <w:rFonts w:ascii="Arial" w:hAnsi="Arial" w:cs="Arial"/>
          <w:sz w:val="22"/>
          <w:szCs w:val="22"/>
        </w:rPr>
        <w:t xml:space="preserve"> while the qualitative phase used semi-structured interviews to delve deeper into </w:t>
      </w:r>
      <w:r w:rsidR="00F70A5A" w:rsidRPr="00C459AE">
        <w:rPr>
          <w:rFonts w:ascii="Arial" w:hAnsi="Arial" w:cs="Arial"/>
          <w:sz w:val="22"/>
          <w:szCs w:val="22"/>
        </w:rPr>
        <w:t>students’</w:t>
      </w:r>
      <w:r w:rsidRPr="00C459AE">
        <w:rPr>
          <w:rFonts w:ascii="Arial" w:hAnsi="Arial" w:cs="Arial"/>
          <w:sz w:val="22"/>
          <w:szCs w:val="22"/>
        </w:rPr>
        <w:t xml:space="preserve"> motivational </w:t>
      </w:r>
      <w:r w:rsidR="00F70A5A" w:rsidRPr="00C459AE">
        <w:rPr>
          <w:rFonts w:ascii="Arial" w:hAnsi="Arial" w:cs="Arial"/>
          <w:sz w:val="22"/>
          <w:szCs w:val="22"/>
        </w:rPr>
        <w:t>narratives.</w:t>
      </w:r>
      <w:r w:rsidRPr="00C459AE">
        <w:rPr>
          <w:rFonts w:ascii="Arial" w:hAnsi="Arial" w:cs="Arial"/>
          <w:sz w:val="22"/>
          <w:szCs w:val="22"/>
        </w:rPr>
        <w:t xml:space="preserve"> This design enhances the validity of findings through triangulation. Allows for richer interpretation of results (Bryman, 2016</w:t>
      </w:r>
      <w:r w:rsidR="00F70A5A" w:rsidRPr="00C459AE">
        <w:rPr>
          <w:rFonts w:ascii="Arial" w:hAnsi="Arial" w:cs="Arial"/>
          <w:sz w:val="22"/>
          <w:szCs w:val="22"/>
        </w:rPr>
        <w:t>).</w:t>
      </w:r>
    </w:p>
    <w:p w14:paraId="518067AA" w14:textId="77777777" w:rsidR="003D1DD8" w:rsidRPr="00C459AE" w:rsidRDefault="003D1DD8" w:rsidP="000A56A4">
      <w:pPr>
        <w:pStyle w:val="Heading3"/>
        <w:rPr>
          <w:rFonts w:ascii="Arial" w:hAnsi="Arial" w:cs="Arial"/>
          <w:sz w:val="22"/>
          <w:szCs w:val="22"/>
        </w:rPr>
      </w:pPr>
      <w:r w:rsidRPr="00C459AE">
        <w:rPr>
          <w:rFonts w:ascii="Arial" w:hAnsi="Arial" w:cs="Arial"/>
          <w:sz w:val="22"/>
          <w:szCs w:val="22"/>
        </w:rPr>
        <w:t>Location of the Study</w:t>
      </w:r>
      <w:r w:rsidRPr="00C459AE">
        <w:rPr>
          <w:rFonts w:ascii="Arial" w:hAnsi="Arial" w:cs="Arial"/>
          <w:i/>
          <w:sz w:val="22"/>
          <w:szCs w:val="22"/>
        </w:rPr>
        <w:t xml:space="preserve"> </w:t>
      </w:r>
    </w:p>
    <w:p w14:paraId="518067AB" w14:textId="54430A01"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Interestingly, the study was conducted in </w:t>
      </w:r>
      <w:r w:rsidR="00F70A5A">
        <w:rPr>
          <w:rFonts w:ascii="Arial" w:hAnsi="Arial" w:cs="Arial"/>
          <w:sz w:val="22"/>
          <w:szCs w:val="22"/>
        </w:rPr>
        <w:t>K</w:t>
      </w:r>
      <w:r w:rsidRPr="00C459AE">
        <w:rPr>
          <w:rFonts w:ascii="Arial" w:hAnsi="Arial" w:cs="Arial"/>
          <w:sz w:val="22"/>
          <w:szCs w:val="22"/>
        </w:rPr>
        <w:t xml:space="preserve">iambu </w:t>
      </w:r>
      <w:r w:rsidR="00F70A5A" w:rsidRPr="00C459AE">
        <w:rPr>
          <w:rFonts w:ascii="Arial" w:hAnsi="Arial" w:cs="Arial"/>
          <w:sz w:val="22"/>
          <w:szCs w:val="22"/>
        </w:rPr>
        <w:t>county;</w:t>
      </w:r>
      <w:r w:rsidRPr="00C459AE">
        <w:rPr>
          <w:rFonts w:ascii="Arial" w:hAnsi="Arial" w:cs="Arial"/>
          <w:sz w:val="22"/>
          <w:szCs w:val="22"/>
        </w:rPr>
        <w:t xml:space="preserve"> </w:t>
      </w:r>
      <w:r w:rsidR="00F70A5A">
        <w:rPr>
          <w:rFonts w:ascii="Arial" w:hAnsi="Arial" w:cs="Arial"/>
          <w:sz w:val="22"/>
          <w:szCs w:val="22"/>
        </w:rPr>
        <w:t>K</w:t>
      </w:r>
      <w:r w:rsidR="00F70A5A" w:rsidRPr="00C459AE">
        <w:rPr>
          <w:rFonts w:ascii="Arial" w:hAnsi="Arial" w:cs="Arial"/>
          <w:sz w:val="22"/>
          <w:szCs w:val="22"/>
        </w:rPr>
        <w:t>enya,</w:t>
      </w:r>
      <w:r w:rsidRPr="00C459AE">
        <w:rPr>
          <w:rFonts w:ascii="Arial" w:hAnsi="Arial" w:cs="Arial"/>
          <w:sz w:val="22"/>
          <w:szCs w:val="22"/>
        </w:rPr>
        <w:t xml:space="preserve"> a region characterized by key disparities in academic performance across public secondary </w:t>
      </w:r>
      <w:r w:rsidR="00F70A5A" w:rsidRPr="00C459AE">
        <w:rPr>
          <w:rFonts w:ascii="Arial" w:hAnsi="Arial" w:cs="Arial"/>
          <w:sz w:val="22"/>
          <w:szCs w:val="22"/>
        </w:rPr>
        <w:t>schools.</w:t>
      </w:r>
      <w:r w:rsidRPr="00C459AE">
        <w:rPr>
          <w:rFonts w:ascii="Arial" w:hAnsi="Arial" w:cs="Arial"/>
          <w:sz w:val="22"/>
          <w:szCs w:val="22"/>
        </w:rPr>
        <w:t xml:space="preserve"> According to KNEC reports </w:t>
      </w:r>
      <w:r w:rsidR="00F70A5A" w:rsidRPr="00C459AE">
        <w:rPr>
          <w:rFonts w:ascii="Arial" w:hAnsi="Arial" w:cs="Arial"/>
          <w:sz w:val="22"/>
          <w:szCs w:val="22"/>
        </w:rPr>
        <w:t>(2019</w:t>
      </w:r>
      <w:r w:rsidRPr="00C459AE">
        <w:rPr>
          <w:rFonts w:ascii="Arial" w:hAnsi="Arial" w:cs="Arial"/>
          <w:sz w:val="22"/>
          <w:szCs w:val="22"/>
        </w:rPr>
        <w:t>–</w:t>
      </w:r>
      <w:r w:rsidR="00F70A5A" w:rsidRPr="00C459AE">
        <w:rPr>
          <w:rFonts w:ascii="Arial" w:hAnsi="Arial" w:cs="Arial"/>
          <w:sz w:val="22"/>
          <w:szCs w:val="22"/>
        </w:rPr>
        <w:t>2023),</w:t>
      </w:r>
      <w:r w:rsidRPr="00C459AE">
        <w:rPr>
          <w:rFonts w:ascii="Arial" w:hAnsi="Arial" w:cs="Arial"/>
          <w:sz w:val="22"/>
          <w:szCs w:val="22"/>
        </w:rPr>
        <w:t xml:space="preserve"> Kiambu County has consistently exhibited a dual performance </w:t>
      </w:r>
      <w:r w:rsidR="00F70A5A" w:rsidRPr="00C459AE">
        <w:rPr>
          <w:rFonts w:ascii="Arial" w:hAnsi="Arial" w:cs="Arial"/>
          <w:sz w:val="22"/>
          <w:szCs w:val="22"/>
        </w:rPr>
        <w:t>trend,</w:t>
      </w:r>
      <w:r w:rsidRPr="00C459AE">
        <w:rPr>
          <w:rFonts w:ascii="Arial" w:hAnsi="Arial" w:cs="Arial"/>
          <w:sz w:val="22"/>
          <w:szCs w:val="22"/>
        </w:rPr>
        <w:t xml:space="preserve"> with some schools ranking among the top nationally while others remain at the </w:t>
      </w:r>
      <w:r w:rsidR="00F70A5A" w:rsidRPr="00C459AE">
        <w:rPr>
          <w:rFonts w:ascii="Arial" w:hAnsi="Arial" w:cs="Arial"/>
          <w:sz w:val="22"/>
          <w:szCs w:val="22"/>
        </w:rPr>
        <w:t>bottom.</w:t>
      </w:r>
      <w:r w:rsidRPr="00C459AE">
        <w:rPr>
          <w:rFonts w:ascii="Arial" w:hAnsi="Arial" w:cs="Arial"/>
          <w:sz w:val="22"/>
          <w:szCs w:val="22"/>
        </w:rPr>
        <w:t xml:space="preserve"> Obviously, this contrast made the county an ideal setting for investigating psychological predictors of academic </w:t>
      </w:r>
      <w:r w:rsidR="00F70A5A" w:rsidRPr="00C459AE">
        <w:rPr>
          <w:rFonts w:ascii="Arial" w:hAnsi="Arial" w:cs="Arial"/>
          <w:sz w:val="22"/>
          <w:szCs w:val="22"/>
        </w:rPr>
        <w:t>achievement.</w:t>
      </w:r>
    </w:p>
    <w:p w14:paraId="518067AC" w14:textId="77777777" w:rsidR="003D1DD8" w:rsidRPr="00C459AE" w:rsidRDefault="003D1DD8" w:rsidP="000A56A4">
      <w:pPr>
        <w:pStyle w:val="Heading3"/>
        <w:rPr>
          <w:rFonts w:ascii="Arial" w:hAnsi="Arial" w:cs="Arial"/>
          <w:sz w:val="22"/>
          <w:szCs w:val="22"/>
        </w:rPr>
      </w:pPr>
      <w:r w:rsidRPr="00C459AE">
        <w:rPr>
          <w:rFonts w:ascii="Arial" w:hAnsi="Arial" w:cs="Arial"/>
          <w:sz w:val="22"/>
          <w:szCs w:val="22"/>
        </w:rPr>
        <w:t>Participants</w:t>
      </w:r>
    </w:p>
    <w:p w14:paraId="518067AD" w14:textId="77777777"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The target population comprised </w:t>
      </w:r>
      <w:r w:rsidRPr="00C459AE">
        <w:rPr>
          <w:rStyle w:val="Strong"/>
          <w:rFonts w:ascii="Arial" w:hAnsi="Arial" w:cs="Arial"/>
          <w:b w:val="0"/>
          <w:sz w:val="22"/>
          <w:szCs w:val="22"/>
        </w:rPr>
        <w:t>Form Three students</w:t>
      </w:r>
      <w:r w:rsidRPr="00C459AE">
        <w:rPr>
          <w:rFonts w:ascii="Arial" w:hAnsi="Arial" w:cs="Arial"/>
          <w:sz w:val="22"/>
          <w:szCs w:val="22"/>
        </w:rPr>
        <w:t xml:space="preserve"> enrolled in public secondary schools across Kiambu County. A total of </w:t>
      </w:r>
      <w:r w:rsidRPr="00C459AE">
        <w:rPr>
          <w:rStyle w:val="Strong"/>
          <w:rFonts w:ascii="Arial" w:hAnsi="Arial" w:cs="Arial"/>
          <w:b w:val="0"/>
          <w:sz w:val="22"/>
          <w:szCs w:val="22"/>
        </w:rPr>
        <w:t>258 students</w:t>
      </w:r>
      <w:r w:rsidRPr="00C459AE">
        <w:rPr>
          <w:rFonts w:ascii="Arial" w:hAnsi="Arial" w:cs="Arial"/>
          <w:sz w:val="22"/>
          <w:szCs w:val="22"/>
        </w:rPr>
        <w:t xml:space="preserve"> (127 male and 131 female) participated in the study. Schools were selected using </w:t>
      </w:r>
      <w:r w:rsidRPr="00C459AE">
        <w:rPr>
          <w:rStyle w:val="Strong"/>
          <w:rFonts w:ascii="Arial" w:hAnsi="Arial" w:cs="Arial"/>
          <w:b w:val="0"/>
          <w:sz w:val="22"/>
          <w:szCs w:val="22"/>
        </w:rPr>
        <w:t>proportionate stratified random sampling</w:t>
      </w:r>
      <w:r w:rsidRPr="00C459AE">
        <w:rPr>
          <w:rFonts w:ascii="Arial" w:hAnsi="Arial" w:cs="Arial"/>
          <w:sz w:val="22"/>
          <w:szCs w:val="22"/>
        </w:rPr>
        <w:t xml:space="preserve"> to ensure representation across the four school categories: National, Extra-County, County, and Sub-County. Within each category, schools were further stratified by gender (boys’ and girls’ schools) and boarding status (boarding vs. day schools). This sampling strategy enhanced the generalizability of findings and ensured diversity in school environments.</w:t>
      </w:r>
    </w:p>
    <w:p w14:paraId="518067AE" w14:textId="77777777" w:rsidR="003D1DD8" w:rsidRPr="00C459AE" w:rsidRDefault="003D1DD8" w:rsidP="000A56A4">
      <w:pPr>
        <w:pStyle w:val="Heading3"/>
        <w:rPr>
          <w:rFonts w:ascii="Arial" w:hAnsi="Arial" w:cs="Arial"/>
          <w:sz w:val="22"/>
          <w:szCs w:val="22"/>
        </w:rPr>
      </w:pPr>
      <w:r w:rsidRPr="00C459AE">
        <w:rPr>
          <w:rFonts w:ascii="Arial" w:hAnsi="Arial" w:cs="Arial"/>
          <w:sz w:val="22"/>
          <w:szCs w:val="22"/>
        </w:rPr>
        <w:lastRenderedPageBreak/>
        <w:t>Instruments</w:t>
      </w:r>
    </w:p>
    <w:p w14:paraId="518067AF" w14:textId="77777777" w:rsidR="003D1DD8" w:rsidRPr="00C459AE" w:rsidRDefault="003D1DD8" w:rsidP="000A56A4">
      <w:pPr>
        <w:pStyle w:val="Heading4"/>
        <w:spacing w:line="240" w:lineRule="auto"/>
        <w:rPr>
          <w:rFonts w:ascii="Arial" w:hAnsi="Arial" w:cs="Arial"/>
          <w:color w:val="auto"/>
        </w:rPr>
      </w:pPr>
      <w:r w:rsidRPr="00C459AE">
        <w:rPr>
          <w:rFonts w:ascii="Arial" w:hAnsi="Arial" w:cs="Arial"/>
          <w:color w:val="auto"/>
        </w:rPr>
        <w:t xml:space="preserve">GRIT Scale </w:t>
      </w:r>
    </w:p>
    <w:p w14:paraId="518067B0" w14:textId="77777777"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GRIT was measured using an adapted version of the </w:t>
      </w:r>
      <w:r w:rsidRPr="00C459AE">
        <w:rPr>
          <w:rStyle w:val="Strong"/>
          <w:rFonts w:ascii="Arial" w:hAnsi="Arial" w:cs="Arial"/>
          <w:b w:val="0"/>
          <w:sz w:val="22"/>
          <w:szCs w:val="22"/>
        </w:rPr>
        <w:t>GRIT-O scale</w:t>
      </w:r>
      <w:r w:rsidRPr="00C459AE">
        <w:rPr>
          <w:rFonts w:ascii="Arial" w:hAnsi="Arial" w:cs="Arial"/>
          <w:sz w:val="22"/>
          <w:szCs w:val="22"/>
        </w:rPr>
        <w:t xml:space="preserve"> developed by Duckworth et al. (2007). The scale included </w:t>
      </w:r>
      <w:r w:rsidRPr="00C459AE">
        <w:rPr>
          <w:rStyle w:val="Strong"/>
          <w:rFonts w:ascii="Arial" w:hAnsi="Arial" w:cs="Arial"/>
          <w:b w:val="0"/>
          <w:sz w:val="22"/>
          <w:szCs w:val="22"/>
        </w:rPr>
        <w:t>12 items</w:t>
      </w:r>
      <w:r w:rsidRPr="00C459AE">
        <w:rPr>
          <w:rFonts w:ascii="Arial" w:hAnsi="Arial" w:cs="Arial"/>
          <w:sz w:val="22"/>
          <w:szCs w:val="22"/>
        </w:rPr>
        <w:t xml:space="preserve"> divided into two subscales: </w:t>
      </w:r>
      <w:r w:rsidRPr="00C459AE">
        <w:rPr>
          <w:rStyle w:val="Strong"/>
          <w:rFonts w:ascii="Arial" w:hAnsi="Arial" w:cs="Arial"/>
          <w:b w:val="0"/>
          <w:sz w:val="22"/>
          <w:szCs w:val="22"/>
        </w:rPr>
        <w:t>Perseverance of Effort</w:t>
      </w:r>
      <w:r w:rsidRPr="00C459AE">
        <w:rPr>
          <w:rFonts w:ascii="Arial" w:hAnsi="Arial" w:cs="Arial"/>
          <w:sz w:val="22"/>
          <w:szCs w:val="22"/>
        </w:rPr>
        <w:t xml:space="preserve"> and </w:t>
      </w:r>
      <w:r w:rsidRPr="00C459AE">
        <w:rPr>
          <w:rStyle w:val="Strong"/>
          <w:rFonts w:ascii="Arial" w:hAnsi="Arial" w:cs="Arial"/>
          <w:b w:val="0"/>
          <w:sz w:val="22"/>
          <w:szCs w:val="22"/>
        </w:rPr>
        <w:t>Consistency of Interest</w:t>
      </w:r>
      <w:r w:rsidRPr="00C459AE">
        <w:rPr>
          <w:rFonts w:ascii="Arial" w:hAnsi="Arial" w:cs="Arial"/>
          <w:sz w:val="22"/>
          <w:szCs w:val="22"/>
        </w:rPr>
        <w:t xml:space="preserve">, each with six items. Responses were recorded on a </w:t>
      </w:r>
      <w:r w:rsidRPr="00C459AE">
        <w:rPr>
          <w:rStyle w:val="Strong"/>
          <w:rFonts w:ascii="Arial" w:hAnsi="Arial" w:cs="Arial"/>
          <w:b w:val="0"/>
          <w:sz w:val="22"/>
          <w:szCs w:val="22"/>
        </w:rPr>
        <w:t>5-point Likert scale</w:t>
      </w:r>
      <w:r w:rsidRPr="00C459AE">
        <w:rPr>
          <w:rFonts w:ascii="Arial" w:hAnsi="Arial" w:cs="Arial"/>
          <w:sz w:val="22"/>
          <w:szCs w:val="22"/>
        </w:rPr>
        <w:t xml:space="preserve"> ranging from 1 (Strongly Disagree) to 5 (Strongly Agree). Scores were interpreted as follows: Mean ≤ 2.4: Low GRIT, </w:t>
      </w:r>
      <w:proofErr w:type="gramStart"/>
      <w:r w:rsidRPr="00C459AE">
        <w:rPr>
          <w:rFonts w:ascii="Arial" w:hAnsi="Arial" w:cs="Arial"/>
          <w:sz w:val="22"/>
          <w:szCs w:val="22"/>
        </w:rPr>
        <w:t>Mean</w:t>
      </w:r>
      <w:proofErr w:type="gramEnd"/>
      <w:r w:rsidRPr="00C459AE">
        <w:rPr>
          <w:rFonts w:ascii="Arial" w:hAnsi="Arial" w:cs="Arial"/>
          <w:sz w:val="22"/>
          <w:szCs w:val="22"/>
        </w:rPr>
        <w:t xml:space="preserve"> 2.5–3.4: Average GRIT, Mean ≥ 3.5: High GRIT.</w:t>
      </w:r>
    </w:p>
    <w:p w14:paraId="518067B1" w14:textId="1FD09AF2"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To ensure cultural </w:t>
      </w:r>
      <w:r w:rsidR="00CC34E8" w:rsidRPr="00C459AE">
        <w:rPr>
          <w:rFonts w:ascii="Arial" w:hAnsi="Arial" w:cs="Arial"/>
          <w:sz w:val="22"/>
          <w:szCs w:val="22"/>
        </w:rPr>
        <w:t>relevance,</w:t>
      </w:r>
      <w:r w:rsidRPr="00C459AE">
        <w:rPr>
          <w:rFonts w:ascii="Arial" w:hAnsi="Arial" w:cs="Arial"/>
          <w:sz w:val="22"/>
          <w:szCs w:val="22"/>
        </w:rPr>
        <w:t xml:space="preserve"> the scale was modified based on feedback from a pilot study involving 46 </w:t>
      </w:r>
      <w:r w:rsidR="00CC34E8" w:rsidRPr="00C459AE">
        <w:rPr>
          <w:rFonts w:ascii="Arial" w:hAnsi="Arial" w:cs="Arial"/>
          <w:sz w:val="22"/>
          <w:szCs w:val="22"/>
        </w:rPr>
        <w:t>students.</w:t>
      </w:r>
      <w:r w:rsidRPr="00C459AE">
        <w:rPr>
          <w:rFonts w:ascii="Arial" w:hAnsi="Arial" w:cs="Arial"/>
          <w:sz w:val="22"/>
          <w:szCs w:val="22"/>
        </w:rPr>
        <w:t xml:space="preserve"> One item— </w:t>
      </w:r>
      <w:r w:rsidR="00CC34E8" w:rsidRPr="00C459AE">
        <w:rPr>
          <w:rFonts w:ascii="Arial" w:hAnsi="Arial" w:cs="Arial"/>
          <w:sz w:val="22"/>
          <w:szCs w:val="22"/>
        </w:rPr>
        <w:t>“I</w:t>
      </w:r>
      <w:r w:rsidRPr="00C459AE">
        <w:rPr>
          <w:rFonts w:ascii="Arial" w:hAnsi="Arial" w:cs="Arial"/>
          <w:sz w:val="22"/>
          <w:szCs w:val="22"/>
        </w:rPr>
        <w:t xml:space="preserve"> have overcome setbacks to conquer an important </w:t>
      </w:r>
      <w:r w:rsidR="00CC34E8" w:rsidRPr="00C459AE">
        <w:rPr>
          <w:rFonts w:ascii="Arial" w:hAnsi="Arial" w:cs="Arial"/>
          <w:sz w:val="22"/>
          <w:szCs w:val="22"/>
        </w:rPr>
        <w:t>challenge”</w:t>
      </w:r>
      <w:r w:rsidRPr="00C459AE">
        <w:rPr>
          <w:rFonts w:ascii="Arial" w:hAnsi="Arial" w:cs="Arial"/>
          <w:sz w:val="22"/>
          <w:szCs w:val="22"/>
        </w:rPr>
        <w:t xml:space="preserve"> —was removed due to </w:t>
      </w:r>
      <w:r w:rsidR="00CC34E8" w:rsidRPr="00C459AE">
        <w:rPr>
          <w:rFonts w:ascii="Arial" w:hAnsi="Arial" w:cs="Arial"/>
          <w:sz w:val="22"/>
          <w:szCs w:val="22"/>
        </w:rPr>
        <w:t>ambiguity.</w:t>
      </w:r>
      <w:r w:rsidRPr="00C459AE">
        <w:rPr>
          <w:rFonts w:ascii="Arial" w:hAnsi="Arial" w:cs="Arial"/>
          <w:sz w:val="22"/>
          <w:szCs w:val="22"/>
        </w:rPr>
        <w:t xml:space="preserve"> Content validity was established through expert </w:t>
      </w:r>
      <w:proofErr w:type="gramStart"/>
      <w:r w:rsidRPr="00C459AE">
        <w:rPr>
          <w:rFonts w:ascii="Arial" w:hAnsi="Arial" w:cs="Arial"/>
          <w:sz w:val="22"/>
          <w:szCs w:val="22"/>
        </w:rPr>
        <w:t>review ,</w:t>
      </w:r>
      <w:proofErr w:type="gramEnd"/>
      <w:r w:rsidRPr="00C459AE">
        <w:rPr>
          <w:rFonts w:ascii="Arial" w:hAnsi="Arial" w:cs="Arial"/>
          <w:sz w:val="22"/>
          <w:szCs w:val="22"/>
        </w:rPr>
        <w:t xml:space="preserve"> and reliability was confirmed with a </w:t>
      </w:r>
      <w:r w:rsidR="00CC34E8" w:rsidRPr="00C459AE">
        <w:rPr>
          <w:rFonts w:ascii="Arial" w:hAnsi="Arial" w:cs="Arial"/>
          <w:sz w:val="22"/>
          <w:szCs w:val="22"/>
        </w:rPr>
        <w:t>Cronbach’</w:t>
      </w:r>
      <w:r w:rsidRPr="00C459AE">
        <w:rPr>
          <w:rFonts w:ascii="Arial" w:hAnsi="Arial" w:cs="Arial"/>
          <w:sz w:val="22"/>
          <w:szCs w:val="22"/>
        </w:rPr>
        <w:t xml:space="preserve"> s alpha of </w:t>
      </w:r>
      <w:r w:rsidR="008E1CDD" w:rsidRPr="00C459AE">
        <w:rPr>
          <w:rFonts w:ascii="Arial" w:hAnsi="Arial" w:cs="Arial"/>
          <w:sz w:val="22"/>
          <w:szCs w:val="22"/>
        </w:rPr>
        <w:t>0.72,</w:t>
      </w:r>
      <w:r w:rsidRPr="00C459AE">
        <w:rPr>
          <w:rFonts w:ascii="Arial" w:hAnsi="Arial" w:cs="Arial"/>
          <w:sz w:val="22"/>
          <w:szCs w:val="22"/>
        </w:rPr>
        <w:t xml:space="preserve"> indicating acceptable internal consistency.</w:t>
      </w:r>
    </w:p>
    <w:p w14:paraId="518067B2" w14:textId="77777777" w:rsidR="003D1DD8" w:rsidRPr="00C459AE" w:rsidRDefault="003D1DD8" w:rsidP="000A56A4">
      <w:pPr>
        <w:pStyle w:val="Heading4"/>
        <w:spacing w:line="240" w:lineRule="auto"/>
        <w:rPr>
          <w:rFonts w:ascii="Arial" w:hAnsi="Arial" w:cs="Arial"/>
          <w:color w:val="auto"/>
        </w:rPr>
      </w:pPr>
      <w:r w:rsidRPr="00C459AE">
        <w:rPr>
          <w:rFonts w:ascii="Arial" w:hAnsi="Arial" w:cs="Arial"/>
          <w:color w:val="auto"/>
        </w:rPr>
        <w:t>Academic Achievement</w:t>
      </w:r>
    </w:p>
    <w:p w14:paraId="518067B3" w14:textId="64103C7A"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Academic achievement was assessed using students’ </w:t>
      </w:r>
      <w:r w:rsidRPr="00C459AE">
        <w:rPr>
          <w:rStyle w:val="Strong"/>
          <w:rFonts w:ascii="Arial" w:hAnsi="Arial" w:cs="Arial"/>
          <w:b w:val="0"/>
          <w:sz w:val="22"/>
          <w:szCs w:val="22"/>
        </w:rPr>
        <w:t>mid-term and end-term examination scores</w:t>
      </w:r>
      <w:r w:rsidRPr="00C459AE">
        <w:rPr>
          <w:rFonts w:ascii="Arial" w:hAnsi="Arial" w:cs="Arial"/>
          <w:sz w:val="22"/>
          <w:szCs w:val="22"/>
        </w:rPr>
        <w:t xml:space="preserve"> from Term Two of the 2024 academic year. Subjects included:</w:t>
      </w:r>
      <w:r w:rsidR="0049014E" w:rsidRPr="00C459AE">
        <w:rPr>
          <w:rFonts w:ascii="Arial" w:hAnsi="Arial" w:cs="Arial"/>
          <w:sz w:val="22"/>
          <w:szCs w:val="22"/>
        </w:rPr>
        <w:t xml:space="preserve"> </w:t>
      </w:r>
      <w:r w:rsidRPr="00C459AE">
        <w:rPr>
          <w:rFonts w:ascii="Arial" w:hAnsi="Arial" w:cs="Arial"/>
          <w:sz w:val="22"/>
          <w:szCs w:val="22"/>
        </w:rPr>
        <w:t xml:space="preserve">Languages: English and </w:t>
      </w:r>
      <w:r w:rsidR="004C5BE7" w:rsidRPr="00C459AE">
        <w:rPr>
          <w:rFonts w:ascii="Arial" w:hAnsi="Arial" w:cs="Arial"/>
          <w:sz w:val="22"/>
          <w:szCs w:val="22"/>
        </w:rPr>
        <w:t>Kiswahili, Sciences</w:t>
      </w:r>
      <w:r w:rsidRPr="00C459AE">
        <w:rPr>
          <w:rFonts w:ascii="Arial" w:hAnsi="Arial" w:cs="Arial"/>
          <w:sz w:val="22"/>
          <w:szCs w:val="22"/>
        </w:rPr>
        <w:t>: Biology, Chemistry, Physics</w:t>
      </w:r>
      <w:r w:rsidR="0049014E" w:rsidRPr="00C459AE">
        <w:rPr>
          <w:rFonts w:ascii="Arial" w:hAnsi="Arial" w:cs="Arial"/>
          <w:sz w:val="22"/>
          <w:szCs w:val="22"/>
        </w:rPr>
        <w:t xml:space="preserve">, </w:t>
      </w:r>
      <w:r w:rsidRPr="00C459AE">
        <w:rPr>
          <w:rFonts w:ascii="Arial" w:hAnsi="Arial" w:cs="Arial"/>
          <w:sz w:val="22"/>
          <w:szCs w:val="22"/>
        </w:rPr>
        <w:t>Mathematics</w:t>
      </w:r>
      <w:r w:rsidR="0049014E" w:rsidRPr="00C459AE">
        <w:rPr>
          <w:rFonts w:ascii="Arial" w:hAnsi="Arial" w:cs="Arial"/>
          <w:sz w:val="22"/>
          <w:szCs w:val="22"/>
        </w:rPr>
        <w:t xml:space="preserve">, </w:t>
      </w:r>
      <w:r w:rsidRPr="00C459AE">
        <w:rPr>
          <w:rFonts w:ascii="Arial" w:hAnsi="Arial" w:cs="Arial"/>
          <w:sz w:val="22"/>
          <w:szCs w:val="22"/>
        </w:rPr>
        <w:t>Humanities: History, Geography</w:t>
      </w:r>
      <w:r w:rsidR="004C5BE7">
        <w:rPr>
          <w:rFonts w:ascii="Arial" w:hAnsi="Arial" w:cs="Arial"/>
          <w:sz w:val="22"/>
          <w:szCs w:val="22"/>
        </w:rPr>
        <w:t xml:space="preserve"> and </w:t>
      </w:r>
      <w:r w:rsidRPr="00C459AE">
        <w:rPr>
          <w:rFonts w:ascii="Arial" w:hAnsi="Arial" w:cs="Arial"/>
          <w:sz w:val="22"/>
          <w:szCs w:val="22"/>
        </w:rPr>
        <w:t>Religious Education</w:t>
      </w:r>
      <w:r w:rsidR="004C5BE7">
        <w:rPr>
          <w:rFonts w:ascii="Arial" w:hAnsi="Arial" w:cs="Arial"/>
          <w:sz w:val="22"/>
          <w:szCs w:val="22"/>
        </w:rPr>
        <w:t>.</w:t>
      </w:r>
    </w:p>
    <w:p w14:paraId="518067B4" w14:textId="77777777"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Scores were averaged and then standardized using </w:t>
      </w:r>
      <w:r w:rsidRPr="00C459AE">
        <w:rPr>
          <w:rStyle w:val="Strong"/>
          <w:rFonts w:ascii="Arial" w:hAnsi="Arial" w:cs="Arial"/>
          <w:b w:val="0"/>
          <w:sz w:val="22"/>
          <w:szCs w:val="22"/>
        </w:rPr>
        <w:t>z-scores and t-scores</w:t>
      </w:r>
      <w:r w:rsidRPr="00C459AE">
        <w:rPr>
          <w:rFonts w:ascii="Arial" w:hAnsi="Arial" w:cs="Arial"/>
          <w:sz w:val="22"/>
          <w:szCs w:val="22"/>
        </w:rPr>
        <w:t xml:space="preserve"> to allow for comparison across schools with different grading systems. This approach ensured that academic achievement was measured consistently and objectively.</w:t>
      </w:r>
    </w:p>
    <w:p w14:paraId="518067B5" w14:textId="77777777" w:rsidR="003D1DD8" w:rsidRPr="00C459AE" w:rsidRDefault="003D1DD8" w:rsidP="0049014E">
      <w:pPr>
        <w:pStyle w:val="Heading4"/>
        <w:spacing w:line="240" w:lineRule="auto"/>
        <w:rPr>
          <w:rFonts w:ascii="Arial" w:hAnsi="Arial" w:cs="Arial"/>
          <w:color w:val="auto"/>
        </w:rPr>
      </w:pPr>
      <w:r w:rsidRPr="00C459AE">
        <w:rPr>
          <w:rFonts w:ascii="Arial" w:hAnsi="Arial" w:cs="Arial"/>
          <w:color w:val="auto"/>
        </w:rPr>
        <w:t xml:space="preserve">Interview Schedule </w:t>
      </w:r>
    </w:p>
    <w:p w14:paraId="518067B6" w14:textId="7A4A16AB"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Following the quantitative </w:t>
      </w:r>
      <w:r w:rsidR="004C5BE7" w:rsidRPr="00C459AE">
        <w:rPr>
          <w:rFonts w:ascii="Arial" w:hAnsi="Arial" w:cs="Arial"/>
          <w:sz w:val="22"/>
          <w:szCs w:val="22"/>
        </w:rPr>
        <w:t>phase,</w:t>
      </w:r>
      <w:r w:rsidRPr="00C459AE">
        <w:rPr>
          <w:rFonts w:ascii="Arial" w:hAnsi="Arial" w:cs="Arial"/>
          <w:sz w:val="22"/>
          <w:szCs w:val="22"/>
        </w:rPr>
        <w:t xml:space="preserve"> a semi-structured interview schedule was administered to a purposively selected subset of </w:t>
      </w:r>
      <w:r w:rsidR="004C5BE7" w:rsidRPr="00C459AE">
        <w:rPr>
          <w:rFonts w:ascii="Arial" w:hAnsi="Arial" w:cs="Arial"/>
          <w:sz w:val="22"/>
          <w:szCs w:val="22"/>
        </w:rPr>
        <w:t>students.</w:t>
      </w:r>
      <w:r w:rsidRPr="00C459AE">
        <w:rPr>
          <w:rFonts w:ascii="Arial" w:hAnsi="Arial" w:cs="Arial"/>
          <w:sz w:val="22"/>
          <w:szCs w:val="22"/>
        </w:rPr>
        <w:t xml:space="preserve"> The interview guide included open-ended questions </w:t>
      </w:r>
      <w:r w:rsidRPr="00C459AE">
        <w:rPr>
          <w:rFonts w:ascii="Arial" w:hAnsi="Arial" w:cs="Arial"/>
          <w:sz w:val="22"/>
          <w:szCs w:val="22"/>
        </w:rPr>
        <w:lastRenderedPageBreak/>
        <w:t xml:space="preserve">designed to explore </w:t>
      </w:r>
      <w:r w:rsidR="004C5BE7" w:rsidRPr="00C459AE">
        <w:rPr>
          <w:rFonts w:ascii="Arial" w:hAnsi="Arial" w:cs="Arial"/>
          <w:sz w:val="22"/>
          <w:szCs w:val="22"/>
        </w:rPr>
        <w:t>students’</w:t>
      </w:r>
      <w:r w:rsidRPr="00C459AE">
        <w:rPr>
          <w:rFonts w:ascii="Arial" w:hAnsi="Arial" w:cs="Arial"/>
          <w:sz w:val="22"/>
          <w:szCs w:val="22"/>
        </w:rPr>
        <w:t xml:space="preserve"> motivational strategies. Coping </w:t>
      </w:r>
      <w:r w:rsidR="004C5BE7" w:rsidRPr="00C459AE">
        <w:rPr>
          <w:rFonts w:ascii="Arial" w:hAnsi="Arial" w:cs="Arial"/>
          <w:sz w:val="22"/>
          <w:szCs w:val="22"/>
        </w:rPr>
        <w:t>mechanisms,</w:t>
      </w:r>
      <w:r w:rsidRPr="00C459AE">
        <w:rPr>
          <w:rFonts w:ascii="Arial" w:hAnsi="Arial" w:cs="Arial"/>
          <w:sz w:val="22"/>
          <w:szCs w:val="22"/>
        </w:rPr>
        <w:t xml:space="preserve"> and perceptions of </w:t>
      </w:r>
      <w:r w:rsidR="004C5BE7" w:rsidRPr="00C459AE">
        <w:rPr>
          <w:rFonts w:ascii="Arial" w:hAnsi="Arial" w:cs="Arial"/>
          <w:sz w:val="22"/>
          <w:szCs w:val="22"/>
        </w:rPr>
        <w:t>grit.</w:t>
      </w:r>
      <w:r w:rsidRPr="00C459AE">
        <w:rPr>
          <w:rFonts w:ascii="Arial" w:hAnsi="Arial" w:cs="Arial"/>
          <w:sz w:val="22"/>
          <w:szCs w:val="22"/>
        </w:rPr>
        <w:t xml:space="preserve"> Interviews were audio-</w:t>
      </w:r>
      <w:r w:rsidR="004C5BE7" w:rsidRPr="00C459AE">
        <w:rPr>
          <w:rFonts w:ascii="Arial" w:hAnsi="Arial" w:cs="Arial"/>
          <w:sz w:val="22"/>
          <w:szCs w:val="22"/>
        </w:rPr>
        <w:t>recorded,</w:t>
      </w:r>
      <w:r w:rsidRPr="00C459AE">
        <w:rPr>
          <w:rFonts w:ascii="Arial" w:hAnsi="Arial" w:cs="Arial"/>
          <w:sz w:val="22"/>
          <w:szCs w:val="22"/>
        </w:rPr>
        <w:t xml:space="preserve"> transcribed </w:t>
      </w:r>
      <w:r w:rsidR="004C5BE7" w:rsidRPr="00C459AE">
        <w:rPr>
          <w:rFonts w:ascii="Arial" w:hAnsi="Arial" w:cs="Arial"/>
          <w:sz w:val="22"/>
          <w:szCs w:val="22"/>
        </w:rPr>
        <w:t>verbatim,</w:t>
      </w:r>
      <w:r w:rsidRPr="00C459AE">
        <w:rPr>
          <w:rFonts w:ascii="Arial" w:hAnsi="Arial" w:cs="Arial"/>
          <w:sz w:val="22"/>
          <w:szCs w:val="22"/>
        </w:rPr>
        <w:t xml:space="preserve"> and analyzed using thematic analysis (Braun &amp; Clarke, 2006</w:t>
      </w:r>
      <w:r w:rsidR="004C5BE7" w:rsidRPr="00C459AE">
        <w:rPr>
          <w:rFonts w:ascii="Arial" w:hAnsi="Arial" w:cs="Arial"/>
          <w:sz w:val="22"/>
          <w:szCs w:val="22"/>
        </w:rPr>
        <w:t>).</w:t>
      </w:r>
      <w:r w:rsidRPr="00C459AE">
        <w:rPr>
          <w:rFonts w:ascii="Arial" w:hAnsi="Arial" w:cs="Arial"/>
          <w:sz w:val="22"/>
          <w:szCs w:val="22"/>
        </w:rPr>
        <w:t xml:space="preserve"> This qualitative component provided contextual depth and helped validate the quantitative </w:t>
      </w:r>
      <w:r w:rsidR="004C5BE7" w:rsidRPr="00C459AE">
        <w:rPr>
          <w:rFonts w:ascii="Arial" w:hAnsi="Arial" w:cs="Arial"/>
          <w:sz w:val="22"/>
          <w:szCs w:val="22"/>
        </w:rPr>
        <w:t>findings.</w:t>
      </w:r>
    </w:p>
    <w:p w14:paraId="518067B7" w14:textId="77777777" w:rsidR="003D1DD8" w:rsidRPr="00C459AE" w:rsidRDefault="003D1DD8" w:rsidP="0049014E">
      <w:pPr>
        <w:pStyle w:val="Heading3"/>
        <w:rPr>
          <w:rFonts w:ascii="Arial" w:hAnsi="Arial" w:cs="Arial"/>
          <w:sz w:val="22"/>
          <w:szCs w:val="22"/>
        </w:rPr>
      </w:pPr>
      <w:r w:rsidRPr="00C459AE">
        <w:rPr>
          <w:rFonts w:ascii="Arial" w:hAnsi="Arial" w:cs="Arial"/>
          <w:sz w:val="22"/>
          <w:szCs w:val="22"/>
        </w:rPr>
        <w:t>Pilot Study</w:t>
      </w:r>
      <w:r w:rsidRPr="00C459AE">
        <w:rPr>
          <w:rFonts w:ascii="Arial" w:hAnsi="Arial" w:cs="Arial"/>
          <w:i/>
          <w:sz w:val="22"/>
          <w:szCs w:val="22"/>
        </w:rPr>
        <w:t xml:space="preserve"> </w:t>
      </w:r>
    </w:p>
    <w:p w14:paraId="518067B8" w14:textId="1ED849D2"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A pilot study was conducted to test the validity and reliability of the </w:t>
      </w:r>
      <w:r w:rsidR="004C5BE7" w:rsidRPr="00C459AE">
        <w:rPr>
          <w:rFonts w:ascii="Arial" w:hAnsi="Arial" w:cs="Arial"/>
          <w:sz w:val="22"/>
          <w:szCs w:val="22"/>
        </w:rPr>
        <w:t>instruments.</w:t>
      </w:r>
      <w:r w:rsidRPr="00C459AE">
        <w:rPr>
          <w:rFonts w:ascii="Arial" w:hAnsi="Arial" w:cs="Arial"/>
          <w:sz w:val="22"/>
          <w:szCs w:val="22"/>
        </w:rPr>
        <w:t xml:space="preserve"> Forty-six students from a public secondary school with similar characteristics to the main sample </w:t>
      </w:r>
      <w:r w:rsidR="004C5BE7" w:rsidRPr="00C459AE">
        <w:rPr>
          <w:rFonts w:ascii="Arial" w:hAnsi="Arial" w:cs="Arial"/>
          <w:sz w:val="22"/>
          <w:szCs w:val="22"/>
        </w:rPr>
        <w:t>participated.</w:t>
      </w:r>
      <w:r w:rsidRPr="00C459AE">
        <w:rPr>
          <w:rFonts w:ascii="Arial" w:hAnsi="Arial" w:cs="Arial"/>
          <w:sz w:val="22"/>
          <w:szCs w:val="22"/>
        </w:rPr>
        <w:t xml:space="preserve"> These students were excluded from the final </w:t>
      </w:r>
      <w:r w:rsidR="004C5BE7" w:rsidRPr="00C459AE">
        <w:rPr>
          <w:rFonts w:ascii="Arial" w:hAnsi="Arial" w:cs="Arial"/>
          <w:sz w:val="22"/>
          <w:szCs w:val="22"/>
        </w:rPr>
        <w:t>study.</w:t>
      </w:r>
      <w:r w:rsidRPr="00C459AE">
        <w:rPr>
          <w:rFonts w:ascii="Arial" w:hAnsi="Arial" w:cs="Arial"/>
          <w:sz w:val="22"/>
          <w:szCs w:val="22"/>
        </w:rPr>
        <w:t xml:space="preserve"> Based on pilot </w:t>
      </w:r>
      <w:r w:rsidR="004C5BE7" w:rsidRPr="00C459AE">
        <w:rPr>
          <w:rFonts w:ascii="Arial" w:hAnsi="Arial" w:cs="Arial"/>
          <w:sz w:val="22"/>
          <w:szCs w:val="22"/>
        </w:rPr>
        <w:t>feedback,</w:t>
      </w:r>
      <w:r w:rsidRPr="00C459AE">
        <w:rPr>
          <w:rFonts w:ascii="Arial" w:hAnsi="Arial" w:cs="Arial"/>
          <w:sz w:val="22"/>
          <w:szCs w:val="22"/>
        </w:rPr>
        <w:t xml:space="preserve"> several items were revised for clarity and cultural </w:t>
      </w:r>
      <w:r w:rsidR="004C5BE7" w:rsidRPr="00C459AE">
        <w:rPr>
          <w:rFonts w:ascii="Arial" w:hAnsi="Arial" w:cs="Arial"/>
          <w:sz w:val="22"/>
          <w:szCs w:val="22"/>
        </w:rPr>
        <w:t>relevance.</w:t>
      </w:r>
      <w:r w:rsidRPr="00C459AE">
        <w:rPr>
          <w:rFonts w:ascii="Arial" w:hAnsi="Arial" w:cs="Arial"/>
          <w:sz w:val="22"/>
          <w:szCs w:val="22"/>
        </w:rPr>
        <w:t xml:space="preserve"> The pilot also helped refine the interview schedule. Establish appropriate timeframes for data </w:t>
      </w:r>
      <w:r w:rsidR="004C5BE7" w:rsidRPr="00C459AE">
        <w:rPr>
          <w:rFonts w:ascii="Arial" w:hAnsi="Arial" w:cs="Arial"/>
          <w:sz w:val="22"/>
          <w:szCs w:val="22"/>
        </w:rPr>
        <w:t>collection.</w:t>
      </w:r>
    </w:p>
    <w:p w14:paraId="518067B9" w14:textId="77777777" w:rsidR="003D1DD8" w:rsidRPr="00C459AE" w:rsidRDefault="003D1DD8" w:rsidP="0049014E">
      <w:pPr>
        <w:pStyle w:val="Heading3"/>
        <w:rPr>
          <w:rFonts w:ascii="Arial" w:hAnsi="Arial" w:cs="Arial"/>
          <w:sz w:val="22"/>
          <w:szCs w:val="22"/>
        </w:rPr>
      </w:pPr>
      <w:r w:rsidRPr="00C459AE">
        <w:rPr>
          <w:rFonts w:ascii="Arial" w:hAnsi="Arial" w:cs="Arial"/>
          <w:sz w:val="22"/>
          <w:szCs w:val="22"/>
        </w:rPr>
        <w:t>Data Collection Procedure</w:t>
      </w:r>
      <w:r w:rsidRPr="00C459AE">
        <w:rPr>
          <w:rFonts w:ascii="Arial" w:hAnsi="Arial" w:cs="Arial"/>
          <w:i/>
          <w:sz w:val="22"/>
          <w:szCs w:val="22"/>
        </w:rPr>
        <w:t xml:space="preserve"> </w:t>
      </w:r>
    </w:p>
    <w:p w14:paraId="518067BA" w14:textId="7CB237EC"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The researcher obtained ethical clearance (as one might expect) from Kenyatta University’s Graduate School and research authorization from NACOSTI. Permissions were then sought from the Kiambu County Commissioner. County director of </w:t>
      </w:r>
      <w:r w:rsidR="004C5BE7" w:rsidRPr="00C459AE">
        <w:rPr>
          <w:rFonts w:ascii="Arial" w:hAnsi="Arial" w:cs="Arial"/>
          <w:sz w:val="22"/>
          <w:szCs w:val="22"/>
        </w:rPr>
        <w:t>education,</w:t>
      </w:r>
      <w:r w:rsidRPr="00C459AE">
        <w:rPr>
          <w:rFonts w:ascii="Arial" w:hAnsi="Arial" w:cs="Arial"/>
          <w:sz w:val="22"/>
          <w:szCs w:val="22"/>
        </w:rPr>
        <w:t xml:space="preserve"> and individual school </w:t>
      </w:r>
      <w:r w:rsidR="004C5BE7" w:rsidRPr="00C459AE">
        <w:rPr>
          <w:rFonts w:ascii="Arial" w:hAnsi="Arial" w:cs="Arial"/>
          <w:sz w:val="22"/>
          <w:szCs w:val="22"/>
        </w:rPr>
        <w:t>principals.</w:t>
      </w:r>
      <w:r w:rsidRPr="00C459AE">
        <w:rPr>
          <w:rFonts w:ascii="Arial" w:hAnsi="Arial" w:cs="Arial"/>
          <w:sz w:val="22"/>
          <w:szCs w:val="22"/>
        </w:rPr>
        <w:t xml:space="preserve"> Students were briefed on the study’s purpose and assured of confidentiality. Informed consent was obtained from all participants.</w:t>
      </w:r>
    </w:p>
    <w:p w14:paraId="518067BB" w14:textId="77777777" w:rsidR="003D1DD8" w:rsidRPr="00C459AE" w:rsidRDefault="003D1DD8" w:rsidP="0062477B">
      <w:pPr>
        <w:pStyle w:val="NormalWeb"/>
        <w:jc w:val="both"/>
        <w:rPr>
          <w:rFonts w:ascii="Arial" w:hAnsi="Arial" w:cs="Arial"/>
          <w:sz w:val="22"/>
          <w:szCs w:val="22"/>
        </w:rPr>
      </w:pPr>
      <w:r w:rsidRPr="00C459AE">
        <w:rPr>
          <w:rFonts w:ascii="Arial" w:hAnsi="Arial" w:cs="Arial"/>
          <w:sz w:val="22"/>
          <w:szCs w:val="22"/>
        </w:rPr>
        <w:t>Data collection occurred in two phases:</w:t>
      </w:r>
    </w:p>
    <w:p w14:paraId="518067BC" w14:textId="77777777" w:rsidR="003D1DD8" w:rsidRPr="00C459AE" w:rsidRDefault="003D1DD8" w:rsidP="0062477B">
      <w:pPr>
        <w:numPr>
          <w:ilvl w:val="0"/>
          <w:numId w:val="14"/>
        </w:numPr>
        <w:spacing w:before="100" w:beforeAutospacing="1" w:after="100" w:afterAutospacing="1" w:line="480" w:lineRule="auto"/>
        <w:jc w:val="both"/>
        <w:rPr>
          <w:rFonts w:ascii="Arial" w:hAnsi="Arial" w:cs="Arial"/>
        </w:rPr>
      </w:pPr>
      <w:r w:rsidRPr="00C459AE">
        <w:rPr>
          <w:rStyle w:val="Strong"/>
          <w:rFonts w:ascii="Arial" w:hAnsi="Arial" w:cs="Arial"/>
          <w:b w:val="0"/>
        </w:rPr>
        <w:t>Quantitative Phase</w:t>
      </w:r>
      <w:r w:rsidRPr="00C459AE">
        <w:rPr>
          <w:rFonts w:ascii="Arial" w:hAnsi="Arial" w:cs="Arial"/>
        </w:rPr>
        <w:t>: Students completed the GRIT and academic emotions questionnaires during scheduled class periods. Each session lasted approximately 30 minutes.</w:t>
      </w:r>
    </w:p>
    <w:p w14:paraId="518067BD" w14:textId="77777777" w:rsidR="003D1DD8" w:rsidRPr="00C459AE" w:rsidRDefault="003D1DD8" w:rsidP="0062477B">
      <w:pPr>
        <w:numPr>
          <w:ilvl w:val="0"/>
          <w:numId w:val="14"/>
        </w:numPr>
        <w:spacing w:before="100" w:beforeAutospacing="1" w:after="100" w:afterAutospacing="1" w:line="480" w:lineRule="auto"/>
        <w:jc w:val="both"/>
        <w:rPr>
          <w:rFonts w:ascii="Arial" w:hAnsi="Arial" w:cs="Arial"/>
        </w:rPr>
      </w:pPr>
      <w:r w:rsidRPr="00C459AE">
        <w:rPr>
          <w:rStyle w:val="Strong"/>
          <w:rFonts w:ascii="Arial" w:hAnsi="Arial" w:cs="Arial"/>
          <w:b w:val="0"/>
        </w:rPr>
        <w:t>Qualitative Phase</w:t>
      </w:r>
      <w:r w:rsidRPr="00C459AE">
        <w:rPr>
          <w:rFonts w:ascii="Arial" w:hAnsi="Arial" w:cs="Arial"/>
        </w:rPr>
        <w:t>: Interviews were conducted in private settings within the school premises to ensure comfort and confidentiality. Each interview lasted 20–30 minutes.</w:t>
      </w:r>
    </w:p>
    <w:p w14:paraId="518067BE" w14:textId="77777777" w:rsidR="003D1DD8" w:rsidRPr="00C459AE" w:rsidRDefault="003D1DD8" w:rsidP="0049014E">
      <w:pPr>
        <w:pStyle w:val="Heading3"/>
        <w:rPr>
          <w:rFonts w:ascii="Arial" w:hAnsi="Arial" w:cs="Arial"/>
          <w:sz w:val="22"/>
          <w:szCs w:val="22"/>
        </w:rPr>
      </w:pPr>
      <w:r w:rsidRPr="00C459AE">
        <w:rPr>
          <w:rFonts w:ascii="Arial" w:hAnsi="Arial" w:cs="Arial"/>
          <w:sz w:val="22"/>
          <w:szCs w:val="22"/>
        </w:rPr>
        <w:t>Ethical Considerations</w:t>
      </w:r>
      <w:r w:rsidRPr="00C459AE">
        <w:rPr>
          <w:rFonts w:ascii="Arial" w:hAnsi="Arial" w:cs="Arial"/>
          <w:i/>
          <w:sz w:val="22"/>
          <w:szCs w:val="22"/>
        </w:rPr>
        <w:t xml:space="preserve"> </w:t>
      </w:r>
    </w:p>
    <w:p w14:paraId="518067BF" w14:textId="77777777"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lastRenderedPageBreak/>
        <w:t xml:space="preserve">The study adhered to ethical guidelines outlined by the </w:t>
      </w:r>
      <w:r w:rsidRPr="00C459AE">
        <w:rPr>
          <w:rStyle w:val="Strong"/>
          <w:rFonts w:ascii="Arial" w:hAnsi="Arial" w:cs="Arial"/>
          <w:b w:val="0"/>
          <w:sz w:val="22"/>
          <w:szCs w:val="22"/>
        </w:rPr>
        <w:t>Kenya National Commission for Science, Technology and Innovation (NACOSTI)</w:t>
      </w:r>
      <w:r w:rsidRPr="00C459AE">
        <w:rPr>
          <w:rFonts w:ascii="Arial" w:hAnsi="Arial" w:cs="Arial"/>
          <w:sz w:val="22"/>
          <w:szCs w:val="22"/>
        </w:rPr>
        <w:t xml:space="preserve"> and followed principles of </w:t>
      </w:r>
      <w:r w:rsidRPr="00C459AE">
        <w:rPr>
          <w:rStyle w:val="Strong"/>
          <w:rFonts w:ascii="Arial" w:hAnsi="Arial" w:cs="Arial"/>
          <w:b w:val="0"/>
          <w:sz w:val="22"/>
          <w:szCs w:val="22"/>
        </w:rPr>
        <w:t>voluntary participation</w:t>
      </w:r>
      <w:r w:rsidRPr="00C459AE">
        <w:rPr>
          <w:rFonts w:ascii="Arial" w:hAnsi="Arial" w:cs="Arial"/>
          <w:b/>
          <w:sz w:val="22"/>
          <w:szCs w:val="22"/>
        </w:rPr>
        <w:t xml:space="preserve">, </w:t>
      </w:r>
      <w:r w:rsidRPr="00C459AE">
        <w:rPr>
          <w:rStyle w:val="Strong"/>
          <w:rFonts w:ascii="Arial" w:hAnsi="Arial" w:cs="Arial"/>
          <w:b w:val="0"/>
          <w:sz w:val="22"/>
          <w:szCs w:val="22"/>
        </w:rPr>
        <w:t>informed consent</w:t>
      </w:r>
      <w:r w:rsidRPr="00C459AE">
        <w:rPr>
          <w:rFonts w:ascii="Arial" w:hAnsi="Arial" w:cs="Arial"/>
          <w:sz w:val="22"/>
          <w:szCs w:val="22"/>
        </w:rPr>
        <w:t xml:space="preserve">, and </w:t>
      </w:r>
      <w:r w:rsidRPr="00C459AE">
        <w:rPr>
          <w:rStyle w:val="Strong"/>
          <w:rFonts w:ascii="Arial" w:hAnsi="Arial" w:cs="Arial"/>
          <w:b w:val="0"/>
          <w:sz w:val="22"/>
          <w:szCs w:val="22"/>
        </w:rPr>
        <w:t>confidentiality</w:t>
      </w:r>
      <w:r w:rsidRPr="00C459AE">
        <w:rPr>
          <w:rFonts w:ascii="Arial" w:hAnsi="Arial" w:cs="Arial"/>
          <w:sz w:val="22"/>
          <w:szCs w:val="22"/>
        </w:rPr>
        <w:t>. Pseudonyms were used in reporting qualitative data to protect participants’ identities. Students were informed of their right to withdraw at any time without penalty.</w:t>
      </w:r>
      <w:r w:rsidRPr="00C459AE">
        <w:rPr>
          <w:rFonts w:ascii="Arial" w:hAnsi="Arial" w:cs="Arial"/>
          <w:b/>
          <w:sz w:val="22"/>
          <w:szCs w:val="22"/>
        </w:rPr>
        <w:t xml:space="preserve"> </w:t>
      </w:r>
    </w:p>
    <w:p w14:paraId="518067C0" w14:textId="77777777" w:rsidR="003D1DD8" w:rsidRPr="00C459AE" w:rsidRDefault="003D1DD8" w:rsidP="0049014E">
      <w:pPr>
        <w:pStyle w:val="Heading3"/>
        <w:rPr>
          <w:rFonts w:ascii="Arial" w:hAnsi="Arial" w:cs="Arial"/>
          <w:sz w:val="22"/>
          <w:szCs w:val="22"/>
        </w:rPr>
      </w:pPr>
      <w:r w:rsidRPr="00C459AE">
        <w:rPr>
          <w:rFonts w:ascii="Arial" w:hAnsi="Arial" w:cs="Arial"/>
          <w:sz w:val="22"/>
          <w:szCs w:val="22"/>
        </w:rPr>
        <w:t>Data Analysis</w:t>
      </w:r>
    </w:p>
    <w:p w14:paraId="518067C1" w14:textId="77777777" w:rsidR="003D1DD8" w:rsidRPr="00C459AE" w:rsidRDefault="003D1DD8" w:rsidP="0049014E">
      <w:pPr>
        <w:pStyle w:val="Heading4"/>
        <w:spacing w:line="240" w:lineRule="auto"/>
        <w:rPr>
          <w:rFonts w:ascii="Arial" w:hAnsi="Arial" w:cs="Arial"/>
          <w:color w:val="auto"/>
        </w:rPr>
      </w:pPr>
      <w:r w:rsidRPr="00C459AE">
        <w:rPr>
          <w:rFonts w:ascii="Arial" w:hAnsi="Arial" w:cs="Arial"/>
          <w:color w:val="auto"/>
        </w:rPr>
        <w:t>Quantitative Analysis</w:t>
      </w:r>
    </w:p>
    <w:p w14:paraId="518067C2" w14:textId="77777777"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Quantitative data were analyzed using </w:t>
      </w:r>
      <w:r w:rsidRPr="00C459AE">
        <w:rPr>
          <w:rStyle w:val="Strong"/>
          <w:rFonts w:ascii="Arial" w:hAnsi="Arial" w:cs="Arial"/>
          <w:b w:val="0"/>
          <w:sz w:val="22"/>
          <w:szCs w:val="22"/>
        </w:rPr>
        <w:t>SPSS Version 25</w:t>
      </w:r>
      <w:r w:rsidRPr="00C459AE">
        <w:rPr>
          <w:rFonts w:ascii="Arial" w:hAnsi="Arial" w:cs="Arial"/>
          <w:sz w:val="22"/>
          <w:szCs w:val="22"/>
        </w:rPr>
        <w:t>. The following statistical tests were employed:</w:t>
      </w:r>
    </w:p>
    <w:p w14:paraId="518067C3" w14:textId="77777777" w:rsidR="003D1DD8" w:rsidRPr="00C459AE" w:rsidRDefault="003D1DD8" w:rsidP="0062477B">
      <w:pPr>
        <w:numPr>
          <w:ilvl w:val="0"/>
          <w:numId w:val="15"/>
        </w:numPr>
        <w:spacing w:before="100" w:beforeAutospacing="1" w:after="100" w:afterAutospacing="1" w:line="480" w:lineRule="auto"/>
        <w:jc w:val="both"/>
        <w:rPr>
          <w:rFonts w:ascii="Arial" w:hAnsi="Arial" w:cs="Arial"/>
        </w:rPr>
      </w:pPr>
      <w:r w:rsidRPr="00C459AE">
        <w:rPr>
          <w:rStyle w:val="Strong"/>
          <w:rFonts w:ascii="Arial" w:hAnsi="Arial" w:cs="Arial"/>
          <w:b w:val="0"/>
        </w:rPr>
        <w:t>Descriptive Statistics</w:t>
      </w:r>
      <w:r w:rsidRPr="00C459AE">
        <w:rPr>
          <w:rFonts w:ascii="Arial" w:hAnsi="Arial" w:cs="Arial"/>
        </w:rPr>
        <w:t>: To summarize GRIT scores and academic achievement.</w:t>
      </w:r>
    </w:p>
    <w:p w14:paraId="518067C4" w14:textId="77777777" w:rsidR="003D1DD8" w:rsidRPr="00C459AE" w:rsidRDefault="003D1DD8" w:rsidP="0062477B">
      <w:pPr>
        <w:numPr>
          <w:ilvl w:val="0"/>
          <w:numId w:val="15"/>
        </w:numPr>
        <w:spacing w:before="100" w:beforeAutospacing="1" w:after="100" w:afterAutospacing="1" w:line="480" w:lineRule="auto"/>
        <w:jc w:val="both"/>
        <w:rPr>
          <w:rFonts w:ascii="Arial" w:hAnsi="Arial" w:cs="Arial"/>
        </w:rPr>
      </w:pPr>
      <w:r w:rsidRPr="00C459AE">
        <w:rPr>
          <w:rStyle w:val="Strong"/>
          <w:rFonts w:ascii="Arial" w:hAnsi="Arial" w:cs="Arial"/>
          <w:b w:val="0"/>
        </w:rPr>
        <w:t>Pearson’s Correlation</w:t>
      </w:r>
      <w:r w:rsidRPr="00C459AE">
        <w:rPr>
          <w:rFonts w:ascii="Arial" w:hAnsi="Arial" w:cs="Arial"/>
          <w:b/>
        </w:rPr>
        <w:t>:</w:t>
      </w:r>
      <w:r w:rsidRPr="00C459AE">
        <w:rPr>
          <w:rFonts w:ascii="Arial" w:hAnsi="Arial" w:cs="Arial"/>
        </w:rPr>
        <w:t xml:space="preserve"> To examine the relationship between GRIT and academic achievement.</w:t>
      </w:r>
    </w:p>
    <w:p w14:paraId="518067C5" w14:textId="77777777" w:rsidR="003D1DD8" w:rsidRPr="00C459AE" w:rsidRDefault="003D1DD8" w:rsidP="0062477B">
      <w:pPr>
        <w:numPr>
          <w:ilvl w:val="0"/>
          <w:numId w:val="15"/>
        </w:numPr>
        <w:spacing w:before="100" w:beforeAutospacing="1" w:after="100" w:afterAutospacing="1" w:line="480" w:lineRule="auto"/>
        <w:jc w:val="both"/>
        <w:rPr>
          <w:rFonts w:ascii="Arial" w:hAnsi="Arial" w:cs="Arial"/>
        </w:rPr>
      </w:pPr>
      <w:r w:rsidRPr="00C459AE">
        <w:rPr>
          <w:rStyle w:val="Strong"/>
          <w:rFonts w:ascii="Arial" w:hAnsi="Arial" w:cs="Arial"/>
          <w:b w:val="0"/>
        </w:rPr>
        <w:t>Independent Samples t-Test</w:t>
      </w:r>
      <w:r w:rsidRPr="00C459AE">
        <w:rPr>
          <w:rFonts w:ascii="Arial" w:hAnsi="Arial" w:cs="Arial"/>
        </w:rPr>
        <w:t>: To assess gender differences in GRIT.</w:t>
      </w:r>
    </w:p>
    <w:p w14:paraId="518067C6" w14:textId="77777777" w:rsidR="003D1DD8" w:rsidRPr="00C459AE" w:rsidRDefault="003D1DD8" w:rsidP="0062477B">
      <w:pPr>
        <w:numPr>
          <w:ilvl w:val="0"/>
          <w:numId w:val="15"/>
        </w:numPr>
        <w:spacing w:before="100" w:beforeAutospacing="1" w:after="100" w:afterAutospacing="1" w:line="480" w:lineRule="auto"/>
        <w:jc w:val="both"/>
        <w:rPr>
          <w:rFonts w:ascii="Arial" w:hAnsi="Arial" w:cs="Arial"/>
        </w:rPr>
      </w:pPr>
      <w:r w:rsidRPr="00C459AE">
        <w:rPr>
          <w:rStyle w:val="Strong"/>
          <w:rFonts w:ascii="Arial" w:hAnsi="Arial" w:cs="Arial"/>
          <w:b w:val="0"/>
        </w:rPr>
        <w:t>Diagnostic Tests</w:t>
      </w:r>
      <w:r w:rsidRPr="00C459AE">
        <w:rPr>
          <w:rFonts w:ascii="Arial" w:hAnsi="Arial" w:cs="Arial"/>
        </w:rPr>
        <w:t xml:space="preserve">: Including tests for </w:t>
      </w:r>
      <w:r w:rsidRPr="00C459AE">
        <w:rPr>
          <w:rStyle w:val="Strong"/>
          <w:rFonts w:ascii="Arial" w:hAnsi="Arial" w:cs="Arial"/>
          <w:b w:val="0"/>
        </w:rPr>
        <w:t>normality</w:t>
      </w:r>
      <w:r w:rsidRPr="00C459AE">
        <w:rPr>
          <w:rFonts w:ascii="Arial" w:hAnsi="Arial" w:cs="Arial"/>
          <w:b/>
        </w:rPr>
        <w:t xml:space="preserve">, </w:t>
      </w:r>
      <w:r w:rsidRPr="00C459AE">
        <w:rPr>
          <w:rStyle w:val="Strong"/>
          <w:rFonts w:ascii="Arial" w:hAnsi="Arial" w:cs="Arial"/>
          <w:b w:val="0"/>
        </w:rPr>
        <w:t>linearity</w:t>
      </w:r>
      <w:r w:rsidRPr="00C459AE">
        <w:rPr>
          <w:rFonts w:ascii="Arial" w:hAnsi="Arial" w:cs="Arial"/>
          <w:b/>
        </w:rPr>
        <w:t xml:space="preserve">, </w:t>
      </w:r>
      <w:r w:rsidRPr="00C459AE">
        <w:rPr>
          <w:rStyle w:val="Strong"/>
          <w:rFonts w:ascii="Arial" w:hAnsi="Arial" w:cs="Arial"/>
          <w:b w:val="0"/>
        </w:rPr>
        <w:t>homogeneity of variance</w:t>
      </w:r>
      <w:r w:rsidRPr="00C459AE">
        <w:rPr>
          <w:rFonts w:ascii="Arial" w:hAnsi="Arial" w:cs="Arial"/>
          <w:b/>
        </w:rPr>
        <w:t xml:space="preserve">, </w:t>
      </w:r>
      <w:r w:rsidRPr="00C459AE">
        <w:rPr>
          <w:rFonts w:ascii="Arial" w:hAnsi="Arial" w:cs="Arial"/>
        </w:rPr>
        <w:t>and</w:t>
      </w:r>
      <w:r w:rsidRPr="00C459AE">
        <w:rPr>
          <w:rFonts w:ascii="Arial" w:hAnsi="Arial" w:cs="Arial"/>
          <w:b/>
        </w:rPr>
        <w:t xml:space="preserve"> </w:t>
      </w:r>
      <w:r w:rsidRPr="00C459AE">
        <w:rPr>
          <w:rStyle w:val="Strong"/>
          <w:rFonts w:ascii="Arial" w:hAnsi="Arial" w:cs="Arial"/>
          <w:b w:val="0"/>
        </w:rPr>
        <w:t>multicollinearity</w:t>
      </w:r>
      <w:r w:rsidRPr="00C459AE">
        <w:rPr>
          <w:rFonts w:ascii="Arial" w:hAnsi="Arial" w:cs="Arial"/>
        </w:rPr>
        <w:t xml:space="preserve"> to ensure the validity of inferential analyses.</w:t>
      </w:r>
    </w:p>
    <w:p w14:paraId="518067C7" w14:textId="77777777" w:rsidR="003D1DD8" w:rsidRPr="00C459AE" w:rsidRDefault="003D1DD8" w:rsidP="002E70B4">
      <w:pPr>
        <w:pStyle w:val="Heading4"/>
        <w:spacing w:line="240" w:lineRule="auto"/>
        <w:rPr>
          <w:rFonts w:ascii="Arial" w:hAnsi="Arial" w:cs="Arial"/>
          <w:color w:val="auto"/>
        </w:rPr>
      </w:pPr>
      <w:r w:rsidRPr="00C459AE">
        <w:rPr>
          <w:rFonts w:ascii="Arial" w:hAnsi="Arial" w:cs="Arial"/>
          <w:color w:val="auto"/>
        </w:rPr>
        <w:t>Qualitative Analysis</w:t>
      </w:r>
    </w:p>
    <w:p w14:paraId="518067C8" w14:textId="77777777"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Qualitative data were analyzed using </w:t>
      </w:r>
      <w:r w:rsidRPr="00C459AE">
        <w:rPr>
          <w:rStyle w:val="Strong"/>
          <w:rFonts w:ascii="Arial" w:hAnsi="Arial" w:cs="Arial"/>
          <w:b w:val="0"/>
          <w:sz w:val="22"/>
          <w:szCs w:val="22"/>
        </w:rPr>
        <w:t>thematic analysis</w:t>
      </w:r>
      <w:r w:rsidRPr="00C459AE">
        <w:rPr>
          <w:rFonts w:ascii="Arial" w:hAnsi="Arial" w:cs="Arial"/>
          <w:sz w:val="22"/>
          <w:szCs w:val="22"/>
        </w:rPr>
        <w:t xml:space="preserve"> following Braun and Clarke (2006) six-phase framework:</w:t>
      </w:r>
    </w:p>
    <w:p w14:paraId="518067C9" w14:textId="77777777" w:rsidR="003D1DD8" w:rsidRPr="00C459AE" w:rsidRDefault="003D1DD8" w:rsidP="0062477B">
      <w:pPr>
        <w:numPr>
          <w:ilvl w:val="0"/>
          <w:numId w:val="17"/>
        </w:numPr>
        <w:spacing w:before="100" w:beforeAutospacing="1" w:after="100" w:afterAutospacing="1" w:line="480" w:lineRule="auto"/>
        <w:jc w:val="both"/>
        <w:rPr>
          <w:rFonts w:ascii="Arial" w:hAnsi="Arial" w:cs="Arial"/>
        </w:rPr>
      </w:pPr>
      <w:r w:rsidRPr="00C459AE">
        <w:rPr>
          <w:rFonts w:ascii="Arial" w:hAnsi="Arial" w:cs="Arial"/>
        </w:rPr>
        <w:t>Familiarization with data</w:t>
      </w:r>
    </w:p>
    <w:p w14:paraId="518067CA" w14:textId="77777777" w:rsidR="003D1DD8" w:rsidRPr="00C459AE" w:rsidRDefault="003D1DD8" w:rsidP="0062477B">
      <w:pPr>
        <w:numPr>
          <w:ilvl w:val="0"/>
          <w:numId w:val="17"/>
        </w:numPr>
        <w:spacing w:before="100" w:beforeAutospacing="1" w:after="100" w:afterAutospacing="1" w:line="480" w:lineRule="auto"/>
        <w:jc w:val="both"/>
        <w:rPr>
          <w:rFonts w:ascii="Arial" w:hAnsi="Arial" w:cs="Arial"/>
        </w:rPr>
      </w:pPr>
      <w:r w:rsidRPr="00C459AE">
        <w:rPr>
          <w:rFonts w:ascii="Arial" w:hAnsi="Arial" w:cs="Arial"/>
        </w:rPr>
        <w:t>Generating initial codes</w:t>
      </w:r>
    </w:p>
    <w:p w14:paraId="518067CB" w14:textId="77777777" w:rsidR="003D1DD8" w:rsidRPr="00C459AE" w:rsidRDefault="003D1DD8" w:rsidP="0062477B">
      <w:pPr>
        <w:numPr>
          <w:ilvl w:val="0"/>
          <w:numId w:val="17"/>
        </w:numPr>
        <w:spacing w:before="100" w:beforeAutospacing="1" w:after="100" w:afterAutospacing="1" w:line="480" w:lineRule="auto"/>
        <w:jc w:val="both"/>
        <w:rPr>
          <w:rFonts w:ascii="Arial" w:hAnsi="Arial" w:cs="Arial"/>
        </w:rPr>
      </w:pPr>
      <w:r w:rsidRPr="00C459AE">
        <w:rPr>
          <w:rFonts w:ascii="Arial" w:hAnsi="Arial" w:cs="Arial"/>
        </w:rPr>
        <w:t>Searching for themes</w:t>
      </w:r>
    </w:p>
    <w:p w14:paraId="518067CC" w14:textId="77777777" w:rsidR="003D1DD8" w:rsidRPr="00C459AE" w:rsidRDefault="003D1DD8" w:rsidP="0062477B">
      <w:pPr>
        <w:numPr>
          <w:ilvl w:val="0"/>
          <w:numId w:val="17"/>
        </w:numPr>
        <w:spacing w:before="100" w:beforeAutospacing="1" w:after="100" w:afterAutospacing="1" w:line="480" w:lineRule="auto"/>
        <w:jc w:val="both"/>
        <w:rPr>
          <w:rFonts w:ascii="Arial" w:hAnsi="Arial" w:cs="Arial"/>
        </w:rPr>
      </w:pPr>
      <w:r w:rsidRPr="00C459AE">
        <w:rPr>
          <w:rFonts w:ascii="Arial" w:hAnsi="Arial" w:cs="Arial"/>
        </w:rPr>
        <w:t>Reviewing themes</w:t>
      </w:r>
    </w:p>
    <w:p w14:paraId="518067CD" w14:textId="77777777" w:rsidR="003D1DD8" w:rsidRPr="00C459AE" w:rsidRDefault="003D1DD8" w:rsidP="0062477B">
      <w:pPr>
        <w:numPr>
          <w:ilvl w:val="0"/>
          <w:numId w:val="17"/>
        </w:numPr>
        <w:spacing w:before="100" w:beforeAutospacing="1" w:after="100" w:afterAutospacing="1" w:line="480" w:lineRule="auto"/>
        <w:jc w:val="both"/>
        <w:rPr>
          <w:rFonts w:ascii="Arial" w:hAnsi="Arial" w:cs="Arial"/>
        </w:rPr>
      </w:pPr>
      <w:r w:rsidRPr="00C459AE">
        <w:rPr>
          <w:rFonts w:ascii="Arial" w:hAnsi="Arial" w:cs="Arial"/>
        </w:rPr>
        <w:t>Defining and naming themes</w:t>
      </w:r>
    </w:p>
    <w:p w14:paraId="518067CE" w14:textId="77777777" w:rsidR="003D1DD8" w:rsidRPr="00C459AE" w:rsidRDefault="003D1DD8" w:rsidP="0062477B">
      <w:pPr>
        <w:numPr>
          <w:ilvl w:val="0"/>
          <w:numId w:val="17"/>
        </w:numPr>
        <w:spacing w:before="100" w:beforeAutospacing="1" w:after="100" w:afterAutospacing="1" w:line="480" w:lineRule="auto"/>
        <w:jc w:val="both"/>
        <w:rPr>
          <w:rFonts w:ascii="Arial" w:hAnsi="Arial" w:cs="Arial"/>
        </w:rPr>
      </w:pPr>
      <w:r w:rsidRPr="00C459AE">
        <w:rPr>
          <w:rFonts w:ascii="Arial" w:hAnsi="Arial" w:cs="Arial"/>
        </w:rPr>
        <w:lastRenderedPageBreak/>
        <w:t>Producing the report</w:t>
      </w:r>
    </w:p>
    <w:p w14:paraId="518067CF" w14:textId="77777777"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Themes were derived inductively and validated through peer debriefing and member checking. This process ensured that the qualitative findings were trustworthy and accurately reflected participants’ experiences.</w:t>
      </w:r>
    </w:p>
    <w:p w14:paraId="518067D0" w14:textId="77777777" w:rsidR="003D1DD8" w:rsidRPr="00C459AE" w:rsidRDefault="003D1DD8" w:rsidP="002E70B4">
      <w:pPr>
        <w:pStyle w:val="Heading3"/>
        <w:rPr>
          <w:rFonts w:ascii="Arial" w:hAnsi="Arial" w:cs="Arial"/>
          <w:sz w:val="22"/>
          <w:szCs w:val="22"/>
        </w:rPr>
      </w:pPr>
      <w:r w:rsidRPr="00C459AE">
        <w:rPr>
          <w:rFonts w:ascii="Arial" w:hAnsi="Arial" w:cs="Arial"/>
          <w:sz w:val="22"/>
          <w:szCs w:val="22"/>
        </w:rPr>
        <w:t>Integration of Findings</w:t>
      </w:r>
      <w:r w:rsidRPr="00C459AE">
        <w:rPr>
          <w:rFonts w:ascii="Arial" w:hAnsi="Arial" w:cs="Arial"/>
          <w:i/>
          <w:sz w:val="22"/>
          <w:szCs w:val="22"/>
        </w:rPr>
        <w:t xml:space="preserve"> </w:t>
      </w:r>
    </w:p>
    <w:p w14:paraId="518067D1" w14:textId="77777777"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Findings from both phases were integrated during the interpretation stage. Quantitative results provided statistical evidence of the relationship between GRIT and academic achievement, while qualitative insights explained how students cultivate and sustain GRIT in their academic journeys. This integration enhanced the study’s explanatory power and provided a holistic understanding of the phenomenon under investigation.</w:t>
      </w:r>
    </w:p>
    <w:p w14:paraId="518067D2" w14:textId="77777777" w:rsidR="003D1DD8" w:rsidRPr="00C459AE" w:rsidRDefault="002E70B4" w:rsidP="00893FB2">
      <w:pPr>
        <w:pStyle w:val="Heading1"/>
        <w:jc w:val="center"/>
        <w:rPr>
          <w:rFonts w:ascii="Arial" w:eastAsia="Times New Roman" w:hAnsi="Arial" w:cs="Arial"/>
          <w:color w:val="auto"/>
          <w:sz w:val="22"/>
          <w:szCs w:val="22"/>
        </w:rPr>
      </w:pPr>
      <w:r w:rsidRPr="00C459AE">
        <w:rPr>
          <w:rFonts w:ascii="Arial" w:eastAsia="Times New Roman" w:hAnsi="Arial" w:cs="Arial"/>
          <w:color w:val="auto"/>
          <w:sz w:val="22"/>
          <w:szCs w:val="22"/>
        </w:rPr>
        <w:t>RESULTS</w:t>
      </w:r>
    </w:p>
    <w:p w14:paraId="518067D3" w14:textId="77777777" w:rsidR="003D1DD8" w:rsidRPr="00C459AE" w:rsidRDefault="003D1DD8" w:rsidP="002E70B4">
      <w:pPr>
        <w:spacing w:before="100" w:beforeAutospacing="1" w:after="100" w:afterAutospacing="1" w:line="240" w:lineRule="auto"/>
        <w:outlineLvl w:val="2"/>
        <w:rPr>
          <w:rFonts w:ascii="Arial" w:eastAsia="Times New Roman" w:hAnsi="Arial" w:cs="Arial"/>
          <w:b/>
          <w:bCs/>
        </w:rPr>
      </w:pPr>
      <w:r w:rsidRPr="00C459AE">
        <w:rPr>
          <w:rFonts w:ascii="Arial" w:eastAsia="Times New Roman" w:hAnsi="Arial" w:cs="Arial"/>
          <w:b/>
          <w:bCs/>
        </w:rPr>
        <w:t>Overview</w:t>
      </w:r>
    </w:p>
    <w:p w14:paraId="518067D4" w14:textId="77777777"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This section presents the findings from both the quantitative and qualitative phases of the study. The results are organized according to the research questions:</w:t>
      </w:r>
    </w:p>
    <w:p w14:paraId="518067D5" w14:textId="77777777" w:rsidR="003D1DD8" w:rsidRPr="00C459AE" w:rsidRDefault="003D1DD8" w:rsidP="0062477B">
      <w:pPr>
        <w:numPr>
          <w:ilvl w:val="0"/>
          <w:numId w:val="16"/>
        </w:num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The relationship between GRIT and academic achievement</w:t>
      </w:r>
    </w:p>
    <w:p w14:paraId="518067D6" w14:textId="77777777" w:rsidR="003D1DD8" w:rsidRPr="00C459AE" w:rsidRDefault="003D1DD8" w:rsidP="0062477B">
      <w:pPr>
        <w:numPr>
          <w:ilvl w:val="0"/>
          <w:numId w:val="16"/>
        </w:num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Gender differences in GRIT</w:t>
      </w:r>
    </w:p>
    <w:p w14:paraId="518067D7" w14:textId="77777777" w:rsidR="003D1DD8" w:rsidRPr="00C459AE" w:rsidRDefault="003D1DD8" w:rsidP="0062477B">
      <w:pPr>
        <w:numPr>
          <w:ilvl w:val="0"/>
          <w:numId w:val="16"/>
        </w:num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Qualitative insights into GRIT-related motivation and resilience</w:t>
      </w:r>
    </w:p>
    <w:p w14:paraId="518067D8" w14:textId="77777777"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All statistical analyses were conducted using SPSS Version 25, and qualitative data were analyzed using Braun and Clarke (2006) thematic framework.</w:t>
      </w:r>
    </w:p>
    <w:p w14:paraId="518067D9" w14:textId="77777777" w:rsidR="003D1DD8" w:rsidRPr="00C459AE" w:rsidRDefault="00F2072E" w:rsidP="0062477B">
      <w:pPr>
        <w:spacing w:before="100" w:beforeAutospacing="1" w:after="100" w:afterAutospacing="1" w:line="240" w:lineRule="auto"/>
        <w:outlineLvl w:val="2"/>
        <w:rPr>
          <w:rFonts w:ascii="Arial" w:eastAsia="Times New Roman" w:hAnsi="Arial" w:cs="Arial"/>
          <w:b/>
          <w:bCs/>
        </w:rPr>
      </w:pPr>
      <w:r w:rsidRPr="00C459AE">
        <w:rPr>
          <w:rFonts w:ascii="Arial" w:eastAsia="Times New Roman" w:hAnsi="Arial" w:cs="Arial"/>
          <w:b/>
          <w:bCs/>
        </w:rPr>
        <w:t xml:space="preserve">Table 1: </w:t>
      </w:r>
      <w:r w:rsidR="003D1DD8" w:rsidRPr="00C459AE">
        <w:rPr>
          <w:rFonts w:ascii="Arial" w:eastAsia="Times New Roman" w:hAnsi="Arial" w:cs="Arial"/>
          <w:b/>
          <w:bCs/>
        </w:rPr>
        <w:t>Descriptive Statistics for GRIT</w:t>
      </w:r>
    </w:p>
    <w:p w14:paraId="518067DA" w14:textId="77777777"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 xml:space="preserve">The GRIT scores were derived from the adapted GRIT-O scale, which included 12 items across two subscales: perseverance of effort and consistency of interest. The mean GRIT score for the </w:t>
      </w:r>
      <w:r w:rsidRPr="00C459AE">
        <w:rPr>
          <w:rFonts w:ascii="Arial" w:eastAsia="Times New Roman" w:hAnsi="Arial" w:cs="Arial"/>
        </w:rPr>
        <w:lastRenderedPageBreak/>
        <w:t xml:space="preserve">entire sample (N = 258) was </w:t>
      </w:r>
      <w:r w:rsidRPr="00C459AE">
        <w:rPr>
          <w:rFonts w:ascii="Arial" w:eastAsia="Times New Roman" w:hAnsi="Arial" w:cs="Arial"/>
          <w:bCs/>
        </w:rPr>
        <w:t>M = 3.52</w:t>
      </w:r>
      <w:r w:rsidRPr="00C459AE">
        <w:rPr>
          <w:rFonts w:ascii="Arial" w:eastAsia="Times New Roman" w:hAnsi="Arial" w:cs="Arial"/>
        </w:rPr>
        <w:t xml:space="preserve">, </w:t>
      </w:r>
      <w:r w:rsidRPr="00C459AE">
        <w:rPr>
          <w:rFonts w:ascii="Arial" w:eastAsia="Times New Roman" w:hAnsi="Arial" w:cs="Arial"/>
          <w:bCs/>
        </w:rPr>
        <w:t>SD = 6.74</w:t>
      </w:r>
      <w:r w:rsidRPr="00C459AE">
        <w:rPr>
          <w:rFonts w:ascii="Arial" w:eastAsia="Times New Roman" w:hAnsi="Arial" w:cs="Arial"/>
        </w:rPr>
        <w:t>, indicating a moderate level of GRIT among Form Three students in Kiambu County.</w:t>
      </w:r>
    </w:p>
    <w:tbl>
      <w:tblPr>
        <w:tblStyle w:val="TableGrid"/>
        <w:tblW w:w="0" w:type="auto"/>
        <w:tblLook w:val="04A0" w:firstRow="1" w:lastRow="0" w:firstColumn="1" w:lastColumn="0" w:noHBand="0" w:noVBand="1"/>
      </w:tblPr>
      <w:tblGrid>
        <w:gridCol w:w="9576"/>
      </w:tblGrid>
      <w:tr w:rsidR="00DF24B4" w14:paraId="4E323BAD" w14:textId="77777777">
        <w:tc>
          <w:tcPr>
            <w:tcW w:w="9576" w:type="dxa"/>
          </w:tcPr>
          <w:tbl>
            <w:tblPr>
              <w:tblStyle w:val="TableGrid"/>
              <w:tblW w:w="5000" w:type="pct"/>
              <w:tblLook w:val="01E0" w:firstRow="1" w:lastRow="1" w:firstColumn="1" w:lastColumn="1" w:noHBand="0" w:noVBand="0"/>
            </w:tblPr>
            <w:tblGrid>
              <w:gridCol w:w="5604"/>
              <w:gridCol w:w="1100"/>
              <w:gridCol w:w="2646"/>
            </w:tblGrid>
            <w:tr w:rsidR="00DF24B4" w:rsidRPr="00DF24B4" w14:paraId="0EE0DCE1" w14:textId="77777777" w:rsidTr="003D791E">
              <w:tc>
                <w:tcPr>
                  <w:tcW w:w="2930" w:type="pct"/>
                  <w:hideMark/>
                </w:tcPr>
                <w:p w14:paraId="16F0A906" w14:textId="77777777" w:rsidR="00DF24B4" w:rsidRPr="00DF24B4" w:rsidRDefault="00DF24B4" w:rsidP="00432002">
                  <w:pPr>
                    <w:spacing w:line="480" w:lineRule="auto"/>
                    <w:rPr>
                      <w:rFonts w:ascii="Arial" w:eastAsia="Times New Roman" w:hAnsi="Arial" w:cs="Arial"/>
                      <w:b/>
                      <w:bCs/>
                    </w:rPr>
                  </w:pPr>
                  <w:r w:rsidRPr="00DF24B4">
                    <w:rPr>
                      <w:rFonts w:ascii="Arial" w:eastAsia="Times New Roman" w:hAnsi="Arial" w:cs="Arial"/>
                      <w:b/>
                      <w:bCs/>
                    </w:rPr>
                    <w:t>GRIT Item</w:t>
                  </w:r>
                </w:p>
              </w:tc>
              <w:tc>
                <w:tcPr>
                  <w:tcW w:w="575" w:type="pct"/>
                  <w:hideMark/>
                </w:tcPr>
                <w:p w14:paraId="299102B4" w14:textId="77777777" w:rsidR="00DF24B4" w:rsidRPr="00DF24B4" w:rsidRDefault="00DF24B4" w:rsidP="00432002">
                  <w:pPr>
                    <w:spacing w:line="480" w:lineRule="auto"/>
                    <w:rPr>
                      <w:rFonts w:ascii="Arial" w:eastAsia="Times New Roman" w:hAnsi="Arial" w:cs="Arial"/>
                      <w:b/>
                      <w:bCs/>
                    </w:rPr>
                  </w:pPr>
                  <w:r w:rsidRPr="00DF24B4">
                    <w:rPr>
                      <w:rFonts w:ascii="Arial" w:eastAsia="Times New Roman" w:hAnsi="Arial" w:cs="Arial"/>
                      <w:b/>
                      <w:bCs/>
                    </w:rPr>
                    <w:t>Mean</w:t>
                  </w:r>
                </w:p>
              </w:tc>
              <w:tc>
                <w:tcPr>
                  <w:tcW w:w="1383" w:type="pct"/>
                  <w:hideMark/>
                </w:tcPr>
                <w:p w14:paraId="3B217DB8" w14:textId="77777777" w:rsidR="00DF24B4" w:rsidRPr="00DF24B4" w:rsidRDefault="00DF24B4" w:rsidP="00432002">
                  <w:pPr>
                    <w:spacing w:line="480" w:lineRule="auto"/>
                    <w:rPr>
                      <w:rFonts w:ascii="Arial" w:eastAsia="Times New Roman" w:hAnsi="Arial" w:cs="Arial"/>
                      <w:b/>
                      <w:bCs/>
                    </w:rPr>
                  </w:pPr>
                  <w:r w:rsidRPr="00DF24B4">
                    <w:rPr>
                      <w:rFonts w:ascii="Arial" w:eastAsia="Times New Roman" w:hAnsi="Arial" w:cs="Arial"/>
                      <w:b/>
                      <w:bCs/>
                    </w:rPr>
                    <w:t>Std. Deviation</w:t>
                  </w:r>
                </w:p>
              </w:tc>
            </w:tr>
            <w:tr w:rsidR="00DF24B4" w:rsidRPr="00DF24B4" w14:paraId="2D8CEEFE" w14:textId="77777777" w:rsidTr="003D791E">
              <w:tc>
                <w:tcPr>
                  <w:tcW w:w="2930" w:type="pct"/>
                  <w:hideMark/>
                </w:tcPr>
                <w:p w14:paraId="63865FD4"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I am diligent</w:t>
                  </w:r>
                </w:p>
              </w:tc>
              <w:tc>
                <w:tcPr>
                  <w:tcW w:w="575" w:type="pct"/>
                  <w:hideMark/>
                </w:tcPr>
                <w:p w14:paraId="35173BC8"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4.14</w:t>
                  </w:r>
                </w:p>
              </w:tc>
              <w:tc>
                <w:tcPr>
                  <w:tcW w:w="1383" w:type="pct"/>
                  <w:hideMark/>
                </w:tcPr>
                <w:p w14:paraId="575D337C"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0.91</w:t>
                  </w:r>
                </w:p>
              </w:tc>
            </w:tr>
            <w:tr w:rsidR="00DF24B4" w:rsidRPr="00DF24B4" w14:paraId="1B69FC14" w14:textId="77777777" w:rsidTr="003D791E">
              <w:tc>
                <w:tcPr>
                  <w:tcW w:w="2930" w:type="pct"/>
                  <w:hideMark/>
                </w:tcPr>
                <w:p w14:paraId="12B9630A"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I work hard</w:t>
                  </w:r>
                </w:p>
              </w:tc>
              <w:tc>
                <w:tcPr>
                  <w:tcW w:w="575" w:type="pct"/>
                  <w:hideMark/>
                </w:tcPr>
                <w:p w14:paraId="6D192529"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4.20</w:t>
                  </w:r>
                </w:p>
              </w:tc>
              <w:tc>
                <w:tcPr>
                  <w:tcW w:w="1383" w:type="pct"/>
                  <w:hideMark/>
                </w:tcPr>
                <w:p w14:paraId="78B38E60"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0.88</w:t>
                  </w:r>
                </w:p>
              </w:tc>
            </w:tr>
            <w:tr w:rsidR="00DF24B4" w:rsidRPr="00DF24B4" w14:paraId="3DFDAAFD" w14:textId="77777777" w:rsidTr="003D791E">
              <w:tc>
                <w:tcPr>
                  <w:tcW w:w="2930" w:type="pct"/>
                  <w:hideMark/>
                </w:tcPr>
                <w:p w14:paraId="4BF840D7"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Failures do not deter me</w:t>
                  </w:r>
                </w:p>
              </w:tc>
              <w:tc>
                <w:tcPr>
                  <w:tcW w:w="575" w:type="pct"/>
                  <w:hideMark/>
                </w:tcPr>
                <w:p w14:paraId="0DDC4D14"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3.58</w:t>
                  </w:r>
                </w:p>
              </w:tc>
              <w:tc>
                <w:tcPr>
                  <w:tcW w:w="1383" w:type="pct"/>
                  <w:hideMark/>
                </w:tcPr>
                <w:p w14:paraId="5785AAFE"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1.02</w:t>
                  </w:r>
                </w:p>
              </w:tc>
            </w:tr>
            <w:tr w:rsidR="00DF24B4" w:rsidRPr="00DF24B4" w14:paraId="3360DED7" w14:textId="77777777" w:rsidTr="003D791E">
              <w:tc>
                <w:tcPr>
                  <w:tcW w:w="2930" w:type="pct"/>
                  <w:hideMark/>
                </w:tcPr>
                <w:p w14:paraId="47958826"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I finish whatever I begin</w:t>
                  </w:r>
                </w:p>
              </w:tc>
              <w:tc>
                <w:tcPr>
                  <w:tcW w:w="575" w:type="pct"/>
                  <w:hideMark/>
                </w:tcPr>
                <w:p w14:paraId="4E94E448"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3.47</w:t>
                  </w:r>
                </w:p>
              </w:tc>
              <w:tc>
                <w:tcPr>
                  <w:tcW w:w="1383" w:type="pct"/>
                  <w:hideMark/>
                </w:tcPr>
                <w:p w14:paraId="41068D20"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1.11</w:t>
                  </w:r>
                </w:p>
              </w:tc>
            </w:tr>
            <w:tr w:rsidR="00DF24B4" w:rsidRPr="00DF24B4" w14:paraId="5F7003B2" w14:textId="77777777" w:rsidTr="003D791E">
              <w:tc>
                <w:tcPr>
                  <w:tcW w:w="2930" w:type="pct"/>
                  <w:hideMark/>
                </w:tcPr>
                <w:p w14:paraId="2651AC42"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I am focused on long-term goals</w:t>
                  </w:r>
                </w:p>
              </w:tc>
              <w:tc>
                <w:tcPr>
                  <w:tcW w:w="575" w:type="pct"/>
                  <w:hideMark/>
                </w:tcPr>
                <w:p w14:paraId="264A24C3"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3.42</w:t>
                  </w:r>
                </w:p>
              </w:tc>
              <w:tc>
                <w:tcPr>
                  <w:tcW w:w="1383" w:type="pct"/>
                  <w:hideMark/>
                </w:tcPr>
                <w:p w14:paraId="05711CF1"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1.09</w:t>
                  </w:r>
                </w:p>
              </w:tc>
            </w:tr>
            <w:tr w:rsidR="00DF24B4" w:rsidRPr="00DF24B4" w14:paraId="33DA9241" w14:textId="77777777" w:rsidTr="003D791E">
              <w:tc>
                <w:tcPr>
                  <w:tcW w:w="2930" w:type="pct"/>
                  <w:hideMark/>
                </w:tcPr>
                <w:p w14:paraId="674A9BB4"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I overcome setbacks</w:t>
                  </w:r>
                </w:p>
              </w:tc>
              <w:tc>
                <w:tcPr>
                  <w:tcW w:w="575" w:type="pct"/>
                  <w:hideMark/>
                </w:tcPr>
                <w:p w14:paraId="344432A4"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3.56</w:t>
                  </w:r>
                </w:p>
              </w:tc>
              <w:tc>
                <w:tcPr>
                  <w:tcW w:w="1383" w:type="pct"/>
                  <w:hideMark/>
                </w:tcPr>
                <w:p w14:paraId="375786C9" w14:textId="77777777" w:rsidR="00DF24B4" w:rsidRPr="00DF24B4" w:rsidRDefault="00DF24B4" w:rsidP="00432002">
                  <w:pPr>
                    <w:spacing w:line="480" w:lineRule="auto"/>
                    <w:rPr>
                      <w:rFonts w:ascii="Arial" w:eastAsia="Times New Roman" w:hAnsi="Arial" w:cs="Arial"/>
                    </w:rPr>
                  </w:pPr>
                  <w:r w:rsidRPr="00DF24B4">
                    <w:rPr>
                      <w:rFonts w:ascii="Arial" w:eastAsia="Times New Roman" w:hAnsi="Arial" w:cs="Arial"/>
                    </w:rPr>
                    <w:t>1.05</w:t>
                  </w:r>
                </w:p>
              </w:tc>
            </w:tr>
          </w:tbl>
          <w:p w14:paraId="63299B28" w14:textId="77777777" w:rsidR="00DF24B4" w:rsidRDefault="00DF24B4"/>
        </w:tc>
      </w:tr>
    </w:tbl>
    <w:p w14:paraId="518067F7" w14:textId="77777777"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These results suggest that students generally perceive themselves as hardworking and resilient, though consistency of interest scores were slightly lower than perseverance scores.</w:t>
      </w:r>
    </w:p>
    <w:p w14:paraId="518067F8" w14:textId="77777777" w:rsidR="003D1DD8" w:rsidRPr="00C459AE" w:rsidRDefault="003D1DD8" w:rsidP="002E70B4">
      <w:pPr>
        <w:spacing w:before="100" w:beforeAutospacing="1" w:after="100" w:afterAutospacing="1" w:line="240" w:lineRule="auto"/>
        <w:outlineLvl w:val="2"/>
        <w:rPr>
          <w:rFonts w:ascii="Arial" w:eastAsia="Times New Roman" w:hAnsi="Arial" w:cs="Arial"/>
          <w:b/>
          <w:bCs/>
        </w:rPr>
      </w:pPr>
      <w:r w:rsidRPr="00C459AE">
        <w:rPr>
          <w:rFonts w:ascii="Arial" w:eastAsia="Times New Roman" w:hAnsi="Arial" w:cs="Arial"/>
          <w:b/>
          <w:bCs/>
        </w:rPr>
        <w:t>Diagnostic Tests for GRIT</w:t>
      </w:r>
    </w:p>
    <w:p w14:paraId="518067F9" w14:textId="77777777"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To ensure the validity of inferential analysis, several diagnostic tests were conducted:</w:t>
      </w:r>
    </w:p>
    <w:p w14:paraId="518067FA" w14:textId="77777777" w:rsidR="003D1DD8" w:rsidRPr="00C459AE" w:rsidRDefault="003D1DD8" w:rsidP="0062477B">
      <w:pPr>
        <w:numPr>
          <w:ilvl w:val="0"/>
          <w:numId w:val="19"/>
        </w:num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bCs/>
        </w:rPr>
        <w:t>Multicollinearity</w:t>
      </w:r>
      <w:r w:rsidRPr="00C459AE">
        <w:rPr>
          <w:rFonts w:ascii="Arial" w:eastAsia="Times New Roman" w:hAnsi="Arial" w:cs="Arial"/>
        </w:rPr>
        <w:t>: Tolerance values &gt; 0.2 and VIF &lt; 5 indicated no multicollinearity.</w:t>
      </w:r>
    </w:p>
    <w:p w14:paraId="518067FB" w14:textId="77777777" w:rsidR="003D1DD8" w:rsidRPr="00C459AE" w:rsidRDefault="003D1DD8" w:rsidP="0062477B">
      <w:pPr>
        <w:numPr>
          <w:ilvl w:val="0"/>
          <w:numId w:val="19"/>
        </w:num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bCs/>
        </w:rPr>
        <w:t>Normality</w:t>
      </w:r>
      <w:r w:rsidRPr="00C459AE">
        <w:rPr>
          <w:rFonts w:ascii="Arial" w:eastAsia="Times New Roman" w:hAnsi="Arial" w:cs="Arial"/>
        </w:rPr>
        <w:t>: Shapiro-Wilk test yielded p &gt; 0.05 for GRIT scores, confirming normal distribution.</w:t>
      </w:r>
    </w:p>
    <w:p w14:paraId="518067FC" w14:textId="77777777" w:rsidR="003D1DD8" w:rsidRPr="00C459AE" w:rsidRDefault="003D1DD8" w:rsidP="0062477B">
      <w:pPr>
        <w:numPr>
          <w:ilvl w:val="0"/>
          <w:numId w:val="19"/>
        </w:num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bCs/>
        </w:rPr>
        <w:t>Linearity</w:t>
      </w:r>
      <w:r w:rsidRPr="00C459AE">
        <w:rPr>
          <w:rFonts w:ascii="Arial" w:eastAsia="Times New Roman" w:hAnsi="Arial" w:cs="Arial"/>
        </w:rPr>
        <w:t>: Scatterplots showed a linear relationship between GRIT and academic achievement.</w:t>
      </w:r>
    </w:p>
    <w:p w14:paraId="518067FD" w14:textId="77777777" w:rsidR="003D1DD8" w:rsidRPr="00C459AE" w:rsidRDefault="003D1DD8" w:rsidP="0062477B">
      <w:pPr>
        <w:numPr>
          <w:ilvl w:val="0"/>
          <w:numId w:val="19"/>
        </w:num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bCs/>
        </w:rPr>
        <w:t>Homogeneity of Variance</w:t>
      </w:r>
      <w:r w:rsidRPr="00C459AE">
        <w:rPr>
          <w:rFonts w:ascii="Arial" w:eastAsia="Times New Roman" w:hAnsi="Arial" w:cs="Arial"/>
        </w:rPr>
        <w:t>: Levene’s test confirmed equal variances across gender groups (p = 0.33).</w:t>
      </w:r>
    </w:p>
    <w:p w14:paraId="518067FE" w14:textId="77777777" w:rsidR="003D1DD8" w:rsidRPr="00C459AE" w:rsidRDefault="00F2072E" w:rsidP="00B33811">
      <w:pPr>
        <w:spacing w:before="100" w:beforeAutospacing="1" w:after="100" w:afterAutospacing="1" w:line="240" w:lineRule="auto"/>
        <w:outlineLvl w:val="2"/>
        <w:rPr>
          <w:rFonts w:ascii="Arial" w:eastAsia="Times New Roman" w:hAnsi="Arial" w:cs="Arial"/>
          <w:b/>
          <w:bCs/>
        </w:rPr>
      </w:pPr>
      <w:r w:rsidRPr="00C459AE">
        <w:rPr>
          <w:rFonts w:ascii="Arial" w:eastAsia="Times New Roman" w:hAnsi="Arial" w:cs="Arial"/>
          <w:b/>
          <w:bCs/>
        </w:rPr>
        <w:t xml:space="preserve">Table 2: </w:t>
      </w:r>
      <w:r w:rsidR="003D1DD8" w:rsidRPr="00C459AE">
        <w:rPr>
          <w:rFonts w:ascii="Arial" w:eastAsia="Times New Roman" w:hAnsi="Arial" w:cs="Arial"/>
          <w:b/>
          <w:bCs/>
        </w:rPr>
        <w:t>Correlation Between GRIT and Academic Achievement</w:t>
      </w:r>
    </w:p>
    <w:p w14:paraId="518067FF" w14:textId="77777777"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 xml:space="preserve">Pearson’s correlation analysis revealed a </w:t>
      </w:r>
      <w:r w:rsidRPr="00C459AE">
        <w:rPr>
          <w:rFonts w:ascii="Arial" w:eastAsia="Times New Roman" w:hAnsi="Arial" w:cs="Arial"/>
          <w:bCs/>
        </w:rPr>
        <w:t>strong positive relationship</w:t>
      </w:r>
      <w:r w:rsidRPr="00C459AE">
        <w:rPr>
          <w:rFonts w:ascii="Arial" w:eastAsia="Times New Roman" w:hAnsi="Arial" w:cs="Arial"/>
        </w:rPr>
        <w:t xml:space="preserve"> between GRIT and academic achievement.</w:t>
      </w:r>
    </w:p>
    <w:tbl>
      <w:tblPr>
        <w:tblStyle w:val="TableGrid"/>
        <w:tblW w:w="0" w:type="auto"/>
        <w:tblLook w:val="04A0" w:firstRow="1" w:lastRow="0" w:firstColumn="1" w:lastColumn="0" w:noHBand="0" w:noVBand="1"/>
      </w:tblPr>
      <w:tblGrid>
        <w:gridCol w:w="9576"/>
      </w:tblGrid>
      <w:tr w:rsidR="006A4ED4" w14:paraId="27EE92D7" w14:textId="77777777">
        <w:tc>
          <w:tcPr>
            <w:tcW w:w="9576" w:type="dxa"/>
          </w:tcPr>
          <w:tbl>
            <w:tblPr>
              <w:tblStyle w:val="TableGrid"/>
              <w:tblW w:w="5000" w:type="pct"/>
              <w:tblLook w:val="04A0" w:firstRow="1" w:lastRow="0" w:firstColumn="1" w:lastColumn="0" w:noHBand="0" w:noVBand="1"/>
            </w:tblPr>
            <w:tblGrid>
              <w:gridCol w:w="3877"/>
              <w:gridCol w:w="2945"/>
              <w:gridCol w:w="1944"/>
              <w:gridCol w:w="584"/>
            </w:tblGrid>
            <w:tr w:rsidR="006A4ED4" w:rsidRPr="006A4ED4" w14:paraId="72289EC1" w14:textId="77777777" w:rsidTr="00D92DCB">
              <w:tc>
                <w:tcPr>
                  <w:tcW w:w="2053" w:type="pct"/>
                  <w:hideMark/>
                </w:tcPr>
                <w:p w14:paraId="68F6BB58" w14:textId="77777777" w:rsidR="006A4ED4" w:rsidRPr="006A4ED4" w:rsidRDefault="006A4ED4" w:rsidP="00120BFC">
                  <w:pPr>
                    <w:spacing w:line="480" w:lineRule="auto"/>
                    <w:jc w:val="center"/>
                    <w:rPr>
                      <w:rFonts w:ascii="Arial" w:eastAsia="Times New Roman" w:hAnsi="Arial" w:cs="Arial"/>
                      <w:b/>
                      <w:bCs/>
                    </w:rPr>
                  </w:pPr>
                  <w:r w:rsidRPr="006A4ED4">
                    <w:rPr>
                      <w:rFonts w:ascii="Arial" w:eastAsia="Times New Roman" w:hAnsi="Arial" w:cs="Arial"/>
                      <w:b/>
                      <w:bCs/>
                    </w:rPr>
                    <w:lastRenderedPageBreak/>
                    <w:t>Variable</w:t>
                  </w:r>
                </w:p>
              </w:tc>
              <w:tc>
                <w:tcPr>
                  <w:tcW w:w="1563" w:type="pct"/>
                  <w:hideMark/>
                </w:tcPr>
                <w:p w14:paraId="5C7E04EF" w14:textId="77777777" w:rsidR="006A4ED4" w:rsidRPr="006A4ED4" w:rsidRDefault="006A4ED4" w:rsidP="00120BFC">
                  <w:pPr>
                    <w:spacing w:line="480" w:lineRule="auto"/>
                    <w:jc w:val="center"/>
                    <w:rPr>
                      <w:rFonts w:ascii="Arial" w:eastAsia="Times New Roman" w:hAnsi="Arial" w:cs="Arial"/>
                      <w:b/>
                      <w:bCs/>
                    </w:rPr>
                  </w:pPr>
                  <w:r w:rsidRPr="006A4ED4">
                    <w:rPr>
                      <w:rFonts w:ascii="Arial" w:eastAsia="Times New Roman" w:hAnsi="Arial" w:cs="Arial"/>
                      <w:b/>
                      <w:bCs/>
                    </w:rPr>
                    <w:t>Pearson Correlation (r)</w:t>
                  </w:r>
                </w:p>
              </w:tc>
              <w:tc>
                <w:tcPr>
                  <w:tcW w:w="1039" w:type="pct"/>
                  <w:hideMark/>
                </w:tcPr>
                <w:p w14:paraId="69903DE8" w14:textId="77777777" w:rsidR="006A4ED4" w:rsidRPr="006A4ED4" w:rsidRDefault="006A4ED4" w:rsidP="00120BFC">
                  <w:pPr>
                    <w:spacing w:line="480" w:lineRule="auto"/>
                    <w:jc w:val="center"/>
                    <w:rPr>
                      <w:rFonts w:ascii="Arial" w:eastAsia="Times New Roman" w:hAnsi="Arial" w:cs="Arial"/>
                      <w:b/>
                      <w:bCs/>
                    </w:rPr>
                  </w:pPr>
                  <w:r w:rsidRPr="006A4ED4">
                    <w:rPr>
                      <w:rFonts w:ascii="Arial" w:eastAsia="Times New Roman" w:hAnsi="Arial" w:cs="Arial"/>
                      <w:b/>
                      <w:bCs/>
                    </w:rPr>
                    <w:t>Significance (p)</w:t>
                  </w:r>
                </w:p>
              </w:tc>
              <w:tc>
                <w:tcPr>
                  <w:tcW w:w="249" w:type="pct"/>
                  <w:hideMark/>
                </w:tcPr>
                <w:p w14:paraId="5DA3DB80" w14:textId="77777777" w:rsidR="006A4ED4" w:rsidRPr="006A4ED4" w:rsidRDefault="006A4ED4" w:rsidP="00120BFC">
                  <w:pPr>
                    <w:spacing w:line="480" w:lineRule="auto"/>
                    <w:jc w:val="center"/>
                    <w:rPr>
                      <w:rFonts w:ascii="Arial" w:eastAsia="Times New Roman" w:hAnsi="Arial" w:cs="Arial"/>
                      <w:b/>
                      <w:bCs/>
                    </w:rPr>
                  </w:pPr>
                  <w:r w:rsidRPr="006A4ED4">
                    <w:rPr>
                      <w:rFonts w:ascii="Arial" w:eastAsia="Times New Roman" w:hAnsi="Arial" w:cs="Arial"/>
                      <w:b/>
                      <w:bCs/>
                    </w:rPr>
                    <w:t>N</w:t>
                  </w:r>
                </w:p>
              </w:tc>
            </w:tr>
            <w:tr w:rsidR="006A4ED4" w:rsidRPr="006A4ED4" w14:paraId="530E247D" w14:textId="77777777" w:rsidTr="00D92DCB">
              <w:tc>
                <w:tcPr>
                  <w:tcW w:w="2053" w:type="pct"/>
                  <w:hideMark/>
                </w:tcPr>
                <w:p w14:paraId="1B5F497A" w14:textId="77777777" w:rsidR="006A4ED4" w:rsidRPr="006A4ED4" w:rsidRDefault="006A4ED4" w:rsidP="00120BFC">
                  <w:pPr>
                    <w:spacing w:line="480" w:lineRule="auto"/>
                    <w:rPr>
                      <w:rFonts w:ascii="Arial" w:eastAsia="Times New Roman" w:hAnsi="Arial" w:cs="Arial"/>
                    </w:rPr>
                  </w:pPr>
                  <w:r w:rsidRPr="006A4ED4">
                    <w:rPr>
                      <w:rFonts w:ascii="Arial" w:eastAsia="Times New Roman" w:hAnsi="Arial" w:cs="Arial"/>
                    </w:rPr>
                    <w:t>GRIT &amp; Academic Achievement</w:t>
                  </w:r>
                </w:p>
              </w:tc>
              <w:tc>
                <w:tcPr>
                  <w:tcW w:w="1563" w:type="pct"/>
                  <w:hideMark/>
                </w:tcPr>
                <w:p w14:paraId="31928E6F" w14:textId="77777777" w:rsidR="006A4ED4" w:rsidRPr="006A4ED4" w:rsidRDefault="006A4ED4" w:rsidP="00120BFC">
                  <w:pPr>
                    <w:spacing w:line="480" w:lineRule="auto"/>
                    <w:rPr>
                      <w:rFonts w:ascii="Arial" w:eastAsia="Times New Roman" w:hAnsi="Arial" w:cs="Arial"/>
                    </w:rPr>
                  </w:pPr>
                  <w:r w:rsidRPr="006A4ED4">
                    <w:rPr>
                      <w:rFonts w:ascii="Arial" w:eastAsia="Times New Roman" w:hAnsi="Arial" w:cs="Arial"/>
                    </w:rPr>
                    <w:t>0.64**</w:t>
                  </w:r>
                </w:p>
              </w:tc>
              <w:tc>
                <w:tcPr>
                  <w:tcW w:w="1039" w:type="pct"/>
                  <w:hideMark/>
                </w:tcPr>
                <w:p w14:paraId="5E6F0C3E" w14:textId="77777777" w:rsidR="006A4ED4" w:rsidRPr="006A4ED4" w:rsidRDefault="006A4ED4" w:rsidP="00120BFC">
                  <w:pPr>
                    <w:spacing w:line="480" w:lineRule="auto"/>
                    <w:rPr>
                      <w:rFonts w:ascii="Arial" w:eastAsia="Times New Roman" w:hAnsi="Arial" w:cs="Arial"/>
                    </w:rPr>
                  </w:pPr>
                  <w:r w:rsidRPr="006A4ED4">
                    <w:rPr>
                      <w:rFonts w:ascii="Arial" w:eastAsia="Times New Roman" w:hAnsi="Arial" w:cs="Arial"/>
                    </w:rPr>
                    <w:t>0.00</w:t>
                  </w:r>
                </w:p>
              </w:tc>
              <w:tc>
                <w:tcPr>
                  <w:tcW w:w="249" w:type="pct"/>
                  <w:hideMark/>
                </w:tcPr>
                <w:p w14:paraId="65359125" w14:textId="77777777" w:rsidR="006A4ED4" w:rsidRPr="006A4ED4" w:rsidRDefault="006A4ED4" w:rsidP="00120BFC">
                  <w:pPr>
                    <w:spacing w:line="480" w:lineRule="auto"/>
                    <w:rPr>
                      <w:rFonts w:ascii="Arial" w:eastAsia="Times New Roman" w:hAnsi="Arial" w:cs="Arial"/>
                    </w:rPr>
                  </w:pPr>
                  <w:r w:rsidRPr="006A4ED4">
                    <w:rPr>
                      <w:rFonts w:ascii="Arial" w:eastAsia="Times New Roman" w:hAnsi="Arial" w:cs="Arial"/>
                    </w:rPr>
                    <w:t>258</w:t>
                  </w:r>
                </w:p>
              </w:tc>
            </w:tr>
          </w:tbl>
          <w:p w14:paraId="609AA666" w14:textId="77777777" w:rsidR="006A4ED4" w:rsidRDefault="006A4ED4"/>
        </w:tc>
      </w:tr>
    </w:tbl>
    <w:p w14:paraId="5180680A" w14:textId="77777777" w:rsidR="003D1DD8" w:rsidRPr="00C459AE" w:rsidRDefault="003D1DD8" w:rsidP="003D1DD8">
      <w:pPr>
        <w:spacing w:before="100" w:beforeAutospacing="1" w:after="100" w:afterAutospacing="1" w:line="480" w:lineRule="auto"/>
        <w:rPr>
          <w:rFonts w:ascii="Arial" w:eastAsia="Times New Roman" w:hAnsi="Arial" w:cs="Arial"/>
        </w:rPr>
      </w:pPr>
      <w:r w:rsidRPr="00C459AE">
        <w:rPr>
          <w:rFonts w:ascii="Arial" w:eastAsia="Times New Roman" w:hAnsi="Arial" w:cs="Arial"/>
          <w:bCs/>
        </w:rPr>
        <w:t>Note</w:t>
      </w:r>
      <w:r w:rsidRPr="00C459AE">
        <w:rPr>
          <w:rFonts w:ascii="Arial" w:eastAsia="Times New Roman" w:hAnsi="Arial" w:cs="Arial"/>
        </w:rPr>
        <w:t xml:space="preserve">: </w:t>
      </w:r>
      <w:r w:rsidRPr="00C459AE">
        <w:rPr>
          <w:rFonts w:ascii="Arial" w:eastAsia="Times New Roman" w:hAnsi="Arial" w:cs="Arial"/>
          <w:bCs/>
        </w:rPr>
        <w:t>p &lt; 0.01 indicates statistical significance</w:t>
      </w:r>
    </w:p>
    <w:p w14:paraId="5180680B" w14:textId="77777777"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This result supports the hypothesis that GRIT significantly predicts academic achievement. Students with higher GRIT scores tend to perform better academically, consistent with findings by Duckworth et al. (2007) and Lam and Zhou (2019).</w:t>
      </w:r>
    </w:p>
    <w:p w14:paraId="5180680C" w14:textId="3C96AFD4" w:rsidR="003D1DD8" w:rsidRPr="00C459AE" w:rsidRDefault="00FB6A6D" w:rsidP="00B33811">
      <w:pPr>
        <w:spacing w:before="100" w:beforeAutospacing="1" w:after="100" w:afterAutospacing="1" w:line="240" w:lineRule="auto"/>
        <w:outlineLvl w:val="2"/>
        <w:rPr>
          <w:rFonts w:ascii="Arial" w:eastAsia="Times New Roman" w:hAnsi="Arial" w:cs="Arial"/>
          <w:b/>
          <w:bCs/>
        </w:rPr>
      </w:pPr>
      <w:r>
        <w:rPr>
          <w:rFonts w:ascii="Arial" w:eastAsia="Times New Roman" w:hAnsi="Arial" w:cs="Arial"/>
        </w:rPr>
        <w:t xml:space="preserve">TABLE </w:t>
      </w:r>
      <w:r w:rsidR="005D0AA9">
        <w:rPr>
          <w:rFonts w:ascii="Arial" w:eastAsia="Times New Roman" w:hAnsi="Arial" w:cs="Arial"/>
        </w:rPr>
        <w:t>3</w:t>
      </w:r>
      <w:r>
        <w:rPr>
          <w:rFonts w:ascii="Arial" w:eastAsia="Times New Roman" w:hAnsi="Arial" w:cs="Arial"/>
        </w:rPr>
        <w:t xml:space="preserve">. </w:t>
      </w:r>
      <w:r w:rsidR="003D1DD8" w:rsidRPr="00C459AE">
        <w:rPr>
          <w:rFonts w:ascii="Arial" w:eastAsia="Times New Roman" w:hAnsi="Arial" w:cs="Arial"/>
          <w:b/>
          <w:bCs/>
        </w:rPr>
        <w:t>Gender Differences in GRIT</w:t>
      </w:r>
    </w:p>
    <w:p w14:paraId="5180680D" w14:textId="5E42FC86"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Independent samples t-tests were conducted to assess gender differences in GRIT.</w:t>
      </w:r>
    </w:p>
    <w:tbl>
      <w:tblPr>
        <w:tblStyle w:val="TableGridLight"/>
        <w:tblW w:w="5000" w:type="pct"/>
        <w:tblLook w:val="05E0" w:firstRow="1" w:lastRow="1" w:firstColumn="1" w:lastColumn="1" w:noHBand="0" w:noVBand="1"/>
      </w:tblPr>
      <w:tblGrid>
        <w:gridCol w:w="1675"/>
        <w:gridCol w:w="811"/>
        <w:gridCol w:w="4003"/>
        <w:gridCol w:w="3087"/>
      </w:tblGrid>
      <w:tr w:rsidR="00893FB2" w:rsidRPr="00C459AE" w14:paraId="51806812" w14:textId="77777777" w:rsidTr="009C202D">
        <w:tc>
          <w:tcPr>
            <w:tcW w:w="846" w:type="pct"/>
            <w:hideMark/>
          </w:tcPr>
          <w:p w14:paraId="5180680E" w14:textId="77777777" w:rsidR="003D1DD8" w:rsidRPr="00C459AE" w:rsidRDefault="003D1DD8" w:rsidP="003D1DD8">
            <w:pPr>
              <w:spacing w:line="480" w:lineRule="auto"/>
              <w:jc w:val="center"/>
              <w:rPr>
                <w:rFonts w:ascii="Arial" w:eastAsia="Times New Roman" w:hAnsi="Arial" w:cs="Arial"/>
                <w:b/>
                <w:bCs/>
              </w:rPr>
            </w:pPr>
            <w:r w:rsidRPr="00C459AE">
              <w:rPr>
                <w:rFonts w:ascii="Arial" w:eastAsia="Times New Roman" w:hAnsi="Arial" w:cs="Arial"/>
                <w:b/>
                <w:bCs/>
              </w:rPr>
              <w:t>Gender</w:t>
            </w:r>
          </w:p>
        </w:tc>
        <w:tc>
          <w:tcPr>
            <w:tcW w:w="410" w:type="pct"/>
            <w:hideMark/>
          </w:tcPr>
          <w:p w14:paraId="5180680F" w14:textId="77777777" w:rsidR="003D1DD8" w:rsidRPr="00C459AE" w:rsidRDefault="003D1DD8" w:rsidP="003D1DD8">
            <w:pPr>
              <w:spacing w:line="480" w:lineRule="auto"/>
              <w:jc w:val="center"/>
              <w:rPr>
                <w:rFonts w:ascii="Arial" w:eastAsia="Times New Roman" w:hAnsi="Arial" w:cs="Arial"/>
                <w:b/>
                <w:bCs/>
              </w:rPr>
            </w:pPr>
            <w:r w:rsidRPr="00C459AE">
              <w:rPr>
                <w:rFonts w:ascii="Arial" w:eastAsia="Times New Roman" w:hAnsi="Arial" w:cs="Arial"/>
                <w:b/>
                <w:bCs/>
              </w:rPr>
              <w:t>N</w:t>
            </w:r>
          </w:p>
        </w:tc>
        <w:tc>
          <w:tcPr>
            <w:tcW w:w="2024" w:type="pct"/>
            <w:hideMark/>
          </w:tcPr>
          <w:p w14:paraId="51806810" w14:textId="77777777" w:rsidR="003D1DD8" w:rsidRPr="00C459AE" w:rsidRDefault="003D1DD8" w:rsidP="000E0790">
            <w:pPr>
              <w:spacing w:line="480" w:lineRule="auto"/>
              <w:rPr>
                <w:rFonts w:ascii="Arial" w:eastAsia="Times New Roman" w:hAnsi="Arial" w:cs="Arial"/>
                <w:b/>
                <w:bCs/>
              </w:rPr>
            </w:pPr>
            <w:r w:rsidRPr="00C459AE">
              <w:rPr>
                <w:rFonts w:ascii="Arial" w:eastAsia="Times New Roman" w:hAnsi="Arial" w:cs="Arial"/>
                <w:b/>
                <w:bCs/>
              </w:rPr>
              <w:t>Mean GRIT Score</w:t>
            </w:r>
          </w:p>
        </w:tc>
        <w:tc>
          <w:tcPr>
            <w:tcW w:w="1561" w:type="pct"/>
            <w:hideMark/>
          </w:tcPr>
          <w:p w14:paraId="51806811" w14:textId="77777777" w:rsidR="003D1DD8" w:rsidRPr="00C459AE" w:rsidRDefault="003D1DD8" w:rsidP="000E0790">
            <w:pPr>
              <w:spacing w:line="480" w:lineRule="auto"/>
              <w:rPr>
                <w:rFonts w:ascii="Arial" w:eastAsia="Times New Roman" w:hAnsi="Arial" w:cs="Arial"/>
                <w:b/>
                <w:bCs/>
              </w:rPr>
            </w:pPr>
            <w:r w:rsidRPr="00C459AE">
              <w:rPr>
                <w:rFonts w:ascii="Arial" w:eastAsia="Times New Roman" w:hAnsi="Arial" w:cs="Arial"/>
                <w:b/>
                <w:bCs/>
              </w:rPr>
              <w:t>Std. Deviation</w:t>
            </w:r>
          </w:p>
        </w:tc>
      </w:tr>
      <w:tr w:rsidR="00893FB2" w:rsidRPr="00C459AE" w14:paraId="51806817" w14:textId="77777777" w:rsidTr="009C202D">
        <w:tc>
          <w:tcPr>
            <w:tcW w:w="846" w:type="pct"/>
            <w:hideMark/>
          </w:tcPr>
          <w:p w14:paraId="51806813" w14:textId="77777777" w:rsidR="003D1DD8" w:rsidRPr="00C459AE" w:rsidRDefault="003D1DD8" w:rsidP="003D1DD8">
            <w:pPr>
              <w:spacing w:line="480" w:lineRule="auto"/>
              <w:rPr>
                <w:rFonts w:ascii="Arial" w:eastAsia="Times New Roman" w:hAnsi="Arial" w:cs="Arial"/>
              </w:rPr>
            </w:pPr>
            <w:r w:rsidRPr="00C459AE">
              <w:rPr>
                <w:rFonts w:ascii="Arial" w:eastAsia="Times New Roman" w:hAnsi="Arial" w:cs="Arial"/>
              </w:rPr>
              <w:t>Female</w:t>
            </w:r>
          </w:p>
        </w:tc>
        <w:tc>
          <w:tcPr>
            <w:tcW w:w="410" w:type="pct"/>
            <w:hideMark/>
          </w:tcPr>
          <w:p w14:paraId="51806814" w14:textId="77777777" w:rsidR="003D1DD8" w:rsidRPr="00C459AE" w:rsidRDefault="003D1DD8" w:rsidP="003D1DD8">
            <w:pPr>
              <w:spacing w:line="480" w:lineRule="auto"/>
              <w:rPr>
                <w:rFonts w:ascii="Arial" w:eastAsia="Times New Roman" w:hAnsi="Arial" w:cs="Arial"/>
              </w:rPr>
            </w:pPr>
            <w:r w:rsidRPr="00C459AE">
              <w:rPr>
                <w:rFonts w:ascii="Arial" w:eastAsia="Times New Roman" w:hAnsi="Arial" w:cs="Arial"/>
              </w:rPr>
              <w:t>124</w:t>
            </w:r>
          </w:p>
        </w:tc>
        <w:tc>
          <w:tcPr>
            <w:tcW w:w="2024" w:type="pct"/>
            <w:hideMark/>
          </w:tcPr>
          <w:p w14:paraId="51806815" w14:textId="77777777" w:rsidR="003D1DD8" w:rsidRPr="00C459AE" w:rsidRDefault="003D1DD8" w:rsidP="003D1DD8">
            <w:pPr>
              <w:spacing w:line="480" w:lineRule="auto"/>
              <w:rPr>
                <w:rFonts w:ascii="Arial" w:eastAsia="Times New Roman" w:hAnsi="Arial" w:cs="Arial"/>
              </w:rPr>
            </w:pPr>
            <w:r w:rsidRPr="00C459AE">
              <w:rPr>
                <w:rFonts w:ascii="Arial" w:eastAsia="Times New Roman" w:hAnsi="Arial" w:cs="Arial"/>
              </w:rPr>
              <w:t>37.78</w:t>
            </w:r>
          </w:p>
        </w:tc>
        <w:tc>
          <w:tcPr>
            <w:tcW w:w="1561" w:type="pct"/>
            <w:hideMark/>
          </w:tcPr>
          <w:p w14:paraId="51806816" w14:textId="77777777" w:rsidR="003D1DD8" w:rsidRPr="00C459AE" w:rsidRDefault="003D1DD8" w:rsidP="003D1DD8">
            <w:pPr>
              <w:spacing w:line="480" w:lineRule="auto"/>
              <w:rPr>
                <w:rFonts w:ascii="Arial" w:eastAsia="Times New Roman" w:hAnsi="Arial" w:cs="Arial"/>
              </w:rPr>
            </w:pPr>
            <w:r w:rsidRPr="00C459AE">
              <w:rPr>
                <w:rFonts w:ascii="Arial" w:eastAsia="Times New Roman" w:hAnsi="Arial" w:cs="Arial"/>
              </w:rPr>
              <w:t>5.80</w:t>
            </w:r>
          </w:p>
        </w:tc>
      </w:tr>
      <w:tr w:rsidR="00893FB2" w:rsidRPr="00C459AE" w14:paraId="5180681C" w14:textId="77777777" w:rsidTr="009C202D">
        <w:tc>
          <w:tcPr>
            <w:tcW w:w="846" w:type="pct"/>
            <w:hideMark/>
          </w:tcPr>
          <w:p w14:paraId="51806818" w14:textId="77777777" w:rsidR="003D1DD8" w:rsidRPr="00C459AE" w:rsidRDefault="003D1DD8" w:rsidP="003D1DD8">
            <w:pPr>
              <w:spacing w:line="480" w:lineRule="auto"/>
              <w:rPr>
                <w:rFonts w:ascii="Arial" w:eastAsia="Times New Roman" w:hAnsi="Arial" w:cs="Arial"/>
              </w:rPr>
            </w:pPr>
            <w:r w:rsidRPr="00C459AE">
              <w:rPr>
                <w:rFonts w:ascii="Arial" w:eastAsia="Times New Roman" w:hAnsi="Arial" w:cs="Arial"/>
              </w:rPr>
              <w:t>Male</w:t>
            </w:r>
          </w:p>
        </w:tc>
        <w:tc>
          <w:tcPr>
            <w:tcW w:w="410" w:type="pct"/>
            <w:hideMark/>
          </w:tcPr>
          <w:p w14:paraId="51806819" w14:textId="77777777" w:rsidR="003D1DD8" w:rsidRPr="00C459AE" w:rsidRDefault="003D1DD8" w:rsidP="003D1DD8">
            <w:pPr>
              <w:spacing w:line="480" w:lineRule="auto"/>
              <w:rPr>
                <w:rFonts w:ascii="Arial" w:eastAsia="Times New Roman" w:hAnsi="Arial" w:cs="Arial"/>
              </w:rPr>
            </w:pPr>
            <w:r w:rsidRPr="00C459AE">
              <w:rPr>
                <w:rFonts w:ascii="Arial" w:eastAsia="Times New Roman" w:hAnsi="Arial" w:cs="Arial"/>
              </w:rPr>
              <w:t>135</w:t>
            </w:r>
          </w:p>
        </w:tc>
        <w:tc>
          <w:tcPr>
            <w:tcW w:w="2024" w:type="pct"/>
            <w:hideMark/>
          </w:tcPr>
          <w:p w14:paraId="5180681A" w14:textId="77777777" w:rsidR="003D1DD8" w:rsidRPr="00C459AE" w:rsidRDefault="003D1DD8" w:rsidP="003D1DD8">
            <w:pPr>
              <w:spacing w:line="480" w:lineRule="auto"/>
              <w:rPr>
                <w:rFonts w:ascii="Arial" w:eastAsia="Times New Roman" w:hAnsi="Arial" w:cs="Arial"/>
              </w:rPr>
            </w:pPr>
            <w:r w:rsidRPr="00C459AE">
              <w:rPr>
                <w:rFonts w:ascii="Arial" w:eastAsia="Times New Roman" w:hAnsi="Arial" w:cs="Arial"/>
              </w:rPr>
              <w:t>38.26</w:t>
            </w:r>
          </w:p>
        </w:tc>
        <w:tc>
          <w:tcPr>
            <w:tcW w:w="1561" w:type="pct"/>
            <w:hideMark/>
          </w:tcPr>
          <w:p w14:paraId="5180681B" w14:textId="77777777" w:rsidR="003D1DD8" w:rsidRPr="00C459AE" w:rsidRDefault="003D1DD8" w:rsidP="003D1DD8">
            <w:pPr>
              <w:spacing w:line="480" w:lineRule="auto"/>
              <w:rPr>
                <w:rFonts w:ascii="Arial" w:eastAsia="Times New Roman" w:hAnsi="Arial" w:cs="Arial"/>
              </w:rPr>
            </w:pPr>
            <w:r w:rsidRPr="00C459AE">
              <w:rPr>
                <w:rFonts w:ascii="Arial" w:eastAsia="Times New Roman" w:hAnsi="Arial" w:cs="Arial"/>
              </w:rPr>
              <w:t>7.68</w:t>
            </w:r>
          </w:p>
        </w:tc>
      </w:tr>
    </w:tbl>
    <w:p w14:paraId="5180681D" w14:textId="77777777" w:rsidR="003D1DD8" w:rsidRPr="00C459AE" w:rsidRDefault="003D1DD8" w:rsidP="003D1DD8">
      <w:pPr>
        <w:spacing w:after="0" w:line="480" w:lineRule="auto"/>
        <w:rPr>
          <w:rFonts w:ascii="Arial" w:eastAsia="Times New Roman"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42"/>
        <w:gridCol w:w="1393"/>
        <w:gridCol w:w="1306"/>
        <w:gridCol w:w="1509"/>
      </w:tblGrid>
      <w:tr w:rsidR="00893FB2" w:rsidRPr="00C459AE" w14:paraId="51806822" w14:textId="77777777" w:rsidTr="00B33811">
        <w:trPr>
          <w:tblHeader/>
          <w:tblCellSpacing w:w="15" w:type="dxa"/>
        </w:trPr>
        <w:tc>
          <w:tcPr>
            <w:tcW w:w="2713" w:type="pct"/>
            <w:vAlign w:val="center"/>
            <w:hideMark/>
          </w:tcPr>
          <w:p w14:paraId="5180681E" w14:textId="77777777" w:rsidR="003D1DD8" w:rsidRPr="00C459AE" w:rsidRDefault="003D1DD8" w:rsidP="000E0790">
            <w:pPr>
              <w:spacing w:after="0" w:line="480" w:lineRule="auto"/>
              <w:rPr>
                <w:rFonts w:ascii="Arial" w:eastAsia="Times New Roman" w:hAnsi="Arial" w:cs="Arial"/>
                <w:b/>
                <w:bCs/>
              </w:rPr>
            </w:pPr>
            <w:r w:rsidRPr="00C459AE">
              <w:rPr>
                <w:rFonts w:ascii="Arial" w:eastAsia="Times New Roman" w:hAnsi="Arial" w:cs="Arial"/>
                <w:b/>
                <w:bCs/>
              </w:rPr>
              <w:t>Test</w:t>
            </w:r>
          </w:p>
        </w:tc>
        <w:tc>
          <w:tcPr>
            <w:tcW w:w="712" w:type="pct"/>
            <w:vAlign w:val="center"/>
            <w:hideMark/>
          </w:tcPr>
          <w:p w14:paraId="5180681F" w14:textId="77777777" w:rsidR="003D1DD8" w:rsidRPr="00C459AE" w:rsidRDefault="003D1DD8" w:rsidP="000E0790">
            <w:pPr>
              <w:spacing w:after="0" w:line="480" w:lineRule="auto"/>
              <w:rPr>
                <w:rFonts w:ascii="Arial" w:eastAsia="Times New Roman" w:hAnsi="Arial" w:cs="Arial"/>
                <w:b/>
                <w:bCs/>
              </w:rPr>
            </w:pPr>
            <w:r w:rsidRPr="00C459AE">
              <w:rPr>
                <w:rFonts w:ascii="Arial" w:eastAsia="Times New Roman" w:hAnsi="Arial" w:cs="Arial"/>
                <w:b/>
                <w:bCs/>
              </w:rPr>
              <w:t>t-value</w:t>
            </w:r>
          </w:p>
        </w:tc>
        <w:tc>
          <w:tcPr>
            <w:tcW w:w="666" w:type="pct"/>
            <w:vAlign w:val="center"/>
            <w:hideMark/>
          </w:tcPr>
          <w:p w14:paraId="51806820" w14:textId="77777777" w:rsidR="003D1DD8" w:rsidRPr="00C459AE" w:rsidRDefault="003D1DD8" w:rsidP="000E0790">
            <w:pPr>
              <w:spacing w:after="0" w:line="480" w:lineRule="auto"/>
              <w:rPr>
                <w:rFonts w:ascii="Arial" w:eastAsia="Times New Roman" w:hAnsi="Arial" w:cs="Arial"/>
                <w:b/>
                <w:bCs/>
              </w:rPr>
            </w:pPr>
            <w:r w:rsidRPr="00C459AE">
              <w:rPr>
                <w:rFonts w:ascii="Arial" w:eastAsia="Times New Roman" w:hAnsi="Arial" w:cs="Arial"/>
                <w:b/>
                <w:bCs/>
              </w:rPr>
              <w:t>df</w:t>
            </w:r>
          </w:p>
        </w:tc>
        <w:tc>
          <w:tcPr>
            <w:tcW w:w="764" w:type="pct"/>
            <w:vAlign w:val="center"/>
            <w:hideMark/>
          </w:tcPr>
          <w:p w14:paraId="51806821" w14:textId="77777777" w:rsidR="003D1DD8" w:rsidRPr="00C459AE" w:rsidRDefault="003D1DD8" w:rsidP="000E0790">
            <w:pPr>
              <w:spacing w:after="0" w:line="480" w:lineRule="auto"/>
              <w:rPr>
                <w:rFonts w:ascii="Arial" w:eastAsia="Times New Roman" w:hAnsi="Arial" w:cs="Arial"/>
                <w:b/>
                <w:bCs/>
              </w:rPr>
            </w:pPr>
            <w:r w:rsidRPr="00C459AE">
              <w:rPr>
                <w:rFonts w:ascii="Arial" w:eastAsia="Times New Roman" w:hAnsi="Arial" w:cs="Arial"/>
                <w:b/>
                <w:bCs/>
              </w:rPr>
              <w:t>p-value</w:t>
            </w:r>
          </w:p>
        </w:tc>
      </w:tr>
      <w:tr w:rsidR="00893FB2" w:rsidRPr="00C459AE" w14:paraId="51806827" w14:textId="77777777" w:rsidTr="00B33811">
        <w:trPr>
          <w:tblCellSpacing w:w="15" w:type="dxa"/>
        </w:trPr>
        <w:tc>
          <w:tcPr>
            <w:tcW w:w="2713" w:type="pct"/>
            <w:vAlign w:val="center"/>
            <w:hideMark/>
          </w:tcPr>
          <w:p w14:paraId="51806823" w14:textId="77777777" w:rsidR="003D1DD8" w:rsidRPr="00C459AE" w:rsidRDefault="003D1DD8" w:rsidP="003D1DD8">
            <w:pPr>
              <w:spacing w:after="0" w:line="480" w:lineRule="auto"/>
              <w:rPr>
                <w:rFonts w:ascii="Arial" w:eastAsia="Times New Roman" w:hAnsi="Arial" w:cs="Arial"/>
              </w:rPr>
            </w:pPr>
            <w:r w:rsidRPr="00C459AE">
              <w:rPr>
                <w:rFonts w:ascii="Arial" w:eastAsia="Times New Roman" w:hAnsi="Arial" w:cs="Arial"/>
              </w:rPr>
              <w:t>Equal variances not assumed</w:t>
            </w:r>
          </w:p>
        </w:tc>
        <w:tc>
          <w:tcPr>
            <w:tcW w:w="712" w:type="pct"/>
            <w:vAlign w:val="center"/>
            <w:hideMark/>
          </w:tcPr>
          <w:p w14:paraId="51806824" w14:textId="77777777" w:rsidR="003D1DD8" w:rsidRPr="00C459AE" w:rsidRDefault="003D1DD8" w:rsidP="003D1DD8">
            <w:pPr>
              <w:spacing w:after="0" w:line="480" w:lineRule="auto"/>
              <w:rPr>
                <w:rFonts w:ascii="Arial" w:eastAsia="Times New Roman" w:hAnsi="Arial" w:cs="Arial"/>
              </w:rPr>
            </w:pPr>
            <w:r w:rsidRPr="00C459AE">
              <w:rPr>
                <w:rFonts w:ascii="Arial" w:eastAsia="Times New Roman" w:hAnsi="Arial" w:cs="Arial"/>
              </w:rPr>
              <w:t>-0.57</w:t>
            </w:r>
          </w:p>
        </w:tc>
        <w:tc>
          <w:tcPr>
            <w:tcW w:w="666" w:type="pct"/>
            <w:vAlign w:val="center"/>
            <w:hideMark/>
          </w:tcPr>
          <w:p w14:paraId="51806825" w14:textId="77777777" w:rsidR="003D1DD8" w:rsidRPr="00C459AE" w:rsidRDefault="003D1DD8" w:rsidP="003D1DD8">
            <w:pPr>
              <w:spacing w:after="0" w:line="480" w:lineRule="auto"/>
              <w:rPr>
                <w:rFonts w:ascii="Arial" w:eastAsia="Times New Roman" w:hAnsi="Arial" w:cs="Arial"/>
              </w:rPr>
            </w:pPr>
            <w:r w:rsidRPr="00C459AE">
              <w:rPr>
                <w:rFonts w:ascii="Arial" w:eastAsia="Times New Roman" w:hAnsi="Arial" w:cs="Arial"/>
              </w:rPr>
              <w:t>247.88</w:t>
            </w:r>
          </w:p>
        </w:tc>
        <w:tc>
          <w:tcPr>
            <w:tcW w:w="764" w:type="pct"/>
            <w:vAlign w:val="center"/>
            <w:hideMark/>
          </w:tcPr>
          <w:p w14:paraId="51806826" w14:textId="77777777" w:rsidR="003D1DD8" w:rsidRPr="00C459AE" w:rsidRDefault="003D1DD8" w:rsidP="003D1DD8">
            <w:pPr>
              <w:spacing w:after="0" w:line="480" w:lineRule="auto"/>
              <w:rPr>
                <w:rFonts w:ascii="Arial" w:eastAsia="Times New Roman" w:hAnsi="Arial" w:cs="Arial"/>
              </w:rPr>
            </w:pPr>
            <w:r w:rsidRPr="00C459AE">
              <w:rPr>
                <w:rFonts w:ascii="Arial" w:eastAsia="Times New Roman" w:hAnsi="Arial" w:cs="Arial"/>
              </w:rPr>
              <w:t>0.57</w:t>
            </w:r>
          </w:p>
        </w:tc>
      </w:tr>
    </w:tbl>
    <w:p w14:paraId="51806828" w14:textId="77777777"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 xml:space="preserve">The results indicate </w:t>
      </w:r>
      <w:r w:rsidRPr="00C459AE">
        <w:rPr>
          <w:rFonts w:ascii="Arial" w:eastAsia="Times New Roman" w:hAnsi="Arial" w:cs="Arial"/>
          <w:bCs/>
        </w:rPr>
        <w:t>no statistically significant difference</w:t>
      </w:r>
      <w:r w:rsidRPr="00C459AE">
        <w:rPr>
          <w:rFonts w:ascii="Arial" w:eastAsia="Times New Roman" w:hAnsi="Arial" w:cs="Arial"/>
        </w:rPr>
        <w:t xml:space="preserve"> in GRIT scores between male and female students (p &gt; 0.05). This aligns with findings by Fernández and Brenlla (2022), suggesting that GRIT is not gender-dependent in this context.</w:t>
      </w:r>
    </w:p>
    <w:p w14:paraId="51806829" w14:textId="7BBE3736" w:rsidR="003D1DD8" w:rsidRPr="00C459AE" w:rsidRDefault="00F2072E" w:rsidP="00B33811">
      <w:pPr>
        <w:spacing w:before="100" w:beforeAutospacing="1" w:after="100" w:afterAutospacing="1" w:line="240" w:lineRule="auto"/>
        <w:outlineLvl w:val="2"/>
        <w:rPr>
          <w:rFonts w:ascii="Arial" w:eastAsia="Times New Roman" w:hAnsi="Arial" w:cs="Arial"/>
          <w:b/>
          <w:bCs/>
        </w:rPr>
      </w:pPr>
      <w:r w:rsidRPr="00C459AE">
        <w:rPr>
          <w:rFonts w:ascii="Arial" w:eastAsia="Times New Roman" w:hAnsi="Arial" w:cs="Arial"/>
          <w:b/>
          <w:bCs/>
        </w:rPr>
        <w:t xml:space="preserve">Table </w:t>
      </w:r>
      <w:r w:rsidR="005D0AA9">
        <w:rPr>
          <w:rFonts w:ascii="Arial" w:eastAsia="Times New Roman" w:hAnsi="Arial" w:cs="Arial"/>
          <w:b/>
          <w:bCs/>
        </w:rPr>
        <w:t>4</w:t>
      </w:r>
      <w:r w:rsidRPr="00C459AE">
        <w:rPr>
          <w:rFonts w:ascii="Arial" w:eastAsia="Times New Roman" w:hAnsi="Arial" w:cs="Arial"/>
          <w:b/>
          <w:bCs/>
        </w:rPr>
        <w:t xml:space="preserve">: </w:t>
      </w:r>
      <w:r w:rsidR="003D1DD8" w:rsidRPr="00C459AE">
        <w:rPr>
          <w:rFonts w:ascii="Arial" w:eastAsia="Times New Roman" w:hAnsi="Arial" w:cs="Arial"/>
          <w:b/>
          <w:bCs/>
        </w:rPr>
        <w:t>Qualitative Analysis: GRIT and Motivation</w:t>
      </w:r>
    </w:p>
    <w:p w14:paraId="5180682A" w14:textId="77777777"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Thematic analysis of interview data revealed eight key themes that explain how students cultivate and sustain GRIT:</w:t>
      </w:r>
    </w:p>
    <w:tbl>
      <w:tblPr>
        <w:tblStyle w:val="GridTable1Light"/>
        <w:tblW w:w="0" w:type="auto"/>
        <w:tblLook w:val="01E0" w:firstRow="1" w:lastRow="1" w:firstColumn="1" w:lastColumn="1" w:noHBand="0" w:noVBand="0"/>
      </w:tblPr>
      <w:tblGrid>
        <w:gridCol w:w="9576"/>
      </w:tblGrid>
      <w:tr w:rsidR="00E801E8" w14:paraId="269CDB07" w14:textId="77777777" w:rsidTr="00E801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tbl>
            <w:tblPr>
              <w:tblStyle w:val="TableGridLight"/>
              <w:tblW w:w="5000" w:type="pct"/>
              <w:tblLook w:val="04A0" w:firstRow="1" w:lastRow="0" w:firstColumn="1" w:lastColumn="0" w:noHBand="0" w:noVBand="1"/>
            </w:tblPr>
            <w:tblGrid>
              <w:gridCol w:w="2051"/>
              <w:gridCol w:w="2755"/>
              <w:gridCol w:w="4544"/>
            </w:tblGrid>
            <w:tr w:rsidR="00E801E8" w:rsidRPr="00E801E8" w14:paraId="35A90A6E" w14:textId="77777777" w:rsidTr="00E801E8">
              <w:tc>
                <w:tcPr>
                  <w:tcW w:w="1083" w:type="pct"/>
                  <w:hideMark/>
                </w:tcPr>
                <w:p w14:paraId="10A5110D" w14:textId="77777777" w:rsidR="00E801E8" w:rsidRPr="00E801E8" w:rsidRDefault="00E801E8" w:rsidP="00252C84">
                  <w:pPr>
                    <w:spacing w:line="480" w:lineRule="auto"/>
                    <w:jc w:val="center"/>
                    <w:rPr>
                      <w:rFonts w:ascii="Arial" w:eastAsia="Times New Roman" w:hAnsi="Arial" w:cs="Arial"/>
                      <w:b/>
                      <w:bCs/>
                    </w:rPr>
                  </w:pPr>
                  <w:r w:rsidRPr="00E801E8">
                    <w:rPr>
                      <w:rFonts w:ascii="Arial" w:eastAsia="Times New Roman" w:hAnsi="Arial" w:cs="Arial"/>
                      <w:b/>
                      <w:bCs/>
                    </w:rPr>
                    <w:t>Theme</w:t>
                  </w:r>
                </w:p>
              </w:tc>
              <w:tc>
                <w:tcPr>
                  <w:tcW w:w="1454" w:type="pct"/>
                  <w:hideMark/>
                </w:tcPr>
                <w:p w14:paraId="278BCCAE" w14:textId="77777777" w:rsidR="00E801E8" w:rsidRPr="00E801E8" w:rsidRDefault="00E801E8" w:rsidP="00252C84">
                  <w:pPr>
                    <w:spacing w:line="480" w:lineRule="auto"/>
                    <w:jc w:val="center"/>
                    <w:rPr>
                      <w:rFonts w:ascii="Arial" w:eastAsia="Times New Roman" w:hAnsi="Arial" w:cs="Arial"/>
                      <w:b/>
                      <w:bCs/>
                    </w:rPr>
                  </w:pPr>
                  <w:r w:rsidRPr="00E801E8">
                    <w:rPr>
                      <w:rFonts w:ascii="Arial" w:eastAsia="Times New Roman" w:hAnsi="Arial" w:cs="Arial"/>
                      <w:b/>
                      <w:bCs/>
                    </w:rPr>
                    <w:t>Description</w:t>
                  </w:r>
                </w:p>
              </w:tc>
              <w:tc>
                <w:tcPr>
                  <w:tcW w:w="2399" w:type="pct"/>
                  <w:hideMark/>
                </w:tcPr>
                <w:p w14:paraId="39380874" w14:textId="77777777" w:rsidR="00E801E8" w:rsidRPr="00E801E8" w:rsidRDefault="00E801E8" w:rsidP="00252C84">
                  <w:pPr>
                    <w:spacing w:line="480" w:lineRule="auto"/>
                    <w:jc w:val="center"/>
                    <w:rPr>
                      <w:rFonts w:ascii="Arial" w:eastAsia="Times New Roman" w:hAnsi="Arial" w:cs="Arial"/>
                      <w:b/>
                      <w:bCs/>
                    </w:rPr>
                  </w:pPr>
                  <w:r w:rsidRPr="00E801E8">
                    <w:rPr>
                      <w:rFonts w:ascii="Arial" w:eastAsia="Times New Roman" w:hAnsi="Arial" w:cs="Arial"/>
                      <w:b/>
                      <w:bCs/>
                    </w:rPr>
                    <w:t>Sample Quote</w:t>
                  </w:r>
                </w:p>
              </w:tc>
            </w:tr>
            <w:tr w:rsidR="00E801E8" w:rsidRPr="00E801E8" w14:paraId="2D85CACA" w14:textId="77777777" w:rsidTr="00E801E8">
              <w:tc>
                <w:tcPr>
                  <w:tcW w:w="1083" w:type="pct"/>
                  <w:hideMark/>
                </w:tcPr>
                <w:p w14:paraId="3101F1F5"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Role Models</w:t>
                  </w:r>
                </w:p>
              </w:tc>
              <w:tc>
                <w:tcPr>
                  <w:tcW w:w="1454" w:type="pct"/>
                  <w:hideMark/>
                </w:tcPr>
                <w:p w14:paraId="32AC0F3C"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 xml:space="preserve">Students emulate </w:t>
                  </w:r>
                  <w:r w:rsidRPr="00E801E8">
                    <w:rPr>
                      <w:rFonts w:ascii="Arial" w:eastAsia="Times New Roman" w:hAnsi="Arial" w:cs="Arial"/>
                    </w:rPr>
                    <w:lastRenderedPageBreak/>
                    <w:t>successful figures</w:t>
                  </w:r>
                </w:p>
              </w:tc>
              <w:tc>
                <w:tcPr>
                  <w:tcW w:w="2399" w:type="pct"/>
                  <w:hideMark/>
                </w:tcPr>
                <w:p w14:paraId="0DD1325D"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lastRenderedPageBreak/>
                    <w:t xml:space="preserve">“I just imagine the life I want to live in the </w:t>
                  </w:r>
                  <w:r w:rsidRPr="00E801E8">
                    <w:rPr>
                      <w:rFonts w:ascii="Arial" w:eastAsia="Times New Roman" w:hAnsi="Arial" w:cs="Arial"/>
                    </w:rPr>
                    <w:lastRenderedPageBreak/>
                    <w:t>future by looking at my role model.”</w:t>
                  </w:r>
                </w:p>
              </w:tc>
            </w:tr>
            <w:tr w:rsidR="00E801E8" w:rsidRPr="00E801E8" w14:paraId="574B1FB8" w14:textId="77777777" w:rsidTr="00E801E8">
              <w:tc>
                <w:tcPr>
                  <w:tcW w:w="1083" w:type="pct"/>
                  <w:hideMark/>
                </w:tcPr>
                <w:p w14:paraId="00C17949"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lastRenderedPageBreak/>
                    <w:t>Socioeconomic Reflection</w:t>
                  </w:r>
                </w:p>
              </w:tc>
              <w:tc>
                <w:tcPr>
                  <w:tcW w:w="1454" w:type="pct"/>
                  <w:hideMark/>
                </w:tcPr>
                <w:p w14:paraId="19568717"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Motivation to improve family conditions</w:t>
                  </w:r>
                </w:p>
              </w:tc>
              <w:tc>
                <w:tcPr>
                  <w:tcW w:w="2399" w:type="pct"/>
                  <w:hideMark/>
                </w:tcPr>
                <w:p w14:paraId="27893F38"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“My poor background at home motivates me to work harder.”</w:t>
                  </w:r>
                </w:p>
              </w:tc>
            </w:tr>
            <w:tr w:rsidR="00E801E8" w:rsidRPr="00E801E8" w14:paraId="7A4CDC0F" w14:textId="77777777" w:rsidTr="00E801E8">
              <w:tc>
                <w:tcPr>
                  <w:tcW w:w="1083" w:type="pct"/>
                  <w:hideMark/>
                </w:tcPr>
                <w:p w14:paraId="780CCC44"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Spiritual Practices</w:t>
                  </w:r>
                </w:p>
              </w:tc>
              <w:tc>
                <w:tcPr>
                  <w:tcW w:w="1454" w:type="pct"/>
                  <w:hideMark/>
                </w:tcPr>
                <w:p w14:paraId="1E053CF3"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Prayer as a coping mechanism</w:t>
                  </w:r>
                </w:p>
              </w:tc>
              <w:tc>
                <w:tcPr>
                  <w:tcW w:w="2399" w:type="pct"/>
                  <w:hideMark/>
                </w:tcPr>
                <w:p w14:paraId="49FFEDA6"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“I pray to God not to lose hope.”</w:t>
                  </w:r>
                </w:p>
              </w:tc>
            </w:tr>
            <w:tr w:rsidR="00E801E8" w:rsidRPr="00E801E8" w14:paraId="542DF993" w14:textId="77777777" w:rsidTr="00E801E8">
              <w:tc>
                <w:tcPr>
                  <w:tcW w:w="1083" w:type="pct"/>
                  <w:hideMark/>
                </w:tcPr>
                <w:p w14:paraId="71A314B9"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Parental Support</w:t>
                  </w:r>
                </w:p>
              </w:tc>
              <w:tc>
                <w:tcPr>
                  <w:tcW w:w="1454" w:type="pct"/>
                  <w:hideMark/>
                </w:tcPr>
                <w:p w14:paraId="185EDEFE"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Encouragement from family</w:t>
                  </w:r>
                </w:p>
              </w:tc>
              <w:tc>
                <w:tcPr>
                  <w:tcW w:w="2399" w:type="pct"/>
                  <w:hideMark/>
                </w:tcPr>
                <w:p w14:paraId="0A9D6B67"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“My parents always tell me I can make it.”</w:t>
                  </w:r>
                </w:p>
              </w:tc>
            </w:tr>
            <w:tr w:rsidR="00E801E8" w:rsidRPr="00E801E8" w14:paraId="2409B2B4" w14:textId="77777777" w:rsidTr="00E801E8">
              <w:tc>
                <w:tcPr>
                  <w:tcW w:w="1083" w:type="pct"/>
                  <w:hideMark/>
                </w:tcPr>
                <w:p w14:paraId="02CC6E39"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Teacher Mentorship</w:t>
                  </w:r>
                </w:p>
              </w:tc>
              <w:tc>
                <w:tcPr>
                  <w:tcW w:w="1454" w:type="pct"/>
                  <w:hideMark/>
                </w:tcPr>
                <w:p w14:paraId="77AD30CF"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Motivation talks and guidance</w:t>
                  </w:r>
                </w:p>
              </w:tc>
              <w:tc>
                <w:tcPr>
                  <w:tcW w:w="2399" w:type="pct"/>
                  <w:hideMark/>
                </w:tcPr>
                <w:p w14:paraId="4A366691"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“We receive motivation talks from teachers.”</w:t>
                  </w:r>
                </w:p>
              </w:tc>
            </w:tr>
            <w:tr w:rsidR="00E801E8" w:rsidRPr="00E801E8" w14:paraId="76CAD02A" w14:textId="77777777" w:rsidTr="00E801E8">
              <w:tc>
                <w:tcPr>
                  <w:tcW w:w="1083" w:type="pct"/>
                  <w:hideMark/>
                </w:tcPr>
                <w:p w14:paraId="231957B1"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Self-Motivation</w:t>
                  </w:r>
                </w:p>
              </w:tc>
              <w:tc>
                <w:tcPr>
                  <w:tcW w:w="1454" w:type="pct"/>
                  <w:hideMark/>
                </w:tcPr>
                <w:p w14:paraId="1E45F2E6"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Internal drive and goal-setting</w:t>
                  </w:r>
                </w:p>
              </w:tc>
              <w:tc>
                <w:tcPr>
                  <w:tcW w:w="2399" w:type="pct"/>
                  <w:hideMark/>
                </w:tcPr>
                <w:p w14:paraId="7C8433F9"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“I tell myself hard work never goes unrewarded.”</w:t>
                  </w:r>
                </w:p>
              </w:tc>
            </w:tr>
            <w:tr w:rsidR="00E801E8" w:rsidRPr="00E801E8" w14:paraId="3511F804" w14:textId="77777777" w:rsidTr="00E801E8">
              <w:tc>
                <w:tcPr>
                  <w:tcW w:w="1083" w:type="pct"/>
                  <w:hideMark/>
                </w:tcPr>
                <w:p w14:paraId="5DA0CD13"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Focus on Strengths</w:t>
                  </w:r>
                </w:p>
              </w:tc>
              <w:tc>
                <w:tcPr>
                  <w:tcW w:w="1454" w:type="pct"/>
                  <w:hideMark/>
                </w:tcPr>
                <w:p w14:paraId="7CE82871"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Concentration on subjects of interest</w:t>
                  </w:r>
                </w:p>
              </w:tc>
              <w:tc>
                <w:tcPr>
                  <w:tcW w:w="2399" w:type="pct"/>
                  <w:hideMark/>
                </w:tcPr>
                <w:p w14:paraId="71646F62"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“I focus on subjects I’m good at to boost my grades.”</w:t>
                  </w:r>
                </w:p>
              </w:tc>
            </w:tr>
            <w:tr w:rsidR="00E801E8" w:rsidRPr="00E801E8" w14:paraId="0CBCA5F3" w14:textId="77777777" w:rsidTr="00E801E8">
              <w:tc>
                <w:tcPr>
                  <w:tcW w:w="1083" w:type="pct"/>
                  <w:hideMark/>
                </w:tcPr>
                <w:p w14:paraId="0D647D36"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Guidance and Counselling</w:t>
                  </w:r>
                </w:p>
              </w:tc>
              <w:tc>
                <w:tcPr>
                  <w:tcW w:w="1454" w:type="pct"/>
                  <w:hideMark/>
                </w:tcPr>
                <w:p w14:paraId="6324263B"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Institutional support systems</w:t>
                  </w:r>
                </w:p>
              </w:tc>
              <w:tc>
                <w:tcPr>
                  <w:tcW w:w="2399" w:type="pct"/>
                  <w:hideMark/>
                </w:tcPr>
                <w:p w14:paraId="7CDB8650" w14:textId="77777777" w:rsidR="00E801E8" w:rsidRPr="00E801E8" w:rsidRDefault="00E801E8" w:rsidP="00252C84">
                  <w:pPr>
                    <w:spacing w:line="480" w:lineRule="auto"/>
                    <w:rPr>
                      <w:rFonts w:ascii="Arial" w:eastAsia="Times New Roman" w:hAnsi="Arial" w:cs="Arial"/>
                    </w:rPr>
                  </w:pPr>
                  <w:r w:rsidRPr="00E801E8">
                    <w:rPr>
                      <w:rFonts w:ascii="Arial" w:eastAsia="Times New Roman" w:hAnsi="Arial" w:cs="Arial"/>
                    </w:rPr>
                    <w:t>“I seek help from guidance and counselling.”</w:t>
                  </w:r>
                </w:p>
              </w:tc>
            </w:tr>
          </w:tbl>
          <w:p w14:paraId="3C370A8F" w14:textId="77777777" w:rsidR="00E801E8" w:rsidRDefault="00E801E8"/>
        </w:tc>
      </w:tr>
    </w:tbl>
    <w:p w14:paraId="5180684F" w14:textId="77777777"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lastRenderedPageBreak/>
        <w:t>These themes provide contextual depth to the statistical findings. Students who exhibit high GRIT often draw motivation from personal, social, and institutional sources. The integration of these factors reinforces their perseverance and consistency of interest.</w:t>
      </w:r>
    </w:p>
    <w:p w14:paraId="36A7F4AE" w14:textId="77777777" w:rsidR="00C21411" w:rsidRDefault="00C21411" w:rsidP="00B33811">
      <w:pPr>
        <w:spacing w:before="100" w:beforeAutospacing="1" w:after="100" w:afterAutospacing="1" w:line="240" w:lineRule="auto"/>
        <w:outlineLvl w:val="2"/>
        <w:rPr>
          <w:rFonts w:ascii="Arial" w:eastAsia="Times New Roman" w:hAnsi="Arial" w:cs="Arial"/>
          <w:b/>
          <w:bCs/>
        </w:rPr>
      </w:pPr>
    </w:p>
    <w:p w14:paraId="51806850" w14:textId="0854C220" w:rsidR="003D1DD8" w:rsidRPr="00C459AE" w:rsidRDefault="003D1DD8" w:rsidP="00B33811">
      <w:pPr>
        <w:spacing w:before="100" w:beforeAutospacing="1" w:after="100" w:afterAutospacing="1" w:line="240" w:lineRule="auto"/>
        <w:outlineLvl w:val="2"/>
        <w:rPr>
          <w:rFonts w:ascii="Arial" w:eastAsia="Times New Roman" w:hAnsi="Arial" w:cs="Arial"/>
          <w:b/>
          <w:bCs/>
        </w:rPr>
      </w:pPr>
      <w:r w:rsidRPr="00C459AE">
        <w:rPr>
          <w:rFonts w:ascii="Arial" w:eastAsia="Times New Roman" w:hAnsi="Arial" w:cs="Arial"/>
          <w:b/>
          <w:bCs/>
        </w:rPr>
        <w:t>Integration of Quantitative and Qualitative Findings</w:t>
      </w:r>
    </w:p>
    <w:p w14:paraId="51806851" w14:textId="6CD4FD09"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hAnsi="Arial" w:cs="Arial"/>
        </w:rPr>
        <w:t xml:space="preserve">The strong correlation between GRIT and academic achievement is supported by </w:t>
      </w:r>
      <w:r w:rsidR="008E1CDD" w:rsidRPr="00C459AE">
        <w:rPr>
          <w:rFonts w:ascii="Arial" w:hAnsi="Arial" w:cs="Arial"/>
        </w:rPr>
        <w:t>students’</w:t>
      </w:r>
      <w:r w:rsidRPr="00C459AE">
        <w:rPr>
          <w:rFonts w:ascii="Arial" w:hAnsi="Arial" w:cs="Arial"/>
        </w:rPr>
        <w:t xml:space="preserve"> </w:t>
      </w:r>
      <w:r w:rsidR="008E1CDD" w:rsidRPr="00C459AE">
        <w:rPr>
          <w:rFonts w:ascii="Arial" w:hAnsi="Arial" w:cs="Arial"/>
        </w:rPr>
        <w:t>narratives.</w:t>
      </w:r>
      <w:r w:rsidRPr="00C459AE">
        <w:rPr>
          <w:rFonts w:ascii="Arial" w:hAnsi="Arial" w:cs="Arial"/>
        </w:rPr>
        <w:t xml:space="preserve"> For </w:t>
      </w:r>
      <w:r w:rsidR="008E1CDD" w:rsidRPr="00C459AE">
        <w:rPr>
          <w:rFonts w:ascii="Arial" w:hAnsi="Arial" w:cs="Arial"/>
        </w:rPr>
        <w:t>example,</w:t>
      </w:r>
      <w:r w:rsidRPr="00C459AE">
        <w:rPr>
          <w:rFonts w:ascii="Arial" w:hAnsi="Arial" w:cs="Arial"/>
        </w:rPr>
        <w:t xml:space="preserve"> the item </w:t>
      </w:r>
      <w:r w:rsidR="008E1CDD" w:rsidRPr="00C459AE">
        <w:rPr>
          <w:rFonts w:ascii="Arial" w:hAnsi="Arial" w:cs="Arial"/>
        </w:rPr>
        <w:t>“Failures</w:t>
      </w:r>
      <w:r w:rsidRPr="00C459AE">
        <w:rPr>
          <w:rFonts w:ascii="Arial" w:hAnsi="Arial" w:cs="Arial"/>
        </w:rPr>
        <w:t xml:space="preserve"> do not deter </w:t>
      </w:r>
      <w:r w:rsidR="008E1CDD" w:rsidRPr="00C459AE">
        <w:rPr>
          <w:rFonts w:ascii="Arial" w:hAnsi="Arial" w:cs="Arial"/>
        </w:rPr>
        <w:t>me”</w:t>
      </w:r>
      <w:r w:rsidRPr="00C459AE">
        <w:rPr>
          <w:rFonts w:ascii="Arial" w:hAnsi="Arial" w:cs="Arial"/>
        </w:rPr>
        <w:t xml:space="preserve"> </w:t>
      </w:r>
      <w:r w:rsidR="008E1CDD" w:rsidRPr="00C459AE">
        <w:rPr>
          <w:rFonts w:ascii="Arial" w:hAnsi="Arial" w:cs="Arial"/>
        </w:rPr>
        <w:t>(Mean</w:t>
      </w:r>
      <w:r w:rsidRPr="00C459AE">
        <w:rPr>
          <w:rFonts w:ascii="Arial" w:hAnsi="Arial" w:cs="Arial"/>
        </w:rPr>
        <w:t xml:space="preserve"> = </w:t>
      </w:r>
      <w:r w:rsidR="008E1CDD" w:rsidRPr="00C459AE">
        <w:rPr>
          <w:rFonts w:ascii="Arial" w:hAnsi="Arial" w:cs="Arial"/>
        </w:rPr>
        <w:t>3.58)</w:t>
      </w:r>
      <w:r w:rsidRPr="00C459AE">
        <w:rPr>
          <w:rFonts w:ascii="Arial" w:hAnsi="Arial" w:cs="Arial"/>
        </w:rPr>
        <w:t xml:space="preserve"> aligns with </w:t>
      </w:r>
      <w:r w:rsidR="008E1CDD" w:rsidRPr="00C459AE">
        <w:rPr>
          <w:rFonts w:ascii="Arial" w:hAnsi="Arial" w:cs="Arial"/>
        </w:rPr>
        <w:t>students’</w:t>
      </w:r>
      <w:r w:rsidRPr="00C459AE">
        <w:rPr>
          <w:rFonts w:ascii="Arial" w:hAnsi="Arial" w:cs="Arial"/>
        </w:rPr>
        <w:t xml:space="preserve"> descriptions of overcoming setbacks through </w:t>
      </w:r>
      <w:r w:rsidR="008E1CDD" w:rsidRPr="00C459AE">
        <w:rPr>
          <w:rFonts w:ascii="Arial" w:hAnsi="Arial" w:cs="Arial"/>
        </w:rPr>
        <w:t>prayer,</w:t>
      </w:r>
      <w:r w:rsidRPr="00C459AE">
        <w:rPr>
          <w:rFonts w:ascii="Arial" w:hAnsi="Arial" w:cs="Arial"/>
        </w:rPr>
        <w:t xml:space="preserve"> </w:t>
      </w:r>
      <w:r w:rsidR="008E1CDD" w:rsidRPr="00C459AE">
        <w:rPr>
          <w:rFonts w:ascii="Arial" w:hAnsi="Arial" w:cs="Arial"/>
        </w:rPr>
        <w:t>mentorship,</w:t>
      </w:r>
      <w:r w:rsidRPr="00C459AE">
        <w:rPr>
          <w:rFonts w:ascii="Arial" w:hAnsi="Arial" w:cs="Arial"/>
        </w:rPr>
        <w:t xml:space="preserve"> and self-</w:t>
      </w:r>
      <w:r w:rsidR="008E1CDD" w:rsidRPr="00C459AE">
        <w:rPr>
          <w:rFonts w:ascii="Arial" w:hAnsi="Arial" w:cs="Arial"/>
        </w:rPr>
        <w:t>reflection.</w:t>
      </w:r>
      <w:r w:rsidRPr="00C459AE">
        <w:rPr>
          <w:rFonts w:ascii="Arial" w:hAnsi="Arial" w:cs="Arial"/>
        </w:rPr>
        <w:t xml:space="preserve"> </w:t>
      </w:r>
      <w:r w:rsidR="008E1CDD" w:rsidRPr="00C459AE">
        <w:rPr>
          <w:rFonts w:ascii="Arial" w:hAnsi="Arial" w:cs="Arial"/>
        </w:rPr>
        <w:t>Similarly,</w:t>
      </w:r>
      <w:r w:rsidRPr="00C459AE">
        <w:rPr>
          <w:rFonts w:ascii="Arial" w:hAnsi="Arial" w:cs="Arial"/>
        </w:rPr>
        <w:t xml:space="preserve"> </w:t>
      </w:r>
      <w:r w:rsidRPr="00C459AE">
        <w:rPr>
          <w:rFonts w:ascii="Arial" w:hAnsi="Arial" w:cs="Arial"/>
        </w:rPr>
        <w:lastRenderedPageBreak/>
        <w:t xml:space="preserve">high scores on </w:t>
      </w:r>
      <w:r w:rsidR="008E1CDD" w:rsidRPr="00C459AE">
        <w:rPr>
          <w:rFonts w:ascii="Arial" w:hAnsi="Arial" w:cs="Arial"/>
        </w:rPr>
        <w:t>“I</w:t>
      </w:r>
      <w:r w:rsidRPr="00C459AE">
        <w:rPr>
          <w:rFonts w:ascii="Arial" w:hAnsi="Arial" w:cs="Arial"/>
        </w:rPr>
        <w:t xml:space="preserve"> work </w:t>
      </w:r>
      <w:r w:rsidR="008E1CDD" w:rsidRPr="00C459AE">
        <w:rPr>
          <w:rFonts w:ascii="Arial" w:hAnsi="Arial" w:cs="Arial"/>
        </w:rPr>
        <w:t>hard”</w:t>
      </w:r>
      <w:r w:rsidRPr="00C459AE">
        <w:rPr>
          <w:rFonts w:ascii="Arial" w:hAnsi="Arial" w:cs="Arial"/>
        </w:rPr>
        <w:t xml:space="preserve"> </w:t>
      </w:r>
      <w:r w:rsidR="008E1CDD" w:rsidRPr="00C459AE">
        <w:rPr>
          <w:rFonts w:ascii="Arial" w:hAnsi="Arial" w:cs="Arial"/>
        </w:rPr>
        <w:t>(Mean</w:t>
      </w:r>
      <w:r w:rsidRPr="00C459AE">
        <w:rPr>
          <w:rFonts w:ascii="Arial" w:hAnsi="Arial" w:cs="Arial"/>
        </w:rPr>
        <w:t xml:space="preserve"> = </w:t>
      </w:r>
      <w:r w:rsidR="008E1CDD" w:rsidRPr="00C459AE">
        <w:rPr>
          <w:rFonts w:ascii="Arial" w:hAnsi="Arial" w:cs="Arial"/>
        </w:rPr>
        <w:t>4.20)</w:t>
      </w:r>
      <w:r w:rsidRPr="00C459AE">
        <w:rPr>
          <w:rFonts w:ascii="Arial" w:hAnsi="Arial" w:cs="Arial"/>
        </w:rPr>
        <w:t xml:space="preserve"> are reflected in </w:t>
      </w:r>
      <w:r w:rsidR="008E1CDD" w:rsidRPr="00C459AE">
        <w:rPr>
          <w:rFonts w:ascii="Arial" w:hAnsi="Arial" w:cs="Arial"/>
        </w:rPr>
        <w:t>students’</w:t>
      </w:r>
      <w:r w:rsidRPr="00C459AE">
        <w:rPr>
          <w:rFonts w:ascii="Arial" w:hAnsi="Arial" w:cs="Arial"/>
        </w:rPr>
        <w:t xml:space="preserve"> emphasis on discipline and </w:t>
      </w:r>
      <w:r w:rsidR="00D60182" w:rsidRPr="00C459AE">
        <w:rPr>
          <w:rFonts w:ascii="Arial" w:hAnsi="Arial" w:cs="Arial"/>
        </w:rPr>
        <w:t>goal setting</w:t>
      </w:r>
      <w:r w:rsidR="008E1CDD" w:rsidRPr="00C459AE">
        <w:rPr>
          <w:rFonts w:ascii="Arial" w:hAnsi="Arial" w:cs="Arial"/>
        </w:rPr>
        <w:t>.</w:t>
      </w:r>
    </w:p>
    <w:p w14:paraId="51806852" w14:textId="2A7F94F3" w:rsidR="003D1DD8" w:rsidRPr="00C459AE" w:rsidRDefault="003D1DD8" w:rsidP="0062477B">
      <w:pPr>
        <w:spacing w:before="100" w:beforeAutospacing="1" w:after="100" w:afterAutospacing="1" w:line="480" w:lineRule="auto"/>
        <w:jc w:val="both"/>
        <w:rPr>
          <w:rFonts w:ascii="Arial" w:eastAsia="Times New Roman" w:hAnsi="Arial" w:cs="Arial"/>
        </w:rPr>
      </w:pPr>
      <w:r w:rsidRPr="00C459AE">
        <w:rPr>
          <w:rFonts w:ascii="Arial" w:eastAsia="Times New Roman" w:hAnsi="Arial" w:cs="Arial"/>
        </w:rPr>
        <w:t xml:space="preserve">The qualitative data also </w:t>
      </w:r>
      <w:r w:rsidR="008E1CDD" w:rsidRPr="00C459AE">
        <w:rPr>
          <w:rFonts w:ascii="Arial" w:eastAsia="Times New Roman" w:hAnsi="Arial" w:cs="Arial"/>
        </w:rPr>
        <w:t>highlights</w:t>
      </w:r>
      <w:r w:rsidRPr="00C459AE">
        <w:rPr>
          <w:rFonts w:ascii="Arial" w:eastAsia="Times New Roman" w:hAnsi="Arial" w:cs="Arial"/>
        </w:rPr>
        <w:t xml:space="preserve"> the role of </w:t>
      </w:r>
      <w:r w:rsidRPr="00C459AE">
        <w:rPr>
          <w:rFonts w:ascii="Arial" w:eastAsia="Times New Roman" w:hAnsi="Arial" w:cs="Arial"/>
          <w:bCs/>
        </w:rPr>
        <w:t>contextual resilience</w:t>
      </w:r>
      <w:r w:rsidRPr="00C459AE">
        <w:rPr>
          <w:rFonts w:ascii="Arial" w:eastAsia="Times New Roman" w:hAnsi="Arial" w:cs="Arial"/>
        </w:rPr>
        <w:t>—students from disadvantaged backgrounds often exhibit higher GRIT due to their desire to transform their circumstances. This finding echoes Wei et al. (2020), who noted that GRIT can be a coping mechanism in low-resource environments.</w:t>
      </w:r>
    </w:p>
    <w:p w14:paraId="51806853" w14:textId="77777777" w:rsidR="003D1DD8" w:rsidRPr="00C459AE" w:rsidRDefault="00B33811" w:rsidP="00893FB2">
      <w:pPr>
        <w:pStyle w:val="Heading1"/>
        <w:jc w:val="center"/>
        <w:rPr>
          <w:rFonts w:ascii="Arial" w:hAnsi="Arial" w:cs="Arial"/>
          <w:color w:val="auto"/>
          <w:sz w:val="22"/>
          <w:szCs w:val="22"/>
        </w:rPr>
      </w:pPr>
      <w:r w:rsidRPr="00C459AE">
        <w:rPr>
          <w:rFonts w:ascii="Arial" w:hAnsi="Arial" w:cs="Arial"/>
          <w:color w:val="auto"/>
          <w:sz w:val="22"/>
          <w:szCs w:val="22"/>
        </w:rPr>
        <w:t>DISCUSSION</w:t>
      </w:r>
    </w:p>
    <w:p w14:paraId="51806854" w14:textId="77777777"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The findings of this study affirm the central hypothesis that GRIT is a significant predictor of academic achievement among Form Three students in Kiambu County, Kenya. The strong positive correlation (r = 0.64, p &lt; 0.01) between GRIT and academic performance aligns with Duckworth et al. (2007) foundational work, which emphasized perseverance and consistency of interest as key drivers of long-term success. This study extends those insights into a sub-Saharan African context, demonstrating that GRIT retains its predictive validity across cultural and educational environments.</w:t>
      </w:r>
    </w:p>
    <w:p w14:paraId="51806855" w14:textId="77777777"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The absence of significant gender differences in GRIT (t = -0.57, p = 0.57) suggests that perseverance and long-term goal orientation are not inherently gendered traits. This finding supports Fernández and Brenlla (2022), who argued that GRIT is shaped more by individual experiences and environmental factors than by gender. In the Kenyan context, where both male and female students face similar academic pressures, this parity in GRIT may reflect shared cultural values around education and resilience.</w:t>
      </w:r>
    </w:p>
    <w:p w14:paraId="51806856" w14:textId="5B5795F5"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The qualitative findings enrich the quantitative results by revealing the mechanisms through which GRIT manifests in students’ lives. </w:t>
      </w:r>
      <w:r w:rsidR="00D60182" w:rsidRPr="00C459AE">
        <w:rPr>
          <w:rFonts w:ascii="Arial" w:hAnsi="Arial" w:cs="Arial"/>
          <w:sz w:val="22"/>
          <w:szCs w:val="22"/>
        </w:rPr>
        <w:t>They are</w:t>
      </w:r>
      <w:r w:rsidRPr="00C459AE">
        <w:rPr>
          <w:rFonts w:ascii="Arial" w:hAnsi="Arial" w:cs="Arial"/>
          <w:sz w:val="22"/>
          <w:szCs w:val="22"/>
        </w:rPr>
        <w:t xml:space="preserve"> role </w:t>
      </w:r>
      <w:r w:rsidR="00D60182" w:rsidRPr="00C459AE">
        <w:rPr>
          <w:rFonts w:ascii="Arial" w:hAnsi="Arial" w:cs="Arial"/>
          <w:sz w:val="22"/>
          <w:szCs w:val="22"/>
        </w:rPr>
        <w:t>models,</w:t>
      </w:r>
      <w:r w:rsidRPr="00C459AE">
        <w:rPr>
          <w:rFonts w:ascii="Arial" w:hAnsi="Arial" w:cs="Arial"/>
          <w:sz w:val="22"/>
          <w:szCs w:val="22"/>
        </w:rPr>
        <w:t xml:space="preserve"> socioeconomic reflection. Spiritual </w:t>
      </w:r>
      <w:r w:rsidR="00D60182" w:rsidRPr="00C459AE">
        <w:rPr>
          <w:rFonts w:ascii="Arial" w:hAnsi="Arial" w:cs="Arial"/>
          <w:sz w:val="22"/>
          <w:szCs w:val="22"/>
        </w:rPr>
        <w:t>practices,</w:t>
      </w:r>
      <w:r w:rsidRPr="00C459AE">
        <w:rPr>
          <w:rFonts w:ascii="Arial" w:hAnsi="Arial" w:cs="Arial"/>
          <w:sz w:val="22"/>
          <w:szCs w:val="22"/>
        </w:rPr>
        <w:t xml:space="preserve"> and institutional support illustrate how students cultivate </w:t>
      </w:r>
      <w:r w:rsidR="00D60182" w:rsidRPr="00C459AE">
        <w:rPr>
          <w:rFonts w:ascii="Arial" w:hAnsi="Arial" w:cs="Arial"/>
          <w:sz w:val="22"/>
          <w:szCs w:val="22"/>
        </w:rPr>
        <w:t>perseverance.</w:t>
      </w:r>
      <w:r w:rsidRPr="00C459AE">
        <w:rPr>
          <w:rFonts w:ascii="Arial" w:hAnsi="Arial" w:cs="Arial"/>
          <w:sz w:val="22"/>
          <w:szCs w:val="22"/>
        </w:rPr>
        <w:t xml:space="preserve"> For </w:t>
      </w:r>
      <w:r w:rsidRPr="00C459AE">
        <w:rPr>
          <w:rFonts w:ascii="Arial" w:hAnsi="Arial" w:cs="Arial"/>
          <w:sz w:val="22"/>
          <w:szCs w:val="22"/>
        </w:rPr>
        <w:lastRenderedPageBreak/>
        <w:t>instance, students from low-income backgrounds often cited their desire to uplift their families as a source of motivation. This aligns with (Wei et al; and (2020), who (depending on context) found that grit can emerge as a coping strategy in resource-constrained environments.</w:t>
      </w:r>
    </w:p>
    <w:p w14:paraId="51806857" w14:textId="19020397"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Spirituality also played a notable role in sustaining </w:t>
      </w:r>
      <w:r w:rsidR="00D60182" w:rsidRPr="00C459AE">
        <w:rPr>
          <w:rFonts w:ascii="Arial" w:hAnsi="Arial" w:cs="Arial"/>
          <w:sz w:val="22"/>
          <w:szCs w:val="22"/>
        </w:rPr>
        <w:t>GRIT.</w:t>
      </w:r>
      <w:r w:rsidRPr="00C459AE">
        <w:rPr>
          <w:rFonts w:ascii="Arial" w:hAnsi="Arial" w:cs="Arial"/>
          <w:sz w:val="22"/>
          <w:szCs w:val="22"/>
        </w:rPr>
        <w:t xml:space="preserve"> Students frequently mentioned prayer as a means of coping with academic </w:t>
      </w:r>
      <w:r w:rsidR="00D60182" w:rsidRPr="00C459AE">
        <w:rPr>
          <w:rFonts w:ascii="Arial" w:hAnsi="Arial" w:cs="Arial"/>
          <w:sz w:val="22"/>
          <w:szCs w:val="22"/>
        </w:rPr>
        <w:t>stress,</w:t>
      </w:r>
      <w:r w:rsidRPr="00C459AE">
        <w:rPr>
          <w:rFonts w:ascii="Arial" w:hAnsi="Arial" w:cs="Arial"/>
          <w:sz w:val="22"/>
          <w:szCs w:val="22"/>
        </w:rPr>
        <w:t xml:space="preserve"> suggesting that spiritual practices may reinforce </w:t>
      </w:r>
      <w:r w:rsidR="00D60182" w:rsidRPr="00C459AE">
        <w:rPr>
          <w:rFonts w:ascii="Arial" w:hAnsi="Arial" w:cs="Arial"/>
          <w:sz w:val="22"/>
          <w:szCs w:val="22"/>
        </w:rPr>
        <w:t>resilience.</w:t>
      </w:r>
      <w:r w:rsidRPr="00C459AE">
        <w:rPr>
          <w:rFonts w:ascii="Arial" w:hAnsi="Arial" w:cs="Arial"/>
          <w:sz w:val="22"/>
          <w:szCs w:val="22"/>
        </w:rPr>
        <w:t xml:space="preserve"> This echoes findings by </w:t>
      </w:r>
      <w:proofErr w:type="spellStart"/>
      <w:r w:rsidRPr="00C459AE">
        <w:rPr>
          <w:rFonts w:ascii="Arial" w:hAnsi="Arial" w:cs="Arial"/>
          <w:sz w:val="22"/>
          <w:szCs w:val="22"/>
        </w:rPr>
        <w:t>Essin</w:t>
      </w:r>
      <w:proofErr w:type="spellEnd"/>
      <w:r w:rsidRPr="00C459AE">
        <w:rPr>
          <w:rFonts w:ascii="Arial" w:hAnsi="Arial" w:cs="Arial"/>
          <w:sz w:val="22"/>
          <w:szCs w:val="22"/>
        </w:rPr>
        <w:t xml:space="preserve"> (2021</w:t>
      </w:r>
      <w:r w:rsidR="00D60182" w:rsidRPr="00C459AE">
        <w:rPr>
          <w:rFonts w:ascii="Arial" w:hAnsi="Arial" w:cs="Arial"/>
          <w:sz w:val="22"/>
          <w:szCs w:val="22"/>
        </w:rPr>
        <w:t>).</w:t>
      </w:r>
      <w:r w:rsidRPr="00C459AE">
        <w:rPr>
          <w:rFonts w:ascii="Arial" w:hAnsi="Arial" w:cs="Arial"/>
          <w:sz w:val="22"/>
          <w:szCs w:val="22"/>
        </w:rPr>
        <w:t xml:space="preserve"> Who linked emotional intelligence and spiritual grounding to improved academic </w:t>
      </w:r>
      <w:r w:rsidR="00D60182" w:rsidRPr="00C459AE">
        <w:rPr>
          <w:rFonts w:ascii="Arial" w:hAnsi="Arial" w:cs="Arial"/>
          <w:sz w:val="22"/>
          <w:szCs w:val="22"/>
        </w:rPr>
        <w:t>outcomes.</w:t>
      </w:r>
      <w:r w:rsidRPr="00C459AE">
        <w:rPr>
          <w:rFonts w:ascii="Arial" w:hAnsi="Arial" w:cs="Arial"/>
          <w:sz w:val="22"/>
          <w:szCs w:val="22"/>
        </w:rPr>
        <w:t xml:space="preserve"> In contexts where formal psychological support is </w:t>
      </w:r>
      <w:r w:rsidR="00D60182" w:rsidRPr="00C459AE">
        <w:rPr>
          <w:rFonts w:ascii="Arial" w:hAnsi="Arial" w:cs="Arial"/>
          <w:sz w:val="22"/>
          <w:szCs w:val="22"/>
        </w:rPr>
        <w:t>limited,</w:t>
      </w:r>
      <w:r w:rsidRPr="00C459AE">
        <w:rPr>
          <w:rFonts w:ascii="Arial" w:hAnsi="Arial" w:cs="Arial"/>
          <w:sz w:val="22"/>
          <w:szCs w:val="22"/>
        </w:rPr>
        <w:t xml:space="preserve"> </w:t>
      </w:r>
      <w:r w:rsidR="00D60182" w:rsidRPr="00C459AE">
        <w:rPr>
          <w:rFonts w:ascii="Arial" w:hAnsi="Arial" w:cs="Arial"/>
          <w:sz w:val="22"/>
          <w:szCs w:val="22"/>
        </w:rPr>
        <w:t>(contrary</w:t>
      </w:r>
      <w:r w:rsidRPr="00C459AE">
        <w:rPr>
          <w:rFonts w:ascii="Arial" w:hAnsi="Arial" w:cs="Arial"/>
          <w:sz w:val="22"/>
          <w:szCs w:val="22"/>
        </w:rPr>
        <w:t xml:space="preserve"> to initial </w:t>
      </w:r>
      <w:r w:rsidR="00D60182" w:rsidRPr="00C459AE">
        <w:rPr>
          <w:rFonts w:ascii="Arial" w:hAnsi="Arial" w:cs="Arial"/>
          <w:sz w:val="22"/>
          <w:szCs w:val="22"/>
        </w:rPr>
        <w:t>assumptions)</w:t>
      </w:r>
      <w:r w:rsidRPr="00C459AE">
        <w:rPr>
          <w:rFonts w:ascii="Arial" w:hAnsi="Arial" w:cs="Arial"/>
          <w:sz w:val="22"/>
          <w:szCs w:val="22"/>
        </w:rPr>
        <w:t xml:space="preserve"> spirituality may serve as an informal but powerful tool for emotional regulation and perseverance.</w:t>
      </w:r>
    </w:p>
    <w:p w14:paraId="51806858" w14:textId="43C491D2"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Institutional </w:t>
      </w:r>
      <w:r w:rsidR="00D60182" w:rsidRPr="00C459AE">
        <w:rPr>
          <w:rFonts w:ascii="Arial" w:hAnsi="Arial" w:cs="Arial"/>
          <w:sz w:val="22"/>
          <w:szCs w:val="22"/>
        </w:rPr>
        <w:t>support,</w:t>
      </w:r>
      <w:r w:rsidRPr="00C459AE">
        <w:rPr>
          <w:rFonts w:ascii="Arial" w:hAnsi="Arial" w:cs="Arial"/>
          <w:sz w:val="22"/>
          <w:szCs w:val="22"/>
        </w:rPr>
        <w:t xml:space="preserve"> particularly through guidance and </w:t>
      </w:r>
      <w:r w:rsidR="00D60182" w:rsidRPr="00C459AE">
        <w:rPr>
          <w:rFonts w:ascii="Arial" w:hAnsi="Arial" w:cs="Arial"/>
          <w:sz w:val="22"/>
          <w:szCs w:val="22"/>
        </w:rPr>
        <w:t>counselling,</w:t>
      </w:r>
      <w:r w:rsidRPr="00C459AE">
        <w:rPr>
          <w:rFonts w:ascii="Arial" w:hAnsi="Arial" w:cs="Arial"/>
          <w:sz w:val="22"/>
          <w:szCs w:val="22"/>
        </w:rPr>
        <w:t xml:space="preserve"> was another recurring </w:t>
      </w:r>
      <w:r w:rsidR="00D60182" w:rsidRPr="00C459AE">
        <w:rPr>
          <w:rFonts w:ascii="Arial" w:hAnsi="Arial" w:cs="Arial"/>
          <w:sz w:val="22"/>
          <w:szCs w:val="22"/>
        </w:rPr>
        <w:t>theme.</w:t>
      </w:r>
      <w:r w:rsidRPr="00C459AE">
        <w:rPr>
          <w:rFonts w:ascii="Arial" w:hAnsi="Arial" w:cs="Arial"/>
          <w:sz w:val="22"/>
          <w:szCs w:val="22"/>
        </w:rPr>
        <w:t xml:space="preserve"> Students who accessed these services reported greater motivation and emotional </w:t>
      </w:r>
      <w:r w:rsidR="00D60182" w:rsidRPr="00C459AE">
        <w:rPr>
          <w:rFonts w:ascii="Arial" w:hAnsi="Arial" w:cs="Arial"/>
          <w:sz w:val="22"/>
          <w:szCs w:val="22"/>
        </w:rPr>
        <w:t>stability.</w:t>
      </w:r>
      <w:r w:rsidRPr="00C459AE">
        <w:rPr>
          <w:rFonts w:ascii="Arial" w:hAnsi="Arial" w:cs="Arial"/>
          <w:sz w:val="22"/>
          <w:szCs w:val="22"/>
        </w:rPr>
        <w:t xml:space="preserve"> This finding underscores the importance of embedding psychological support systems within </w:t>
      </w:r>
      <w:r w:rsidR="00D60182" w:rsidRPr="00C459AE">
        <w:rPr>
          <w:rFonts w:ascii="Arial" w:hAnsi="Arial" w:cs="Arial"/>
          <w:sz w:val="22"/>
          <w:szCs w:val="22"/>
        </w:rPr>
        <w:t>schools.</w:t>
      </w:r>
      <w:r w:rsidRPr="00C459AE">
        <w:rPr>
          <w:rFonts w:ascii="Arial" w:hAnsi="Arial" w:cs="Arial"/>
          <w:sz w:val="22"/>
          <w:szCs w:val="22"/>
        </w:rPr>
        <w:t xml:space="preserve"> </w:t>
      </w:r>
      <w:r w:rsidR="003C3D0F" w:rsidRPr="00C459AE">
        <w:rPr>
          <w:rFonts w:ascii="Arial" w:hAnsi="Arial" w:cs="Arial"/>
          <w:sz w:val="22"/>
          <w:szCs w:val="22"/>
        </w:rPr>
        <w:t>This</w:t>
      </w:r>
      <w:r w:rsidRPr="00C459AE">
        <w:rPr>
          <w:rFonts w:ascii="Arial" w:hAnsi="Arial" w:cs="Arial"/>
          <w:sz w:val="22"/>
          <w:szCs w:val="22"/>
        </w:rPr>
        <w:t xml:space="preserve"> finding underscores the importance of embedding psychological support systems within </w:t>
      </w:r>
      <w:r w:rsidR="003C3D0F" w:rsidRPr="00C459AE">
        <w:rPr>
          <w:rFonts w:ascii="Arial" w:hAnsi="Arial" w:cs="Arial"/>
          <w:sz w:val="22"/>
          <w:szCs w:val="22"/>
        </w:rPr>
        <w:t>schools.</w:t>
      </w:r>
      <w:r w:rsidRPr="00C459AE">
        <w:rPr>
          <w:rFonts w:ascii="Arial" w:hAnsi="Arial" w:cs="Arial"/>
          <w:sz w:val="22"/>
          <w:szCs w:val="22"/>
        </w:rPr>
        <w:t xml:space="preserve"> As </w:t>
      </w:r>
      <w:proofErr w:type="spellStart"/>
      <w:r w:rsidRPr="00C459AE">
        <w:rPr>
          <w:rFonts w:ascii="Arial" w:hAnsi="Arial" w:cs="Arial"/>
          <w:sz w:val="22"/>
          <w:szCs w:val="22"/>
        </w:rPr>
        <w:t>Akunne</w:t>
      </w:r>
      <w:proofErr w:type="spellEnd"/>
      <w:r w:rsidRPr="00C459AE">
        <w:rPr>
          <w:rFonts w:ascii="Arial" w:hAnsi="Arial" w:cs="Arial"/>
          <w:sz w:val="22"/>
          <w:szCs w:val="22"/>
        </w:rPr>
        <w:t xml:space="preserve"> and </w:t>
      </w:r>
      <w:proofErr w:type="spellStart"/>
      <w:r w:rsidRPr="00C459AE">
        <w:rPr>
          <w:rFonts w:ascii="Arial" w:hAnsi="Arial" w:cs="Arial"/>
          <w:sz w:val="22"/>
          <w:szCs w:val="22"/>
        </w:rPr>
        <w:t>Anyanmene</w:t>
      </w:r>
      <w:proofErr w:type="spellEnd"/>
      <w:r w:rsidRPr="00C459AE">
        <w:rPr>
          <w:rFonts w:ascii="Arial" w:hAnsi="Arial" w:cs="Arial"/>
          <w:sz w:val="22"/>
          <w:szCs w:val="22"/>
        </w:rPr>
        <w:t xml:space="preserve"> (2021) </w:t>
      </w:r>
      <w:r w:rsidR="003C3D0F" w:rsidRPr="00C459AE">
        <w:rPr>
          <w:rFonts w:ascii="Arial" w:hAnsi="Arial" w:cs="Arial"/>
          <w:sz w:val="22"/>
          <w:szCs w:val="22"/>
        </w:rPr>
        <w:t>noted,</w:t>
      </w:r>
      <w:r w:rsidRPr="00C459AE">
        <w:rPr>
          <w:rFonts w:ascii="Arial" w:hAnsi="Arial" w:cs="Arial"/>
          <w:sz w:val="22"/>
          <w:szCs w:val="22"/>
        </w:rPr>
        <w:t xml:space="preserve"> students who receive consistent mentorship and emotional guidance are more likely to exhibit GRIT-related behaviors such as persistence and </w:t>
      </w:r>
      <w:r w:rsidR="003C3D0F" w:rsidRPr="00C459AE">
        <w:rPr>
          <w:rFonts w:ascii="Arial" w:hAnsi="Arial" w:cs="Arial"/>
          <w:sz w:val="22"/>
          <w:szCs w:val="22"/>
        </w:rPr>
        <w:t>goal setting.</w:t>
      </w:r>
    </w:p>
    <w:p w14:paraId="51806859" w14:textId="6E5CF140"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The study also contributes to the theoretical discourse by validating </w:t>
      </w:r>
      <w:r w:rsidR="000D1F4D" w:rsidRPr="00C459AE">
        <w:rPr>
          <w:rFonts w:ascii="Arial" w:hAnsi="Arial" w:cs="Arial"/>
          <w:sz w:val="22"/>
          <w:szCs w:val="22"/>
        </w:rPr>
        <w:t>Duckworth’</w:t>
      </w:r>
      <w:r w:rsidRPr="00C459AE">
        <w:rPr>
          <w:rFonts w:ascii="Arial" w:hAnsi="Arial" w:cs="Arial"/>
          <w:sz w:val="22"/>
          <w:szCs w:val="22"/>
        </w:rPr>
        <w:t xml:space="preserve">s GRIT framework in a non-Western </w:t>
      </w:r>
      <w:r w:rsidR="000D1F4D" w:rsidRPr="00C459AE">
        <w:rPr>
          <w:rFonts w:ascii="Arial" w:hAnsi="Arial" w:cs="Arial"/>
          <w:sz w:val="22"/>
          <w:szCs w:val="22"/>
        </w:rPr>
        <w:t>setting.</w:t>
      </w:r>
      <w:r w:rsidRPr="00C459AE">
        <w:rPr>
          <w:rFonts w:ascii="Arial" w:hAnsi="Arial" w:cs="Arial"/>
          <w:sz w:val="22"/>
          <w:szCs w:val="22"/>
        </w:rPr>
        <w:t xml:space="preserve"> While most GRIT research has been conducted in North America and </w:t>
      </w:r>
      <w:r w:rsidR="000D1F4D" w:rsidRPr="00C459AE">
        <w:rPr>
          <w:rFonts w:ascii="Arial" w:hAnsi="Arial" w:cs="Arial"/>
          <w:sz w:val="22"/>
          <w:szCs w:val="22"/>
        </w:rPr>
        <w:t>Europe,</w:t>
      </w:r>
      <w:r w:rsidRPr="00C459AE">
        <w:rPr>
          <w:rFonts w:ascii="Arial" w:hAnsi="Arial" w:cs="Arial"/>
          <w:sz w:val="22"/>
          <w:szCs w:val="22"/>
        </w:rPr>
        <w:t xml:space="preserve"> this study </w:t>
      </w:r>
      <w:r w:rsidR="000D1F4D" w:rsidRPr="00C459AE">
        <w:rPr>
          <w:rFonts w:ascii="Arial" w:hAnsi="Arial" w:cs="Arial"/>
          <w:sz w:val="22"/>
          <w:szCs w:val="22"/>
        </w:rPr>
        <w:t>demonstrates</w:t>
      </w:r>
      <w:r w:rsidR="000D1F4D">
        <w:rPr>
          <w:rFonts w:ascii="Arial" w:hAnsi="Arial" w:cs="Arial"/>
          <w:sz w:val="22"/>
          <w:szCs w:val="22"/>
        </w:rPr>
        <w:t xml:space="preserve"> t</w:t>
      </w:r>
      <w:r w:rsidRPr="00C459AE">
        <w:rPr>
          <w:rFonts w:ascii="Arial" w:hAnsi="Arial" w:cs="Arial"/>
          <w:sz w:val="22"/>
          <w:szCs w:val="22"/>
        </w:rPr>
        <w:t xml:space="preserve">he construct is applicable in </w:t>
      </w:r>
      <w:r w:rsidR="000D1F4D">
        <w:rPr>
          <w:rFonts w:ascii="Arial" w:hAnsi="Arial" w:cs="Arial"/>
          <w:sz w:val="22"/>
          <w:szCs w:val="22"/>
        </w:rPr>
        <w:t>K</w:t>
      </w:r>
      <w:r w:rsidR="000D1F4D" w:rsidRPr="00C459AE">
        <w:rPr>
          <w:rFonts w:ascii="Arial" w:hAnsi="Arial" w:cs="Arial"/>
          <w:sz w:val="22"/>
          <w:szCs w:val="22"/>
        </w:rPr>
        <w:t>enya,</w:t>
      </w:r>
      <w:r w:rsidRPr="00C459AE">
        <w:rPr>
          <w:rFonts w:ascii="Arial" w:hAnsi="Arial" w:cs="Arial"/>
          <w:sz w:val="22"/>
          <w:szCs w:val="22"/>
        </w:rPr>
        <w:t xml:space="preserve"> albeit with culturally specific </w:t>
      </w:r>
      <w:r w:rsidR="000D1F4D" w:rsidRPr="00C459AE">
        <w:rPr>
          <w:rFonts w:ascii="Arial" w:hAnsi="Arial" w:cs="Arial"/>
          <w:sz w:val="22"/>
          <w:szCs w:val="22"/>
        </w:rPr>
        <w:t>manifestations.</w:t>
      </w:r>
      <w:r w:rsidRPr="00C459AE">
        <w:rPr>
          <w:rFonts w:ascii="Arial" w:hAnsi="Arial" w:cs="Arial"/>
          <w:sz w:val="22"/>
          <w:szCs w:val="22"/>
        </w:rPr>
        <w:t xml:space="preserve"> For </w:t>
      </w:r>
      <w:r w:rsidR="000D1F4D" w:rsidRPr="00C459AE">
        <w:rPr>
          <w:rFonts w:ascii="Arial" w:hAnsi="Arial" w:cs="Arial"/>
          <w:sz w:val="22"/>
          <w:szCs w:val="22"/>
        </w:rPr>
        <w:t>example,</w:t>
      </w:r>
      <w:r w:rsidRPr="00C459AE">
        <w:rPr>
          <w:rFonts w:ascii="Arial" w:hAnsi="Arial" w:cs="Arial"/>
          <w:sz w:val="22"/>
          <w:szCs w:val="22"/>
        </w:rPr>
        <w:t xml:space="preserve"> the emphasis on communal responsibility and family upliftment as motivators for perseverance reflects African collectivist </w:t>
      </w:r>
      <w:r w:rsidR="000D1F4D" w:rsidRPr="00C459AE">
        <w:rPr>
          <w:rFonts w:ascii="Arial" w:hAnsi="Arial" w:cs="Arial"/>
          <w:sz w:val="22"/>
          <w:szCs w:val="22"/>
        </w:rPr>
        <w:t>values,</w:t>
      </w:r>
      <w:r w:rsidRPr="00C459AE">
        <w:rPr>
          <w:rFonts w:ascii="Arial" w:hAnsi="Arial" w:cs="Arial"/>
          <w:sz w:val="22"/>
          <w:szCs w:val="22"/>
        </w:rPr>
        <w:t xml:space="preserve"> which may not be as prominent in Western </w:t>
      </w:r>
      <w:r w:rsidR="000D1F4D" w:rsidRPr="00C459AE">
        <w:rPr>
          <w:rFonts w:ascii="Arial" w:hAnsi="Arial" w:cs="Arial"/>
          <w:sz w:val="22"/>
          <w:szCs w:val="22"/>
        </w:rPr>
        <w:t>contexts.</w:t>
      </w:r>
    </w:p>
    <w:p w14:paraId="5180685A" w14:textId="23CD023F"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lastRenderedPageBreak/>
        <w:t xml:space="preserve">The </w:t>
      </w:r>
      <w:r w:rsidR="000D1F4D" w:rsidRPr="00C459AE">
        <w:rPr>
          <w:rFonts w:ascii="Arial" w:hAnsi="Arial" w:cs="Arial"/>
          <w:sz w:val="22"/>
          <w:szCs w:val="22"/>
        </w:rPr>
        <w:t>study’</w:t>
      </w:r>
      <w:r w:rsidRPr="00C459AE">
        <w:rPr>
          <w:rFonts w:ascii="Arial" w:hAnsi="Arial" w:cs="Arial"/>
          <w:sz w:val="22"/>
          <w:szCs w:val="22"/>
        </w:rPr>
        <w:t xml:space="preserve"> s mixed-methods design offers a nuanced understanding of </w:t>
      </w:r>
      <w:r w:rsidR="000D1F4D" w:rsidRPr="00C459AE">
        <w:rPr>
          <w:rFonts w:ascii="Arial" w:hAnsi="Arial" w:cs="Arial"/>
          <w:sz w:val="22"/>
          <w:szCs w:val="22"/>
        </w:rPr>
        <w:t>GRIT.</w:t>
      </w:r>
      <w:r w:rsidRPr="00C459AE">
        <w:rPr>
          <w:rFonts w:ascii="Arial" w:hAnsi="Arial" w:cs="Arial"/>
          <w:sz w:val="22"/>
          <w:szCs w:val="22"/>
        </w:rPr>
        <w:t xml:space="preserve"> Quantitative data established the statistical </w:t>
      </w:r>
      <w:r w:rsidR="004A01A8" w:rsidRPr="00C459AE">
        <w:rPr>
          <w:rFonts w:ascii="Arial" w:hAnsi="Arial" w:cs="Arial"/>
          <w:sz w:val="22"/>
          <w:szCs w:val="22"/>
        </w:rPr>
        <w:t>relationship,</w:t>
      </w:r>
      <w:r w:rsidRPr="00C459AE">
        <w:rPr>
          <w:rFonts w:ascii="Arial" w:hAnsi="Arial" w:cs="Arial"/>
          <w:sz w:val="22"/>
          <w:szCs w:val="22"/>
        </w:rPr>
        <w:t xml:space="preserve"> while qualitative insights explained how students (though not always) internalize and express </w:t>
      </w:r>
      <w:r w:rsidR="004A01A8" w:rsidRPr="00C459AE">
        <w:rPr>
          <w:rFonts w:ascii="Arial" w:hAnsi="Arial" w:cs="Arial"/>
          <w:sz w:val="22"/>
          <w:szCs w:val="22"/>
        </w:rPr>
        <w:t>perseverance.</w:t>
      </w:r>
      <w:r w:rsidRPr="00C459AE">
        <w:rPr>
          <w:rFonts w:ascii="Arial" w:hAnsi="Arial" w:cs="Arial"/>
          <w:sz w:val="22"/>
          <w:szCs w:val="22"/>
        </w:rPr>
        <w:t xml:space="preserve"> Clearly, this methodological (depending on context) triangulation enhances the validity of </w:t>
      </w:r>
      <w:r w:rsidR="004A01A8" w:rsidRPr="00C459AE">
        <w:rPr>
          <w:rFonts w:ascii="Arial" w:hAnsi="Arial" w:cs="Arial"/>
          <w:sz w:val="22"/>
          <w:szCs w:val="22"/>
        </w:rPr>
        <w:t>remarkable</w:t>
      </w:r>
      <w:r w:rsidRPr="00C459AE">
        <w:rPr>
          <w:rFonts w:ascii="Arial" w:hAnsi="Arial" w:cs="Arial"/>
          <w:sz w:val="22"/>
          <w:szCs w:val="22"/>
        </w:rPr>
        <w:t xml:space="preserve"> </w:t>
      </w:r>
      <w:r w:rsidR="004A01A8" w:rsidRPr="00C459AE">
        <w:rPr>
          <w:rFonts w:ascii="Arial" w:hAnsi="Arial" w:cs="Arial"/>
          <w:sz w:val="22"/>
          <w:szCs w:val="22"/>
        </w:rPr>
        <w:t>findings.</w:t>
      </w:r>
      <w:r w:rsidRPr="00C459AE">
        <w:rPr>
          <w:rFonts w:ascii="Arial" w:hAnsi="Arial" w:cs="Arial"/>
          <w:sz w:val="22"/>
          <w:szCs w:val="22"/>
        </w:rPr>
        <w:t xml:space="preserve"> </w:t>
      </w:r>
    </w:p>
    <w:p w14:paraId="5180685B" w14:textId="23CD4DF1"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The implications for psychology education are </w:t>
      </w:r>
      <w:r w:rsidR="003150E3" w:rsidRPr="00C459AE">
        <w:rPr>
          <w:rFonts w:ascii="Arial" w:hAnsi="Arial" w:cs="Arial"/>
          <w:sz w:val="22"/>
          <w:szCs w:val="22"/>
        </w:rPr>
        <w:t>profound.</w:t>
      </w:r>
      <w:r w:rsidRPr="00C459AE">
        <w:rPr>
          <w:rFonts w:ascii="Arial" w:hAnsi="Arial" w:cs="Arial"/>
          <w:sz w:val="22"/>
          <w:szCs w:val="22"/>
        </w:rPr>
        <w:t xml:space="preserve"> GRIT should not be viewed merely as a </w:t>
      </w:r>
      <w:r w:rsidR="003150E3" w:rsidRPr="00C459AE">
        <w:rPr>
          <w:rFonts w:ascii="Arial" w:hAnsi="Arial" w:cs="Arial"/>
          <w:sz w:val="22"/>
          <w:szCs w:val="22"/>
        </w:rPr>
        <w:t>trait.</w:t>
      </w:r>
      <w:r w:rsidRPr="00C459AE">
        <w:rPr>
          <w:rFonts w:ascii="Arial" w:hAnsi="Arial" w:cs="Arial"/>
          <w:sz w:val="22"/>
          <w:szCs w:val="22"/>
        </w:rPr>
        <w:t xml:space="preserve"> As a skill that can be nurtured through targeted </w:t>
      </w:r>
      <w:r w:rsidR="003150E3" w:rsidRPr="00C459AE">
        <w:rPr>
          <w:rFonts w:ascii="Arial" w:hAnsi="Arial" w:cs="Arial"/>
          <w:sz w:val="22"/>
          <w:szCs w:val="22"/>
        </w:rPr>
        <w:t>interventions.</w:t>
      </w:r>
      <w:r w:rsidRPr="00C459AE">
        <w:rPr>
          <w:rFonts w:ascii="Arial" w:hAnsi="Arial" w:cs="Arial"/>
          <w:sz w:val="22"/>
          <w:szCs w:val="22"/>
        </w:rPr>
        <w:t xml:space="preserve"> Educators can foster GRIT by creating </w:t>
      </w:r>
      <w:r w:rsidR="003150E3" w:rsidRPr="00C459AE">
        <w:rPr>
          <w:rFonts w:ascii="Arial" w:hAnsi="Arial" w:cs="Arial"/>
          <w:sz w:val="22"/>
          <w:szCs w:val="22"/>
        </w:rPr>
        <w:t>environments.</w:t>
      </w:r>
      <w:r w:rsidRPr="00C459AE">
        <w:rPr>
          <w:rFonts w:ascii="Arial" w:hAnsi="Arial" w:cs="Arial"/>
          <w:sz w:val="22"/>
          <w:szCs w:val="22"/>
        </w:rPr>
        <w:t xml:space="preserve"> Encourage </w:t>
      </w:r>
      <w:r w:rsidR="003150E3" w:rsidRPr="00C459AE">
        <w:rPr>
          <w:rFonts w:ascii="Arial" w:hAnsi="Arial" w:cs="Arial"/>
          <w:sz w:val="22"/>
          <w:szCs w:val="22"/>
        </w:rPr>
        <w:t>goal setting,</w:t>
      </w:r>
      <w:r w:rsidRPr="00C459AE">
        <w:rPr>
          <w:rFonts w:ascii="Arial" w:hAnsi="Arial" w:cs="Arial"/>
          <w:sz w:val="22"/>
          <w:szCs w:val="22"/>
        </w:rPr>
        <w:t xml:space="preserve"> celebrate </w:t>
      </w:r>
      <w:r w:rsidR="003150E3" w:rsidRPr="00C459AE">
        <w:rPr>
          <w:rFonts w:ascii="Arial" w:hAnsi="Arial" w:cs="Arial"/>
          <w:sz w:val="22"/>
          <w:szCs w:val="22"/>
        </w:rPr>
        <w:t>effort,</w:t>
      </w:r>
      <w:r w:rsidRPr="00C459AE">
        <w:rPr>
          <w:rFonts w:ascii="Arial" w:hAnsi="Arial" w:cs="Arial"/>
          <w:sz w:val="22"/>
          <w:szCs w:val="22"/>
        </w:rPr>
        <w:t xml:space="preserve"> and provide emotional </w:t>
      </w:r>
      <w:r w:rsidR="00141971" w:rsidRPr="00C459AE">
        <w:rPr>
          <w:rFonts w:ascii="Arial" w:hAnsi="Arial" w:cs="Arial"/>
          <w:sz w:val="22"/>
          <w:szCs w:val="22"/>
        </w:rPr>
        <w:t>support.</w:t>
      </w:r>
      <w:r w:rsidRPr="00C459AE">
        <w:rPr>
          <w:rFonts w:ascii="Arial" w:hAnsi="Arial" w:cs="Arial"/>
          <w:sz w:val="22"/>
          <w:szCs w:val="22"/>
        </w:rPr>
        <w:t xml:space="preserve"> For </w:t>
      </w:r>
      <w:r w:rsidR="00141971" w:rsidRPr="00C459AE">
        <w:rPr>
          <w:rFonts w:ascii="Arial" w:hAnsi="Arial" w:cs="Arial"/>
          <w:sz w:val="22"/>
          <w:szCs w:val="22"/>
        </w:rPr>
        <w:t>instance,</w:t>
      </w:r>
      <w:r w:rsidRPr="00C459AE">
        <w:rPr>
          <w:rFonts w:ascii="Arial" w:hAnsi="Arial" w:cs="Arial"/>
          <w:sz w:val="22"/>
          <w:szCs w:val="22"/>
        </w:rPr>
        <w:t xml:space="preserve"> incorporating reflective writing </w:t>
      </w:r>
      <w:r w:rsidR="00141971" w:rsidRPr="00C459AE">
        <w:rPr>
          <w:rFonts w:ascii="Arial" w:hAnsi="Arial" w:cs="Arial"/>
          <w:sz w:val="22"/>
          <w:szCs w:val="22"/>
        </w:rPr>
        <w:t>exercises,</w:t>
      </w:r>
      <w:r w:rsidRPr="00C459AE">
        <w:rPr>
          <w:rFonts w:ascii="Arial" w:hAnsi="Arial" w:cs="Arial"/>
          <w:sz w:val="22"/>
          <w:szCs w:val="22"/>
        </w:rPr>
        <w:t xml:space="preserve"> resilience </w:t>
      </w:r>
      <w:r w:rsidR="00EA4284" w:rsidRPr="00C459AE">
        <w:rPr>
          <w:rFonts w:ascii="Arial" w:hAnsi="Arial" w:cs="Arial"/>
          <w:sz w:val="22"/>
          <w:szCs w:val="22"/>
        </w:rPr>
        <w:t>workshops,</w:t>
      </w:r>
      <w:r w:rsidRPr="00C459AE">
        <w:rPr>
          <w:rFonts w:ascii="Arial" w:hAnsi="Arial" w:cs="Arial"/>
          <w:sz w:val="22"/>
          <w:szCs w:val="22"/>
        </w:rPr>
        <w:t xml:space="preserve"> and mentorship programs into the curriculum can help students develop </w:t>
      </w:r>
      <w:r w:rsidR="00EA4284" w:rsidRPr="00C459AE">
        <w:rPr>
          <w:rFonts w:ascii="Arial" w:hAnsi="Arial" w:cs="Arial"/>
          <w:sz w:val="22"/>
          <w:szCs w:val="22"/>
        </w:rPr>
        <w:t>perseverance.</w:t>
      </w:r>
    </w:p>
    <w:p w14:paraId="5180685C" w14:textId="2B2146F9"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The study highlights the need for culturally responsive </w:t>
      </w:r>
      <w:r w:rsidR="00EA4284" w:rsidRPr="00C459AE">
        <w:rPr>
          <w:rFonts w:ascii="Arial" w:hAnsi="Arial" w:cs="Arial"/>
          <w:sz w:val="22"/>
          <w:szCs w:val="22"/>
        </w:rPr>
        <w:t>pedagogy.</w:t>
      </w:r>
      <w:r w:rsidRPr="00C459AE">
        <w:rPr>
          <w:rFonts w:ascii="Arial" w:hAnsi="Arial" w:cs="Arial"/>
          <w:sz w:val="22"/>
          <w:szCs w:val="22"/>
        </w:rPr>
        <w:t xml:space="preserve"> While GRIT is a universal </w:t>
      </w:r>
      <w:r w:rsidR="00EA4284" w:rsidRPr="00C459AE">
        <w:rPr>
          <w:rFonts w:ascii="Arial" w:hAnsi="Arial" w:cs="Arial"/>
          <w:sz w:val="22"/>
          <w:szCs w:val="22"/>
        </w:rPr>
        <w:t>construct,</w:t>
      </w:r>
      <w:r w:rsidRPr="00C459AE">
        <w:rPr>
          <w:rFonts w:ascii="Arial" w:hAnsi="Arial" w:cs="Arial"/>
          <w:sz w:val="22"/>
          <w:szCs w:val="22"/>
        </w:rPr>
        <w:t xml:space="preserve"> its expression is shaped by cultural norms and socioeconomic </w:t>
      </w:r>
      <w:r w:rsidR="00EA4284" w:rsidRPr="00C459AE">
        <w:rPr>
          <w:rFonts w:ascii="Arial" w:hAnsi="Arial" w:cs="Arial"/>
          <w:sz w:val="22"/>
          <w:szCs w:val="22"/>
        </w:rPr>
        <w:t>realities.</w:t>
      </w:r>
      <w:r w:rsidRPr="00C459AE">
        <w:rPr>
          <w:rFonts w:ascii="Arial" w:hAnsi="Arial" w:cs="Arial"/>
          <w:sz w:val="22"/>
          <w:szCs w:val="22"/>
        </w:rPr>
        <w:t xml:space="preserve"> Educators must recognize these contextual factors when designing </w:t>
      </w:r>
      <w:r w:rsidR="00EA4284" w:rsidRPr="00C459AE">
        <w:rPr>
          <w:rFonts w:ascii="Arial" w:hAnsi="Arial" w:cs="Arial"/>
          <w:sz w:val="22"/>
          <w:szCs w:val="22"/>
        </w:rPr>
        <w:t>interventions.</w:t>
      </w:r>
      <w:r w:rsidRPr="00C459AE">
        <w:rPr>
          <w:rFonts w:ascii="Arial" w:hAnsi="Arial" w:cs="Arial"/>
          <w:sz w:val="22"/>
          <w:szCs w:val="22"/>
        </w:rPr>
        <w:t xml:space="preserve"> In </w:t>
      </w:r>
      <w:r w:rsidR="00EA4284" w:rsidRPr="00C459AE">
        <w:rPr>
          <w:rFonts w:ascii="Arial" w:hAnsi="Arial" w:cs="Arial"/>
          <w:sz w:val="22"/>
          <w:szCs w:val="22"/>
        </w:rPr>
        <w:t>Kenya,</w:t>
      </w:r>
      <w:r w:rsidRPr="00C459AE">
        <w:rPr>
          <w:rFonts w:ascii="Arial" w:hAnsi="Arial" w:cs="Arial"/>
          <w:sz w:val="22"/>
          <w:szCs w:val="22"/>
        </w:rPr>
        <w:t xml:space="preserve"> for </w:t>
      </w:r>
      <w:r w:rsidR="00EA4284" w:rsidRPr="00C459AE">
        <w:rPr>
          <w:rFonts w:ascii="Arial" w:hAnsi="Arial" w:cs="Arial"/>
          <w:sz w:val="22"/>
          <w:szCs w:val="22"/>
        </w:rPr>
        <w:t>example,</w:t>
      </w:r>
      <w:r w:rsidRPr="00C459AE">
        <w:rPr>
          <w:rFonts w:ascii="Arial" w:hAnsi="Arial" w:cs="Arial"/>
          <w:sz w:val="22"/>
          <w:szCs w:val="22"/>
        </w:rPr>
        <w:t xml:space="preserve"> linking academic goals to community development and family well-being may resonate more deeply with students than abstract notions of personal </w:t>
      </w:r>
      <w:r w:rsidR="00EA4284" w:rsidRPr="00C459AE">
        <w:rPr>
          <w:rFonts w:ascii="Arial" w:hAnsi="Arial" w:cs="Arial"/>
          <w:sz w:val="22"/>
          <w:szCs w:val="22"/>
        </w:rPr>
        <w:t>success.</w:t>
      </w:r>
    </w:p>
    <w:p w14:paraId="5180685D" w14:textId="77777777"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The findings also challenge deficit-based narratives around academic underperformance. Rather than attributing poor outcomes solely to lack of ability or resources, this study shows that psychological traits like GRIT play a critical role. By shifting the focus to resilience and motivation, educators can adopt a strengths-based approach that empowers students.</w:t>
      </w:r>
    </w:p>
    <w:p w14:paraId="5180685E" w14:textId="6150EA55" w:rsidR="003D1DD8" w:rsidRPr="00C459AE" w:rsidRDefault="00EE33D3" w:rsidP="0062477B">
      <w:pPr>
        <w:pStyle w:val="NormalWeb"/>
        <w:spacing w:line="480" w:lineRule="auto"/>
        <w:jc w:val="both"/>
        <w:rPr>
          <w:rFonts w:ascii="Arial" w:hAnsi="Arial" w:cs="Arial"/>
          <w:sz w:val="22"/>
          <w:szCs w:val="22"/>
        </w:rPr>
      </w:pPr>
      <w:r w:rsidRPr="00C459AE">
        <w:rPr>
          <w:rFonts w:ascii="Arial" w:hAnsi="Arial" w:cs="Arial"/>
          <w:sz w:val="22"/>
          <w:szCs w:val="22"/>
        </w:rPr>
        <w:t>Finally,</w:t>
      </w:r>
      <w:r w:rsidR="003D1DD8" w:rsidRPr="00C459AE">
        <w:rPr>
          <w:rFonts w:ascii="Arial" w:hAnsi="Arial" w:cs="Arial"/>
          <w:sz w:val="22"/>
          <w:szCs w:val="22"/>
        </w:rPr>
        <w:t xml:space="preserve"> the study opens avenues for future </w:t>
      </w:r>
      <w:r w:rsidRPr="00C459AE">
        <w:rPr>
          <w:rFonts w:ascii="Arial" w:hAnsi="Arial" w:cs="Arial"/>
          <w:sz w:val="22"/>
          <w:szCs w:val="22"/>
        </w:rPr>
        <w:t>research.</w:t>
      </w:r>
      <w:r w:rsidR="003D1DD8" w:rsidRPr="00C459AE">
        <w:rPr>
          <w:rFonts w:ascii="Arial" w:hAnsi="Arial" w:cs="Arial"/>
          <w:sz w:val="22"/>
          <w:szCs w:val="22"/>
        </w:rPr>
        <w:t xml:space="preserve"> Longitudinal studies could track how GRIT evolves over time and influences academic </w:t>
      </w:r>
      <w:r w:rsidRPr="00C459AE">
        <w:rPr>
          <w:rFonts w:ascii="Arial" w:hAnsi="Arial" w:cs="Arial"/>
          <w:sz w:val="22"/>
          <w:szCs w:val="22"/>
        </w:rPr>
        <w:t>trajectories.</w:t>
      </w:r>
      <w:r w:rsidR="003D1DD8" w:rsidRPr="00C459AE">
        <w:rPr>
          <w:rFonts w:ascii="Arial" w:hAnsi="Arial" w:cs="Arial"/>
          <w:sz w:val="22"/>
          <w:szCs w:val="22"/>
        </w:rPr>
        <w:t xml:space="preserve"> Experimental designs could test the efficacy of GRIT-enhancing </w:t>
      </w:r>
      <w:r w:rsidRPr="00C459AE">
        <w:rPr>
          <w:rFonts w:ascii="Arial" w:hAnsi="Arial" w:cs="Arial"/>
          <w:sz w:val="22"/>
          <w:szCs w:val="22"/>
        </w:rPr>
        <w:t>interventions.</w:t>
      </w:r>
      <w:r w:rsidR="003D1DD8" w:rsidRPr="00C459AE">
        <w:rPr>
          <w:rFonts w:ascii="Arial" w:hAnsi="Arial" w:cs="Arial"/>
          <w:sz w:val="22"/>
          <w:szCs w:val="22"/>
        </w:rPr>
        <w:t xml:space="preserve"> Comparative studies across counties or countries could explore cultural variations in GRIT and its impact on </w:t>
      </w:r>
      <w:r w:rsidRPr="00C459AE">
        <w:rPr>
          <w:rFonts w:ascii="Arial" w:hAnsi="Arial" w:cs="Arial"/>
          <w:sz w:val="22"/>
          <w:szCs w:val="22"/>
        </w:rPr>
        <w:t>achievement.</w:t>
      </w:r>
    </w:p>
    <w:p w14:paraId="5180685F" w14:textId="77777777" w:rsidR="003D1DD8" w:rsidRPr="00C459AE" w:rsidRDefault="00B33811" w:rsidP="00893FB2">
      <w:pPr>
        <w:pStyle w:val="Heading1"/>
        <w:jc w:val="center"/>
        <w:rPr>
          <w:rFonts w:ascii="Arial" w:hAnsi="Arial" w:cs="Arial"/>
          <w:color w:val="auto"/>
          <w:sz w:val="22"/>
          <w:szCs w:val="22"/>
        </w:rPr>
      </w:pPr>
      <w:r w:rsidRPr="00C459AE">
        <w:rPr>
          <w:rFonts w:ascii="Arial" w:hAnsi="Arial" w:cs="Arial"/>
          <w:color w:val="auto"/>
          <w:sz w:val="22"/>
          <w:szCs w:val="22"/>
        </w:rPr>
        <w:lastRenderedPageBreak/>
        <w:t>CONCLUSION</w:t>
      </w:r>
    </w:p>
    <w:p w14:paraId="51806860" w14:textId="043A0E4E"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This study set out to examine the relationship between GRIT. Academic achievement among form three students in </w:t>
      </w:r>
      <w:r w:rsidR="00EE33D3" w:rsidRPr="00C459AE">
        <w:rPr>
          <w:rFonts w:ascii="Arial" w:hAnsi="Arial" w:cs="Arial"/>
          <w:sz w:val="22"/>
          <w:szCs w:val="22"/>
        </w:rPr>
        <w:t>Kiambu</w:t>
      </w:r>
      <w:r w:rsidRPr="00C459AE">
        <w:rPr>
          <w:rFonts w:ascii="Arial" w:hAnsi="Arial" w:cs="Arial"/>
          <w:sz w:val="22"/>
          <w:szCs w:val="22"/>
        </w:rPr>
        <w:t xml:space="preserve"> </w:t>
      </w:r>
      <w:r w:rsidR="00EE33D3" w:rsidRPr="00C459AE">
        <w:rPr>
          <w:rFonts w:ascii="Arial" w:hAnsi="Arial" w:cs="Arial"/>
          <w:sz w:val="22"/>
          <w:szCs w:val="22"/>
        </w:rPr>
        <w:t>county,</w:t>
      </w:r>
      <w:r w:rsidRPr="00C459AE">
        <w:rPr>
          <w:rFonts w:ascii="Arial" w:hAnsi="Arial" w:cs="Arial"/>
          <w:sz w:val="22"/>
          <w:szCs w:val="22"/>
        </w:rPr>
        <w:t xml:space="preserve"> </w:t>
      </w:r>
      <w:r w:rsidR="00EE33D3" w:rsidRPr="00C459AE">
        <w:rPr>
          <w:rFonts w:ascii="Arial" w:hAnsi="Arial" w:cs="Arial"/>
          <w:sz w:val="22"/>
          <w:szCs w:val="22"/>
        </w:rPr>
        <w:t>Kenya.</w:t>
      </w:r>
      <w:r w:rsidRPr="00C459AE">
        <w:rPr>
          <w:rFonts w:ascii="Arial" w:hAnsi="Arial" w:cs="Arial"/>
          <w:sz w:val="22"/>
          <w:szCs w:val="22"/>
        </w:rPr>
        <w:t xml:space="preserve"> Using an explanatory sequential mixed-methods </w:t>
      </w:r>
      <w:r w:rsidR="00EE33D3" w:rsidRPr="00C459AE">
        <w:rPr>
          <w:rFonts w:ascii="Arial" w:hAnsi="Arial" w:cs="Arial"/>
          <w:sz w:val="22"/>
          <w:szCs w:val="22"/>
        </w:rPr>
        <w:t>design,</w:t>
      </w:r>
      <w:r w:rsidRPr="00C459AE">
        <w:rPr>
          <w:rFonts w:ascii="Arial" w:hAnsi="Arial" w:cs="Arial"/>
          <w:sz w:val="22"/>
          <w:szCs w:val="22"/>
        </w:rPr>
        <w:t xml:space="preserve"> it established a statistically notable positive correlation between GRIT and academic </w:t>
      </w:r>
      <w:r w:rsidR="00EE33D3" w:rsidRPr="00C459AE">
        <w:rPr>
          <w:rFonts w:ascii="Arial" w:hAnsi="Arial" w:cs="Arial"/>
          <w:sz w:val="22"/>
          <w:szCs w:val="22"/>
        </w:rPr>
        <w:t>performance.</w:t>
      </w:r>
      <w:r w:rsidRPr="00C459AE">
        <w:rPr>
          <w:rFonts w:ascii="Arial" w:hAnsi="Arial" w:cs="Arial"/>
          <w:sz w:val="22"/>
          <w:szCs w:val="22"/>
        </w:rPr>
        <w:t xml:space="preserve"> This means that using an explanatory sequential mixed-methods </w:t>
      </w:r>
      <w:r w:rsidR="00EE33D3" w:rsidRPr="00C459AE">
        <w:rPr>
          <w:rFonts w:ascii="Arial" w:hAnsi="Arial" w:cs="Arial"/>
          <w:sz w:val="22"/>
          <w:szCs w:val="22"/>
        </w:rPr>
        <w:t>design,</w:t>
      </w:r>
      <w:r w:rsidRPr="00C459AE">
        <w:rPr>
          <w:rFonts w:ascii="Arial" w:hAnsi="Arial" w:cs="Arial"/>
          <w:sz w:val="22"/>
          <w:szCs w:val="22"/>
        </w:rPr>
        <w:t xml:space="preserve"> it established a statistically notable positive correlation between grit and academic </w:t>
      </w:r>
      <w:r w:rsidR="00EE33D3" w:rsidRPr="00C459AE">
        <w:rPr>
          <w:rFonts w:ascii="Arial" w:hAnsi="Arial" w:cs="Arial"/>
          <w:sz w:val="22"/>
          <w:szCs w:val="22"/>
        </w:rPr>
        <w:t>performance.</w:t>
      </w:r>
      <w:r w:rsidRPr="00C459AE">
        <w:rPr>
          <w:rFonts w:ascii="Arial" w:hAnsi="Arial" w:cs="Arial"/>
          <w:sz w:val="22"/>
          <w:szCs w:val="22"/>
        </w:rPr>
        <w:t xml:space="preserve"> Students who exhibited higher levels of perseverance. Consistency of interest tended to achieve better academic </w:t>
      </w:r>
      <w:r w:rsidR="00EE33D3" w:rsidRPr="00C459AE">
        <w:rPr>
          <w:rFonts w:ascii="Arial" w:hAnsi="Arial" w:cs="Arial"/>
          <w:sz w:val="22"/>
          <w:szCs w:val="22"/>
        </w:rPr>
        <w:t>outcomes.</w:t>
      </w:r>
    </w:p>
    <w:p w14:paraId="51806861" w14:textId="398121C4"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The absence of significant gender differences in GRIT suggests that resilience and long-term goal orientation are equally distributed among male and female students. </w:t>
      </w:r>
      <w:r w:rsidR="00EE33D3" w:rsidRPr="00C459AE">
        <w:rPr>
          <w:rFonts w:ascii="Arial" w:hAnsi="Arial" w:cs="Arial"/>
          <w:sz w:val="22"/>
          <w:szCs w:val="22"/>
        </w:rPr>
        <w:t>These finding challenges</w:t>
      </w:r>
      <w:r w:rsidRPr="00C459AE">
        <w:rPr>
          <w:rFonts w:ascii="Arial" w:hAnsi="Arial" w:cs="Arial"/>
          <w:sz w:val="22"/>
          <w:szCs w:val="22"/>
        </w:rPr>
        <w:t xml:space="preserve"> gender-based assumptions and underscores the importance of individualized support strategies.</w:t>
      </w:r>
    </w:p>
    <w:p w14:paraId="51806862" w14:textId="77777777"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Qualitative analysis revealed that students draw motivation from a variety of sources, including role models, socioeconomic reflection, spiritual practices, and institutional support. These insights provide a deeper understanding of how GRIT is cultivated and sustained in the Kenyan educational context.</w:t>
      </w:r>
    </w:p>
    <w:p w14:paraId="51806863" w14:textId="77777777"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The study contributes to psychology education by validating GRIT as a key predictor of academic success and offering culturally grounded strategies for fostering resilience. It also highlights the importance of integrating psychological support systems into schools, such as mentorship programs and guidance and counselling services.</w:t>
      </w:r>
    </w:p>
    <w:p w14:paraId="51806864" w14:textId="77777777" w:rsidR="003D1DD8" w:rsidRPr="00C459AE"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From a policy perspective, the findings suggest that educational stakeholders should prioritize non-cognitive skills in curriculum design and teacher training. GRIT should be recognized as a </w:t>
      </w:r>
      <w:r w:rsidRPr="00C459AE">
        <w:rPr>
          <w:rFonts w:ascii="Arial" w:hAnsi="Arial" w:cs="Arial"/>
          <w:sz w:val="22"/>
          <w:szCs w:val="22"/>
        </w:rPr>
        <w:lastRenderedPageBreak/>
        <w:t>teachable trait, and interventions should be tailored to students’ cultural and socioeconomic realities.</w:t>
      </w:r>
    </w:p>
    <w:p w14:paraId="51806865" w14:textId="5AF4209A" w:rsidR="003D1DD8" w:rsidRDefault="003D1DD8" w:rsidP="0062477B">
      <w:pPr>
        <w:pStyle w:val="NormalWeb"/>
        <w:spacing w:line="480" w:lineRule="auto"/>
        <w:jc w:val="both"/>
        <w:rPr>
          <w:rFonts w:ascii="Arial" w:hAnsi="Arial" w:cs="Arial"/>
          <w:sz w:val="22"/>
          <w:szCs w:val="22"/>
        </w:rPr>
      </w:pPr>
      <w:r w:rsidRPr="00C459AE">
        <w:rPr>
          <w:rFonts w:ascii="Arial" w:hAnsi="Arial" w:cs="Arial"/>
          <w:sz w:val="22"/>
          <w:szCs w:val="22"/>
        </w:rPr>
        <w:t xml:space="preserve">In </w:t>
      </w:r>
      <w:r w:rsidR="00EE33D3" w:rsidRPr="00C459AE">
        <w:rPr>
          <w:rFonts w:ascii="Arial" w:hAnsi="Arial" w:cs="Arial"/>
          <w:sz w:val="22"/>
          <w:szCs w:val="22"/>
        </w:rPr>
        <w:t>conclusion,</w:t>
      </w:r>
      <w:r w:rsidRPr="00C459AE">
        <w:rPr>
          <w:rFonts w:ascii="Arial" w:hAnsi="Arial" w:cs="Arial"/>
          <w:sz w:val="22"/>
          <w:szCs w:val="22"/>
        </w:rPr>
        <w:t xml:space="preserve"> GRIT is not merely a personal </w:t>
      </w:r>
      <w:r w:rsidR="00211162" w:rsidRPr="00C459AE">
        <w:rPr>
          <w:rFonts w:ascii="Arial" w:hAnsi="Arial" w:cs="Arial"/>
          <w:sz w:val="22"/>
          <w:szCs w:val="22"/>
        </w:rPr>
        <w:t>attribute,</w:t>
      </w:r>
      <w:r w:rsidRPr="00C459AE">
        <w:rPr>
          <w:rFonts w:ascii="Arial" w:hAnsi="Arial" w:cs="Arial"/>
          <w:sz w:val="22"/>
          <w:szCs w:val="22"/>
        </w:rPr>
        <w:t xml:space="preserve"> but a dynamic construct shaped by individual </w:t>
      </w:r>
      <w:r w:rsidR="00211162" w:rsidRPr="00C459AE">
        <w:rPr>
          <w:rFonts w:ascii="Arial" w:hAnsi="Arial" w:cs="Arial"/>
          <w:sz w:val="22"/>
          <w:szCs w:val="22"/>
        </w:rPr>
        <w:t>experiences,</w:t>
      </w:r>
      <w:r w:rsidRPr="00C459AE">
        <w:rPr>
          <w:rFonts w:ascii="Arial" w:hAnsi="Arial" w:cs="Arial"/>
          <w:sz w:val="22"/>
          <w:szCs w:val="22"/>
        </w:rPr>
        <w:t xml:space="preserve"> cultural </w:t>
      </w:r>
      <w:r w:rsidR="00211162" w:rsidRPr="00C459AE">
        <w:rPr>
          <w:rFonts w:ascii="Arial" w:hAnsi="Arial" w:cs="Arial"/>
          <w:sz w:val="22"/>
          <w:szCs w:val="22"/>
        </w:rPr>
        <w:t>values,</w:t>
      </w:r>
      <w:r w:rsidRPr="00C459AE">
        <w:rPr>
          <w:rFonts w:ascii="Arial" w:hAnsi="Arial" w:cs="Arial"/>
          <w:sz w:val="22"/>
          <w:szCs w:val="22"/>
        </w:rPr>
        <w:t xml:space="preserve"> and institutional </w:t>
      </w:r>
      <w:r w:rsidR="00211162" w:rsidRPr="00C459AE">
        <w:rPr>
          <w:rFonts w:ascii="Arial" w:hAnsi="Arial" w:cs="Arial"/>
          <w:sz w:val="22"/>
          <w:szCs w:val="22"/>
        </w:rPr>
        <w:t>support.</w:t>
      </w:r>
      <w:r w:rsidRPr="00C459AE">
        <w:rPr>
          <w:rFonts w:ascii="Arial" w:hAnsi="Arial" w:cs="Arial"/>
          <w:sz w:val="22"/>
          <w:szCs w:val="22"/>
        </w:rPr>
        <w:t xml:space="preserve"> For </w:t>
      </w:r>
      <w:r w:rsidR="00EE33D3" w:rsidRPr="00C459AE">
        <w:rPr>
          <w:rFonts w:ascii="Arial" w:hAnsi="Arial" w:cs="Arial"/>
          <w:sz w:val="22"/>
          <w:szCs w:val="22"/>
        </w:rPr>
        <w:t>context,</w:t>
      </w:r>
      <w:r w:rsidRPr="00C459AE">
        <w:rPr>
          <w:rFonts w:ascii="Arial" w:hAnsi="Arial" w:cs="Arial"/>
          <w:sz w:val="22"/>
          <w:szCs w:val="22"/>
        </w:rPr>
        <w:t xml:space="preserve"> in </w:t>
      </w:r>
      <w:r w:rsidR="00211162" w:rsidRPr="00C459AE">
        <w:rPr>
          <w:rFonts w:ascii="Arial" w:hAnsi="Arial" w:cs="Arial"/>
          <w:sz w:val="22"/>
          <w:szCs w:val="22"/>
        </w:rPr>
        <w:t>end,</w:t>
      </w:r>
      <w:r w:rsidRPr="00C459AE">
        <w:rPr>
          <w:rFonts w:ascii="Arial" w:hAnsi="Arial" w:cs="Arial"/>
          <w:sz w:val="22"/>
          <w:szCs w:val="22"/>
        </w:rPr>
        <w:t xml:space="preserve"> grit is not merely a personal </w:t>
      </w:r>
      <w:r w:rsidR="00211162" w:rsidRPr="00C459AE">
        <w:rPr>
          <w:rFonts w:ascii="Arial" w:hAnsi="Arial" w:cs="Arial"/>
          <w:sz w:val="22"/>
          <w:szCs w:val="22"/>
        </w:rPr>
        <w:t>attribute,</w:t>
      </w:r>
      <w:r w:rsidRPr="00C459AE">
        <w:rPr>
          <w:rFonts w:ascii="Arial" w:hAnsi="Arial" w:cs="Arial"/>
          <w:sz w:val="22"/>
          <w:szCs w:val="22"/>
        </w:rPr>
        <w:t xml:space="preserve"> but a dynamic construct shaped by individual </w:t>
      </w:r>
      <w:r w:rsidR="00211162" w:rsidRPr="00C459AE">
        <w:rPr>
          <w:rFonts w:ascii="Arial" w:hAnsi="Arial" w:cs="Arial"/>
          <w:sz w:val="22"/>
          <w:szCs w:val="22"/>
        </w:rPr>
        <w:t>experiences,</w:t>
      </w:r>
      <w:r w:rsidRPr="00C459AE">
        <w:rPr>
          <w:rFonts w:ascii="Arial" w:hAnsi="Arial" w:cs="Arial"/>
          <w:sz w:val="22"/>
          <w:szCs w:val="22"/>
        </w:rPr>
        <w:t xml:space="preserve"> cultural </w:t>
      </w:r>
      <w:r w:rsidR="00211162" w:rsidRPr="00C459AE">
        <w:rPr>
          <w:rFonts w:ascii="Arial" w:hAnsi="Arial" w:cs="Arial"/>
          <w:sz w:val="22"/>
          <w:szCs w:val="22"/>
        </w:rPr>
        <w:t>values,</w:t>
      </w:r>
      <w:r w:rsidRPr="00C459AE">
        <w:rPr>
          <w:rFonts w:ascii="Arial" w:hAnsi="Arial" w:cs="Arial"/>
          <w:sz w:val="22"/>
          <w:szCs w:val="22"/>
        </w:rPr>
        <w:t xml:space="preserve"> and institutional </w:t>
      </w:r>
      <w:r w:rsidR="00211162" w:rsidRPr="00C459AE">
        <w:rPr>
          <w:rFonts w:ascii="Arial" w:hAnsi="Arial" w:cs="Arial"/>
          <w:sz w:val="22"/>
          <w:szCs w:val="22"/>
        </w:rPr>
        <w:t>support.</w:t>
      </w:r>
      <w:r w:rsidRPr="00C459AE">
        <w:rPr>
          <w:rFonts w:ascii="Arial" w:hAnsi="Arial" w:cs="Arial"/>
          <w:sz w:val="22"/>
          <w:szCs w:val="22"/>
        </w:rPr>
        <w:t xml:space="preserve"> By understanding and nurturing </w:t>
      </w:r>
      <w:r w:rsidR="00211162" w:rsidRPr="00C459AE">
        <w:rPr>
          <w:rFonts w:ascii="Arial" w:hAnsi="Arial" w:cs="Arial"/>
          <w:sz w:val="22"/>
          <w:szCs w:val="22"/>
        </w:rPr>
        <w:t>GRIT,</w:t>
      </w:r>
      <w:r w:rsidRPr="00C459AE">
        <w:rPr>
          <w:rFonts w:ascii="Arial" w:hAnsi="Arial" w:cs="Arial"/>
          <w:sz w:val="22"/>
          <w:szCs w:val="22"/>
        </w:rPr>
        <w:t xml:space="preserve"> educators can empower students to overcome </w:t>
      </w:r>
      <w:r w:rsidR="00211162" w:rsidRPr="00C459AE">
        <w:rPr>
          <w:rFonts w:ascii="Arial" w:hAnsi="Arial" w:cs="Arial"/>
          <w:sz w:val="22"/>
          <w:szCs w:val="22"/>
        </w:rPr>
        <w:t>challenges.</w:t>
      </w:r>
      <w:r w:rsidRPr="00C459AE">
        <w:rPr>
          <w:rFonts w:ascii="Arial" w:hAnsi="Arial" w:cs="Arial"/>
          <w:sz w:val="22"/>
          <w:szCs w:val="22"/>
        </w:rPr>
        <w:t xml:space="preserve"> Stay focused on long-term </w:t>
      </w:r>
      <w:r w:rsidR="00211162" w:rsidRPr="00C459AE">
        <w:rPr>
          <w:rFonts w:ascii="Arial" w:hAnsi="Arial" w:cs="Arial"/>
          <w:sz w:val="22"/>
          <w:szCs w:val="22"/>
        </w:rPr>
        <w:t>goals and</w:t>
      </w:r>
      <w:r w:rsidRPr="00C459AE">
        <w:rPr>
          <w:rFonts w:ascii="Arial" w:hAnsi="Arial" w:cs="Arial"/>
          <w:sz w:val="22"/>
          <w:szCs w:val="22"/>
        </w:rPr>
        <w:t xml:space="preserve"> achieve academic </w:t>
      </w:r>
      <w:r w:rsidR="00211162" w:rsidRPr="00C459AE">
        <w:rPr>
          <w:rFonts w:ascii="Arial" w:hAnsi="Arial" w:cs="Arial"/>
          <w:sz w:val="22"/>
          <w:szCs w:val="22"/>
        </w:rPr>
        <w:t>success.</w:t>
      </w:r>
      <w:r w:rsidRPr="00C459AE">
        <w:rPr>
          <w:rFonts w:ascii="Arial" w:hAnsi="Arial" w:cs="Arial"/>
          <w:sz w:val="22"/>
          <w:szCs w:val="22"/>
        </w:rPr>
        <w:t xml:space="preserve"> This study provides a robust foundation for future </w:t>
      </w:r>
      <w:r w:rsidR="00211162" w:rsidRPr="00C459AE">
        <w:rPr>
          <w:rFonts w:ascii="Arial" w:hAnsi="Arial" w:cs="Arial"/>
          <w:sz w:val="22"/>
          <w:szCs w:val="22"/>
        </w:rPr>
        <w:t>research.</w:t>
      </w:r>
      <w:r w:rsidRPr="00C459AE">
        <w:rPr>
          <w:rFonts w:ascii="Arial" w:hAnsi="Arial" w:cs="Arial"/>
          <w:sz w:val="22"/>
          <w:szCs w:val="22"/>
        </w:rPr>
        <w:t xml:space="preserve"> Practice in educational </w:t>
      </w:r>
      <w:r w:rsidR="00211162" w:rsidRPr="00C459AE">
        <w:rPr>
          <w:rFonts w:ascii="Arial" w:hAnsi="Arial" w:cs="Arial"/>
          <w:sz w:val="22"/>
          <w:szCs w:val="22"/>
        </w:rPr>
        <w:t>psychology,</w:t>
      </w:r>
      <w:r w:rsidRPr="00C459AE">
        <w:rPr>
          <w:rFonts w:ascii="Arial" w:hAnsi="Arial" w:cs="Arial"/>
          <w:sz w:val="22"/>
          <w:szCs w:val="22"/>
        </w:rPr>
        <w:t xml:space="preserve"> particularly in </w:t>
      </w:r>
      <w:r w:rsidR="00211162" w:rsidRPr="00C459AE">
        <w:rPr>
          <w:rFonts w:ascii="Arial" w:hAnsi="Arial" w:cs="Arial"/>
          <w:sz w:val="22"/>
          <w:szCs w:val="22"/>
        </w:rPr>
        <w:t>sub-Saharan</w:t>
      </w:r>
      <w:r w:rsidRPr="00C459AE">
        <w:rPr>
          <w:rFonts w:ascii="Arial" w:hAnsi="Arial" w:cs="Arial"/>
          <w:sz w:val="22"/>
          <w:szCs w:val="22"/>
        </w:rPr>
        <w:t xml:space="preserve"> </w:t>
      </w:r>
      <w:r w:rsidR="00211162" w:rsidRPr="00C459AE">
        <w:rPr>
          <w:rFonts w:ascii="Arial" w:hAnsi="Arial" w:cs="Arial"/>
          <w:sz w:val="22"/>
          <w:szCs w:val="22"/>
        </w:rPr>
        <w:t>African</w:t>
      </w:r>
      <w:r w:rsidRPr="00C459AE">
        <w:rPr>
          <w:rFonts w:ascii="Arial" w:hAnsi="Arial" w:cs="Arial"/>
          <w:sz w:val="22"/>
          <w:szCs w:val="22"/>
        </w:rPr>
        <w:t xml:space="preserve"> </w:t>
      </w:r>
      <w:r w:rsidR="00211162" w:rsidRPr="00C459AE">
        <w:rPr>
          <w:rFonts w:ascii="Arial" w:hAnsi="Arial" w:cs="Arial"/>
          <w:sz w:val="22"/>
          <w:szCs w:val="22"/>
        </w:rPr>
        <w:t>contexts.</w:t>
      </w:r>
    </w:p>
    <w:p w14:paraId="34CAECBD" w14:textId="77777777" w:rsidR="00C21411" w:rsidRDefault="00C21411" w:rsidP="0062477B">
      <w:pPr>
        <w:pStyle w:val="NormalWeb"/>
        <w:spacing w:line="480" w:lineRule="auto"/>
        <w:jc w:val="both"/>
        <w:rPr>
          <w:rFonts w:ascii="Arial" w:hAnsi="Arial" w:cs="Arial"/>
          <w:sz w:val="22"/>
          <w:szCs w:val="22"/>
        </w:rPr>
      </w:pPr>
    </w:p>
    <w:p w14:paraId="6DDE8027" w14:textId="77777777" w:rsidR="00C21411" w:rsidRPr="00C459AE" w:rsidRDefault="00C21411" w:rsidP="0062477B">
      <w:pPr>
        <w:pStyle w:val="NormalWeb"/>
        <w:spacing w:line="480" w:lineRule="auto"/>
        <w:jc w:val="both"/>
        <w:rPr>
          <w:rFonts w:ascii="Arial" w:hAnsi="Arial" w:cs="Arial"/>
          <w:sz w:val="22"/>
          <w:szCs w:val="22"/>
        </w:rPr>
      </w:pPr>
    </w:p>
    <w:p w14:paraId="51806866" w14:textId="77777777" w:rsidR="003D1DD8" w:rsidRPr="00C459AE" w:rsidRDefault="00B33811" w:rsidP="00893FB2">
      <w:pPr>
        <w:pStyle w:val="Heading1"/>
        <w:jc w:val="center"/>
        <w:rPr>
          <w:rFonts w:ascii="Arial" w:hAnsi="Arial" w:cs="Arial"/>
          <w:color w:val="auto"/>
          <w:sz w:val="22"/>
          <w:szCs w:val="22"/>
        </w:rPr>
      </w:pPr>
      <w:r w:rsidRPr="00C459AE">
        <w:rPr>
          <w:rFonts w:ascii="Arial" w:hAnsi="Arial" w:cs="Arial"/>
          <w:color w:val="auto"/>
          <w:sz w:val="22"/>
          <w:szCs w:val="22"/>
        </w:rPr>
        <w:t>REFERENCES</w:t>
      </w:r>
    </w:p>
    <w:p w14:paraId="51806867"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Alamer, A. (2021). Grit and language learning: Construct validation of the L2-Grit scale and its relation to later vocabulary knowledge. </w:t>
      </w:r>
      <w:r w:rsidRPr="00C459AE">
        <w:rPr>
          <w:rStyle w:val="Emphasis"/>
          <w:rFonts w:ascii="Arial" w:hAnsi="Arial" w:cs="Arial"/>
          <w:sz w:val="22"/>
          <w:szCs w:val="22"/>
        </w:rPr>
        <w:t>Educational Psychology</w:t>
      </w:r>
      <w:r w:rsidRPr="00C459AE">
        <w:rPr>
          <w:rFonts w:ascii="Arial" w:hAnsi="Arial" w:cs="Arial"/>
          <w:sz w:val="22"/>
          <w:szCs w:val="22"/>
        </w:rPr>
        <w:t>, 41(5), 544–562. https://doi.org/10.1080/01443410.2020.1867076</w:t>
      </w:r>
    </w:p>
    <w:p w14:paraId="51806868"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Akunne, L. I., &amp; Anyanmene, A. N. (2021). Relationship among locus of control, academic interest, and secondary school students' academic achievement in Anambra State, Nigeria. </w:t>
      </w:r>
      <w:r w:rsidRPr="00C459AE">
        <w:rPr>
          <w:rStyle w:val="Emphasis"/>
          <w:rFonts w:ascii="Arial" w:hAnsi="Arial" w:cs="Arial"/>
          <w:sz w:val="22"/>
          <w:szCs w:val="22"/>
        </w:rPr>
        <w:t>Asian Journal of Education and Social Studies</w:t>
      </w:r>
      <w:r w:rsidRPr="00C459AE">
        <w:rPr>
          <w:rFonts w:ascii="Arial" w:hAnsi="Arial" w:cs="Arial"/>
          <w:sz w:val="22"/>
          <w:szCs w:val="22"/>
        </w:rPr>
        <w:t>, 16(1), 9–15.</w:t>
      </w:r>
    </w:p>
    <w:p w14:paraId="51806869"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Bevolo, M., &amp; Blaise, J. O. (2022). Towards mobilizing educators as environmental ambassadors: A design research approach to inspire teachers to advocate sustainable futures. </w:t>
      </w:r>
      <w:r w:rsidRPr="00C459AE">
        <w:rPr>
          <w:rStyle w:val="Emphasis"/>
          <w:rFonts w:ascii="Arial" w:hAnsi="Arial" w:cs="Arial"/>
          <w:sz w:val="22"/>
          <w:szCs w:val="22"/>
        </w:rPr>
        <w:t>On the Horizon</w:t>
      </w:r>
      <w:r w:rsidRPr="00C459AE">
        <w:rPr>
          <w:rFonts w:ascii="Arial" w:hAnsi="Arial" w:cs="Arial"/>
          <w:sz w:val="22"/>
          <w:szCs w:val="22"/>
        </w:rPr>
        <w:t>, 30(2), 82–95. https://doi.org/10.1108/OTH-06-2021-0071</w:t>
      </w:r>
    </w:p>
    <w:p w14:paraId="5180686A"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lastRenderedPageBreak/>
        <w:t xml:space="preserve">Braun, V., &amp; Clarke, V. (2006). Using thematic analysis in psychology. </w:t>
      </w:r>
      <w:r w:rsidRPr="00C459AE">
        <w:rPr>
          <w:rStyle w:val="Emphasis"/>
          <w:rFonts w:ascii="Arial" w:hAnsi="Arial" w:cs="Arial"/>
          <w:sz w:val="22"/>
          <w:szCs w:val="22"/>
        </w:rPr>
        <w:t>Qualitative Research in Psychology</w:t>
      </w:r>
      <w:r w:rsidRPr="00C459AE">
        <w:rPr>
          <w:rFonts w:ascii="Arial" w:hAnsi="Arial" w:cs="Arial"/>
          <w:sz w:val="22"/>
          <w:szCs w:val="22"/>
        </w:rPr>
        <w:t>, 3(2), 77–101. https://doi.org/10.1191/1478088706qp063oa</w:t>
      </w:r>
    </w:p>
    <w:p w14:paraId="5180686B"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Bryman, A. (2016). </w:t>
      </w:r>
      <w:r w:rsidRPr="00C459AE">
        <w:rPr>
          <w:rStyle w:val="Emphasis"/>
          <w:rFonts w:ascii="Arial" w:hAnsi="Arial" w:cs="Arial"/>
          <w:sz w:val="22"/>
          <w:szCs w:val="22"/>
        </w:rPr>
        <w:t>Social research methods</w:t>
      </w:r>
      <w:r w:rsidRPr="00C459AE">
        <w:rPr>
          <w:rFonts w:ascii="Arial" w:hAnsi="Arial" w:cs="Arial"/>
          <w:sz w:val="22"/>
          <w:szCs w:val="22"/>
        </w:rPr>
        <w:t xml:space="preserve"> (5th ed.). Oxford University Press.</w:t>
      </w:r>
    </w:p>
    <w:p w14:paraId="5180686C"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Chitpin, S. (2021). Great expectations: The achievement gap in English schools. In </w:t>
      </w:r>
      <w:r w:rsidRPr="00C459AE">
        <w:rPr>
          <w:rStyle w:val="Emphasis"/>
          <w:rFonts w:ascii="Arial" w:hAnsi="Arial" w:cs="Arial"/>
          <w:sz w:val="22"/>
          <w:szCs w:val="22"/>
        </w:rPr>
        <w:t>Understanding Decision-Making in Educational Contexts</w:t>
      </w:r>
      <w:r w:rsidRPr="00C459AE">
        <w:rPr>
          <w:rFonts w:ascii="Arial" w:hAnsi="Arial" w:cs="Arial"/>
          <w:sz w:val="22"/>
          <w:szCs w:val="22"/>
        </w:rPr>
        <w:t xml:space="preserve"> (pp. 65–83). Emerald Publishing. https://doi.org/10.1108/978-1-80071-817-320211005</w:t>
      </w:r>
    </w:p>
    <w:p w14:paraId="5180686D"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Christopoulou, M., Lakioti, A., Pezirkianidis, C., &amp; Karakasidou, E. (2018). The role of grit in education: A systematic review. </w:t>
      </w:r>
      <w:r w:rsidRPr="00C459AE">
        <w:rPr>
          <w:rStyle w:val="Emphasis"/>
          <w:rFonts w:ascii="Arial" w:hAnsi="Arial" w:cs="Arial"/>
          <w:sz w:val="22"/>
          <w:szCs w:val="22"/>
        </w:rPr>
        <w:t>Psychology</w:t>
      </w:r>
      <w:r w:rsidRPr="00C459AE">
        <w:rPr>
          <w:rFonts w:ascii="Arial" w:hAnsi="Arial" w:cs="Arial"/>
          <w:sz w:val="22"/>
          <w:szCs w:val="22"/>
        </w:rPr>
        <w:t>, 9(1), 2951–2971. https://doi.org/10.4236/psych.2018.915171</w:t>
      </w:r>
    </w:p>
    <w:p w14:paraId="5180686E"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Creswell, J. W., &amp; Plano Clark, V. L. (2018). </w:t>
      </w:r>
      <w:r w:rsidRPr="00C459AE">
        <w:rPr>
          <w:rStyle w:val="Emphasis"/>
          <w:rFonts w:ascii="Arial" w:hAnsi="Arial" w:cs="Arial"/>
          <w:sz w:val="22"/>
          <w:szCs w:val="22"/>
        </w:rPr>
        <w:t>Designing and conducting mixed methods research</w:t>
      </w:r>
      <w:r w:rsidRPr="00C459AE">
        <w:rPr>
          <w:rFonts w:ascii="Arial" w:hAnsi="Arial" w:cs="Arial"/>
          <w:sz w:val="22"/>
          <w:szCs w:val="22"/>
        </w:rPr>
        <w:t xml:space="preserve"> (3rd ed.). SAGE Publications.</w:t>
      </w:r>
    </w:p>
    <w:p w14:paraId="5180686F"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Creswell, J. W., &amp; Poth, C. N. (2018). </w:t>
      </w:r>
      <w:r w:rsidRPr="00C459AE">
        <w:rPr>
          <w:rStyle w:val="Emphasis"/>
          <w:rFonts w:ascii="Arial" w:hAnsi="Arial" w:cs="Arial"/>
          <w:sz w:val="22"/>
          <w:szCs w:val="22"/>
        </w:rPr>
        <w:t>Qualitative inquiry and research design: Choosing among five approaches</w:t>
      </w:r>
      <w:r w:rsidRPr="00C459AE">
        <w:rPr>
          <w:rFonts w:ascii="Arial" w:hAnsi="Arial" w:cs="Arial"/>
          <w:sz w:val="22"/>
          <w:szCs w:val="22"/>
        </w:rPr>
        <w:t xml:space="preserve"> (4th ed.). SAGE Publications.</w:t>
      </w:r>
    </w:p>
    <w:p w14:paraId="51806870"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Duckworth, A. L., Peterson, C., Matthews, M. D., &amp; Kelly, D. R. (2007). Grit: Perseverance and passion for long-term goals. </w:t>
      </w:r>
      <w:r w:rsidRPr="00C459AE">
        <w:rPr>
          <w:rStyle w:val="Emphasis"/>
          <w:rFonts w:ascii="Arial" w:hAnsi="Arial" w:cs="Arial"/>
          <w:sz w:val="22"/>
          <w:szCs w:val="22"/>
        </w:rPr>
        <w:t>Journal of Personality and Social Psychology</w:t>
      </w:r>
      <w:r w:rsidRPr="00C459AE">
        <w:rPr>
          <w:rFonts w:ascii="Arial" w:hAnsi="Arial" w:cs="Arial"/>
          <w:sz w:val="22"/>
          <w:szCs w:val="22"/>
        </w:rPr>
        <w:t>, 92(6), 1087–1101. https://doi.org/10.1037/0022-3514.92.6.1087</w:t>
      </w:r>
    </w:p>
    <w:p w14:paraId="51806871"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Eksterowicz, H. (2020). The relationship between locus of control, gender, and academic achievement. </w:t>
      </w:r>
      <w:r w:rsidRPr="00C459AE">
        <w:rPr>
          <w:rStyle w:val="Emphasis"/>
          <w:rFonts w:ascii="Arial" w:hAnsi="Arial" w:cs="Arial"/>
          <w:sz w:val="22"/>
          <w:szCs w:val="22"/>
        </w:rPr>
        <w:t>Journal of Education</w:t>
      </w:r>
      <w:r w:rsidRPr="00C459AE">
        <w:rPr>
          <w:rFonts w:ascii="Arial" w:hAnsi="Arial" w:cs="Arial"/>
          <w:sz w:val="22"/>
          <w:szCs w:val="22"/>
        </w:rPr>
        <w:t>, 5(2), 30–41.</w:t>
      </w:r>
    </w:p>
    <w:p w14:paraId="51806872"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Essin, O. (2021). The relationship between grit and emotional intelligence in university students. </w:t>
      </w:r>
      <w:r w:rsidRPr="00C459AE">
        <w:rPr>
          <w:rStyle w:val="Emphasis"/>
          <w:rFonts w:ascii="Arial" w:hAnsi="Arial" w:cs="Arial"/>
          <w:sz w:val="22"/>
          <w:szCs w:val="22"/>
        </w:rPr>
        <w:t>Psycho-Educational Research Review</w:t>
      </w:r>
      <w:r w:rsidRPr="00C459AE">
        <w:rPr>
          <w:rFonts w:ascii="Arial" w:hAnsi="Arial" w:cs="Arial"/>
          <w:sz w:val="22"/>
          <w:szCs w:val="22"/>
        </w:rPr>
        <w:t>, 3(1), 25–33.</w:t>
      </w:r>
    </w:p>
    <w:p w14:paraId="51806873"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lastRenderedPageBreak/>
        <w:t xml:space="preserve">Fernández, R. G., &amp; Brenlla, M. E. (2022). Past-positive time perspective predicts academic achievement via motivation, and procrastination might not be as bad as it seems. </w:t>
      </w:r>
      <w:r w:rsidRPr="00C459AE">
        <w:rPr>
          <w:rStyle w:val="Emphasis"/>
          <w:rFonts w:ascii="Arial" w:hAnsi="Arial" w:cs="Arial"/>
          <w:sz w:val="22"/>
          <w:szCs w:val="22"/>
        </w:rPr>
        <w:t>Journal of Applied Research in Higher Education</w:t>
      </w:r>
      <w:r w:rsidRPr="00C459AE">
        <w:rPr>
          <w:rFonts w:ascii="Arial" w:hAnsi="Arial" w:cs="Arial"/>
          <w:sz w:val="22"/>
          <w:szCs w:val="22"/>
        </w:rPr>
        <w:t>, 14(2), 33–46. https://doi.org/10.1108/JARHE-11-2021-0413</w:t>
      </w:r>
    </w:p>
    <w:p w14:paraId="51806874"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Hanushek, E. A., &amp; Woessmann, L. (2020). Education, knowledge capital, and economic growth. In </w:t>
      </w:r>
      <w:r w:rsidRPr="00C459AE">
        <w:rPr>
          <w:rStyle w:val="Emphasis"/>
          <w:rFonts w:ascii="Arial" w:hAnsi="Arial" w:cs="Arial"/>
          <w:sz w:val="22"/>
          <w:szCs w:val="22"/>
        </w:rPr>
        <w:t>International Encyclopedia of Education</w:t>
      </w:r>
      <w:r w:rsidRPr="00C459AE">
        <w:rPr>
          <w:rFonts w:ascii="Arial" w:hAnsi="Arial" w:cs="Arial"/>
          <w:sz w:val="22"/>
          <w:szCs w:val="22"/>
        </w:rPr>
        <w:t xml:space="preserve"> (4th ed., pp. 1–7). Elsevier.</w:t>
      </w:r>
    </w:p>
    <w:p w14:paraId="51806875"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Kamau, J., &amp; Githinji, M. (2020). The role of academic emotions in influencing student performance in Kiambu County, Kenya. </w:t>
      </w:r>
      <w:r w:rsidRPr="00C459AE">
        <w:rPr>
          <w:rStyle w:val="Emphasis"/>
          <w:rFonts w:ascii="Arial" w:hAnsi="Arial" w:cs="Arial"/>
          <w:sz w:val="22"/>
          <w:szCs w:val="22"/>
        </w:rPr>
        <w:t>Kenya Journal of Educational Psychology</w:t>
      </w:r>
      <w:r w:rsidRPr="00C459AE">
        <w:rPr>
          <w:rFonts w:ascii="Arial" w:hAnsi="Arial" w:cs="Arial"/>
          <w:sz w:val="22"/>
          <w:szCs w:val="22"/>
        </w:rPr>
        <w:t>, 3(1), 22–35.</w:t>
      </w:r>
    </w:p>
    <w:p w14:paraId="51806876"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Khajavy, G. H., &amp; Aghaee, E. (2022). The contribution of grit, emotions, and personal bests to foreign language learning. </w:t>
      </w:r>
      <w:r w:rsidRPr="00C459AE">
        <w:rPr>
          <w:rStyle w:val="Emphasis"/>
          <w:rFonts w:ascii="Arial" w:hAnsi="Arial" w:cs="Arial"/>
          <w:sz w:val="22"/>
          <w:szCs w:val="22"/>
        </w:rPr>
        <w:t>Journal of Multilingual and Multicultural Development</w:t>
      </w:r>
      <w:r w:rsidRPr="00C459AE">
        <w:rPr>
          <w:rFonts w:ascii="Arial" w:hAnsi="Arial" w:cs="Arial"/>
          <w:sz w:val="22"/>
          <w:szCs w:val="22"/>
        </w:rPr>
        <w:t>, 43(1), 14–29. https://doi.org/10.1080/01434632.2022.2047192</w:t>
      </w:r>
    </w:p>
    <w:p w14:paraId="51806877"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KNEC. (2019–2023). </w:t>
      </w:r>
      <w:r w:rsidRPr="00C459AE">
        <w:rPr>
          <w:rStyle w:val="Emphasis"/>
          <w:rFonts w:ascii="Arial" w:hAnsi="Arial" w:cs="Arial"/>
          <w:sz w:val="22"/>
          <w:szCs w:val="22"/>
        </w:rPr>
        <w:t>KCSE Examination Essential Statistics</w:t>
      </w:r>
      <w:r w:rsidRPr="00C459AE">
        <w:rPr>
          <w:rFonts w:ascii="Arial" w:hAnsi="Arial" w:cs="Arial"/>
          <w:sz w:val="22"/>
          <w:szCs w:val="22"/>
        </w:rPr>
        <w:t>. Kenya National Examinations Council.</w:t>
      </w:r>
    </w:p>
    <w:p w14:paraId="51806878"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Lam, K. K. L., &amp; Zhou, M. (2019). Examining the relationship between grit and academic achievement within K–12 and higher education: A systematic review. </w:t>
      </w:r>
      <w:r w:rsidRPr="00C459AE">
        <w:rPr>
          <w:rStyle w:val="Emphasis"/>
          <w:rFonts w:ascii="Arial" w:hAnsi="Arial" w:cs="Arial"/>
          <w:sz w:val="22"/>
          <w:szCs w:val="22"/>
        </w:rPr>
        <w:t>Psychology in the Schools</w:t>
      </w:r>
      <w:r w:rsidRPr="00C459AE">
        <w:rPr>
          <w:rFonts w:ascii="Arial" w:hAnsi="Arial" w:cs="Arial"/>
          <w:sz w:val="22"/>
          <w:szCs w:val="22"/>
        </w:rPr>
        <w:t>, 56(10), 1654–1686. https://doi.org/10.1002/pits.22302</w:t>
      </w:r>
    </w:p>
    <w:p w14:paraId="51806879"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Lehman, A. N. (2019). The role of perceived academic control, preoccupation with failure, and academic emotions on major satisfaction. </w:t>
      </w:r>
      <w:r w:rsidRPr="00C459AE">
        <w:rPr>
          <w:rStyle w:val="Emphasis"/>
          <w:rFonts w:ascii="Arial" w:hAnsi="Arial" w:cs="Arial"/>
          <w:sz w:val="22"/>
          <w:szCs w:val="22"/>
        </w:rPr>
        <w:t>Illinois State University</w:t>
      </w:r>
      <w:r w:rsidRPr="00C459AE">
        <w:rPr>
          <w:rFonts w:ascii="Arial" w:hAnsi="Arial" w:cs="Arial"/>
          <w:sz w:val="22"/>
          <w:szCs w:val="22"/>
        </w:rPr>
        <w:t>. https://ir.library.illinoisstate.edu/etd/1105</w:t>
      </w:r>
    </w:p>
    <w:p w14:paraId="5180687A"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Mason, L. (2018). Grit and academic achievement among university students in South Africa. </w:t>
      </w:r>
      <w:r w:rsidRPr="00C459AE">
        <w:rPr>
          <w:rStyle w:val="Emphasis"/>
          <w:rFonts w:ascii="Arial" w:hAnsi="Arial" w:cs="Arial"/>
          <w:sz w:val="22"/>
          <w:szCs w:val="22"/>
        </w:rPr>
        <w:t>South African Journal of Psychology</w:t>
      </w:r>
      <w:r w:rsidRPr="00C459AE">
        <w:rPr>
          <w:rFonts w:ascii="Arial" w:hAnsi="Arial" w:cs="Arial"/>
          <w:sz w:val="22"/>
          <w:szCs w:val="22"/>
        </w:rPr>
        <w:t>, 48(2), 112–125.</w:t>
      </w:r>
    </w:p>
    <w:p w14:paraId="5180687B"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lastRenderedPageBreak/>
        <w:t xml:space="preserve">Mugo, D. M., Mutua, J. N., &amp; Mutisya, E. N. (2025). Relationship between grit, academic emotions, and academic achievement of secondary school students in Kiambu County, Kenya. </w:t>
      </w:r>
      <w:r w:rsidRPr="00C459AE">
        <w:rPr>
          <w:rStyle w:val="Emphasis"/>
          <w:rFonts w:ascii="Arial" w:hAnsi="Arial" w:cs="Arial"/>
          <w:sz w:val="22"/>
          <w:szCs w:val="22"/>
        </w:rPr>
        <w:t>East African Journal of Educational Studies</w:t>
      </w:r>
      <w:r w:rsidRPr="00C459AE">
        <w:rPr>
          <w:rFonts w:ascii="Arial" w:hAnsi="Arial" w:cs="Arial"/>
          <w:sz w:val="22"/>
          <w:szCs w:val="22"/>
        </w:rPr>
        <w:t>, 3(1), 1–21.</w:t>
      </w:r>
    </w:p>
    <w:p w14:paraId="5180687C"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Murayama, K., Pekrun, R., &amp; Lichtenfeld, S. (2017). Predicting long-term academic success from motivation and learning strategies. </w:t>
      </w:r>
      <w:r w:rsidRPr="00C459AE">
        <w:rPr>
          <w:rStyle w:val="Emphasis"/>
          <w:rFonts w:ascii="Arial" w:hAnsi="Arial" w:cs="Arial"/>
          <w:sz w:val="22"/>
          <w:szCs w:val="22"/>
        </w:rPr>
        <w:t>Journal of Educational Psychology</w:t>
      </w:r>
      <w:r w:rsidRPr="00C459AE">
        <w:rPr>
          <w:rFonts w:ascii="Arial" w:hAnsi="Arial" w:cs="Arial"/>
          <w:sz w:val="22"/>
          <w:szCs w:val="22"/>
        </w:rPr>
        <w:t>, 109(2), 267–284.</w:t>
      </w:r>
    </w:p>
    <w:p w14:paraId="5180687D"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Peercy, C., &amp; Svenson, N. (2019). Rethinking higher education investment in developing countries. </w:t>
      </w:r>
      <w:r w:rsidRPr="00C459AE">
        <w:rPr>
          <w:rStyle w:val="Emphasis"/>
          <w:rFonts w:ascii="Arial" w:hAnsi="Arial" w:cs="Arial"/>
          <w:sz w:val="22"/>
          <w:szCs w:val="22"/>
        </w:rPr>
        <w:t>Journal of International Education</w:t>
      </w:r>
      <w:r w:rsidRPr="00C459AE">
        <w:rPr>
          <w:rFonts w:ascii="Arial" w:hAnsi="Arial" w:cs="Arial"/>
          <w:sz w:val="22"/>
          <w:szCs w:val="22"/>
        </w:rPr>
        <w:t>, 34(1), 39–47. https://doi.org/10.1108/S1479-367920180000034004</w:t>
      </w:r>
    </w:p>
    <w:p w14:paraId="5180687E"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Pekrun, R. (2006). The control-value theory of achievement emotions: Assumptions, corollaries, and implications for educational research and practice. </w:t>
      </w:r>
      <w:r w:rsidRPr="00C459AE">
        <w:rPr>
          <w:rStyle w:val="Emphasis"/>
          <w:rFonts w:ascii="Arial" w:hAnsi="Arial" w:cs="Arial"/>
          <w:sz w:val="22"/>
          <w:szCs w:val="22"/>
        </w:rPr>
        <w:t>Educational Psychology Review</w:t>
      </w:r>
      <w:r w:rsidRPr="00C459AE">
        <w:rPr>
          <w:rFonts w:ascii="Arial" w:hAnsi="Arial" w:cs="Arial"/>
          <w:sz w:val="22"/>
          <w:szCs w:val="22"/>
        </w:rPr>
        <w:t>, 18(4), 315–341.</w:t>
      </w:r>
    </w:p>
    <w:p w14:paraId="5180687F"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Pekrun, R., Goetz, T., Titz, W., &amp; Perry, R. P. (2002). Positive emotions in education. In E. Frydenberg (Ed.), </w:t>
      </w:r>
      <w:r w:rsidRPr="00C459AE">
        <w:rPr>
          <w:rStyle w:val="Emphasis"/>
          <w:rFonts w:ascii="Arial" w:hAnsi="Arial" w:cs="Arial"/>
          <w:sz w:val="22"/>
          <w:szCs w:val="22"/>
        </w:rPr>
        <w:t>Beyond coping: Meeting goals, visions, and challenges</w:t>
      </w:r>
      <w:r w:rsidRPr="00C459AE">
        <w:rPr>
          <w:rFonts w:ascii="Arial" w:hAnsi="Arial" w:cs="Arial"/>
          <w:sz w:val="22"/>
          <w:szCs w:val="22"/>
        </w:rPr>
        <w:t xml:space="preserve"> (pp. 149–173). Oxford University Press.</w:t>
      </w:r>
    </w:p>
    <w:p w14:paraId="51806880"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Sudina, E., Brown, J., Datzman, B., Oki, Y., Song, K., &amp; Cavanaugh, R. (2020). Language-specific grit: Exploring psychometric properties, predictive validity, and differences across contexts. </w:t>
      </w:r>
      <w:r w:rsidRPr="00C459AE">
        <w:rPr>
          <w:rStyle w:val="Emphasis"/>
          <w:rFonts w:ascii="Arial" w:hAnsi="Arial" w:cs="Arial"/>
          <w:sz w:val="22"/>
          <w:szCs w:val="22"/>
        </w:rPr>
        <w:t>Innovation in Language Learning and Teaching</w:t>
      </w:r>
      <w:r w:rsidRPr="00C459AE">
        <w:rPr>
          <w:rFonts w:ascii="Arial" w:hAnsi="Arial" w:cs="Arial"/>
          <w:sz w:val="22"/>
          <w:szCs w:val="22"/>
        </w:rPr>
        <w:t>, 15(4), 334–351. https://doi.org/10.1080/17501229.2020.1802468</w:t>
      </w:r>
    </w:p>
    <w:p w14:paraId="51806881"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Wambugu, M., &amp; Karugu, G. (2021). Lack of perseverance and academic achievement among secondary school students in Nairobi County. </w:t>
      </w:r>
      <w:r w:rsidRPr="00C459AE">
        <w:rPr>
          <w:rStyle w:val="Emphasis"/>
          <w:rFonts w:ascii="Arial" w:hAnsi="Arial" w:cs="Arial"/>
          <w:sz w:val="22"/>
          <w:szCs w:val="22"/>
        </w:rPr>
        <w:t>Kenya Journal of Educational Psychology</w:t>
      </w:r>
      <w:r w:rsidRPr="00C459AE">
        <w:rPr>
          <w:rFonts w:ascii="Arial" w:hAnsi="Arial" w:cs="Arial"/>
          <w:sz w:val="22"/>
          <w:szCs w:val="22"/>
        </w:rPr>
        <w:t>, 2(2), 45–59.</w:t>
      </w:r>
    </w:p>
    <w:p w14:paraId="51806882"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lastRenderedPageBreak/>
        <w:t xml:space="preserve">Wang, R., Shirvan, M. E., &amp; Taherian, T. (2021). Perseverance of effort and consistency of interest: A longitudinal perspective. </w:t>
      </w:r>
      <w:r w:rsidRPr="00C459AE">
        <w:rPr>
          <w:rStyle w:val="Emphasis"/>
          <w:rFonts w:ascii="Arial" w:hAnsi="Arial" w:cs="Arial"/>
          <w:sz w:val="22"/>
          <w:szCs w:val="22"/>
        </w:rPr>
        <w:t>Frontiers in Psychology</w:t>
      </w:r>
      <w:r w:rsidRPr="00C459AE">
        <w:rPr>
          <w:rFonts w:ascii="Arial" w:hAnsi="Arial" w:cs="Arial"/>
          <w:sz w:val="22"/>
          <w:szCs w:val="22"/>
        </w:rPr>
        <w:t>, 12, 743414. https://doi.org/10.3389/fpsyg.2021.743414</w:t>
      </w:r>
    </w:p>
    <w:p w14:paraId="51806883" w14:textId="77777777" w:rsidR="003D1DD8"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Wei, R., Liu, H., &amp; Wang, S. (2020). Exploring L2 grit in the Chinese EFL context. </w:t>
      </w:r>
      <w:r w:rsidRPr="00C459AE">
        <w:rPr>
          <w:rStyle w:val="Emphasis"/>
          <w:rFonts w:ascii="Arial" w:hAnsi="Arial" w:cs="Arial"/>
          <w:sz w:val="22"/>
          <w:szCs w:val="22"/>
        </w:rPr>
        <w:t>System</w:t>
      </w:r>
      <w:r w:rsidRPr="00C459AE">
        <w:rPr>
          <w:rFonts w:ascii="Arial" w:hAnsi="Arial" w:cs="Arial"/>
          <w:sz w:val="22"/>
          <w:szCs w:val="22"/>
        </w:rPr>
        <w:t>, 93, 102295. https://doi.org/10.1016/j.system.2020.102295</w:t>
      </w:r>
    </w:p>
    <w:p w14:paraId="51806884" w14:textId="77777777" w:rsidR="00311B94" w:rsidRPr="00C459AE" w:rsidRDefault="003D1DD8" w:rsidP="0055290B">
      <w:pPr>
        <w:pStyle w:val="NormalWeb"/>
        <w:spacing w:before="0" w:beforeAutospacing="0" w:after="240" w:afterAutospacing="0" w:line="480" w:lineRule="auto"/>
        <w:ind w:left="720" w:hanging="720"/>
        <w:rPr>
          <w:rFonts w:ascii="Arial" w:hAnsi="Arial" w:cs="Arial"/>
          <w:sz w:val="22"/>
          <w:szCs w:val="22"/>
        </w:rPr>
      </w:pPr>
      <w:r w:rsidRPr="00C459AE">
        <w:rPr>
          <w:rFonts w:ascii="Arial" w:hAnsi="Arial" w:cs="Arial"/>
          <w:sz w:val="22"/>
          <w:szCs w:val="22"/>
        </w:rPr>
        <w:t xml:space="preserve">Wigfield, A., Gladstone, J., &amp; Turci, L. (2016). Beyond cognition: Reading motivation and reading comprehension. </w:t>
      </w:r>
      <w:r w:rsidRPr="00C459AE">
        <w:rPr>
          <w:rStyle w:val="Emphasis"/>
          <w:rFonts w:ascii="Arial" w:hAnsi="Arial" w:cs="Arial"/>
          <w:sz w:val="22"/>
          <w:szCs w:val="22"/>
        </w:rPr>
        <w:t>Child Development Perspectives</w:t>
      </w:r>
      <w:r w:rsidRPr="00C459AE">
        <w:rPr>
          <w:rFonts w:ascii="Arial" w:hAnsi="Arial" w:cs="Arial"/>
          <w:sz w:val="22"/>
          <w:szCs w:val="22"/>
        </w:rPr>
        <w:t>, 10(3), 190–195. https://doi.org/10.1111/cdep.12184</w:t>
      </w:r>
    </w:p>
    <w:sectPr w:rsidR="00311B94" w:rsidRPr="00C459AE" w:rsidSect="002E70B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F069F" w14:textId="77777777" w:rsidR="00A36AC4" w:rsidRDefault="00A36AC4" w:rsidP="00DF11A6">
      <w:pPr>
        <w:spacing w:after="0" w:line="240" w:lineRule="auto"/>
      </w:pPr>
      <w:r>
        <w:separator/>
      </w:r>
    </w:p>
  </w:endnote>
  <w:endnote w:type="continuationSeparator" w:id="0">
    <w:p w14:paraId="7597EDC7" w14:textId="77777777" w:rsidR="00A36AC4" w:rsidRDefault="00A36AC4" w:rsidP="00DF1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4ACC" w14:textId="77777777" w:rsidR="00DF11A6" w:rsidRDefault="00DF1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B680" w14:textId="77777777" w:rsidR="00DF11A6" w:rsidRDefault="00DF11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87A63" w14:textId="77777777" w:rsidR="00DF11A6" w:rsidRDefault="00DF1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99AFE" w14:textId="77777777" w:rsidR="00A36AC4" w:rsidRDefault="00A36AC4" w:rsidP="00DF11A6">
      <w:pPr>
        <w:spacing w:after="0" w:line="240" w:lineRule="auto"/>
      </w:pPr>
      <w:r>
        <w:separator/>
      </w:r>
    </w:p>
  </w:footnote>
  <w:footnote w:type="continuationSeparator" w:id="0">
    <w:p w14:paraId="49DA07B9" w14:textId="77777777" w:rsidR="00A36AC4" w:rsidRDefault="00A36AC4" w:rsidP="00DF1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1262E" w14:textId="5CB27E9F" w:rsidR="00DF11A6" w:rsidRDefault="00DF11A6">
    <w:pPr>
      <w:pStyle w:val="Header"/>
    </w:pPr>
    <w:r>
      <w:rPr>
        <w:noProof/>
      </w:rPr>
      <w:pict w14:anchorId="0F481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476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6DB32" w14:textId="2AA772B8" w:rsidR="00DF11A6" w:rsidRDefault="00DF11A6">
    <w:pPr>
      <w:pStyle w:val="Header"/>
    </w:pPr>
    <w:r>
      <w:rPr>
        <w:noProof/>
      </w:rPr>
      <w:pict w14:anchorId="4F2DC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476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796BB" w14:textId="7EF8A7DD" w:rsidR="00DF11A6" w:rsidRDefault="00DF11A6">
    <w:pPr>
      <w:pStyle w:val="Header"/>
    </w:pPr>
    <w:r>
      <w:rPr>
        <w:noProof/>
      </w:rPr>
      <w:pict w14:anchorId="2AF47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476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B47"/>
    <w:multiLevelType w:val="multilevel"/>
    <w:tmpl w:val="D2909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A7C60"/>
    <w:multiLevelType w:val="multilevel"/>
    <w:tmpl w:val="7576D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9232A"/>
    <w:multiLevelType w:val="multilevel"/>
    <w:tmpl w:val="9632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A6DA5"/>
    <w:multiLevelType w:val="multilevel"/>
    <w:tmpl w:val="5A32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37A66"/>
    <w:multiLevelType w:val="multilevel"/>
    <w:tmpl w:val="DCECD6A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F390A"/>
    <w:multiLevelType w:val="multilevel"/>
    <w:tmpl w:val="FFC27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1012E3"/>
    <w:multiLevelType w:val="multilevel"/>
    <w:tmpl w:val="64C2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08421A"/>
    <w:multiLevelType w:val="multilevel"/>
    <w:tmpl w:val="3EFE1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DB6870"/>
    <w:multiLevelType w:val="multilevel"/>
    <w:tmpl w:val="CAE4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71BA1"/>
    <w:multiLevelType w:val="multilevel"/>
    <w:tmpl w:val="486A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40A2E"/>
    <w:multiLevelType w:val="multilevel"/>
    <w:tmpl w:val="5714116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74682E"/>
    <w:multiLevelType w:val="multilevel"/>
    <w:tmpl w:val="0A8CFBC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8432C"/>
    <w:multiLevelType w:val="multilevel"/>
    <w:tmpl w:val="5AF258F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466D05"/>
    <w:multiLevelType w:val="multilevel"/>
    <w:tmpl w:val="69CC2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BF0E4B"/>
    <w:multiLevelType w:val="multilevel"/>
    <w:tmpl w:val="FE7ECCF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061E55"/>
    <w:multiLevelType w:val="multilevel"/>
    <w:tmpl w:val="AA8E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F03484"/>
    <w:multiLevelType w:val="multilevel"/>
    <w:tmpl w:val="DCFC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237CDC"/>
    <w:multiLevelType w:val="multilevel"/>
    <w:tmpl w:val="A07074A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634414"/>
    <w:multiLevelType w:val="multilevel"/>
    <w:tmpl w:val="EA2AD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6"/>
  </w:num>
  <w:num w:numId="5">
    <w:abstractNumId w:val="15"/>
  </w:num>
  <w:num w:numId="6">
    <w:abstractNumId w:val="8"/>
  </w:num>
  <w:num w:numId="7">
    <w:abstractNumId w:val="16"/>
  </w:num>
  <w:num w:numId="8">
    <w:abstractNumId w:val="13"/>
  </w:num>
  <w:num w:numId="9">
    <w:abstractNumId w:val="9"/>
  </w:num>
  <w:num w:numId="10">
    <w:abstractNumId w:val="0"/>
  </w:num>
  <w:num w:numId="11">
    <w:abstractNumId w:val="7"/>
  </w:num>
  <w:num w:numId="12">
    <w:abstractNumId w:val="3"/>
  </w:num>
  <w:num w:numId="13">
    <w:abstractNumId w:val="14"/>
  </w:num>
  <w:num w:numId="14">
    <w:abstractNumId w:val="10"/>
  </w:num>
  <w:num w:numId="15">
    <w:abstractNumId w:val="17"/>
  </w:num>
  <w:num w:numId="16">
    <w:abstractNumId w:val="11"/>
  </w:num>
  <w:num w:numId="17">
    <w:abstractNumId w:val="12"/>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DD8"/>
    <w:rsid w:val="000024F2"/>
    <w:rsid w:val="00022611"/>
    <w:rsid w:val="000A56A4"/>
    <w:rsid w:val="000B2B05"/>
    <w:rsid w:val="000D1F4D"/>
    <w:rsid w:val="000D56F1"/>
    <w:rsid w:val="000E0790"/>
    <w:rsid w:val="00141971"/>
    <w:rsid w:val="00163CB3"/>
    <w:rsid w:val="00195F83"/>
    <w:rsid w:val="00211162"/>
    <w:rsid w:val="002A2F75"/>
    <w:rsid w:val="002E70B4"/>
    <w:rsid w:val="00311B94"/>
    <w:rsid w:val="003150E3"/>
    <w:rsid w:val="00344A66"/>
    <w:rsid w:val="003C3D0F"/>
    <w:rsid w:val="003D1DD8"/>
    <w:rsid w:val="003D791E"/>
    <w:rsid w:val="0049014E"/>
    <w:rsid w:val="004A01A8"/>
    <w:rsid w:val="004C0B21"/>
    <w:rsid w:val="004C5BE7"/>
    <w:rsid w:val="0055290B"/>
    <w:rsid w:val="005931C0"/>
    <w:rsid w:val="005D0AA9"/>
    <w:rsid w:val="00624392"/>
    <w:rsid w:val="0062477B"/>
    <w:rsid w:val="006A4ED4"/>
    <w:rsid w:val="00883057"/>
    <w:rsid w:val="00893FB2"/>
    <w:rsid w:val="008B6751"/>
    <w:rsid w:val="008E1CDD"/>
    <w:rsid w:val="009C202D"/>
    <w:rsid w:val="00A36AC4"/>
    <w:rsid w:val="00A9396C"/>
    <w:rsid w:val="00B33811"/>
    <w:rsid w:val="00B76665"/>
    <w:rsid w:val="00C21411"/>
    <w:rsid w:val="00C459AE"/>
    <w:rsid w:val="00C649CD"/>
    <w:rsid w:val="00CA06F6"/>
    <w:rsid w:val="00CC34E8"/>
    <w:rsid w:val="00D04805"/>
    <w:rsid w:val="00D60182"/>
    <w:rsid w:val="00D92DCB"/>
    <w:rsid w:val="00DF11A6"/>
    <w:rsid w:val="00DF24B4"/>
    <w:rsid w:val="00E35ECC"/>
    <w:rsid w:val="00E801E8"/>
    <w:rsid w:val="00EA4284"/>
    <w:rsid w:val="00EC39E3"/>
    <w:rsid w:val="00EE33D3"/>
    <w:rsid w:val="00F2072E"/>
    <w:rsid w:val="00F70A5A"/>
    <w:rsid w:val="00FB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80678D"/>
  <w15:docId w15:val="{A3B95914-EF55-4D50-B984-7EC120DA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A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D1D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1D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D1DD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1D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1DD8"/>
    <w:rPr>
      <w:rFonts w:ascii="Times New Roman" w:eastAsia="Times New Roman" w:hAnsi="Times New Roman" w:cs="Times New Roman"/>
      <w:b/>
      <w:bCs/>
      <w:sz w:val="27"/>
      <w:szCs w:val="27"/>
    </w:rPr>
  </w:style>
  <w:style w:type="paragraph" w:styleId="NormalWeb">
    <w:name w:val="Normal (Web)"/>
    <w:basedOn w:val="Normal"/>
    <w:uiPriority w:val="99"/>
    <w:unhideWhenUsed/>
    <w:rsid w:val="003D1D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1DD8"/>
    <w:rPr>
      <w:b/>
      <w:bCs/>
    </w:rPr>
  </w:style>
  <w:style w:type="character" w:styleId="Emphasis">
    <w:name w:val="Emphasis"/>
    <w:basedOn w:val="DefaultParagraphFont"/>
    <w:uiPriority w:val="20"/>
    <w:qFormat/>
    <w:rsid w:val="003D1DD8"/>
    <w:rPr>
      <w:i/>
      <w:iCs/>
    </w:rPr>
  </w:style>
  <w:style w:type="character" w:customStyle="1" w:styleId="Heading4Char">
    <w:name w:val="Heading 4 Char"/>
    <w:basedOn w:val="DefaultParagraphFont"/>
    <w:link w:val="Heading4"/>
    <w:uiPriority w:val="9"/>
    <w:semiHidden/>
    <w:rsid w:val="003D1DD8"/>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344A6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4C0B21"/>
    <w:rPr>
      <w:color w:val="FF0080"/>
      <w:u w:val="single"/>
    </w:rPr>
  </w:style>
  <w:style w:type="character" w:styleId="UnresolvedMention">
    <w:name w:val="Unresolved Mention"/>
    <w:basedOn w:val="DefaultParagraphFont"/>
    <w:uiPriority w:val="99"/>
    <w:semiHidden/>
    <w:unhideWhenUsed/>
    <w:rsid w:val="008B6751"/>
    <w:rPr>
      <w:color w:val="605E5C"/>
      <w:shd w:val="clear" w:color="auto" w:fill="E1DFDD"/>
    </w:rPr>
  </w:style>
  <w:style w:type="table" w:styleId="TableGrid">
    <w:name w:val="Table Grid"/>
    <w:basedOn w:val="TableNormal"/>
    <w:uiPriority w:val="59"/>
    <w:rsid w:val="00E80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E801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801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801E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801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DF1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1A6"/>
  </w:style>
  <w:style w:type="paragraph" w:styleId="Footer">
    <w:name w:val="footer"/>
    <w:basedOn w:val="Normal"/>
    <w:link w:val="FooterChar"/>
    <w:uiPriority w:val="99"/>
    <w:unhideWhenUsed/>
    <w:rsid w:val="00DF1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89037">
      <w:bodyDiv w:val="1"/>
      <w:marLeft w:val="0"/>
      <w:marRight w:val="0"/>
      <w:marTop w:val="0"/>
      <w:marBottom w:val="0"/>
      <w:divBdr>
        <w:top w:val="none" w:sz="0" w:space="0" w:color="auto"/>
        <w:left w:val="none" w:sz="0" w:space="0" w:color="auto"/>
        <w:bottom w:val="none" w:sz="0" w:space="0" w:color="auto"/>
        <w:right w:val="none" w:sz="0" w:space="0" w:color="auto"/>
      </w:divBdr>
    </w:div>
    <w:div w:id="214783749">
      <w:bodyDiv w:val="1"/>
      <w:marLeft w:val="0"/>
      <w:marRight w:val="0"/>
      <w:marTop w:val="0"/>
      <w:marBottom w:val="0"/>
      <w:divBdr>
        <w:top w:val="none" w:sz="0" w:space="0" w:color="auto"/>
        <w:left w:val="none" w:sz="0" w:space="0" w:color="auto"/>
        <w:bottom w:val="none" w:sz="0" w:space="0" w:color="auto"/>
        <w:right w:val="none" w:sz="0" w:space="0" w:color="auto"/>
      </w:divBdr>
    </w:div>
    <w:div w:id="633563002">
      <w:bodyDiv w:val="1"/>
      <w:marLeft w:val="0"/>
      <w:marRight w:val="0"/>
      <w:marTop w:val="0"/>
      <w:marBottom w:val="0"/>
      <w:divBdr>
        <w:top w:val="none" w:sz="0" w:space="0" w:color="auto"/>
        <w:left w:val="none" w:sz="0" w:space="0" w:color="auto"/>
        <w:bottom w:val="none" w:sz="0" w:space="0" w:color="auto"/>
        <w:right w:val="none" w:sz="0" w:space="0" w:color="auto"/>
      </w:divBdr>
    </w:div>
    <w:div w:id="1035155785">
      <w:bodyDiv w:val="1"/>
      <w:marLeft w:val="0"/>
      <w:marRight w:val="0"/>
      <w:marTop w:val="0"/>
      <w:marBottom w:val="0"/>
      <w:divBdr>
        <w:top w:val="none" w:sz="0" w:space="0" w:color="auto"/>
        <w:left w:val="none" w:sz="0" w:space="0" w:color="auto"/>
        <w:bottom w:val="none" w:sz="0" w:space="0" w:color="auto"/>
        <w:right w:val="none" w:sz="0" w:space="0" w:color="auto"/>
      </w:divBdr>
    </w:div>
    <w:div w:id="1196501040">
      <w:bodyDiv w:val="1"/>
      <w:marLeft w:val="0"/>
      <w:marRight w:val="0"/>
      <w:marTop w:val="0"/>
      <w:marBottom w:val="0"/>
      <w:divBdr>
        <w:top w:val="none" w:sz="0" w:space="0" w:color="auto"/>
        <w:left w:val="none" w:sz="0" w:space="0" w:color="auto"/>
        <w:bottom w:val="none" w:sz="0" w:space="0" w:color="auto"/>
        <w:right w:val="none" w:sz="0" w:space="0" w:color="auto"/>
      </w:divBdr>
    </w:div>
    <w:div w:id="1696614762">
      <w:bodyDiv w:val="1"/>
      <w:marLeft w:val="0"/>
      <w:marRight w:val="0"/>
      <w:marTop w:val="0"/>
      <w:marBottom w:val="0"/>
      <w:divBdr>
        <w:top w:val="none" w:sz="0" w:space="0" w:color="auto"/>
        <w:left w:val="none" w:sz="0" w:space="0" w:color="auto"/>
        <w:bottom w:val="none" w:sz="0" w:space="0" w:color="auto"/>
        <w:right w:val="none" w:sz="0" w:space="0" w:color="auto"/>
      </w:divBdr>
    </w:div>
    <w:div w:id="176044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D221A-2933-40A1-AB4A-A7E78E774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20</Pages>
  <Words>4524</Words>
  <Characters>25789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46</cp:revision>
  <dcterms:created xsi:type="dcterms:W3CDTF">2025-10-03T10:16:00Z</dcterms:created>
  <dcterms:modified xsi:type="dcterms:W3CDTF">2025-10-08T11:05:00Z</dcterms:modified>
</cp:coreProperties>
</file>