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1C0AF" w14:textId="77777777" w:rsidR="00754C9A" w:rsidRDefault="00754C9A" w:rsidP="00043668">
      <w:pPr>
        <w:pStyle w:val="Title"/>
        <w:spacing w:after="0"/>
        <w:jc w:val="both"/>
        <w:rPr>
          <w:rFonts w:ascii="Arial" w:hAnsi="Arial" w:cs="Arial"/>
        </w:rPr>
      </w:pPr>
    </w:p>
    <w:p w14:paraId="45C9A7F4" w14:textId="77777777" w:rsidR="00043668" w:rsidRPr="00043668" w:rsidRDefault="00043668" w:rsidP="00043668">
      <w:pPr>
        <w:pStyle w:val="Author"/>
        <w:spacing w:line="240" w:lineRule="auto"/>
        <w:jc w:val="center"/>
        <w:rPr>
          <w:rFonts w:ascii="Arial" w:hAnsi="Arial" w:cs="Arial"/>
          <w:bCs/>
          <w:iCs/>
          <w:kern w:val="28"/>
          <w:sz w:val="36"/>
        </w:rPr>
      </w:pPr>
      <w:r w:rsidRPr="00043668">
        <w:rPr>
          <w:rFonts w:ascii="Arial" w:hAnsi="Arial" w:cs="Arial"/>
          <w:bCs/>
          <w:iCs/>
          <w:kern w:val="28"/>
          <w:sz w:val="36"/>
        </w:rPr>
        <w:t xml:space="preserve">Assessing Compliance with Nepal’s Building Code: Insights from Residential Construction in </w:t>
      </w:r>
      <w:proofErr w:type="spellStart"/>
      <w:r w:rsidRPr="00043668">
        <w:rPr>
          <w:rFonts w:ascii="Arial" w:hAnsi="Arial" w:cs="Arial"/>
          <w:bCs/>
          <w:iCs/>
          <w:kern w:val="28"/>
          <w:sz w:val="36"/>
        </w:rPr>
        <w:t>Godawari</w:t>
      </w:r>
      <w:proofErr w:type="spellEnd"/>
      <w:r w:rsidRPr="00043668">
        <w:rPr>
          <w:rFonts w:ascii="Arial" w:hAnsi="Arial" w:cs="Arial"/>
          <w:bCs/>
          <w:iCs/>
          <w:kern w:val="28"/>
          <w:sz w:val="36"/>
        </w:rPr>
        <w:t xml:space="preserve"> Municipality</w:t>
      </w:r>
    </w:p>
    <w:p w14:paraId="643D2630" w14:textId="77777777" w:rsidR="00A258C3" w:rsidRPr="00790ADA" w:rsidRDefault="00A258C3" w:rsidP="00043668">
      <w:pPr>
        <w:pStyle w:val="Author"/>
        <w:spacing w:line="240" w:lineRule="auto"/>
        <w:jc w:val="both"/>
        <w:rPr>
          <w:rFonts w:ascii="Arial" w:hAnsi="Arial" w:cs="Arial"/>
          <w:sz w:val="36"/>
        </w:rPr>
      </w:pPr>
    </w:p>
    <w:p w14:paraId="3FBB8759" w14:textId="77777777" w:rsidR="002C57D2" w:rsidRPr="00FB3A86" w:rsidRDefault="002C57D2" w:rsidP="00043668">
      <w:pPr>
        <w:pStyle w:val="Affiliation"/>
        <w:spacing w:after="0" w:line="240" w:lineRule="auto"/>
        <w:jc w:val="both"/>
        <w:rPr>
          <w:rFonts w:ascii="Arial" w:hAnsi="Arial" w:cs="Arial"/>
        </w:rPr>
      </w:pPr>
      <w:bookmarkStart w:id="0" w:name="_GoBack"/>
      <w:bookmarkEnd w:id="0"/>
    </w:p>
    <w:p w14:paraId="18443BC6" w14:textId="786A3F1A" w:rsidR="00790ADA" w:rsidRPr="00FB3A86" w:rsidRDefault="00054E26" w:rsidP="00043668">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71523FE" w14:textId="77777777" w:rsidTr="00190709">
        <w:tc>
          <w:tcPr>
            <w:tcW w:w="9576" w:type="dxa"/>
            <w:shd w:val="clear" w:color="auto" w:fill="F2F2F2"/>
          </w:tcPr>
          <w:p w14:paraId="0CB5D7A0" w14:textId="77777777" w:rsidR="00190709" w:rsidRPr="00190709" w:rsidRDefault="00190709" w:rsidP="00190709">
            <w:pPr>
              <w:pStyle w:val="Body"/>
              <w:jc w:val="left"/>
              <w:rPr>
                <w:rFonts w:ascii="Arial" w:eastAsia="Calibri" w:hAnsi="Arial" w:cs="Arial"/>
                <w:b/>
                <w:szCs w:val="22"/>
              </w:rPr>
            </w:pPr>
            <w:r w:rsidRPr="00190709">
              <w:rPr>
                <w:rFonts w:ascii="Arial" w:eastAsia="Calibri" w:hAnsi="Arial" w:cs="Arial"/>
                <w:b/>
                <w:szCs w:val="22"/>
              </w:rPr>
              <w:t xml:space="preserve">Aims: To assess the status of building code compliance in residential construction in </w:t>
            </w:r>
            <w:proofErr w:type="spellStart"/>
            <w:r w:rsidRPr="00190709">
              <w:rPr>
                <w:rFonts w:ascii="Arial" w:eastAsia="Calibri" w:hAnsi="Arial" w:cs="Arial"/>
                <w:b/>
                <w:szCs w:val="22"/>
              </w:rPr>
              <w:t>Godawari</w:t>
            </w:r>
            <w:proofErr w:type="spellEnd"/>
            <w:r w:rsidRPr="00190709">
              <w:rPr>
                <w:rFonts w:ascii="Arial" w:eastAsia="Calibri" w:hAnsi="Arial" w:cs="Arial"/>
                <w:b/>
                <w:szCs w:val="22"/>
              </w:rPr>
              <w:t xml:space="preserve"> Municipality; evaluate the awareness, experiences, and capabilities of construction contractors and masons regarding building code adherence; identify reasons for non-compliance; and propose measures to enhance implementation of construction compliance in residential buildings.</w:t>
            </w:r>
          </w:p>
          <w:p w14:paraId="371DCD8C" w14:textId="77777777" w:rsidR="00190709" w:rsidRPr="00190709" w:rsidRDefault="00190709" w:rsidP="00190709">
            <w:pPr>
              <w:pStyle w:val="Body"/>
              <w:jc w:val="left"/>
              <w:rPr>
                <w:rFonts w:ascii="Arial" w:eastAsia="Calibri" w:hAnsi="Arial" w:cs="Arial"/>
                <w:b/>
                <w:szCs w:val="22"/>
              </w:rPr>
            </w:pPr>
            <w:r w:rsidRPr="00190709">
              <w:rPr>
                <w:rFonts w:ascii="Arial" w:eastAsia="Calibri" w:hAnsi="Arial" w:cs="Arial"/>
                <w:b/>
                <w:szCs w:val="22"/>
              </w:rPr>
              <w:t xml:space="preserve">Study Design, Place and Duration: This was a qualitative study employing a descriptive design with elements of field surveys, questionnaires, key informant interviews (KII), and comparative analysis. The study was conducted in </w:t>
            </w:r>
            <w:proofErr w:type="spellStart"/>
            <w:r w:rsidRPr="00190709">
              <w:rPr>
                <w:rFonts w:ascii="Arial" w:eastAsia="Calibri" w:hAnsi="Arial" w:cs="Arial"/>
                <w:b/>
                <w:szCs w:val="22"/>
              </w:rPr>
              <w:t>Godawari</w:t>
            </w:r>
            <w:proofErr w:type="spellEnd"/>
            <w:r w:rsidRPr="00190709">
              <w:rPr>
                <w:rFonts w:ascii="Arial" w:eastAsia="Calibri" w:hAnsi="Arial" w:cs="Arial"/>
                <w:b/>
                <w:szCs w:val="22"/>
              </w:rPr>
              <w:t xml:space="preserve"> Municipality, Lalitpur District, Bagmati Province, Nepal. The duration was from May 1, 2025, to August 30, 2025.</w:t>
            </w:r>
          </w:p>
          <w:p w14:paraId="0D634516" w14:textId="77777777" w:rsidR="00190709" w:rsidRPr="00190709" w:rsidRDefault="00190709" w:rsidP="00190709">
            <w:pPr>
              <w:pStyle w:val="Body"/>
              <w:jc w:val="left"/>
              <w:rPr>
                <w:rFonts w:ascii="Arial" w:eastAsia="Calibri" w:hAnsi="Arial" w:cs="Arial"/>
                <w:b/>
                <w:szCs w:val="22"/>
              </w:rPr>
            </w:pPr>
            <w:r w:rsidRPr="00190709">
              <w:rPr>
                <w:rFonts w:ascii="Arial" w:eastAsia="Calibri" w:hAnsi="Arial" w:cs="Arial"/>
                <w:b/>
                <w:szCs w:val="22"/>
              </w:rPr>
              <w:t xml:space="preserve">Methodology: The study population consisted of 691 permitted RC frame residential buildings in fiscal year 2081/82 across 14 wards, from which 147 buildings (78 completed and 69 under construction) were selected via stratified sampling for proportional ward representation. Additional respondents included 32 contractors/masons, 2 elected officials, 3 technical personnel, 1 administrative officer, and 2 consultants. Primary data were collected through field surveys using compliance checklists (adapted from municipal guidelines and prior studies), questionnaires for masons on awareness and capabilities, and unstructured KII with municipal stakeholders on non-compliance reasons and solutions. Secondary data were sourced from municipal records, approved drawings, literature (e.g., journals via Research Gate, Google Scholar), reports, and regulations. Data were coded, processed, and analyzed descriptively using MS Excel, with results presented in tables, figures, and comparative analyses against studies from </w:t>
            </w:r>
            <w:proofErr w:type="spellStart"/>
            <w:r w:rsidRPr="00190709">
              <w:rPr>
                <w:rFonts w:ascii="Arial" w:eastAsia="Calibri" w:hAnsi="Arial" w:cs="Arial"/>
                <w:b/>
                <w:szCs w:val="22"/>
              </w:rPr>
              <w:t>Sisne</w:t>
            </w:r>
            <w:proofErr w:type="spellEnd"/>
            <w:r w:rsidRPr="00190709">
              <w:rPr>
                <w:rFonts w:ascii="Arial" w:eastAsia="Calibri" w:hAnsi="Arial" w:cs="Arial"/>
                <w:b/>
                <w:szCs w:val="22"/>
              </w:rPr>
              <w:t xml:space="preserve"> Rural Municipality and </w:t>
            </w:r>
            <w:proofErr w:type="spellStart"/>
            <w:r w:rsidRPr="00190709">
              <w:rPr>
                <w:rFonts w:ascii="Arial" w:eastAsia="Calibri" w:hAnsi="Arial" w:cs="Arial"/>
                <w:b/>
                <w:szCs w:val="22"/>
              </w:rPr>
              <w:t>Birendranagar</w:t>
            </w:r>
            <w:proofErr w:type="spellEnd"/>
            <w:r w:rsidRPr="00190709">
              <w:rPr>
                <w:rFonts w:ascii="Arial" w:eastAsia="Calibri" w:hAnsi="Arial" w:cs="Arial"/>
                <w:b/>
                <w:szCs w:val="22"/>
              </w:rPr>
              <w:t xml:space="preserve"> Municipality.</w:t>
            </w:r>
          </w:p>
          <w:p w14:paraId="345E0C93" w14:textId="77777777" w:rsidR="00505F06" w:rsidRPr="00BA1B01" w:rsidRDefault="00190709" w:rsidP="00190709">
            <w:pPr>
              <w:pStyle w:val="Body"/>
              <w:jc w:val="left"/>
              <w:rPr>
                <w:rFonts w:ascii="Arial" w:eastAsia="Calibri" w:hAnsi="Arial" w:cs="Arial"/>
                <w:szCs w:val="22"/>
              </w:rPr>
            </w:pPr>
            <w:r w:rsidRPr="00190709">
              <w:rPr>
                <w:rFonts w:ascii="Arial" w:eastAsia="Calibri" w:hAnsi="Arial" w:cs="Arial"/>
                <w:b/>
                <w:szCs w:val="22"/>
              </w:rPr>
              <w:t xml:space="preserve">Results: Among 78 completed buildings, only 27 (34.6%) fully complied with approved designs and NNBC; high compliance was observed in column size/position (100%) and beam size/position (93.6%), but lower in plinth area (64.1%), room size (51.3%), and built-up area (65.4%). Building by-laws showed strong adherence to ground coverage (87.2%) and height (98.7%), but gaps in setbacks (88-93%) and floor area ratio (91%). Comparative analysis indicated </w:t>
            </w:r>
            <w:proofErr w:type="spellStart"/>
            <w:r w:rsidRPr="00190709">
              <w:rPr>
                <w:rFonts w:ascii="Arial" w:eastAsia="Calibri" w:hAnsi="Arial" w:cs="Arial"/>
                <w:b/>
                <w:szCs w:val="22"/>
              </w:rPr>
              <w:t>Godawari</w:t>
            </w:r>
            <w:proofErr w:type="spellEnd"/>
            <w:r w:rsidRPr="00190709">
              <w:rPr>
                <w:rFonts w:ascii="Arial" w:eastAsia="Calibri" w:hAnsi="Arial" w:cs="Arial"/>
                <w:b/>
                <w:szCs w:val="22"/>
              </w:rPr>
              <w:t xml:space="preserve"> outperformed </w:t>
            </w:r>
            <w:proofErr w:type="spellStart"/>
            <w:r w:rsidRPr="00190709">
              <w:rPr>
                <w:rFonts w:ascii="Arial" w:eastAsia="Calibri" w:hAnsi="Arial" w:cs="Arial"/>
                <w:b/>
                <w:szCs w:val="22"/>
              </w:rPr>
              <w:t>Sisne</w:t>
            </w:r>
            <w:proofErr w:type="spellEnd"/>
            <w:r w:rsidRPr="00190709">
              <w:rPr>
                <w:rFonts w:ascii="Arial" w:eastAsia="Calibri" w:hAnsi="Arial" w:cs="Arial"/>
                <w:b/>
                <w:szCs w:val="22"/>
              </w:rPr>
              <w:t xml:space="preserve"> (low compliance &lt;10% in most parameters) and </w:t>
            </w:r>
            <w:proofErr w:type="spellStart"/>
            <w:r w:rsidRPr="00190709">
              <w:rPr>
                <w:rFonts w:ascii="Arial" w:eastAsia="Calibri" w:hAnsi="Arial" w:cs="Arial"/>
                <w:b/>
                <w:szCs w:val="22"/>
              </w:rPr>
              <w:t>Birendranagar</w:t>
            </w:r>
            <w:proofErr w:type="spellEnd"/>
            <w:r w:rsidRPr="00190709">
              <w:rPr>
                <w:rFonts w:ascii="Arial" w:eastAsia="Calibri" w:hAnsi="Arial" w:cs="Arial"/>
                <w:b/>
                <w:szCs w:val="22"/>
              </w:rPr>
              <w:t xml:space="preserve"> (moderate, e.g., 68% plinth area). For 69 under-construction buildings, compliance was high in columns (100%), reinforcement detailing (100%), and slabs (98%), but low in concrete mix proportion (24.4%), stirrup spacing (70.7%), and column lapping (68.3%); </w:t>
            </w:r>
            <w:proofErr w:type="spellStart"/>
            <w:r w:rsidRPr="00190709">
              <w:rPr>
                <w:rFonts w:ascii="Arial" w:eastAsia="Calibri" w:hAnsi="Arial" w:cs="Arial"/>
                <w:b/>
                <w:szCs w:val="22"/>
              </w:rPr>
              <w:t>Godawari</w:t>
            </w:r>
            <w:proofErr w:type="spellEnd"/>
            <w:r w:rsidRPr="00190709">
              <w:rPr>
                <w:rFonts w:ascii="Arial" w:eastAsia="Calibri" w:hAnsi="Arial" w:cs="Arial"/>
                <w:b/>
                <w:szCs w:val="22"/>
              </w:rPr>
              <w:t xml:space="preserve"> generally exceeded </w:t>
            </w:r>
            <w:proofErr w:type="spellStart"/>
            <w:r w:rsidRPr="00190709">
              <w:rPr>
                <w:rFonts w:ascii="Arial" w:eastAsia="Calibri" w:hAnsi="Arial" w:cs="Arial"/>
                <w:b/>
                <w:szCs w:val="22"/>
              </w:rPr>
              <w:t>Sisne</w:t>
            </w:r>
            <w:proofErr w:type="spellEnd"/>
            <w:r w:rsidRPr="00190709">
              <w:rPr>
                <w:rFonts w:ascii="Arial" w:eastAsia="Calibri" w:hAnsi="Arial" w:cs="Arial"/>
                <w:b/>
                <w:szCs w:val="22"/>
              </w:rPr>
              <w:t xml:space="preserve"> and </w:t>
            </w:r>
            <w:proofErr w:type="spellStart"/>
            <w:r w:rsidRPr="00190709">
              <w:rPr>
                <w:rFonts w:ascii="Arial" w:eastAsia="Calibri" w:hAnsi="Arial" w:cs="Arial"/>
                <w:b/>
                <w:szCs w:val="22"/>
              </w:rPr>
              <w:t>Birendranagar</w:t>
            </w:r>
            <w:proofErr w:type="spellEnd"/>
            <w:r w:rsidRPr="00190709">
              <w:rPr>
                <w:rFonts w:ascii="Arial" w:eastAsia="Calibri" w:hAnsi="Arial" w:cs="Arial"/>
                <w:b/>
                <w:szCs w:val="22"/>
              </w:rPr>
              <w:t xml:space="preserve"> in beams/slabs but lagged in plinth beams (61.5%) and mix proportion. Masons (n=32) had 5-10 years' experience (43.8%), low training (18.8%), and limited education (15.6% SLC+); awareness was high for earthquakes (93.8%) and approval processes (78.1%), but low for codes (25%); capabilities were strong in earthquake-resistant practices (81.3%) and drawing interpretation (46.9%), </w:t>
            </w:r>
            <w:r w:rsidRPr="00190709">
              <w:rPr>
                <w:rFonts w:ascii="Arial" w:eastAsia="Calibri" w:hAnsi="Arial" w:cs="Arial"/>
                <w:b/>
                <w:szCs w:val="22"/>
              </w:rPr>
              <w:lastRenderedPageBreak/>
              <w:t xml:space="preserve">outperforming </w:t>
            </w:r>
            <w:proofErr w:type="spellStart"/>
            <w:r w:rsidRPr="00190709">
              <w:rPr>
                <w:rFonts w:ascii="Arial" w:eastAsia="Calibri" w:hAnsi="Arial" w:cs="Arial"/>
                <w:b/>
                <w:szCs w:val="22"/>
              </w:rPr>
              <w:t>Sisne</w:t>
            </w:r>
            <w:proofErr w:type="spellEnd"/>
            <w:r w:rsidRPr="00190709">
              <w:rPr>
                <w:rFonts w:ascii="Arial" w:eastAsia="Calibri" w:hAnsi="Arial" w:cs="Arial"/>
                <w:b/>
                <w:szCs w:val="22"/>
              </w:rPr>
              <w:t>/</w:t>
            </w:r>
            <w:proofErr w:type="spellStart"/>
            <w:r w:rsidRPr="00190709">
              <w:rPr>
                <w:rFonts w:ascii="Arial" w:eastAsia="Calibri" w:hAnsi="Arial" w:cs="Arial"/>
                <w:b/>
                <w:szCs w:val="22"/>
              </w:rPr>
              <w:t>Birendranagar</w:t>
            </w:r>
            <w:proofErr w:type="spellEnd"/>
            <w:r w:rsidRPr="00190709">
              <w:rPr>
                <w:rFonts w:ascii="Arial" w:eastAsia="Calibri" w:hAnsi="Arial" w:cs="Arial"/>
                <w:b/>
                <w:szCs w:val="22"/>
              </w:rPr>
              <w:t>. Non-compliance reasons included low awareness, untrained masons, weak municipal monitoring, owner cost-cutting, and poor coordination; suggested measures encompassed training programs, awareness campaigns, regular inspections, reward-penalty systems, incentives (e.g., fee reductions), and better stakeholder coordination.</w:t>
            </w:r>
          </w:p>
        </w:tc>
      </w:tr>
    </w:tbl>
    <w:p w14:paraId="211290C8" w14:textId="77777777" w:rsidR="00636EB2" w:rsidRDefault="00636EB2" w:rsidP="00043668">
      <w:pPr>
        <w:pStyle w:val="Body"/>
        <w:spacing w:after="0"/>
        <w:rPr>
          <w:rFonts w:ascii="Arial" w:hAnsi="Arial" w:cs="Arial"/>
          <w:i/>
        </w:rPr>
      </w:pPr>
    </w:p>
    <w:p w14:paraId="60490366" w14:textId="77777777" w:rsidR="00043668" w:rsidRDefault="00A24E7E" w:rsidP="00043668">
      <w:pPr>
        <w:pStyle w:val="Body"/>
        <w:spacing w:after="0"/>
        <w:rPr>
          <w:i/>
        </w:rPr>
      </w:pPr>
      <w:r>
        <w:rPr>
          <w:rFonts w:ascii="Arial" w:hAnsi="Arial" w:cs="Arial"/>
          <w:i/>
        </w:rPr>
        <w:t xml:space="preserve">Keywords: </w:t>
      </w:r>
      <w:r w:rsidR="00043668" w:rsidRPr="00043668">
        <w:rPr>
          <w:i/>
        </w:rPr>
        <w:t xml:space="preserve">Building Code Compliance, Earthquake-Resistant Construction, </w:t>
      </w:r>
      <w:proofErr w:type="spellStart"/>
      <w:r w:rsidR="00043668" w:rsidRPr="00043668">
        <w:rPr>
          <w:i/>
        </w:rPr>
        <w:t>Godawari</w:t>
      </w:r>
      <w:proofErr w:type="spellEnd"/>
      <w:r w:rsidR="00043668" w:rsidRPr="00043668">
        <w:rPr>
          <w:i/>
        </w:rPr>
        <w:t xml:space="preserve"> Municipality, Reinforced Concrete Buildings, Nepal</w:t>
      </w:r>
    </w:p>
    <w:p w14:paraId="41B6430C" w14:textId="77777777" w:rsidR="007B6A67" w:rsidRDefault="007B6A67" w:rsidP="00043668">
      <w:pPr>
        <w:pStyle w:val="Body"/>
        <w:spacing w:after="0"/>
        <w:rPr>
          <w:i/>
        </w:rPr>
      </w:pPr>
    </w:p>
    <w:p w14:paraId="13212574" w14:textId="77777777" w:rsidR="007B6A67" w:rsidRPr="00043668" w:rsidRDefault="007B6A67" w:rsidP="00043668">
      <w:pPr>
        <w:pStyle w:val="Body"/>
        <w:spacing w:after="0"/>
        <w:rPr>
          <w:bCs/>
          <w:i/>
          <w:color w:val="000000" w:themeColor="text1"/>
          <w:szCs w:val="24"/>
          <w:lang w:bidi="ne-NP"/>
        </w:rPr>
      </w:pPr>
    </w:p>
    <w:p w14:paraId="6C14497A" w14:textId="77777777" w:rsidR="00043668" w:rsidRPr="009C5364" w:rsidRDefault="00043668" w:rsidP="00043668">
      <w:pPr>
        <w:jc w:val="both"/>
        <w:rPr>
          <w:b/>
          <w:szCs w:val="24"/>
        </w:rPr>
      </w:pPr>
      <w:r w:rsidRPr="009C5364">
        <w:rPr>
          <w:b/>
          <w:szCs w:val="24"/>
        </w:rPr>
        <w:t>1. INTRODUCTION</w:t>
      </w:r>
    </w:p>
    <w:p w14:paraId="6153BCF6" w14:textId="77777777" w:rsidR="00043668" w:rsidRPr="009C5364" w:rsidRDefault="00043668" w:rsidP="00043668">
      <w:pPr>
        <w:jc w:val="both"/>
        <w:rPr>
          <w:szCs w:val="24"/>
        </w:rPr>
      </w:pPr>
      <w:r w:rsidRPr="009C5364">
        <w:rPr>
          <w:szCs w:val="24"/>
        </w:rPr>
        <w:t xml:space="preserve">Nepal lies in one of the most seismically active zones and ranks among the eleven most earthquake-vulnerable countries, with Kathmandu frequently described as “sitting on a time bomb.” Although reinforced concrete (RC) construction began in the 1980s, widespread adoption of engineered practices only followed the enforcement of the Nepal National Building Code (NNBC) in 2006. Even so, nearly 70% of RC buildings remain owner-built, relying largely on contractors and municipal by-laws or NNBC’s mandatory rules of thumb </w:t>
      </w:r>
      <w:sdt>
        <w:sdtPr>
          <w:id w:val="1804499905"/>
          <w:citation/>
        </w:sdtPr>
        <w:sdtEndPr/>
        <w:sdtContent>
          <w:r w:rsidRPr="009C5364">
            <w:fldChar w:fldCharType="begin"/>
          </w:r>
          <w:r w:rsidRPr="009C5364">
            <w:instrText xml:space="preserve"> CITATION Gau16 \l 1033 </w:instrText>
          </w:r>
          <w:r w:rsidRPr="009C5364">
            <w:fldChar w:fldCharType="separate"/>
          </w:r>
          <w:r w:rsidRPr="009C5364">
            <w:rPr>
              <w:noProof/>
            </w:rPr>
            <w:t>[1]</w:t>
          </w:r>
          <w:r w:rsidRPr="009C5364">
            <w:fldChar w:fldCharType="end"/>
          </w:r>
        </w:sdtContent>
      </w:sdt>
      <w:r w:rsidRPr="009C5364">
        <w:t>.</w:t>
      </w:r>
    </w:p>
    <w:p w14:paraId="64851C15" w14:textId="77777777" w:rsidR="00043668" w:rsidRPr="009C5364" w:rsidRDefault="00043668" w:rsidP="00043668">
      <w:pPr>
        <w:jc w:val="both"/>
        <w:rPr>
          <w:szCs w:val="24"/>
        </w:rPr>
      </w:pPr>
      <w:r w:rsidRPr="009C5364">
        <w:rPr>
          <w:szCs w:val="24"/>
        </w:rPr>
        <w:t xml:space="preserve">Informal construction dominates, with over 80% of housing built outside formal processes where code application is minimal. Even in formal projects, enforcement is weak, with codes often functioning more as guidelines than binding regulations. Similar challenges exist in Bangladesh, where compliance depends heavily on individual discretion </w:t>
      </w:r>
      <w:sdt>
        <w:sdtPr>
          <w:id w:val="1814299295"/>
          <w:citation/>
        </w:sdtPr>
        <w:sdtEndPr/>
        <w:sdtContent>
          <w:r w:rsidRPr="009C5364">
            <w:fldChar w:fldCharType="begin"/>
          </w:r>
          <w:r w:rsidRPr="009C5364">
            <w:instrText xml:space="preserve">CITATION Placeholder1 \l 1033 </w:instrText>
          </w:r>
          <w:r w:rsidRPr="009C5364">
            <w:fldChar w:fldCharType="separate"/>
          </w:r>
          <w:r w:rsidRPr="009C5364">
            <w:rPr>
              <w:noProof/>
            </w:rPr>
            <w:t>[2]</w:t>
          </w:r>
          <w:r w:rsidRPr="009C5364">
            <w:fldChar w:fldCharType="end"/>
          </w:r>
        </w:sdtContent>
      </w:sdt>
      <w:r w:rsidRPr="009C5364">
        <w:rPr>
          <w:szCs w:val="24"/>
        </w:rPr>
        <w:t xml:space="preserve">. In Nepal, municipalities bear legal responsibility for enforcement, but inspections are typically limited to the plinth stage, focusing on basic parameters such as plinth area, column dimensions, and reinforcement diameters. Critical aspects like concrete mix design, reinforcement detailing, and foundation depth often go unchecked, leaving engineers and architects largely absent during execution </w:t>
      </w:r>
      <w:sdt>
        <w:sdtPr>
          <w:id w:val="1992287927"/>
          <w:citation/>
        </w:sdtPr>
        <w:sdtEndPr/>
        <w:sdtContent>
          <w:r w:rsidRPr="009C5364">
            <w:fldChar w:fldCharType="begin"/>
          </w:r>
          <w:r w:rsidRPr="009C5364">
            <w:instrText xml:space="preserve">CITATION Placeholder2 \l 1033 </w:instrText>
          </w:r>
          <w:r w:rsidRPr="009C5364">
            <w:fldChar w:fldCharType="separate"/>
          </w:r>
          <w:r w:rsidRPr="009C5364">
            <w:rPr>
              <w:noProof/>
            </w:rPr>
            <w:t>[3]</w:t>
          </w:r>
          <w:r w:rsidRPr="009C5364">
            <w:fldChar w:fldCharType="end"/>
          </w:r>
        </w:sdtContent>
      </w:sdt>
      <w:r w:rsidRPr="009C5364">
        <w:rPr>
          <w:szCs w:val="24"/>
        </w:rPr>
        <w:t>.</w:t>
      </w:r>
    </w:p>
    <w:p w14:paraId="61932EFD" w14:textId="77777777" w:rsidR="00043668" w:rsidRPr="009C5364" w:rsidRDefault="00043668" w:rsidP="00043668">
      <w:pPr>
        <w:jc w:val="both"/>
        <w:rPr>
          <w:szCs w:val="24"/>
        </w:rPr>
      </w:pPr>
      <w:r w:rsidRPr="009C5364">
        <w:rPr>
          <w:szCs w:val="24"/>
        </w:rPr>
        <w:t xml:space="preserve">To address this, </w:t>
      </w:r>
      <w:proofErr w:type="spellStart"/>
      <w:r w:rsidRPr="009C5364">
        <w:rPr>
          <w:szCs w:val="24"/>
        </w:rPr>
        <w:t>Godawari</w:t>
      </w:r>
      <w:proofErr w:type="spellEnd"/>
      <w:r w:rsidRPr="009C5364">
        <w:rPr>
          <w:szCs w:val="24"/>
        </w:rPr>
        <w:t xml:space="preserve"> Municipality requires building approval and compliance checks at three stages—temporary permit (up to plinth), permanent permit (post-plinth), and completion certificate. This study evaluates compliance with the NNBC and approved drawings throughout the construction process in </w:t>
      </w:r>
      <w:proofErr w:type="spellStart"/>
      <w:r w:rsidRPr="009C5364">
        <w:rPr>
          <w:szCs w:val="24"/>
        </w:rPr>
        <w:t>Godawari</w:t>
      </w:r>
      <w:proofErr w:type="spellEnd"/>
      <w:r w:rsidRPr="009C5364">
        <w:rPr>
          <w:szCs w:val="24"/>
        </w:rPr>
        <w:t>, with the aim of identifying gaps and strengthening enforcement for safer, earthquake-resistant construction.</w:t>
      </w:r>
    </w:p>
    <w:p w14:paraId="667E862F" w14:textId="77777777" w:rsidR="00043668" w:rsidRPr="009C5364" w:rsidRDefault="00043668" w:rsidP="00043668">
      <w:pPr>
        <w:jc w:val="both"/>
      </w:pPr>
      <w:r w:rsidRPr="009C5364">
        <w:rPr>
          <w:szCs w:val="24"/>
        </w:rPr>
        <w:t xml:space="preserve">The objective of the study is </w:t>
      </w:r>
      <w:bookmarkStart w:id="1" w:name="_Toc105971047"/>
      <w:bookmarkStart w:id="2" w:name="_Toc184835208"/>
      <w:bookmarkStart w:id="3" w:name="_Toc184835308"/>
      <w:bookmarkStart w:id="4" w:name="_Toc184819536"/>
      <w:r w:rsidRPr="009C5364">
        <w:rPr>
          <w:szCs w:val="24"/>
        </w:rPr>
        <w:t>t</w:t>
      </w:r>
      <w:r w:rsidRPr="009C5364">
        <w:t xml:space="preserve">o study the status of building code compliance in the construction of residential buildings in </w:t>
      </w:r>
      <w:proofErr w:type="spellStart"/>
      <w:r w:rsidRPr="009C5364">
        <w:t>Godawari</w:t>
      </w:r>
      <w:proofErr w:type="spellEnd"/>
      <w:r w:rsidRPr="009C5364">
        <w:t xml:space="preserve"> Municipality, to assess the awareness and experiences of construction contractors/masons towards building code compliance in the construction of residential buildings in </w:t>
      </w:r>
      <w:proofErr w:type="spellStart"/>
      <w:r w:rsidRPr="009C5364">
        <w:t>Godawari</w:t>
      </w:r>
      <w:proofErr w:type="spellEnd"/>
      <w:r w:rsidRPr="009C5364">
        <w:t xml:space="preserve"> Municipality, and to find out the reasons behind the lack of construction compliance and to trace out the probable best suggestions for the implementation of Construction Compliance in Residential Buildings in </w:t>
      </w:r>
      <w:proofErr w:type="spellStart"/>
      <w:r w:rsidRPr="009C5364">
        <w:t>Godawari</w:t>
      </w:r>
      <w:proofErr w:type="spellEnd"/>
      <w:r w:rsidRPr="009C5364">
        <w:t xml:space="preserve"> Municipality.</w:t>
      </w:r>
    </w:p>
    <w:p w14:paraId="1EEEB6F5" w14:textId="77777777" w:rsidR="00043668" w:rsidRPr="009C5364" w:rsidRDefault="00043668" w:rsidP="00043668">
      <w:pPr>
        <w:pStyle w:val="Heading1"/>
        <w:jc w:val="both"/>
        <w:rPr>
          <w:szCs w:val="24"/>
        </w:rPr>
      </w:pPr>
      <w:r w:rsidRPr="009C5364">
        <w:rPr>
          <w:szCs w:val="24"/>
        </w:rPr>
        <w:t>2. LITERATURE REVIE</w:t>
      </w:r>
      <w:bookmarkEnd w:id="1"/>
      <w:r w:rsidRPr="009C5364">
        <w:rPr>
          <w:szCs w:val="24"/>
        </w:rPr>
        <w:t>W</w:t>
      </w:r>
      <w:bookmarkEnd w:id="2"/>
      <w:bookmarkEnd w:id="3"/>
      <w:bookmarkEnd w:id="4"/>
    </w:p>
    <w:p w14:paraId="46ED8E79" w14:textId="77777777" w:rsidR="00043668" w:rsidRPr="009C5364" w:rsidRDefault="00043668" w:rsidP="00043668">
      <w:pPr>
        <w:jc w:val="both"/>
        <w:rPr>
          <w:szCs w:val="24"/>
        </w:rPr>
      </w:pPr>
      <w:proofErr w:type="spellStart"/>
      <w:r w:rsidRPr="009C5364">
        <w:rPr>
          <w:szCs w:val="24"/>
        </w:rPr>
        <w:t>Godawari</w:t>
      </w:r>
      <w:proofErr w:type="spellEnd"/>
      <w:r w:rsidRPr="009C5364">
        <w:rPr>
          <w:szCs w:val="24"/>
        </w:rPr>
        <w:t xml:space="preserve"> Municipality in Lalitpur District, Province No. 3, was established in 2014 through the merger of five VDCs and expanded in 2017 to include twelve in total. Centered at </w:t>
      </w:r>
      <w:proofErr w:type="spellStart"/>
      <w:r w:rsidRPr="009C5364">
        <w:rPr>
          <w:szCs w:val="24"/>
        </w:rPr>
        <w:t>Bajrabarahi</w:t>
      </w:r>
      <w:proofErr w:type="spellEnd"/>
      <w:r w:rsidRPr="009C5364">
        <w:rPr>
          <w:szCs w:val="24"/>
        </w:rPr>
        <w:t xml:space="preserve">, it is notable for the </w:t>
      </w:r>
      <w:proofErr w:type="spellStart"/>
      <w:r w:rsidRPr="009C5364">
        <w:rPr>
          <w:szCs w:val="24"/>
        </w:rPr>
        <w:t>Godawari</w:t>
      </w:r>
      <w:proofErr w:type="spellEnd"/>
      <w:r w:rsidRPr="009C5364">
        <w:rPr>
          <w:szCs w:val="24"/>
        </w:rPr>
        <w:t xml:space="preserve"> Botanical Garden and </w:t>
      </w:r>
      <w:proofErr w:type="spellStart"/>
      <w:r w:rsidRPr="009C5364">
        <w:rPr>
          <w:szCs w:val="24"/>
        </w:rPr>
        <w:t>Phulchowki</w:t>
      </w:r>
      <w:proofErr w:type="spellEnd"/>
      <w:r w:rsidRPr="009C5364">
        <w:rPr>
          <w:szCs w:val="24"/>
        </w:rPr>
        <w:t xml:space="preserve">, the highest peak in Kathmandu Valley. </w:t>
      </w:r>
    </w:p>
    <w:p w14:paraId="227F9E03" w14:textId="77777777" w:rsidR="00043668" w:rsidRPr="009C5364" w:rsidRDefault="00043668" w:rsidP="00043668">
      <w:pPr>
        <w:jc w:val="both"/>
        <w:rPr>
          <w:szCs w:val="24"/>
        </w:rPr>
      </w:pPr>
      <w:r w:rsidRPr="009C5364">
        <w:rPr>
          <w:szCs w:val="24"/>
        </w:rPr>
        <w:t xml:space="preserve">Studies on building code awareness and compliance highlight widespread gaps across different contexts. In Cape Town, research revealed low levels of compliance, limited awareness of regulations, and a strong correlation between non-compliance and unqualified, less experienced contractors, with only 5 out of 14 sites fully adhering to NBR requirements </w:t>
      </w:r>
      <w:sdt>
        <w:sdtPr>
          <w:rPr>
            <w:szCs w:val="24"/>
          </w:rPr>
          <w:id w:val="2106373724"/>
          <w:citation/>
        </w:sdtPr>
        <w:sdtEndPr/>
        <w:sdtContent>
          <w:r w:rsidRPr="009C5364">
            <w:rPr>
              <w:szCs w:val="24"/>
            </w:rPr>
            <w:fldChar w:fldCharType="begin"/>
          </w:r>
          <w:r w:rsidRPr="009C5364">
            <w:rPr>
              <w:szCs w:val="24"/>
            </w:rPr>
            <w:instrText xml:space="preserve"> CITATION Win10 \l 1033 </w:instrText>
          </w:r>
          <w:r w:rsidRPr="009C5364">
            <w:rPr>
              <w:szCs w:val="24"/>
            </w:rPr>
            <w:fldChar w:fldCharType="separate"/>
          </w:r>
          <w:r w:rsidRPr="009C5364">
            <w:rPr>
              <w:noProof/>
              <w:szCs w:val="24"/>
            </w:rPr>
            <w:t>[4]</w:t>
          </w:r>
          <w:r w:rsidRPr="009C5364">
            <w:rPr>
              <w:szCs w:val="24"/>
            </w:rPr>
            <w:fldChar w:fldCharType="end"/>
          </w:r>
        </w:sdtContent>
      </w:sdt>
      <w:r w:rsidRPr="009C5364">
        <w:rPr>
          <w:szCs w:val="24"/>
        </w:rPr>
        <w:t xml:space="preserve">. Similarly, investigations in </w:t>
      </w:r>
      <w:proofErr w:type="spellStart"/>
      <w:r w:rsidRPr="009C5364">
        <w:rPr>
          <w:szCs w:val="24"/>
        </w:rPr>
        <w:t>Karyabinayak</w:t>
      </w:r>
      <w:proofErr w:type="spellEnd"/>
      <w:r w:rsidRPr="009C5364">
        <w:rPr>
          <w:szCs w:val="24"/>
        </w:rPr>
        <w:t xml:space="preserve"> Municipality, Nepal, found significant deficiencies in building designs, particularly ductility-related issues such as stirrup spacing, anchorage, bar detailing, and staircase reinforcement. While strength checks were largely </w:t>
      </w:r>
      <w:r w:rsidRPr="009C5364">
        <w:rPr>
          <w:szCs w:val="24"/>
        </w:rPr>
        <w:lastRenderedPageBreak/>
        <w:t>compliant, 15% of designs failed, and configuration issues were frequently observed due to irregular land plots</w:t>
      </w:r>
      <w:sdt>
        <w:sdtPr>
          <w:rPr>
            <w:szCs w:val="24"/>
          </w:rPr>
          <w:id w:val="887922579"/>
          <w:citation/>
        </w:sdtPr>
        <w:sdtEndPr/>
        <w:sdtContent>
          <w:r w:rsidRPr="009C5364">
            <w:rPr>
              <w:szCs w:val="24"/>
            </w:rPr>
            <w:fldChar w:fldCharType="begin"/>
          </w:r>
          <w:r w:rsidRPr="009C5364">
            <w:rPr>
              <w:szCs w:val="24"/>
            </w:rPr>
            <w:instrText xml:space="preserve"> CITATION Shr15 \l 1033 </w:instrText>
          </w:r>
          <w:r w:rsidRPr="009C5364">
            <w:rPr>
              <w:szCs w:val="24"/>
            </w:rPr>
            <w:fldChar w:fldCharType="separate"/>
          </w:r>
          <w:r w:rsidRPr="009C5364">
            <w:rPr>
              <w:noProof/>
              <w:szCs w:val="24"/>
            </w:rPr>
            <w:t xml:space="preserve"> [5]</w:t>
          </w:r>
          <w:r w:rsidRPr="009C5364">
            <w:rPr>
              <w:szCs w:val="24"/>
            </w:rPr>
            <w:fldChar w:fldCharType="end"/>
          </w:r>
        </w:sdtContent>
      </w:sdt>
      <w:r w:rsidRPr="009C5364">
        <w:rPr>
          <w:szCs w:val="24"/>
        </w:rPr>
        <w:t>.</w:t>
      </w:r>
    </w:p>
    <w:p w14:paraId="14DD9BB4" w14:textId="77777777" w:rsidR="00043668" w:rsidRPr="009C5364" w:rsidRDefault="00043668" w:rsidP="00043668">
      <w:pPr>
        <w:jc w:val="both"/>
        <w:rPr>
          <w:szCs w:val="24"/>
        </w:rPr>
      </w:pPr>
      <w:r w:rsidRPr="009C5364">
        <w:rPr>
          <w:szCs w:val="24"/>
        </w:rPr>
        <w:t xml:space="preserve">Earlier studies noted recurring deficiencies in Nepalese buildings, including poor detailing of longitudinal reinforcement, use of undersized bars (12–16 mm with only 4–8 per element), inadequate stirrup reinforcement (6 mm at &gt;150 mm spacing), and frequent use of rounded aggregates, all of which compromised MRT standards (15 MPa) </w:t>
      </w:r>
      <w:sdt>
        <w:sdtPr>
          <w:rPr>
            <w:szCs w:val="24"/>
          </w:rPr>
          <w:id w:val="-1935580622"/>
          <w:citation/>
        </w:sdtPr>
        <w:sdtEndPr/>
        <w:sdtContent>
          <w:r w:rsidRPr="009C5364">
            <w:rPr>
              <w:szCs w:val="24"/>
            </w:rPr>
            <w:fldChar w:fldCharType="begin"/>
          </w:r>
          <w:r w:rsidRPr="009C5364">
            <w:rPr>
              <w:szCs w:val="24"/>
            </w:rPr>
            <w:instrText xml:space="preserve"> CITATION Gau16 \l 1033 </w:instrText>
          </w:r>
          <w:r w:rsidRPr="009C5364">
            <w:rPr>
              <w:szCs w:val="24"/>
            </w:rPr>
            <w:fldChar w:fldCharType="separate"/>
          </w:r>
          <w:r w:rsidRPr="009C5364">
            <w:rPr>
              <w:noProof/>
              <w:szCs w:val="24"/>
            </w:rPr>
            <w:t>[1]</w:t>
          </w:r>
          <w:r w:rsidRPr="009C5364">
            <w:rPr>
              <w:szCs w:val="24"/>
            </w:rPr>
            <w:fldChar w:fldCharType="end"/>
          </w:r>
        </w:sdtContent>
      </w:sdt>
      <w:r w:rsidRPr="009C5364">
        <w:rPr>
          <w:szCs w:val="24"/>
        </w:rPr>
        <w:t xml:space="preserve">. Corrosion of reinforcement was also a persistent concern. Building code implementation in Lalitpur indicated that only 27% of respondents were familiar with the code, and inspections occurred in just 33% of cases. Weak enforcement capacity limited technical training, and lack of awareness of seismic risks were key obstacles </w:t>
      </w:r>
      <w:sdt>
        <w:sdtPr>
          <w:rPr>
            <w:szCs w:val="24"/>
          </w:rPr>
          <w:id w:val="-2039960572"/>
          <w:citation/>
        </w:sdtPr>
        <w:sdtEndPr/>
        <w:sdtContent>
          <w:r w:rsidRPr="009C5364">
            <w:rPr>
              <w:szCs w:val="24"/>
            </w:rPr>
            <w:fldChar w:fldCharType="begin"/>
          </w:r>
          <w:r w:rsidRPr="009C5364">
            <w:rPr>
              <w:szCs w:val="24"/>
            </w:rPr>
            <w:instrText xml:space="preserve"> CITATION Are17 \l 1033 </w:instrText>
          </w:r>
          <w:r w:rsidRPr="009C5364">
            <w:rPr>
              <w:szCs w:val="24"/>
            </w:rPr>
            <w:fldChar w:fldCharType="separate"/>
          </w:r>
          <w:r w:rsidRPr="009C5364">
            <w:rPr>
              <w:noProof/>
              <w:szCs w:val="24"/>
            </w:rPr>
            <w:t>[6]</w:t>
          </w:r>
          <w:r w:rsidRPr="009C5364">
            <w:rPr>
              <w:szCs w:val="24"/>
            </w:rPr>
            <w:fldChar w:fldCharType="end"/>
          </w:r>
        </w:sdtContent>
      </w:sdt>
      <w:r w:rsidRPr="009C5364">
        <w:rPr>
          <w:szCs w:val="24"/>
        </w:rPr>
        <w:t>.</w:t>
      </w:r>
    </w:p>
    <w:p w14:paraId="14AB0E3A" w14:textId="77777777" w:rsidR="00043668" w:rsidRPr="009C5364" w:rsidRDefault="00043668" w:rsidP="00043668">
      <w:pPr>
        <w:jc w:val="both"/>
        <w:rPr>
          <w:szCs w:val="24"/>
        </w:rPr>
      </w:pPr>
      <w:r w:rsidRPr="009C5364">
        <w:rPr>
          <w:szCs w:val="24"/>
        </w:rPr>
        <w:t xml:space="preserve">Similar enforcement challenges are reported in Bihar, India, where cost considerations, political interests, corruption, and lack of institutional capacity constrained code compliance </w:t>
      </w:r>
      <w:sdt>
        <w:sdtPr>
          <w:rPr>
            <w:szCs w:val="24"/>
          </w:rPr>
          <w:id w:val="83581748"/>
          <w:citation/>
        </w:sdtPr>
        <w:sdtEndPr/>
        <w:sdtContent>
          <w:r w:rsidRPr="009C5364">
            <w:rPr>
              <w:szCs w:val="24"/>
            </w:rPr>
            <w:fldChar w:fldCharType="begin"/>
          </w:r>
          <w:r w:rsidRPr="009C5364">
            <w:rPr>
              <w:szCs w:val="24"/>
            </w:rPr>
            <w:instrText xml:space="preserve">CITATION Jon17 \l 1033 </w:instrText>
          </w:r>
          <w:r w:rsidRPr="009C5364">
            <w:rPr>
              <w:szCs w:val="24"/>
            </w:rPr>
            <w:fldChar w:fldCharType="separate"/>
          </w:r>
          <w:r w:rsidRPr="009C5364">
            <w:rPr>
              <w:noProof/>
              <w:szCs w:val="24"/>
            </w:rPr>
            <w:t>[7]</w:t>
          </w:r>
          <w:r w:rsidRPr="009C5364">
            <w:rPr>
              <w:szCs w:val="24"/>
            </w:rPr>
            <w:fldChar w:fldCharType="end"/>
          </w:r>
        </w:sdtContent>
      </w:sdt>
      <w:r w:rsidRPr="009C5364">
        <w:rPr>
          <w:szCs w:val="24"/>
        </w:rPr>
        <w:t xml:space="preserve">. In Nagarjun Municipality, Nepal, MRT-based implementation was formally in place, but effectiveness was hampered by inadequate manpower, absence of a dedicated implementation section, and insufficient technical training, although some contractors applied MRT in practice </w:t>
      </w:r>
      <w:sdt>
        <w:sdtPr>
          <w:rPr>
            <w:szCs w:val="24"/>
          </w:rPr>
          <w:id w:val="-1717881685"/>
          <w:citation/>
        </w:sdtPr>
        <w:sdtEndPr/>
        <w:sdtContent>
          <w:r w:rsidRPr="009C5364">
            <w:rPr>
              <w:szCs w:val="24"/>
            </w:rPr>
            <w:fldChar w:fldCharType="begin"/>
          </w:r>
          <w:r w:rsidRPr="009C5364">
            <w:rPr>
              <w:szCs w:val="24"/>
            </w:rPr>
            <w:instrText xml:space="preserve">CITATION Placeholder1 \l 1033 </w:instrText>
          </w:r>
          <w:r w:rsidRPr="009C5364">
            <w:rPr>
              <w:szCs w:val="24"/>
            </w:rPr>
            <w:fldChar w:fldCharType="separate"/>
          </w:r>
          <w:r w:rsidRPr="009C5364">
            <w:rPr>
              <w:noProof/>
              <w:szCs w:val="24"/>
            </w:rPr>
            <w:t>[2]</w:t>
          </w:r>
          <w:r w:rsidRPr="009C5364">
            <w:rPr>
              <w:szCs w:val="24"/>
            </w:rPr>
            <w:fldChar w:fldCharType="end"/>
          </w:r>
        </w:sdtContent>
      </w:sdt>
      <w:r w:rsidRPr="009C5364">
        <w:rPr>
          <w:szCs w:val="24"/>
        </w:rPr>
        <w:t xml:space="preserve"> </w:t>
      </w:r>
    </w:p>
    <w:p w14:paraId="014D85A4" w14:textId="77777777" w:rsidR="00043668" w:rsidRDefault="00043668" w:rsidP="00043668">
      <w:pPr>
        <w:jc w:val="both"/>
        <w:rPr>
          <w:szCs w:val="24"/>
        </w:rPr>
      </w:pPr>
      <w:r w:rsidRPr="009C5364">
        <w:rPr>
          <w:szCs w:val="24"/>
        </w:rPr>
        <w:t xml:space="preserve">Post-Gorkha Earthquake studies further highlight gaps in practice. Research shows that most Nepali buildings were non-engineered, damaged due to substandard materials, poor detailing, and weak workmanship </w:t>
      </w:r>
      <w:sdt>
        <w:sdtPr>
          <w:rPr>
            <w:szCs w:val="24"/>
          </w:rPr>
          <w:id w:val="-2141176342"/>
          <w:citation/>
        </w:sdtPr>
        <w:sdtEndPr/>
        <w:sdtContent>
          <w:r w:rsidRPr="009C5364">
            <w:rPr>
              <w:szCs w:val="24"/>
            </w:rPr>
            <w:fldChar w:fldCharType="begin"/>
          </w:r>
          <w:r w:rsidRPr="009C5364">
            <w:rPr>
              <w:szCs w:val="24"/>
            </w:rPr>
            <w:instrText xml:space="preserve"> CITATION Var17 \l 1033 </w:instrText>
          </w:r>
          <w:r w:rsidRPr="009C5364">
            <w:rPr>
              <w:szCs w:val="24"/>
            </w:rPr>
            <w:fldChar w:fldCharType="separate"/>
          </w:r>
          <w:r w:rsidRPr="009C5364">
            <w:rPr>
              <w:noProof/>
              <w:szCs w:val="24"/>
            </w:rPr>
            <w:t>[8]</w:t>
          </w:r>
          <w:r w:rsidRPr="009C5364">
            <w:rPr>
              <w:szCs w:val="24"/>
            </w:rPr>
            <w:fldChar w:fldCharType="end"/>
          </w:r>
        </w:sdtContent>
      </w:sdt>
      <w:r w:rsidRPr="009C5364">
        <w:rPr>
          <w:szCs w:val="24"/>
        </w:rPr>
        <w:t xml:space="preserve">. In Lalitpur, low-rise buildings frequently failed to achieve the prescribed M20 mix ratio of 1:1.5:3 </w:t>
      </w:r>
      <w:sdt>
        <w:sdtPr>
          <w:rPr>
            <w:szCs w:val="24"/>
          </w:rPr>
          <w:id w:val="-2010287561"/>
          <w:citation/>
        </w:sdtPr>
        <w:sdtEndPr/>
        <w:sdtContent>
          <w:r w:rsidRPr="009C5364">
            <w:rPr>
              <w:szCs w:val="24"/>
            </w:rPr>
            <w:fldChar w:fldCharType="begin"/>
          </w:r>
          <w:r w:rsidRPr="009C5364">
            <w:rPr>
              <w:szCs w:val="24"/>
            </w:rPr>
            <w:instrText xml:space="preserve">CITATION Placeholder2 \l 1033 </w:instrText>
          </w:r>
          <w:r w:rsidRPr="009C5364">
            <w:rPr>
              <w:szCs w:val="24"/>
            </w:rPr>
            <w:fldChar w:fldCharType="separate"/>
          </w:r>
          <w:r w:rsidRPr="009C5364">
            <w:rPr>
              <w:noProof/>
              <w:szCs w:val="24"/>
            </w:rPr>
            <w:t>[3]</w:t>
          </w:r>
          <w:r w:rsidRPr="009C5364">
            <w:rPr>
              <w:szCs w:val="24"/>
            </w:rPr>
            <w:fldChar w:fldCharType="end"/>
          </w:r>
        </w:sdtContent>
      </w:sdt>
      <w:r w:rsidRPr="009C5364">
        <w:rPr>
          <w:szCs w:val="24"/>
        </w:rPr>
        <w:t xml:space="preserve">. However, positive examples exist. In Kakani Rural Municipality, 74% of reconstructed buildings complied with NNBC due to training programs and active oversight by NRA engineers </w:t>
      </w:r>
      <w:sdt>
        <w:sdtPr>
          <w:rPr>
            <w:szCs w:val="24"/>
          </w:rPr>
          <w:id w:val="359335925"/>
          <w:citation/>
        </w:sdtPr>
        <w:sdtEndPr/>
        <w:sdtContent>
          <w:r w:rsidRPr="009C5364">
            <w:rPr>
              <w:szCs w:val="24"/>
            </w:rPr>
            <w:fldChar w:fldCharType="begin"/>
          </w:r>
          <w:r w:rsidRPr="009C5364">
            <w:rPr>
              <w:szCs w:val="24"/>
            </w:rPr>
            <w:instrText xml:space="preserve">CITATION Nir18 \l 1033 </w:instrText>
          </w:r>
          <w:r w:rsidRPr="009C5364">
            <w:rPr>
              <w:szCs w:val="24"/>
            </w:rPr>
            <w:fldChar w:fldCharType="separate"/>
          </w:r>
          <w:r w:rsidRPr="009C5364">
            <w:rPr>
              <w:noProof/>
              <w:szCs w:val="24"/>
            </w:rPr>
            <w:t>[9]</w:t>
          </w:r>
          <w:r w:rsidRPr="009C5364">
            <w:rPr>
              <w:szCs w:val="24"/>
            </w:rPr>
            <w:fldChar w:fldCharType="end"/>
          </w:r>
        </w:sdtContent>
      </w:sdt>
      <w:r w:rsidRPr="009C5364">
        <w:rPr>
          <w:szCs w:val="24"/>
        </w:rPr>
        <w:t xml:space="preserve">. Likewise, in Chandragiri, 70% of RCC housing reconstruction adhered to code, supported by trained professionals </w:t>
      </w:r>
      <w:sdt>
        <w:sdtPr>
          <w:rPr>
            <w:szCs w:val="24"/>
          </w:rPr>
          <w:id w:val="1834020918"/>
          <w:citation/>
        </w:sdtPr>
        <w:sdtEndPr/>
        <w:sdtContent>
          <w:r w:rsidRPr="009C5364">
            <w:rPr>
              <w:szCs w:val="24"/>
            </w:rPr>
            <w:fldChar w:fldCharType="begin"/>
          </w:r>
          <w:r w:rsidRPr="009C5364">
            <w:rPr>
              <w:szCs w:val="24"/>
            </w:rPr>
            <w:instrText xml:space="preserve"> CITATION Tha22 \l 1033 </w:instrText>
          </w:r>
          <w:r w:rsidRPr="009C5364">
            <w:rPr>
              <w:szCs w:val="24"/>
            </w:rPr>
            <w:fldChar w:fldCharType="separate"/>
          </w:r>
          <w:r w:rsidRPr="009C5364">
            <w:rPr>
              <w:noProof/>
              <w:szCs w:val="24"/>
            </w:rPr>
            <w:t>[10]</w:t>
          </w:r>
          <w:r w:rsidRPr="009C5364">
            <w:rPr>
              <w:szCs w:val="24"/>
            </w:rPr>
            <w:fldChar w:fldCharType="end"/>
          </w:r>
        </w:sdtContent>
      </w:sdt>
      <w:r w:rsidRPr="009C5364">
        <w:rPr>
          <w:szCs w:val="24"/>
        </w:rPr>
        <w:t xml:space="preserve">. In contrast, compliance studies in </w:t>
      </w:r>
      <w:proofErr w:type="spellStart"/>
      <w:r w:rsidRPr="009C5364">
        <w:rPr>
          <w:szCs w:val="24"/>
        </w:rPr>
        <w:t>Sisne</w:t>
      </w:r>
      <w:proofErr w:type="spellEnd"/>
      <w:r w:rsidRPr="009C5364">
        <w:rPr>
          <w:szCs w:val="24"/>
        </w:rPr>
        <w:t xml:space="preserve"> Rural Municipality paint a more concerning picture, with only 1 of 27 completed buildings fully compliant and none of the 13 under-construction buildings meeting standards. Violations included plinth, beam, reinforcement, and staircase deficiencies, compounded by low technical awareness among masons and frequent owner-driven design changes </w:t>
      </w:r>
      <w:sdt>
        <w:sdtPr>
          <w:rPr>
            <w:szCs w:val="24"/>
          </w:rPr>
          <w:id w:val="-1979054949"/>
          <w:citation/>
        </w:sdtPr>
        <w:sdtEndPr/>
        <w:sdtContent>
          <w:r w:rsidRPr="009C5364">
            <w:rPr>
              <w:szCs w:val="24"/>
            </w:rPr>
            <w:fldChar w:fldCharType="begin"/>
          </w:r>
          <w:r w:rsidRPr="009C5364">
            <w:rPr>
              <w:szCs w:val="24"/>
            </w:rPr>
            <w:instrText xml:space="preserve"> CITATION KCK23 \l 1033 </w:instrText>
          </w:r>
          <w:r w:rsidRPr="009C5364">
            <w:rPr>
              <w:szCs w:val="24"/>
            </w:rPr>
            <w:fldChar w:fldCharType="separate"/>
          </w:r>
          <w:r w:rsidRPr="009C5364">
            <w:rPr>
              <w:noProof/>
              <w:szCs w:val="24"/>
            </w:rPr>
            <w:t>[11]</w:t>
          </w:r>
          <w:r w:rsidRPr="009C5364">
            <w:rPr>
              <w:szCs w:val="24"/>
            </w:rPr>
            <w:fldChar w:fldCharType="end"/>
          </w:r>
        </w:sdtContent>
      </w:sdt>
      <w:r w:rsidRPr="009C5364">
        <w:rPr>
          <w:szCs w:val="24"/>
        </w:rPr>
        <w:t xml:space="preserve">. Similar issues were found in </w:t>
      </w:r>
      <w:proofErr w:type="spellStart"/>
      <w:r w:rsidRPr="009C5364">
        <w:rPr>
          <w:szCs w:val="24"/>
        </w:rPr>
        <w:t>Birendranagar</w:t>
      </w:r>
      <w:proofErr w:type="spellEnd"/>
      <w:r w:rsidRPr="009C5364">
        <w:rPr>
          <w:szCs w:val="24"/>
        </w:rPr>
        <w:t xml:space="preserve"> Municipality, where field surveys revealed widespread non-compliance and highlighted mason skill gaps, as most relied on experience rather than earthquake-resistant construction training </w:t>
      </w:r>
      <w:sdt>
        <w:sdtPr>
          <w:rPr>
            <w:szCs w:val="24"/>
          </w:rPr>
          <w:id w:val="1533377653"/>
          <w:citation/>
        </w:sdtPr>
        <w:sdtEndPr/>
        <w:sdtContent>
          <w:r w:rsidRPr="009C5364">
            <w:rPr>
              <w:szCs w:val="24"/>
            </w:rPr>
            <w:fldChar w:fldCharType="begin"/>
          </w:r>
          <w:r w:rsidRPr="009C5364">
            <w:rPr>
              <w:szCs w:val="24"/>
            </w:rPr>
            <w:instrText xml:space="preserve"> CITATION Rij25 \l 1033 </w:instrText>
          </w:r>
          <w:r w:rsidRPr="009C5364">
            <w:rPr>
              <w:szCs w:val="24"/>
            </w:rPr>
            <w:fldChar w:fldCharType="separate"/>
          </w:r>
          <w:r w:rsidRPr="009C5364">
            <w:rPr>
              <w:noProof/>
              <w:szCs w:val="24"/>
            </w:rPr>
            <w:t>[12]</w:t>
          </w:r>
          <w:r w:rsidRPr="009C5364">
            <w:rPr>
              <w:szCs w:val="24"/>
            </w:rPr>
            <w:fldChar w:fldCharType="end"/>
          </w:r>
        </w:sdtContent>
      </w:sdt>
      <w:r w:rsidRPr="009C5364">
        <w:rPr>
          <w:szCs w:val="24"/>
        </w:rPr>
        <w:t xml:space="preserve">. To systematically assess compliance, parameters have been proposed covering configuration (length–breadth ratios, cantilever lengths), strength (column/beam sizes, slab thickness, concrete grade), ductility (bar numbers, stirrup spacing, anchorage, detailing), and connection checks (lintel/sill bands, footing ties). These criteria, detailed in municipal case studies </w:t>
      </w:r>
      <w:sdt>
        <w:sdtPr>
          <w:rPr>
            <w:szCs w:val="24"/>
          </w:rPr>
          <w:id w:val="1137764022"/>
          <w:citation/>
        </w:sdtPr>
        <w:sdtEndPr/>
        <w:sdtContent>
          <w:r w:rsidRPr="009C5364">
            <w:rPr>
              <w:szCs w:val="24"/>
            </w:rPr>
            <w:fldChar w:fldCharType="begin"/>
          </w:r>
          <w:r w:rsidRPr="009C5364">
            <w:rPr>
              <w:szCs w:val="24"/>
            </w:rPr>
            <w:instrText xml:space="preserve"> CITATION Shr15 \l 1033 </w:instrText>
          </w:r>
          <w:r w:rsidRPr="009C5364">
            <w:rPr>
              <w:szCs w:val="24"/>
            </w:rPr>
            <w:fldChar w:fldCharType="separate"/>
          </w:r>
          <w:r w:rsidRPr="009C5364">
            <w:rPr>
              <w:noProof/>
              <w:szCs w:val="24"/>
            </w:rPr>
            <w:t>[5]</w:t>
          </w:r>
          <w:r w:rsidRPr="009C5364">
            <w:rPr>
              <w:szCs w:val="24"/>
            </w:rPr>
            <w:fldChar w:fldCharType="end"/>
          </w:r>
        </w:sdtContent>
      </w:sdt>
      <w:r w:rsidRPr="009C5364">
        <w:rPr>
          <w:szCs w:val="24"/>
        </w:rPr>
        <w:t xml:space="preserve"> and implementation handbooks, provide structured approaches to compliance monitoring.</w:t>
      </w:r>
    </w:p>
    <w:p w14:paraId="6833ADA0" w14:textId="77777777" w:rsidR="00AF2FC2" w:rsidRDefault="00AF2FC2" w:rsidP="00043668">
      <w:pPr>
        <w:jc w:val="both"/>
        <w:rPr>
          <w:szCs w:val="24"/>
        </w:rPr>
      </w:pPr>
    </w:p>
    <w:p w14:paraId="4E25A6CD" w14:textId="77777777" w:rsidR="00AF2FC2" w:rsidRPr="009C5364" w:rsidRDefault="00AF2FC2" w:rsidP="00043668">
      <w:pPr>
        <w:jc w:val="both"/>
        <w:rPr>
          <w:szCs w:val="24"/>
        </w:rPr>
      </w:pPr>
    </w:p>
    <w:p w14:paraId="160C8B65" w14:textId="77777777" w:rsidR="00043668" w:rsidRPr="009C5364" w:rsidRDefault="00043668" w:rsidP="00043668">
      <w:pPr>
        <w:jc w:val="both"/>
        <w:rPr>
          <w:b/>
          <w:szCs w:val="24"/>
        </w:rPr>
      </w:pPr>
      <w:bookmarkStart w:id="5" w:name="_Toc105971056"/>
      <w:bookmarkStart w:id="6" w:name="_Toc184835210"/>
      <w:bookmarkStart w:id="7" w:name="_Toc184835310"/>
      <w:bookmarkStart w:id="8" w:name="_Toc184819540"/>
      <w:r w:rsidRPr="009C5364">
        <w:rPr>
          <w:b/>
          <w:szCs w:val="24"/>
        </w:rPr>
        <w:t>3. M</w:t>
      </w:r>
      <w:bookmarkEnd w:id="5"/>
      <w:r w:rsidRPr="009C5364">
        <w:rPr>
          <w:b/>
          <w:szCs w:val="24"/>
        </w:rPr>
        <w:t>ETHODOLOGY</w:t>
      </w:r>
      <w:bookmarkEnd w:id="6"/>
      <w:bookmarkEnd w:id="7"/>
      <w:bookmarkEnd w:id="8"/>
    </w:p>
    <w:p w14:paraId="7A4C589D" w14:textId="77777777" w:rsidR="00043668" w:rsidRPr="009C5364" w:rsidRDefault="00043668" w:rsidP="00043668">
      <w:pPr>
        <w:jc w:val="both"/>
      </w:pPr>
      <w:bookmarkStart w:id="9" w:name="_Toc105971058"/>
      <w:bookmarkStart w:id="10" w:name="_Toc184819543"/>
      <w:bookmarkStart w:id="11" w:name="_Toc184835213"/>
      <w:bookmarkStart w:id="12" w:name="_Toc184835313"/>
      <w:r w:rsidRPr="009C5364">
        <w:t xml:space="preserve">This study assessed compliance between approved design plans and actual construction of residential buildings in </w:t>
      </w:r>
      <w:proofErr w:type="spellStart"/>
      <w:r w:rsidRPr="009C5364">
        <w:t>Godawari</w:t>
      </w:r>
      <w:proofErr w:type="spellEnd"/>
      <w:r w:rsidRPr="009C5364">
        <w:t xml:space="preserve"> Municipality, Lalitpur District. It also examined causes of non-compliance and proposed measures to improve adherence to the Nepal National Building Code (NNBC). A qualitative approach was employed, combining literature review, field surveys, questionnaire surveys, key informant interviews (KII), and descriptive analysis.</w:t>
      </w:r>
    </w:p>
    <w:p w14:paraId="257569AA" w14:textId="77777777" w:rsidR="00360249" w:rsidRDefault="00360249" w:rsidP="00043668">
      <w:pPr>
        <w:jc w:val="both"/>
        <w:rPr>
          <w:b/>
          <w:i/>
        </w:rPr>
      </w:pPr>
    </w:p>
    <w:p w14:paraId="741DC33B" w14:textId="77777777" w:rsidR="00360249" w:rsidRDefault="00360249" w:rsidP="00043668">
      <w:pPr>
        <w:jc w:val="both"/>
        <w:rPr>
          <w:b/>
          <w:i/>
        </w:rPr>
      </w:pPr>
    </w:p>
    <w:p w14:paraId="5DF069D8" w14:textId="46CE519D" w:rsidR="00043668" w:rsidRPr="00CB2694" w:rsidRDefault="00043668" w:rsidP="00043668">
      <w:pPr>
        <w:jc w:val="both"/>
        <w:rPr>
          <w:b/>
          <w:i/>
        </w:rPr>
      </w:pPr>
      <w:r w:rsidRPr="00CB2694">
        <w:rPr>
          <w:b/>
          <w:i/>
        </w:rPr>
        <w:t xml:space="preserve">3.1 STUDY AREA, POPULATION, AND SAMPLE </w:t>
      </w:r>
    </w:p>
    <w:p w14:paraId="6B196DCA" w14:textId="77777777" w:rsidR="00043668" w:rsidRDefault="00043668" w:rsidP="00043668">
      <w:pPr>
        <w:jc w:val="both"/>
      </w:pPr>
      <w:proofErr w:type="spellStart"/>
      <w:r w:rsidRPr="009C5364">
        <w:t>Godawari</w:t>
      </w:r>
      <w:proofErr w:type="spellEnd"/>
      <w:r w:rsidRPr="009C5364">
        <w:t xml:space="preserve"> Municipality, Bagmati Province, spans 96.11 km² with a population of 97,633 and 24,045 households (Census 2021). The research focused on residential buildings constructed in fiscal year 2081/82 across all 14 wards. Municipal records indicated 691 RC frame structures registered for permits, forming the study population. From this, 147 buildings (78 completed and 69 under construction) were selected through stratified sampling to ensure ward-wise proportional representation. Additional respondents included </w:t>
      </w:r>
      <w:r w:rsidRPr="009C5364">
        <w:lastRenderedPageBreak/>
        <w:t>32 contractors/masons, two elected officials, three technical personnel, one administrative officer, and two consultants. The details are shown in table 1.</w:t>
      </w:r>
    </w:p>
    <w:p w14:paraId="675D5A6F" w14:textId="77777777" w:rsidR="00BC15A9" w:rsidRDefault="00BC15A9" w:rsidP="00043668">
      <w:pPr>
        <w:jc w:val="both"/>
      </w:pPr>
    </w:p>
    <w:p w14:paraId="418A536A" w14:textId="77777777" w:rsidR="00BC15A9" w:rsidRPr="009C5364" w:rsidRDefault="00BC15A9" w:rsidP="00043668">
      <w:pPr>
        <w:jc w:val="both"/>
      </w:pPr>
    </w:p>
    <w:p w14:paraId="4995D4EB" w14:textId="77777777" w:rsidR="00043668" w:rsidRPr="009C5364" w:rsidRDefault="00043668" w:rsidP="00043668">
      <w:pPr>
        <w:ind w:right="-244"/>
        <w:jc w:val="both"/>
        <w:rPr>
          <w:szCs w:val="24"/>
        </w:rPr>
      </w:pPr>
      <w:r w:rsidRPr="009C5364">
        <w:rPr>
          <w:szCs w:val="24"/>
        </w:rPr>
        <w:t xml:space="preserve">Table </w:t>
      </w:r>
      <w:r w:rsidRPr="009C5364">
        <w:rPr>
          <w:szCs w:val="24"/>
        </w:rPr>
        <w:fldChar w:fldCharType="begin"/>
      </w:r>
      <w:r w:rsidRPr="009C5364">
        <w:rPr>
          <w:szCs w:val="24"/>
        </w:rPr>
        <w:instrText xml:space="preserve"> SEQ Table \* ARABIC \s 1 </w:instrText>
      </w:r>
      <w:r w:rsidRPr="009C5364">
        <w:rPr>
          <w:szCs w:val="24"/>
        </w:rPr>
        <w:fldChar w:fldCharType="separate"/>
      </w:r>
      <w:r w:rsidRPr="009C5364">
        <w:rPr>
          <w:noProof/>
          <w:szCs w:val="24"/>
        </w:rPr>
        <w:t>1</w:t>
      </w:r>
      <w:r w:rsidRPr="009C5364">
        <w:rPr>
          <w:noProof/>
          <w:szCs w:val="24"/>
        </w:rPr>
        <w:fldChar w:fldCharType="end"/>
      </w:r>
      <w:r w:rsidRPr="009C5364">
        <w:rPr>
          <w:szCs w:val="24"/>
        </w:rPr>
        <w:t xml:space="preserve"> </w:t>
      </w:r>
      <w:r w:rsidRPr="009C5364">
        <w:t>List of Population and Sample</w:t>
      </w:r>
    </w:p>
    <w:tbl>
      <w:tblPr>
        <w:tblStyle w:val="TableGrid2"/>
        <w:tblW w:w="4596" w:type="pct"/>
        <w:jc w:val="center"/>
        <w:tblLook w:val="04A0" w:firstRow="1" w:lastRow="0" w:firstColumn="1" w:lastColumn="0" w:noHBand="0" w:noVBand="1"/>
      </w:tblPr>
      <w:tblGrid>
        <w:gridCol w:w="838"/>
        <w:gridCol w:w="4282"/>
        <w:gridCol w:w="1341"/>
        <w:gridCol w:w="1282"/>
      </w:tblGrid>
      <w:tr w:rsidR="00043668" w:rsidRPr="009C5364" w14:paraId="7E3F25AD" w14:textId="77777777" w:rsidTr="00043668">
        <w:trPr>
          <w:trHeight w:val="651"/>
          <w:jc w:val="center"/>
        </w:trPr>
        <w:tc>
          <w:tcPr>
            <w:tcW w:w="541" w:type="pct"/>
            <w:vAlign w:val="center"/>
          </w:tcPr>
          <w:p w14:paraId="14162300" w14:textId="77777777" w:rsidR="00043668" w:rsidRPr="009C5364" w:rsidRDefault="00043668" w:rsidP="00043668">
            <w:pPr>
              <w:pStyle w:val="NoSpacing"/>
              <w:rPr>
                <w:b/>
                <w:bCs/>
                <w:color w:val="000000" w:themeColor="text1"/>
                <w:sz w:val="24"/>
                <w:szCs w:val="28"/>
              </w:rPr>
            </w:pPr>
            <w:r w:rsidRPr="009C5364">
              <w:rPr>
                <w:b/>
                <w:bCs/>
                <w:color w:val="000000" w:themeColor="text1"/>
                <w:sz w:val="24"/>
                <w:szCs w:val="28"/>
              </w:rPr>
              <w:t>S.N.</w:t>
            </w:r>
          </w:p>
        </w:tc>
        <w:tc>
          <w:tcPr>
            <w:tcW w:w="2765" w:type="pct"/>
            <w:vAlign w:val="center"/>
          </w:tcPr>
          <w:p w14:paraId="3049727F" w14:textId="77777777" w:rsidR="00043668" w:rsidRPr="009C5364" w:rsidRDefault="00043668" w:rsidP="00043668">
            <w:pPr>
              <w:pStyle w:val="NoSpacing"/>
              <w:rPr>
                <w:b/>
                <w:bCs/>
                <w:color w:val="000000" w:themeColor="text1"/>
                <w:sz w:val="24"/>
                <w:szCs w:val="28"/>
              </w:rPr>
            </w:pPr>
            <w:r w:rsidRPr="009C5364">
              <w:rPr>
                <w:b/>
                <w:bCs/>
                <w:color w:val="000000" w:themeColor="text1"/>
                <w:sz w:val="24"/>
                <w:szCs w:val="28"/>
              </w:rPr>
              <w:t>Respondent types</w:t>
            </w:r>
          </w:p>
        </w:tc>
        <w:tc>
          <w:tcPr>
            <w:tcW w:w="866" w:type="pct"/>
            <w:vAlign w:val="center"/>
          </w:tcPr>
          <w:p w14:paraId="0CBA2E28" w14:textId="77777777" w:rsidR="00043668" w:rsidRPr="009C5364" w:rsidRDefault="00043668" w:rsidP="00043668">
            <w:pPr>
              <w:pStyle w:val="NoSpacing"/>
              <w:rPr>
                <w:b/>
                <w:bCs/>
                <w:color w:val="000000" w:themeColor="text1"/>
                <w:sz w:val="24"/>
                <w:szCs w:val="28"/>
              </w:rPr>
            </w:pPr>
            <w:r w:rsidRPr="009C5364">
              <w:rPr>
                <w:b/>
                <w:bCs/>
                <w:color w:val="000000" w:themeColor="text1"/>
                <w:sz w:val="24"/>
                <w:szCs w:val="28"/>
              </w:rPr>
              <w:t>Number of Population</w:t>
            </w:r>
          </w:p>
        </w:tc>
        <w:tc>
          <w:tcPr>
            <w:tcW w:w="828" w:type="pct"/>
            <w:vAlign w:val="center"/>
          </w:tcPr>
          <w:p w14:paraId="5D897AF6" w14:textId="77777777" w:rsidR="00043668" w:rsidRPr="009C5364" w:rsidRDefault="00043668" w:rsidP="00043668">
            <w:pPr>
              <w:pStyle w:val="NoSpacing"/>
              <w:rPr>
                <w:b/>
                <w:bCs/>
                <w:color w:val="000000" w:themeColor="text1"/>
                <w:sz w:val="24"/>
                <w:szCs w:val="28"/>
              </w:rPr>
            </w:pPr>
            <w:r w:rsidRPr="009C5364">
              <w:rPr>
                <w:b/>
                <w:bCs/>
                <w:color w:val="000000" w:themeColor="text1"/>
                <w:sz w:val="24"/>
                <w:szCs w:val="28"/>
              </w:rPr>
              <w:t>Sample</w:t>
            </w:r>
          </w:p>
        </w:tc>
      </w:tr>
      <w:tr w:rsidR="00043668" w:rsidRPr="009C5364" w14:paraId="3DE457ED" w14:textId="77777777" w:rsidTr="00043668">
        <w:trPr>
          <w:trHeight w:val="485"/>
          <w:jc w:val="center"/>
        </w:trPr>
        <w:tc>
          <w:tcPr>
            <w:tcW w:w="541" w:type="pct"/>
            <w:vAlign w:val="center"/>
          </w:tcPr>
          <w:p w14:paraId="579556C8"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1.</w:t>
            </w:r>
          </w:p>
        </w:tc>
        <w:tc>
          <w:tcPr>
            <w:tcW w:w="2765" w:type="pct"/>
            <w:vAlign w:val="center"/>
          </w:tcPr>
          <w:p w14:paraId="172F1717"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Total Permitted Building</w:t>
            </w:r>
          </w:p>
        </w:tc>
        <w:tc>
          <w:tcPr>
            <w:tcW w:w="866" w:type="pct"/>
            <w:vAlign w:val="center"/>
          </w:tcPr>
          <w:p w14:paraId="04959E6F"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691</w:t>
            </w:r>
          </w:p>
        </w:tc>
        <w:tc>
          <w:tcPr>
            <w:tcW w:w="828" w:type="pct"/>
            <w:vAlign w:val="center"/>
          </w:tcPr>
          <w:p w14:paraId="7AEBA9F7"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147</w:t>
            </w:r>
          </w:p>
        </w:tc>
      </w:tr>
      <w:tr w:rsidR="00043668" w:rsidRPr="009C5364" w14:paraId="12321E4A" w14:textId="77777777" w:rsidTr="00043668">
        <w:trPr>
          <w:trHeight w:val="215"/>
          <w:jc w:val="center"/>
        </w:trPr>
        <w:tc>
          <w:tcPr>
            <w:tcW w:w="541" w:type="pct"/>
            <w:vAlign w:val="center"/>
          </w:tcPr>
          <w:p w14:paraId="7C0DE7DA"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1a.</w:t>
            </w:r>
          </w:p>
        </w:tc>
        <w:tc>
          <w:tcPr>
            <w:tcW w:w="2765" w:type="pct"/>
            <w:vAlign w:val="center"/>
          </w:tcPr>
          <w:p w14:paraId="3C847E59"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Completed Buildings</w:t>
            </w:r>
          </w:p>
        </w:tc>
        <w:tc>
          <w:tcPr>
            <w:tcW w:w="866" w:type="pct"/>
            <w:vAlign w:val="center"/>
          </w:tcPr>
          <w:p w14:paraId="41EFE264"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379</w:t>
            </w:r>
          </w:p>
        </w:tc>
        <w:tc>
          <w:tcPr>
            <w:tcW w:w="828" w:type="pct"/>
            <w:vAlign w:val="center"/>
          </w:tcPr>
          <w:p w14:paraId="2ACCE9CD"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78</w:t>
            </w:r>
          </w:p>
        </w:tc>
      </w:tr>
      <w:tr w:rsidR="00043668" w:rsidRPr="009C5364" w14:paraId="096C9F65" w14:textId="77777777" w:rsidTr="00043668">
        <w:trPr>
          <w:trHeight w:val="332"/>
          <w:jc w:val="center"/>
        </w:trPr>
        <w:tc>
          <w:tcPr>
            <w:tcW w:w="541" w:type="pct"/>
            <w:vAlign w:val="center"/>
          </w:tcPr>
          <w:p w14:paraId="27C0B4EE"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 xml:space="preserve">1b. </w:t>
            </w:r>
          </w:p>
        </w:tc>
        <w:tc>
          <w:tcPr>
            <w:tcW w:w="2765" w:type="pct"/>
            <w:vAlign w:val="center"/>
          </w:tcPr>
          <w:p w14:paraId="26E9E335"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Buildings under construction</w:t>
            </w:r>
          </w:p>
        </w:tc>
        <w:tc>
          <w:tcPr>
            <w:tcW w:w="866" w:type="pct"/>
            <w:vAlign w:val="center"/>
          </w:tcPr>
          <w:p w14:paraId="75BE2C70"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312</w:t>
            </w:r>
          </w:p>
        </w:tc>
        <w:tc>
          <w:tcPr>
            <w:tcW w:w="828" w:type="pct"/>
            <w:vAlign w:val="center"/>
          </w:tcPr>
          <w:p w14:paraId="1BBBA9C5"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69</w:t>
            </w:r>
          </w:p>
        </w:tc>
      </w:tr>
      <w:tr w:rsidR="00043668" w:rsidRPr="009C5364" w14:paraId="28A50D82" w14:textId="77777777" w:rsidTr="00043668">
        <w:trPr>
          <w:trHeight w:val="651"/>
          <w:jc w:val="center"/>
        </w:trPr>
        <w:tc>
          <w:tcPr>
            <w:tcW w:w="541" w:type="pct"/>
            <w:vAlign w:val="center"/>
          </w:tcPr>
          <w:p w14:paraId="272B9B58"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2.</w:t>
            </w:r>
          </w:p>
        </w:tc>
        <w:tc>
          <w:tcPr>
            <w:tcW w:w="2765" w:type="pct"/>
            <w:vAlign w:val="center"/>
          </w:tcPr>
          <w:p w14:paraId="4EF3348B"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Local Contractor/Masons of buildings under construction</w:t>
            </w:r>
          </w:p>
        </w:tc>
        <w:tc>
          <w:tcPr>
            <w:tcW w:w="866" w:type="pct"/>
            <w:vAlign w:val="center"/>
          </w:tcPr>
          <w:p w14:paraId="63338D77"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32</w:t>
            </w:r>
          </w:p>
        </w:tc>
        <w:tc>
          <w:tcPr>
            <w:tcW w:w="828" w:type="pct"/>
            <w:vAlign w:val="center"/>
          </w:tcPr>
          <w:p w14:paraId="4BC6E752"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32</w:t>
            </w:r>
          </w:p>
        </w:tc>
      </w:tr>
      <w:tr w:rsidR="00043668" w:rsidRPr="009C5364" w14:paraId="4958D075" w14:textId="77777777" w:rsidTr="00043668">
        <w:trPr>
          <w:trHeight w:val="621"/>
          <w:jc w:val="center"/>
        </w:trPr>
        <w:tc>
          <w:tcPr>
            <w:tcW w:w="541" w:type="pct"/>
            <w:vAlign w:val="center"/>
          </w:tcPr>
          <w:p w14:paraId="5F03EA19"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w:t>
            </w:r>
          </w:p>
        </w:tc>
        <w:tc>
          <w:tcPr>
            <w:tcW w:w="2765" w:type="pct"/>
            <w:vAlign w:val="center"/>
          </w:tcPr>
          <w:p w14:paraId="3438B1ED"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Municipal Elected Officials (Mayor and Ward Chairperson)</w:t>
            </w:r>
          </w:p>
        </w:tc>
        <w:tc>
          <w:tcPr>
            <w:tcW w:w="866" w:type="pct"/>
            <w:vAlign w:val="center"/>
          </w:tcPr>
          <w:p w14:paraId="7E0E99B3"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2</w:t>
            </w:r>
          </w:p>
        </w:tc>
        <w:tc>
          <w:tcPr>
            <w:tcW w:w="828" w:type="pct"/>
            <w:vAlign w:val="center"/>
          </w:tcPr>
          <w:p w14:paraId="112B689C"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2</w:t>
            </w:r>
          </w:p>
        </w:tc>
      </w:tr>
      <w:tr w:rsidR="00043668" w:rsidRPr="009C5364" w14:paraId="1E1550AC" w14:textId="77777777" w:rsidTr="00043668">
        <w:trPr>
          <w:trHeight w:val="440"/>
          <w:jc w:val="center"/>
        </w:trPr>
        <w:tc>
          <w:tcPr>
            <w:tcW w:w="541" w:type="pct"/>
            <w:vAlign w:val="center"/>
          </w:tcPr>
          <w:p w14:paraId="6F4203A6"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4.</w:t>
            </w:r>
          </w:p>
        </w:tc>
        <w:tc>
          <w:tcPr>
            <w:tcW w:w="2765" w:type="pct"/>
            <w:vAlign w:val="center"/>
          </w:tcPr>
          <w:p w14:paraId="5292EDC4"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Municipal Technical Personnel</w:t>
            </w:r>
          </w:p>
        </w:tc>
        <w:tc>
          <w:tcPr>
            <w:tcW w:w="866" w:type="pct"/>
            <w:vAlign w:val="center"/>
          </w:tcPr>
          <w:p w14:paraId="69B858C9"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w:t>
            </w:r>
          </w:p>
        </w:tc>
        <w:tc>
          <w:tcPr>
            <w:tcW w:w="828" w:type="pct"/>
            <w:vAlign w:val="center"/>
          </w:tcPr>
          <w:p w14:paraId="6032F607"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w:t>
            </w:r>
          </w:p>
        </w:tc>
      </w:tr>
      <w:tr w:rsidR="00043668" w:rsidRPr="009C5364" w14:paraId="5BAB6F25" w14:textId="77777777" w:rsidTr="00043668">
        <w:trPr>
          <w:trHeight w:val="233"/>
          <w:jc w:val="center"/>
        </w:trPr>
        <w:tc>
          <w:tcPr>
            <w:tcW w:w="541" w:type="pct"/>
            <w:vAlign w:val="center"/>
          </w:tcPr>
          <w:p w14:paraId="32C4A011"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 xml:space="preserve">5. </w:t>
            </w:r>
          </w:p>
        </w:tc>
        <w:tc>
          <w:tcPr>
            <w:tcW w:w="2765" w:type="pct"/>
            <w:vAlign w:val="center"/>
          </w:tcPr>
          <w:p w14:paraId="3C3D6DE3"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Municipal Administrative Officer</w:t>
            </w:r>
          </w:p>
        </w:tc>
        <w:tc>
          <w:tcPr>
            <w:tcW w:w="866" w:type="pct"/>
            <w:vAlign w:val="center"/>
          </w:tcPr>
          <w:p w14:paraId="1BAD82C5"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1</w:t>
            </w:r>
          </w:p>
        </w:tc>
        <w:tc>
          <w:tcPr>
            <w:tcW w:w="828" w:type="pct"/>
            <w:vAlign w:val="center"/>
          </w:tcPr>
          <w:p w14:paraId="6A7E8938"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1</w:t>
            </w:r>
          </w:p>
          <w:p w14:paraId="13631864" w14:textId="77777777" w:rsidR="00043668" w:rsidRPr="009C5364" w:rsidRDefault="00043668" w:rsidP="00043668">
            <w:pPr>
              <w:pStyle w:val="NoSpacing"/>
              <w:rPr>
                <w:color w:val="000000" w:themeColor="text1"/>
                <w:sz w:val="24"/>
                <w:szCs w:val="28"/>
              </w:rPr>
            </w:pPr>
          </w:p>
        </w:tc>
      </w:tr>
      <w:tr w:rsidR="00043668" w:rsidRPr="009C5364" w14:paraId="2E6FF38C" w14:textId="77777777" w:rsidTr="00043668">
        <w:trPr>
          <w:trHeight w:val="341"/>
          <w:jc w:val="center"/>
        </w:trPr>
        <w:tc>
          <w:tcPr>
            <w:tcW w:w="541" w:type="pct"/>
            <w:vAlign w:val="center"/>
          </w:tcPr>
          <w:p w14:paraId="5AD3CED5"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6</w:t>
            </w:r>
          </w:p>
        </w:tc>
        <w:tc>
          <w:tcPr>
            <w:tcW w:w="2765" w:type="pct"/>
            <w:vAlign w:val="center"/>
          </w:tcPr>
          <w:p w14:paraId="0AB2ACE8"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Consultant</w:t>
            </w:r>
          </w:p>
        </w:tc>
        <w:tc>
          <w:tcPr>
            <w:tcW w:w="866" w:type="pct"/>
            <w:vAlign w:val="center"/>
          </w:tcPr>
          <w:p w14:paraId="039FE680"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2</w:t>
            </w:r>
          </w:p>
        </w:tc>
        <w:tc>
          <w:tcPr>
            <w:tcW w:w="828" w:type="pct"/>
            <w:vAlign w:val="center"/>
          </w:tcPr>
          <w:p w14:paraId="285A620A"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2</w:t>
            </w:r>
          </w:p>
        </w:tc>
      </w:tr>
    </w:tbl>
    <w:p w14:paraId="17DF1A81" w14:textId="77777777" w:rsidR="00043668" w:rsidRPr="00CB2694" w:rsidRDefault="00043668" w:rsidP="00043668">
      <w:pPr>
        <w:pStyle w:val="Heading2"/>
        <w:jc w:val="both"/>
        <w:rPr>
          <w:rFonts w:cs="Times New Roman"/>
          <w:i/>
          <w:szCs w:val="24"/>
        </w:rPr>
      </w:pPr>
      <w:bookmarkStart w:id="13" w:name="_Toc105971060"/>
      <w:bookmarkStart w:id="14" w:name="_Toc184819545"/>
      <w:bookmarkStart w:id="15" w:name="_Toc184835215"/>
      <w:bookmarkStart w:id="16" w:name="_Toc184835315"/>
      <w:bookmarkEnd w:id="9"/>
      <w:bookmarkEnd w:id="10"/>
      <w:bookmarkEnd w:id="11"/>
      <w:bookmarkEnd w:id="12"/>
      <w:r w:rsidRPr="00CB2694">
        <w:rPr>
          <w:rFonts w:cs="Times New Roman"/>
          <w:i/>
          <w:szCs w:val="24"/>
        </w:rPr>
        <w:t>3.2 DATA COLLECTION</w:t>
      </w:r>
      <w:bookmarkEnd w:id="13"/>
      <w:bookmarkEnd w:id="14"/>
      <w:bookmarkEnd w:id="15"/>
      <w:bookmarkEnd w:id="16"/>
    </w:p>
    <w:p w14:paraId="650875C4" w14:textId="77777777" w:rsidR="00043668" w:rsidRPr="009C5364" w:rsidRDefault="00043668" w:rsidP="00043668">
      <w:pPr>
        <w:pStyle w:val="Heading3"/>
        <w:jc w:val="both"/>
        <w:rPr>
          <w:rFonts w:cs="Times New Roman"/>
        </w:rPr>
      </w:pPr>
      <w:bookmarkStart w:id="17" w:name="_Toc184819546"/>
      <w:bookmarkStart w:id="18" w:name="_Toc184835216"/>
      <w:bookmarkStart w:id="19" w:name="_Toc184835316"/>
      <w:r>
        <w:rPr>
          <w:rFonts w:cs="Times New Roman"/>
        </w:rPr>
        <w:t xml:space="preserve">A. </w:t>
      </w:r>
      <w:r w:rsidRPr="00CB2694">
        <w:rPr>
          <w:rFonts w:cs="Times New Roman"/>
          <w:i/>
        </w:rPr>
        <w:t>PRIMARY DATA COLLECTION</w:t>
      </w:r>
      <w:bookmarkEnd w:id="17"/>
      <w:bookmarkEnd w:id="18"/>
      <w:bookmarkEnd w:id="19"/>
    </w:p>
    <w:p w14:paraId="109AD52B" w14:textId="77777777" w:rsidR="00043668" w:rsidRPr="009C5364" w:rsidRDefault="00043668" w:rsidP="00043668">
      <w:pPr>
        <w:jc w:val="both"/>
      </w:pPr>
      <w:bookmarkStart w:id="20" w:name="_Toc184819547"/>
      <w:bookmarkStart w:id="21" w:name="_Toc184835217"/>
      <w:bookmarkStart w:id="22" w:name="_Toc184835317"/>
      <w:r w:rsidRPr="009C5364">
        <w:t xml:space="preserve">Primary data were gathered through field surveys, direct observations, and structured interviews. </w:t>
      </w:r>
    </w:p>
    <w:p w14:paraId="1EF09ADB" w14:textId="77777777" w:rsidR="00043668" w:rsidRPr="009C5364" w:rsidRDefault="00043668" w:rsidP="00B5230A">
      <w:pPr>
        <w:pStyle w:val="ListParagraph"/>
        <w:numPr>
          <w:ilvl w:val="0"/>
          <w:numId w:val="2"/>
        </w:numPr>
        <w:spacing w:line="240" w:lineRule="auto"/>
        <w:rPr>
          <w:rFonts w:cs="Times New Roman"/>
        </w:rPr>
      </w:pPr>
      <w:r w:rsidRPr="009C5364">
        <w:rPr>
          <w:rFonts w:cs="Times New Roman"/>
        </w:rPr>
        <w:t>Field Surveys: A site investigation of sampled buildings was done, and compliance was checked based on the checklist prepared. The checklist involves: Characteristics of Mason, Configuration-related parameter, Strength-related parameter, Ductility-related parameter, Connection-related parameter, Causes of non-compliance</w:t>
      </w:r>
    </w:p>
    <w:p w14:paraId="0F717AEF" w14:textId="77777777" w:rsidR="00043668" w:rsidRPr="009C5364" w:rsidRDefault="00043668" w:rsidP="00B5230A">
      <w:pPr>
        <w:pStyle w:val="ListParagraph"/>
        <w:numPr>
          <w:ilvl w:val="0"/>
          <w:numId w:val="3"/>
        </w:numPr>
        <w:spacing w:line="240" w:lineRule="auto"/>
        <w:rPr>
          <w:rFonts w:cs="Times New Roman"/>
        </w:rPr>
      </w:pPr>
      <w:r w:rsidRPr="009C5364">
        <w:rPr>
          <w:rFonts w:cs="Times New Roman"/>
        </w:rPr>
        <w:t>Questionnaires: A set of different questionnaires was prepared for the local contractor/mason. The questionnaires were related to assessing the awareness, perspective, and capabilities of the mason to construct the buildings to comply with the provisions of the building code.</w:t>
      </w:r>
    </w:p>
    <w:p w14:paraId="0F85DF38" w14:textId="77777777" w:rsidR="00043668" w:rsidRPr="009C5364" w:rsidRDefault="00043668" w:rsidP="00B5230A">
      <w:pPr>
        <w:pStyle w:val="ListParagraph"/>
        <w:numPr>
          <w:ilvl w:val="0"/>
          <w:numId w:val="3"/>
        </w:numPr>
        <w:spacing w:line="240" w:lineRule="auto"/>
        <w:rPr>
          <w:rFonts w:cs="Times New Roman"/>
        </w:rPr>
      </w:pPr>
      <w:r w:rsidRPr="009C5364">
        <w:rPr>
          <w:rFonts w:cs="Times New Roman"/>
        </w:rPr>
        <w:t xml:space="preserve">KII – Key Informant Interviews (KII) were conducted with the chairperson, vice chairperson, chief administrative officer, and technical personnel of the Municipality who are involved in building permit-related works in the municipality. The unstructured interviewing method was used. The KII was conducted, asking the reasons behind the non-compliance and probable solutions to overcome it. </w:t>
      </w:r>
    </w:p>
    <w:p w14:paraId="1DD12A42" w14:textId="77777777" w:rsidR="00043668" w:rsidRPr="009C5364" w:rsidRDefault="00043668" w:rsidP="00043668">
      <w:pPr>
        <w:pStyle w:val="Heading3"/>
        <w:jc w:val="both"/>
        <w:rPr>
          <w:rFonts w:cs="Times New Roman"/>
        </w:rPr>
      </w:pPr>
      <w:r>
        <w:rPr>
          <w:rFonts w:cs="Times New Roman"/>
        </w:rPr>
        <w:t xml:space="preserve">B. </w:t>
      </w:r>
      <w:r w:rsidRPr="00CB2694">
        <w:rPr>
          <w:rFonts w:cs="Times New Roman"/>
          <w:i/>
        </w:rPr>
        <w:t>SECONDARY DATA COLLECTION</w:t>
      </w:r>
      <w:bookmarkEnd w:id="20"/>
      <w:bookmarkEnd w:id="21"/>
      <w:bookmarkEnd w:id="22"/>
    </w:p>
    <w:p w14:paraId="7C4EE151" w14:textId="77777777" w:rsidR="00043668" w:rsidRPr="009C5364" w:rsidRDefault="00043668" w:rsidP="00043668">
      <w:pPr>
        <w:jc w:val="both"/>
      </w:pPr>
      <w:bookmarkStart w:id="23" w:name="_Toc184819548"/>
      <w:bookmarkStart w:id="24" w:name="_Toc184835218"/>
      <w:bookmarkStart w:id="25" w:name="_Toc184835318"/>
      <w:bookmarkStart w:id="26" w:name="_Hlk207961896"/>
      <w:r w:rsidRPr="009C5364">
        <w:t xml:space="preserve">Various sources, such as journal articles, academic textbooks, websites, social media platforms, and news outlets, were utilized for gathering secondary data. Relevant reports and publications were reviewed to gain a deeper understanding of the research problem, associated issues, and other aspects related to the study. Additionally, certain specific </w:t>
      </w:r>
      <w:r w:rsidRPr="009C5364">
        <w:lastRenderedPageBreak/>
        <w:t>secondary data essential for the research were obtained from the following sources: Municipal Records, Approved Drawings and Design, Building Permit Certificate, Photographs, Relevant textbooks, Prevalent acts and regulations, Published and unpublished literature, journals, and reports, Records of the related government offices, Online search mediums such as Research Gate, sci-hub, Google Scholar, etc.</w:t>
      </w:r>
    </w:p>
    <w:p w14:paraId="7926DB3B" w14:textId="77777777" w:rsidR="00043668" w:rsidRPr="009C5364" w:rsidRDefault="00043668" w:rsidP="00043668">
      <w:pPr>
        <w:pStyle w:val="Heading2"/>
        <w:jc w:val="both"/>
        <w:rPr>
          <w:rFonts w:cs="Times New Roman"/>
          <w:szCs w:val="24"/>
        </w:rPr>
      </w:pPr>
      <w:r>
        <w:rPr>
          <w:rFonts w:cs="Times New Roman"/>
          <w:szCs w:val="24"/>
        </w:rPr>
        <w:t xml:space="preserve">C. </w:t>
      </w:r>
      <w:r w:rsidRPr="00CB2694">
        <w:rPr>
          <w:rFonts w:cs="Times New Roman"/>
          <w:i/>
          <w:szCs w:val="24"/>
        </w:rPr>
        <w:t>DATA ANALYSIS</w:t>
      </w:r>
      <w:r w:rsidRPr="009C5364">
        <w:rPr>
          <w:rFonts w:cs="Times New Roman"/>
          <w:szCs w:val="24"/>
        </w:rPr>
        <w:t xml:space="preserve"> </w:t>
      </w:r>
    </w:p>
    <w:p w14:paraId="62B55B8B" w14:textId="77777777" w:rsidR="00043668" w:rsidRPr="009C5364" w:rsidRDefault="00043668" w:rsidP="00043668">
      <w:pPr>
        <w:jc w:val="both"/>
      </w:pPr>
      <w:bookmarkStart w:id="27" w:name="_Toc184819549"/>
      <w:bookmarkStart w:id="28" w:name="_Toc184835219"/>
      <w:bookmarkStart w:id="29" w:name="_Toc184835319"/>
      <w:r w:rsidRPr="009C5364">
        <w:t>The data required for this study were fully gathered possible from the targeted respondents, ensuring it was as complete, consistent, accurate, and uniform as feasible. Once collected, the data were coded, processed, and analyzed using descriptive methods in MS Excel.  The interpreted results were then logically organized and presented through tables and graphical illustrations.</w:t>
      </w:r>
    </w:p>
    <w:p w14:paraId="731C5C79" w14:textId="77777777" w:rsidR="005A67B7" w:rsidRDefault="005A67B7" w:rsidP="00043668">
      <w:pPr>
        <w:tabs>
          <w:tab w:val="left" w:pos="780"/>
        </w:tabs>
        <w:jc w:val="both"/>
        <w:rPr>
          <w:b/>
          <w:szCs w:val="24"/>
        </w:rPr>
      </w:pPr>
      <w:bookmarkStart w:id="30" w:name="_Toc184835220"/>
      <w:bookmarkStart w:id="31" w:name="_Toc184835320"/>
      <w:bookmarkStart w:id="32" w:name="_Toc184819551"/>
      <w:bookmarkEnd w:id="23"/>
      <w:bookmarkEnd w:id="24"/>
      <w:bookmarkEnd w:id="25"/>
      <w:bookmarkEnd w:id="26"/>
      <w:bookmarkEnd w:id="27"/>
      <w:bookmarkEnd w:id="28"/>
      <w:bookmarkEnd w:id="29"/>
    </w:p>
    <w:p w14:paraId="44B95BC8" w14:textId="77777777" w:rsidR="005A67B7" w:rsidRDefault="005A67B7" w:rsidP="00043668">
      <w:pPr>
        <w:tabs>
          <w:tab w:val="left" w:pos="780"/>
        </w:tabs>
        <w:jc w:val="both"/>
        <w:rPr>
          <w:b/>
          <w:szCs w:val="24"/>
        </w:rPr>
      </w:pPr>
    </w:p>
    <w:p w14:paraId="6285E01A" w14:textId="6EF193A0" w:rsidR="00043668" w:rsidRPr="009C5364" w:rsidRDefault="00043668" w:rsidP="00043668">
      <w:pPr>
        <w:tabs>
          <w:tab w:val="left" w:pos="780"/>
        </w:tabs>
        <w:jc w:val="both"/>
        <w:rPr>
          <w:b/>
          <w:szCs w:val="24"/>
        </w:rPr>
      </w:pPr>
      <w:r w:rsidRPr="009C5364">
        <w:rPr>
          <w:b/>
          <w:szCs w:val="24"/>
        </w:rPr>
        <w:t>4. RESULTS AND DISCUSSION</w:t>
      </w:r>
      <w:bookmarkEnd w:id="30"/>
      <w:bookmarkEnd w:id="31"/>
      <w:bookmarkEnd w:id="32"/>
      <w:r w:rsidRPr="009C5364">
        <w:rPr>
          <w:b/>
          <w:szCs w:val="24"/>
        </w:rPr>
        <w:t>S</w:t>
      </w:r>
    </w:p>
    <w:p w14:paraId="44F321E8" w14:textId="77777777" w:rsidR="00043668" w:rsidRPr="00CB2694" w:rsidRDefault="00043668" w:rsidP="00043668">
      <w:pPr>
        <w:pStyle w:val="Heading2"/>
        <w:jc w:val="both"/>
        <w:rPr>
          <w:rFonts w:cs="Times New Roman"/>
          <w:i/>
          <w:szCs w:val="24"/>
        </w:rPr>
      </w:pPr>
      <w:bookmarkStart w:id="33" w:name="_Toc184819553"/>
      <w:bookmarkStart w:id="34" w:name="_Toc184835222"/>
      <w:bookmarkStart w:id="35" w:name="_Toc184835322"/>
      <w:r w:rsidRPr="009C5364">
        <w:rPr>
          <w:rFonts w:cs="Times New Roman"/>
          <w:szCs w:val="24"/>
        </w:rPr>
        <w:t xml:space="preserve">4.1 </w:t>
      </w:r>
      <w:r w:rsidRPr="00CB2694">
        <w:rPr>
          <w:rFonts w:cs="Times New Roman"/>
          <w:i/>
          <w:szCs w:val="24"/>
        </w:rPr>
        <w:t>BUILDING CODE AND BYELAWS COMPLIANCE IN CONSTRUCTION OF RESIDENTIAL BUILDING</w:t>
      </w:r>
      <w:bookmarkEnd w:id="33"/>
      <w:bookmarkEnd w:id="34"/>
      <w:bookmarkEnd w:id="35"/>
    </w:p>
    <w:p w14:paraId="3E68A0AA" w14:textId="77777777" w:rsidR="00043668" w:rsidRPr="009C5364" w:rsidRDefault="00043668" w:rsidP="00043668">
      <w:pPr>
        <w:jc w:val="both"/>
      </w:pPr>
      <w:bookmarkStart w:id="36" w:name="_Toc184819554"/>
      <w:bookmarkStart w:id="37" w:name="_Toc184835223"/>
      <w:bookmarkStart w:id="38" w:name="_Toc184835323"/>
      <w:r w:rsidRPr="009C5364">
        <w:t xml:space="preserve">The first objective of the study was to assess the building code and byelaws compliance in construction of residential building in </w:t>
      </w:r>
      <w:proofErr w:type="spellStart"/>
      <w:r w:rsidRPr="009C5364">
        <w:t>Godawari</w:t>
      </w:r>
      <w:proofErr w:type="spellEnd"/>
      <w:r w:rsidRPr="009C5364">
        <w:t xml:space="preserve"> Municipality of Lalitpur District, Nepal. Compliance checklists for both completed and ongoing construction buildings were developed by consulting multiple sources. This strategy was essential to address the distinct construction phases and the specific compliance criteria pertinent to each stage:</w:t>
      </w:r>
    </w:p>
    <w:p w14:paraId="4EE87C5D" w14:textId="77777777" w:rsidR="00043668" w:rsidRPr="009C5364" w:rsidRDefault="00043668" w:rsidP="00043668">
      <w:pPr>
        <w:jc w:val="both"/>
      </w:pPr>
      <w:r w:rsidRPr="009C5364">
        <w:rPr>
          <w:b/>
          <w:bCs/>
        </w:rPr>
        <w:t>Completed Buildings</w:t>
      </w:r>
      <w:r w:rsidRPr="009C5364">
        <w:t>: The checklist for finished buildings was adapted from the one used by the Municipality when issuing building completion certificates. It primarily targets the final inspection process to confirm that the entire structure adheres to design specifications, safety requirements, and applicable regulations.</w:t>
      </w:r>
    </w:p>
    <w:p w14:paraId="47F7D71F" w14:textId="77777777" w:rsidR="00043668" w:rsidRPr="009C5364" w:rsidRDefault="00043668" w:rsidP="00043668">
      <w:pPr>
        <w:jc w:val="both"/>
      </w:pPr>
      <w:r w:rsidRPr="009C5364">
        <w:rPr>
          <w:b/>
          <w:bCs/>
        </w:rPr>
        <w:t>Buildings Under Construction</w:t>
      </w:r>
      <w:r w:rsidRPr="009C5364">
        <w:t xml:space="preserve">: For buildings still in progress, the checklist was formulated based on the compliance guidelines from Lalitpur Metropolitan City’s handbook, along with research conducted in Karya Vinayak Municipality and </w:t>
      </w:r>
      <w:proofErr w:type="spellStart"/>
      <w:r w:rsidRPr="009C5364">
        <w:t>Sisne</w:t>
      </w:r>
      <w:proofErr w:type="spellEnd"/>
      <w:r w:rsidRPr="009C5364">
        <w:t xml:space="preserve"> Rural Municipality </w:t>
      </w:r>
      <w:sdt>
        <w:sdtPr>
          <w:id w:val="660968642"/>
          <w:citation/>
        </w:sdtPr>
        <w:sdtEndPr/>
        <w:sdtContent>
          <w:r w:rsidRPr="009C5364">
            <w:fldChar w:fldCharType="begin"/>
          </w:r>
          <w:r w:rsidRPr="009C5364">
            <w:instrText xml:space="preserve"> CITATION KCK23 \l 1033 </w:instrText>
          </w:r>
          <w:r w:rsidRPr="009C5364">
            <w:fldChar w:fldCharType="separate"/>
          </w:r>
          <w:r w:rsidRPr="009C5364">
            <w:rPr>
              <w:noProof/>
            </w:rPr>
            <w:t>[11]</w:t>
          </w:r>
          <w:r w:rsidRPr="009C5364">
            <w:fldChar w:fldCharType="end"/>
          </w:r>
        </w:sdtContent>
      </w:sdt>
      <w:r w:rsidRPr="009C5364">
        <w:t xml:space="preserve">, </w:t>
      </w:r>
      <w:proofErr w:type="spellStart"/>
      <w:r w:rsidRPr="009C5364">
        <w:t>Rukum</w:t>
      </w:r>
      <w:proofErr w:type="spellEnd"/>
      <w:r w:rsidRPr="009C5364">
        <w:t xml:space="preserve"> (East) and </w:t>
      </w:r>
      <w:proofErr w:type="spellStart"/>
      <w:r w:rsidRPr="009C5364">
        <w:t>Birendranagar</w:t>
      </w:r>
      <w:proofErr w:type="spellEnd"/>
      <w:r w:rsidRPr="009C5364">
        <w:t xml:space="preserve"> Municipality (</w:t>
      </w:r>
      <w:proofErr w:type="spellStart"/>
      <w:r w:rsidRPr="009C5364">
        <w:t>Surkhet</w:t>
      </w:r>
      <w:proofErr w:type="spellEnd"/>
      <w:r w:rsidRPr="009C5364">
        <w:t xml:space="preserve">) </w:t>
      </w:r>
      <w:sdt>
        <w:sdtPr>
          <w:id w:val="341207828"/>
          <w:citation/>
        </w:sdtPr>
        <w:sdtEndPr/>
        <w:sdtContent>
          <w:r w:rsidRPr="009C5364">
            <w:fldChar w:fldCharType="begin"/>
          </w:r>
          <w:r w:rsidRPr="009C5364">
            <w:instrText xml:space="preserve"> CITATION Rij25 \l 1033 </w:instrText>
          </w:r>
          <w:r w:rsidRPr="009C5364">
            <w:fldChar w:fldCharType="separate"/>
          </w:r>
          <w:r w:rsidRPr="009C5364">
            <w:rPr>
              <w:noProof/>
            </w:rPr>
            <w:t>[12]</w:t>
          </w:r>
          <w:r w:rsidRPr="009C5364">
            <w:fldChar w:fldCharType="end"/>
          </w:r>
        </w:sdtContent>
      </w:sdt>
      <w:r w:rsidRPr="009C5364">
        <w:t>. This checklist concentrates on the ongoing construction activities, focusing on aspects such as material quality, structural soundness, and workmanship to ensure compliance throughout the building process.</w:t>
      </w:r>
    </w:p>
    <w:p w14:paraId="0A04AA37" w14:textId="77777777" w:rsidR="00043668" w:rsidRPr="009C5364" w:rsidRDefault="00043668" w:rsidP="00043668">
      <w:pPr>
        <w:jc w:val="both"/>
      </w:pPr>
      <w:r w:rsidRPr="009C5364">
        <w:t>By utilizing different reference materials, the checklists are customized to meet the inspection needs relevant to each construction phase, thereby improving the precision and effectiveness of the compliance evaluation.</w:t>
      </w:r>
    </w:p>
    <w:p w14:paraId="7002AD4F" w14:textId="77777777" w:rsidR="00043668" w:rsidRPr="009C5364" w:rsidRDefault="00043668" w:rsidP="00043668">
      <w:pPr>
        <w:pStyle w:val="Heading3"/>
        <w:jc w:val="both"/>
        <w:rPr>
          <w:rFonts w:cs="Times New Roman"/>
        </w:rPr>
      </w:pPr>
      <w:r w:rsidRPr="009C5364">
        <w:rPr>
          <w:rFonts w:cs="Times New Roman"/>
        </w:rPr>
        <w:t xml:space="preserve">4.1.1 </w:t>
      </w:r>
      <w:r w:rsidRPr="00CB2694">
        <w:rPr>
          <w:rFonts w:cs="Times New Roman"/>
          <w:i/>
        </w:rPr>
        <w:t>BUILDING CODE COMPLIANCE IN CONSTRUCTED RESIDENTIAL BUILDING</w:t>
      </w:r>
      <w:bookmarkEnd w:id="36"/>
      <w:bookmarkEnd w:id="37"/>
      <w:bookmarkEnd w:id="38"/>
    </w:p>
    <w:p w14:paraId="31BFABC8" w14:textId="77777777" w:rsidR="00043668" w:rsidRPr="009C5364" w:rsidRDefault="00043668" w:rsidP="00043668">
      <w:pPr>
        <w:jc w:val="both"/>
        <w:rPr>
          <w:szCs w:val="24"/>
        </w:rPr>
      </w:pPr>
      <w:r w:rsidRPr="009C5364">
        <w:t xml:space="preserve">Among the 78 buildings that are completed in construction are those considered for building code compliance. The checklists for the constructed building in field verification are as follows: Check for Column Size and Grid Position, Check for Beam Size and Grid Position, Check for Plinth Area of the Building, Check for Room Size and Orientation, Check for Staircase Size and Position, Check for Final Built-Up Area. </w:t>
      </w:r>
      <w:r w:rsidRPr="009C5364">
        <w:rPr>
          <w:szCs w:val="24"/>
        </w:rPr>
        <w:t xml:space="preserve">The status of the compliance of constructed building has been depicted in the figure 1 below. </w:t>
      </w:r>
    </w:p>
    <w:p w14:paraId="212DE9B4" w14:textId="77777777" w:rsidR="00043668" w:rsidRPr="009C5364" w:rsidRDefault="00043668" w:rsidP="00043668">
      <w:pPr>
        <w:jc w:val="both"/>
        <w:rPr>
          <w:szCs w:val="24"/>
        </w:rPr>
      </w:pPr>
      <w:r w:rsidRPr="009C5364">
        <w:rPr>
          <w:noProof/>
        </w:rPr>
        <w:lastRenderedPageBreak/>
        <w:drawing>
          <wp:inline distT="0" distB="0" distL="0" distR="0" wp14:anchorId="5F36326E" wp14:editId="3D3999A7">
            <wp:extent cx="5425440" cy="3779520"/>
            <wp:effectExtent l="0" t="0" r="3810" b="11430"/>
            <wp:docPr id="1474018739" name="Chart 1">
              <a:extLst xmlns:a="http://schemas.openxmlformats.org/drawingml/2006/main">
                <a:ext uri="{FF2B5EF4-FFF2-40B4-BE49-F238E27FC236}">
                  <a16:creationId xmlns:a16="http://schemas.microsoft.com/office/drawing/2014/main" id="{F88AAAE3-E638-8E10-41F5-D08826565A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6B7441" w14:textId="77777777" w:rsidR="00043668" w:rsidRPr="009C5364" w:rsidRDefault="00043668" w:rsidP="00043668">
      <w:pPr>
        <w:jc w:val="both"/>
      </w:pPr>
      <w:r w:rsidRPr="009C5364">
        <w:rPr>
          <w:szCs w:val="24"/>
        </w:rPr>
        <w:t xml:space="preserve">Figure 1: </w:t>
      </w:r>
      <w:r w:rsidRPr="009C5364">
        <w:rPr>
          <w:bCs/>
        </w:rPr>
        <w:t>Building Code Compliance in Constructed Residential Building</w:t>
      </w:r>
    </w:p>
    <w:p w14:paraId="2A57E7F6" w14:textId="77777777" w:rsidR="00043668" w:rsidRPr="009C5364" w:rsidRDefault="00043668" w:rsidP="00043668">
      <w:pPr>
        <w:jc w:val="both"/>
      </w:pPr>
      <w:r w:rsidRPr="009C5364">
        <w:t xml:space="preserve">Out of the 78 completed buildings surveyed, only 27 fully complied with the approved designs and drawings. Common issues included non-compliance in staircase dimensions, beam depth, plinth area, and room layout. However, column specifications generally met the standards. </w:t>
      </w:r>
    </w:p>
    <w:p w14:paraId="096A9612" w14:textId="77777777" w:rsidR="00043668" w:rsidRPr="00CB2694" w:rsidRDefault="00043668" w:rsidP="00043668">
      <w:pPr>
        <w:jc w:val="both"/>
        <w:rPr>
          <w:b/>
          <w:bCs/>
          <w:i/>
        </w:rPr>
      </w:pPr>
      <w:r w:rsidRPr="00CB2694">
        <w:rPr>
          <w:b/>
          <w:bCs/>
          <w:i/>
        </w:rPr>
        <w:t>COMPARISON WITH PAST RESEARCH ON BUILDING CODE COMPLIANCE AND BYELAWS</w:t>
      </w:r>
    </w:p>
    <w:p w14:paraId="590BF1E0" w14:textId="77777777" w:rsidR="00043668" w:rsidRPr="009C5364" w:rsidRDefault="00043668" w:rsidP="00043668">
      <w:pPr>
        <w:jc w:val="both"/>
        <w:rPr>
          <w:bCs/>
          <w:lang w:bidi="ne-NP"/>
        </w:rPr>
      </w:pPr>
      <w:r w:rsidRPr="009C5364">
        <w:rPr>
          <w:bCs/>
          <w:lang w:bidi="ne-NP"/>
        </w:rPr>
        <w:t xml:space="preserve">The comparison of the study with past studies is presented in table </w:t>
      </w:r>
      <w:r>
        <w:rPr>
          <w:bCs/>
          <w:lang w:bidi="ne-NP"/>
        </w:rPr>
        <w:t>2</w:t>
      </w:r>
      <w:r w:rsidRPr="009C5364">
        <w:rPr>
          <w:bCs/>
          <w:lang w:bidi="ne-NP"/>
        </w:rPr>
        <w:t xml:space="preserve">. </w:t>
      </w:r>
    </w:p>
    <w:p w14:paraId="3A4B0733" w14:textId="77777777" w:rsidR="00043668" w:rsidRPr="009C5364" w:rsidRDefault="00043668" w:rsidP="00043668">
      <w:pPr>
        <w:pStyle w:val="Caption"/>
        <w:keepNext/>
        <w:spacing w:after="0"/>
        <w:rPr>
          <w:rFonts w:cs="Times New Roman"/>
          <w:i w:val="0"/>
          <w:iCs w:val="0"/>
          <w:color w:val="auto"/>
          <w:sz w:val="24"/>
          <w:szCs w:val="22"/>
        </w:rPr>
      </w:pPr>
      <w:bookmarkStart w:id="39" w:name="_Toc207491655"/>
      <w:r w:rsidRPr="009C5364">
        <w:rPr>
          <w:rFonts w:cs="Times New Roman"/>
          <w:i w:val="0"/>
          <w:iCs w:val="0"/>
          <w:color w:val="auto"/>
          <w:sz w:val="24"/>
          <w:szCs w:val="22"/>
        </w:rPr>
        <w:t xml:space="preserve">Table </w:t>
      </w:r>
      <w:r>
        <w:rPr>
          <w:rFonts w:cs="Times New Roman"/>
          <w:i w:val="0"/>
          <w:iCs w:val="0"/>
          <w:color w:val="auto"/>
          <w:sz w:val="24"/>
          <w:szCs w:val="22"/>
        </w:rPr>
        <w:t>2</w:t>
      </w:r>
      <w:r w:rsidRPr="009C5364">
        <w:rPr>
          <w:rFonts w:cs="Times New Roman"/>
          <w:i w:val="0"/>
          <w:iCs w:val="0"/>
          <w:color w:val="auto"/>
          <w:sz w:val="24"/>
          <w:szCs w:val="22"/>
        </w:rPr>
        <w:t xml:space="preserve"> Comparison between </w:t>
      </w:r>
      <w:proofErr w:type="spellStart"/>
      <w:r w:rsidRPr="009C5364">
        <w:rPr>
          <w:rFonts w:cs="Times New Roman"/>
          <w:i w:val="0"/>
          <w:iCs w:val="0"/>
          <w:color w:val="auto"/>
          <w:sz w:val="24"/>
          <w:szCs w:val="22"/>
        </w:rPr>
        <w:t>Godawari</w:t>
      </w:r>
      <w:proofErr w:type="spellEnd"/>
      <w:r w:rsidRPr="009C5364">
        <w:rPr>
          <w:rFonts w:cs="Times New Roman"/>
          <w:i w:val="0"/>
          <w:iCs w:val="0"/>
          <w:color w:val="auto"/>
          <w:sz w:val="24"/>
          <w:szCs w:val="22"/>
        </w:rPr>
        <w:t xml:space="preserve"> Municipality, </w:t>
      </w:r>
      <w:proofErr w:type="spellStart"/>
      <w:r w:rsidRPr="009C5364">
        <w:rPr>
          <w:rFonts w:cs="Times New Roman"/>
          <w:i w:val="0"/>
          <w:iCs w:val="0"/>
          <w:color w:val="auto"/>
          <w:sz w:val="24"/>
          <w:szCs w:val="22"/>
        </w:rPr>
        <w:t>Sisne</w:t>
      </w:r>
      <w:proofErr w:type="spellEnd"/>
      <w:r w:rsidRPr="009C5364">
        <w:rPr>
          <w:rFonts w:cs="Times New Roman"/>
          <w:i w:val="0"/>
          <w:iCs w:val="0"/>
          <w:color w:val="auto"/>
          <w:sz w:val="24"/>
          <w:szCs w:val="22"/>
        </w:rPr>
        <w:t xml:space="preserve"> Rural Municipality and </w:t>
      </w:r>
      <w:proofErr w:type="spellStart"/>
      <w:r w:rsidRPr="009C5364">
        <w:rPr>
          <w:rFonts w:cs="Times New Roman"/>
          <w:i w:val="0"/>
          <w:iCs w:val="0"/>
          <w:color w:val="auto"/>
          <w:sz w:val="24"/>
          <w:szCs w:val="22"/>
        </w:rPr>
        <w:t>Birendranagar</w:t>
      </w:r>
      <w:proofErr w:type="spellEnd"/>
      <w:r w:rsidRPr="009C5364">
        <w:rPr>
          <w:rFonts w:cs="Times New Roman"/>
          <w:i w:val="0"/>
          <w:iCs w:val="0"/>
          <w:color w:val="auto"/>
          <w:sz w:val="24"/>
          <w:szCs w:val="22"/>
        </w:rPr>
        <w:t xml:space="preserve"> Municipality</w:t>
      </w:r>
      <w:bookmarkEnd w:id="39"/>
    </w:p>
    <w:tbl>
      <w:tblPr>
        <w:tblStyle w:val="TableGrid1"/>
        <w:tblW w:w="8607" w:type="dxa"/>
        <w:tblLook w:val="04A0" w:firstRow="1" w:lastRow="0" w:firstColumn="1" w:lastColumn="0" w:noHBand="0" w:noVBand="1"/>
      </w:tblPr>
      <w:tblGrid>
        <w:gridCol w:w="2453"/>
        <w:gridCol w:w="1027"/>
        <w:gridCol w:w="968"/>
        <w:gridCol w:w="1064"/>
        <w:gridCol w:w="1064"/>
        <w:gridCol w:w="967"/>
        <w:gridCol w:w="1064"/>
      </w:tblGrid>
      <w:tr w:rsidR="00043668" w:rsidRPr="009C5364" w14:paraId="0D98D31B" w14:textId="77777777" w:rsidTr="00043668">
        <w:trPr>
          <w:trHeight w:val="623"/>
        </w:trPr>
        <w:tc>
          <w:tcPr>
            <w:tcW w:w="2453" w:type="dxa"/>
            <w:vMerge w:val="restart"/>
            <w:hideMark/>
          </w:tcPr>
          <w:p w14:paraId="6B600DC9" w14:textId="77777777" w:rsidR="00043668" w:rsidRPr="009C5364" w:rsidRDefault="00043668" w:rsidP="00043668">
            <w:pPr>
              <w:jc w:val="both"/>
              <w:rPr>
                <w:rFonts w:eastAsia="Times New Roman" w:cs="Times New Roman"/>
                <w:b/>
                <w:bCs/>
                <w:color w:val="000000"/>
                <w:szCs w:val="24"/>
              </w:rPr>
            </w:pPr>
            <w:r w:rsidRPr="009C5364">
              <w:rPr>
                <w:rFonts w:eastAsia="Times New Roman" w:cs="Times New Roman"/>
                <w:b/>
                <w:bCs/>
                <w:color w:val="000000"/>
                <w:szCs w:val="24"/>
              </w:rPr>
              <w:t>Parameter</w:t>
            </w:r>
          </w:p>
        </w:tc>
        <w:tc>
          <w:tcPr>
            <w:tcW w:w="1995" w:type="dxa"/>
            <w:gridSpan w:val="2"/>
            <w:hideMark/>
          </w:tcPr>
          <w:p w14:paraId="5EFDC530" w14:textId="77777777" w:rsidR="00043668" w:rsidRPr="009C5364" w:rsidRDefault="00043668" w:rsidP="00043668">
            <w:pPr>
              <w:jc w:val="both"/>
              <w:rPr>
                <w:rFonts w:eastAsia="Times New Roman" w:cs="Times New Roman"/>
                <w:b/>
                <w:bCs/>
                <w:color w:val="000000"/>
              </w:rPr>
            </w:pPr>
            <w:proofErr w:type="spellStart"/>
            <w:r w:rsidRPr="009C5364">
              <w:rPr>
                <w:rFonts w:eastAsia="Times New Roman" w:cs="Times New Roman"/>
                <w:b/>
                <w:bCs/>
                <w:color w:val="000000"/>
              </w:rPr>
              <w:t>Godawari</w:t>
            </w:r>
            <w:proofErr w:type="spellEnd"/>
            <w:r w:rsidRPr="009C5364">
              <w:rPr>
                <w:rFonts w:eastAsia="Times New Roman" w:cs="Times New Roman"/>
                <w:b/>
                <w:bCs/>
                <w:color w:val="000000"/>
              </w:rPr>
              <w:t xml:space="preserve"> Municipality</w:t>
            </w:r>
          </w:p>
        </w:tc>
        <w:tc>
          <w:tcPr>
            <w:tcW w:w="2128" w:type="dxa"/>
            <w:gridSpan w:val="2"/>
            <w:hideMark/>
          </w:tcPr>
          <w:p w14:paraId="4882B54D" w14:textId="77777777" w:rsidR="00043668" w:rsidRPr="009C5364" w:rsidRDefault="00043668" w:rsidP="00043668">
            <w:pPr>
              <w:jc w:val="both"/>
              <w:rPr>
                <w:rFonts w:eastAsia="Times New Roman" w:cs="Times New Roman"/>
                <w:b/>
                <w:bCs/>
                <w:color w:val="000000"/>
              </w:rPr>
            </w:pPr>
            <w:proofErr w:type="spellStart"/>
            <w:r w:rsidRPr="009C5364">
              <w:rPr>
                <w:rFonts w:eastAsia="Times New Roman" w:cs="Times New Roman"/>
                <w:b/>
                <w:bCs/>
                <w:color w:val="000000"/>
              </w:rPr>
              <w:t>Sisne</w:t>
            </w:r>
            <w:proofErr w:type="spellEnd"/>
            <w:r w:rsidRPr="009C5364">
              <w:rPr>
                <w:rFonts w:eastAsia="Times New Roman" w:cs="Times New Roman"/>
                <w:b/>
                <w:bCs/>
                <w:color w:val="000000"/>
              </w:rPr>
              <w:t xml:space="preserve"> Rural Municipality</w:t>
            </w:r>
            <w:r w:rsidRPr="009C5364">
              <w:rPr>
                <w:rFonts w:eastAsia="Times New Roman" w:cs="Times New Roman"/>
                <w:color w:val="000000"/>
              </w:rPr>
              <w:t xml:space="preserve"> </w:t>
            </w:r>
          </w:p>
        </w:tc>
        <w:tc>
          <w:tcPr>
            <w:tcW w:w="2031" w:type="dxa"/>
            <w:gridSpan w:val="2"/>
            <w:hideMark/>
          </w:tcPr>
          <w:p w14:paraId="59723645" w14:textId="77777777" w:rsidR="00043668" w:rsidRPr="009C5364" w:rsidRDefault="00043668" w:rsidP="00043668">
            <w:pPr>
              <w:jc w:val="both"/>
              <w:rPr>
                <w:rFonts w:eastAsia="Times New Roman" w:cs="Times New Roman"/>
                <w:b/>
                <w:bCs/>
                <w:color w:val="000000"/>
              </w:rPr>
            </w:pPr>
            <w:proofErr w:type="spellStart"/>
            <w:r w:rsidRPr="009C5364">
              <w:rPr>
                <w:rFonts w:eastAsia="Times New Roman" w:cs="Times New Roman"/>
                <w:b/>
                <w:bCs/>
                <w:color w:val="000000"/>
              </w:rPr>
              <w:t>Birendranagar</w:t>
            </w:r>
            <w:proofErr w:type="spellEnd"/>
            <w:r w:rsidRPr="009C5364">
              <w:rPr>
                <w:rFonts w:eastAsia="Times New Roman" w:cs="Times New Roman"/>
                <w:b/>
                <w:bCs/>
                <w:color w:val="000000"/>
              </w:rPr>
              <w:t xml:space="preserve"> Municipality</w:t>
            </w:r>
          </w:p>
        </w:tc>
      </w:tr>
      <w:tr w:rsidR="00043668" w:rsidRPr="009C5364" w14:paraId="44B2E902" w14:textId="77777777" w:rsidTr="00043668">
        <w:trPr>
          <w:trHeight w:val="1641"/>
        </w:trPr>
        <w:tc>
          <w:tcPr>
            <w:tcW w:w="2453" w:type="dxa"/>
            <w:vMerge/>
            <w:hideMark/>
          </w:tcPr>
          <w:p w14:paraId="3AE764B6" w14:textId="77777777" w:rsidR="00043668" w:rsidRPr="009C5364" w:rsidRDefault="00043668" w:rsidP="00043668">
            <w:pPr>
              <w:jc w:val="both"/>
              <w:rPr>
                <w:rFonts w:eastAsia="Times New Roman" w:cs="Times New Roman"/>
                <w:b/>
                <w:bCs/>
                <w:color w:val="000000"/>
                <w:szCs w:val="24"/>
              </w:rPr>
            </w:pPr>
          </w:p>
        </w:tc>
        <w:tc>
          <w:tcPr>
            <w:tcW w:w="1027" w:type="dxa"/>
            <w:textDirection w:val="btLr"/>
            <w:hideMark/>
          </w:tcPr>
          <w:p w14:paraId="5A0F72E8"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Compliance (%)</w:t>
            </w:r>
          </w:p>
        </w:tc>
        <w:tc>
          <w:tcPr>
            <w:tcW w:w="968" w:type="dxa"/>
            <w:textDirection w:val="btLr"/>
            <w:hideMark/>
          </w:tcPr>
          <w:p w14:paraId="1DB8117D"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 xml:space="preserve">Non-compliance (%) </w:t>
            </w:r>
          </w:p>
        </w:tc>
        <w:tc>
          <w:tcPr>
            <w:tcW w:w="1064" w:type="dxa"/>
            <w:textDirection w:val="btLr"/>
            <w:hideMark/>
          </w:tcPr>
          <w:p w14:paraId="3983AEC5"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Compliance (%)</w:t>
            </w:r>
          </w:p>
        </w:tc>
        <w:tc>
          <w:tcPr>
            <w:tcW w:w="1064" w:type="dxa"/>
            <w:textDirection w:val="btLr"/>
            <w:hideMark/>
          </w:tcPr>
          <w:p w14:paraId="0BD4848D"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Non-compliance (%)</w:t>
            </w:r>
          </w:p>
        </w:tc>
        <w:tc>
          <w:tcPr>
            <w:tcW w:w="967" w:type="dxa"/>
            <w:textDirection w:val="btLr"/>
            <w:hideMark/>
          </w:tcPr>
          <w:p w14:paraId="72EDC58C"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Compliance (%)</w:t>
            </w:r>
          </w:p>
        </w:tc>
        <w:tc>
          <w:tcPr>
            <w:tcW w:w="1064" w:type="dxa"/>
            <w:textDirection w:val="btLr"/>
            <w:hideMark/>
          </w:tcPr>
          <w:p w14:paraId="26C09222"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Non-compliance (%)</w:t>
            </w:r>
          </w:p>
        </w:tc>
      </w:tr>
      <w:tr w:rsidR="00043668" w:rsidRPr="009C5364" w14:paraId="6687EAFF" w14:textId="77777777" w:rsidTr="00043668">
        <w:trPr>
          <w:trHeight w:val="623"/>
        </w:trPr>
        <w:tc>
          <w:tcPr>
            <w:tcW w:w="2453" w:type="dxa"/>
            <w:hideMark/>
          </w:tcPr>
          <w:p w14:paraId="1EA1D695"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Column Size and Position</w:t>
            </w:r>
          </w:p>
        </w:tc>
        <w:tc>
          <w:tcPr>
            <w:tcW w:w="1027" w:type="dxa"/>
            <w:hideMark/>
          </w:tcPr>
          <w:p w14:paraId="41B1D856"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100</w:t>
            </w:r>
          </w:p>
        </w:tc>
        <w:tc>
          <w:tcPr>
            <w:tcW w:w="968" w:type="dxa"/>
            <w:hideMark/>
          </w:tcPr>
          <w:p w14:paraId="5EC53CA6"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w:t>
            </w:r>
          </w:p>
        </w:tc>
        <w:tc>
          <w:tcPr>
            <w:tcW w:w="1064" w:type="dxa"/>
            <w:hideMark/>
          </w:tcPr>
          <w:p w14:paraId="4FB48B3D"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85.2</w:t>
            </w:r>
          </w:p>
        </w:tc>
        <w:tc>
          <w:tcPr>
            <w:tcW w:w="1064" w:type="dxa"/>
            <w:hideMark/>
          </w:tcPr>
          <w:p w14:paraId="5C4E8251"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14.81</w:t>
            </w:r>
          </w:p>
        </w:tc>
        <w:tc>
          <w:tcPr>
            <w:tcW w:w="967" w:type="dxa"/>
            <w:hideMark/>
          </w:tcPr>
          <w:p w14:paraId="4AEA517D"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90.9</w:t>
            </w:r>
          </w:p>
        </w:tc>
        <w:tc>
          <w:tcPr>
            <w:tcW w:w="1064" w:type="dxa"/>
            <w:hideMark/>
          </w:tcPr>
          <w:p w14:paraId="1A45101D"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9.1</w:t>
            </w:r>
          </w:p>
        </w:tc>
      </w:tr>
      <w:tr w:rsidR="00043668" w:rsidRPr="009C5364" w14:paraId="49C51ACD" w14:textId="77777777" w:rsidTr="00043668">
        <w:trPr>
          <w:trHeight w:val="311"/>
        </w:trPr>
        <w:tc>
          <w:tcPr>
            <w:tcW w:w="2453" w:type="dxa"/>
            <w:hideMark/>
          </w:tcPr>
          <w:p w14:paraId="074F16E6"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Beam Size and Position</w:t>
            </w:r>
          </w:p>
        </w:tc>
        <w:tc>
          <w:tcPr>
            <w:tcW w:w="1027" w:type="dxa"/>
            <w:hideMark/>
          </w:tcPr>
          <w:p w14:paraId="002E3C5E"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93.58</w:t>
            </w:r>
          </w:p>
        </w:tc>
        <w:tc>
          <w:tcPr>
            <w:tcW w:w="968" w:type="dxa"/>
            <w:hideMark/>
          </w:tcPr>
          <w:p w14:paraId="08CE8837"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6.42</w:t>
            </w:r>
          </w:p>
        </w:tc>
        <w:tc>
          <w:tcPr>
            <w:tcW w:w="1064" w:type="dxa"/>
            <w:hideMark/>
          </w:tcPr>
          <w:p w14:paraId="764C63F2"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7.4</w:t>
            </w:r>
          </w:p>
        </w:tc>
        <w:tc>
          <w:tcPr>
            <w:tcW w:w="1064" w:type="dxa"/>
            <w:hideMark/>
          </w:tcPr>
          <w:p w14:paraId="6BA32B72"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92.6</w:t>
            </w:r>
          </w:p>
        </w:tc>
        <w:tc>
          <w:tcPr>
            <w:tcW w:w="967" w:type="dxa"/>
            <w:hideMark/>
          </w:tcPr>
          <w:p w14:paraId="6DC69EBC"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40.9</w:t>
            </w:r>
          </w:p>
        </w:tc>
        <w:tc>
          <w:tcPr>
            <w:tcW w:w="1064" w:type="dxa"/>
            <w:hideMark/>
          </w:tcPr>
          <w:p w14:paraId="77C488E8"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59.1</w:t>
            </w:r>
          </w:p>
        </w:tc>
      </w:tr>
      <w:tr w:rsidR="00043668" w:rsidRPr="009C5364" w14:paraId="0121F2CA" w14:textId="77777777" w:rsidTr="00043668">
        <w:trPr>
          <w:trHeight w:val="623"/>
        </w:trPr>
        <w:tc>
          <w:tcPr>
            <w:tcW w:w="2453" w:type="dxa"/>
            <w:hideMark/>
          </w:tcPr>
          <w:p w14:paraId="29A20151"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lastRenderedPageBreak/>
              <w:t>Plinth Area (Length to Breadth)</w:t>
            </w:r>
          </w:p>
        </w:tc>
        <w:tc>
          <w:tcPr>
            <w:tcW w:w="1027" w:type="dxa"/>
            <w:hideMark/>
          </w:tcPr>
          <w:p w14:paraId="471947E8"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64.1</w:t>
            </w:r>
          </w:p>
        </w:tc>
        <w:tc>
          <w:tcPr>
            <w:tcW w:w="968" w:type="dxa"/>
            <w:hideMark/>
          </w:tcPr>
          <w:p w14:paraId="2FE87410"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35.9</w:t>
            </w:r>
          </w:p>
        </w:tc>
        <w:tc>
          <w:tcPr>
            <w:tcW w:w="1064" w:type="dxa"/>
            <w:hideMark/>
          </w:tcPr>
          <w:p w14:paraId="03B9490E"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3.7</w:t>
            </w:r>
          </w:p>
        </w:tc>
        <w:tc>
          <w:tcPr>
            <w:tcW w:w="1064" w:type="dxa"/>
            <w:hideMark/>
          </w:tcPr>
          <w:p w14:paraId="76345D3F"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96.30%</w:t>
            </w:r>
          </w:p>
        </w:tc>
        <w:tc>
          <w:tcPr>
            <w:tcW w:w="967" w:type="dxa"/>
            <w:hideMark/>
          </w:tcPr>
          <w:p w14:paraId="51EA3ECF"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68.2</w:t>
            </w:r>
          </w:p>
        </w:tc>
        <w:tc>
          <w:tcPr>
            <w:tcW w:w="1064" w:type="dxa"/>
            <w:hideMark/>
          </w:tcPr>
          <w:p w14:paraId="22786E08"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31.82</w:t>
            </w:r>
          </w:p>
        </w:tc>
      </w:tr>
      <w:tr w:rsidR="00043668" w:rsidRPr="009C5364" w14:paraId="137CFD6F" w14:textId="77777777" w:rsidTr="00043668">
        <w:trPr>
          <w:trHeight w:val="311"/>
        </w:trPr>
        <w:tc>
          <w:tcPr>
            <w:tcW w:w="2453" w:type="dxa"/>
            <w:hideMark/>
          </w:tcPr>
          <w:p w14:paraId="0E6BE69C"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Room size</w:t>
            </w:r>
          </w:p>
        </w:tc>
        <w:tc>
          <w:tcPr>
            <w:tcW w:w="1027" w:type="dxa"/>
            <w:hideMark/>
          </w:tcPr>
          <w:p w14:paraId="5C7A9D21"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51.28</w:t>
            </w:r>
          </w:p>
        </w:tc>
        <w:tc>
          <w:tcPr>
            <w:tcW w:w="968" w:type="dxa"/>
            <w:hideMark/>
          </w:tcPr>
          <w:p w14:paraId="66EAD1A4"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48.72</w:t>
            </w:r>
          </w:p>
        </w:tc>
        <w:tc>
          <w:tcPr>
            <w:tcW w:w="1064" w:type="dxa"/>
            <w:hideMark/>
          </w:tcPr>
          <w:p w14:paraId="59797038"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3.7</w:t>
            </w:r>
          </w:p>
        </w:tc>
        <w:tc>
          <w:tcPr>
            <w:tcW w:w="1064" w:type="dxa"/>
            <w:hideMark/>
          </w:tcPr>
          <w:p w14:paraId="22D306E9"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96.3</w:t>
            </w:r>
          </w:p>
        </w:tc>
        <w:tc>
          <w:tcPr>
            <w:tcW w:w="967" w:type="dxa"/>
            <w:hideMark/>
          </w:tcPr>
          <w:p w14:paraId="14BCE812"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59.1</w:t>
            </w:r>
          </w:p>
        </w:tc>
        <w:tc>
          <w:tcPr>
            <w:tcW w:w="1064" w:type="dxa"/>
            <w:hideMark/>
          </w:tcPr>
          <w:p w14:paraId="2E1FC2B2"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40.91</w:t>
            </w:r>
          </w:p>
        </w:tc>
      </w:tr>
      <w:tr w:rsidR="00043668" w:rsidRPr="009C5364" w14:paraId="0D0D1FEC" w14:textId="77777777" w:rsidTr="00043668">
        <w:trPr>
          <w:trHeight w:val="623"/>
        </w:trPr>
        <w:tc>
          <w:tcPr>
            <w:tcW w:w="2453" w:type="dxa"/>
            <w:hideMark/>
          </w:tcPr>
          <w:p w14:paraId="3D134BD7"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Staircase size and position</w:t>
            </w:r>
          </w:p>
        </w:tc>
        <w:tc>
          <w:tcPr>
            <w:tcW w:w="1027" w:type="dxa"/>
            <w:hideMark/>
          </w:tcPr>
          <w:p w14:paraId="285139A5"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87.18</w:t>
            </w:r>
          </w:p>
        </w:tc>
        <w:tc>
          <w:tcPr>
            <w:tcW w:w="968" w:type="dxa"/>
            <w:hideMark/>
          </w:tcPr>
          <w:p w14:paraId="4F1D2DCE"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12.82</w:t>
            </w:r>
          </w:p>
        </w:tc>
        <w:tc>
          <w:tcPr>
            <w:tcW w:w="1064" w:type="dxa"/>
            <w:hideMark/>
          </w:tcPr>
          <w:p w14:paraId="2D7320E3"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7.41</w:t>
            </w:r>
          </w:p>
        </w:tc>
        <w:tc>
          <w:tcPr>
            <w:tcW w:w="1064" w:type="dxa"/>
            <w:hideMark/>
          </w:tcPr>
          <w:p w14:paraId="34C17144"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92.59</w:t>
            </w:r>
          </w:p>
        </w:tc>
        <w:tc>
          <w:tcPr>
            <w:tcW w:w="967" w:type="dxa"/>
            <w:hideMark/>
          </w:tcPr>
          <w:p w14:paraId="7C231E82"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27.3</w:t>
            </w:r>
          </w:p>
        </w:tc>
        <w:tc>
          <w:tcPr>
            <w:tcW w:w="1064" w:type="dxa"/>
            <w:hideMark/>
          </w:tcPr>
          <w:p w14:paraId="6A565523"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72.73</w:t>
            </w:r>
          </w:p>
        </w:tc>
      </w:tr>
      <w:tr w:rsidR="00043668" w:rsidRPr="009C5364" w14:paraId="43EFFF2A" w14:textId="77777777" w:rsidTr="00043668">
        <w:trPr>
          <w:trHeight w:val="311"/>
        </w:trPr>
        <w:tc>
          <w:tcPr>
            <w:tcW w:w="2453" w:type="dxa"/>
            <w:hideMark/>
          </w:tcPr>
          <w:p w14:paraId="4B8E4C0B"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Built-up</w:t>
            </w:r>
          </w:p>
        </w:tc>
        <w:tc>
          <w:tcPr>
            <w:tcW w:w="1027" w:type="dxa"/>
            <w:hideMark/>
          </w:tcPr>
          <w:p w14:paraId="2D081B63"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65.38%</w:t>
            </w:r>
          </w:p>
        </w:tc>
        <w:tc>
          <w:tcPr>
            <w:tcW w:w="968" w:type="dxa"/>
            <w:hideMark/>
          </w:tcPr>
          <w:p w14:paraId="2B0F7331"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34.62</w:t>
            </w:r>
          </w:p>
        </w:tc>
        <w:tc>
          <w:tcPr>
            <w:tcW w:w="1064" w:type="dxa"/>
            <w:hideMark/>
          </w:tcPr>
          <w:p w14:paraId="0AC2EA8F"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3.7</w:t>
            </w:r>
          </w:p>
        </w:tc>
        <w:tc>
          <w:tcPr>
            <w:tcW w:w="1064" w:type="dxa"/>
            <w:hideMark/>
          </w:tcPr>
          <w:p w14:paraId="72AD158F"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96.3</w:t>
            </w:r>
          </w:p>
        </w:tc>
        <w:tc>
          <w:tcPr>
            <w:tcW w:w="967" w:type="dxa"/>
            <w:hideMark/>
          </w:tcPr>
          <w:p w14:paraId="75211631"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54.6</w:t>
            </w:r>
          </w:p>
        </w:tc>
        <w:tc>
          <w:tcPr>
            <w:tcW w:w="1064" w:type="dxa"/>
            <w:hideMark/>
          </w:tcPr>
          <w:p w14:paraId="115D50C3"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45.45</w:t>
            </w:r>
          </w:p>
        </w:tc>
      </w:tr>
    </w:tbl>
    <w:p w14:paraId="691CBC2E" w14:textId="77777777" w:rsidR="00043668" w:rsidRPr="009C5364" w:rsidRDefault="00043668" w:rsidP="00043668">
      <w:pPr>
        <w:jc w:val="both"/>
      </w:pPr>
    </w:p>
    <w:p w14:paraId="0E6C2D52" w14:textId="77777777" w:rsidR="00043668" w:rsidRPr="009C5364" w:rsidRDefault="00043668" w:rsidP="00043668">
      <w:pPr>
        <w:jc w:val="both"/>
      </w:pPr>
      <w:r w:rsidRPr="009C5364">
        <w:t xml:space="preserve">The comparative analysis of building code compliance across the three municipalities from Table 6 shows that </w:t>
      </w:r>
      <w:proofErr w:type="spellStart"/>
      <w:r w:rsidRPr="009C5364">
        <w:t>Godawari</w:t>
      </w:r>
      <w:proofErr w:type="spellEnd"/>
      <w:r w:rsidRPr="009C5364">
        <w:t xml:space="preserve"> Municipality demonstrates the highest overall compliance, with full adherence in column size and position (100%) and very high compliance in beam size and position (93.58%) as well as staircase size and position (87.18%). It also maintains good performance in plinth area ratio (64.10%), room size (51.28%), and built-up area (65.38%). </w:t>
      </w:r>
      <w:proofErr w:type="spellStart"/>
      <w:r w:rsidRPr="009C5364">
        <w:t>Birendranagar</w:t>
      </w:r>
      <w:proofErr w:type="spellEnd"/>
      <w:r w:rsidRPr="009C5364">
        <w:t xml:space="preserve"> Municipality </w:t>
      </w:r>
      <w:sdt>
        <w:sdtPr>
          <w:id w:val="661128583"/>
          <w:citation/>
        </w:sdtPr>
        <w:sdtEndPr/>
        <w:sdtContent>
          <w:r w:rsidRPr="009C5364">
            <w:fldChar w:fldCharType="begin"/>
          </w:r>
          <w:r w:rsidRPr="009C5364">
            <w:instrText xml:space="preserve"> CITATION Rij25 \l 1033 </w:instrText>
          </w:r>
          <w:r w:rsidRPr="009C5364">
            <w:fldChar w:fldCharType="separate"/>
          </w:r>
          <w:r w:rsidRPr="009C5364">
            <w:rPr>
              <w:noProof/>
            </w:rPr>
            <w:t>[12]</w:t>
          </w:r>
          <w:r w:rsidRPr="009C5364">
            <w:fldChar w:fldCharType="end"/>
          </w:r>
        </w:sdtContent>
      </w:sdt>
      <w:r w:rsidRPr="009C5364">
        <w:t xml:space="preserve"> exhibits moderate compliance, performing relatively better in plinth area ratio (68.18%) and room size (59.09%) compared to </w:t>
      </w:r>
      <w:proofErr w:type="spellStart"/>
      <w:r w:rsidRPr="009C5364">
        <w:t>Godawari</w:t>
      </w:r>
      <w:proofErr w:type="spellEnd"/>
      <w:r w:rsidRPr="009C5364">
        <w:t xml:space="preserve">, but falling behind in beam size and staircase requirements. On the other hand, </w:t>
      </w:r>
      <w:proofErr w:type="spellStart"/>
      <w:r w:rsidRPr="009C5364">
        <w:t>Sisne</w:t>
      </w:r>
      <w:proofErr w:type="spellEnd"/>
      <w:r w:rsidRPr="009C5364">
        <w:t xml:space="preserve"> Rural Municipality </w:t>
      </w:r>
      <w:sdt>
        <w:sdtPr>
          <w:id w:val="-1790035911"/>
          <w:citation/>
        </w:sdtPr>
        <w:sdtEndPr/>
        <w:sdtContent>
          <w:r w:rsidRPr="009C5364">
            <w:fldChar w:fldCharType="begin"/>
          </w:r>
          <w:r w:rsidRPr="009C5364">
            <w:instrText xml:space="preserve"> CITATION KCK23 \l 1033 </w:instrText>
          </w:r>
          <w:r w:rsidRPr="009C5364">
            <w:fldChar w:fldCharType="separate"/>
          </w:r>
          <w:r w:rsidRPr="009C5364">
            <w:rPr>
              <w:noProof/>
            </w:rPr>
            <w:t>[11]</w:t>
          </w:r>
          <w:r w:rsidRPr="009C5364">
            <w:fldChar w:fldCharType="end"/>
          </w:r>
        </w:sdtContent>
      </w:sdt>
      <w:r w:rsidRPr="009C5364">
        <w:t xml:space="preserve"> shows very low compliance in almost all parameters, with values below 10% for beam size, room size, staircase, and built-up area, except for column size and position (85.18%).</w:t>
      </w:r>
    </w:p>
    <w:p w14:paraId="671358E3" w14:textId="77777777" w:rsidR="00043668" w:rsidRPr="009C5364" w:rsidRDefault="00043668" w:rsidP="00043668">
      <w:pPr>
        <w:pStyle w:val="Heading3"/>
        <w:ind w:left="90" w:hanging="90"/>
        <w:jc w:val="both"/>
        <w:rPr>
          <w:rFonts w:cs="Times New Roman"/>
        </w:rPr>
      </w:pPr>
      <w:bookmarkStart w:id="40" w:name="_Toc207360764"/>
      <w:r w:rsidRPr="009C5364">
        <w:rPr>
          <w:rFonts w:cs="Times New Roman"/>
        </w:rPr>
        <w:t xml:space="preserve">4.1.2 </w:t>
      </w:r>
      <w:r w:rsidRPr="00CB2694">
        <w:rPr>
          <w:rFonts w:cs="Times New Roman"/>
          <w:i/>
        </w:rPr>
        <w:t>BUILDING BYELAW COMPLIANCE IN COMPLETED BUILDINGS</w:t>
      </w:r>
      <w:bookmarkEnd w:id="40"/>
    </w:p>
    <w:p w14:paraId="6C45DBD9" w14:textId="77777777" w:rsidR="00043668" w:rsidRPr="009C5364" w:rsidRDefault="00043668" w:rsidP="00043668">
      <w:pPr>
        <w:jc w:val="both"/>
      </w:pPr>
      <w:r w:rsidRPr="009C5364">
        <w:t>The study revealed that 27 out of 78 constructed buildings were fully compliant with the municipality's building by-laws. The compliance status of setbacks, floor area ratio, coverage, and building height was assessed. Ground coverage ratio and building height were the parameters that were fully adhered to, and the most common area of non-compliance included side, back, and front setbacks along with floor area ratio. The details have been depicted in Figure 2 below.</w:t>
      </w:r>
    </w:p>
    <w:p w14:paraId="4F0FF670" w14:textId="77777777" w:rsidR="00043668" w:rsidRPr="009C5364" w:rsidRDefault="00043668" w:rsidP="00043668">
      <w:pPr>
        <w:jc w:val="both"/>
      </w:pPr>
      <w:r w:rsidRPr="009C5364">
        <w:rPr>
          <w:noProof/>
        </w:rPr>
        <w:lastRenderedPageBreak/>
        <w:drawing>
          <wp:inline distT="0" distB="0" distL="0" distR="0" wp14:anchorId="65C86086" wp14:editId="532BF21C">
            <wp:extent cx="5128260" cy="4130040"/>
            <wp:effectExtent l="0" t="0" r="15240" b="3810"/>
            <wp:docPr id="203538503" name="Chart 1">
              <a:extLst xmlns:a="http://schemas.openxmlformats.org/drawingml/2006/main">
                <a:ext uri="{FF2B5EF4-FFF2-40B4-BE49-F238E27FC236}">
                  <a16:creationId xmlns:a16="http://schemas.microsoft.com/office/drawing/2014/main" id="{38715FB3-1656-4989-B04E-F82ACEFD30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6E0207" w14:textId="77777777" w:rsidR="00043668" w:rsidRPr="009C5364" w:rsidRDefault="00043668" w:rsidP="00043668">
      <w:pPr>
        <w:jc w:val="both"/>
      </w:pPr>
      <w:bookmarkStart w:id="41" w:name="_Toc207491704"/>
      <w:r w:rsidRPr="009C5364">
        <w:t>Figure 2 Building bylaw compliance for completed buildings</w:t>
      </w:r>
      <w:bookmarkEnd w:id="41"/>
    </w:p>
    <w:p w14:paraId="41508A21" w14:textId="77777777" w:rsidR="00043668" w:rsidRPr="00CB2694" w:rsidRDefault="00043668" w:rsidP="00043668">
      <w:pPr>
        <w:jc w:val="both"/>
        <w:rPr>
          <w:b/>
          <w:bCs/>
          <w:i/>
        </w:rPr>
      </w:pPr>
      <w:r w:rsidRPr="00CB2694">
        <w:rPr>
          <w:b/>
          <w:bCs/>
          <w:i/>
        </w:rPr>
        <w:t>COMPARATIVE STUDY</w:t>
      </w:r>
    </w:p>
    <w:p w14:paraId="49CFE7AF" w14:textId="77777777" w:rsidR="00043668" w:rsidRPr="009C5364" w:rsidRDefault="00043668" w:rsidP="00043668">
      <w:pPr>
        <w:jc w:val="both"/>
      </w:pPr>
      <w:r w:rsidRPr="009C5364">
        <w:rPr>
          <w:bCs/>
          <w:lang w:bidi="ne-NP"/>
        </w:rPr>
        <w:t xml:space="preserve">The comparison of the study with past study is depicted in figure 3. </w:t>
      </w:r>
    </w:p>
    <w:p w14:paraId="47F7FA4B" w14:textId="77777777" w:rsidR="00043668" w:rsidRPr="009C5364" w:rsidRDefault="00043668" w:rsidP="00043668">
      <w:pPr>
        <w:jc w:val="both"/>
      </w:pPr>
      <w:r w:rsidRPr="009C5364">
        <w:rPr>
          <w:noProof/>
        </w:rPr>
        <w:drawing>
          <wp:inline distT="0" distB="0" distL="0" distR="0" wp14:anchorId="57F3F88F" wp14:editId="45935E5D">
            <wp:extent cx="4916170" cy="3200400"/>
            <wp:effectExtent l="0" t="0" r="17780" b="0"/>
            <wp:docPr id="6" name="Chart 6">
              <a:extLst xmlns:a="http://schemas.openxmlformats.org/drawingml/2006/main">
                <a:ext uri="{FF2B5EF4-FFF2-40B4-BE49-F238E27FC236}">
                  <a16:creationId xmlns:a16="http://schemas.microsoft.com/office/drawing/2014/main" id="{13DDCC1E-0969-48E0-8168-877A04AB4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49E14C" w14:textId="77777777" w:rsidR="00043668" w:rsidRPr="009C5364" w:rsidRDefault="00043668" w:rsidP="00043668">
      <w:pPr>
        <w:jc w:val="both"/>
      </w:pPr>
      <w:r w:rsidRPr="009C5364">
        <w:lastRenderedPageBreak/>
        <w:t>Figure 3: Comparative Study</w:t>
      </w:r>
    </w:p>
    <w:p w14:paraId="2054D01E" w14:textId="77777777" w:rsidR="00043668" w:rsidRPr="009C5364" w:rsidRDefault="00043668" w:rsidP="00043668">
      <w:pPr>
        <w:jc w:val="both"/>
      </w:pPr>
      <w:r w:rsidRPr="009C5364">
        <w:t xml:space="preserve">The comparison of compliance between </w:t>
      </w:r>
      <w:proofErr w:type="spellStart"/>
      <w:r w:rsidRPr="009C5364">
        <w:t>Godawari</w:t>
      </w:r>
      <w:proofErr w:type="spellEnd"/>
      <w:r w:rsidRPr="009C5364">
        <w:t xml:space="preserve"> Municipality and </w:t>
      </w:r>
      <w:proofErr w:type="spellStart"/>
      <w:r w:rsidRPr="009C5364">
        <w:t>Birendranagar</w:t>
      </w:r>
      <w:proofErr w:type="spellEnd"/>
      <w:r w:rsidRPr="009C5364">
        <w:t xml:space="preserve"> Municipality. Figure 3 indicates that both municipalities show strong adherence to building code requirements, though performance varies across parameters. </w:t>
      </w:r>
      <w:proofErr w:type="spellStart"/>
      <w:r w:rsidRPr="009C5364">
        <w:t>Birendranagar</w:t>
      </w:r>
      <w:proofErr w:type="spellEnd"/>
      <w:r w:rsidRPr="009C5364">
        <w:t xml:space="preserve"> achieves 100% compliance in ground coverage ratio and building height, slightly outperforming </w:t>
      </w:r>
      <w:proofErr w:type="spellStart"/>
      <w:r w:rsidRPr="009C5364">
        <w:t>Godawari</w:t>
      </w:r>
      <w:proofErr w:type="spellEnd"/>
      <w:r w:rsidRPr="009C5364">
        <w:t xml:space="preserve">, which records 87.18% and 98.72% compliance, respectively. However, </w:t>
      </w:r>
      <w:proofErr w:type="spellStart"/>
      <w:r w:rsidRPr="009C5364">
        <w:t>Godawari</w:t>
      </w:r>
      <w:proofErr w:type="spellEnd"/>
      <w:r w:rsidRPr="009C5364">
        <w:t xml:space="preserve"> demonstrates better performance in floor area ratio (91.03% vs. 86%), front setback (88.46% vs. 81.82%), side setback (91.03% vs. 27.27%), and back setback (93.59% vs. 72.72%), reflecting stronger enforcement in spatial regulations.</w:t>
      </w:r>
    </w:p>
    <w:p w14:paraId="70C0C884" w14:textId="77777777" w:rsidR="00043668" w:rsidRPr="00CB2694" w:rsidRDefault="00043668" w:rsidP="00043668">
      <w:pPr>
        <w:jc w:val="both"/>
        <w:rPr>
          <w:b/>
          <w:bCs/>
          <w:i/>
        </w:rPr>
      </w:pPr>
      <w:r w:rsidRPr="009C5364">
        <w:rPr>
          <w:b/>
          <w:bCs/>
        </w:rPr>
        <w:t xml:space="preserve">4.1.3 </w:t>
      </w:r>
      <w:r w:rsidRPr="00CB2694">
        <w:rPr>
          <w:b/>
          <w:bCs/>
          <w:i/>
        </w:rPr>
        <w:t>BUILDING CODE COMPLIANCE IN UNDER-CONSTRUCTION BUILDINGS</w:t>
      </w:r>
    </w:p>
    <w:p w14:paraId="2ED963F2" w14:textId="77777777" w:rsidR="00043668" w:rsidRPr="009C5364" w:rsidRDefault="00043668" w:rsidP="00043668">
      <w:pPr>
        <w:jc w:val="both"/>
        <w:rPr>
          <w:bCs/>
        </w:rPr>
      </w:pPr>
      <w:r w:rsidRPr="009C5364">
        <w:rPr>
          <w:bCs/>
        </w:rPr>
        <w:t>A total of 69 buildings under construction were assessed across different stages: 7% at foundation, 12% at DPC, 14% up to first floor, 26% above second floor, and 41% at finishing works. Compliance checks covered foundation, columns, beams, slabs, reinforcement, stirrups, lapping, sill/lintel bands, and concrete mix quality.</w:t>
      </w:r>
    </w:p>
    <w:p w14:paraId="64DBF548" w14:textId="77777777" w:rsidR="00043668" w:rsidRPr="00CB2694" w:rsidRDefault="00043668" w:rsidP="00043668">
      <w:pPr>
        <w:jc w:val="both"/>
        <w:rPr>
          <w:b/>
          <w:bCs/>
          <w:i/>
        </w:rPr>
      </w:pPr>
      <w:r w:rsidRPr="00CB2694">
        <w:rPr>
          <w:b/>
          <w:bCs/>
          <w:i/>
        </w:rPr>
        <w:t>COMPLIANCE PATTERNS:</w:t>
      </w:r>
    </w:p>
    <w:p w14:paraId="655DB81A" w14:textId="77777777" w:rsidR="00043668" w:rsidRPr="009C5364" w:rsidRDefault="00043668" w:rsidP="00043668">
      <w:pPr>
        <w:jc w:val="both"/>
        <w:rPr>
          <w:bCs/>
        </w:rPr>
      </w:pPr>
      <w:r w:rsidRPr="009C5364">
        <w:rPr>
          <w:bCs/>
        </w:rPr>
        <w:t xml:space="preserve">Most structural elements showed high adherence. Columns consistently complied (100%), and floor slabs achieved 98% compliance. Details are tabulated in table </w:t>
      </w:r>
      <w:r>
        <w:rPr>
          <w:bCs/>
        </w:rPr>
        <w:t>3</w:t>
      </w:r>
    </w:p>
    <w:p w14:paraId="576C9B54" w14:textId="77777777" w:rsidR="00043668" w:rsidRPr="009C5364" w:rsidRDefault="00043668" w:rsidP="00043668">
      <w:pPr>
        <w:jc w:val="both"/>
        <w:rPr>
          <w:szCs w:val="24"/>
        </w:rPr>
      </w:pPr>
      <w:bookmarkStart w:id="42" w:name="_Toc128980833"/>
      <w:r w:rsidRPr="009C5364">
        <w:rPr>
          <w:szCs w:val="24"/>
        </w:rPr>
        <w:t xml:space="preserve">Table </w:t>
      </w:r>
      <w:r>
        <w:rPr>
          <w:szCs w:val="24"/>
        </w:rPr>
        <w:t>3</w:t>
      </w:r>
      <w:r w:rsidRPr="009C5364">
        <w:rPr>
          <w:szCs w:val="24"/>
        </w:rPr>
        <w:t xml:space="preserve"> Checklist of Compliance and Non-Compliance in Under Construction Building</w:t>
      </w:r>
      <w:bookmarkEnd w:id="42"/>
    </w:p>
    <w:tbl>
      <w:tblPr>
        <w:tblStyle w:val="TableGrid"/>
        <w:tblW w:w="10086" w:type="dxa"/>
        <w:tblInd w:w="-995" w:type="dxa"/>
        <w:tblLayout w:type="fixed"/>
        <w:tblLook w:val="04A0" w:firstRow="1" w:lastRow="0" w:firstColumn="1" w:lastColumn="0" w:noHBand="0" w:noVBand="1"/>
      </w:tblPr>
      <w:tblGrid>
        <w:gridCol w:w="720"/>
        <w:gridCol w:w="2869"/>
        <w:gridCol w:w="911"/>
        <w:gridCol w:w="1170"/>
        <w:gridCol w:w="900"/>
        <w:gridCol w:w="1170"/>
        <w:gridCol w:w="2346"/>
      </w:tblGrid>
      <w:tr w:rsidR="00043668" w:rsidRPr="009C5364" w14:paraId="52A1A737" w14:textId="77777777" w:rsidTr="00043668">
        <w:trPr>
          <w:trHeight w:val="1065"/>
        </w:trPr>
        <w:tc>
          <w:tcPr>
            <w:tcW w:w="720" w:type="dxa"/>
          </w:tcPr>
          <w:p w14:paraId="7C8FD634" w14:textId="77777777" w:rsidR="00043668" w:rsidRPr="009C5364" w:rsidRDefault="00043668" w:rsidP="00043668">
            <w:pPr>
              <w:jc w:val="both"/>
              <w:rPr>
                <w:b/>
                <w:bCs/>
              </w:rPr>
            </w:pPr>
            <w:r w:rsidRPr="009C5364">
              <w:rPr>
                <w:b/>
                <w:bCs/>
              </w:rPr>
              <w:t>S.N.</w:t>
            </w:r>
          </w:p>
        </w:tc>
        <w:tc>
          <w:tcPr>
            <w:tcW w:w="2869" w:type="dxa"/>
          </w:tcPr>
          <w:p w14:paraId="35199049" w14:textId="77777777" w:rsidR="00043668" w:rsidRPr="009C5364" w:rsidRDefault="00043668" w:rsidP="00043668">
            <w:pPr>
              <w:jc w:val="both"/>
              <w:rPr>
                <w:b/>
                <w:bCs/>
              </w:rPr>
            </w:pPr>
            <w:r w:rsidRPr="009C5364">
              <w:rPr>
                <w:b/>
                <w:bCs/>
              </w:rPr>
              <w:t>Description of compliance parameters</w:t>
            </w:r>
          </w:p>
        </w:tc>
        <w:tc>
          <w:tcPr>
            <w:tcW w:w="911" w:type="dxa"/>
          </w:tcPr>
          <w:p w14:paraId="30C1230D" w14:textId="77777777" w:rsidR="00043668" w:rsidRPr="009C5364" w:rsidRDefault="00043668" w:rsidP="00043668">
            <w:pPr>
              <w:jc w:val="both"/>
              <w:rPr>
                <w:b/>
                <w:bCs/>
              </w:rPr>
            </w:pPr>
            <w:r w:rsidRPr="009C5364">
              <w:rPr>
                <w:b/>
                <w:bCs/>
              </w:rPr>
              <w:t xml:space="preserve">Compliance </w:t>
            </w:r>
          </w:p>
        </w:tc>
        <w:tc>
          <w:tcPr>
            <w:tcW w:w="1170" w:type="dxa"/>
          </w:tcPr>
          <w:p w14:paraId="7C6A7E17" w14:textId="77777777" w:rsidR="00043668" w:rsidRPr="009C5364" w:rsidRDefault="00043668" w:rsidP="00043668">
            <w:pPr>
              <w:jc w:val="both"/>
              <w:rPr>
                <w:b/>
                <w:bCs/>
              </w:rPr>
            </w:pPr>
            <w:r w:rsidRPr="009C5364">
              <w:rPr>
                <w:b/>
                <w:bCs/>
              </w:rPr>
              <w:t>Non-Compliance</w:t>
            </w:r>
          </w:p>
        </w:tc>
        <w:tc>
          <w:tcPr>
            <w:tcW w:w="900" w:type="dxa"/>
          </w:tcPr>
          <w:p w14:paraId="1C74266D" w14:textId="77777777" w:rsidR="00043668" w:rsidRPr="009C5364" w:rsidRDefault="00043668" w:rsidP="00043668">
            <w:pPr>
              <w:jc w:val="both"/>
              <w:rPr>
                <w:b/>
                <w:bCs/>
              </w:rPr>
            </w:pPr>
            <w:r w:rsidRPr="009C5364">
              <w:rPr>
                <w:b/>
                <w:bCs/>
              </w:rPr>
              <w:t>Compliance (%)</w:t>
            </w:r>
          </w:p>
        </w:tc>
        <w:tc>
          <w:tcPr>
            <w:tcW w:w="1170" w:type="dxa"/>
          </w:tcPr>
          <w:p w14:paraId="2EF2F6FF" w14:textId="77777777" w:rsidR="00043668" w:rsidRPr="009C5364" w:rsidRDefault="00043668" w:rsidP="00043668">
            <w:pPr>
              <w:jc w:val="both"/>
              <w:rPr>
                <w:b/>
                <w:bCs/>
              </w:rPr>
            </w:pPr>
            <w:r w:rsidRPr="009C5364">
              <w:rPr>
                <w:b/>
                <w:bCs/>
              </w:rPr>
              <w:t>Non-Compliance (%)</w:t>
            </w:r>
          </w:p>
        </w:tc>
        <w:tc>
          <w:tcPr>
            <w:tcW w:w="2346" w:type="dxa"/>
          </w:tcPr>
          <w:p w14:paraId="39FA4E7B" w14:textId="77777777" w:rsidR="00043668" w:rsidRPr="009C5364" w:rsidRDefault="00043668" w:rsidP="00043668">
            <w:pPr>
              <w:tabs>
                <w:tab w:val="center" w:pos="2637"/>
                <w:tab w:val="right" w:pos="5274"/>
              </w:tabs>
              <w:jc w:val="both"/>
              <w:rPr>
                <w:b/>
                <w:bCs/>
              </w:rPr>
            </w:pPr>
            <w:r w:rsidRPr="009C5364">
              <w:rPr>
                <w:b/>
                <w:bCs/>
              </w:rPr>
              <w:t>Remarks</w:t>
            </w:r>
            <w:r w:rsidRPr="009C5364">
              <w:rPr>
                <w:b/>
                <w:bCs/>
              </w:rPr>
              <w:tab/>
            </w:r>
          </w:p>
        </w:tc>
      </w:tr>
      <w:tr w:rsidR="00043668" w:rsidRPr="009C5364" w14:paraId="241EA73F" w14:textId="77777777" w:rsidTr="00043668">
        <w:trPr>
          <w:trHeight w:val="363"/>
        </w:trPr>
        <w:tc>
          <w:tcPr>
            <w:tcW w:w="720" w:type="dxa"/>
          </w:tcPr>
          <w:p w14:paraId="1E98BD5A" w14:textId="77777777" w:rsidR="00043668" w:rsidRPr="009C5364" w:rsidRDefault="00043668" w:rsidP="00043668">
            <w:pPr>
              <w:jc w:val="both"/>
              <w:rPr>
                <w:b/>
              </w:rPr>
            </w:pPr>
            <w:r w:rsidRPr="009C5364">
              <w:rPr>
                <w:b/>
              </w:rPr>
              <w:t>1</w:t>
            </w:r>
          </w:p>
        </w:tc>
        <w:tc>
          <w:tcPr>
            <w:tcW w:w="2869" w:type="dxa"/>
          </w:tcPr>
          <w:p w14:paraId="64A4ED66" w14:textId="77777777" w:rsidR="00043668" w:rsidRPr="009C5364" w:rsidRDefault="00043668" w:rsidP="00043668">
            <w:pPr>
              <w:jc w:val="both"/>
              <w:rPr>
                <w:b/>
              </w:rPr>
            </w:pPr>
            <w:r w:rsidRPr="009C5364">
              <w:rPr>
                <w:b/>
              </w:rPr>
              <w:t>Depth of Excavation in the foundation</w:t>
            </w:r>
          </w:p>
        </w:tc>
        <w:tc>
          <w:tcPr>
            <w:tcW w:w="911" w:type="dxa"/>
          </w:tcPr>
          <w:p w14:paraId="26345BBD" w14:textId="77777777" w:rsidR="00043668" w:rsidRPr="009C5364" w:rsidRDefault="00043668" w:rsidP="00043668">
            <w:pPr>
              <w:jc w:val="both"/>
            </w:pPr>
            <w:r w:rsidRPr="009C5364">
              <w:t>12</w:t>
            </w:r>
          </w:p>
        </w:tc>
        <w:tc>
          <w:tcPr>
            <w:tcW w:w="1170" w:type="dxa"/>
          </w:tcPr>
          <w:p w14:paraId="41B03AE6" w14:textId="77777777" w:rsidR="00043668" w:rsidRPr="009C5364" w:rsidRDefault="00043668" w:rsidP="00043668">
            <w:pPr>
              <w:jc w:val="both"/>
            </w:pPr>
            <w:r w:rsidRPr="009C5364">
              <w:t>1</w:t>
            </w:r>
          </w:p>
        </w:tc>
        <w:tc>
          <w:tcPr>
            <w:tcW w:w="900" w:type="dxa"/>
          </w:tcPr>
          <w:p w14:paraId="20D07035" w14:textId="77777777" w:rsidR="00043668" w:rsidRPr="009C5364" w:rsidRDefault="00043668" w:rsidP="00043668">
            <w:pPr>
              <w:jc w:val="both"/>
            </w:pPr>
            <w:r w:rsidRPr="009C5364">
              <w:t>92.3</w:t>
            </w:r>
          </w:p>
        </w:tc>
        <w:tc>
          <w:tcPr>
            <w:tcW w:w="1170" w:type="dxa"/>
          </w:tcPr>
          <w:p w14:paraId="776D753F" w14:textId="77777777" w:rsidR="00043668" w:rsidRPr="009C5364" w:rsidRDefault="00043668" w:rsidP="00043668">
            <w:pPr>
              <w:jc w:val="both"/>
            </w:pPr>
            <w:r w:rsidRPr="009C5364">
              <w:t>7.7</w:t>
            </w:r>
          </w:p>
        </w:tc>
        <w:tc>
          <w:tcPr>
            <w:tcW w:w="2346" w:type="dxa"/>
          </w:tcPr>
          <w:p w14:paraId="3D37E37A" w14:textId="77777777" w:rsidR="00043668" w:rsidRPr="009C5364" w:rsidRDefault="00043668" w:rsidP="00043668">
            <w:pPr>
              <w:jc w:val="both"/>
            </w:pPr>
            <w:r w:rsidRPr="009C5364">
              <w:t>Observed on buildings constructed up to the Plinth level.</w:t>
            </w:r>
          </w:p>
        </w:tc>
      </w:tr>
      <w:tr w:rsidR="00043668" w:rsidRPr="009C5364" w14:paraId="11005113" w14:textId="77777777" w:rsidTr="00043668">
        <w:trPr>
          <w:trHeight w:val="350"/>
        </w:trPr>
        <w:tc>
          <w:tcPr>
            <w:tcW w:w="720" w:type="dxa"/>
          </w:tcPr>
          <w:p w14:paraId="4702F341" w14:textId="77777777" w:rsidR="00043668" w:rsidRPr="009C5364" w:rsidRDefault="00043668" w:rsidP="00043668">
            <w:pPr>
              <w:jc w:val="both"/>
              <w:rPr>
                <w:b/>
              </w:rPr>
            </w:pPr>
            <w:r w:rsidRPr="009C5364">
              <w:rPr>
                <w:b/>
              </w:rPr>
              <w:t>2</w:t>
            </w:r>
          </w:p>
        </w:tc>
        <w:tc>
          <w:tcPr>
            <w:tcW w:w="2869" w:type="dxa"/>
          </w:tcPr>
          <w:p w14:paraId="573AD682" w14:textId="77777777" w:rsidR="00043668" w:rsidRPr="009C5364" w:rsidRDefault="00043668" w:rsidP="00043668">
            <w:pPr>
              <w:jc w:val="both"/>
              <w:rPr>
                <w:b/>
              </w:rPr>
            </w:pPr>
            <w:r w:rsidRPr="009C5364">
              <w:rPr>
                <w:b/>
              </w:rPr>
              <w:t>Foundation Construction</w:t>
            </w:r>
          </w:p>
        </w:tc>
        <w:tc>
          <w:tcPr>
            <w:tcW w:w="911" w:type="dxa"/>
          </w:tcPr>
          <w:p w14:paraId="07442786" w14:textId="77777777" w:rsidR="00043668" w:rsidRPr="009C5364" w:rsidRDefault="00043668" w:rsidP="00043668">
            <w:pPr>
              <w:jc w:val="both"/>
            </w:pPr>
          </w:p>
        </w:tc>
        <w:tc>
          <w:tcPr>
            <w:tcW w:w="1170" w:type="dxa"/>
          </w:tcPr>
          <w:p w14:paraId="5CAD018A" w14:textId="77777777" w:rsidR="00043668" w:rsidRPr="009C5364" w:rsidRDefault="00043668" w:rsidP="00043668">
            <w:pPr>
              <w:jc w:val="both"/>
            </w:pPr>
          </w:p>
        </w:tc>
        <w:tc>
          <w:tcPr>
            <w:tcW w:w="900" w:type="dxa"/>
          </w:tcPr>
          <w:p w14:paraId="7420FE5F" w14:textId="77777777" w:rsidR="00043668" w:rsidRPr="009C5364" w:rsidRDefault="00043668" w:rsidP="00043668">
            <w:pPr>
              <w:jc w:val="both"/>
            </w:pPr>
          </w:p>
        </w:tc>
        <w:tc>
          <w:tcPr>
            <w:tcW w:w="1170" w:type="dxa"/>
          </w:tcPr>
          <w:p w14:paraId="30CB6A4A" w14:textId="77777777" w:rsidR="00043668" w:rsidRPr="009C5364" w:rsidRDefault="00043668" w:rsidP="00043668">
            <w:pPr>
              <w:jc w:val="both"/>
            </w:pPr>
          </w:p>
        </w:tc>
        <w:tc>
          <w:tcPr>
            <w:tcW w:w="2346" w:type="dxa"/>
          </w:tcPr>
          <w:p w14:paraId="06B96264" w14:textId="77777777" w:rsidR="00043668" w:rsidRPr="009C5364" w:rsidRDefault="00043668" w:rsidP="00043668">
            <w:pPr>
              <w:jc w:val="both"/>
            </w:pPr>
          </w:p>
        </w:tc>
      </w:tr>
      <w:tr w:rsidR="00043668" w:rsidRPr="009C5364" w14:paraId="3350115F" w14:textId="77777777" w:rsidTr="00043668">
        <w:trPr>
          <w:trHeight w:val="350"/>
        </w:trPr>
        <w:tc>
          <w:tcPr>
            <w:tcW w:w="720" w:type="dxa"/>
          </w:tcPr>
          <w:p w14:paraId="543308F6" w14:textId="77777777" w:rsidR="00043668" w:rsidRPr="009C5364" w:rsidRDefault="00043668" w:rsidP="00043668">
            <w:pPr>
              <w:jc w:val="both"/>
            </w:pPr>
            <w:r w:rsidRPr="009C5364">
              <w:t>a</w:t>
            </w:r>
          </w:p>
        </w:tc>
        <w:tc>
          <w:tcPr>
            <w:tcW w:w="2869" w:type="dxa"/>
          </w:tcPr>
          <w:p w14:paraId="44EBB503" w14:textId="77777777" w:rsidR="00043668" w:rsidRPr="009C5364" w:rsidRDefault="00043668" w:rsidP="00043668">
            <w:pPr>
              <w:jc w:val="both"/>
            </w:pPr>
            <w:r w:rsidRPr="009C5364">
              <w:t>Size</w:t>
            </w:r>
          </w:p>
        </w:tc>
        <w:tc>
          <w:tcPr>
            <w:tcW w:w="911" w:type="dxa"/>
          </w:tcPr>
          <w:p w14:paraId="218C004B" w14:textId="77777777" w:rsidR="00043668" w:rsidRPr="009C5364" w:rsidRDefault="00043668" w:rsidP="00043668">
            <w:pPr>
              <w:jc w:val="both"/>
            </w:pPr>
            <w:r w:rsidRPr="009C5364">
              <w:t>11</w:t>
            </w:r>
          </w:p>
        </w:tc>
        <w:tc>
          <w:tcPr>
            <w:tcW w:w="1170" w:type="dxa"/>
          </w:tcPr>
          <w:p w14:paraId="12F40CAC" w14:textId="77777777" w:rsidR="00043668" w:rsidRPr="009C5364" w:rsidRDefault="00043668" w:rsidP="00043668">
            <w:pPr>
              <w:jc w:val="both"/>
            </w:pPr>
            <w:r w:rsidRPr="009C5364">
              <w:t>2</w:t>
            </w:r>
          </w:p>
        </w:tc>
        <w:tc>
          <w:tcPr>
            <w:tcW w:w="900" w:type="dxa"/>
          </w:tcPr>
          <w:p w14:paraId="3796EAA4" w14:textId="77777777" w:rsidR="00043668" w:rsidRPr="009C5364" w:rsidRDefault="00043668" w:rsidP="00043668">
            <w:pPr>
              <w:jc w:val="both"/>
            </w:pPr>
            <w:r w:rsidRPr="009C5364">
              <w:t>84.6</w:t>
            </w:r>
          </w:p>
        </w:tc>
        <w:tc>
          <w:tcPr>
            <w:tcW w:w="1170" w:type="dxa"/>
          </w:tcPr>
          <w:p w14:paraId="33B46C59" w14:textId="77777777" w:rsidR="00043668" w:rsidRPr="009C5364" w:rsidRDefault="00043668" w:rsidP="00043668">
            <w:pPr>
              <w:jc w:val="both"/>
            </w:pPr>
            <w:r w:rsidRPr="009C5364">
              <w:t>15.4</w:t>
            </w:r>
          </w:p>
        </w:tc>
        <w:tc>
          <w:tcPr>
            <w:tcW w:w="2346" w:type="dxa"/>
          </w:tcPr>
          <w:p w14:paraId="2BAD52D9" w14:textId="77777777" w:rsidR="00043668" w:rsidRPr="009C5364" w:rsidRDefault="00043668" w:rsidP="00043668">
            <w:pPr>
              <w:jc w:val="both"/>
            </w:pPr>
            <w:r w:rsidRPr="009C5364">
              <w:t>Studied buildings constructed up to the Plinth level.</w:t>
            </w:r>
          </w:p>
        </w:tc>
      </w:tr>
      <w:tr w:rsidR="00043668" w:rsidRPr="009C5364" w14:paraId="34B64D8C" w14:textId="77777777" w:rsidTr="00043668">
        <w:trPr>
          <w:trHeight w:val="363"/>
        </w:trPr>
        <w:tc>
          <w:tcPr>
            <w:tcW w:w="720" w:type="dxa"/>
          </w:tcPr>
          <w:p w14:paraId="21B72861" w14:textId="77777777" w:rsidR="00043668" w:rsidRPr="009C5364" w:rsidRDefault="00043668" w:rsidP="00043668">
            <w:pPr>
              <w:jc w:val="both"/>
            </w:pPr>
            <w:r w:rsidRPr="009C5364">
              <w:t>b</w:t>
            </w:r>
          </w:p>
        </w:tc>
        <w:tc>
          <w:tcPr>
            <w:tcW w:w="2869" w:type="dxa"/>
          </w:tcPr>
          <w:p w14:paraId="0A94D3EE" w14:textId="77777777" w:rsidR="00043668" w:rsidRPr="009C5364" w:rsidRDefault="00043668" w:rsidP="00043668">
            <w:pPr>
              <w:jc w:val="both"/>
            </w:pPr>
            <w:r w:rsidRPr="009C5364">
              <w:t>Rebar placement and Size</w:t>
            </w:r>
          </w:p>
        </w:tc>
        <w:tc>
          <w:tcPr>
            <w:tcW w:w="911" w:type="dxa"/>
          </w:tcPr>
          <w:p w14:paraId="0A92F7E7" w14:textId="77777777" w:rsidR="00043668" w:rsidRPr="009C5364" w:rsidRDefault="00043668" w:rsidP="00043668">
            <w:pPr>
              <w:jc w:val="both"/>
            </w:pPr>
            <w:r w:rsidRPr="009C5364">
              <w:t>2</w:t>
            </w:r>
          </w:p>
        </w:tc>
        <w:tc>
          <w:tcPr>
            <w:tcW w:w="1170" w:type="dxa"/>
          </w:tcPr>
          <w:p w14:paraId="433D135D" w14:textId="77777777" w:rsidR="00043668" w:rsidRPr="009C5364" w:rsidRDefault="00043668" w:rsidP="00043668">
            <w:pPr>
              <w:jc w:val="both"/>
            </w:pPr>
            <w:r w:rsidRPr="009C5364">
              <w:t>-</w:t>
            </w:r>
          </w:p>
        </w:tc>
        <w:tc>
          <w:tcPr>
            <w:tcW w:w="900" w:type="dxa"/>
          </w:tcPr>
          <w:p w14:paraId="191CA457" w14:textId="77777777" w:rsidR="00043668" w:rsidRPr="009C5364" w:rsidRDefault="00043668" w:rsidP="00043668">
            <w:pPr>
              <w:jc w:val="both"/>
            </w:pPr>
            <w:r w:rsidRPr="009C5364">
              <w:t>100</w:t>
            </w:r>
          </w:p>
        </w:tc>
        <w:tc>
          <w:tcPr>
            <w:tcW w:w="1170" w:type="dxa"/>
          </w:tcPr>
          <w:p w14:paraId="7AD95101" w14:textId="77777777" w:rsidR="00043668" w:rsidRPr="009C5364" w:rsidRDefault="00043668" w:rsidP="00043668">
            <w:pPr>
              <w:jc w:val="both"/>
            </w:pPr>
            <w:r w:rsidRPr="009C5364">
              <w:t>-</w:t>
            </w:r>
          </w:p>
        </w:tc>
        <w:tc>
          <w:tcPr>
            <w:tcW w:w="2346" w:type="dxa"/>
          </w:tcPr>
          <w:p w14:paraId="7E05846D" w14:textId="77777777" w:rsidR="00043668" w:rsidRPr="009C5364" w:rsidRDefault="00043668" w:rsidP="00043668">
            <w:pPr>
              <w:jc w:val="both"/>
            </w:pPr>
            <w:r w:rsidRPr="009C5364">
              <w:t>Studied buildings constructed up to the Plinth level.</w:t>
            </w:r>
          </w:p>
        </w:tc>
      </w:tr>
      <w:tr w:rsidR="00043668" w:rsidRPr="009C5364" w14:paraId="6ACECB36" w14:textId="77777777" w:rsidTr="00043668">
        <w:trPr>
          <w:trHeight w:val="464"/>
        </w:trPr>
        <w:tc>
          <w:tcPr>
            <w:tcW w:w="720" w:type="dxa"/>
          </w:tcPr>
          <w:p w14:paraId="50C9C8C1" w14:textId="77777777" w:rsidR="00043668" w:rsidRPr="009C5364" w:rsidRDefault="00043668" w:rsidP="00043668">
            <w:pPr>
              <w:jc w:val="both"/>
            </w:pPr>
            <w:r w:rsidRPr="009C5364">
              <w:t>c</w:t>
            </w:r>
          </w:p>
        </w:tc>
        <w:tc>
          <w:tcPr>
            <w:tcW w:w="2869" w:type="dxa"/>
          </w:tcPr>
          <w:p w14:paraId="6827663C" w14:textId="77777777" w:rsidR="00043668" w:rsidRPr="009C5364" w:rsidRDefault="00043668" w:rsidP="00043668">
            <w:pPr>
              <w:jc w:val="both"/>
            </w:pPr>
            <w:r w:rsidRPr="009C5364">
              <w:t>Strap beam</w:t>
            </w:r>
          </w:p>
        </w:tc>
        <w:tc>
          <w:tcPr>
            <w:tcW w:w="911" w:type="dxa"/>
          </w:tcPr>
          <w:p w14:paraId="4A89E8A2" w14:textId="77777777" w:rsidR="00043668" w:rsidRPr="009C5364" w:rsidRDefault="00043668" w:rsidP="00043668">
            <w:pPr>
              <w:jc w:val="both"/>
            </w:pPr>
            <w:r w:rsidRPr="009C5364">
              <w:t>10</w:t>
            </w:r>
          </w:p>
        </w:tc>
        <w:tc>
          <w:tcPr>
            <w:tcW w:w="1170" w:type="dxa"/>
          </w:tcPr>
          <w:p w14:paraId="27AE6AB7" w14:textId="77777777" w:rsidR="00043668" w:rsidRPr="009C5364" w:rsidRDefault="00043668" w:rsidP="00043668">
            <w:pPr>
              <w:jc w:val="both"/>
            </w:pPr>
            <w:r w:rsidRPr="009C5364">
              <w:t>-</w:t>
            </w:r>
          </w:p>
        </w:tc>
        <w:tc>
          <w:tcPr>
            <w:tcW w:w="900" w:type="dxa"/>
          </w:tcPr>
          <w:p w14:paraId="6940BC7B" w14:textId="77777777" w:rsidR="00043668" w:rsidRPr="009C5364" w:rsidRDefault="00043668" w:rsidP="00043668">
            <w:pPr>
              <w:jc w:val="both"/>
            </w:pPr>
            <w:r w:rsidRPr="009C5364">
              <w:t>100</w:t>
            </w:r>
          </w:p>
          <w:p w14:paraId="738B97E4" w14:textId="77777777" w:rsidR="00043668" w:rsidRPr="009C5364" w:rsidRDefault="00043668" w:rsidP="00043668">
            <w:pPr>
              <w:jc w:val="both"/>
            </w:pPr>
          </w:p>
        </w:tc>
        <w:tc>
          <w:tcPr>
            <w:tcW w:w="1170" w:type="dxa"/>
          </w:tcPr>
          <w:p w14:paraId="4D4F0488" w14:textId="77777777" w:rsidR="00043668" w:rsidRPr="009C5364" w:rsidRDefault="00043668" w:rsidP="00043668">
            <w:pPr>
              <w:jc w:val="both"/>
            </w:pPr>
            <w:r w:rsidRPr="009C5364">
              <w:t>-</w:t>
            </w:r>
          </w:p>
        </w:tc>
        <w:tc>
          <w:tcPr>
            <w:tcW w:w="2346" w:type="dxa"/>
          </w:tcPr>
          <w:p w14:paraId="6B6DB53D" w14:textId="77777777" w:rsidR="00043668" w:rsidRPr="009C5364" w:rsidRDefault="00043668" w:rsidP="00043668">
            <w:pPr>
              <w:jc w:val="both"/>
            </w:pPr>
            <w:r w:rsidRPr="009C5364">
              <w:t>Studied buildings constructed up to the Plinth level.</w:t>
            </w:r>
          </w:p>
        </w:tc>
      </w:tr>
      <w:tr w:rsidR="00043668" w:rsidRPr="009C5364" w14:paraId="06934E7A" w14:textId="77777777" w:rsidTr="00043668">
        <w:trPr>
          <w:trHeight w:val="464"/>
        </w:trPr>
        <w:tc>
          <w:tcPr>
            <w:tcW w:w="720" w:type="dxa"/>
          </w:tcPr>
          <w:p w14:paraId="1A56BFBF" w14:textId="77777777" w:rsidR="00043668" w:rsidRPr="009C5364" w:rsidRDefault="00043668" w:rsidP="00043668">
            <w:pPr>
              <w:jc w:val="both"/>
              <w:rPr>
                <w:b/>
              </w:rPr>
            </w:pPr>
            <w:r w:rsidRPr="009C5364">
              <w:rPr>
                <w:b/>
              </w:rPr>
              <w:t>3</w:t>
            </w:r>
          </w:p>
        </w:tc>
        <w:tc>
          <w:tcPr>
            <w:tcW w:w="2869" w:type="dxa"/>
          </w:tcPr>
          <w:p w14:paraId="0D06AFDF" w14:textId="77777777" w:rsidR="00043668" w:rsidRPr="009C5364" w:rsidRDefault="00043668" w:rsidP="00043668">
            <w:pPr>
              <w:jc w:val="both"/>
              <w:rPr>
                <w:b/>
              </w:rPr>
            </w:pPr>
            <w:r w:rsidRPr="009C5364">
              <w:rPr>
                <w:b/>
              </w:rPr>
              <w:t>Column Size and Position</w:t>
            </w:r>
          </w:p>
        </w:tc>
        <w:tc>
          <w:tcPr>
            <w:tcW w:w="911" w:type="dxa"/>
          </w:tcPr>
          <w:p w14:paraId="5495BB4D" w14:textId="77777777" w:rsidR="00043668" w:rsidRPr="009C5364" w:rsidRDefault="00043668" w:rsidP="00043668">
            <w:pPr>
              <w:jc w:val="both"/>
            </w:pPr>
            <w:r w:rsidRPr="009C5364">
              <w:t>69</w:t>
            </w:r>
          </w:p>
        </w:tc>
        <w:tc>
          <w:tcPr>
            <w:tcW w:w="1170" w:type="dxa"/>
          </w:tcPr>
          <w:p w14:paraId="0F3F6925" w14:textId="77777777" w:rsidR="00043668" w:rsidRPr="009C5364" w:rsidRDefault="00043668" w:rsidP="00043668">
            <w:pPr>
              <w:jc w:val="both"/>
            </w:pPr>
            <w:r w:rsidRPr="009C5364">
              <w:t>-</w:t>
            </w:r>
          </w:p>
        </w:tc>
        <w:tc>
          <w:tcPr>
            <w:tcW w:w="900" w:type="dxa"/>
          </w:tcPr>
          <w:p w14:paraId="0EB160B3" w14:textId="77777777" w:rsidR="00043668" w:rsidRPr="009C5364" w:rsidRDefault="00043668" w:rsidP="00043668">
            <w:pPr>
              <w:jc w:val="both"/>
            </w:pPr>
            <w:r w:rsidRPr="009C5364">
              <w:t>100</w:t>
            </w:r>
          </w:p>
        </w:tc>
        <w:tc>
          <w:tcPr>
            <w:tcW w:w="1170" w:type="dxa"/>
          </w:tcPr>
          <w:p w14:paraId="45D7659B" w14:textId="77777777" w:rsidR="00043668" w:rsidRPr="009C5364" w:rsidRDefault="00043668" w:rsidP="00043668">
            <w:pPr>
              <w:jc w:val="both"/>
            </w:pPr>
            <w:r w:rsidRPr="009C5364">
              <w:t>-</w:t>
            </w:r>
          </w:p>
        </w:tc>
        <w:tc>
          <w:tcPr>
            <w:tcW w:w="2346" w:type="dxa"/>
          </w:tcPr>
          <w:p w14:paraId="7361B616" w14:textId="77777777" w:rsidR="00043668" w:rsidRPr="009C5364" w:rsidRDefault="00043668" w:rsidP="00043668">
            <w:pPr>
              <w:jc w:val="both"/>
            </w:pPr>
            <w:r w:rsidRPr="009C5364">
              <w:t>Studied all ongoing buildings</w:t>
            </w:r>
          </w:p>
        </w:tc>
      </w:tr>
      <w:tr w:rsidR="00043668" w:rsidRPr="009C5364" w14:paraId="008849AD" w14:textId="77777777" w:rsidTr="00043668">
        <w:trPr>
          <w:trHeight w:val="464"/>
        </w:trPr>
        <w:tc>
          <w:tcPr>
            <w:tcW w:w="720" w:type="dxa"/>
          </w:tcPr>
          <w:p w14:paraId="5C3641C3" w14:textId="77777777" w:rsidR="00043668" w:rsidRPr="009C5364" w:rsidRDefault="00043668" w:rsidP="00043668">
            <w:pPr>
              <w:jc w:val="both"/>
              <w:rPr>
                <w:b/>
              </w:rPr>
            </w:pPr>
            <w:r w:rsidRPr="009C5364">
              <w:rPr>
                <w:b/>
              </w:rPr>
              <w:t>4</w:t>
            </w:r>
          </w:p>
        </w:tc>
        <w:tc>
          <w:tcPr>
            <w:tcW w:w="2869" w:type="dxa"/>
          </w:tcPr>
          <w:p w14:paraId="2885AC75" w14:textId="77777777" w:rsidR="00043668" w:rsidRPr="009C5364" w:rsidRDefault="00043668" w:rsidP="00043668">
            <w:pPr>
              <w:jc w:val="both"/>
              <w:rPr>
                <w:b/>
              </w:rPr>
            </w:pPr>
            <w:r w:rsidRPr="009C5364">
              <w:rPr>
                <w:b/>
              </w:rPr>
              <w:t>Beam Size and Position</w:t>
            </w:r>
          </w:p>
        </w:tc>
        <w:tc>
          <w:tcPr>
            <w:tcW w:w="911" w:type="dxa"/>
          </w:tcPr>
          <w:p w14:paraId="2B35DD72" w14:textId="77777777" w:rsidR="00043668" w:rsidRPr="009C5364" w:rsidRDefault="00043668" w:rsidP="00043668">
            <w:pPr>
              <w:jc w:val="both"/>
            </w:pPr>
          </w:p>
        </w:tc>
        <w:tc>
          <w:tcPr>
            <w:tcW w:w="1170" w:type="dxa"/>
          </w:tcPr>
          <w:p w14:paraId="4C7D2931" w14:textId="77777777" w:rsidR="00043668" w:rsidRPr="009C5364" w:rsidRDefault="00043668" w:rsidP="00043668">
            <w:pPr>
              <w:jc w:val="both"/>
            </w:pPr>
          </w:p>
        </w:tc>
        <w:tc>
          <w:tcPr>
            <w:tcW w:w="900" w:type="dxa"/>
          </w:tcPr>
          <w:p w14:paraId="78A22147" w14:textId="77777777" w:rsidR="00043668" w:rsidRPr="009C5364" w:rsidRDefault="00043668" w:rsidP="00043668">
            <w:pPr>
              <w:jc w:val="both"/>
            </w:pPr>
          </w:p>
        </w:tc>
        <w:tc>
          <w:tcPr>
            <w:tcW w:w="1170" w:type="dxa"/>
          </w:tcPr>
          <w:p w14:paraId="7EE390E2" w14:textId="77777777" w:rsidR="00043668" w:rsidRPr="009C5364" w:rsidRDefault="00043668" w:rsidP="00043668">
            <w:pPr>
              <w:jc w:val="both"/>
            </w:pPr>
          </w:p>
        </w:tc>
        <w:tc>
          <w:tcPr>
            <w:tcW w:w="2346" w:type="dxa"/>
          </w:tcPr>
          <w:p w14:paraId="7B3A241C" w14:textId="77777777" w:rsidR="00043668" w:rsidRPr="009C5364" w:rsidRDefault="00043668" w:rsidP="00043668">
            <w:pPr>
              <w:jc w:val="both"/>
            </w:pPr>
          </w:p>
        </w:tc>
      </w:tr>
      <w:tr w:rsidR="00043668" w:rsidRPr="009C5364" w14:paraId="793228DC" w14:textId="77777777" w:rsidTr="00043668">
        <w:trPr>
          <w:trHeight w:val="464"/>
        </w:trPr>
        <w:tc>
          <w:tcPr>
            <w:tcW w:w="720" w:type="dxa"/>
          </w:tcPr>
          <w:p w14:paraId="077F1CEF" w14:textId="77777777" w:rsidR="00043668" w:rsidRPr="009C5364" w:rsidRDefault="00043668" w:rsidP="00043668">
            <w:pPr>
              <w:jc w:val="both"/>
            </w:pPr>
            <w:r w:rsidRPr="009C5364">
              <w:t>a</w:t>
            </w:r>
          </w:p>
        </w:tc>
        <w:tc>
          <w:tcPr>
            <w:tcW w:w="2869" w:type="dxa"/>
          </w:tcPr>
          <w:p w14:paraId="3285C150" w14:textId="77777777" w:rsidR="00043668" w:rsidRPr="009C5364" w:rsidRDefault="00043668" w:rsidP="00043668">
            <w:pPr>
              <w:jc w:val="both"/>
            </w:pPr>
            <w:r w:rsidRPr="009C5364">
              <w:t>Tie beam</w:t>
            </w:r>
          </w:p>
        </w:tc>
        <w:tc>
          <w:tcPr>
            <w:tcW w:w="911" w:type="dxa"/>
          </w:tcPr>
          <w:p w14:paraId="5055D9CA" w14:textId="77777777" w:rsidR="00043668" w:rsidRPr="009C5364" w:rsidRDefault="00043668" w:rsidP="00043668">
            <w:pPr>
              <w:jc w:val="both"/>
            </w:pPr>
          </w:p>
        </w:tc>
        <w:tc>
          <w:tcPr>
            <w:tcW w:w="1170" w:type="dxa"/>
          </w:tcPr>
          <w:p w14:paraId="0890F3AA" w14:textId="77777777" w:rsidR="00043668" w:rsidRPr="009C5364" w:rsidRDefault="00043668" w:rsidP="00043668">
            <w:pPr>
              <w:jc w:val="both"/>
            </w:pPr>
          </w:p>
        </w:tc>
        <w:tc>
          <w:tcPr>
            <w:tcW w:w="900" w:type="dxa"/>
          </w:tcPr>
          <w:p w14:paraId="3BE07150" w14:textId="77777777" w:rsidR="00043668" w:rsidRPr="009C5364" w:rsidRDefault="00043668" w:rsidP="00043668">
            <w:pPr>
              <w:jc w:val="both"/>
            </w:pPr>
          </w:p>
        </w:tc>
        <w:tc>
          <w:tcPr>
            <w:tcW w:w="1170" w:type="dxa"/>
          </w:tcPr>
          <w:p w14:paraId="2C67D884" w14:textId="77777777" w:rsidR="00043668" w:rsidRPr="009C5364" w:rsidRDefault="00043668" w:rsidP="00043668">
            <w:pPr>
              <w:jc w:val="both"/>
            </w:pPr>
          </w:p>
        </w:tc>
        <w:tc>
          <w:tcPr>
            <w:tcW w:w="2346" w:type="dxa"/>
          </w:tcPr>
          <w:p w14:paraId="26E9FA40" w14:textId="77777777" w:rsidR="00043668" w:rsidRPr="009C5364" w:rsidRDefault="00043668" w:rsidP="00043668">
            <w:pPr>
              <w:jc w:val="both"/>
            </w:pPr>
          </w:p>
        </w:tc>
      </w:tr>
      <w:tr w:rsidR="00043668" w:rsidRPr="009C5364" w14:paraId="5C421085" w14:textId="77777777" w:rsidTr="00043668">
        <w:trPr>
          <w:trHeight w:val="464"/>
        </w:trPr>
        <w:tc>
          <w:tcPr>
            <w:tcW w:w="720" w:type="dxa"/>
          </w:tcPr>
          <w:p w14:paraId="1456884B" w14:textId="77777777" w:rsidR="00043668" w:rsidRPr="009C5364" w:rsidRDefault="00043668" w:rsidP="00043668">
            <w:pPr>
              <w:jc w:val="both"/>
            </w:pPr>
            <w:r w:rsidRPr="009C5364">
              <w:t>b</w:t>
            </w:r>
          </w:p>
        </w:tc>
        <w:tc>
          <w:tcPr>
            <w:tcW w:w="2869" w:type="dxa"/>
          </w:tcPr>
          <w:p w14:paraId="56B76F33" w14:textId="77777777" w:rsidR="00043668" w:rsidRPr="009C5364" w:rsidRDefault="00043668" w:rsidP="00043668">
            <w:pPr>
              <w:jc w:val="both"/>
            </w:pPr>
            <w:r w:rsidRPr="009C5364">
              <w:t>Plinth Beam</w:t>
            </w:r>
          </w:p>
        </w:tc>
        <w:tc>
          <w:tcPr>
            <w:tcW w:w="911" w:type="dxa"/>
          </w:tcPr>
          <w:p w14:paraId="5631DC15" w14:textId="77777777" w:rsidR="00043668" w:rsidRPr="009C5364" w:rsidRDefault="00043668" w:rsidP="00043668">
            <w:pPr>
              <w:jc w:val="both"/>
            </w:pPr>
            <w:r w:rsidRPr="009C5364">
              <w:t>8</w:t>
            </w:r>
          </w:p>
        </w:tc>
        <w:tc>
          <w:tcPr>
            <w:tcW w:w="1170" w:type="dxa"/>
          </w:tcPr>
          <w:p w14:paraId="51D4E253" w14:textId="77777777" w:rsidR="00043668" w:rsidRPr="009C5364" w:rsidRDefault="00043668" w:rsidP="00043668">
            <w:pPr>
              <w:jc w:val="both"/>
            </w:pPr>
            <w:r w:rsidRPr="009C5364">
              <w:t>5</w:t>
            </w:r>
          </w:p>
        </w:tc>
        <w:tc>
          <w:tcPr>
            <w:tcW w:w="900" w:type="dxa"/>
          </w:tcPr>
          <w:p w14:paraId="6EFB7C0A" w14:textId="77777777" w:rsidR="00043668" w:rsidRPr="009C5364" w:rsidRDefault="00043668" w:rsidP="00043668">
            <w:pPr>
              <w:jc w:val="both"/>
            </w:pPr>
            <w:r w:rsidRPr="009C5364">
              <w:t>61.5</w:t>
            </w:r>
          </w:p>
        </w:tc>
        <w:tc>
          <w:tcPr>
            <w:tcW w:w="1170" w:type="dxa"/>
          </w:tcPr>
          <w:p w14:paraId="40D28F6F" w14:textId="77777777" w:rsidR="00043668" w:rsidRPr="009C5364" w:rsidRDefault="00043668" w:rsidP="00043668">
            <w:pPr>
              <w:jc w:val="both"/>
            </w:pPr>
            <w:r w:rsidRPr="009C5364">
              <w:t>38.5</w:t>
            </w:r>
          </w:p>
        </w:tc>
        <w:tc>
          <w:tcPr>
            <w:tcW w:w="2346" w:type="dxa"/>
          </w:tcPr>
          <w:p w14:paraId="68D55C47" w14:textId="77777777" w:rsidR="00043668" w:rsidRPr="009C5364" w:rsidRDefault="00043668" w:rsidP="00043668">
            <w:pPr>
              <w:jc w:val="both"/>
            </w:pPr>
            <w:r w:rsidRPr="009C5364">
              <w:t>Studied buildings constructed up to the Plinth level.</w:t>
            </w:r>
          </w:p>
        </w:tc>
      </w:tr>
      <w:tr w:rsidR="00043668" w:rsidRPr="009C5364" w14:paraId="56346BF3" w14:textId="77777777" w:rsidTr="00043668">
        <w:trPr>
          <w:trHeight w:val="464"/>
        </w:trPr>
        <w:tc>
          <w:tcPr>
            <w:tcW w:w="720" w:type="dxa"/>
          </w:tcPr>
          <w:p w14:paraId="6D809A67" w14:textId="77777777" w:rsidR="00043668" w:rsidRPr="009C5364" w:rsidRDefault="00043668" w:rsidP="00043668">
            <w:pPr>
              <w:jc w:val="both"/>
            </w:pPr>
            <w:r w:rsidRPr="009C5364">
              <w:t>c</w:t>
            </w:r>
          </w:p>
        </w:tc>
        <w:tc>
          <w:tcPr>
            <w:tcW w:w="2869" w:type="dxa"/>
          </w:tcPr>
          <w:p w14:paraId="79B04452" w14:textId="77777777" w:rsidR="00043668" w:rsidRPr="009C5364" w:rsidRDefault="00043668" w:rsidP="00043668">
            <w:pPr>
              <w:jc w:val="both"/>
            </w:pPr>
            <w:r w:rsidRPr="009C5364">
              <w:t>Floor Beam</w:t>
            </w:r>
          </w:p>
        </w:tc>
        <w:tc>
          <w:tcPr>
            <w:tcW w:w="911" w:type="dxa"/>
          </w:tcPr>
          <w:p w14:paraId="7A39F4FF" w14:textId="77777777" w:rsidR="00043668" w:rsidRPr="009C5364" w:rsidRDefault="00043668" w:rsidP="00043668">
            <w:pPr>
              <w:jc w:val="both"/>
            </w:pPr>
            <w:r w:rsidRPr="009C5364">
              <w:t>47</w:t>
            </w:r>
          </w:p>
        </w:tc>
        <w:tc>
          <w:tcPr>
            <w:tcW w:w="1170" w:type="dxa"/>
          </w:tcPr>
          <w:p w14:paraId="1C78DA8B" w14:textId="77777777" w:rsidR="00043668" w:rsidRPr="009C5364" w:rsidRDefault="00043668" w:rsidP="00043668">
            <w:pPr>
              <w:jc w:val="both"/>
            </w:pPr>
            <w:r w:rsidRPr="009C5364">
              <w:t>5</w:t>
            </w:r>
          </w:p>
        </w:tc>
        <w:tc>
          <w:tcPr>
            <w:tcW w:w="900" w:type="dxa"/>
          </w:tcPr>
          <w:p w14:paraId="6364BC5E" w14:textId="77777777" w:rsidR="00043668" w:rsidRPr="009C5364" w:rsidRDefault="00043668" w:rsidP="00043668">
            <w:pPr>
              <w:jc w:val="both"/>
            </w:pPr>
            <w:r w:rsidRPr="009C5364">
              <w:t>90.38</w:t>
            </w:r>
          </w:p>
        </w:tc>
        <w:tc>
          <w:tcPr>
            <w:tcW w:w="1170" w:type="dxa"/>
          </w:tcPr>
          <w:p w14:paraId="2A9B52FE" w14:textId="77777777" w:rsidR="00043668" w:rsidRPr="009C5364" w:rsidRDefault="00043668" w:rsidP="00043668">
            <w:pPr>
              <w:jc w:val="both"/>
            </w:pPr>
            <w:r w:rsidRPr="009C5364">
              <w:t>9.62</w:t>
            </w:r>
          </w:p>
        </w:tc>
        <w:tc>
          <w:tcPr>
            <w:tcW w:w="2346" w:type="dxa"/>
          </w:tcPr>
          <w:p w14:paraId="23CBA2E2" w14:textId="77777777" w:rsidR="00043668" w:rsidRPr="009C5364" w:rsidRDefault="00043668" w:rsidP="00043668">
            <w:pPr>
              <w:jc w:val="both"/>
            </w:pPr>
            <w:r w:rsidRPr="009C5364">
              <w:t>Studied on 1</w:t>
            </w:r>
            <w:r w:rsidRPr="009C5364">
              <w:rPr>
                <w:vertAlign w:val="superscript"/>
              </w:rPr>
              <w:t>st</w:t>
            </w:r>
            <w:r w:rsidRPr="009C5364">
              <w:t>, 2</w:t>
            </w:r>
            <w:r w:rsidRPr="009C5364">
              <w:rPr>
                <w:vertAlign w:val="superscript"/>
              </w:rPr>
              <w:t>nd</w:t>
            </w:r>
            <w:r w:rsidRPr="009C5364">
              <w:t xml:space="preserve"> and completion buildings</w:t>
            </w:r>
          </w:p>
        </w:tc>
      </w:tr>
      <w:tr w:rsidR="00043668" w:rsidRPr="009C5364" w14:paraId="2C0BC97E" w14:textId="77777777" w:rsidTr="00043668">
        <w:trPr>
          <w:trHeight w:val="464"/>
        </w:trPr>
        <w:tc>
          <w:tcPr>
            <w:tcW w:w="720" w:type="dxa"/>
          </w:tcPr>
          <w:p w14:paraId="341E3DCB" w14:textId="77777777" w:rsidR="00043668" w:rsidRPr="009C5364" w:rsidRDefault="00043668" w:rsidP="00043668">
            <w:pPr>
              <w:jc w:val="both"/>
              <w:rPr>
                <w:b/>
              </w:rPr>
            </w:pPr>
            <w:r w:rsidRPr="009C5364">
              <w:rPr>
                <w:b/>
              </w:rPr>
              <w:t>5</w:t>
            </w:r>
          </w:p>
        </w:tc>
        <w:tc>
          <w:tcPr>
            <w:tcW w:w="2869" w:type="dxa"/>
          </w:tcPr>
          <w:p w14:paraId="07355989" w14:textId="77777777" w:rsidR="00043668" w:rsidRPr="009C5364" w:rsidRDefault="00043668" w:rsidP="00043668">
            <w:pPr>
              <w:jc w:val="both"/>
              <w:rPr>
                <w:b/>
              </w:rPr>
            </w:pPr>
            <w:r w:rsidRPr="009C5364">
              <w:rPr>
                <w:b/>
              </w:rPr>
              <w:t>Slab Thickness</w:t>
            </w:r>
          </w:p>
        </w:tc>
        <w:tc>
          <w:tcPr>
            <w:tcW w:w="911" w:type="dxa"/>
          </w:tcPr>
          <w:p w14:paraId="24B88682" w14:textId="77777777" w:rsidR="00043668" w:rsidRPr="009C5364" w:rsidRDefault="00043668" w:rsidP="00043668">
            <w:pPr>
              <w:jc w:val="both"/>
            </w:pPr>
          </w:p>
        </w:tc>
        <w:tc>
          <w:tcPr>
            <w:tcW w:w="1170" w:type="dxa"/>
          </w:tcPr>
          <w:p w14:paraId="560CE35F" w14:textId="77777777" w:rsidR="00043668" w:rsidRPr="009C5364" w:rsidRDefault="00043668" w:rsidP="00043668">
            <w:pPr>
              <w:jc w:val="both"/>
            </w:pPr>
          </w:p>
        </w:tc>
        <w:tc>
          <w:tcPr>
            <w:tcW w:w="900" w:type="dxa"/>
          </w:tcPr>
          <w:p w14:paraId="477B8B8D" w14:textId="77777777" w:rsidR="00043668" w:rsidRPr="009C5364" w:rsidRDefault="00043668" w:rsidP="00043668">
            <w:pPr>
              <w:jc w:val="both"/>
            </w:pPr>
          </w:p>
        </w:tc>
        <w:tc>
          <w:tcPr>
            <w:tcW w:w="1170" w:type="dxa"/>
          </w:tcPr>
          <w:p w14:paraId="69A58A78" w14:textId="77777777" w:rsidR="00043668" w:rsidRPr="009C5364" w:rsidRDefault="00043668" w:rsidP="00043668">
            <w:pPr>
              <w:jc w:val="both"/>
            </w:pPr>
          </w:p>
        </w:tc>
        <w:tc>
          <w:tcPr>
            <w:tcW w:w="2346" w:type="dxa"/>
          </w:tcPr>
          <w:p w14:paraId="0EBE0D2A" w14:textId="77777777" w:rsidR="00043668" w:rsidRPr="009C5364" w:rsidRDefault="00043668" w:rsidP="00043668">
            <w:pPr>
              <w:jc w:val="both"/>
            </w:pPr>
          </w:p>
        </w:tc>
      </w:tr>
      <w:tr w:rsidR="00043668" w:rsidRPr="009C5364" w14:paraId="36CCAFBF" w14:textId="77777777" w:rsidTr="00043668">
        <w:trPr>
          <w:trHeight w:val="464"/>
        </w:trPr>
        <w:tc>
          <w:tcPr>
            <w:tcW w:w="720" w:type="dxa"/>
          </w:tcPr>
          <w:p w14:paraId="5B3DBA51" w14:textId="77777777" w:rsidR="00043668" w:rsidRPr="009C5364" w:rsidRDefault="00043668" w:rsidP="00043668">
            <w:pPr>
              <w:jc w:val="both"/>
            </w:pPr>
            <w:r w:rsidRPr="009C5364">
              <w:lastRenderedPageBreak/>
              <w:t>a</w:t>
            </w:r>
          </w:p>
        </w:tc>
        <w:tc>
          <w:tcPr>
            <w:tcW w:w="2869" w:type="dxa"/>
          </w:tcPr>
          <w:p w14:paraId="6A21A391" w14:textId="77777777" w:rsidR="00043668" w:rsidRPr="009C5364" w:rsidRDefault="00043668" w:rsidP="00043668">
            <w:pPr>
              <w:jc w:val="both"/>
            </w:pPr>
            <w:r w:rsidRPr="009C5364">
              <w:t>Floor Slab</w:t>
            </w:r>
          </w:p>
        </w:tc>
        <w:tc>
          <w:tcPr>
            <w:tcW w:w="911" w:type="dxa"/>
          </w:tcPr>
          <w:p w14:paraId="278CF254" w14:textId="77777777" w:rsidR="00043668" w:rsidRPr="009C5364" w:rsidRDefault="00043668" w:rsidP="00043668">
            <w:pPr>
              <w:jc w:val="both"/>
            </w:pPr>
            <w:r w:rsidRPr="009C5364">
              <w:t>51</w:t>
            </w:r>
          </w:p>
        </w:tc>
        <w:tc>
          <w:tcPr>
            <w:tcW w:w="1170" w:type="dxa"/>
          </w:tcPr>
          <w:p w14:paraId="653955A2" w14:textId="77777777" w:rsidR="00043668" w:rsidRPr="009C5364" w:rsidRDefault="00043668" w:rsidP="00043668">
            <w:pPr>
              <w:jc w:val="both"/>
            </w:pPr>
            <w:r w:rsidRPr="009C5364">
              <w:t>1</w:t>
            </w:r>
          </w:p>
        </w:tc>
        <w:tc>
          <w:tcPr>
            <w:tcW w:w="900" w:type="dxa"/>
          </w:tcPr>
          <w:p w14:paraId="63970EE0" w14:textId="77777777" w:rsidR="00043668" w:rsidRPr="009C5364" w:rsidRDefault="00043668" w:rsidP="00043668">
            <w:pPr>
              <w:jc w:val="both"/>
            </w:pPr>
            <w:r w:rsidRPr="009C5364">
              <w:t>98.07</w:t>
            </w:r>
          </w:p>
        </w:tc>
        <w:tc>
          <w:tcPr>
            <w:tcW w:w="1170" w:type="dxa"/>
          </w:tcPr>
          <w:p w14:paraId="35229E36" w14:textId="77777777" w:rsidR="00043668" w:rsidRPr="009C5364" w:rsidRDefault="00043668" w:rsidP="00043668">
            <w:pPr>
              <w:jc w:val="both"/>
            </w:pPr>
            <w:r w:rsidRPr="009C5364">
              <w:t>1.93</w:t>
            </w:r>
          </w:p>
        </w:tc>
        <w:tc>
          <w:tcPr>
            <w:tcW w:w="2346" w:type="dxa"/>
          </w:tcPr>
          <w:p w14:paraId="0C1C5A9B" w14:textId="77777777" w:rsidR="00043668" w:rsidRPr="009C5364" w:rsidRDefault="00043668" w:rsidP="00043668">
            <w:pPr>
              <w:jc w:val="both"/>
            </w:pPr>
            <w:r w:rsidRPr="009C5364">
              <w:t>Studied on 1</w:t>
            </w:r>
            <w:r w:rsidRPr="009C5364">
              <w:rPr>
                <w:vertAlign w:val="superscript"/>
              </w:rPr>
              <w:t>st</w:t>
            </w:r>
            <w:r w:rsidRPr="009C5364">
              <w:t>, 2</w:t>
            </w:r>
            <w:r w:rsidRPr="009C5364">
              <w:rPr>
                <w:vertAlign w:val="superscript"/>
              </w:rPr>
              <w:t>nd</w:t>
            </w:r>
            <w:r w:rsidRPr="009C5364">
              <w:t xml:space="preserve"> and completion buildings</w:t>
            </w:r>
          </w:p>
        </w:tc>
      </w:tr>
      <w:tr w:rsidR="00043668" w:rsidRPr="009C5364" w14:paraId="22FF76AA" w14:textId="77777777" w:rsidTr="00043668">
        <w:trPr>
          <w:trHeight w:val="464"/>
        </w:trPr>
        <w:tc>
          <w:tcPr>
            <w:tcW w:w="720" w:type="dxa"/>
          </w:tcPr>
          <w:p w14:paraId="657EF825" w14:textId="77777777" w:rsidR="00043668" w:rsidRPr="009C5364" w:rsidRDefault="00043668" w:rsidP="00043668">
            <w:pPr>
              <w:jc w:val="both"/>
            </w:pPr>
            <w:r w:rsidRPr="009C5364">
              <w:t>b</w:t>
            </w:r>
          </w:p>
        </w:tc>
        <w:tc>
          <w:tcPr>
            <w:tcW w:w="2869" w:type="dxa"/>
          </w:tcPr>
          <w:p w14:paraId="53028167" w14:textId="77777777" w:rsidR="00043668" w:rsidRPr="009C5364" w:rsidRDefault="00043668" w:rsidP="00043668">
            <w:pPr>
              <w:jc w:val="both"/>
            </w:pPr>
            <w:r w:rsidRPr="009C5364">
              <w:t>Staircase Slab</w:t>
            </w:r>
          </w:p>
        </w:tc>
        <w:tc>
          <w:tcPr>
            <w:tcW w:w="911" w:type="dxa"/>
          </w:tcPr>
          <w:p w14:paraId="222B1DB8" w14:textId="77777777" w:rsidR="00043668" w:rsidRPr="009C5364" w:rsidRDefault="00043668" w:rsidP="00043668">
            <w:pPr>
              <w:jc w:val="both"/>
            </w:pPr>
            <w:r w:rsidRPr="009C5364">
              <w:t>44</w:t>
            </w:r>
          </w:p>
        </w:tc>
        <w:tc>
          <w:tcPr>
            <w:tcW w:w="1170" w:type="dxa"/>
          </w:tcPr>
          <w:p w14:paraId="6B1FD264" w14:textId="77777777" w:rsidR="00043668" w:rsidRPr="009C5364" w:rsidRDefault="00043668" w:rsidP="00043668">
            <w:pPr>
              <w:jc w:val="both"/>
            </w:pPr>
            <w:r w:rsidRPr="009C5364">
              <w:t>8</w:t>
            </w:r>
          </w:p>
        </w:tc>
        <w:tc>
          <w:tcPr>
            <w:tcW w:w="900" w:type="dxa"/>
          </w:tcPr>
          <w:p w14:paraId="3ED72929" w14:textId="77777777" w:rsidR="00043668" w:rsidRPr="009C5364" w:rsidRDefault="00043668" w:rsidP="00043668">
            <w:pPr>
              <w:jc w:val="both"/>
            </w:pPr>
            <w:r w:rsidRPr="009C5364">
              <w:t>84.61</w:t>
            </w:r>
          </w:p>
        </w:tc>
        <w:tc>
          <w:tcPr>
            <w:tcW w:w="1170" w:type="dxa"/>
          </w:tcPr>
          <w:p w14:paraId="5F52D3D9" w14:textId="77777777" w:rsidR="00043668" w:rsidRPr="009C5364" w:rsidRDefault="00043668" w:rsidP="00043668">
            <w:pPr>
              <w:jc w:val="both"/>
            </w:pPr>
            <w:r w:rsidRPr="009C5364">
              <w:t>15.39</w:t>
            </w:r>
          </w:p>
        </w:tc>
        <w:tc>
          <w:tcPr>
            <w:tcW w:w="2346" w:type="dxa"/>
          </w:tcPr>
          <w:p w14:paraId="07961064" w14:textId="77777777" w:rsidR="00043668" w:rsidRPr="009C5364" w:rsidRDefault="00043668" w:rsidP="00043668">
            <w:pPr>
              <w:jc w:val="both"/>
            </w:pPr>
            <w:r w:rsidRPr="009C5364">
              <w:t>Studied on 1</w:t>
            </w:r>
            <w:r w:rsidRPr="009C5364">
              <w:rPr>
                <w:vertAlign w:val="superscript"/>
              </w:rPr>
              <w:t>st</w:t>
            </w:r>
            <w:r w:rsidRPr="009C5364">
              <w:t>, 2</w:t>
            </w:r>
            <w:r w:rsidRPr="009C5364">
              <w:rPr>
                <w:vertAlign w:val="superscript"/>
              </w:rPr>
              <w:t>nd</w:t>
            </w:r>
            <w:r w:rsidRPr="009C5364">
              <w:t xml:space="preserve"> and completion buildings</w:t>
            </w:r>
          </w:p>
        </w:tc>
      </w:tr>
      <w:tr w:rsidR="00043668" w:rsidRPr="009C5364" w14:paraId="48E871A5" w14:textId="77777777" w:rsidTr="00043668">
        <w:trPr>
          <w:trHeight w:val="464"/>
        </w:trPr>
        <w:tc>
          <w:tcPr>
            <w:tcW w:w="720" w:type="dxa"/>
          </w:tcPr>
          <w:p w14:paraId="3D782349" w14:textId="77777777" w:rsidR="00043668" w:rsidRPr="009C5364" w:rsidRDefault="00043668" w:rsidP="00043668">
            <w:pPr>
              <w:jc w:val="both"/>
              <w:rPr>
                <w:b/>
              </w:rPr>
            </w:pPr>
            <w:r w:rsidRPr="009C5364">
              <w:rPr>
                <w:b/>
              </w:rPr>
              <w:t>6</w:t>
            </w:r>
          </w:p>
        </w:tc>
        <w:tc>
          <w:tcPr>
            <w:tcW w:w="2869" w:type="dxa"/>
          </w:tcPr>
          <w:p w14:paraId="44EE84F5" w14:textId="77777777" w:rsidR="00043668" w:rsidRPr="009C5364" w:rsidRDefault="00043668" w:rsidP="00043668">
            <w:pPr>
              <w:jc w:val="both"/>
              <w:rPr>
                <w:b/>
              </w:rPr>
            </w:pPr>
            <w:r w:rsidRPr="009C5364">
              <w:rPr>
                <w:b/>
              </w:rPr>
              <w:t>Mix Proportion</w:t>
            </w:r>
          </w:p>
        </w:tc>
        <w:tc>
          <w:tcPr>
            <w:tcW w:w="911" w:type="dxa"/>
          </w:tcPr>
          <w:p w14:paraId="0D6F71E4" w14:textId="77777777" w:rsidR="00043668" w:rsidRPr="009C5364" w:rsidRDefault="00043668" w:rsidP="00043668">
            <w:pPr>
              <w:jc w:val="both"/>
            </w:pPr>
            <w:r w:rsidRPr="009C5364">
              <w:t>10</w:t>
            </w:r>
          </w:p>
        </w:tc>
        <w:tc>
          <w:tcPr>
            <w:tcW w:w="1170" w:type="dxa"/>
          </w:tcPr>
          <w:p w14:paraId="0770E4DD" w14:textId="77777777" w:rsidR="00043668" w:rsidRPr="009C5364" w:rsidRDefault="00043668" w:rsidP="00043668">
            <w:pPr>
              <w:jc w:val="both"/>
            </w:pPr>
            <w:r w:rsidRPr="009C5364">
              <w:t>31</w:t>
            </w:r>
          </w:p>
        </w:tc>
        <w:tc>
          <w:tcPr>
            <w:tcW w:w="900" w:type="dxa"/>
          </w:tcPr>
          <w:p w14:paraId="1108AC22" w14:textId="77777777" w:rsidR="00043668" w:rsidRPr="009C5364" w:rsidRDefault="00043668" w:rsidP="00043668">
            <w:pPr>
              <w:jc w:val="both"/>
            </w:pPr>
            <w:r w:rsidRPr="009C5364">
              <w:t>24.39</w:t>
            </w:r>
          </w:p>
        </w:tc>
        <w:tc>
          <w:tcPr>
            <w:tcW w:w="1170" w:type="dxa"/>
          </w:tcPr>
          <w:p w14:paraId="14C05086" w14:textId="77777777" w:rsidR="00043668" w:rsidRPr="009C5364" w:rsidRDefault="00043668" w:rsidP="00043668">
            <w:pPr>
              <w:jc w:val="both"/>
            </w:pPr>
            <w:r w:rsidRPr="009C5364">
              <w:t>75.61</w:t>
            </w:r>
          </w:p>
        </w:tc>
        <w:tc>
          <w:tcPr>
            <w:tcW w:w="2346" w:type="dxa"/>
          </w:tcPr>
          <w:p w14:paraId="30DDD2B0" w14:textId="77777777" w:rsidR="00043668" w:rsidRPr="009C5364" w:rsidRDefault="00043668" w:rsidP="00043668">
            <w:pPr>
              <w:jc w:val="both"/>
            </w:pPr>
            <w:r w:rsidRPr="009C5364">
              <w:t>Studied buildings except for the completion stage</w:t>
            </w:r>
          </w:p>
        </w:tc>
      </w:tr>
      <w:tr w:rsidR="00043668" w:rsidRPr="009C5364" w14:paraId="58D35180" w14:textId="77777777" w:rsidTr="00043668">
        <w:trPr>
          <w:trHeight w:val="464"/>
        </w:trPr>
        <w:tc>
          <w:tcPr>
            <w:tcW w:w="720" w:type="dxa"/>
          </w:tcPr>
          <w:p w14:paraId="185C9A44" w14:textId="77777777" w:rsidR="00043668" w:rsidRPr="009C5364" w:rsidRDefault="00043668" w:rsidP="00043668">
            <w:pPr>
              <w:jc w:val="both"/>
              <w:rPr>
                <w:b/>
              </w:rPr>
            </w:pPr>
            <w:r w:rsidRPr="009C5364">
              <w:rPr>
                <w:b/>
              </w:rPr>
              <w:t>7</w:t>
            </w:r>
          </w:p>
        </w:tc>
        <w:tc>
          <w:tcPr>
            <w:tcW w:w="2869" w:type="dxa"/>
          </w:tcPr>
          <w:p w14:paraId="3396D595" w14:textId="77777777" w:rsidR="00043668" w:rsidRPr="009C5364" w:rsidRDefault="00043668" w:rsidP="00043668">
            <w:pPr>
              <w:jc w:val="both"/>
              <w:rPr>
                <w:b/>
              </w:rPr>
            </w:pPr>
            <w:r w:rsidRPr="009C5364">
              <w:rPr>
                <w:b/>
              </w:rPr>
              <w:t>Reinforcement detailing</w:t>
            </w:r>
          </w:p>
        </w:tc>
        <w:tc>
          <w:tcPr>
            <w:tcW w:w="911" w:type="dxa"/>
          </w:tcPr>
          <w:p w14:paraId="3C8C756B" w14:textId="77777777" w:rsidR="00043668" w:rsidRPr="009C5364" w:rsidRDefault="00043668" w:rsidP="00043668">
            <w:pPr>
              <w:jc w:val="both"/>
            </w:pPr>
          </w:p>
        </w:tc>
        <w:tc>
          <w:tcPr>
            <w:tcW w:w="1170" w:type="dxa"/>
          </w:tcPr>
          <w:p w14:paraId="73815DDD" w14:textId="77777777" w:rsidR="00043668" w:rsidRPr="009C5364" w:rsidRDefault="00043668" w:rsidP="00043668">
            <w:pPr>
              <w:jc w:val="both"/>
            </w:pPr>
          </w:p>
        </w:tc>
        <w:tc>
          <w:tcPr>
            <w:tcW w:w="900" w:type="dxa"/>
          </w:tcPr>
          <w:p w14:paraId="44FAD8E0" w14:textId="77777777" w:rsidR="00043668" w:rsidRPr="009C5364" w:rsidRDefault="00043668" w:rsidP="00043668">
            <w:pPr>
              <w:jc w:val="both"/>
            </w:pPr>
          </w:p>
        </w:tc>
        <w:tc>
          <w:tcPr>
            <w:tcW w:w="1170" w:type="dxa"/>
          </w:tcPr>
          <w:p w14:paraId="665EF14C" w14:textId="77777777" w:rsidR="00043668" w:rsidRPr="009C5364" w:rsidRDefault="00043668" w:rsidP="00043668">
            <w:pPr>
              <w:jc w:val="both"/>
            </w:pPr>
          </w:p>
        </w:tc>
        <w:tc>
          <w:tcPr>
            <w:tcW w:w="2346" w:type="dxa"/>
          </w:tcPr>
          <w:p w14:paraId="635BEE56" w14:textId="77777777" w:rsidR="00043668" w:rsidRPr="009C5364" w:rsidRDefault="00043668" w:rsidP="00043668">
            <w:pPr>
              <w:jc w:val="both"/>
            </w:pPr>
          </w:p>
        </w:tc>
      </w:tr>
      <w:tr w:rsidR="00043668" w:rsidRPr="009C5364" w14:paraId="6E990EB2" w14:textId="77777777" w:rsidTr="00043668">
        <w:trPr>
          <w:trHeight w:val="464"/>
        </w:trPr>
        <w:tc>
          <w:tcPr>
            <w:tcW w:w="720" w:type="dxa"/>
          </w:tcPr>
          <w:p w14:paraId="3DEA89CB" w14:textId="77777777" w:rsidR="00043668" w:rsidRPr="009C5364" w:rsidRDefault="00043668" w:rsidP="00043668">
            <w:pPr>
              <w:jc w:val="both"/>
            </w:pPr>
            <w:r w:rsidRPr="009C5364">
              <w:t>a</w:t>
            </w:r>
          </w:p>
        </w:tc>
        <w:tc>
          <w:tcPr>
            <w:tcW w:w="2869" w:type="dxa"/>
          </w:tcPr>
          <w:p w14:paraId="69B518F8" w14:textId="77777777" w:rsidR="00043668" w:rsidRPr="009C5364" w:rsidRDefault="00043668" w:rsidP="00043668">
            <w:pPr>
              <w:jc w:val="both"/>
            </w:pPr>
            <w:r w:rsidRPr="009C5364">
              <w:t>Foundation</w:t>
            </w:r>
          </w:p>
        </w:tc>
        <w:tc>
          <w:tcPr>
            <w:tcW w:w="911" w:type="dxa"/>
          </w:tcPr>
          <w:p w14:paraId="638BD555" w14:textId="77777777" w:rsidR="00043668" w:rsidRPr="009C5364" w:rsidRDefault="00043668" w:rsidP="00043668">
            <w:pPr>
              <w:jc w:val="both"/>
            </w:pPr>
            <w:r w:rsidRPr="009C5364">
              <w:t>2</w:t>
            </w:r>
          </w:p>
        </w:tc>
        <w:tc>
          <w:tcPr>
            <w:tcW w:w="1170" w:type="dxa"/>
          </w:tcPr>
          <w:p w14:paraId="068405A9" w14:textId="77777777" w:rsidR="00043668" w:rsidRPr="009C5364" w:rsidRDefault="00043668" w:rsidP="00043668">
            <w:pPr>
              <w:jc w:val="both"/>
            </w:pPr>
            <w:r w:rsidRPr="009C5364">
              <w:t>-</w:t>
            </w:r>
          </w:p>
        </w:tc>
        <w:tc>
          <w:tcPr>
            <w:tcW w:w="900" w:type="dxa"/>
          </w:tcPr>
          <w:p w14:paraId="11D9C777" w14:textId="77777777" w:rsidR="00043668" w:rsidRPr="009C5364" w:rsidRDefault="00043668" w:rsidP="00043668">
            <w:pPr>
              <w:jc w:val="both"/>
            </w:pPr>
            <w:r w:rsidRPr="009C5364">
              <w:t>100</w:t>
            </w:r>
          </w:p>
        </w:tc>
        <w:tc>
          <w:tcPr>
            <w:tcW w:w="1170" w:type="dxa"/>
          </w:tcPr>
          <w:p w14:paraId="6AC5D401" w14:textId="77777777" w:rsidR="00043668" w:rsidRPr="009C5364" w:rsidRDefault="00043668" w:rsidP="00043668">
            <w:pPr>
              <w:jc w:val="both"/>
            </w:pPr>
            <w:r w:rsidRPr="009C5364">
              <w:t>-</w:t>
            </w:r>
          </w:p>
        </w:tc>
        <w:tc>
          <w:tcPr>
            <w:tcW w:w="2346" w:type="dxa"/>
          </w:tcPr>
          <w:p w14:paraId="426317E9" w14:textId="77777777" w:rsidR="00043668" w:rsidRPr="009C5364" w:rsidRDefault="00043668" w:rsidP="00043668">
            <w:pPr>
              <w:jc w:val="both"/>
            </w:pPr>
            <w:r w:rsidRPr="009C5364">
              <w:t>Studied foundation construction and building</w:t>
            </w:r>
          </w:p>
        </w:tc>
      </w:tr>
      <w:tr w:rsidR="00043668" w:rsidRPr="009C5364" w14:paraId="4101F835" w14:textId="77777777" w:rsidTr="00043668">
        <w:trPr>
          <w:trHeight w:val="464"/>
        </w:trPr>
        <w:tc>
          <w:tcPr>
            <w:tcW w:w="720" w:type="dxa"/>
          </w:tcPr>
          <w:p w14:paraId="00D5C6B1" w14:textId="77777777" w:rsidR="00043668" w:rsidRPr="009C5364" w:rsidRDefault="00043668" w:rsidP="00043668">
            <w:pPr>
              <w:jc w:val="both"/>
            </w:pPr>
            <w:r w:rsidRPr="009C5364">
              <w:t>b</w:t>
            </w:r>
          </w:p>
        </w:tc>
        <w:tc>
          <w:tcPr>
            <w:tcW w:w="2869" w:type="dxa"/>
          </w:tcPr>
          <w:p w14:paraId="243429E0" w14:textId="77777777" w:rsidR="00043668" w:rsidRPr="009C5364" w:rsidRDefault="00043668" w:rsidP="00043668">
            <w:pPr>
              <w:jc w:val="both"/>
            </w:pPr>
            <w:r w:rsidRPr="009C5364">
              <w:t>Column</w:t>
            </w:r>
          </w:p>
        </w:tc>
        <w:tc>
          <w:tcPr>
            <w:tcW w:w="911" w:type="dxa"/>
          </w:tcPr>
          <w:p w14:paraId="00374B59" w14:textId="77777777" w:rsidR="00043668" w:rsidRPr="009C5364" w:rsidRDefault="00043668" w:rsidP="00043668">
            <w:pPr>
              <w:jc w:val="both"/>
            </w:pPr>
            <w:r w:rsidRPr="009C5364">
              <w:t>41</w:t>
            </w:r>
          </w:p>
        </w:tc>
        <w:tc>
          <w:tcPr>
            <w:tcW w:w="1170" w:type="dxa"/>
          </w:tcPr>
          <w:p w14:paraId="6452538F" w14:textId="77777777" w:rsidR="00043668" w:rsidRPr="009C5364" w:rsidRDefault="00043668" w:rsidP="00043668">
            <w:pPr>
              <w:jc w:val="both"/>
            </w:pPr>
            <w:r w:rsidRPr="009C5364">
              <w:t>-</w:t>
            </w:r>
          </w:p>
        </w:tc>
        <w:tc>
          <w:tcPr>
            <w:tcW w:w="900" w:type="dxa"/>
          </w:tcPr>
          <w:p w14:paraId="455C7C50" w14:textId="77777777" w:rsidR="00043668" w:rsidRPr="009C5364" w:rsidRDefault="00043668" w:rsidP="00043668">
            <w:pPr>
              <w:jc w:val="both"/>
            </w:pPr>
            <w:r w:rsidRPr="009C5364">
              <w:t>100</w:t>
            </w:r>
          </w:p>
        </w:tc>
        <w:tc>
          <w:tcPr>
            <w:tcW w:w="1170" w:type="dxa"/>
          </w:tcPr>
          <w:p w14:paraId="0819F410" w14:textId="77777777" w:rsidR="00043668" w:rsidRPr="009C5364" w:rsidRDefault="00043668" w:rsidP="00043668">
            <w:pPr>
              <w:jc w:val="both"/>
            </w:pPr>
            <w:r w:rsidRPr="009C5364">
              <w:t>-</w:t>
            </w:r>
          </w:p>
        </w:tc>
        <w:tc>
          <w:tcPr>
            <w:tcW w:w="2346" w:type="dxa"/>
          </w:tcPr>
          <w:p w14:paraId="66B4CBF9" w14:textId="77777777" w:rsidR="00043668" w:rsidRPr="009C5364" w:rsidRDefault="00043668" w:rsidP="00043668">
            <w:pPr>
              <w:jc w:val="both"/>
            </w:pPr>
            <w:r w:rsidRPr="009C5364">
              <w:t>Studied buildings except for the completion stage</w:t>
            </w:r>
          </w:p>
        </w:tc>
      </w:tr>
      <w:tr w:rsidR="00043668" w:rsidRPr="009C5364" w14:paraId="2CB93EFE" w14:textId="77777777" w:rsidTr="00043668">
        <w:trPr>
          <w:trHeight w:val="464"/>
        </w:trPr>
        <w:tc>
          <w:tcPr>
            <w:tcW w:w="720" w:type="dxa"/>
          </w:tcPr>
          <w:p w14:paraId="039BE08D" w14:textId="77777777" w:rsidR="00043668" w:rsidRPr="009C5364" w:rsidRDefault="00043668" w:rsidP="00043668">
            <w:pPr>
              <w:jc w:val="both"/>
            </w:pPr>
            <w:r w:rsidRPr="009C5364">
              <w:t>c</w:t>
            </w:r>
          </w:p>
        </w:tc>
        <w:tc>
          <w:tcPr>
            <w:tcW w:w="2869" w:type="dxa"/>
          </w:tcPr>
          <w:p w14:paraId="0E0225CB" w14:textId="77777777" w:rsidR="00043668" w:rsidRPr="009C5364" w:rsidRDefault="00043668" w:rsidP="00043668">
            <w:pPr>
              <w:jc w:val="both"/>
            </w:pPr>
            <w:r w:rsidRPr="009C5364">
              <w:t>Beam</w:t>
            </w:r>
          </w:p>
        </w:tc>
        <w:tc>
          <w:tcPr>
            <w:tcW w:w="911" w:type="dxa"/>
          </w:tcPr>
          <w:p w14:paraId="03708270" w14:textId="77777777" w:rsidR="00043668" w:rsidRPr="009C5364" w:rsidRDefault="00043668" w:rsidP="00043668">
            <w:pPr>
              <w:jc w:val="both"/>
            </w:pPr>
            <w:r w:rsidRPr="009C5364">
              <w:t>28</w:t>
            </w:r>
          </w:p>
        </w:tc>
        <w:tc>
          <w:tcPr>
            <w:tcW w:w="1170" w:type="dxa"/>
          </w:tcPr>
          <w:p w14:paraId="0E48C42E" w14:textId="77777777" w:rsidR="00043668" w:rsidRPr="009C5364" w:rsidRDefault="00043668" w:rsidP="00043668">
            <w:pPr>
              <w:jc w:val="both"/>
            </w:pPr>
            <w:r w:rsidRPr="009C5364">
              <w:t>-</w:t>
            </w:r>
          </w:p>
        </w:tc>
        <w:tc>
          <w:tcPr>
            <w:tcW w:w="900" w:type="dxa"/>
          </w:tcPr>
          <w:p w14:paraId="189AC2C0" w14:textId="77777777" w:rsidR="00043668" w:rsidRPr="009C5364" w:rsidRDefault="00043668" w:rsidP="00043668">
            <w:pPr>
              <w:jc w:val="both"/>
            </w:pPr>
            <w:r w:rsidRPr="009C5364">
              <w:t>100</w:t>
            </w:r>
          </w:p>
        </w:tc>
        <w:tc>
          <w:tcPr>
            <w:tcW w:w="1170" w:type="dxa"/>
          </w:tcPr>
          <w:p w14:paraId="042DEF69" w14:textId="77777777" w:rsidR="00043668" w:rsidRPr="009C5364" w:rsidRDefault="00043668" w:rsidP="00043668">
            <w:pPr>
              <w:jc w:val="both"/>
            </w:pPr>
            <w:r w:rsidRPr="009C5364">
              <w:t>-</w:t>
            </w:r>
          </w:p>
        </w:tc>
        <w:tc>
          <w:tcPr>
            <w:tcW w:w="2346" w:type="dxa"/>
          </w:tcPr>
          <w:p w14:paraId="71463056"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r w:rsidR="00043668" w:rsidRPr="009C5364" w14:paraId="5A68865F" w14:textId="77777777" w:rsidTr="00043668">
        <w:trPr>
          <w:trHeight w:val="464"/>
        </w:trPr>
        <w:tc>
          <w:tcPr>
            <w:tcW w:w="720" w:type="dxa"/>
          </w:tcPr>
          <w:p w14:paraId="59B2518A" w14:textId="77777777" w:rsidR="00043668" w:rsidRPr="009C5364" w:rsidRDefault="00043668" w:rsidP="00043668">
            <w:pPr>
              <w:jc w:val="both"/>
            </w:pPr>
            <w:r w:rsidRPr="009C5364">
              <w:t>d</w:t>
            </w:r>
          </w:p>
        </w:tc>
        <w:tc>
          <w:tcPr>
            <w:tcW w:w="2869" w:type="dxa"/>
          </w:tcPr>
          <w:p w14:paraId="28EF0EF9" w14:textId="77777777" w:rsidR="00043668" w:rsidRPr="009C5364" w:rsidRDefault="00043668" w:rsidP="00043668">
            <w:pPr>
              <w:jc w:val="both"/>
            </w:pPr>
            <w:r w:rsidRPr="009C5364">
              <w:t xml:space="preserve">Slab </w:t>
            </w:r>
          </w:p>
        </w:tc>
        <w:tc>
          <w:tcPr>
            <w:tcW w:w="911" w:type="dxa"/>
          </w:tcPr>
          <w:p w14:paraId="761E3940" w14:textId="77777777" w:rsidR="00043668" w:rsidRPr="009C5364" w:rsidRDefault="00043668" w:rsidP="00043668">
            <w:pPr>
              <w:jc w:val="both"/>
            </w:pPr>
            <w:r w:rsidRPr="009C5364">
              <w:t>28</w:t>
            </w:r>
          </w:p>
        </w:tc>
        <w:tc>
          <w:tcPr>
            <w:tcW w:w="1170" w:type="dxa"/>
          </w:tcPr>
          <w:p w14:paraId="00874171" w14:textId="77777777" w:rsidR="00043668" w:rsidRPr="009C5364" w:rsidRDefault="00043668" w:rsidP="00043668">
            <w:pPr>
              <w:jc w:val="both"/>
            </w:pPr>
            <w:r w:rsidRPr="009C5364">
              <w:t>-</w:t>
            </w:r>
          </w:p>
        </w:tc>
        <w:tc>
          <w:tcPr>
            <w:tcW w:w="900" w:type="dxa"/>
          </w:tcPr>
          <w:p w14:paraId="5FE642D2" w14:textId="77777777" w:rsidR="00043668" w:rsidRPr="009C5364" w:rsidRDefault="00043668" w:rsidP="00043668">
            <w:pPr>
              <w:jc w:val="both"/>
            </w:pPr>
            <w:r w:rsidRPr="009C5364">
              <w:t>100</w:t>
            </w:r>
          </w:p>
        </w:tc>
        <w:tc>
          <w:tcPr>
            <w:tcW w:w="1170" w:type="dxa"/>
          </w:tcPr>
          <w:p w14:paraId="1F9E6A07" w14:textId="77777777" w:rsidR="00043668" w:rsidRPr="009C5364" w:rsidRDefault="00043668" w:rsidP="00043668">
            <w:pPr>
              <w:jc w:val="both"/>
            </w:pPr>
            <w:r w:rsidRPr="009C5364">
              <w:t>-</w:t>
            </w:r>
          </w:p>
        </w:tc>
        <w:tc>
          <w:tcPr>
            <w:tcW w:w="2346" w:type="dxa"/>
          </w:tcPr>
          <w:p w14:paraId="1B565787"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r w:rsidR="00043668" w:rsidRPr="009C5364" w14:paraId="31370878" w14:textId="77777777" w:rsidTr="00043668">
        <w:trPr>
          <w:trHeight w:val="464"/>
        </w:trPr>
        <w:tc>
          <w:tcPr>
            <w:tcW w:w="720" w:type="dxa"/>
          </w:tcPr>
          <w:p w14:paraId="76F7CA6B" w14:textId="77777777" w:rsidR="00043668" w:rsidRPr="009C5364" w:rsidRDefault="00043668" w:rsidP="00043668">
            <w:pPr>
              <w:jc w:val="both"/>
            </w:pPr>
            <w:r w:rsidRPr="009C5364">
              <w:t>e</w:t>
            </w:r>
          </w:p>
        </w:tc>
        <w:tc>
          <w:tcPr>
            <w:tcW w:w="2869" w:type="dxa"/>
          </w:tcPr>
          <w:p w14:paraId="1B1D57E5" w14:textId="77777777" w:rsidR="00043668" w:rsidRPr="009C5364" w:rsidRDefault="00043668" w:rsidP="00043668">
            <w:pPr>
              <w:jc w:val="both"/>
            </w:pPr>
            <w:r w:rsidRPr="009C5364">
              <w:t>Staircase Slab</w:t>
            </w:r>
          </w:p>
        </w:tc>
        <w:tc>
          <w:tcPr>
            <w:tcW w:w="911" w:type="dxa"/>
          </w:tcPr>
          <w:p w14:paraId="4FC1AAC2" w14:textId="77777777" w:rsidR="00043668" w:rsidRPr="009C5364" w:rsidRDefault="00043668" w:rsidP="00043668">
            <w:pPr>
              <w:jc w:val="both"/>
            </w:pPr>
            <w:r w:rsidRPr="009C5364">
              <w:t>28</w:t>
            </w:r>
          </w:p>
        </w:tc>
        <w:tc>
          <w:tcPr>
            <w:tcW w:w="1170" w:type="dxa"/>
          </w:tcPr>
          <w:p w14:paraId="53C0A1A7" w14:textId="77777777" w:rsidR="00043668" w:rsidRPr="009C5364" w:rsidRDefault="00043668" w:rsidP="00043668">
            <w:pPr>
              <w:jc w:val="both"/>
            </w:pPr>
            <w:r w:rsidRPr="009C5364">
              <w:t>-</w:t>
            </w:r>
          </w:p>
        </w:tc>
        <w:tc>
          <w:tcPr>
            <w:tcW w:w="900" w:type="dxa"/>
          </w:tcPr>
          <w:p w14:paraId="200660F5" w14:textId="77777777" w:rsidR="00043668" w:rsidRPr="009C5364" w:rsidRDefault="00043668" w:rsidP="00043668">
            <w:pPr>
              <w:jc w:val="both"/>
            </w:pPr>
            <w:r w:rsidRPr="009C5364">
              <w:t>100</w:t>
            </w:r>
          </w:p>
        </w:tc>
        <w:tc>
          <w:tcPr>
            <w:tcW w:w="1170" w:type="dxa"/>
          </w:tcPr>
          <w:p w14:paraId="2FC24FF3" w14:textId="77777777" w:rsidR="00043668" w:rsidRPr="009C5364" w:rsidRDefault="00043668" w:rsidP="00043668">
            <w:pPr>
              <w:jc w:val="both"/>
            </w:pPr>
            <w:r w:rsidRPr="009C5364">
              <w:t>-</w:t>
            </w:r>
          </w:p>
        </w:tc>
        <w:tc>
          <w:tcPr>
            <w:tcW w:w="2346" w:type="dxa"/>
          </w:tcPr>
          <w:p w14:paraId="4C81F8EA"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r w:rsidR="00043668" w:rsidRPr="009C5364" w14:paraId="356C35E2" w14:textId="77777777" w:rsidTr="00043668">
        <w:trPr>
          <w:trHeight w:val="464"/>
        </w:trPr>
        <w:tc>
          <w:tcPr>
            <w:tcW w:w="720" w:type="dxa"/>
          </w:tcPr>
          <w:p w14:paraId="274CA6CE" w14:textId="77777777" w:rsidR="00043668" w:rsidRPr="009C5364" w:rsidRDefault="00043668" w:rsidP="00043668">
            <w:pPr>
              <w:jc w:val="both"/>
              <w:rPr>
                <w:b/>
              </w:rPr>
            </w:pPr>
            <w:r w:rsidRPr="009C5364">
              <w:rPr>
                <w:b/>
              </w:rPr>
              <w:t>8</w:t>
            </w:r>
          </w:p>
        </w:tc>
        <w:tc>
          <w:tcPr>
            <w:tcW w:w="2869" w:type="dxa"/>
          </w:tcPr>
          <w:p w14:paraId="42A8040D" w14:textId="77777777" w:rsidR="00043668" w:rsidRPr="009C5364" w:rsidRDefault="00043668" w:rsidP="00043668">
            <w:pPr>
              <w:jc w:val="both"/>
              <w:rPr>
                <w:b/>
              </w:rPr>
            </w:pPr>
            <w:r w:rsidRPr="009C5364">
              <w:rPr>
                <w:b/>
              </w:rPr>
              <w:t xml:space="preserve">Stirrups </w:t>
            </w:r>
          </w:p>
        </w:tc>
        <w:tc>
          <w:tcPr>
            <w:tcW w:w="911" w:type="dxa"/>
          </w:tcPr>
          <w:p w14:paraId="42B0510C" w14:textId="77777777" w:rsidR="00043668" w:rsidRPr="009C5364" w:rsidRDefault="00043668" w:rsidP="00043668">
            <w:pPr>
              <w:jc w:val="both"/>
            </w:pPr>
            <w:r w:rsidRPr="009C5364">
              <w:t>29</w:t>
            </w:r>
          </w:p>
        </w:tc>
        <w:tc>
          <w:tcPr>
            <w:tcW w:w="1170" w:type="dxa"/>
          </w:tcPr>
          <w:p w14:paraId="01220989" w14:textId="77777777" w:rsidR="00043668" w:rsidRPr="009C5364" w:rsidRDefault="00043668" w:rsidP="00043668">
            <w:pPr>
              <w:jc w:val="both"/>
            </w:pPr>
            <w:r w:rsidRPr="009C5364">
              <w:t>12</w:t>
            </w:r>
          </w:p>
        </w:tc>
        <w:tc>
          <w:tcPr>
            <w:tcW w:w="900" w:type="dxa"/>
          </w:tcPr>
          <w:p w14:paraId="11D48DE3" w14:textId="77777777" w:rsidR="00043668" w:rsidRPr="009C5364" w:rsidRDefault="00043668" w:rsidP="00043668">
            <w:pPr>
              <w:jc w:val="both"/>
            </w:pPr>
            <w:r w:rsidRPr="009C5364">
              <w:t>70.73</w:t>
            </w:r>
          </w:p>
        </w:tc>
        <w:tc>
          <w:tcPr>
            <w:tcW w:w="1170" w:type="dxa"/>
          </w:tcPr>
          <w:p w14:paraId="2253EB06" w14:textId="77777777" w:rsidR="00043668" w:rsidRPr="009C5364" w:rsidRDefault="00043668" w:rsidP="00043668">
            <w:pPr>
              <w:jc w:val="both"/>
            </w:pPr>
            <w:r w:rsidRPr="009C5364">
              <w:t>29.27</w:t>
            </w:r>
          </w:p>
        </w:tc>
        <w:tc>
          <w:tcPr>
            <w:tcW w:w="2346" w:type="dxa"/>
          </w:tcPr>
          <w:p w14:paraId="086C14F2" w14:textId="77777777" w:rsidR="00043668" w:rsidRPr="009C5364" w:rsidRDefault="00043668" w:rsidP="00043668">
            <w:pPr>
              <w:jc w:val="both"/>
            </w:pPr>
            <w:r w:rsidRPr="009C5364">
              <w:t>Studied buildings except for the completion stage</w:t>
            </w:r>
          </w:p>
        </w:tc>
      </w:tr>
      <w:tr w:rsidR="00043668" w:rsidRPr="009C5364" w14:paraId="59DAE440" w14:textId="77777777" w:rsidTr="00043668">
        <w:trPr>
          <w:trHeight w:val="464"/>
        </w:trPr>
        <w:tc>
          <w:tcPr>
            <w:tcW w:w="720" w:type="dxa"/>
          </w:tcPr>
          <w:p w14:paraId="135BF682" w14:textId="77777777" w:rsidR="00043668" w:rsidRPr="009C5364" w:rsidRDefault="00043668" w:rsidP="00043668">
            <w:pPr>
              <w:jc w:val="both"/>
              <w:rPr>
                <w:b/>
              </w:rPr>
            </w:pPr>
            <w:r w:rsidRPr="009C5364">
              <w:rPr>
                <w:b/>
              </w:rPr>
              <w:t>9</w:t>
            </w:r>
          </w:p>
        </w:tc>
        <w:tc>
          <w:tcPr>
            <w:tcW w:w="2869" w:type="dxa"/>
          </w:tcPr>
          <w:p w14:paraId="4A0C9B76" w14:textId="77777777" w:rsidR="00043668" w:rsidRPr="009C5364" w:rsidRDefault="00043668" w:rsidP="00043668">
            <w:pPr>
              <w:jc w:val="both"/>
              <w:rPr>
                <w:b/>
              </w:rPr>
            </w:pPr>
            <w:r w:rsidRPr="009C5364">
              <w:rPr>
                <w:b/>
              </w:rPr>
              <w:t>Lapping Position of Bar</w:t>
            </w:r>
          </w:p>
        </w:tc>
        <w:tc>
          <w:tcPr>
            <w:tcW w:w="911" w:type="dxa"/>
          </w:tcPr>
          <w:p w14:paraId="60B4ED95" w14:textId="77777777" w:rsidR="00043668" w:rsidRPr="009C5364" w:rsidRDefault="00043668" w:rsidP="00043668">
            <w:pPr>
              <w:jc w:val="both"/>
            </w:pPr>
          </w:p>
        </w:tc>
        <w:tc>
          <w:tcPr>
            <w:tcW w:w="1170" w:type="dxa"/>
          </w:tcPr>
          <w:p w14:paraId="180B66AA" w14:textId="77777777" w:rsidR="00043668" w:rsidRPr="009C5364" w:rsidRDefault="00043668" w:rsidP="00043668">
            <w:pPr>
              <w:jc w:val="both"/>
            </w:pPr>
          </w:p>
        </w:tc>
        <w:tc>
          <w:tcPr>
            <w:tcW w:w="900" w:type="dxa"/>
          </w:tcPr>
          <w:p w14:paraId="086E5311" w14:textId="77777777" w:rsidR="00043668" w:rsidRPr="009C5364" w:rsidRDefault="00043668" w:rsidP="00043668">
            <w:pPr>
              <w:jc w:val="both"/>
            </w:pPr>
          </w:p>
        </w:tc>
        <w:tc>
          <w:tcPr>
            <w:tcW w:w="1170" w:type="dxa"/>
          </w:tcPr>
          <w:p w14:paraId="0B755559" w14:textId="77777777" w:rsidR="00043668" w:rsidRPr="009C5364" w:rsidRDefault="00043668" w:rsidP="00043668">
            <w:pPr>
              <w:jc w:val="both"/>
            </w:pPr>
          </w:p>
        </w:tc>
        <w:tc>
          <w:tcPr>
            <w:tcW w:w="2346" w:type="dxa"/>
          </w:tcPr>
          <w:p w14:paraId="2F57E437" w14:textId="77777777" w:rsidR="00043668" w:rsidRPr="009C5364" w:rsidRDefault="00043668" w:rsidP="00043668">
            <w:pPr>
              <w:jc w:val="both"/>
            </w:pPr>
          </w:p>
        </w:tc>
      </w:tr>
      <w:tr w:rsidR="00043668" w:rsidRPr="009C5364" w14:paraId="750D99E9" w14:textId="77777777" w:rsidTr="00043668">
        <w:trPr>
          <w:trHeight w:val="464"/>
        </w:trPr>
        <w:tc>
          <w:tcPr>
            <w:tcW w:w="720" w:type="dxa"/>
          </w:tcPr>
          <w:p w14:paraId="3D735606" w14:textId="77777777" w:rsidR="00043668" w:rsidRPr="009C5364" w:rsidRDefault="00043668" w:rsidP="00043668">
            <w:pPr>
              <w:jc w:val="both"/>
            </w:pPr>
            <w:r w:rsidRPr="009C5364">
              <w:t>a</w:t>
            </w:r>
          </w:p>
        </w:tc>
        <w:tc>
          <w:tcPr>
            <w:tcW w:w="2869" w:type="dxa"/>
          </w:tcPr>
          <w:p w14:paraId="0CB7F7CE" w14:textId="77777777" w:rsidR="00043668" w:rsidRPr="009C5364" w:rsidRDefault="00043668" w:rsidP="00043668">
            <w:pPr>
              <w:jc w:val="both"/>
            </w:pPr>
            <w:r w:rsidRPr="009C5364">
              <w:t>Column</w:t>
            </w:r>
          </w:p>
        </w:tc>
        <w:tc>
          <w:tcPr>
            <w:tcW w:w="911" w:type="dxa"/>
          </w:tcPr>
          <w:p w14:paraId="08AA423A" w14:textId="77777777" w:rsidR="00043668" w:rsidRPr="009C5364" w:rsidRDefault="00043668" w:rsidP="00043668">
            <w:pPr>
              <w:jc w:val="both"/>
            </w:pPr>
            <w:r w:rsidRPr="009C5364">
              <w:t>28</w:t>
            </w:r>
          </w:p>
        </w:tc>
        <w:tc>
          <w:tcPr>
            <w:tcW w:w="1170" w:type="dxa"/>
          </w:tcPr>
          <w:p w14:paraId="06BB5AE1" w14:textId="77777777" w:rsidR="00043668" w:rsidRPr="009C5364" w:rsidRDefault="00043668" w:rsidP="00043668">
            <w:pPr>
              <w:jc w:val="both"/>
            </w:pPr>
            <w:r w:rsidRPr="009C5364">
              <w:t>13</w:t>
            </w:r>
          </w:p>
        </w:tc>
        <w:tc>
          <w:tcPr>
            <w:tcW w:w="900" w:type="dxa"/>
          </w:tcPr>
          <w:p w14:paraId="5C9A18DE" w14:textId="77777777" w:rsidR="00043668" w:rsidRPr="009C5364" w:rsidRDefault="00043668" w:rsidP="00043668">
            <w:pPr>
              <w:jc w:val="both"/>
            </w:pPr>
            <w:r w:rsidRPr="009C5364">
              <w:t>68.29</w:t>
            </w:r>
          </w:p>
        </w:tc>
        <w:tc>
          <w:tcPr>
            <w:tcW w:w="1170" w:type="dxa"/>
          </w:tcPr>
          <w:p w14:paraId="1EB8E028" w14:textId="77777777" w:rsidR="00043668" w:rsidRPr="009C5364" w:rsidRDefault="00043668" w:rsidP="00043668">
            <w:pPr>
              <w:jc w:val="both"/>
            </w:pPr>
            <w:r w:rsidRPr="009C5364">
              <w:t>31.71</w:t>
            </w:r>
          </w:p>
        </w:tc>
        <w:tc>
          <w:tcPr>
            <w:tcW w:w="2346" w:type="dxa"/>
          </w:tcPr>
          <w:p w14:paraId="357C1A66" w14:textId="77777777" w:rsidR="00043668" w:rsidRPr="009C5364" w:rsidRDefault="00043668" w:rsidP="00043668">
            <w:pPr>
              <w:jc w:val="both"/>
            </w:pPr>
            <w:r w:rsidRPr="009C5364">
              <w:t>Studied buildings except for the completion stage</w:t>
            </w:r>
          </w:p>
        </w:tc>
      </w:tr>
      <w:tr w:rsidR="00043668" w:rsidRPr="009C5364" w14:paraId="5B389C0E" w14:textId="77777777" w:rsidTr="00043668">
        <w:trPr>
          <w:trHeight w:val="464"/>
        </w:trPr>
        <w:tc>
          <w:tcPr>
            <w:tcW w:w="720" w:type="dxa"/>
          </w:tcPr>
          <w:p w14:paraId="25D67E33" w14:textId="77777777" w:rsidR="00043668" w:rsidRPr="009C5364" w:rsidRDefault="00043668" w:rsidP="00043668">
            <w:pPr>
              <w:jc w:val="both"/>
            </w:pPr>
            <w:r w:rsidRPr="009C5364">
              <w:t>b</w:t>
            </w:r>
          </w:p>
        </w:tc>
        <w:tc>
          <w:tcPr>
            <w:tcW w:w="2869" w:type="dxa"/>
          </w:tcPr>
          <w:p w14:paraId="30B43C6D" w14:textId="77777777" w:rsidR="00043668" w:rsidRPr="009C5364" w:rsidRDefault="00043668" w:rsidP="00043668">
            <w:pPr>
              <w:jc w:val="both"/>
            </w:pPr>
            <w:r w:rsidRPr="009C5364">
              <w:t>Beam Top Bar</w:t>
            </w:r>
          </w:p>
        </w:tc>
        <w:tc>
          <w:tcPr>
            <w:tcW w:w="911" w:type="dxa"/>
          </w:tcPr>
          <w:p w14:paraId="0D7EE988" w14:textId="77777777" w:rsidR="00043668" w:rsidRPr="009C5364" w:rsidRDefault="00043668" w:rsidP="00043668">
            <w:pPr>
              <w:jc w:val="both"/>
            </w:pPr>
            <w:r w:rsidRPr="009C5364">
              <w:t>22</w:t>
            </w:r>
          </w:p>
        </w:tc>
        <w:tc>
          <w:tcPr>
            <w:tcW w:w="1170" w:type="dxa"/>
          </w:tcPr>
          <w:p w14:paraId="58D1C844" w14:textId="77777777" w:rsidR="00043668" w:rsidRPr="009C5364" w:rsidRDefault="00043668" w:rsidP="00043668">
            <w:pPr>
              <w:jc w:val="both"/>
            </w:pPr>
            <w:r w:rsidRPr="009C5364">
              <w:t>6</w:t>
            </w:r>
          </w:p>
        </w:tc>
        <w:tc>
          <w:tcPr>
            <w:tcW w:w="900" w:type="dxa"/>
          </w:tcPr>
          <w:p w14:paraId="02FCCBF2" w14:textId="77777777" w:rsidR="00043668" w:rsidRPr="009C5364" w:rsidRDefault="00043668" w:rsidP="00043668">
            <w:pPr>
              <w:jc w:val="both"/>
            </w:pPr>
            <w:r w:rsidRPr="009C5364">
              <w:t>78.57</w:t>
            </w:r>
          </w:p>
        </w:tc>
        <w:tc>
          <w:tcPr>
            <w:tcW w:w="1170" w:type="dxa"/>
          </w:tcPr>
          <w:p w14:paraId="3728C454" w14:textId="77777777" w:rsidR="00043668" w:rsidRPr="009C5364" w:rsidRDefault="00043668" w:rsidP="00043668">
            <w:pPr>
              <w:jc w:val="both"/>
            </w:pPr>
            <w:r w:rsidRPr="009C5364">
              <w:t>21.43</w:t>
            </w:r>
          </w:p>
        </w:tc>
        <w:tc>
          <w:tcPr>
            <w:tcW w:w="2346" w:type="dxa"/>
          </w:tcPr>
          <w:p w14:paraId="320093F3"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r w:rsidR="00043668" w:rsidRPr="009C5364" w14:paraId="7EBB0714" w14:textId="77777777" w:rsidTr="00043668">
        <w:trPr>
          <w:trHeight w:val="464"/>
        </w:trPr>
        <w:tc>
          <w:tcPr>
            <w:tcW w:w="720" w:type="dxa"/>
          </w:tcPr>
          <w:p w14:paraId="25C7A991" w14:textId="77777777" w:rsidR="00043668" w:rsidRPr="009C5364" w:rsidRDefault="00043668" w:rsidP="00043668">
            <w:pPr>
              <w:jc w:val="both"/>
            </w:pPr>
            <w:r w:rsidRPr="009C5364">
              <w:t>c</w:t>
            </w:r>
          </w:p>
        </w:tc>
        <w:tc>
          <w:tcPr>
            <w:tcW w:w="2869" w:type="dxa"/>
          </w:tcPr>
          <w:p w14:paraId="77C0E967" w14:textId="77777777" w:rsidR="00043668" w:rsidRPr="009C5364" w:rsidRDefault="00043668" w:rsidP="00043668">
            <w:pPr>
              <w:jc w:val="both"/>
            </w:pPr>
            <w:r w:rsidRPr="009C5364">
              <w:t>Beam Bottom Bar</w:t>
            </w:r>
          </w:p>
        </w:tc>
        <w:tc>
          <w:tcPr>
            <w:tcW w:w="911" w:type="dxa"/>
          </w:tcPr>
          <w:p w14:paraId="3EC70A6E" w14:textId="77777777" w:rsidR="00043668" w:rsidRPr="009C5364" w:rsidRDefault="00043668" w:rsidP="00043668">
            <w:pPr>
              <w:jc w:val="both"/>
            </w:pPr>
            <w:r w:rsidRPr="009C5364">
              <w:t>21</w:t>
            </w:r>
          </w:p>
        </w:tc>
        <w:tc>
          <w:tcPr>
            <w:tcW w:w="1170" w:type="dxa"/>
          </w:tcPr>
          <w:p w14:paraId="74E7FB18" w14:textId="77777777" w:rsidR="00043668" w:rsidRPr="009C5364" w:rsidRDefault="00043668" w:rsidP="00043668">
            <w:pPr>
              <w:jc w:val="both"/>
            </w:pPr>
            <w:r w:rsidRPr="009C5364">
              <w:t>7</w:t>
            </w:r>
          </w:p>
        </w:tc>
        <w:tc>
          <w:tcPr>
            <w:tcW w:w="900" w:type="dxa"/>
          </w:tcPr>
          <w:p w14:paraId="0298BF75" w14:textId="77777777" w:rsidR="00043668" w:rsidRPr="009C5364" w:rsidRDefault="00043668" w:rsidP="00043668">
            <w:pPr>
              <w:jc w:val="both"/>
            </w:pPr>
            <w:r w:rsidRPr="009C5364">
              <w:t>75</w:t>
            </w:r>
          </w:p>
        </w:tc>
        <w:tc>
          <w:tcPr>
            <w:tcW w:w="1170" w:type="dxa"/>
          </w:tcPr>
          <w:p w14:paraId="38F5A92C" w14:textId="77777777" w:rsidR="00043668" w:rsidRPr="009C5364" w:rsidRDefault="00043668" w:rsidP="00043668">
            <w:pPr>
              <w:jc w:val="both"/>
            </w:pPr>
            <w:r w:rsidRPr="009C5364">
              <w:t>25</w:t>
            </w:r>
          </w:p>
        </w:tc>
        <w:tc>
          <w:tcPr>
            <w:tcW w:w="2346" w:type="dxa"/>
          </w:tcPr>
          <w:p w14:paraId="4367C345"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r w:rsidR="00043668" w:rsidRPr="009C5364" w14:paraId="37155DB6" w14:textId="77777777" w:rsidTr="00043668">
        <w:trPr>
          <w:trHeight w:val="464"/>
        </w:trPr>
        <w:tc>
          <w:tcPr>
            <w:tcW w:w="720" w:type="dxa"/>
          </w:tcPr>
          <w:p w14:paraId="680B8260" w14:textId="77777777" w:rsidR="00043668" w:rsidRPr="009C5364" w:rsidRDefault="00043668" w:rsidP="00043668">
            <w:pPr>
              <w:jc w:val="both"/>
              <w:rPr>
                <w:b/>
              </w:rPr>
            </w:pPr>
            <w:r w:rsidRPr="009C5364">
              <w:rPr>
                <w:b/>
              </w:rPr>
              <w:t>10</w:t>
            </w:r>
          </w:p>
        </w:tc>
        <w:tc>
          <w:tcPr>
            <w:tcW w:w="2869" w:type="dxa"/>
          </w:tcPr>
          <w:p w14:paraId="1C957D4F" w14:textId="77777777" w:rsidR="00043668" w:rsidRPr="009C5364" w:rsidRDefault="00043668" w:rsidP="00043668">
            <w:pPr>
              <w:jc w:val="both"/>
              <w:rPr>
                <w:b/>
              </w:rPr>
            </w:pPr>
            <w:r w:rsidRPr="009C5364">
              <w:rPr>
                <w:b/>
              </w:rPr>
              <w:t>Sill and Lintel Band</w:t>
            </w:r>
          </w:p>
        </w:tc>
        <w:tc>
          <w:tcPr>
            <w:tcW w:w="911" w:type="dxa"/>
          </w:tcPr>
          <w:p w14:paraId="2DF510C6" w14:textId="77777777" w:rsidR="00043668" w:rsidRPr="009C5364" w:rsidRDefault="00043668" w:rsidP="00043668">
            <w:pPr>
              <w:jc w:val="both"/>
            </w:pPr>
            <w:r w:rsidRPr="009C5364">
              <w:t>25</w:t>
            </w:r>
          </w:p>
        </w:tc>
        <w:tc>
          <w:tcPr>
            <w:tcW w:w="1170" w:type="dxa"/>
          </w:tcPr>
          <w:p w14:paraId="2D9143F0" w14:textId="77777777" w:rsidR="00043668" w:rsidRPr="009C5364" w:rsidRDefault="00043668" w:rsidP="00043668">
            <w:pPr>
              <w:jc w:val="both"/>
            </w:pPr>
            <w:r w:rsidRPr="009C5364">
              <w:t>3</w:t>
            </w:r>
          </w:p>
        </w:tc>
        <w:tc>
          <w:tcPr>
            <w:tcW w:w="900" w:type="dxa"/>
          </w:tcPr>
          <w:p w14:paraId="38E81705" w14:textId="77777777" w:rsidR="00043668" w:rsidRPr="009C5364" w:rsidRDefault="00043668" w:rsidP="00043668">
            <w:pPr>
              <w:jc w:val="both"/>
            </w:pPr>
            <w:r w:rsidRPr="009C5364">
              <w:t>89.28</w:t>
            </w:r>
          </w:p>
        </w:tc>
        <w:tc>
          <w:tcPr>
            <w:tcW w:w="1170" w:type="dxa"/>
          </w:tcPr>
          <w:p w14:paraId="3AC7E393" w14:textId="77777777" w:rsidR="00043668" w:rsidRPr="009C5364" w:rsidRDefault="00043668" w:rsidP="00043668">
            <w:pPr>
              <w:jc w:val="both"/>
            </w:pPr>
            <w:r w:rsidRPr="009C5364">
              <w:t>10.72</w:t>
            </w:r>
          </w:p>
        </w:tc>
        <w:tc>
          <w:tcPr>
            <w:tcW w:w="2346" w:type="dxa"/>
          </w:tcPr>
          <w:p w14:paraId="21724031"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bl>
    <w:p w14:paraId="49B8D4A6" w14:textId="77777777" w:rsidR="00043668" w:rsidRPr="009C5364" w:rsidRDefault="00043668" w:rsidP="00043668">
      <w:pPr>
        <w:jc w:val="both"/>
        <w:rPr>
          <w:bCs/>
        </w:rPr>
      </w:pPr>
    </w:p>
    <w:p w14:paraId="52C2D3B9" w14:textId="77777777" w:rsidR="00043668" w:rsidRPr="009C5364" w:rsidRDefault="00043668" w:rsidP="00043668">
      <w:pPr>
        <w:jc w:val="both"/>
        <w:rPr>
          <w:bCs/>
        </w:rPr>
      </w:pPr>
      <w:r w:rsidRPr="009C5364">
        <w:rPr>
          <w:bCs/>
        </w:rPr>
        <w:t>Reinforcement detailing was near universal across foundation, beams, slabs, and staircases. However, several weaknesses were identified:</w:t>
      </w:r>
    </w:p>
    <w:p w14:paraId="17413DDF"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lastRenderedPageBreak/>
        <w:t>Concrete mix proportion was the most critical issue, with only 24% compliance, largely due to untrained masons, lack of testing, and cost-cutting by owners.</w:t>
      </w:r>
    </w:p>
    <w:p w14:paraId="3CEF4970"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t>Rebar lapping showed deficiencies, with 32% of columns and 25% of beams non-compliant.</w:t>
      </w:r>
    </w:p>
    <w:p w14:paraId="42E114B8"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t>Beam dimensions were incorrect in 39% of cases, mainly from column casting errors.</w:t>
      </w:r>
    </w:p>
    <w:p w14:paraId="4FE4B82D"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t>Staircase slabs exceeded specified thickness in 16% of cases, reflecting workmanship lapses.</w:t>
      </w:r>
    </w:p>
    <w:p w14:paraId="147A6E51"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t>Stirrups had improper spacing in nearly 30% of buildings.</w:t>
      </w:r>
    </w:p>
    <w:p w14:paraId="37E6D658"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t>Sill and lintel bands were absent in 11% of cases.</w:t>
      </w:r>
    </w:p>
    <w:p w14:paraId="2DB9BB4C" w14:textId="77777777" w:rsidR="00043668" w:rsidRPr="009C5364" w:rsidRDefault="00043668" w:rsidP="00043668">
      <w:pPr>
        <w:jc w:val="both"/>
        <w:rPr>
          <w:bCs/>
        </w:rPr>
      </w:pPr>
    </w:p>
    <w:p w14:paraId="49531778" w14:textId="77777777" w:rsidR="00043668" w:rsidRPr="009C5364" w:rsidRDefault="00043668" w:rsidP="00043668">
      <w:pPr>
        <w:jc w:val="both"/>
        <w:rPr>
          <w:bCs/>
        </w:rPr>
      </w:pPr>
      <w:r w:rsidRPr="009C5364">
        <w:rPr>
          <w:bCs/>
        </w:rPr>
        <w:t>In summary, while reinforcement detailing, and slab construction were largely satisfactory, systemic weaknesses in concrete mixing, lapping, and stirrup placement undermine structural safety.</w:t>
      </w:r>
    </w:p>
    <w:p w14:paraId="13B82DAA" w14:textId="77777777" w:rsidR="00043668" w:rsidRPr="00CB2694" w:rsidRDefault="00043668" w:rsidP="00043668">
      <w:pPr>
        <w:jc w:val="both"/>
        <w:rPr>
          <w:b/>
          <w:bCs/>
          <w:i/>
        </w:rPr>
      </w:pPr>
      <w:r w:rsidRPr="00CB2694">
        <w:rPr>
          <w:b/>
          <w:bCs/>
          <w:i/>
        </w:rPr>
        <w:t>COMPARATIVE ANALYSIS:</w:t>
      </w:r>
    </w:p>
    <w:p w14:paraId="1BBC88C9" w14:textId="77777777" w:rsidR="00043668" w:rsidRPr="009C5364" w:rsidRDefault="00043668" w:rsidP="00043668">
      <w:pPr>
        <w:jc w:val="both"/>
        <w:rPr>
          <w:bCs/>
        </w:rPr>
      </w:pPr>
      <w:r w:rsidRPr="009C5364">
        <w:rPr>
          <w:bCs/>
        </w:rPr>
        <w:t xml:space="preserve">Cross-municipality comparison with </w:t>
      </w:r>
      <w:proofErr w:type="spellStart"/>
      <w:r w:rsidRPr="009C5364">
        <w:rPr>
          <w:bCs/>
        </w:rPr>
        <w:t>Sisne</w:t>
      </w:r>
      <w:proofErr w:type="spellEnd"/>
      <w:r w:rsidRPr="009C5364">
        <w:rPr>
          <w:bCs/>
        </w:rPr>
        <w:t xml:space="preserve"> </w:t>
      </w:r>
      <w:sdt>
        <w:sdtPr>
          <w:rPr>
            <w:iCs/>
            <w:szCs w:val="24"/>
          </w:rPr>
          <w:id w:val="-2087913257"/>
          <w:citation/>
        </w:sdtPr>
        <w:sdtEndPr/>
        <w:sdtContent>
          <w:r w:rsidRPr="009C5364">
            <w:rPr>
              <w:iCs/>
              <w:szCs w:val="24"/>
            </w:rPr>
            <w:fldChar w:fldCharType="begin"/>
          </w:r>
          <w:r w:rsidRPr="009C5364">
            <w:rPr>
              <w:iCs/>
              <w:szCs w:val="24"/>
            </w:rPr>
            <w:instrText xml:space="preserve"> CITATION KCK23 \l 1033 </w:instrText>
          </w:r>
          <w:r w:rsidRPr="009C5364">
            <w:rPr>
              <w:iCs/>
              <w:szCs w:val="24"/>
            </w:rPr>
            <w:fldChar w:fldCharType="separate"/>
          </w:r>
          <w:r w:rsidRPr="009C5364">
            <w:rPr>
              <w:noProof/>
              <w:szCs w:val="24"/>
            </w:rPr>
            <w:t>[11]</w:t>
          </w:r>
          <w:r w:rsidRPr="009C5364">
            <w:rPr>
              <w:iCs/>
              <w:szCs w:val="24"/>
            </w:rPr>
            <w:fldChar w:fldCharType="end"/>
          </w:r>
        </w:sdtContent>
      </w:sdt>
      <w:r w:rsidRPr="009C5364">
        <w:rPr>
          <w:bCs/>
        </w:rPr>
        <w:t xml:space="preserve"> and </w:t>
      </w:r>
      <w:proofErr w:type="spellStart"/>
      <w:r w:rsidRPr="009C5364">
        <w:rPr>
          <w:bCs/>
        </w:rPr>
        <w:t>Birendranagar</w:t>
      </w:r>
      <w:proofErr w:type="spellEnd"/>
      <w:r w:rsidRPr="009C5364">
        <w:rPr>
          <w:bCs/>
        </w:rPr>
        <w:t xml:space="preserve"> </w:t>
      </w:r>
      <w:sdt>
        <w:sdtPr>
          <w:rPr>
            <w:iCs/>
            <w:szCs w:val="24"/>
          </w:rPr>
          <w:id w:val="-831455527"/>
          <w:citation/>
        </w:sdtPr>
        <w:sdtEndPr/>
        <w:sdtContent>
          <w:r w:rsidRPr="009C5364">
            <w:rPr>
              <w:iCs/>
              <w:szCs w:val="24"/>
            </w:rPr>
            <w:fldChar w:fldCharType="begin"/>
          </w:r>
          <w:r w:rsidRPr="009C5364">
            <w:rPr>
              <w:iCs/>
              <w:szCs w:val="24"/>
            </w:rPr>
            <w:instrText xml:space="preserve"> CITATION Rij25 \l 1033 </w:instrText>
          </w:r>
          <w:r w:rsidRPr="009C5364">
            <w:rPr>
              <w:iCs/>
              <w:szCs w:val="24"/>
            </w:rPr>
            <w:fldChar w:fldCharType="separate"/>
          </w:r>
          <w:r w:rsidRPr="009C5364">
            <w:rPr>
              <w:noProof/>
              <w:szCs w:val="24"/>
            </w:rPr>
            <w:t>[12]</w:t>
          </w:r>
          <w:r w:rsidRPr="009C5364">
            <w:rPr>
              <w:iCs/>
              <w:szCs w:val="24"/>
            </w:rPr>
            <w:fldChar w:fldCharType="end"/>
          </w:r>
        </w:sdtContent>
      </w:sdt>
      <w:r w:rsidRPr="009C5364">
        <w:rPr>
          <w:bCs/>
        </w:rPr>
        <w:t xml:space="preserve"> (table </w:t>
      </w:r>
      <w:r>
        <w:rPr>
          <w:bCs/>
        </w:rPr>
        <w:t>4</w:t>
      </w:r>
      <w:r w:rsidRPr="009C5364">
        <w:rPr>
          <w:bCs/>
        </w:rPr>
        <w:t xml:space="preserve">) highlights both strengths and gaps. Foundation works were highly compliant across all sites, with nearly 100% adherence in excavation, rebar placement, strap beams, and column size. </w:t>
      </w:r>
      <w:proofErr w:type="spellStart"/>
      <w:r w:rsidRPr="009C5364">
        <w:rPr>
          <w:bCs/>
        </w:rPr>
        <w:t>Godawari</w:t>
      </w:r>
      <w:proofErr w:type="spellEnd"/>
      <w:r w:rsidRPr="009C5364">
        <w:rPr>
          <w:bCs/>
        </w:rPr>
        <w:t xml:space="preserve"> lagged in foundation size (85% compliance) and plinth beams (62%) compared to full compliance in </w:t>
      </w:r>
      <w:proofErr w:type="spellStart"/>
      <w:r w:rsidRPr="009C5364">
        <w:rPr>
          <w:bCs/>
        </w:rPr>
        <w:t>Sisne</w:t>
      </w:r>
      <w:proofErr w:type="spellEnd"/>
      <w:r w:rsidRPr="009C5364">
        <w:rPr>
          <w:bCs/>
        </w:rPr>
        <w:t xml:space="preserve"> and </w:t>
      </w:r>
      <w:proofErr w:type="spellStart"/>
      <w:r w:rsidRPr="009C5364">
        <w:rPr>
          <w:bCs/>
        </w:rPr>
        <w:t>Birendranagar</w:t>
      </w:r>
      <w:proofErr w:type="spellEnd"/>
      <w:r w:rsidRPr="009C5364">
        <w:rPr>
          <w:bCs/>
        </w:rPr>
        <w:t xml:space="preserve">. Beam compliance varied: </w:t>
      </w:r>
      <w:proofErr w:type="spellStart"/>
      <w:r w:rsidRPr="009C5364">
        <w:rPr>
          <w:bCs/>
        </w:rPr>
        <w:t>Godawari</w:t>
      </w:r>
      <w:proofErr w:type="spellEnd"/>
      <w:r w:rsidRPr="009C5364">
        <w:rPr>
          <w:bCs/>
        </w:rPr>
        <w:t xml:space="preserve"> (90%) outperformed both </w:t>
      </w:r>
      <w:proofErr w:type="spellStart"/>
      <w:r w:rsidRPr="009C5364">
        <w:rPr>
          <w:bCs/>
        </w:rPr>
        <w:t>Sisne</w:t>
      </w:r>
      <w:proofErr w:type="spellEnd"/>
      <w:r w:rsidRPr="009C5364">
        <w:rPr>
          <w:bCs/>
        </w:rPr>
        <w:t xml:space="preserve"> (78%) and </w:t>
      </w:r>
      <w:proofErr w:type="spellStart"/>
      <w:r w:rsidRPr="009C5364">
        <w:rPr>
          <w:bCs/>
        </w:rPr>
        <w:t>Birendranagar</w:t>
      </w:r>
      <w:proofErr w:type="spellEnd"/>
      <w:r w:rsidRPr="009C5364">
        <w:rPr>
          <w:bCs/>
        </w:rPr>
        <w:t xml:space="preserve"> (71%). Slab compliance was strong in </w:t>
      </w:r>
      <w:proofErr w:type="spellStart"/>
      <w:r w:rsidRPr="009C5364">
        <w:rPr>
          <w:bCs/>
        </w:rPr>
        <w:t>Godawari</w:t>
      </w:r>
      <w:proofErr w:type="spellEnd"/>
      <w:r w:rsidRPr="009C5364">
        <w:rPr>
          <w:bCs/>
        </w:rPr>
        <w:t xml:space="preserve"> (98%) and </w:t>
      </w:r>
      <w:proofErr w:type="spellStart"/>
      <w:r w:rsidRPr="009C5364">
        <w:rPr>
          <w:bCs/>
        </w:rPr>
        <w:t>Sisne</w:t>
      </w:r>
      <w:proofErr w:type="spellEnd"/>
      <w:r w:rsidRPr="009C5364">
        <w:rPr>
          <w:bCs/>
        </w:rPr>
        <w:t xml:space="preserve"> (100%) but weak in </w:t>
      </w:r>
      <w:proofErr w:type="spellStart"/>
      <w:r w:rsidRPr="009C5364">
        <w:rPr>
          <w:bCs/>
        </w:rPr>
        <w:t>Birendranagar</w:t>
      </w:r>
      <w:proofErr w:type="spellEnd"/>
      <w:r w:rsidRPr="009C5364">
        <w:rPr>
          <w:bCs/>
        </w:rPr>
        <w:t xml:space="preserve"> (65%).</w:t>
      </w:r>
    </w:p>
    <w:p w14:paraId="2AD83913" w14:textId="77777777" w:rsidR="00043668" w:rsidRPr="009C5364" w:rsidRDefault="00043668" w:rsidP="00043668">
      <w:pPr>
        <w:pStyle w:val="Caption"/>
        <w:spacing w:after="0"/>
        <w:rPr>
          <w:rFonts w:cs="Times New Roman"/>
          <w:i w:val="0"/>
          <w:iCs w:val="0"/>
          <w:color w:val="auto"/>
          <w:sz w:val="24"/>
          <w:szCs w:val="24"/>
        </w:rPr>
      </w:pPr>
      <w:r w:rsidRPr="009C5364">
        <w:rPr>
          <w:rFonts w:cs="Times New Roman"/>
          <w:i w:val="0"/>
          <w:iCs w:val="0"/>
          <w:color w:val="auto"/>
          <w:sz w:val="24"/>
          <w:szCs w:val="24"/>
        </w:rPr>
        <w:t>Table</w:t>
      </w:r>
      <w:r>
        <w:rPr>
          <w:rFonts w:cs="Times New Roman"/>
          <w:i w:val="0"/>
          <w:iCs w:val="0"/>
          <w:color w:val="auto"/>
          <w:sz w:val="24"/>
          <w:szCs w:val="24"/>
        </w:rPr>
        <w:t xml:space="preserve"> 4: </w:t>
      </w:r>
      <w:r w:rsidRPr="009C5364">
        <w:rPr>
          <w:rFonts w:cs="Times New Roman"/>
          <w:i w:val="0"/>
          <w:iCs w:val="0"/>
          <w:color w:val="auto"/>
          <w:sz w:val="24"/>
          <w:szCs w:val="24"/>
        </w:rPr>
        <w:t xml:space="preserve">Comparison with past research between </w:t>
      </w:r>
      <w:proofErr w:type="spellStart"/>
      <w:r w:rsidRPr="009C5364">
        <w:rPr>
          <w:rFonts w:cs="Times New Roman"/>
          <w:i w:val="0"/>
          <w:iCs w:val="0"/>
          <w:color w:val="auto"/>
          <w:sz w:val="24"/>
          <w:szCs w:val="24"/>
        </w:rPr>
        <w:t>Godawari</w:t>
      </w:r>
      <w:proofErr w:type="spellEnd"/>
      <w:r w:rsidRPr="009C5364">
        <w:rPr>
          <w:rFonts w:cs="Times New Roman"/>
          <w:i w:val="0"/>
          <w:iCs w:val="0"/>
          <w:color w:val="auto"/>
          <w:sz w:val="24"/>
          <w:szCs w:val="24"/>
        </w:rPr>
        <w:t xml:space="preserve"> Municipality, </w:t>
      </w:r>
      <w:proofErr w:type="spellStart"/>
      <w:r w:rsidRPr="009C5364">
        <w:rPr>
          <w:rFonts w:cs="Times New Roman"/>
          <w:i w:val="0"/>
          <w:iCs w:val="0"/>
          <w:color w:val="auto"/>
          <w:sz w:val="24"/>
          <w:szCs w:val="24"/>
        </w:rPr>
        <w:t>Sisne</w:t>
      </w:r>
      <w:proofErr w:type="spellEnd"/>
      <w:r w:rsidRPr="009C5364">
        <w:rPr>
          <w:rFonts w:cs="Times New Roman"/>
          <w:i w:val="0"/>
          <w:iCs w:val="0"/>
          <w:color w:val="auto"/>
          <w:sz w:val="24"/>
          <w:szCs w:val="24"/>
        </w:rPr>
        <w:t xml:space="preserve"> Rural Municipality and </w:t>
      </w:r>
      <w:proofErr w:type="spellStart"/>
      <w:r w:rsidRPr="009C5364">
        <w:rPr>
          <w:rFonts w:cs="Times New Roman"/>
          <w:i w:val="0"/>
          <w:iCs w:val="0"/>
          <w:color w:val="auto"/>
          <w:sz w:val="24"/>
          <w:szCs w:val="24"/>
        </w:rPr>
        <w:t>Birendranagar</w:t>
      </w:r>
      <w:proofErr w:type="spellEnd"/>
      <w:r w:rsidRPr="009C5364">
        <w:rPr>
          <w:rFonts w:cs="Times New Roman"/>
          <w:i w:val="0"/>
          <w:iCs w:val="0"/>
          <w:color w:val="auto"/>
          <w:sz w:val="24"/>
          <w:szCs w:val="24"/>
        </w:rPr>
        <w:t xml:space="preserve"> Municipality </w:t>
      </w:r>
    </w:p>
    <w:tbl>
      <w:tblPr>
        <w:tblStyle w:val="TableGrid"/>
        <w:tblW w:w="5000" w:type="pct"/>
        <w:tblCellMar>
          <w:left w:w="115" w:type="dxa"/>
          <w:right w:w="115" w:type="dxa"/>
        </w:tblCellMar>
        <w:tblLook w:val="04A0" w:firstRow="1" w:lastRow="0" w:firstColumn="1" w:lastColumn="0" w:noHBand="0" w:noVBand="1"/>
      </w:tblPr>
      <w:tblGrid>
        <w:gridCol w:w="444"/>
        <w:gridCol w:w="1268"/>
        <w:gridCol w:w="1134"/>
        <w:gridCol w:w="1108"/>
        <w:gridCol w:w="1134"/>
        <w:gridCol w:w="1108"/>
        <w:gridCol w:w="1134"/>
        <w:gridCol w:w="1108"/>
      </w:tblGrid>
      <w:tr w:rsidR="00043668" w:rsidRPr="009C5364" w14:paraId="7FE8ABB6" w14:textId="77777777" w:rsidTr="005A67B7">
        <w:trPr>
          <w:trHeight w:val="436"/>
        </w:trPr>
        <w:tc>
          <w:tcPr>
            <w:tcW w:w="240" w:type="pct"/>
            <w:vMerge w:val="restart"/>
            <w:vAlign w:val="center"/>
          </w:tcPr>
          <w:p w14:paraId="44124E44" w14:textId="77777777" w:rsidR="00043668" w:rsidRPr="009C5364" w:rsidRDefault="00043668" w:rsidP="00043668">
            <w:pPr>
              <w:jc w:val="both"/>
              <w:rPr>
                <w:b/>
                <w:bCs/>
              </w:rPr>
            </w:pPr>
            <w:r w:rsidRPr="009C5364">
              <w:rPr>
                <w:b/>
                <w:bCs/>
              </w:rPr>
              <w:t>S. No</w:t>
            </w:r>
          </w:p>
        </w:tc>
        <w:tc>
          <w:tcPr>
            <w:tcW w:w="759" w:type="pct"/>
            <w:vMerge w:val="restart"/>
            <w:vAlign w:val="center"/>
          </w:tcPr>
          <w:p w14:paraId="0D5161AB" w14:textId="77777777" w:rsidR="00043668" w:rsidRPr="009C5364" w:rsidRDefault="00043668" w:rsidP="00043668">
            <w:pPr>
              <w:jc w:val="both"/>
              <w:rPr>
                <w:b/>
                <w:bCs/>
              </w:rPr>
            </w:pPr>
            <w:r w:rsidRPr="009C5364">
              <w:rPr>
                <w:b/>
                <w:bCs/>
              </w:rPr>
              <w:t>Description of Parameter</w:t>
            </w:r>
          </w:p>
        </w:tc>
        <w:tc>
          <w:tcPr>
            <w:tcW w:w="1334" w:type="pct"/>
            <w:gridSpan w:val="2"/>
            <w:vAlign w:val="center"/>
          </w:tcPr>
          <w:p w14:paraId="061CA43B" w14:textId="77777777" w:rsidR="00043668" w:rsidRPr="009C5364" w:rsidRDefault="00043668" w:rsidP="00043668">
            <w:pPr>
              <w:jc w:val="both"/>
              <w:rPr>
                <w:b/>
                <w:bCs/>
              </w:rPr>
            </w:pPr>
            <w:proofErr w:type="spellStart"/>
            <w:r w:rsidRPr="009C5364">
              <w:rPr>
                <w:b/>
                <w:bCs/>
              </w:rPr>
              <w:t>Godawari</w:t>
            </w:r>
            <w:proofErr w:type="spellEnd"/>
            <w:r w:rsidRPr="009C5364">
              <w:rPr>
                <w:b/>
                <w:bCs/>
              </w:rPr>
              <w:t xml:space="preserve"> Municipality</w:t>
            </w:r>
          </w:p>
        </w:tc>
        <w:tc>
          <w:tcPr>
            <w:tcW w:w="1334" w:type="pct"/>
            <w:gridSpan w:val="2"/>
            <w:vAlign w:val="center"/>
          </w:tcPr>
          <w:p w14:paraId="13D52D60" w14:textId="77777777" w:rsidR="00043668" w:rsidRPr="009C5364" w:rsidRDefault="00043668" w:rsidP="00043668">
            <w:pPr>
              <w:jc w:val="both"/>
              <w:rPr>
                <w:b/>
                <w:bCs/>
              </w:rPr>
            </w:pPr>
            <w:proofErr w:type="spellStart"/>
            <w:r w:rsidRPr="009C5364">
              <w:rPr>
                <w:b/>
                <w:bCs/>
              </w:rPr>
              <w:t>Sisne</w:t>
            </w:r>
            <w:proofErr w:type="spellEnd"/>
            <w:r w:rsidRPr="009C5364">
              <w:rPr>
                <w:b/>
                <w:bCs/>
              </w:rPr>
              <w:t xml:space="preserve"> Rural Municipality</w:t>
            </w:r>
          </w:p>
        </w:tc>
        <w:tc>
          <w:tcPr>
            <w:tcW w:w="1334" w:type="pct"/>
            <w:gridSpan w:val="2"/>
            <w:vAlign w:val="center"/>
          </w:tcPr>
          <w:p w14:paraId="743A695B" w14:textId="77777777" w:rsidR="00043668" w:rsidRPr="009C5364" w:rsidRDefault="00043668" w:rsidP="00043668">
            <w:pPr>
              <w:jc w:val="both"/>
              <w:rPr>
                <w:b/>
                <w:bCs/>
              </w:rPr>
            </w:pPr>
            <w:proofErr w:type="spellStart"/>
            <w:r w:rsidRPr="009C5364">
              <w:rPr>
                <w:b/>
                <w:bCs/>
              </w:rPr>
              <w:t>Birendranagar</w:t>
            </w:r>
            <w:proofErr w:type="spellEnd"/>
            <w:r w:rsidRPr="009C5364">
              <w:rPr>
                <w:b/>
                <w:bCs/>
              </w:rPr>
              <w:t xml:space="preserve"> Municipality</w:t>
            </w:r>
          </w:p>
        </w:tc>
      </w:tr>
      <w:tr w:rsidR="00043668" w:rsidRPr="009C5364" w14:paraId="2F7B0CC8" w14:textId="77777777" w:rsidTr="005A67B7">
        <w:trPr>
          <w:trHeight w:val="978"/>
        </w:trPr>
        <w:tc>
          <w:tcPr>
            <w:tcW w:w="240" w:type="pct"/>
            <w:vMerge/>
            <w:vAlign w:val="center"/>
          </w:tcPr>
          <w:p w14:paraId="1C105570" w14:textId="77777777" w:rsidR="00043668" w:rsidRPr="009C5364" w:rsidRDefault="00043668" w:rsidP="00043668">
            <w:pPr>
              <w:jc w:val="both"/>
              <w:rPr>
                <w:b/>
                <w:bCs/>
              </w:rPr>
            </w:pPr>
          </w:p>
        </w:tc>
        <w:tc>
          <w:tcPr>
            <w:tcW w:w="759" w:type="pct"/>
            <w:vMerge/>
            <w:vAlign w:val="center"/>
          </w:tcPr>
          <w:p w14:paraId="39AA67F4" w14:textId="77777777" w:rsidR="00043668" w:rsidRPr="009C5364" w:rsidRDefault="00043668" w:rsidP="00043668">
            <w:pPr>
              <w:jc w:val="both"/>
              <w:rPr>
                <w:b/>
                <w:bCs/>
              </w:rPr>
            </w:pPr>
          </w:p>
        </w:tc>
        <w:tc>
          <w:tcPr>
            <w:tcW w:w="675" w:type="pct"/>
            <w:vAlign w:val="center"/>
          </w:tcPr>
          <w:p w14:paraId="5962D34E" w14:textId="77777777" w:rsidR="00043668" w:rsidRPr="009C5364" w:rsidRDefault="00043668" w:rsidP="00043668">
            <w:pPr>
              <w:jc w:val="both"/>
              <w:rPr>
                <w:b/>
                <w:bCs/>
              </w:rPr>
            </w:pPr>
            <w:r w:rsidRPr="009C5364">
              <w:rPr>
                <w:b/>
                <w:bCs/>
              </w:rPr>
              <w:t>Compliance (%)</w:t>
            </w:r>
          </w:p>
        </w:tc>
        <w:tc>
          <w:tcPr>
            <w:tcW w:w="659" w:type="pct"/>
            <w:vAlign w:val="center"/>
          </w:tcPr>
          <w:p w14:paraId="3F51451B" w14:textId="77777777" w:rsidR="00043668" w:rsidRPr="009C5364" w:rsidRDefault="00043668" w:rsidP="00043668">
            <w:pPr>
              <w:jc w:val="both"/>
              <w:rPr>
                <w:b/>
                <w:bCs/>
              </w:rPr>
            </w:pPr>
            <w:r w:rsidRPr="009C5364">
              <w:rPr>
                <w:b/>
                <w:bCs/>
              </w:rPr>
              <w:t>Non-compliance (%)</w:t>
            </w:r>
          </w:p>
        </w:tc>
        <w:tc>
          <w:tcPr>
            <w:tcW w:w="675" w:type="pct"/>
            <w:vAlign w:val="center"/>
          </w:tcPr>
          <w:p w14:paraId="2BD4FA9F" w14:textId="77777777" w:rsidR="00043668" w:rsidRPr="009C5364" w:rsidRDefault="00043668" w:rsidP="00043668">
            <w:pPr>
              <w:jc w:val="both"/>
              <w:rPr>
                <w:b/>
                <w:bCs/>
              </w:rPr>
            </w:pPr>
            <w:r w:rsidRPr="009C5364">
              <w:rPr>
                <w:b/>
                <w:bCs/>
              </w:rPr>
              <w:t>Compliance (%)</w:t>
            </w:r>
          </w:p>
        </w:tc>
        <w:tc>
          <w:tcPr>
            <w:tcW w:w="659" w:type="pct"/>
            <w:vAlign w:val="center"/>
          </w:tcPr>
          <w:p w14:paraId="249F6920" w14:textId="77777777" w:rsidR="00043668" w:rsidRPr="009C5364" w:rsidRDefault="00043668" w:rsidP="00043668">
            <w:pPr>
              <w:jc w:val="both"/>
              <w:rPr>
                <w:b/>
                <w:bCs/>
              </w:rPr>
            </w:pPr>
            <w:r w:rsidRPr="009C5364">
              <w:rPr>
                <w:b/>
                <w:bCs/>
              </w:rPr>
              <w:t>Non-compliance (%)</w:t>
            </w:r>
          </w:p>
        </w:tc>
        <w:tc>
          <w:tcPr>
            <w:tcW w:w="675" w:type="pct"/>
            <w:vAlign w:val="center"/>
          </w:tcPr>
          <w:p w14:paraId="1290AF6B" w14:textId="77777777" w:rsidR="00043668" w:rsidRPr="009C5364" w:rsidRDefault="00043668" w:rsidP="00043668">
            <w:pPr>
              <w:jc w:val="both"/>
              <w:rPr>
                <w:b/>
                <w:bCs/>
              </w:rPr>
            </w:pPr>
            <w:r w:rsidRPr="009C5364">
              <w:rPr>
                <w:b/>
                <w:bCs/>
              </w:rPr>
              <w:t>Compliance (%)</w:t>
            </w:r>
          </w:p>
        </w:tc>
        <w:tc>
          <w:tcPr>
            <w:tcW w:w="659" w:type="pct"/>
            <w:vAlign w:val="center"/>
          </w:tcPr>
          <w:p w14:paraId="53A65797" w14:textId="77777777" w:rsidR="00043668" w:rsidRPr="009C5364" w:rsidRDefault="00043668" w:rsidP="00043668">
            <w:pPr>
              <w:jc w:val="both"/>
              <w:rPr>
                <w:b/>
                <w:bCs/>
              </w:rPr>
            </w:pPr>
            <w:r w:rsidRPr="009C5364">
              <w:rPr>
                <w:b/>
                <w:bCs/>
              </w:rPr>
              <w:t>Non-compliance (%)</w:t>
            </w:r>
          </w:p>
        </w:tc>
      </w:tr>
      <w:tr w:rsidR="00043668" w:rsidRPr="009C5364" w14:paraId="79A063CB" w14:textId="77777777" w:rsidTr="005A67B7">
        <w:trPr>
          <w:trHeight w:val="771"/>
        </w:trPr>
        <w:tc>
          <w:tcPr>
            <w:tcW w:w="240" w:type="pct"/>
            <w:vAlign w:val="center"/>
          </w:tcPr>
          <w:p w14:paraId="1EA60EBA" w14:textId="77777777" w:rsidR="00043668" w:rsidRPr="009C5364" w:rsidRDefault="00043668" w:rsidP="00043668">
            <w:pPr>
              <w:jc w:val="both"/>
              <w:rPr>
                <w:color w:val="000000"/>
                <w:szCs w:val="24"/>
              </w:rPr>
            </w:pPr>
            <w:r w:rsidRPr="009C5364">
              <w:t>1</w:t>
            </w:r>
          </w:p>
        </w:tc>
        <w:tc>
          <w:tcPr>
            <w:tcW w:w="759" w:type="pct"/>
            <w:vAlign w:val="center"/>
          </w:tcPr>
          <w:p w14:paraId="638FC6A4" w14:textId="77777777" w:rsidR="00043668" w:rsidRPr="009C5364" w:rsidRDefault="00043668" w:rsidP="00043668">
            <w:pPr>
              <w:jc w:val="both"/>
            </w:pPr>
            <w:r w:rsidRPr="009C5364">
              <w:t>Depth of Excavation in the foundation</w:t>
            </w:r>
          </w:p>
        </w:tc>
        <w:tc>
          <w:tcPr>
            <w:tcW w:w="675" w:type="pct"/>
            <w:vAlign w:val="center"/>
          </w:tcPr>
          <w:p w14:paraId="1DC46FF3" w14:textId="77777777" w:rsidR="00043668" w:rsidRPr="009C5364" w:rsidRDefault="00043668" w:rsidP="00043668">
            <w:pPr>
              <w:jc w:val="both"/>
            </w:pPr>
            <w:r w:rsidRPr="009C5364">
              <w:t>92.3</w:t>
            </w:r>
          </w:p>
        </w:tc>
        <w:tc>
          <w:tcPr>
            <w:tcW w:w="659" w:type="pct"/>
            <w:vAlign w:val="center"/>
          </w:tcPr>
          <w:p w14:paraId="1407861C" w14:textId="77777777" w:rsidR="00043668" w:rsidRPr="009C5364" w:rsidRDefault="00043668" w:rsidP="00043668">
            <w:pPr>
              <w:jc w:val="both"/>
            </w:pPr>
            <w:r w:rsidRPr="009C5364">
              <w:t>7.7</w:t>
            </w:r>
          </w:p>
        </w:tc>
        <w:tc>
          <w:tcPr>
            <w:tcW w:w="675" w:type="pct"/>
            <w:vAlign w:val="center"/>
          </w:tcPr>
          <w:p w14:paraId="7FB0A8EC" w14:textId="77777777" w:rsidR="00043668" w:rsidRPr="009C5364" w:rsidRDefault="00043668" w:rsidP="00043668">
            <w:pPr>
              <w:jc w:val="both"/>
            </w:pPr>
            <w:r w:rsidRPr="009C5364">
              <w:t>100</w:t>
            </w:r>
          </w:p>
        </w:tc>
        <w:tc>
          <w:tcPr>
            <w:tcW w:w="659" w:type="pct"/>
            <w:vAlign w:val="center"/>
          </w:tcPr>
          <w:p w14:paraId="374D7440" w14:textId="77777777" w:rsidR="00043668" w:rsidRPr="009C5364" w:rsidRDefault="00043668" w:rsidP="00043668">
            <w:pPr>
              <w:jc w:val="both"/>
            </w:pPr>
            <w:r w:rsidRPr="009C5364">
              <w:t>-</w:t>
            </w:r>
          </w:p>
        </w:tc>
        <w:tc>
          <w:tcPr>
            <w:tcW w:w="675" w:type="pct"/>
            <w:vAlign w:val="center"/>
          </w:tcPr>
          <w:p w14:paraId="3171814F" w14:textId="77777777" w:rsidR="00043668" w:rsidRPr="009C5364" w:rsidRDefault="00043668" w:rsidP="00043668">
            <w:pPr>
              <w:jc w:val="both"/>
            </w:pPr>
            <w:r w:rsidRPr="009C5364">
              <w:t>100</w:t>
            </w:r>
          </w:p>
        </w:tc>
        <w:tc>
          <w:tcPr>
            <w:tcW w:w="659" w:type="pct"/>
            <w:vAlign w:val="center"/>
          </w:tcPr>
          <w:p w14:paraId="6A7A872B" w14:textId="77777777" w:rsidR="00043668" w:rsidRPr="009C5364" w:rsidRDefault="00043668" w:rsidP="00043668">
            <w:pPr>
              <w:jc w:val="both"/>
            </w:pPr>
            <w:r w:rsidRPr="009C5364">
              <w:t>-</w:t>
            </w:r>
          </w:p>
        </w:tc>
      </w:tr>
      <w:tr w:rsidR="00043668" w:rsidRPr="009C5364" w14:paraId="0924C8EB" w14:textId="77777777" w:rsidTr="005A67B7">
        <w:trPr>
          <w:trHeight w:val="583"/>
        </w:trPr>
        <w:tc>
          <w:tcPr>
            <w:tcW w:w="240" w:type="pct"/>
            <w:vAlign w:val="center"/>
          </w:tcPr>
          <w:p w14:paraId="19216786" w14:textId="77777777" w:rsidR="00043668" w:rsidRPr="009C5364" w:rsidRDefault="00043668" w:rsidP="00043668">
            <w:pPr>
              <w:jc w:val="both"/>
              <w:rPr>
                <w:color w:val="000000"/>
                <w:szCs w:val="24"/>
              </w:rPr>
            </w:pPr>
            <w:r w:rsidRPr="009C5364">
              <w:t>2</w:t>
            </w:r>
          </w:p>
        </w:tc>
        <w:tc>
          <w:tcPr>
            <w:tcW w:w="759" w:type="pct"/>
            <w:vAlign w:val="center"/>
          </w:tcPr>
          <w:p w14:paraId="318D2E10" w14:textId="77777777" w:rsidR="00043668" w:rsidRPr="009C5364" w:rsidRDefault="00043668" w:rsidP="00043668">
            <w:pPr>
              <w:jc w:val="both"/>
            </w:pPr>
            <w:r w:rsidRPr="009C5364">
              <w:t>Foundation Construction</w:t>
            </w:r>
          </w:p>
        </w:tc>
        <w:tc>
          <w:tcPr>
            <w:tcW w:w="675" w:type="pct"/>
            <w:vAlign w:val="center"/>
          </w:tcPr>
          <w:p w14:paraId="102CE000" w14:textId="77777777" w:rsidR="00043668" w:rsidRPr="009C5364" w:rsidRDefault="00043668" w:rsidP="00043668">
            <w:pPr>
              <w:jc w:val="both"/>
            </w:pPr>
          </w:p>
        </w:tc>
        <w:tc>
          <w:tcPr>
            <w:tcW w:w="659" w:type="pct"/>
            <w:vAlign w:val="center"/>
          </w:tcPr>
          <w:p w14:paraId="249A1EB8" w14:textId="77777777" w:rsidR="00043668" w:rsidRPr="009C5364" w:rsidRDefault="00043668" w:rsidP="00043668">
            <w:pPr>
              <w:jc w:val="both"/>
            </w:pPr>
          </w:p>
        </w:tc>
        <w:tc>
          <w:tcPr>
            <w:tcW w:w="675" w:type="pct"/>
            <w:vAlign w:val="center"/>
          </w:tcPr>
          <w:p w14:paraId="47992D98" w14:textId="77777777" w:rsidR="00043668" w:rsidRPr="009C5364" w:rsidRDefault="00043668" w:rsidP="00043668">
            <w:pPr>
              <w:jc w:val="both"/>
            </w:pPr>
          </w:p>
        </w:tc>
        <w:tc>
          <w:tcPr>
            <w:tcW w:w="659" w:type="pct"/>
            <w:vAlign w:val="center"/>
          </w:tcPr>
          <w:p w14:paraId="5A76F543" w14:textId="77777777" w:rsidR="00043668" w:rsidRPr="009C5364" w:rsidRDefault="00043668" w:rsidP="00043668">
            <w:pPr>
              <w:jc w:val="both"/>
            </w:pPr>
          </w:p>
        </w:tc>
        <w:tc>
          <w:tcPr>
            <w:tcW w:w="675" w:type="pct"/>
            <w:vAlign w:val="center"/>
          </w:tcPr>
          <w:p w14:paraId="20ABEB66" w14:textId="77777777" w:rsidR="00043668" w:rsidRPr="009C5364" w:rsidRDefault="00043668" w:rsidP="00043668">
            <w:pPr>
              <w:jc w:val="both"/>
            </w:pPr>
          </w:p>
        </w:tc>
        <w:tc>
          <w:tcPr>
            <w:tcW w:w="659" w:type="pct"/>
            <w:vAlign w:val="center"/>
          </w:tcPr>
          <w:p w14:paraId="7E727CA5" w14:textId="77777777" w:rsidR="00043668" w:rsidRPr="009C5364" w:rsidRDefault="00043668" w:rsidP="00043668">
            <w:pPr>
              <w:jc w:val="both"/>
            </w:pPr>
          </w:p>
        </w:tc>
      </w:tr>
      <w:tr w:rsidR="00043668" w:rsidRPr="009C5364" w14:paraId="05D49A56" w14:textId="77777777" w:rsidTr="005A67B7">
        <w:trPr>
          <w:trHeight w:val="566"/>
        </w:trPr>
        <w:tc>
          <w:tcPr>
            <w:tcW w:w="240" w:type="pct"/>
            <w:vAlign w:val="center"/>
          </w:tcPr>
          <w:p w14:paraId="633CA654" w14:textId="77777777" w:rsidR="00043668" w:rsidRPr="009C5364" w:rsidRDefault="00043668" w:rsidP="00043668">
            <w:pPr>
              <w:jc w:val="both"/>
            </w:pPr>
            <w:r w:rsidRPr="009C5364">
              <w:t>a</w:t>
            </w:r>
          </w:p>
        </w:tc>
        <w:tc>
          <w:tcPr>
            <w:tcW w:w="759" w:type="pct"/>
            <w:vAlign w:val="center"/>
          </w:tcPr>
          <w:p w14:paraId="28C5BEE2" w14:textId="77777777" w:rsidR="00043668" w:rsidRPr="009C5364" w:rsidRDefault="00043668" w:rsidP="00043668">
            <w:pPr>
              <w:jc w:val="both"/>
            </w:pPr>
            <w:r w:rsidRPr="009C5364">
              <w:t>Size</w:t>
            </w:r>
          </w:p>
        </w:tc>
        <w:tc>
          <w:tcPr>
            <w:tcW w:w="675" w:type="pct"/>
            <w:vAlign w:val="center"/>
          </w:tcPr>
          <w:p w14:paraId="453899D3" w14:textId="77777777" w:rsidR="00043668" w:rsidRPr="009C5364" w:rsidRDefault="00043668" w:rsidP="00043668">
            <w:pPr>
              <w:jc w:val="both"/>
            </w:pPr>
            <w:r w:rsidRPr="009C5364">
              <w:t>84.6</w:t>
            </w:r>
          </w:p>
        </w:tc>
        <w:tc>
          <w:tcPr>
            <w:tcW w:w="659" w:type="pct"/>
            <w:vAlign w:val="center"/>
          </w:tcPr>
          <w:p w14:paraId="2772168F" w14:textId="77777777" w:rsidR="00043668" w:rsidRPr="009C5364" w:rsidRDefault="00043668" w:rsidP="00043668">
            <w:pPr>
              <w:jc w:val="both"/>
            </w:pPr>
            <w:r w:rsidRPr="009C5364">
              <w:t>15.4</w:t>
            </w:r>
          </w:p>
        </w:tc>
        <w:tc>
          <w:tcPr>
            <w:tcW w:w="675" w:type="pct"/>
            <w:vAlign w:val="center"/>
          </w:tcPr>
          <w:p w14:paraId="5ED83CCC" w14:textId="77777777" w:rsidR="00043668" w:rsidRPr="009C5364" w:rsidRDefault="00043668" w:rsidP="00043668">
            <w:pPr>
              <w:jc w:val="both"/>
            </w:pPr>
            <w:r w:rsidRPr="009C5364">
              <w:t>100</w:t>
            </w:r>
          </w:p>
        </w:tc>
        <w:tc>
          <w:tcPr>
            <w:tcW w:w="659" w:type="pct"/>
            <w:vAlign w:val="center"/>
          </w:tcPr>
          <w:p w14:paraId="28A13793" w14:textId="77777777" w:rsidR="00043668" w:rsidRPr="009C5364" w:rsidRDefault="00043668" w:rsidP="00043668">
            <w:pPr>
              <w:jc w:val="both"/>
            </w:pPr>
            <w:r w:rsidRPr="009C5364">
              <w:t>-</w:t>
            </w:r>
          </w:p>
        </w:tc>
        <w:tc>
          <w:tcPr>
            <w:tcW w:w="675" w:type="pct"/>
            <w:vAlign w:val="center"/>
          </w:tcPr>
          <w:p w14:paraId="4BDDD798" w14:textId="77777777" w:rsidR="00043668" w:rsidRPr="009C5364" w:rsidRDefault="00043668" w:rsidP="00043668">
            <w:pPr>
              <w:jc w:val="both"/>
            </w:pPr>
            <w:r w:rsidRPr="009C5364">
              <w:t>100</w:t>
            </w:r>
          </w:p>
        </w:tc>
        <w:tc>
          <w:tcPr>
            <w:tcW w:w="659" w:type="pct"/>
            <w:vAlign w:val="center"/>
          </w:tcPr>
          <w:p w14:paraId="18A4D037" w14:textId="77777777" w:rsidR="00043668" w:rsidRPr="009C5364" w:rsidRDefault="00043668" w:rsidP="00043668">
            <w:pPr>
              <w:jc w:val="both"/>
            </w:pPr>
            <w:r w:rsidRPr="009C5364">
              <w:t>-</w:t>
            </w:r>
          </w:p>
        </w:tc>
      </w:tr>
      <w:tr w:rsidR="00043668" w:rsidRPr="009C5364" w14:paraId="70340802" w14:textId="77777777" w:rsidTr="005A67B7">
        <w:trPr>
          <w:trHeight w:val="583"/>
        </w:trPr>
        <w:tc>
          <w:tcPr>
            <w:tcW w:w="240" w:type="pct"/>
            <w:vAlign w:val="center"/>
          </w:tcPr>
          <w:p w14:paraId="48318C3D" w14:textId="77777777" w:rsidR="00043668" w:rsidRPr="009C5364" w:rsidRDefault="00043668" w:rsidP="00043668">
            <w:pPr>
              <w:jc w:val="both"/>
            </w:pPr>
            <w:r w:rsidRPr="009C5364">
              <w:t>b</w:t>
            </w:r>
          </w:p>
        </w:tc>
        <w:tc>
          <w:tcPr>
            <w:tcW w:w="759" w:type="pct"/>
            <w:vAlign w:val="center"/>
          </w:tcPr>
          <w:p w14:paraId="2FDDE670" w14:textId="77777777" w:rsidR="00043668" w:rsidRPr="009C5364" w:rsidRDefault="00043668" w:rsidP="00043668">
            <w:pPr>
              <w:jc w:val="both"/>
            </w:pPr>
            <w:r w:rsidRPr="009C5364">
              <w:t>Rebar placement and Size</w:t>
            </w:r>
          </w:p>
        </w:tc>
        <w:tc>
          <w:tcPr>
            <w:tcW w:w="675" w:type="pct"/>
            <w:vAlign w:val="center"/>
          </w:tcPr>
          <w:p w14:paraId="6EDE2E34" w14:textId="77777777" w:rsidR="00043668" w:rsidRPr="009C5364" w:rsidRDefault="00043668" w:rsidP="00043668">
            <w:pPr>
              <w:jc w:val="both"/>
            </w:pPr>
            <w:r w:rsidRPr="009C5364">
              <w:t>100</w:t>
            </w:r>
          </w:p>
        </w:tc>
        <w:tc>
          <w:tcPr>
            <w:tcW w:w="659" w:type="pct"/>
            <w:vAlign w:val="center"/>
          </w:tcPr>
          <w:p w14:paraId="5C9F60B9" w14:textId="77777777" w:rsidR="00043668" w:rsidRPr="009C5364" w:rsidRDefault="00043668" w:rsidP="00043668">
            <w:pPr>
              <w:jc w:val="both"/>
            </w:pPr>
            <w:r w:rsidRPr="009C5364">
              <w:t>-</w:t>
            </w:r>
          </w:p>
        </w:tc>
        <w:tc>
          <w:tcPr>
            <w:tcW w:w="675" w:type="pct"/>
            <w:vAlign w:val="center"/>
          </w:tcPr>
          <w:p w14:paraId="694E7F55" w14:textId="77777777" w:rsidR="00043668" w:rsidRPr="009C5364" w:rsidRDefault="00043668" w:rsidP="00043668">
            <w:pPr>
              <w:jc w:val="both"/>
            </w:pPr>
            <w:r w:rsidRPr="009C5364">
              <w:t>100</w:t>
            </w:r>
          </w:p>
        </w:tc>
        <w:tc>
          <w:tcPr>
            <w:tcW w:w="659" w:type="pct"/>
            <w:vAlign w:val="center"/>
          </w:tcPr>
          <w:p w14:paraId="0377CFD3" w14:textId="77777777" w:rsidR="00043668" w:rsidRPr="009C5364" w:rsidRDefault="00043668" w:rsidP="00043668">
            <w:pPr>
              <w:jc w:val="both"/>
            </w:pPr>
            <w:r w:rsidRPr="009C5364">
              <w:t>-</w:t>
            </w:r>
          </w:p>
        </w:tc>
        <w:tc>
          <w:tcPr>
            <w:tcW w:w="675" w:type="pct"/>
            <w:vAlign w:val="center"/>
          </w:tcPr>
          <w:p w14:paraId="266C935E" w14:textId="77777777" w:rsidR="00043668" w:rsidRPr="009C5364" w:rsidRDefault="00043668" w:rsidP="00043668">
            <w:pPr>
              <w:jc w:val="both"/>
            </w:pPr>
            <w:r w:rsidRPr="009C5364">
              <w:t>100</w:t>
            </w:r>
          </w:p>
        </w:tc>
        <w:tc>
          <w:tcPr>
            <w:tcW w:w="659" w:type="pct"/>
            <w:vAlign w:val="center"/>
          </w:tcPr>
          <w:p w14:paraId="2E5E3C17" w14:textId="77777777" w:rsidR="00043668" w:rsidRPr="009C5364" w:rsidRDefault="00043668" w:rsidP="00043668">
            <w:pPr>
              <w:jc w:val="both"/>
            </w:pPr>
            <w:r w:rsidRPr="009C5364">
              <w:t>-</w:t>
            </w:r>
          </w:p>
        </w:tc>
      </w:tr>
      <w:tr w:rsidR="00043668" w:rsidRPr="009C5364" w14:paraId="0C3CA853" w14:textId="77777777" w:rsidTr="005A67B7">
        <w:trPr>
          <w:trHeight w:val="583"/>
        </w:trPr>
        <w:tc>
          <w:tcPr>
            <w:tcW w:w="240" w:type="pct"/>
            <w:vAlign w:val="center"/>
          </w:tcPr>
          <w:p w14:paraId="172423C6" w14:textId="77777777" w:rsidR="00043668" w:rsidRPr="009C5364" w:rsidRDefault="00043668" w:rsidP="00043668">
            <w:pPr>
              <w:jc w:val="both"/>
            </w:pPr>
            <w:r w:rsidRPr="009C5364">
              <w:t>c</w:t>
            </w:r>
          </w:p>
        </w:tc>
        <w:tc>
          <w:tcPr>
            <w:tcW w:w="759" w:type="pct"/>
            <w:vAlign w:val="center"/>
          </w:tcPr>
          <w:p w14:paraId="607D1DE6" w14:textId="77777777" w:rsidR="00043668" w:rsidRPr="009C5364" w:rsidRDefault="00043668" w:rsidP="00043668">
            <w:pPr>
              <w:jc w:val="both"/>
            </w:pPr>
            <w:r w:rsidRPr="009C5364">
              <w:t>Strap beam</w:t>
            </w:r>
          </w:p>
        </w:tc>
        <w:tc>
          <w:tcPr>
            <w:tcW w:w="675" w:type="pct"/>
            <w:vAlign w:val="center"/>
          </w:tcPr>
          <w:p w14:paraId="3AF0D885" w14:textId="77777777" w:rsidR="00043668" w:rsidRPr="009C5364" w:rsidRDefault="00043668" w:rsidP="00043668">
            <w:pPr>
              <w:jc w:val="both"/>
            </w:pPr>
            <w:r w:rsidRPr="009C5364">
              <w:t>100</w:t>
            </w:r>
          </w:p>
        </w:tc>
        <w:tc>
          <w:tcPr>
            <w:tcW w:w="659" w:type="pct"/>
            <w:vAlign w:val="center"/>
          </w:tcPr>
          <w:p w14:paraId="44AF4999" w14:textId="77777777" w:rsidR="00043668" w:rsidRPr="009C5364" w:rsidRDefault="00043668" w:rsidP="00043668">
            <w:pPr>
              <w:jc w:val="both"/>
            </w:pPr>
            <w:r w:rsidRPr="009C5364">
              <w:t>-</w:t>
            </w:r>
          </w:p>
        </w:tc>
        <w:tc>
          <w:tcPr>
            <w:tcW w:w="675" w:type="pct"/>
            <w:vAlign w:val="center"/>
          </w:tcPr>
          <w:p w14:paraId="13A73FE9" w14:textId="77777777" w:rsidR="00043668" w:rsidRPr="009C5364" w:rsidRDefault="00043668" w:rsidP="00043668">
            <w:pPr>
              <w:jc w:val="both"/>
            </w:pPr>
            <w:r w:rsidRPr="009C5364">
              <w:t>100</w:t>
            </w:r>
          </w:p>
        </w:tc>
        <w:tc>
          <w:tcPr>
            <w:tcW w:w="659" w:type="pct"/>
            <w:vAlign w:val="center"/>
          </w:tcPr>
          <w:p w14:paraId="124B9282" w14:textId="77777777" w:rsidR="00043668" w:rsidRPr="009C5364" w:rsidRDefault="00043668" w:rsidP="00043668">
            <w:pPr>
              <w:jc w:val="both"/>
            </w:pPr>
            <w:r w:rsidRPr="009C5364">
              <w:t>-</w:t>
            </w:r>
          </w:p>
        </w:tc>
        <w:tc>
          <w:tcPr>
            <w:tcW w:w="675" w:type="pct"/>
            <w:vAlign w:val="center"/>
          </w:tcPr>
          <w:p w14:paraId="784035ED" w14:textId="77777777" w:rsidR="00043668" w:rsidRPr="009C5364" w:rsidRDefault="00043668" w:rsidP="00043668">
            <w:pPr>
              <w:jc w:val="both"/>
            </w:pPr>
            <w:r w:rsidRPr="009C5364">
              <w:t>-</w:t>
            </w:r>
          </w:p>
        </w:tc>
        <w:tc>
          <w:tcPr>
            <w:tcW w:w="659" w:type="pct"/>
            <w:vAlign w:val="center"/>
          </w:tcPr>
          <w:p w14:paraId="5261C7D9" w14:textId="77777777" w:rsidR="00043668" w:rsidRPr="009C5364" w:rsidRDefault="00043668" w:rsidP="00043668">
            <w:pPr>
              <w:jc w:val="both"/>
            </w:pPr>
            <w:r w:rsidRPr="009C5364">
              <w:t>-</w:t>
            </w:r>
          </w:p>
        </w:tc>
      </w:tr>
      <w:tr w:rsidR="00043668" w:rsidRPr="009C5364" w14:paraId="0F3772EB" w14:textId="77777777" w:rsidTr="005A67B7">
        <w:trPr>
          <w:trHeight w:val="566"/>
        </w:trPr>
        <w:tc>
          <w:tcPr>
            <w:tcW w:w="240" w:type="pct"/>
            <w:vAlign w:val="center"/>
          </w:tcPr>
          <w:p w14:paraId="0E123F7D" w14:textId="77777777" w:rsidR="00043668" w:rsidRPr="009C5364" w:rsidRDefault="00043668" w:rsidP="00043668">
            <w:pPr>
              <w:jc w:val="both"/>
            </w:pPr>
            <w:r w:rsidRPr="009C5364">
              <w:lastRenderedPageBreak/>
              <w:t>3</w:t>
            </w:r>
          </w:p>
        </w:tc>
        <w:tc>
          <w:tcPr>
            <w:tcW w:w="759" w:type="pct"/>
            <w:vAlign w:val="center"/>
          </w:tcPr>
          <w:p w14:paraId="6D1A4EE3" w14:textId="77777777" w:rsidR="00043668" w:rsidRPr="009C5364" w:rsidRDefault="00043668" w:rsidP="00043668">
            <w:pPr>
              <w:jc w:val="both"/>
            </w:pPr>
            <w:r w:rsidRPr="009C5364">
              <w:t>Column Size and Position</w:t>
            </w:r>
          </w:p>
        </w:tc>
        <w:tc>
          <w:tcPr>
            <w:tcW w:w="675" w:type="pct"/>
            <w:vAlign w:val="center"/>
          </w:tcPr>
          <w:p w14:paraId="25514850" w14:textId="77777777" w:rsidR="00043668" w:rsidRPr="009C5364" w:rsidRDefault="00043668" w:rsidP="00043668">
            <w:pPr>
              <w:jc w:val="both"/>
            </w:pPr>
            <w:r w:rsidRPr="009C5364">
              <w:t>100</w:t>
            </w:r>
          </w:p>
        </w:tc>
        <w:tc>
          <w:tcPr>
            <w:tcW w:w="659" w:type="pct"/>
            <w:vAlign w:val="center"/>
          </w:tcPr>
          <w:p w14:paraId="3A4FE3A1" w14:textId="77777777" w:rsidR="00043668" w:rsidRPr="009C5364" w:rsidRDefault="00043668" w:rsidP="00043668">
            <w:pPr>
              <w:jc w:val="both"/>
            </w:pPr>
            <w:r w:rsidRPr="009C5364">
              <w:t>-</w:t>
            </w:r>
          </w:p>
        </w:tc>
        <w:tc>
          <w:tcPr>
            <w:tcW w:w="675" w:type="pct"/>
            <w:vAlign w:val="center"/>
          </w:tcPr>
          <w:p w14:paraId="25DC64AB" w14:textId="77777777" w:rsidR="00043668" w:rsidRPr="009C5364" w:rsidRDefault="00043668" w:rsidP="00043668">
            <w:pPr>
              <w:jc w:val="both"/>
            </w:pPr>
            <w:r w:rsidRPr="009C5364">
              <w:t>100</w:t>
            </w:r>
          </w:p>
        </w:tc>
        <w:tc>
          <w:tcPr>
            <w:tcW w:w="659" w:type="pct"/>
            <w:vAlign w:val="center"/>
          </w:tcPr>
          <w:p w14:paraId="130EAB0C" w14:textId="77777777" w:rsidR="00043668" w:rsidRPr="009C5364" w:rsidRDefault="00043668" w:rsidP="00043668">
            <w:pPr>
              <w:jc w:val="both"/>
            </w:pPr>
            <w:r w:rsidRPr="009C5364">
              <w:t>-</w:t>
            </w:r>
          </w:p>
        </w:tc>
        <w:tc>
          <w:tcPr>
            <w:tcW w:w="675" w:type="pct"/>
            <w:vAlign w:val="center"/>
          </w:tcPr>
          <w:p w14:paraId="34C4A44E" w14:textId="77777777" w:rsidR="00043668" w:rsidRPr="009C5364" w:rsidRDefault="00043668" w:rsidP="00043668">
            <w:pPr>
              <w:jc w:val="both"/>
            </w:pPr>
            <w:r w:rsidRPr="009C5364">
              <w:t>90.9</w:t>
            </w:r>
          </w:p>
        </w:tc>
        <w:tc>
          <w:tcPr>
            <w:tcW w:w="659" w:type="pct"/>
            <w:vAlign w:val="center"/>
          </w:tcPr>
          <w:p w14:paraId="76E01FF8" w14:textId="77777777" w:rsidR="00043668" w:rsidRPr="009C5364" w:rsidRDefault="00043668" w:rsidP="00043668">
            <w:pPr>
              <w:jc w:val="both"/>
            </w:pPr>
            <w:r w:rsidRPr="009C5364">
              <w:t>9.1</w:t>
            </w:r>
          </w:p>
        </w:tc>
      </w:tr>
      <w:tr w:rsidR="00043668" w:rsidRPr="009C5364" w14:paraId="502FC239" w14:textId="77777777" w:rsidTr="005A67B7">
        <w:trPr>
          <w:trHeight w:val="583"/>
        </w:trPr>
        <w:tc>
          <w:tcPr>
            <w:tcW w:w="240" w:type="pct"/>
            <w:vAlign w:val="center"/>
          </w:tcPr>
          <w:p w14:paraId="5D4064BB" w14:textId="77777777" w:rsidR="00043668" w:rsidRPr="009C5364" w:rsidRDefault="00043668" w:rsidP="00043668">
            <w:pPr>
              <w:jc w:val="both"/>
            </w:pPr>
            <w:r w:rsidRPr="009C5364">
              <w:t>4</w:t>
            </w:r>
          </w:p>
        </w:tc>
        <w:tc>
          <w:tcPr>
            <w:tcW w:w="759" w:type="pct"/>
            <w:vAlign w:val="center"/>
          </w:tcPr>
          <w:p w14:paraId="0A653F17" w14:textId="77777777" w:rsidR="00043668" w:rsidRPr="009C5364" w:rsidRDefault="00043668" w:rsidP="00043668">
            <w:pPr>
              <w:jc w:val="both"/>
            </w:pPr>
            <w:r w:rsidRPr="009C5364">
              <w:t>Beam Size and Position</w:t>
            </w:r>
          </w:p>
        </w:tc>
        <w:tc>
          <w:tcPr>
            <w:tcW w:w="675" w:type="pct"/>
            <w:vAlign w:val="center"/>
          </w:tcPr>
          <w:p w14:paraId="69321112" w14:textId="77777777" w:rsidR="00043668" w:rsidRPr="009C5364" w:rsidRDefault="00043668" w:rsidP="00043668">
            <w:pPr>
              <w:jc w:val="both"/>
            </w:pPr>
          </w:p>
        </w:tc>
        <w:tc>
          <w:tcPr>
            <w:tcW w:w="659" w:type="pct"/>
            <w:vAlign w:val="center"/>
          </w:tcPr>
          <w:p w14:paraId="40C5D6D3" w14:textId="77777777" w:rsidR="00043668" w:rsidRPr="009C5364" w:rsidRDefault="00043668" w:rsidP="00043668">
            <w:pPr>
              <w:jc w:val="both"/>
            </w:pPr>
          </w:p>
        </w:tc>
        <w:tc>
          <w:tcPr>
            <w:tcW w:w="675" w:type="pct"/>
            <w:vAlign w:val="center"/>
          </w:tcPr>
          <w:p w14:paraId="00CF3D17" w14:textId="77777777" w:rsidR="00043668" w:rsidRPr="009C5364" w:rsidRDefault="00043668" w:rsidP="00043668">
            <w:pPr>
              <w:jc w:val="both"/>
            </w:pPr>
          </w:p>
        </w:tc>
        <w:tc>
          <w:tcPr>
            <w:tcW w:w="659" w:type="pct"/>
            <w:vAlign w:val="center"/>
          </w:tcPr>
          <w:p w14:paraId="29674611" w14:textId="77777777" w:rsidR="00043668" w:rsidRPr="009C5364" w:rsidRDefault="00043668" w:rsidP="00043668">
            <w:pPr>
              <w:jc w:val="both"/>
            </w:pPr>
          </w:p>
        </w:tc>
        <w:tc>
          <w:tcPr>
            <w:tcW w:w="675" w:type="pct"/>
            <w:vAlign w:val="center"/>
          </w:tcPr>
          <w:p w14:paraId="79F7C22E" w14:textId="77777777" w:rsidR="00043668" w:rsidRPr="009C5364" w:rsidRDefault="00043668" w:rsidP="00043668">
            <w:pPr>
              <w:jc w:val="both"/>
            </w:pPr>
          </w:p>
        </w:tc>
        <w:tc>
          <w:tcPr>
            <w:tcW w:w="659" w:type="pct"/>
            <w:vAlign w:val="center"/>
          </w:tcPr>
          <w:p w14:paraId="30E15968" w14:textId="77777777" w:rsidR="00043668" w:rsidRPr="009C5364" w:rsidRDefault="00043668" w:rsidP="00043668">
            <w:pPr>
              <w:jc w:val="both"/>
            </w:pPr>
          </w:p>
        </w:tc>
      </w:tr>
      <w:tr w:rsidR="00043668" w:rsidRPr="009C5364" w14:paraId="07CB2F1A" w14:textId="77777777" w:rsidTr="005A67B7">
        <w:trPr>
          <w:trHeight w:val="583"/>
        </w:trPr>
        <w:tc>
          <w:tcPr>
            <w:tcW w:w="240" w:type="pct"/>
            <w:vAlign w:val="center"/>
          </w:tcPr>
          <w:p w14:paraId="533ADD92" w14:textId="77777777" w:rsidR="00043668" w:rsidRPr="009C5364" w:rsidRDefault="00043668" w:rsidP="00043668">
            <w:pPr>
              <w:jc w:val="both"/>
            </w:pPr>
            <w:r w:rsidRPr="009C5364">
              <w:t>a</w:t>
            </w:r>
          </w:p>
        </w:tc>
        <w:tc>
          <w:tcPr>
            <w:tcW w:w="759" w:type="pct"/>
            <w:vAlign w:val="center"/>
          </w:tcPr>
          <w:p w14:paraId="14531437" w14:textId="77777777" w:rsidR="00043668" w:rsidRPr="009C5364" w:rsidRDefault="00043668" w:rsidP="00043668">
            <w:pPr>
              <w:jc w:val="both"/>
            </w:pPr>
            <w:r w:rsidRPr="009C5364">
              <w:t>Tie beam</w:t>
            </w:r>
          </w:p>
        </w:tc>
        <w:tc>
          <w:tcPr>
            <w:tcW w:w="675" w:type="pct"/>
            <w:vAlign w:val="center"/>
          </w:tcPr>
          <w:p w14:paraId="523B4437" w14:textId="77777777" w:rsidR="00043668" w:rsidRPr="009C5364" w:rsidRDefault="00043668" w:rsidP="00043668">
            <w:pPr>
              <w:jc w:val="both"/>
            </w:pPr>
          </w:p>
        </w:tc>
        <w:tc>
          <w:tcPr>
            <w:tcW w:w="659" w:type="pct"/>
            <w:vAlign w:val="center"/>
          </w:tcPr>
          <w:p w14:paraId="46B4E1B3" w14:textId="77777777" w:rsidR="00043668" w:rsidRPr="009C5364" w:rsidRDefault="00043668" w:rsidP="00043668">
            <w:pPr>
              <w:jc w:val="both"/>
            </w:pPr>
          </w:p>
        </w:tc>
        <w:tc>
          <w:tcPr>
            <w:tcW w:w="675" w:type="pct"/>
            <w:vAlign w:val="center"/>
          </w:tcPr>
          <w:p w14:paraId="24436333" w14:textId="77777777" w:rsidR="00043668" w:rsidRPr="009C5364" w:rsidRDefault="00043668" w:rsidP="00043668">
            <w:pPr>
              <w:jc w:val="both"/>
            </w:pPr>
            <w:r w:rsidRPr="009C5364">
              <w:t>100</w:t>
            </w:r>
          </w:p>
        </w:tc>
        <w:tc>
          <w:tcPr>
            <w:tcW w:w="659" w:type="pct"/>
            <w:vAlign w:val="center"/>
          </w:tcPr>
          <w:p w14:paraId="484166D5" w14:textId="77777777" w:rsidR="00043668" w:rsidRPr="009C5364" w:rsidRDefault="00043668" w:rsidP="00043668">
            <w:pPr>
              <w:jc w:val="both"/>
            </w:pPr>
            <w:r w:rsidRPr="009C5364">
              <w:t>-</w:t>
            </w:r>
          </w:p>
        </w:tc>
        <w:tc>
          <w:tcPr>
            <w:tcW w:w="675" w:type="pct"/>
            <w:vAlign w:val="center"/>
          </w:tcPr>
          <w:p w14:paraId="1012C1EA" w14:textId="77777777" w:rsidR="00043668" w:rsidRPr="009C5364" w:rsidRDefault="00043668" w:rsidP="00043668">
            <w:pPr>
              <w:jc w:val="both"/>
            </w:pPr>
            <w:r w:rsidRPr="009C5364">
              <w:t>100</w:t>
            </w:r>
          </w:p>
        </w:tc>
        <w:tc>
          <w:tcPr>
            <w:tcW w:w="659" w:type="pct"/>
            <w:vAlign w:val="center"/>
          </w:tcPr>
          <w:p w14:paraId="3AA5DAE4" w14:textId="77777777" w:rsidR="00043668" w:rsidRPr="009C5364" w:rsidRDefault="00043668" w:rsidP="00043668">
            <w:pPr>
              <w:jc w:val="both"/>
            </w:pPr>
            <w:r w:rsidRPr="009C5364">
              <w:t>-</w:t>
            </w:r>
          </w:p>
        </w:tc>
      </w:tr>
      <w:tr w:rsidR="00043668" w:rsidRPr="009C5364" w14:paraId="6BAEE227" w14:textId="77777777" w:rsidTr="005A67B7">
        <w:trPr>
          <w:trHeight w:val="566"/>
        </w:trPr>
        <w:tc>
          <w:tcPr>
            <w:tcW w:w="240" w:type="pct"/>
            <w:vAlign w:val="center"/>
          </w:tcPr>
          <w:p w14:paraId="18DABCDC" w14:textId="77777777" w:rsidR="00043668" w:rsidRPr="009C5364" w:rsidRDefault="00043668" w:rsidP="00043668">
            <w:pPr>
              <w:jc w:val="both"/>
            </w:pPr>
            <w:r w:rsidRPr="009C5364">
              <w:t>b</w:t>
            </w:r>
          </w:p>
        </w:tc>
        <w:tc>
          <w:tcPr>
            <w:tcW w:w="759" w:type="pct"/>
            <w:vAlign w:val="center"/>
          </w:tcPr>
          <w:p w14:paraId="1A8BF12E" w14:textId="77777777" w:rsidR="00043668" w:rsidRPr="009C5364" w:rsidRDefault="00043668" w:rsidP="00043668">
            <w:pPr>
              <w:jc w:val="both"/>
            </w:pPr>
            <w:r w:rsidRPr="009C5364">
              <w:t>Plinth Beam</w:t>
            </w:r>
          </w:p>
        </w:tc>
        <w:tc>
          <w:tcPr>
            <w:tcW w:w="675" w:type="pct"/>
            <w:vAlign w:val="center"/>
          </w:tcPr>
          <w:p w14:paraId="05B04077" w14:textId="77777777" w:rsidR="00043668" w:rsidRPr="009C5364" w:rsidRDefault="00043668" w:rsidP="00043668">
            <w:pPr>
              <w:jc w:val="both"/>
            </w:pPr>
            <w:r w:rsidRPr="009C5364">
              <w:t>61.5</w:t>
            </w:r>
          </w:p>
        </w:tc>
        <w:tc>
          <w:tcPr>
            <w:tcW w:w="659" w:type="pct"/>
            <w:vAlign w:val="center"/>
          </w:tcPr>
          <w:p w14:paraId="55A5C509" w14:textId="77777777" w:rsidR="00043668" w:rsidRPr="009C5364" w:rsidRDefault="00043668" w:rsidP="00043668">
            <w:pPr>
              <w:jc w:val="both"/>
            </w:pPr>
            <w:r w:rsidRPr="009C5364">
              <w:t>38.5</w:t>
            </w:r>
          </w:p>
        </w:tc>
        <w:tc>
          <w:tcPr>
            <w:tcW w:w="675" w:type="pct"/>
            <w:vAlign w:val="center"/>
          </w:tcPr>
          <w:p w14:paraId="5384BFC3" w14:textId="77777777" w:rsidR="00043668" w:rsidRPr="009C5364" w:rsidRDefault="00043668" w:rsidP="00043668">
            <w:pPr>
              <w:jc w:val="both"/>
            </w:pPr>
            <w:r w:rsidRPr="009C5364">
              <w:t>100</w:t>
            </w:r>
          </w:p>
        </w:tc>
        <w:tc>
          <w:tcPr>
            <w:tcW w:w="659" w:type="pct"/>
            <w:vAlign w:val="center"/>
          </w:tcPr>
          <w:p w14:paraId="26BD7F59" w14:textId="77777777" w:rsidR="00043668" w:rsidRPr="009C5364" w:rsidRDefault="00043668" w:rsidP="00043668">
            <w:pPr>
              <w:jc w:val="both"/>
            </w:pPr>
            <w:r w:rsidRPr="009C5364">
              <w:t>-</w:t>
            </w:r>
          </w:p>
        </w:tc>
        <w:tc>
          <w:tcPr>
            <w:tcW w:w="675" w:type="pct"/>
            <w:vAlign w:val="center"/>
          </w:tcPr>
          <w:p w14:paraId="4ECB3533" w14:textId="77777777" w:rsidR="00043668" w:rsidRPr="009C5364" w:rsidRDefault="00043668" w:rsidP="00043668">
            <w:pPr>
              <w:jc w:val="both"/>
            </w:pPr>
            <w:r w:rsidRPr="009C5364">
              <w:t>100</w:t>
            </w:r>
          </w:p>
        </w:tc>
        <w:tc>
          <w:tcPr>
            <w:tcW w:w="659" w:type="pct"/>
            <w:vAlign w:val="center"/>
          </w:tcPr>
          <w:p w14:paraId="64C4C462" w14:textId="77777777" w:rsidR="00043668" w:rsidRPr="009C5364" w:rsidRDefault="00043668" w:rsidP="00043668">
            <w:pPr>
              <w:jc w:val="both"/>
            </w:pPr>
            <w:r w:rsidRPr="009C5364">
              <w:t>-</w:t>
            </w:r>
          </w:p>
        </w:tc>
      </w:tr>
      <w:tr w:rsidR="00043668" w:rsidRPr="009C5364" w14:paraId="7A1E9415" w14:textId="77777777" w:rsidTr="005A67B7">
        <w:trPr>
          <w:trHeight w:val="583"/>
        </w:trPr>
        <w:tc>
          <w:tcPr>
            <w:tcW w:w="240" w:type="pct"/>
            <w:vAlign w:val="center"/>
          </w:tcPr>
          <w:p w14:paraId="2F26EA5B" w14:textId="77777777" w:rsidR="00043668" w:rsidRPr="009C5364" w:rsidRDefault="00043668" w:rsidP="00043668">
            <w:pPr>
              <w:jc w:val="both"/>
            </w:pPr>
            <w:r w:rsidRPr="009C5364">
              <w:t>c</w:t>
            </w:r>
          </w:p>
        </w:tc>
        <w:tc>
          <w:tcPr>
            <w:tcW w:w="759" w:type="pct"/>
            <w:vAlign w:val="center"/>
          </w:tcPr>
          <w:p w14:paraId="02F96607" w14:textId="77777777" w:rsidR="00043668" w:rsidRPr="009C5364" w:rsidRDefault="00043668" w:rsidP="00043668">
            <w:pPr>
              <w:jc w:val="both"/>
            </w:pPr>
            <w:r w:rsidRPr="009C5364">
              <w:t>Floor Beam</w:t>
            </w:r>
          </w:p>
        </w:tc>
        <w:tc>
          <w:tcPr>
            <w:tcW w:w="675" w:type="pct"/>
            <w:vAlign w:val="center"/>
          </w:tcPr>
          <w:p w14:paraId="34CBBA2A" w14:textId="77777777" w:rsidR="00043668" w:rsidRPr="009C5364" w:rsidRDefault="00043668" w:rsidP="00043668">
            <w:pPr>
              <w:jc w:val="both"/>
            </w:pPr>
            <w:r w:rsidRPr="009C5364">
              <w:t>90.38</w:t>
            </w:r>
          </w:p>
        </w:tc>
        <w:tc>
          <w:tcPr>
            <w:tcW w:w="659" w:type="pct"/>
            <w:vAlign w:val="center"/>
          </w:tcPr>
          <w:p w14:paraId="06B1A9C4" w14:textId="77777777" w:rsidR="00043668" w:rsidRPr="009C5364" w:rsidRDefault="00043668" w:rsidP="00043668">
            <w:pPr>
              <w:jc w:val="both"/>
            </w:pPr>
            <w:r w:rsidRPr="009C5364">
              <w:t>9.62</w:t>
            </w:r>
          </w:p>
        </w:tc>
        <w:tc>
          <w:tcPr>
            <w:tcW w:w="675" w:type="pct"/>
            <w:vAlign w:val="center"/>
          </w:tcPr>
          <w:p w14:paraId="68CA79C6" w14:textId="77777777" w:rsidR="00043668" w:rsidRPr="009C5364" w:rsidRDefault="00043668" w:rsidP="00043668">
            <w:pPr>
              <w:jc w:val="both"/>
            </w:pPr>
            <w:r w:rsidRPr="009C5364">
              <w:t>77.78</w:t>
            </w:r>
          </w:p>
        </w:tc>
        <w:tc>
          <w:tcPr>
            <w:tcW w:w="659" w:type="pct"/>
            <w:vAlign w:val="center"/>
          </w:tcPr>
          <w:p w14:paraId="3AAE9C43" w14:textId="77777777" w:rsidR="00043668" w:rsidRPr="009C5364" w:rsidRDefault="00043668" w:rsidP="00043668">
            <w:pPr>
              <w:jc w:val="both"/>
            </w:pPr>
            <w:r w:rsidRPr="009C5364">
              <w:t>22.22</w:t>
            </w:r>
          </w:p>
        </w:tc>
        <w:tc>
          <w:tcPr>
            <w:tcW w:w="675" w:type="pct"/>
            <w:vAlign w:val="center"/>
          </w:tcPr>
          <w:p w14:paraId="57AD8F6E" w14:textId="77777777" w:rsidR="00043668" w:rsidRPr="009C5364" w:rsidRDefault="00043668" w:rsidP="00043668">
            <w:pPr>
              <w:jc w:val="both"/>
            </w:pPr>
            <w:r w:rsidRPr="009C5364">
              <w:t>70.59</w:t>
            </w:r>
          </w:p>
        </w:tc>
        <w:tc>
          <w:tcPr>
            <w:tcW w:w="659" w:type="pct"/>
            <w:vAlign w:val="center"/>
          </w:tcPr>
          <w:p w14:paraId="386447AD" w14:textId="77777777" w:rsidR="00043668" w:rsidRPr="009C5364" w:rsidRDefault="00043668" w:rsidP="00043668">
            <w:pPr>
              <w:jc w:val="both"/>
            </w:pPr>
            <w:r w:rsidRPr="009C5364">
              <w:t>24.59</w:t>
            </w:r>
          </w:p>
        </w:tc>
      </w:tr>
      <w:tr w:rsidR="00043668" w:rsidRPr="009C5364" w14:paraId="10571CF4" w14:textId="77777777" w:rsidTr="005A67B7">
        <w:trPr>
          <w:trHeight w:val="583"/>
        </w:trPr>
        <w:tc>
          <w:tcPr>
            <w:tcW w:w="240" w:type="pct"/>
            <w:vAlign w:val="center"/>
          </w:tcPr>
          <w:p w14:paraId="0223DA7A" w14:textId="77777777" w:rsidR="00043668" w:rsidRPr="009C5364" w:rsidRDefault="00043668" w:rsidP="00043668">
            <w:pPr>
              <w:jc w:val="both"/>
            </w:pPr>
            <w:r w:rsidRPr="009C5364">
              <w:t>5</w:t>
            </w:r>
          </w:p>
        </w:tc>
        <w:tc>
          <w:tcPr>
            <w:tcW w:w="759" w:type="pct"/>
            <w:vAlign w:val="center"/>
          </w:tcPr>
          <w:p w14:paraId="34811CB7" w14:textId="77777777" w:rsidR="00043668" w:rsidRPr="009C5364" w:rsidRDefault="00043668" w:rsidP="00043668">
            <w:pPr>
              <w:jc w:val="both"/>
            </w:pPr>
            <w:r w:rsidRPr="009C5364">
              <w:t>Slab Thickness</w:t>
            </w:r>
          </w:p>
        </w:tc>
        <w:tc>
          <w:tcPr>
            <w:tcW w:w="675" w:type="pct"/>
            <w:vAlign w:val="center"/>
          </w:tcPr>
          <w:p w14:paraId="58375A45" w14:textId="77777777" w:rsidR="00043668" w:rsidRPr="009C5364" w:rsidRDefault="00043668" w:rsidP="00043668">
            <w:pPr>
              <w:jc w:val="both"/>
            </w:pPr>
          </w:p>
        </w:tc>
        <w:tc>
          <w:tcPr>
            <w:tcW w:w="659" w:type="pct"/>
            <w:vAlign w:val="center"/>
          </w:tcPr>
          <w:p w14:paraId="5E8EE5FA" w14:textId="77777777" w:rsidR="00043668" w:rsidRPr="009C5364" w:rsidRDefault="00043668" w:rsidP="00043668">
            <w:pPr>
              <w:jc w:val="both"/>
            </w:pPr>
          </w:p>
        </w:tc>
        <w:tc>
          <w:tcPr>
            <w:tcW w:w="675" w:type="pct"/>
            <w:vAlign w:val="center"/>
          </w:tcPr>
          <w:p w14:paraId="2B198AA7" w14:textId="77777777" w:rsidR="00043668" w:rsidRPr="009C5364" w:rsidRDefault="00043668" w:rsidP="00043668">
            <w:pPr>
              <w:jc w:val="both"/>
            </w:pPr>
          </w:p>
        </w:tc>
        <w:tc>
          <w:tcPr>
            <w:tcW w:w="659" w:type="pct"/>
            <w:vAlign w:val="center"/>
          </w:tcPr>
          <w:p w14:paraId="0DE8F28D" w14:textId="77777777" w:rsidR="00043668" w:rsidRPr="009C5364" w:rsidRDefault="00043668" w:rsidP="00043668">
            <w:pPr>
              <w:jc w:val="both"/>
            </w:pPr>
          </w:p>
        </w:tc>
        <w:tc>
          <w:tcPr>
            <w:tcW w:w="675" w:type="pct"/>
            <w:vAlign w:val="center"/>
          </w:tcPr>
          <w:p w14:paraId="3CADC272" w14:textId="77777777" w:rsidR="00043668" w:rsidRPr="009C5364" w:rsidRDefault="00043668" w:rsidP="00043668">
            <w:pPr>
              <w:jc w:val="both"/>
            </w:pPr>
          </w:p>
        </w:tc>
        <w:tc>
          <w:tcPr>
            <w:tcW w:w="659" w:type="pct"/>
            <w:vAlign w:val="center"/>
          </w:tcPr>
          <w:p w14:paraId="7109643B" w14:textId="77777777" w:rsidR="00043668" w:rsidRPr="009C5364" w:rsidRDefault="00043668" w:rsidP="00043668">
            <w:pPr>
              <w:jc w:val="both"/>
            </w:pPr>
          </w:p>
        </w:tc>
      </w:tr>
      <w:tr w:rsidR="00043668" w:rsidRPr="009C5364" w14:paraId="6D88BC7D" w14:textId="77777777" w:rsidTr="005A67B7">
        <w:trPr>
          <w:trHeight w:val="566"/>
        </w:trPr>
        <w:tc>
          <w:tcPr>
            <w:tcW w:w="240" w:type="pct"/>
            <w:vAlign w:val="center"/>
          </w:tcPr>
          <w:p w14:paraId="78FE774E" w14:textId="77777777" w:rsidR="00043668" w:rsidRPr="009C5364" w:rsidRDefault="00043668" w:rsidP="00043668">
            <w:pPr>
              <w:jc w:val="both"/>
            </w:pPr>
            <w:r w:rsidRPr="009C5364">
              <w:t>a</w:t>
            </w:r>
          </w:p>
        </w:tc>
        <w:tc>
          <w:tcPr>
            <w:tcW w:w="759" w:type="pct"/>
            <w:vAlign w:val="center"/>
          </w:tcPr>
          <w:p w14:paraId="5533F427" w14:textId="77777777" w:rsidR="00043668" w:rsidRPr="009C5364" w:rsidRDefault="00043668" w:rsidP="00043668">
            <w:pPr>
              <w:jc w:val="both"/>
            </w:pPr>
            <w:r w:rsidRPr="009C5364">
              <w:t>Floor Slab</w:t>
            </w:r>
          </w:p>
        </w:tc>
        <w:tc>
          <w:tcPr>
            <w:tcW w:w="675" w:type="pct"/>
            <w:vAlign w:val="center"/>
          </w:tcPr>
          <w:p w14:paraId="452A7015" w14:textId="77777777" w:rsidR="00043668" w:rsidRPr="009C5364" w:rsidRDefault="00043668" w:rsidP="00043668">
            <w:pPr>
              <w:jc w:val="both"/>
            </w:pPr>
            <w:r w:rsidRPr="009C5364">
              <w:t>98.07</w:t>
            </w:r>
          </w:p>
        </w:tc>
        <w:tc>
          <w:tcPr>
            <w:tcW w:w="659" w:type="pct"/>
            <w:vAlign w:val="center"/>
          </w:tcPr>
          <w:p w14:paraId="081AAF66" w14:textId="77777777" w:rsidR="00043668" w:rsidRPr="009C5364" w:rsidRDefault="00043668" w:rsidP="00043668">
            <w:pPr>
              <w:jc w:val="both"/>
            </w:pPr>
            <w:r w:rsidRPr="009C5364">
              <w:t>1.93</w:t>
            </w:r>
          </w:p>
        </w:tc>
        <w:tc>
          <w:tcPr>
            <w:tcW w:w="675" w:type="pct"/>
            <w:vAlign w:val="center"/>
          </w:tcPr>
          <w:p w14:paraId="02C78066" w14:textId="77777777" w:rsidR="00043668" w:rsidRPr="009C5364" w:rsidRDefault="00043668" w:rsidP="00043668">
            <w:pPr>
              <w:jc w:val="both"/>
            </w:pPr>
            <w:r w:rsidRPr="009C5364">
              <w:t>100</w:t>
            </w:r>
          </w:p>
        </w:tc>
        <w:tc>
          <w:tcPr>
            <w:tcW w:w="659" w:type="pct"/>
            <w:vAlign w:val="center"/>
          </w:tcPr>
          <w:p w14:paraId="3A958034" w14:textId="77777777" w:rsidR="00043668" w:rsidRPr="009C5364" w:rsidRDefault="00043668" w:rsidP="00043668">
            <w:pPr>
              <w:jc w:val="both"/>
            </w:pPr>
            <w:r w:rsidRPr="009C5364">
              <w:t>-</w:t>
            </w:r>
          </w:p>
        </w:tc>
        <w:tc>
          <w:tcPr>
            <w:tcW w:w="675" w:type="pct"/>
            <w:vAlign w:val="center"/>
          </w:tcPr>
          <w:p w14:paraId="146418BF" w14:textId="77777777" w:rsidR="00043668" w:rsidRPr="009C5364" w:rsidRDefault="00043668" w:rsidP="00043668">
            <w:pPr>
              <w:jc w:val="both"/>
            </w:pPr>
            <w:r w:rsidRPr="009C5364">
              <w:t>64.7</w:t>
            </w:r>
          </w:p>
        </w:tc>
        <w:tc>
          <w:tcPr>
            <w:tcW w:w="659" w:type="pct"/>
            <w:vAlign w:val="center"/>
          </w:tcPr>
          <w:p w14:paraId="5F16174D" w14:textId="77777777" w:rsidR="00043668" w:rsidRPr="009C5364" w:rsidRDefault="00043668" w:rsidP="00043668">
            <w:pPr>
              <w:jc w:val="both"/>
            </w:pPr>
            <w:r w:rsidRPr="009C5364">
              <w:t>35.3</w:t>
            </w:r>
          </w:p>
        </w:tc>
      </w:tr>
      <w:tr w:rsidR="00043668" w:rsidRPr="009C5364" w14:paraId="65C75BC1" w14:textId="77777777" w:rsidTr="005A67B7">
        <w:trPr>
          <w:trHeight w:val="583"/>
        </w:trPr>
        <w:tc>
          <w:tcPr>
            <w:tcW w:w="240" w:type="pct"/>
            <w:vAlign w:val="center"/>
          </w:tcPr>
          <w:p w14:paraId="31B3E73F" w14:textId="77777777" w:rsidR="00043668" w:rsidRPr="009C5364" w:rsidRDefault="00043668" w:rsidP="00043668">
            <w:pPr>
              <w:jc w:val="both"/>
            </w:pPr>
            <w:r w:rsidRPr="009C5364">
              <w:t>b</w:t>
            </w:r>
          </w:p>
        </w:tc>
        <w:tc>
          <w:tcPr>
            <w:tcW w:w="759" w:type="pct"/>
            <w:vAlign w:val="center"/>
          </w:tcPr>
          <w:p w14:paraId="5DBB1BA6" w14:textId="77777777" w:rsidR="00043668" w:rsidRPr="009C5364" w:rsidRDefault="00043668" w:rsidP="00043668">
            <w:pPr>
              <w:jc w:val="both"/>
            </w:pPr>
            <w:r w:rsidRPr="009C5364">
              <w:t>Staircase Slab</w:t>
            </w:r>
          </w:p>
        </w:tc>
        <w:tc>
          <w:tcPr>
            <w:tcW w:w="675" w:type="pct"/>
            <w:vAlign w:val="center"/>
          </w:tcPr>
          <w:p w14:paraId="6E209F3F" w14:textId="77777777" w:rsidR="00043668" w:rsidRPr="009C5364" w:rsidRDefault="00043668" w:rsidP="00043668">
            <w:pPr>
              <w:jc w:val="both"/>
            </w:pPr>
            <w:r w:rsidRPr="009C5364">
              <w:t>84.61</w:t>
            </w:r>
          </w:p>
        </w:tc>
        <w:tc>
          <w:tcPr>
            <w:tcW w:w="659" w:type="pct"/>
            <w:vAlign w:val="center"/>
          </w:tcPr>
          <w:p w14:paraId="748A1BF6" w14:textId="77777777" w:rsidR="00043668" w:rsidRPr="009C5364" w:rsidRDefault="00043668" w:rsidP="00043668">
            <w:pPr>
              <w:jc w:val="both"/>
            </w:pPr>
            <w:r w:rsidRPr="009C5364">
              <w:t>15.39</w:t>
            </w:r>
          </w:p>
        </w:tc>
        <w:tc>
          <w:tcPr>
            <w:tcW w:w="675" w:type="pct"/>
            <w:vAlign w:val="center"/>
          </w:tcPr>
          <w:p w14:paraId="715F91BE" w14:textId="77777777" w:rsidR="00043668" w:rsidRPr="009C5364" w:rsidRDefault="00043668" w:rsidP="00043668">
            <w:pPr>
              <w:jc w:val="both"/>
            </w:pPr>
            <w:r w:rsidRPr="009C5364">
              <w:t>77.78</w:t>
            </w:r>
          </w:p>
        </w:tc>
        <w:tc>
          <w:tcPr>
            <w:tcW w:w="659" w:type="pct"/>
            <w:vAlign w:val="center"/>
          </w:tcPr>
          <w:p w14:paraId="7A671D15" w14:textId="77777777" w:rsidR="00043668" w:rsidRPr="009C5364" w:rsidRDefault="00043668" w:rsidP="00043668">
            <w:pPr>
              <w:jc w:val="both"/>
            </w:pPr>
            <w:r w:rsidRPr="009C5364">
              <w:t>22.22</w:t>
            </w:r>
          </w:p>
        </w:tc>
        <w:tc>
          <w:tcPr>
            <w:tcW w:w="675" w:type="pct"/>
            <w:vAlign w:val="center"/>
          </w:tcPr>
          <w:p w14:paraId="60D3A098" w14:textId="77777777" w:rsidR="00043668" w:rsidRPr="009C5364" w:rsidRDefault="00043668" w:rsidP="00043668">
            <w:pPr>
              <w:jc w:val="both"/>
            </w:pPr>
            <w:r w:rsidRPr="009C5364">
              <w:t>88.23</w:t>
            </w:r>
          </w:p>
        </w:tc>
        <w:tc>
          <w:tcPr>
            <w:tcW w:w="659" w:type="pct"/>
            <w:vAlign w:val="center"/>
          </w:tcPr>
          <w:p w14:paraId="31C4CBB3" w14:textId="77777777" w:rsidR="00043668" w:rsidRPr="009C5364" w:rsidRDefault="00043668" w:rsidP="00043668">
            <w:pPr>
              <w:jc w:val="both"/>
            </w:pPr>
            <w:r w:rsidRPr="009C5364">
              <w:t>11.77</w:t>
            </w:r>
          </w:p>
        </w:tc>
      </w:tr>
      <w:tr w:rsidR="00043668" w:rsidRPr="009C5364" w14:paraId="7E87E9A4" w14:textId="77777777" w:rsidTr="005A67B7">
        <w:trPr>
          <w:trHeight w:val="583"/>
        </w:trPr>
        <w:tc>
          <w:tcPr>
            <w:tcW w:w="240" w:type="pct"/>
            <w:vAlign w:val="center"/>
          </w:tcPr>
          <w:p w14:paraId="2C17F120" w14:textId="77777777" w:rsidR="00043668" w:rsidRPr="009C5364" w:rsidRDefault="00043668" w:rsidP="00043668">
            <w:pPr>
              <w:jc w:val="both"/>
            </w:pPr>
            <w:r w:rsidRPr="009C5364">
              <w:t>6</w:t>
            </w:r>
          </w:p>
        </w:tc>
        <w:tc>
          <w:tcPr>
            <w:tcW w:w="759" w:type="pct"/>
            <w:vAlign w:val="center"/>
          </w:tcPr>
          <w:p w14:paraId="2D8A35B0" w14:textId="77777777" w:rsidR="00043668" w:rsidRPr="009C5364" w:rsidRDefault="00043668" w:rsidP="00043668">
            <w:pPr>
              <w:jc w:val="both"/>
            </w:pPr>
            <w:r w:rsidRPr="009C5364">
              <w:t>Mix Proportion</w:t>
            </w:r>
          </w:p>
        </w:tc>
        <w:tc>
          <w:tcPr>
            <w:tcW w:w="675" w:type="pct"/>
            <w:vAlign w:val="center"/>
          </w:tcPr>
          <w:p w14:paraId="2A3A6B58" w14:textId="77777777" w:rsidR="00043668" w:rsidRPr="009C5364" w:rsidRDefault="00043668" w:rsidP="00043668">
            <w:pPr>
              <w:jc w:val="both"/>
            </w:pPr>
            <w:r w:rsidRPr="009C5364">
              <w:t>24.39</w:t>
            </w:r>
          </w:p>
        </w:tc>
        <w:tc>
          <w:tcPr>
            <w:tcW w:w="659" w:type="pct"/>
            <w:vAlign w:val="center"/>
          </w:tcPr>
          <w:p w14:paraId="1E34D09C" w14:textId="77777777" w:rsidR="00043668" w:rsidRPr="009C5364" w:rsidRDefault="00043668" w:rsidP="00043668">
            <w:pPr>
              <w:jc w:val="both"/>
            </w:pPr>
            <w:r w:rsidRPr="009C5364">
              <w:t>75.61</w:t>
            </w:r>
          </w:p>
        </w:tc>
        <w:tc>
          <w:tcPr>
            <w:tcW w:w="675" w:type="pct"/>
            <w:vAlign w:val="center"/>
          </w:tcPr>
          <w:p w14:paraId="6B33A8A4" w14:textId="77777777" w:rsidR="00043668" w:rsidRPr="009C5364" w:rsidRDefault="00043668" w:rsidP="00043668">
            <w:pPr>
              <w:jc w:val="both"/>
            </w:pPr>
            <w:r w:rsidRPr="009C5364">
              <w:t>-</w:t>
            </w:r>
          </w:p>
        </w:tc>
        <w:tc>
          <w:tcPr>
            <w:tcW w:w="659" w:type="pct"/>
            <w:vAlign w:val="center"/>
          </w:tcPr>
          <w:p w14:paraId="37D98FB8" w14:textId="77777777" w:rsidR="00043668" w:rsidRPr="009C5364" w:rsidRDefault="00043668" w:rsidP="00043668">
            <w:pPr>
              <w:jc w:val="both"/>
            </w:pPr>
            <w:r w:rsidRPr="009C5364">
              <w:t>100</w:t>
            </w:r>
          </w:p>
        </w:tc>
        <w:tc>
          <w:tcPr>
            <w:tcW w:w="675" w:type="pct"/>
            <w:vAlign w:val="center"/>
          </w:tcPr>
          <w:p w14:paraId="306B4E4D" w14:textId="77777777" w:rsidR="00043668" w:rsidRPr="009C5364" w:rsidRDefault="00043668" w:rsidP="00043668">
            <w:pPr>
              <w:jc w:val="both"/>
            </w:pPr>
            <w:r w:rsidRPr="009C5364">
              <w:t>-</w:t>
            </w:r>
          </w:p>
        </w:tc>
        <w:tc>
          <w:tcPr>
            <w:tcW w:w="659" w:type="pct"/>
            <w:vAlign w:val="center"/>
          </w:tcPr>
          <w:p w14:paraId="1FA7AC41" w14:textId="77777777" w:rsidR="00043668" w:rsidRPr="009C5364" w:rsidRDefault="00043668" w:rsidP="00043668">
            <w:pPr>
              <w:jc w:val="both"/>
            </w:pPr>
            <w:r w:rsidRPr="009C5364">
              <w:t>-</w:t>
            </w:r>
          </w:p>
        </w:tc>
      </w:tr>
      <w:tr w:rsidR="00043668" w:rsidRPr="009C5364" w14:paraId="5A01031C" w14:textId="77777777" w:rsidTr="005A67B7">
        <w:trPr>
          <w:trHeight w:val="566"/>
        </w:trPr>
        <w:tc>
          <w:tcPr>
            <w:tcW w:w="240" w:type="pct"/>
            <w:vAlign w:val="center"/>
          </w:tcPr>
          <w:p w14:paraId="3F1B22FA" w14:textId="77777777" w:rsidR="00043668" w:rsidRPr="009C5364" w:rsidRDefault="00043668" w:rsidP="00043668">
            <w:pPr>
              <w:jc w:val="both"/>
            </w:pPr>
            <w:r w:rsidRPr="009C5364">
              <w:t>7</w:t>
            </w:r>
          </w:p>
        </w:tc>
        <w:tc>
          <w:tcPr>
            <w:tcW w:w="759" w:type="pct"/>
            <w:vAlign w:val="center"/>
          </w:tcPr>
          <w:p w14:paraId="0F19A7F7" w14:textId="77777777" w:rsidR="00043668" w:rsidRPr="009C5364" w:rsidRDefault="00043668" w:rsidP="00043668">
            <w:pPr>
              <w:jc w:val="both"/>
            </w:pPr>
            <w:r w:rsidRPr="009C5364">
              <w:t>Reinforcement detailing</w:t>
            </w:r>
          </w:p>
        </w:tc>
        <w:tc>
          <w:tcPr>
            <w:tcW w:w="675" w:type="pct"/>
            <w:vAlign w:val="center"/>
          </w:tcPr>
          <w:p w14:paraId="664D6BB8" w14:textId="77777777" w:rsidR="00043668" w:rsidRPr="009C5364" w:rsidRDefault="00043668" w:rsidP="00043668">
            <w:pPr>
              <w:jc w:val="both"/>
            </w:pPr>
          </w:p>
        </w:tc>
        <w:tc>
          <w:tcPr>
            <w:tcW w:w="659" w:type="pct"/>
            <w:vAlign w:val="center"/>
          </w:tcPr>
          <w:p w14:paraId="432A6C80" w14:textId="77777777" w:rsidR="00043668" w:rsidRPr="009C5364" w:rsidRDefault="00043668" w:rsidP="00043668">
            <w:pPr>
              <w:jc w:val="both"/>
            </w:pPr>
          </w:p>
        </w:tc>
        <w:tc>
          <w:tcPr>
            <w:tcW w:w="675" w:type="pct"/>
            <w:vAlign w:val="center"/>
          </w:tcPr>
          <w:p w14:paraId="4D91519A" w14:textId="77777777" w:rsidR="00043668" w:rsidRPr="009C5364" w:rsidRDefault="00043668" w:rsidP="00043668">
            <w:pPr>
              <w:jc w:val="both"/>
            </w:pPr>
          </w:p>
        </w:tc>
        <w:tc>
          <w:tcPr>
            <w:tcW w:w="659" w:type="pct"/>
            <w:vAlign w:val="center"/>
          </w:tcPr>
          <w:p w14:paraId="5AF45863" w14:textId="77777777" w:rsidR="00043668" w:rsidRPr="009C5364" w:rsidRDefault="00043668" w:rsidP="00043668">
            <w:pPr>
              <w:jc w:val="both"/>
            </w:pPr>
          </w:p>
        </w:tc>
        <w:tc>
          <w:tcPr>
            <w:tcW w:w="675" w:type="pct"/>
            <w:vAlign w:val="center"/>
          </w:tcPr>
          <w:p w14:paraId="6AEFA6D4" w14:textId="77777777" w:rsidR="00043668" w:rsidRPr="009C5364" w:rsidRDefault="00043668" w:rsidP="00043668">
            <w:pPr>
              <w:jc w:val="both"/>
            </w:pPr>
          </w:p>
        </w:tc>
        <w:tc>
          <w:tcPr>
            <w:tcW w:w="659" w:type="pct"/>
            <w:vAlign w:val="center"/>
          </w:tcPr>
          <w:p w14:paraId="06DFFD31" w14:textId="77777777" w:rsidR="00043668" w:rsidRPr="009C5364" w:rsidRDefault="00043668" w:rsidP="00043668">
            <w:pPr>
              <w:jc w:val="both"/>
            </w:pPr>
          </w:p>
        </w:tc>
      </w:tr>
      <w:tr w:rsidR="00043668" w:rsidRPr="009C5364" w14:paraId="6F4DF9D4" w14:textId="77777777" w:rsidTr="005A67B7">
        <w:trPr>
          <w:trHeight w:val="583"/>
        </w:trPr>
        <w:tc>
          <w:tcPr>
            <w:tcW w:w="240" w:type="pct"/>
            <w:vAlign w:val="center"/>
          </w:tcPr>
          <w:p w14:paraId="73E13FDB" w14:textId="77777777" w:rsidR="00043668" w:rsidRPr="009C5364" w:rsidRDefault="00043668" w:rsidP="00043668">
            <w:pPr>
              <w:jc w:val="both"/>
            </w:pPr>
            <w:r w:rsidRPr="009C5364">
              <w:t>a</w:t>
            </w:r>
          </w:p>
        </w:tc>
        <w:tc>
          <w:tcPr>
            <w:tcW w:w="759" w:type="pct"/>
            <w:vAlign w:val="center"/>
          </w:tcPr>
          <w:p w14:paraId="235BA9F9" w14:textId="77777777" w:rsidR="00043668" w:rsidRPr="009C5364" w:rsidRDefault="00043668" w:rsidP="00043668">
            <w:pPr>
              <w:jc w:val="both"/>
            </w:pPr>
            <w:r w:rsidRPr="009C5364">
              <w:t>Foundation</w:t>
            </w:r>
          </w:p>
        </w:tc>
        <w:tc>
          <w:tcPr>
            <w:tcW w:w="675" w:type="pct"/>
            <w:vAlign w:val="center"/>
          </w:tcPr>
          <w:p w14:paraId="0E948136" w14:textId="77777777" w:rsidR="00043668" w:rsidRPr="009C5364" w:rsidRDefault="00043668" w:rsidP="00043668">
            <w:pPr>
              <w:jc w:val="both"/>
            </w:pPr>
            <w:r w:rsidRPr="009C5364">
              <w:t>100</w:t>
            </w:r>
          </w:p>
        </w:tc>
        <w:tc>
          <w:tcPr>
            <w:tcW w:w="659" w:type="pct"/>
            <w:vAlign w:val="center"/>
          </w:tcPr>
          <w:p w14:paraId="722DC097" w14:textId="77777777" w:rsidR="00043668" w:rsidRPr="009C5364" w:rsidRDefault="00043668" w:rsidP="00043668">
            <w:pPr>
              <w:jc w:val="both"/>
            </w:pPr>
            <w:r w:rsidRPr="009C5364">
              <w:t>-</w:t>
            </w:r>
          </w:p>
        </w:tc>
        <w:tc>
          <w:tcPr>
            <w:tcW w:w="675" w:type="pct"/>
            <w:vAlign w:val="center"/>
          </w:tcPr>
          <w:p w14:paraId="60426819" w14:textId="77777777" w:rsidR="00043668" w:rsidRPr="009C5364" w:rsidRDefault="00043668" w:rsidP="00043668">
            <w:pPr>
              <w:jc w:val="both"/>
            </w:pPr>
            <w:r w:rsidRPr="009C5364">
              <w:t>100</w:t>
            </w:r>
          </w:p>
        </w:tc>
        <w:tc>
          <w:tcPr>
            <w:tcW w:w="659" w:type="pct"/>
            <w:vAlign w:val="center"/>
          </w:tcPr>
          <w:p w14:paraId="6EA08209" w14:textId="77777777" w:rsidR="00043668" w:rsidRPr="009C5364" w:rsidRDefault="00043668" w:rsidP="00043668">
            <w:pPr>
              <w:jc w:val="both"/>
            </w:pPr>
            <w:r w:rsidRPr="009C5364">
              <w:t>-</w:t>
            </w:r>
          </w:p>
        </w:tc>
        <w:tc>
          <w:tcPr>
            <w:tcW w:w="675" w:type="pct"/>
            <w:vAlign w:val="center"/>
          </w:tcPr>
          <w:p w14:paraId="1EA9963F" w14:textId="77777777" w:rsidR="00043668" w:rsidRPr="009C5364" w:rsidRDefault="00043668" w:rsidP="00043668">
            <w:pPr>
              <w:jc w:val="both"/>
            </w:pPr>
            <w:r w:rsidRPr="009C5364">
              <w:t>100</w:t>
            </w:r>
          </w:p>
        </w:tc>
        <w:tc>
          <w:tcPr>
            <w:tcW w:w="659" w:type="pct"/>
            <w:vAlign w:val="center"/>
          </w:tcPr>
          <w:p w14:paraId="6AF5B5D7" w14:textId="77777777" w:rsidR="00043668" w:rsidRPr="009C5364" w:rsidRDefault="00043668" w:rsidP="00043668">
            <w:pPr>
              <w:jc w:val="both"/>
            </w:pPr>
            <w:r w:rsidRPr="009C5364">
              <w:t>-</w:t>
            </w:r>
          </w:p>
        </w:tc>
      </w:tr>
      <w:tr w:rsidR="00043668" w:rsidRPr="009C5364" w14:paraId="12A9081A" w14:textId="77777777" w:rsidTr="005A67B7">
        <w:trPr>
          <w:trHeight w:val="583"/>
        </w:trPr>
        <w:tc>
          <w:tcPr>
            <w:tcW w:w="240" w:type="pct"/>
            <w:vAlign w:val="center"/>
          </w:tcPr>
          <w:p w14:paraId="1D763C9E" w14:textId="77777777" w:rsidR="00043668" w:rsidRPr="009C5364" w:rsidRDefault="00043668" w:rsidP="00043668">
            <w:pPr>
              <w:jc w:val="both"/>
            </w:pPr>
            <w:r w:rsidRPr="009C5364">
              <w:t>b</w:t>
            </w:r>
          </w:p>
        </w:tc>
        <w:tc>
          <w:tcPr>
            <w:tcW w:w="759" w:type="pct"/>
            <w:vAlign w:val="center"/>
          </w:tcPr>
          <w:p w14:paraId="5C0043F3" w14:textId="77777777" w:rsidR="00043668" w:rsidRPr="009C5364" w:rsidRDefault="00043668" w:rsidP="00043668">
            <w:pPr>
              <w:jc w:val="both"/>
            </w:pPr>
            <w:r w:rsidRPr="009C5364">
              <w:t>Column</w:t>
            </w:r>
          </w:p>
        </w:tc>
        <w:tc>
          <w:tcPr>
            <w:tcW w:w="675" w:type="pct"/>
            <w:vAlign w:val="center"/>
          </w:tcPr>
          <w:p w14:paraId="113BB738" w14:textId="77777777" w:rsidR="00043668" w:rsidRPr="009C5364" w:rsidRDefault="00043668" w:rsidP="00043668">
            <w:pPr>
              <w:jc w:val="both"/>
            </w:pPr>
            <w:r w:rsidRPr="009C5364">
              <w:t>100</w:t>
            </w:r>
          </w:p>
        </w:tc>
        <w:tc>
          <w:tcPr>
            <w:tcW w:w="659" w:type="pct"/>
            <w:vAlign w:val="center"/>
          </w:tcPr>
          <w:p w14:paraId="3AF08F13" w14:textId="77777777" w:rsidR="00043668" w:rsidRPr="009C5364" w:rsidRDefault="00043668" w:rsidP="00043668">
            <w:pPr>
              <w:jc w:val="both"/>
            </w:pPr>
            <w:r w:rsidRPr="009C5364">
              <w:t>-</w:t>
            </w:r>
          </w:p>
        </w:tc>
        <w:tc>
          <w:tcPr>
            <w:tcW w:w="675" w:type="pct"/>
            <w:vAlign w:val="center"/>
          </w:tcPr>
          <w:p w14:paraId="39AD9A6E" w14:textId="77777777" w:rsidR="00043668" w:rsidRPr="009C5364" w:rsidRDefault="00043668" w:rsidP="00043668">
            <w:pPr>
              <w:jc w:val="both"/>
            </w:pPr>
            <w:r w:rsidRPr="009C5364">
              <w:t>100</w:t>
            </w:r>
          </w:p>
        </w:tc>
        <w:tc>
          <w:tcPr>
            <w:tcW w:w="659" w:type="pct"/>
            <w:vAlign w:val="center"/>
          </w:tcPr>
          <w:p w14:paraId="540A2F39" w14:textId="77777777" w:rsidR="00043668" w:rsidRPr="009C5364" w:rsidRDefault="00043668" w:rsidP="00043668">
            <w:pPr>
              <w:jc w:val="both"/>
            </w:pPr>
            <w:r w:rsidRPr="009C5364">
              <w:t>-</w:t>
            </w:r>
          </w:p>
        </w:tc>
        <w:tc>
          <w:tcPr>
            <w:tcW w:w="675" w:type="pct"/>
            <w:vAlign w:val="center"/>
          </w:tcPr>
          <w:p w14:paraId="25C27F91" w14:textId="77777777" w:rsidR="00043668" w:rsidRPr="009C5364" w:rsidRDefault="00043668" w:rsidP="00043668">
            <w:pPr>
              <w:jc w:val="both"/>
            </w:pPr>
            <w:r w:rsidRPr="009C5364">
              <w:t>100</w:t>
            </w:r>
          </w:p>
        </w:tc>
        <w:tc>
          <w:tcPr>
            <w:tcW w:w="659" w:type="pct"/>
            <w:vAlign w:val="center"/>
          </w:tcPr>
          <w:p w14:paraId="31A499B2" w14:textId="77777777" w:rsidR="00043668" w:rsidRPr="009C5364" w:rsidRDefault="00043668" w:rsidP="00043668">
            <w:pPr>
              <w:jc w:val="both"/>
            </w:pPr>
            <w:r w:rsidRPr="009C5364">
              <w:t>-</w:t>
            </w:r>
          </w:p>
        </w:tc>
      </w:tr>
      <w:tr w:rsidR="00043668" w:rsidRPr="009C5364" w14:paraId="6D664C0B" w14:textId="77777777" w:rsidTr="005A67B7">
        <w:trPr>
          <w:trHeight w:val="566"/>
        </w:trPr>
        <w:tc>
          <w:tcPr>
            <w:tcW w:w="240" w:type="pct"/>
            <w:vAlign w:val="center"/>
          </w:tcPr>
          <w:p w14:paraId="79A87707" w14:textId="77777777" w:rsidR="00043668" w:rsidRPr="009C5364" w:rsidRDefault="00043668" w:rsidP="00043668">
            <w:pPr>
              <w:jc w:val="both"/>
            </w:pPr>
            <w:r w:rsidRPr="009C5364">
              <w:t>c</w:t>
            </w:r>
          </w:p>
        </w:tc>
        <w:tc>
          <w:tcPr>
            <w:tcW w:w="759" w:type="pct"/>
            <w:vAlign w:val="center"/>
          </w:tcPr>
          <w:p w14:paraId="4EEB407A" w14:textId="77777777" w:rsidR="00043668" w:rsidRPr="009C5364" w:rsidRDefault="00043668" w:rsidP="00043668">
            <w:pPr>
              <w:jc w:val="both"/>
            </w:pPr>
            <w:r w:rsidRPr="009C5364">
              <w:t>Beam</w:t>
            </w:r>
          </w:p>
        </w:tc>
        <w:tc>
          <w:tcPr>
            <w:tcW w:w="675" w:type="pct"/>
            <w:vAlign w:val="center"/>
          </w:tcPr>
          <w:p w14:paraId="321568C1" w14:textId="77777777" w:rsidR="00043668" w:rsidRPr="009C5364" w:rsidRDefault="00043668" w:rsidP="00043668">
            <w:pPr>
              <w:jc w:val="both"/>
            </w:pPr>
            <w:r w:rsidRPr="009C5364">
              <w:t>100</w:t>
            </w:r>
          </w:p>
        </w:tc>
        <w:tc>
          <w:tcPr>
            <w:tcW w:w="659" w:type="pct"/>
            <w:vAlign w:val="center"/>
          </w:tcPr>
          <w:p w14:paraId="7A60852F" w14:textId="77777777" w:rsidR="00043668" w:rsidRPr="009C5364" w:rsidRDefault="00043668" w:rsidP="00043668">
            <w:pPr>
              <w:jc w:val="both"/>
            </w:pPr>
            <w:r w:rsidRPr="009C5364">
              <w:t>-</w:t>
            </w:r>
          </w:p>
        </w:tc>
        <w:tc>
          <w:tcPr>
            <w:tcW w:w="675" w:type="pct"/>
            <w:vAlign w:val="center"/>
          </w:tcPr>
          <w:p w14:paraId="63E24A71" w14:textId="77777777" w:rsidR="00043668" w:rsidRPr="009C5364" w:rsidRDefault="00043668" w:rsidP="00043668">
            <w:pPr>
              <w:jc w:val="both"/>
            </w:pPr>
            <w:r w:rsidRPr="009C5364">
              <w:t>100</w:t>
            </w:r>
          </w:p>
        </w:tc>
        <w:tc>
          <w:tcPr>
            <w:tcW w:w="659" w:type="pct"/>
            <w:vAlign w:val="center"/>
          </w:tcPr>
          <w:p w14:paraId="7B4EC051" w14:textId="77777777" w:rsidR="00043668" w:rsidRPr="009C5364" w:rsidRDefault="00043668" w:rsidP="00043668">
            <w:pPr>
              <w:jc w:val="both"/>
            </w:pPr>
            <w:r w:rsidRPr="009C5364">
              <w:t>-</w:t>
            </w:r>
          </w:p>
        </w:tc>
        <w:tc>
          <w:tcPr>
            <w:tcW w:w="675" w:type="pct"/>
            <w:vAlign w:val="center"/>
          </w:tcPr>
          <w:p w14:paraId="1734D984" w14:textId="77777777" w:rsidR="00043668" w:rsidRPr="009C5364" w:rsidRDefault="00043668" w:rsidP="00043668">
            <w:pPr>
              <w:jc w:val="both"/>
            </w:pPr>
            <w:r w:rsidRPr="009C5364">
              <w:t>100</w:t>
            </w:r>
          </w:p>
        </w:tc>
        <w:tc>
          <w:tcPr>
            <w:tcW w:w="659" w:type="pct"/>
            <w:vAlign w:val="center"/>
          </w:tcPr>
          <w:p w14:paraId="61895A9E" w14:textId="77777777" w:rsidR="00043668" w:rsidRPr="009C5364" w:rsidRDefault="00043668" w:rsidP="00043668">
            <w:pPr>
              <w:jc w:val="both"/>
            </w:pPr>
            <w:r w:rsidRPr="009C5364">
              <w:t>-</w:t>
            </w:r>
          </w:p>
        </w:tc>
      </w:tr>
      <w:tr w:rsidR="00043668" w:rsidRPr="009C5364" w14:paraId="3D9307DC" w14:textId="77777777" w:rsidTr="005A67B7">
        <w:trPr>
          <w:trHeight w:val="583"/>
        </w:trPr>
        <w:tc>
          <w:tcPr>
            <w:tcW w:w="240" w:type="pct"/>
            <w:vAlign w:val="center"/>
          </w:tcPr>
          <w:p w14:paraId="08802A60" w14:textId="77777777" w:rsidR="00043668" w:rsidRPr="009C5364" w:rsidRDefault="00043668" w:rsidP="00043668">
            <w:pPr>
              <w:jc w:val="both"/>
            </w:pPr>
            <w:r w:rsidRPr="009C5364">
              <w:t>d</w:t>
            </w:r>
          </w:p>
        </w:tc>
        <w:tc>
          <w:tcPr>
            <w:tcW w:w="759" w:type="pct"/>
            <w:vAlign w:val="center"/>
          </w:tcPr>
          <w:p w14:paraId="37E65967" w14:textId="77777777" w:rsidR="00043668" w:rsidRPr="009C5364" w:rsidRDefault="00043668" w:rsidP="00043668">
            <w:pPr>
              <w:jc w:val="both"/>
            </w:pPr>
            <w:r w:rsidRPr="009C5364">
              <w:t xml:space="preserve">Slab </w:t>
            </w:r>
          </w:p>
        </w:tc>
        <w:tc>
          <w:tcPr>
            <w:tcW w:w="675" w:type="pct"/>
            <w:vAlign w:val="center"/>
          </w:tcPr>
          <w:p w14:paraId="1B00848F" w14:textId="77777777" w:rsidR="00043668" w:rsidRPr="009C5364" w:rsidRDefault="00043668" w:rsidP="00043668">
            <w:pPr>
              <w:jc w:val="both"/>
            </w:pPr>
            <w:r w:rsidRPr="009C5364">
              <w:t>100</w:t>
            </w:r>
          </w:p>
        </w:tc>
        <w:tc>
          <w:tcPr>
            <w:tcW w:w="659" w:type="pct"/>
            <w:vAlign w:val="center"/>
          </w:tcPr>
          <w:p w14:paraId="7DEA2801" w14:textId="77777777" w:rsidR="00043668" w:rsidRPr="009C5364" w:rsidRDefault="00043668" w:rsidP="00043668">
            <w:pPr>
              <w:jc w:val="both"/>
            </w:pPr>
            <w:r w:rsidRPr="009C5364">
              <w:t>-</w:t>
            </w:r>
          </w:p>
        </w:tc>
        <w:tc>
          <w:tcPr>
            <w:tcW w:w="675" w:type="pct"/>
            <w:vAlign w:val="center"/>
          </w:tcPr>
          <w:p w14:paraId="1B0DA833" w14:textId="77777777" w:rsidR="00043668" w:rsidRPr="009C5364" w:rsidRDefault="00043668" w:rsidP="00043668">
            <w:pPr>
              <w:jc w:val="both"/>
            </w:pPr>
            <w:r w:rsidRPr="009C5364">
              <w:t>100</w:t>
            </w:r>
          </w:p>
        </w:tc>
        <w:tc>
          <w:tcPr>
            <w:tcW w:w="659" w:type="pct"/>
            <w:vAlign w:val="center"/>
          </w:tcPr>
          <w:p w14:paraId="75FA6D7D" w14:textId="77777777" w:rsidR="00043668" w:rsidRPr="009C5364" w:rsidRDefault="00043668" w:rsidP="00043668">
            <w:pPr>
              <w:jc w:val="both"/>
            </w:pPr>
            <w:r w:rsidRPr="009C5364">
              <w:t>-</w:t>
            </w:r>
          </w:p>
        </w:tc>
        <w:tc>
          <w:tcPr>
            <w:tcW w:w="675" w:type="pct"/>
            <w:vAlign w:val="center"/>
          </w:tcPr>
          <w:p w14:paraId="234740C2" w14:textId="77777777" w:rsidR="00043668" w:rsidRPr="009C5364" w:rsidRDefault="00043668" w:rsidP="00043668">
            <w:pPr>
              <w:jc w:val="both"/>
            </w:pPr>
            <w:r w:rsidRPr="009C5364">
              <w:t>100</w:t>
            </w:r>
          </w:p>
        </w:tc>
        <w:tc>
          <w:tcPr>
            <w:tcW w:w="659" w:type="pct"/>
            <w:vAlign w:val="center"/>
          </w:tcPr>
          <w:p w14:paraId="7F8C1F20" w14:textId="77777777" w:rsidR="00043668" w:rsidRPr="009C5364" w:rsidRDefault="00043668" w:rsidP="00043668">
            <w:pPr>
              <w:jc w:val="both"/>
            </w:pPr>
            <w:r w:rsidRPr="009C5364">
              <w:t>-</w:t>
            </w:r>
          </w:p>
        </w:tc>
      </w:tr>
      <w:tr w:rsidR="00043668" w:rsidRPr="009C5364" w14:paraId="2FB6F593" w14:textId="77777777" w:rsidTr="005A67B7">
        <w:trPr>
          <w:trHeight w:val="583"/>
        </w:trPr>
        <w:tc>
          <w:tcPr>
            <w:tcW w:w="240" w:type="pct"/>
            <w:vAlign w:val="center"/>
          </w:tcPr>
          <w:p w14:paraId="4CA158DD" w14:textId="77777777" w:rsidR="00043668" w:rsidRPr="009C5364" w:rsidRDefault="00043668" w:rsidP="00043668">
            <w:pPr>
              <w:jc w:val="both"/>
            </w:pPr>
            <w:r w:rsidRPr="009C5364">
              <w:t>e</w:t>
            </w:r>
          </w:p>
        </w:tc>
        <w:tc>
          <w:tcPr>
            <w:tcW w:w="759" w:type="pct"/>
            <w:vAlign w:val="center"/>
          </w:tcPr>
          <w:p w14:paraId="64DAFD3C" w14:textId="77777777" w:rsidR="00043668" w:rsidRPr="009C5364" w:rsidRDefault="00043668" w:rsidP="00043668">
            <w:pPr>
              <w:jc w:val="both"/>
            </w:pPr>
            <w:r w:rsidRPr="009C5364">
              <w:t>Staircase Slab</w:t>
            </w:r>
          </w:p>
        </w:tc>
        <w:tc>
          <w:tcPr>
            <w:tcW w:w="675" w:type="pct"/>
            <w:vAlign w:val="center"/>
          </w:tcPr>
          <w:p w14:paraId="4031D6AA" w14:textId="77777777" w:rsidR="00043668" w:rsidRPr="009C5364" w:rsidRDefault="00043668" w:rsidP="00043668">
            <w:pPr>
              <w:jc w:val="both"/>
            </w:pPr>
            <w:r w:rsidRPr="009C5364">
              <w:t>100</w:t>
            </w:r>
          </w:p>
        </w:tc>
        <w:tc>
          <w:tcPr>
            <w:tcW w:w="659" w:type="pct"/>
            <w:vAlign w:val="center"/>
          </w:tcPr>
          <w:p w14:paraId="530518DD" w14:textId="77777777" w:rsidR="00043668" w:rsidRPr="009C5364" w:rsidRDefault="00043668" w:rsidP="00043668">
            <w:pPr>
              <w:jc w:val="both"/>
            </w:pPr>
            <w:r w:rsidRPr="009C5364">
              <w:t>-</w:t>
            </w:r>
          </w:p>
        </w:tc>
        <w:tc>
          <w:tcPr>
            <w:tcW w:w="675" w:type="pct"/>
            <w:vAlign w:val="center"/>
          </w:tcPr>
          <w:p w14:paraId="0597BFB7" w14:textId="77777777" w:rsidR="00043668" w:rsidRPr="009C5364" w:rsidRDefault="00043668" w:rsidP="00043668">
            <w:pPr>
              <w:jc w:val="both"/>
            </w:pPr>
            <w:r w:rsidRPr="009C5364">
              <w:t>100</w:t>
            </w:r>
          </w:p>
        </w:tc>
        <w:tc>
          <w:tcPr>
            <w:tcW w:w="659" w:type="pct"/>
            <w:vAlign w:val="center"/>
          </w:tcPr>
          <w:p w14:paraId="29A27266" w14:textId="77777777" w:rsidR="00043668" w:rsidRPr="009C5364" w:rsidRDefault="00043668" w:rsidP="00043668">
            <w:pPr>
              <w:jc w:val="both"/>
            </w:pPr>
            <w:r w:rsidRPr="009C5364">
              <w:t>-</w:t>
            </w:r>
          </w:p>
        </w:tc>
        <w:tc>
          <w:tcPr>
            <w:tcW w:w="675" w:type="pct"/>
            <w:vAlign w:val="center"/>
          </w:tcPr>
          <w:p w14:paraId="580B7F41" w14:textId="77777777" w:rsidR="00043668" w:rsidRPr="009C5364" w:rsidRDefault="00043668" w:rsidP="00043668">
            <w:pPr>
              <w:jc w:val="both"/>
            </w:pPr>
            <w:r w:rsidRPr="009C5364">
              <w:t>100</w:t>
            </w:r>
          </w:p>
        </w:tc>
        <w:tc>
          <w:tcPr>
            <w:tcW w:w="659" w:type="pct"/>
            <w:vAlign w:val="center"/>
          </w:tcPr>
          <w:p w14:paraId="4C1DD666" w14:textId="77777777" w:rsidR="00043668" w:rsidRPr="009C5364" w:rsidRDefault="00043668" w:rsidP="00043668">
            <w:pPr>
              <w:jc w:val="both"/>
            </w:pPr>
            <w:r w:rsidRPr="009C5364">
              <w:t>-</w:t>
            </w:r>
          </w:p>
        </w:tc>
      </w:tr>
      <w:tr w:rsidR="00043668" w:rsidRPr="009C5364" w14:paraId="0B818FB6" w14:textId="77777777" w:rsidTr="005A67B7">
        <w:trPr>
          <w:trHeight w:val="566"/>
        </w:trPr>
        <w:tc>
          <w:tcPr>
            <w:tcW w:w="240" w:type="pct"/>
            <w:vAlign w:val="center"/>
          </w:tcPr>
          <w:p w14:paraId="18F7DF2C" w14:textId="77777777" w:rsidR="00043668" w:rsidRPr="009C5364" w:rsidRDefault="00043668" w:rsidP="00043668">
            <w:pPr>
              <w:jc w:val="both"/>
            </w:pPr>
            <w:r w:rsidRPr="009C5364">
              <w:t>8</w:t>
            </w:r>
          </w:p>
        </w:tc>
        <w:tc>
          <w:tcPr>
            <w:tcW w:w="759" w:type="pct"/>
            <w:vAlign w:val="center"/>
          </w:tcPr>
          <w:p w14:paraId="78395B7F" w14:textId="77777777" w:rsidR="00043668" w:rsidRPr="009C5364" w:rsidRDefault="00043668" w:rsidP="00043668">
            <w:pPr>
              <w:jc w:val="both"/>
            </w:pPr>
            <w:r w:rsidRPr="009C5364">
              <w:t xml:space="preserve">Stirrups </w:t>
            </w:r>
          </w:p>
        </w:tc>
        <w:tc>
          <w:tcPr>
            <w:tcW w:w="675" w:type="pct"/>
            <w:vAlign w:val="center"/>
          </w:tcPr>
          <w:p w14:paraId="4B780009" w14:textId="77777777" w:rsidR="00043668" w:rsidRPr="009C5364" w:rsidRDefault="00043668" w:rsidP="00043668">
            <w:pPr>
              <w:jc w:val="both"/>
            </w:pPr>
            <w:r w:rsidRPr="009C5364">
              <w:t>70.73</w:t>
            </w:r>
          </w:p>
        </w:tc>
        <w:tc>
          <w:tcPr>
            <w:tcW w:w="659" w:type="pct"/>
            <w:vAlign w:val="center"/>
          </w:tcPr>
          <w:p w14:paraId="55A63E7F" w14:textId="77777777" w:rsidR="00043668" w:rsidRPr="009C5364" w:rsidRDefault="00043668" w:rsidP="00043668">
            <w:pPr>
              <w:jc w:val="both"/>
            </w:pPr>
            <w:r w:rsidRPr="009C5364">
              <w:t>29.27</w:t>
            </w:r>
          </w:p>
        </w:tc>
        <w:tc>
          <w:tcPr>
            <w:tcW w:w="675" w:type="pct"/>
            <w:vAlign w:val="center"/>
          </w:tcPr>
          <w:p w14:paraId="65B8772F" w14:textId="77777777" w:rsidR="00043668" w:rsidRPr="009C5364" w:rsidRDefault="00043668" w:rsidP="00043668">
            <w:pPr>
              <w:jc w:val="both"/>
            </w:pPr>
            <w:r w:rsidRPr="009C5364">
              <w:t>100</w:t>
            </w:r>
          </w:p>
        </w:tc>
        <w:tc>
          <w:tcPr>
            <w:tcW w:w="659" w:type="pct"/>
            <w:vAlign w:val="center"/>
          </w:tcPr>
          <w:p w14:paraId="70C1393D" w14:textId="77777777" w:rsidR="00043668" w:rsidRPr="009C5364" w:rsidRDefault="00043668" w:rsidP="00043668">
            <w:pPr>
              <w:jc w:val="both"/>
            </w:pPr>
            <w:r w:rsidRPr="009C5364">
              <w:t>-</w:t>
            </w:r>
          </w:p>
        </w:tc>
        <w:tc>
          <w:tcPr>
            <w:tcW w:w="675" w:type="pct"/>
            <w:vAlign w:val="center"/>
          </w:tcPr>
          <w:p w14:paraId="3FBDB9F8" w14:textId="77777777" w:rsidR="00043668" w:rsidRPr="009C5364" w:rsidRDefault="00043668" w:rsidP="00043668">
            <w:pPr>
              <w:jc w:val="both"/>
            </w:pPr>
            <w:r w:rsidRPr="009C5364">
              <w:t>88.89</w:t>
            </w:r>
          </w:p>
        </w:tc>
        <w:tc>
          <w:tcPr>
            <w:tcW w:w="659" w:type="pct"/>
            <w:vAlign w:val="center"/>
          </w:tcPr>
          <w:p w14:paraId="6C942CA4" w14:textId="77777777" w:rsidR="00043668" w:rsidRPr="009C5364" w:rsidRDefault="00043668" w:rsidP="00043668">
            <w:pPr>
              <w:jc w:val="both"/>
            </w:pPr>
            <w:r w:rsidRPr="009C5364">
              <w:t>11.11</w:t>
            </w:r>
          </w:p>
        </w:tc>
      </w:tr>
      <w:tr w:rsidR="00043668" w:rsidRPr="009C5364" w14:paraId="3500E098" w14:textId="77777777" w:rsidTr="005A67B7">
        <w:trPr>
          <w:trHeight w:val="583"/>
        </w:trPr>
        <w:tc>
          <w:tcPr>
            <w:tcW w:w="240" w:type="pct"/>
            <w:vAlign w:val="center"/>
          </w:tcPr>
          <w:p w14:paraId="0472DD9C" w14:textId="77777777" w:rsidR="00043668" w:rsidRPr="009C5364" w:rsidRDefault="00043668" w:rsidP="00043668">
            <w:pPr>
              <w:jc w:val="both"/>
            </w:pPr>
            <w:r w:rsidRPr="009C5364">
              <w:t>9</w:t>
            </w:r>
          </w:p>
        </w:tc>
        <w:tc>
          <w:tcPr>
            <w:tcW w:w="759" w:type="pct"/>
            <w:vAlign w:val="center"/>
          </w:tcPr>
          <w:p w14:paraId="45AC6EC1" w14:textId="77777777" w:rsidR="00043668" w:rsidRPr="009C5364" w:rsidRDefault="00043668" w:rsidP="00043668">
            <w:pPr>
              <w:jc w:val="both"/>
            </w:pPr>
            <w:r w:rsidRPr="009C5364">
              <w:t>Lapping Position of Bar</w:t>
            </w:r>
          </w:p>
        </w:tc>
        <w:tc>
          <w:tcPr>
            <w:tcW w:w="675" w:type="pct"/>
            <w:vAlign w:val="center"/>
          </w:tcPr>
          <w:p w14:paraId="0321CE17" w14:textId="77777777" w:rsidR="00043668" w:rsidRPr="009C5364" w:rsidRDefault="00043668" w:rsidP="00043668">
            <w:pPr>
              <w:jc w:val="both"/>
            </w:pPr>
          </w:p>
        </w:tc>
        <w:tc>
          <w:tcPr>
            <w:tcW w:w="659" w:type="pct"/>
            <w:vAlign w:val="center"/>
          </w:tcPr>
          <w:p w14:paraId="42EBF204" w14:textId="77777777" w:rsidR="00043668" w:rsidRPr="009C5364" w:rsidRDefault="00043668" w:rsidP="00043668">
            <w:pPr>
              <w:jc w:val="both"/>
            </w:pPr>
          </w:p>
        </w:tc>
        <w:tc>
          <w:tcPr>
            <w:tcW w:w="675" w:type="pct"/>
            <w:vAlign w:val="center"/>
          </w:tcPr>
          <w:p w14:paraId="70B05CFE" w14:textId="77777777" w:rsidR="00043668" w:rsidRPr="009C5364" w:rsidRDefault="00043668" w:rsidP="00043668">
            <w:pPr>
              <w:jc w:val="both"/>
            </w:pPr>
          </w:p>
        </w:tc>
        <w:tc>
          <w:tcPr>
            <w:tcW w:w="659" w:type="pct"/>
            <w:vAlign w:val="center"/>
          </w:tcPr>
          <w:p w14:paraId="38EC6F70" w14:textId="77777777" w:rsidR="00043668" w:rsidRPr="009C5364" w:rsidRDefault="00043668" w:rsidP="00043668">
            <w:pPr>
              <w:jc w:val="both"/>
            </w:pPr>
          </w:p>
        </w:tc>
        <w:tc>
          <w:tcPr>
            <w:tcW w:w="675" w:type="pct"/>
            <w:vAlign w:val="center"/>
          </w:tcPr>
          <w:p w14:paraId="617BFC91" w14:textId="77777777" w:rsidR="00043668" w:rsidRPr="009C5364" w:rsidRDefault="00043668" w:rsidP="00043668">
            <w:pPr>
              <w:jc w:val="both"/>
            </w:pPr>
          </w:p>
        </w:tc>
        <w:tc>
          <w:tcPr>
            <w:tcW w:w="659" w:type="pct"/>
            <w:vAlign w:val="center"/>
          </w:tcPr>
          <w:p w14:paraId="6C95418E" w14:textId="77777777" w:rsidR="00043668" w:rsidRPr="009C5364" w:rsidRDefault="00043668" w:rsidP="00043668">
            <w:pPr>
              <w:jc w:val="both"/>
            </w:pPr>
          </w:p>
        </w:tc>
      </w:tr>
      <w:tr w:rsidR="00043668" w:rsidRPr="009C5364" w14:paraId="3405A6CB" w14:textId="77777777" w:rsidTr="005A67B7">
        <w:trPr>
          <w:trHeight w:val="583"/>
        </w:trPr>
        <w:tc>
          <w:tcPr>
            <w:tcW w:w="240" w:type="pct"/>
            <w:vAlign w:val="center"/>
          </w:tcPr>
          <w:p w14:paraId="7DB4F25E" w14:textId="77777777" w:rsidR="00043668" w:rsidRPr="009C5364" w:rsidRDefault="00043668" w:rsidP="00043668">
            <w:pPr>
              <w:jc w:val="both"/>
            </w:pPr>
            <w:r w:rsidRPr="009C5364">
              <w:t>a</w:t>
            </w:r>
          </w:p>
        </w:tc>
        <w:tc>
          <w:tcPr>
            <w:tcW w:w="759" w:type="pct"/>
            <w:vAlign w:val="center"/>
          </w:tcPr>
          <w:p w14:paraId="21C30779" w14:textId="77777777" w:rsidR="00043668" w:rsidRPr="009C5364" w:rsidRDefault="00043668" w:rsidP="00043668">
            <w:pPr>
              <w:jc w:val="both"/>
            </w:pPr>
            <w:r w:rsidRPr="009C5364">
              <w:t>Column</w:t>
            </w:r>
          </w:p>
        </w:tc>
        <w:tc>
          <w:tcPr>
            <w:tcW w:w="675" w:type="pct"/>
            <w:vAlign w:val="center"/>
          </w:tcPr>
          <w:p w14:paraId="5202623B" w14:textId="77777777" w:rsidR="00043668" w:rsidRPr="009C5364" w:rsidRDefault="00043668" w:rsidP="00043668">
            <w:pPr>
              <w:jc w:val="both"/>
            </w:pPr>
            <w:r w:rsidRPr="009C5364">
              <w:t>68.29</w:t>
            </w:r>
          </w:p>
        </w:tc>
        <w:tc>
          <w:tcPr>
            <w:tcW w:w="659" w:type="pct"/>
            <w:vAlign w:val="center"/>
          </w:tcPr>
          <w:p w14:paraId="407F50E4" w14:textId="77777777" w:rsidR="00043668" w:rsidRPr="009C5364" w:rsidRDefault="00043668" w:rsidP="00043668">
            <w:pPr>
              <w:jc w:val="both"/>
            </w:pPr>
            <w:r w:rsidRPr="009C5364">
              <w:t>31.71</w:t>
            </w:r>
          </w:p>
        </w:tc>
        <w:tc>
          <w:tcPr>
            <w:tcW w:w="675" w:type="pct"/>
            <w:vAlign w:val="center"/>
          </w:tcPr>
          <w:p w14:paraId="6F4F2466" w14:textId="77777777" w:rsidR="00043668" w:rsidRPr="009C5364" w:rsidRDefault="00043668" w:rsidP="00043668">
            <w:pPr>
              <w:jc w:val="both"/>
            </w:pPr>
            <w:r w:rsidRPr="009C5364">
              <w:t>-</w:t>
            </w:r>
          </w:p>
        </w:tc>
        <w:tc>
          <w:tcPr>
            <w:tcW w:w="659" w:type="pct"/>
            <w:vAlign w:val="center"/>
          </w:tcPr>
          <w:p w14:paraId="4A345AA2" w14:textId="77777777" w:rsidR="00043668" w:rsidRPr="009C5364" w:rsidRDefault="00043668" w:rsidP="00043668">
            <w:pPr>
              <w:jc w:val="both"/>
            </w:pPr>
            <w:r w:rsidRPr="009C5364">
              <w:t>100</w:t>
            </w:r>
          </w:p>
        </w:tc>
        <w:tc>
          <w:tcPr>
            <w:tcW w:w="675" w:type="pct"/>
            <w:vAlign w:val="center"/>
          </w:tcPr>
          <w:p w14:paraId="5585E32C" w14:textId="77777777" w:rsidR="00043668" w:rsidRPr="009C5364" w:rsidRDefault="00043668" w:rsidP="00043668">
            <w:pPr>
              <w:jc w:val="both"/>
            </w:pPr>
            <w:r w:rsidRPr="009C5364">
              <w:t>38.89</w:t>
            </w:r>
          </w:p>
        </w:tc>
        <w:tc>
          <w:tcPr>
            <w:tcW w:w="659" w:type="pct"/>
            <w:vAlign w:val="center"/>
          </w:tcPr>
          <w:p w14:paraId="0C690586" w14:textId="77777777" w:rsidR="00043668" w:rsidRPr="009C5364" w:rsidRDefault="00043668" w:rsidP="00043668">
            <w:pPr>
              <w:jc w:val="both"/>
            </w:pPr>
            <w:r w:rsidRPr="009C5364">
              <w:t>61.11</w:t>
            </w:r>
          </w:p>
        </w:tc>
      </w:tr>
      <w:tr w:rsidR="00043668" w:rsidRPr="009C5364" w14:paraId="40C53BBB" w14:textId="77777777" w:rsidTr="005A67B7">
        <w:trPr>
          <w:trHeight w:val="566"/>
        </w:trPr>
        <w:tc>
          <w:tcPr>
            <w:tcW w:w="240" w:type="pct"/>
            <w:vAlign w:val="center"/>
          </w:tcPr>
          <w:p w14:paraId="57DC8DAA" w14:textId="77777777" w:rsidR="00043668" w:rsidRPr="009C5364" w:rsidRDefault="00043668" w:rsidP="00043668">
            <w:pPr>
              <w:jc w:val="both"/>
            </w:pPr>
            <w:r w:rsidRPr="009C5364">
              <w:t>b</w:t>
            </w:r>
          </w:p>
        </w:tc>
        <w:tc>
          <w:tcPr>
            <w:tcW w:w="759" w:type="pct"/>
            <w:vAlign w:val="center"/>
          </w:tcPr>
          <w:p w14:paraId="43339D62" w14:textId="77777777" w:rsidR="00043668" w:rsidRPr="009C5364" w:rsidRDefault="00043668" w:rsidP="00043668">
            <w:pPr>
              <w:jc w:val="both"/>
            </w:pPr>
            <w:r w:rsidRPr="009C5364">
              <w:t>Beam Top Bar</w:t>
            </w:r>
          </w:p>
        </w:tc>
        <w:tc>
          <w:tcPr>
            <w:tcW w:w="675" w:type="pct"/>
            <w:vAlign w:val="center"/>
          </w:tcPr>
          <w:p w14:paraId="2E297E49" w14:textId="77777777" w:rsidR="00043668" w:rsidRPr="009C5364" w:rsidRDefault="00043668" w:rsidP="00043668">
            <w:pPr>
              <w:jc w:val="both"/>
            </w:pPr>
            <w:r w:rsidRPr="009C5364">
              <w:t>78.57</w:t>
            </w:r>
          </w:p>
        </w:tc>
        <w:tc>
          <w:tcPr>
            <w:tcW w:w="659" w:type="pct"/>
            <w:vAlign w:val="center"/>
          </w:tcPr>
          <w:p w14:paraId="08DE8D84" w14:textId="77777777" w:rsidR="00043668" w:rsidRPr="009C5364" w:rsidRDefault="00043668" w:rsidP="00043668">
            <w:pPr>
              <w:jc w:val="both"/>
            </w:pPr>
            <w:r w:rsidRPr="009C5364">
              <w:t>21.43</w:t>
            </w:r>
          </w:p>
        </w:tc>
        <w:tc>
          <w:tcPr>
            <w:tcW w:w="675" w:type="pct"/>
            <w:vAlign w:val="center"/>
          </w:tcPr>
          <w:p w14:paraId="5CE7B002" w14:textId="77777777" w:rsidR="00043668" w:rsidRPr="009C5364" w:rsidRDefault="00043668" w:rsidP="00043668">
            <w:pPr>
              <w:jc w:val="both"/>
            </w:pPr>
            <w:r w:rsidRPr="009C5364">
              <w:t>71.42</w:t>
            </w:r>
          </w:p>
        </w:tc>
        <w:tc>
          <w:tcPr>
            <w:tcW w:w="659" w:type="pct"/>
            <w:vAlign w:val="center"/>
          </w:tcPr>
          <w:p w14:paraId="3F581943" w14:textId="77777777" w:rsidR="00043668" w:rsidRPr="009C5364" w:rsidRDefault="00043668" w:rsidP="00043668">
            <w:pPr>
              <w:jc w:val="both"/>
            </w:pPr>
            <w:r w:rsidRPr="009C5364">
              <w:t>28.57</w:t>
            </w:r>
          </w:p>
        </w:tc>
        <w:tc>
          <w:tcPr>
            <w:tcW w:w="675" w:type="pct"/>
            <w:vAlign w:val="center"/>
          </w:tcPr>
          <w:p w14:paraId="31CE05B1" w14:textId="77777777" w:rsidR="00043668" w:rsidRPr="009C5364" w:rsidRDefault="00043668" w:rsidP="00043668">
            <w:pPr>
              <w:jc w:val="both"/>
            </w:pPr>
            <w:r w:rsidRPr="009C5364">
              <w:t>76.92</w:t>
            </w:r>
          </w:p>
        </w:tc>
        <w:tc>
          <w:tcPr>
            <w:tcW w:w="659" w:type="pct"/>
            <w:vAlign w:val="center"/>
          </w:tcPr>
          <w:p w14:paraId="47BD35C9" w14:textId="77777777" w:rsidR="00043668" w:rsidRPr="009C5364" w:rsidRDefault="00043668" w:rsidP="00043668">
            <w:pPr>
              <w:jc w:val="both"/>
            </w:pPr>
            <w:r w:rsidRPr="009C5364">
              <w:t>23.08</w:t>
            </w:r>
          </w:p>
        </w:tc>
      </w:tr>
      <w:tr w:rsidR="00043668" w:rsidRPr="009C5364" w14:paraId="297BC520" w14:textId="77777777" w:rsidTr="005A67B7">
        <w:trPr>
          <w:trHeight w:val="583"/>
        </w:trPr>
        <w:tc>
          <w:tcPr>
            <w:tcW w:w="240" w:type="pct"/>
            <w:vAlign w:val="center"/>
          </w:tcPr>
          <w:p w14:paraId="69915B5C" w14:textId="77777777" w:rsidR="00043668" w:rsidRPr="009C5364" w:rsidRDefault="00043668" w:rsidP="00043668">
            <w:pPr>
              <w:jc w:val="both"/>
            </w:pPr>
            <w:r w:rsidRPr="009C5364">
              <w:lastRenderedPageBreak/>
              <w:t>c</w:t>
            </w:r>
          </w:p>
        </w:tc>
        <w:tc>
          <w:tcPr>
            <w:tcW w:w="759" w:type="pct"/>
            <w:vAlign w:val="center"/>
          </w:tcPr>
          <w:p w14:paraId="086ABDE1" w14:textId="77777777" w:rsidR="00043668" w:rsidRPr="009C5364" w:rsidRDefault="00043668" w:rsidP="00043668">
            <w:pPr>
              <w:jc w:val="both"/>
            </w:pPr>
            <w:r w:rsidRPr="009C5364">
              <w:t>Beam Bottom Bar</w:t>
            </w:r>
          </w:p>
        </w:tc>
        <w:tc>
          <w:tcPr>
            <w:tcW w:w="675" w:type="pct"/>
            <w:vAlign w:val="center"/>
          </w:tcPr>
          <w:p w14:paraId="020311F8" w14:textId="77777777" w:rsidR="00043668" w:rsidRPr="009C5364" w:rsidRDefault="00043668" w:rsidP="00043668">
            <w:pPr>
              <w:jc w:val="both"/>
            </w:pPr>
            <w:r w:rsidRPr="009C5364">
              <w:t>75</w:t>
            </w:r>
          </w:p>
        </w:tc>
        <w:tc>
          <w:tcPr>
            <w:tcW w:w="659" w:type="pct"/>
            <w:vAlign w:val="center"/>
          </w:tcPr>
          <w:p w14:paraId="4AD51788" w14:textId="77777777" w:rsidR="00043668" w:rsidRPr="009C5364" w:rsidRDefault="00043668" w:rsidP="00043668">
            <w:pPr>
              <w:jc w:val="both"/>
            </w:pPr>
            <w:r w:rsidRPr="009C5364">
              <w:t>25</w:t>
            </w:r>
          </w:p>
        </w:tc>
        <w:tc>
          <w:tcPr>
            <w:tcW w:w="675" w:type="pct"/>
            <w:vAlign w:val="center"/>
          </w:tcPr>
          <w:p w14:paraId="6BF49E56" w14:textId="77777777" w:rsidR="00043668" w:rsidRPr="009C5364" w:rsidRDefault="00043668" w:rsidP="00043668">
            <w:pPr>
              <w:jc w:val="both"/>
            </w:pPr>
            <w:r w:rsidRPr="009C5364">
              <w:t>71.42</w:t>
            </w:r>
          </w:p>
        </w:tc>
        <w:tc>
          <w:tcPr>
            <w:tcW w:w="659" w:type="pct"/>
            <w:vAlign w:val="center"/>
          </w:tcPr>
          <w:p w14:paraId="226B4999" w14:textId="77777777" w:rsidR="00043668" w:rsidRPr="009C5364" w:rsidRDefault="00043668" w:rsidP="00043668">
            <w:pPr>
              <w:jc w:val="both"/>
            </w:pPr>
            <w:r w:rsidRPr="009C5364">
              <w:t>28.57</w:t>
            </w:r>
          </w:p>
        </w:tc>
        <w:tc>
          <w:tcPr>
            <w:tcW w:w="675" w:type="pct"/>
            <w:vAlign w:val="center"/>
          </w:tcPr>
          <w:p w14:paraId="08F32BE8" w14:textId="77777777" w:rsidR="00043668" w:rsidRPr="009C5364" w:rsidRDefault="00043668" w:rsidP="00043668">
            <w:pPr>
              <w:jc w:val="both"/>
            </w:pPr>
            <w:r w:rsidRPr="009C5364">
              <w:t>76.92</w:t>
            </w:r>
          </w:p>
        </w:tc>
        <w:tc>
          <w:tcPr>
            <w:tcW w:w="659" w:type="pct"/>
            <w:vAlign w:val="center"/>
          </w:tcPr>
          <w:p w14:paraId="73E81508" w14:textId="77777777" w:rsidR="00043668" w:rsidRPr="009C5364" w:rsidRDefault="00043668" w:rsidP="00043668">
            <w:pPr>
              <w:jc w:val="both"/>
            </w:pPr>
            <w:r w:rsidRPr="009C5364">
              <w:t>23.08</w:t>
            </w:r>
          </w:p>
        </w:tc>
      </w:tr>
      <w:tr w:rsidR="00043668" w:rsidRPr="009C5364" w14:paraId="2F0B59DD" w14:textId="77777777" w:rsidTr="005A67B7">
        <w:trPr>
          <w:trHeight w:val="566"/>
        </w:trPr>
        <w:tc>
          <w:tcPr>
            <w:tcW w:w="240" w:type="pct"/>
            <w:vAlign w:val="center"/>
          </w:tcPr>
          <w:p w14:paraId="0C4621CA" w14:textId="77777777" w:rsidR="00043668" w:rsidRPr="009C5364" w:rsidRDefault="00043668" w:rsidP="00043668">
            <w:pPr>
              <w:jc w:val="both"/>
            </w:pPr>
            <w:r w:rsidRPr="009C5364">
              <w:t>10</w:t>
            </w:r>
          </w:p>
        </w:tc>
        <w:tc>
          <w:tcPr>
            <w:tcW w:w="759" w:type="pct"/>
            <w:vAlign w:val="center"/>
          </w:tcPr>
          <w:p w14:paraId="798AE898" w14:textId="77777777" w:rsidR="00043668" w:rsidRPr="009C5364" w:rsidRDefault="00043668" w:rsidP="00043668">
            <w:pPr>
              <w:jc w:val="both"/>
            </w:pPr>
            <w:r w:rsidRPr="009C5364">
              <w:t>Sill and Lintel Band</w:t>
            </w:r>
          </w:p>
        </w:tc>
        <w:tc>
          <w:tcPr>
            <w:tcW w:w="675" w:type="pct"/>
            <w:vAlign w:val="center"/>
          </w:tcPr>
          <w:p w14:paraId="610A017C" w14:textId="77777777" w:rsidR="00043668" w:rsidRPr="009C5364" w:rsidRDefault="00043668" w:rsidP="00043668">
            <w:pPr>
              <w:jc w:val="both"/>
            </w:pPr>
            <w:r w:rsidRPr="009C5364">
              <w:t>89.28</w:t>
            </w:r>
          </w:p>
        </w:tc>
        <w:tc>
          <w:tcPr>
            <w:tcW w:w="659" w:type="pct"/>
            <w:vAlign w:val="center"/>
          </w:tcPr>
          <w:p w14:paraId="57E7CC09" w14:textId="77777777" w:rsidR="00043668" w:rsidRPr="009C5364" w:rsidRDefault="00043668" w:rsidP="00043668">
            <w:pPr>
              <w:jc w:val="both"/>
            </w:pPr>
            <w:r w:rsidRPr="009C5364">
              <w:t>10.72</w:t>
            </w:r>
          </w:p>
        </w:tc>
        <w:tc>
          <w:tcPr>
            <w:tcW w:w="675" w:type="pct"/>
            <w:vAlign w:val="center"/>
          </w:tcPr>
          <w:p w14:paraId="728B54E0" w14:textId="77777777" w:rsidR="00043668" w:rsidRPr="009C5364" w:rsidRDefault="00043668" w:rsidP="00043668">
            <w:pPr>
              <w:jc w:val="both"/>
            </w:pPr>
            <w:r w:rsidRPr="009C5364">
              <w:t>85.71</w:t>
            </w:r>
          </w:p>
        </w:tc>
        <w:tc>
          <w:tcPr>
            <w:tcW w:w="659" w:type="pct"/>
            <w:vAlign w:val="center"/>
          </w:tcPr>
          <w:p w14:paraId="66440CE2" w14:textId="77777777" w:rsidR="00043668" w:rsidRPr="009C5364" w:rsidRDefault="00043668" w:rsidP="00043668">
            <w:pPr>
              <w:jc w:val="both"/>
            </w:pPr>
            <w:r w:rsidRPr="009C5364">
              <w:t>14.28</w:t>
            </w:r>
          </w:p>
        </w:tc>
        <w:tc>
          <w:tcPr>
            <w:tcW w:w="675" w:type="pct"/>
            <w:vAlign w:val="center"/>
          </w:tcPr>
          <w:p w14:paraId="5BAF2F83" w14:textId="77777777" w:rsidR="00043668" w:rsidRPr="009C5364" w:rsidRDefault="00043668" w:rsidP="00043668">
            <w:pPr>
              <w:jc w:val="both"/>
            </w:pPr>
            <w:r w:rsidRPr="009C5364">
              <w:t>84.62</w:t>
            </w:r>
          </w:p>
        </w:tc>
        <w:tc>
          <w:tcPr>
            <w:tcW w:w="659" w:type="pct"/>
            <w:vAlign w:val="center"/>
          </w:tcPr>
          <w:p w14:paraId="6ABEA6A1" w14:textId="77777777" w:rsidR="00043668" w:rsidRPr="009C5364" w:rsidRDefault="00043668" w:rsidP="00043668">
            <w:pPr>
              <w:jc w:val="both"/>
            </w:pPr>
            <w:r w:rsidRPr="009C5364">
              <w:t>15.38</w:t>
            </w:r>
          </w:p>
        </w:tc>
      </w:tr>
    </w:tbl>
    <w:p w14:paraId="618331EC" w14:textId="77777777" w:rsidR="00043668" w:rsidRPr="009C5364" w:rsidRDefault="00043668" w:rsidP="00043668">
      <w:pPr>
        <w:jc w:val="both"/>
        <w:rPr>
          <w:bCs/>
        </w:rPr>
      </w:pPr>
    </w:p>
    <w:p w14:paraId="011F253F" w14:textId="77777777" w:rsidR="00043668" w:rsidRPr="009C5364" w:rsidRDefault="00043668" w:rsidP="00043668">
      <w:pPr>
        <w:jc w:val="both"/>
        <w:rPr>
          <w:bCs/>
        </w:rPr>
      </w:pPr>
      <w:r w:rsidRPr="009C5364">
        <w:rPr>
          <w:bCs/>
        </w:rPr>
        <w:t xml:space="preserve">Concrete mixing was a major weakness in both </w:t>
      </w:r>
      <w:proofErr w:type="spellStart"/>
      <w:r w:rsidRPr="009C5364">
        <w:rPr>
          <w:bCs/>
        </w:rPr>
        <w:t>Godawari</w:t>
      </w:r>
      <w:proofErr w:type="spellEnd"/>
      <w:r w:rsidRPr="009C5364">
        <w:rPr>
          <w:bCs/>
        </w:rPr>
        <w:t xml:space="preserve"> (24%) and </w:t>
      </w:r>
      <w:proofErr w:type="spellStart"/>
      <w:r w:rsidRPr="009C5364">
        <w:rPr>
          <w:bCs/>
        </w:rPr>
        <w:t>Sisne</w:t>
      </w:r>
      <w:proofErr w:type="spellEnd"/>
      <w:r w:rsidRPr="009C5364">
        <w:rPr>
          <w:bCs/>
        </w:rPr>
        <w:t xml:space="preserve"> (0%), underscoring a systemic issue in material preparation. Reinforcement detailing showed consistent 100% compliance across all municipalities, but stirrup spacing remained a concern in </w:t>
      </w:r>
      <w:proofErr w:type="spellStart"/>
      <w:r w:rsidRPr="009C5364">
        <w:rPr>
          <w:bCs/>
        </w:rPr>
        <w:t>Godawari</w:t>
      </w:r>
      <w:proofErr w:type="spellEnd"/>
      <w:r w:rsidRPr="009C5364">
        <w:rPr>
          <w:bCs/>
        </w:rPr>
        <w:t xml:space="preserve"> (71%) compared to </w:t>
      </w:r>
      <w:proofErr w:type="spellStart"/>
      <w:r w:rsidRPr="009C5364">
        <w:rPr>
          <w:bCs/>
        </w:rPr>
        <w:t>Sisne</w:t>
      </w:r>
      <w:proofErr w:type="spellEnd"/>
      <w:r w:rsidRPr="009C5364">
        <w:rPr>
          <w:bCs/>
        </w:rPr>
        <w:t xml:space="preserve"> (100%) and </w:t>
      </w:r>
      <w:proofErr w:type="spellStart"/>
      <w:r w:rsidRPr="009C5364">
        <w:rPr>
          <w:bCs/>
        </w:rPr>
        <w:t>Birendranagar</w:t>
      </w:r>
      <w:proofErr w:type="spellEnd"/>
      <w:r w:rsidRPr="009C5364">
        <w:rPr>
          <w:bCs/>
        </w:rPr>
        <w:t xml:space="preserve"> (89%). Bar lapping practices were problematic everywhere, with </w:t>
      </w:r>
      <w:proofErr w:type="spellStart"/>
      <w:r w:rsidRPr="009C5364">
        <w:rPr>
          <w:bCs/>
        </w:rPr>
        <w:t>Sisne</w:t>
      </w:r>
      <w:proofErr w:type="spellEnd"/>
      <w:r w:rsidRPr="009C5364">
        <w:rPr>
          <w:bCs/>
        </w:rPr>
        <w:t xml:space="preserve"> showing complete non-compliance in column lapping, </w:t>
      </w:r>
      <w:proofErr w:type="spellStart"/>
      <w:r w:rsidRPr="009C5364">
        <w:rPr>
          <w:bCs/>
        </w:rPr>
        <w:t>Birendranagar</w:t>
      </w:r>
      <w:proofErr w:type="spellEnd"/>
      <w:r w:rsidRPr="009C5364">
        <w:rPr>
          <w:bCs/>
        </w:rPr>
        <w:t xml:space="preserve"> at 61% non-compliance, and </w:t>
      </w:r>
      <w:proofErr w:type="spellStart"/>
      <w:r w:rsidRPr="009C5364">
        <w:rPr>
          <w:bCs/>
        </w:rPr>
        <w:t>Godawari</w:t>
      </w:r>
      <w:proofErr w:type="spellEnd"/>
      <w:r w:rsidRPr="009C5364">
        <w:rPr>
          <w:bCs/>
        </w:rPr>
        <w:t xml:space="preserve"> at 32%. Sill and lintel bands achieved moderate compliance across municipalities (84–89%).</w:t>
      </w:r>
    </w:p>
    <w:p w14:paraId="22E494B1" w14:textId="77777777" w:rsidR="00043668" w:rsidRPr="009C5364" w:rsidRDefault="00043668" w:rsidP="00043668">
      <w:pPr>
        <w:jc w:val="both"/>
        <w:rPr>
          <w:bCs/>
        </w:rPr>
      </w:pPr>
      <w:r w:rsidRPr="009C5364">
        <w:rPr>
          <w:bCs/>
        </w:rPr>
        <w:t xml:space="preserve">The findings reinforce that while structural framing elements are generally well-executed, workmanship gaps in mix proportioning, lapping, and stirrup detailing persist as major vulnerabilities. Comparisons show </w:t>
      </w:r>
      <w:proofErr w:type="spellStart"/>
      <w:r w:rsidRPr="009C5364">
        <w:rPr>
          <w:bCs/>
        </w:rPr>
        <w:t>Godawari</w:t>
      </w:r>
      <w:proofErr w:type="spellEnd"/>
      <w:r w:rsidRPr="009C5364">
        <w:rPr>
          <w:bCs/>
        </w:rPr>
        <w:t xml:space="preserve"> performing better than </w:t>
      </w:r>
      <w:proofErr w:type="spellStart"/>
      <w:r w:rsidRPr="009C5364">
        <w:rPr>
          <w:bCs/>
        </w:rPr>
        <w:t>Birendranagar</w:t>
      </w:r>
      <w:proofErr w:type="spellEnd"/>
      <w:r w:rsidRPr="009C5364">
        <w:rPr>
          <w:bCs/>
        </w:rPr>
        <w:t xml:space="preserve"> in beams and slabs, but weaker than </w:t>
      </w:r>
      <w:proofErr w:type="spellStart"/>
      <w:r w:rsidRPr="009C5364">
        <w:rPr>
          <w:bCs/>
        </w:rPr>
        <w:t>Sisne</w:t>
      </w:r>
      <w:proofErr w:type="spellEnd"/>
      <w:r w:rsidRPr="009C5364">
        <w:rPr>
          <w:bCs/>
        </w:rPr>
        <w:t xml:space="preserve"> in foundation and stirrups. The systemic issue of improper concrete mixing remains the most critical challenge across municipalities, directly affecting strength and resilience of RCC structures.</w:t>
      </w:r>
    </w:p>
    <w:p w14:paraId="3629039F" w14:textId="77777777" w:rsidR="00043668" w:rsidRPr="009C5364" w:rsidRDefault="00043668" w:rsidP="00043668">
      <w:pPr>
        <w:pStyle w:val="Heading2"/>
        <w:jc w:val="both"/>
        <w:rPr>
          <w:rFonts w:cs="Times New Roman"/>
          <w:szCs w:val="24"/>
        </w:rPr>
      </w:pPr>
      <w:bookmarkStart w:id="43" w:name="_Toc184819565"/>
      <w:bookmarkStart w:id="44" w:name="_Toc184835225"/>
      <w:bookmarkStart w:id="45" w:name="_Toc184835325"/>
      <w:r w:rsidRPr="009C5364">
        <w:rPr>
          <w:rFonts w:cs="Times New Roman"/>
          <w:szCs w:val="24"/>
        </w:rPr>
        <w:t>4.2 CHARACTERISTICS, AWARENESS AND CAPABILITIES OF CONSTRUCTION CONTRACTOR/MASONS</w:t>
      </w:r>
      <w:bookmarkEnd w:id="43"/>
      <w:bookmarkEnd w:id="44"/>
      <w:bookmarkEnd w:id="45"/>
    </w:p>
    <w:p w14:paraId="5E7CCE61" w14:textId="77777777" w:rsidR="00043668" w:rsidRPr="009C5364" w:rsidRDefault="00043668" w:rsidP="00043668">
      <w:pPr>
        <w:jc w:val="both"/>
      </w:pPr>
      <w:r w:rsidRPr="009C5364">
        <w:t xml:space="preserve">This objective examines the profiles, knowledge, and skill sets of construction contractors and masons in </w:t>
      </w:r>
      <w:proofErr w:type="spellStart"/>
      <w:r w:rsidRPr="009C5364">
        <w:t>Godawari</w:t>
      </w:r>
      <w:proofErr w:type="spellEnd"/>
      <w:r w:rsidRPr="009C5364">
        <w:t xml:space="preserve"> Municipality, focusing on their compliance with building codes during residential construction.</w:t>
      </w:r>
    </w:p>
    <w:p w14:paraId="750638B3" w14:textId="77777777" w:rsidR="00043668" w:rsidRPr="00CB2694" w:rsidRDefault="00043668" w:rsidP="00043668">
      <w:pPr>
        <w:pStyle w:val="Heading3"/>
        <w:jc w:val="both"/>
        <w:rPr>
          <w:rFonts w:cs="Times New Roman"/>
          <w:i/>
          <w:sz w:val="27"/>
        </w:rPr>
      </w:pPr>
      <w:r w:rsidRPr="00CB2694">
        <w:rPr>
          <w:rFonts w:cs="Times New Roman"/>
          <w:i/>
        </w:rPr>
        <w:t>CHARACTERISTICS OF MASONS</w:t>
      </w:r>
    </w:p>
    <w:p w14:paraId="0ABA2696" w14:textId="77777777" w:rsidR="00043668" w:rsidRPr="009C5364" w:rsidRDefault="00043668" w:rsidP="00043668">
      <w:pPr>
        <w:pStyle w:val="NormalWeb"/>
        <w:spacing w:before="0" w:beforeAutospacing="0" w:after="0" w:afterAutospacing="0" w:line="240" w:lineRule="auto"/>
      </w:pPr>
      <w:r w:rsidRPr="009C5364">
        <w:t xml:space="preserve">A total of 32 lead masons working at various under-construction sites were surveyed. The study considered years of experience, formal training, and academic qualifications. </w:t>
      </w:r>
      <w:r>
        <w:t>Details showed in table 5.</w:t>
      </w:r>
    </w:p>
    <w:p w14:paraId="22671033" w14:textId="77777777" w:rsidR="00043668" w:rsidRPr="009C5364" w:rsidRDefault="00043668" w:rsidP="00043668">
      <w:pPr>
        <w:pStyle w:val="NormalWeb"/>
        <w:spacing w:before="0" w:beforeAutospacing="0" w:after="0" w:afterAutospacing="0" w:line="240" w:lineRule="auto"/>
      </w:pPr>
      <w:r w:rsidRPr="009C5364">
        <w:t xml:space="preserve">Table </w:t>
      </w:r>
      <w:r>
        <w:t>5</w:t>
      </w:r>
      <w:r w:rsidRPr="009C5364">
        <w:t>: Experience, Training, and Academic Qualification of Masons (</w:t>
      </w:r>
      <w:proofErr w:type="spellStart"/>
      <w:r w:rsidRPr="009C5364">
        <w:t>Godawari</w:t>
      </w:r>
      <w:proofErr w:type="spellEnd"/>
      <w:r w:rsidRPr="009C5364">
        <w:t xml:space="preserve"> vs. Past Studies)</w:t>
      </w:r>
    </w:p>
    <w:tbl>
      <w:tblPr>
        <w:tblW w:w="8652" w:type="dxa"/>
        <w:tblInd w:w="-5" w:type="dxa"/>
        <w:tblLook w:val="04A0" w:firstRow="1" w:lastRow="0" w:firstColumn="1" w:lastColumn="0" w:noHBand="0" w:noVBand="1"/>
      </w:tblPr>
      <w:tblGrid>
        <w:gridCol w:w="1756"/>
        <w:gridCol w:w="1589"/>
        <w:gridCol w:w="1747"/>
        <w:gridCol w:w="1321"/>
        <w:gridCol w:w="2239"/>
      </w:tblGrid>
      <w:tr w:rsidR="00043668" w:rsidRPr="009C5364" w14:paraId="0C55CD2C" w14:textId="77777777" w:rsidTr="00043668">
        <w:trPr>
          <w:trHeight w:val="581"/>
        </w:trPr>
        <w:tc>
          <w:tcPr>
            <w:tcW w:w="1756" w:type="dxa"/>
            <w:tcBorders>
              <w:top w:val="single" w:sz="4" w:space="0" w:color="auto"/>
              <w:left w:val="single" w:sz="4" w:space="0" w:color="auto"/>
              <w:bottom w:val="single" w:sz="4" w:space="0" w:color="auto"/>
              <w:right w:val="single" w:sz="4" w:space="0" w:color="auto"/>
            </w:tcBorders>
            <w:vAlign w:val="center"/>
            <w:hideMark/>
          </w:tcPr>
          <w:p w14:paraId="66E547D8" w14:textId="77777777" w:rsidR="00043668" w:rsidRPr="009C5364" w:rsidRDefault="00043668" w:rsidP="00043668">
            <w:pPr>
              <w:jc w:val="both"/>
              <w:rPr>
                <w:b/>
                <w:bCs/>
                <w:color w:val="000000"/>
                <w:szCs w:val="24"/>
              </w:rPr>
            </w:pPr>
            <w:r w:rsidRPr="009C5364">
              <w:rPr>
                <w:b/>
                <w:bCs/>
                <w:color w:val="000000"/>
                <w:szCs w:val="24"/>
                <w:lang w:val="en-GB"/>
              </w:rPr>
              <w:t>Attribute</w:t>
            </w:r>
          </w:p>
        </w:tc>
        <w:tc>
          <w:tcPr>
            <w:tcW w:w="1589" w:type="dxa"/>
            <w:tcBorders>
              <w:top w:val="single" w:sz="4" w:space="0" w:color="auto"/>
              <w:left w:val="nil"/>
              <w:bottom w:val="single" w:sz="4" w:space="0" w:color="auto"/>
              <w:right w:val="single" w:sz="4" w:space="0" w:color="auto"/>
            </w:tcBorders>
            <w:vAlign w:val="center"/>
            <w:hideMark/>
          </w:tcPr>
          <w:p w14:paraId="05022913" w14:textId="77777777" w:rsidR="00043668" w:rsidRPr="009C5364" w:rsidRDefault="00043668" w:rsidP="00043668">
            <w:pPr>
              <w:jc w:val="both"/>
              <w:rPr>
                <w:b/>
                <w:bCs/>
                <w:color w:val="000000"/>
                <w:szCs w:val="24"/>
              </w:rPr>
            </w:pPr>
            <w:r w:rsidRPr="009C5364">
              <w:rPr>
                <w:b/>
                <w:bCs/>
                <w:color w:val="000000"/>
                <w:szCs w:val="24"/>
                <w:lang w:val="en-GB"/>
              </w:rPr>
              <w:t>Category</w:t>
            </w:r>
          </w:p>
        </w:tc>
        <w:tc>
          <w:tcPr>
            <w:tcW w:w="1747" w:type="dxa"/>
            <w:tcBorders>
              <w:top w:val="single" w:sz="4" w:space="0" w:color="auto"/>
              <w:left w:val="nil"/>
              <w:bottom w:val="single" w:sz="4" w:space="0" w:color="auto"/>
              <w:right w:val="single" w:sz="4" w:space="0" w:color="auto"/>
            </w:tcBorders>
            <w:vAlign w:val="center"/>
            <w:hideMark/>
          </w:tcPr>
          <w:p w14:paraId="3EEE7E31" w14:textId="77777777" w:rsidR="00043668" w:rsidRPr="009C5364" w:rsidRDefault="00043668" w:rsidP="00043668">
            <w:pPr>
              <w:jc w:val="both"/>
              <w:rPr>
                <w:b/>
                <w:bCs/>
                <w:color w:val="000000"/>
                <w:szCs w:val="24"/>
              </w:rPr>
            </w:pPr>
            <w:proofErr w:type="spellStart"/>
            <w:r w:rsidRPr="009C5364">
              <w:rPr>
                <w:b/>
                <w:bCs/>
                <w:color w:val="000000"/>
                <w:szCs w:val="24"/>
                <w:lang w:val="en-GB"/>
              </w:rPr>
              <w:t>Godawari</w:t>
            </w:r>
            <w:proofErr w:type="spellEnd"/>
            <w:r w:rsidRPr="009C5364">
              <w:rPr>
                <w:b/>
                <w:bCs/>
                <w:color w:val="000000"/>
                <w:szCs w:val="24"/>
                <w:lang w:val="en-GB"/>
              </w:rPr>
              <w:t xml:space="preserve"> (%)</w:t>
            </w:r>
          </w:p>
        </w:tc>
        <w:tc>
          <w:tcPr>
            <w:tcW w:w="1321" w:type="dxa"/>
            <w:tcBorders>
              <w:top w:val="single" w:sz="4" w:space="0" w:color="auto"/>
              <w:left w:val="nil"/>
              <w:bottom w:val="single" w:sz="4" w:space="0" w:color="auto"/>
              <w:right w:val="single" w:sz="4" w:space="0" w:color="auto"/>
            </w:tcBorders>
            <w:vAlign w:val="center"/>
            <w:hideMark/>
          </w:tcPr>
          <w:p w14:paraId="5E6BF1CB" w14:textId="77777777" w:rsidR="00043668" w:rsidRPr="009C5364" w:rsidRDefault="00043668" w:rsidP="00043668">
            <w:pPr>
              <w:jc w:val="both"/>
              <w:rPr>
                <w:b/>
                <w:bCs/>
                <w:color w:val="000000"/>
                <w:szCs w:val="24"/>
              </w:rPr>
            </w:pPr>
            <w:proofErr w:type="spellStart"/>
            <w:r w:rsidRPr="009C5364">
              <w:rPr>
                <w:b/>
                <w:bCs/>
                <w:color w:val="000000"/>
                <w:szCs w:val="24"/>
                <w:lang w:val="en-GB"/>
              </w:rPr>
              <w:t>Sisne</w:t>
            </w:r>
            <w:proofErr w:type="spellEnd"/>
            <w:r w:rsidRPr="009C5364">
              <w:rPr>
                <w:b/>
                <w:bCs/>
                <w:color w:val="000000"/>
                <w:szCs w:val="24"/>
                <w:lang w:val="en-GB"/>
              </w:rPr>
              <w:t xml:space="preserve"> (%)</w:t>
            </w:r>
          </w:p>
        </w:tc>
        <w:tc>
          <w:tcPr>
            <w:tcW w:w="2239" w:type="dxa"/>
            <w:tcBorders>
              <w:top w:val="single" w:sz="4" w:space="0" w:color="auto"/>
              <w:left w:val="nil"/>
              <w:bottom w:val="single" w:sz="4" w:space="0" w:color="auto"/>
              <w:right w:val="single" w:sz="4" w:space="0" w:color="auto"/>
            </w:tcBorders>
            <w:vAlign w:val="center"/>
            <w:hideMark/>
          </w:tcPr>
          <w:p w14:paraId="6E27EA56" w14:textId="77777777" w:rsidR="00043668" w:rsidRPr="009C5364" w:rsidRDefault="00043668" w:rsidP="00043668">
            <w:pPr>
              <w:jc w:val="both"/>
              <w:rPr>
                <w:b/>
                <w:bCs/>
                <w:color w:val="000000"/>
                <w:szCs w:val="24"/>
              </w:rPr>
            </w:pPr>
            <w:proofErr w:type="spellStart"/>
            <w:r w:rsidRPr="009C5364">
              <w:rPr>
                <w:b/>
                <w:bCs/>
                <w:color w:val="000000"/>
                <w:szCs w:val="24"/>
                <w:lang w:val="en-GB"/>
              </w:rPr>
              <w:t>Birendranagar</w:t>
            </w:r>
            <w:proofErr w:type="spellEnd"/>
            <w:r w:rsidRPr="009C5364">
              <w:rPr>
                <w:b/>
                <w:bCs/>
                <w:color w:val="000000"/>
                <w:szCs w:val="24"/>
                <w:lang w:val="en-GB"/>
              </w:rPr>
              <w:t xml:space="preserve"> (%)</w:t>
            </w:r>
          </w:p>
        </w:tc>
      </w:tr>
      <w:tr w:rsidR="00043668" w:rsidRPr="009C5364" w14:paraId="39002151" w14:textId="77777777" w:rsidTr="00043668">
        <w:trPr>
          <w:trHeight w:val="290"/>
        </w:trPr>
        <w:tc>
          <w:tcPr>
            <w:tcW w:w="1756" w:type="dxa"/>
            <w:vMerge w:val="restart"/>
            <w:tcBorders>
              <w:top w:val="nil"/>
              <w:left w:val="single" w:sz="4" w:space="0" w:color="auto"/>
              <w:bottom w:val="single" w:sz="4" w:space="0" w:color="000000"/>
              <w:right w:val="single" w:sz="4" w:space="0" w:color="auto"/>
            </w:tcBorders>
            <w:vAlign w:val="center"/>
            <w:hideMark/>
          </w:tcPr>
          <w:p w14:paraId="52ACC210" w14:textId="77777777" w:rsidR="00043668" w:rsidRPr="009C5364" w:rsidRDefault="00043668" w:rsidP="00043668">
            <w:pPr>
              <w:jc w:val="both"/>
              <w:rPr>
                <w:b/>
                <w:bCs/>
                <w:color w:val="000000"/>
                <w:szCs w:val="24"/>
              </w:rPr>
            </w:pPr>
            <w:r w:rsidRPr="009C5364">
              <w:rPr>
                <w:b/>
                <w:bCs/>
                <w:color w:val="000000"/>
                <w:szCs w:val="24"/>
                <w:lang w:val="en-GB"/>
              </w:rPr>
              <w:t>Experience</w:t>
            </w:r>
          </w:p>
        </w:tc>
        <w:tc>
          <w:tcPr>
            <w:tcW w:w="1589" w:type="dxa"/>
            <w:tcBorders>
              <w:top w:val="nil"/>
              <w:left w:val="nil"/>
              <w:bottom w:val="single" w:sz="4" w:space="0" w:color="auto"/>
              <w:right w:val="single" w:sz="4" w:space="0" w:color="auto"/>
            </w:tcBorders>
            <w:vAlign w:val="center"/>
            <w:hideMark/>
          </w:tcPr>
          <w:p w14:paraId="489DB8AD" w14:textId="77777777" w:rsidR="00043668" w:rsidRPr="009C5364" w:rsidRDefault="00043668" w:rsidP="00043668">
            <w:pPr>
              <w:jc w:val="both"/>
              <w:rPr>
                <w:color w:val="000000"/>
                <w:szCs w:val="24"/>
              </w:rPr>
            </w:pPr>
            <w:r w:rsidRPr="009C5364">
              <w:rPr>
                <w:color w:val="000000"/>
                <w:szCs w:val="24"/>
                <w:lang w:val="en-GB"/>
              </w:rPr>
              <w:t>Up to 5 yrs</w:t>
            </w:r>
          </w:p>
        </w:tc>
        <w:tc>
          <w:tcPr>
            <w:tcW w:w="1747" w:type="dxa"/>
            <w:tcBorders>
              <w:top w:val="nil"/>
              <w:left w:val="nil"/>
              <w:bottom w:val="single" w:sz="4" w:space="0" w:color="auto"/>
              <w:right w:val="single" w:sz="4" w:space="0" w:color="auto"/>
            </w:tcBorders>
            <w:vAlign w:val="center"/>
            <w:hideMark/>
          </w:tcPr>
          <w:p w14:paraId="65C2AF05" w14:textId="77777777" w:rsidR="00043668" w:rsidRPr="009C5364" w:rsidRDefault="00043668" w:rsidP="00043668">
            <w:pPr>
              <w:jc w:val="both"/>
              <w:rPr>
                <w:color w:val="000000"/>
                <w:szCs w:val="24"/>
              </w:rPr>
            </w:pPr>
            <w:r w:rsidRPr="009C5364">
              <w:rPr>
                <w:color w:val="000000"/>
                <w:szCs w:val="24"/>
                <w:lang w:val="en-GB"/>
              </w:rPr>
              <w:t>15.62</w:t>
            </w:r>
          </w:p>
        </w:tc>
        <w:tc>
          <w:tcPr>
            <w:tcW w:w="1321" w:type="dxa"/>
            <w:tcBorders>
              <w:top w:val="nil"/>
              <w:left w:val="nil"/>
              <w:bottom w:val="single" w:sz="4" w:space="0" w:color="auto"/>
              <w:right w:val="single" w:sz="4" w:space="0" w:color="auto"/>
            </w:tcBorders>
            <w:vAlign w:val="center"/>
            <w:hideMark/>
          </w:tcPr>
          <w:p w14:paraId="78C13B6A" w14:textId="77777777" w:rsidR="00043668" w:rsidRPr="009C5364" w:rsidRDefault="00043668" w:rsidP="00043668">
            <w:pPr>
              <w:jc w:val="both"/>
              <w:rPr>
                <w:color w:val="000000"/>
                <w:szCs w:val="24"/>
              </w:rPr>
            </w:pPr>
            <w:r w:rsidRPr="009C5364">
              <w:rPr>
                <w:color w:val="000000"/>
                <w:szCs w:val="24"/>
                <w:lang w:val="en-GB"/>
              </w:rPr>
              <w:t>7.69</w:t>
            </w:r>
          </w:p>
        </w:tc>
        <w:tc>
          <w:tcPr>
            <w:tcW w:w="2239" w:type="dxa"/>
            <w:tcBorders>
              <w:top w:val="nil"/>
              <w:left w:val="nil"/>
              <w:bottom w:val="single" w:sz="4" w:space="0" w:color="auto"/>
              <w:right w:val="single" w:sz="4" w:space="0" w:color="auto"/>
            </w:tcBorders>
            <w:vAlign w:val="center"/>
            <w:hideMark/>
          </w:tcPr>
          <w:p w14:paraId="2811413A" w14:textId="77777777" w:rsidR="00043668" w:rsidRPr="009C5364" w:rsidRDefault="00043668" w:rsidP="00043668">
            <w:pPr>
              <w:jc w:val="both"/>
              <w:rPr>
                <w:color w:val="000000"/>
                <w:szCs w:val="24"/>
              </w:rPr>
            </w:pPr>
            <w:r w:rsidRPr="009C5364">
              <w:rPr>
                <w:color w:val="000000"/>
                <w:szCs w:val="24"/>
                <w:lang w:val="en-GB"/>
              </w:rPr>
              <w:t>25</w:t>
            </w:r>
          </w:p>
        </w:tc>
      </w:tr>
      <w:tr w:rsidR="00043668" w:rsidRPr="009C5364" w14:paraId="762F3067"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550AF2B2"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200D8170" w14:textId="77777777" w:rsidR="00043668" w:rsidRPr="009C5364" w:rsidRDefault="00043668" w:rsidP="00043668">
            <w:pPr>
              <w:jc w:val="both"/>
              <w:rPr>
                <w:color w:val="000000"/>
                <w:szCs w:val="24"/>
              </w:rPr>
            </w:pPr>
            <w:r w:rsidRPr="009C5364">
              <w:rPr>
                <w:color w:val="000000"/>
                <w:szCs w:val="24"/>
                <w:lang w:val="en-GB"/>
              </w:rPr>
              <w:t>5–10 yrs</w:t>
            </w:r>
          </w:p>
        </w:tc>
        <w:tc>
          <w:tcPr>
            <w:tcW w:w="1747" w:type="dxa"/>
            <w:tcBorders>
              <w:top w:val="nil"/>
              <w:left w:val="nil"/>
              <w:bottom w:val="single" w:sz="4" w:space="0" w:color="auto"/>
              <w:right w:val="single" w:sz="4" w:space="0" w:color="auto"/>
            </w:tcBorders>
            <w:vAlign w:val="center"/>
            <w:hideMark/>
          </w:tcPr>
          <w:p w14:paraId="412B794F" w14:textId="77777777" w:rsidR="00043668" w:rsidRPr="009C5364" w:rsidRDefault="00043668" w:rsidP="00043668">
            <w:pPr>
              <w:jc w:val="both"/>
              <w:rPr>
                <w:color w:val="000000"/>
                <w:szCs w:val="24"/>
              </w:rPr>
            </w:pPr>
            <w:r w:rsidRPr="009C5364">
              <w:rPr>
                <w:color w:val="000000"/>
                <w:szCs w:val="24"/>
                <w:lang w:val="en-GB"/>
              </w:rPr>
              <w:t>43.75</w:t>
            </w:r>
          </w:p>
        </w:tc>
        <w:tc>
          <w:tcPr>
            <w:tcW w:w="1321" w:type="dxa"/>
            <w:tcBorders>
              <w:top w:val="nil"/>
              <w:left w:val="nil"/>
              <w:bottom w:val="single" w:sz="4" w:space="0" w:color="auto"/>
              <w:right w:val="single" w:sz="4" w:space="0" w:color="auto"/>
            </w:tcBorders>
            <w:vAlign w:val="center"/>
            <w:hideMark/>
          </w:tcPr>
          <w:p w14:paraId="3BD99A73" w14:textId="77777777" w:rsidR="00043668" w:rsidRPr="009C5364" w:rsidRDefault="00043668" w:rsidP="00043668">
            <w:pPr>
              <w:jc w:val="both"/>
              <w:rPr>
                <w:color w:val="000000"/>
                <w:szCs w:val="24"/>
              </w:rPr>
            </w:pPr>
            <w:r w:rsidRPr="009C5364">
              <w:rPr>
                <w:color w:val="000000"/>
                <w:szCs w:val="24"/>
                <w:lang w:val="en-GB"/>
              </w:rPr>
              <w:t>53.85</w:t>
            </w:r>
          </w:p>
        </w:tc>
        <w:tc>
          <w:tcPr>
            <w:tcW w:w="2239" w:type="dxa"/>
            <w:tcBorders>
              <w:top w:val="nil"/>
              <w:left w:val="nil"/>
              <w:bottom w:val="single" w:sz="4" w:space="0" w:color="auto"/>
              <w:right w:val="single" w:sz="4" w:space="0" w:color="auto"/>
            </w:tcBorders>
            <w:vAlign w:val="center"/>
            <w:hideMark/>
          </w:tcPr>
          <w:p w14:paraId="260703F2" w14:textId="77777777" w:rsidR="00043668" w:rsidRPr="009C5364" w:rsidRDefault="00043668" w:rsidP="00043668">
            <w:pPr>
              <w:jc w:val="both"/>
              <w:rPr>
                <w:color w:val="000000"/>
                <w:szCs w:val="24"/>
              </w:rPr>
            </w:pPr>
            <w:r w:rsidRPr="009C5364">
              <w:rPr>
                <w:color w:val="000000"/>
                <w:szCs w:val="24"/>
                <w:lang w:val="en-GB"/>
              </w:rPr>
              <w:t>43.75</w:t>
            </w:r>
          </w:p>
        </w:tc>
      </w:tr>
      <w:tr w:rsidR="00043668" w:rsidRPr="009C5364" w14:paraId="62DD7622"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0B60E94A"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1FE277C1" w14:textId="77777777" w:rsidR="00043668" w:rsidRPr="009C5364" w:rsidRDefault="00043668" w:rsidP="00043668">
            <w:pPr>
              <w:jc w:val="both"/>
              <w:rPr>
                <w:color w:val="000000"/>
                <w:szCs w:val="24"/>
              </w:rPr>
            </w:pPr>
            <w:r w:rsidRPr="009C5364">
              <w:rPr>
                <w:color w:val="000000"/>
                <w:szCs w:val="24"/>
                <w:lang w:val="en-GB"/>
              </w:rPr>
              <w:t>10–15 yrs</w:t>
            </w:r>
          </w:p>
        </w:tc>
        <w:tc>
          <w:tcPr>
            <w:tcW w:w="1747" w:type="dxa"/>
            <w:tcBorders>
              <w:top w:val="nil"/>
              <w:left w:val="nil"/>
              <w:bottom w:val="single" w:sz="4" w:space="0" w:color="auto"/>
              <w:right w:val="single" w:sz="4" w:space="0" w:color="auto"/>
            </w:tcBorders>
            <w:vAlign w:val="center"/>
            <w:hideMark/>
          </w:tcPr>
          <w:p w14:paraId="4E18DF9C" w14:textId="77777777" w:rsidR="00043668" w:rsidRPr="009C5364" w:rsidRDefault="00043668" w:rsidP="00043668">
            <w:pPr>
              <w:jc w:val="both"/>
              <w:rPr>
                <w:color w:val="000000"/>
                <w:szCs w:val="24"/>
              </w:rPr>
            </w:pPr>
            <w:r w:rsidRPr="009C5364">
              <w:rPr>
                <w:color w:val="000000"/>
                <w:szCs w:val="24"/>
                <w:lang w:val="en-GB"/>
              </w:rPr>
              <w:t>15.62</w:t>
            </w:r>
          </w:p>
        </w:tc>
        <w:tc>
          <w:tcPr>
            <w:tcW w:w="1321" w:type="dxa"/>
            <w:tcBorders>
              <w:top w:val="nil"/>
              <w:left w:val="nil"/>
              <w:bottom w:val="single" w:sz="4" w:space="0" w:color="auto"/>
              <w:right w:val="single" w:sz="4" w:space="0" w:color="auto"/>
            </w:tcBorders>
            <w:vAlign w:val="center"/>
            <w:hideMark/>
          </w:tcPr>
          <w:p w14:paraId="2B473BDD" w14:textId="77777777" w:rsidR="00043668" w:rsidRPr="009C5364" w:rsidRDefault="00043668" w:rsidP="00043668">
            <w:pPr>
              <w:jc w:val="both"/>
              <w:rPr>
                <w:color w:val="000000"/>
                <w:szCs w:val="24"/>
              </w:rPr>
            </w:pPr>
            <w:r w:rsidRPr="009C5364">
              <w:rPr>
                <w:color w:val="000000"/>
                <w:szCs w:val="24"/>
                <w:lang w:val="en-GB"/>
              </w:rPr>
              <w:t>38.46</w:t>
            </w:r>
          </w:p>
        </w:tc>
        <w:tc>
          <w:tcPr>
            <w:tcW w:w="2239" w:type="dxa"/>
            <w:tcBorders>
              <w:top w:val="nil"/>
              <w:left w:val="nil"/>
              <w:bottom w:val="single" w:sz="4" w:space="0" w:color="auto"/>
              <w:right w:val="single" w:sz="4" w:space="0" w:color="auto"/>
            </w:tcBorders>
            <w:vAlign w:val="center"/>
            <w:hideMark/>
          </w:tcPr>
          <w:p w14:paraId="66D05F1B" w14:textId="77777777" w:rsidR="00043668" w:rsidRPr="009C5364" w:rsidRDefault="00043668" w:rsidP="00043668">
            <w:pPr>
              <w:jc w:val="both"/>
              <w:rPr>
                <w:color w:val="000000"/>
                <w:szCs w:val="24"/>
              </w:rPr>
            </w:pPr>
            <w:r w:rsidRPr="009C5364">
              <w:rPr>
                <w:color w:val="000000"/>
                <w:szCs w:val="24"/>
                <w:lang w:val="en-GB"/>
              </w:rPr>
              <w:t>12.5</w:t>
            </w:r>
          </w:p>
        </w:tc>
      </w:tr>
      <w:tr w:rsidR="00043668" w:rsidRPr="009C5364" w14:paraId="694E3C42"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6509E2B2"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474AB987" w14:textId="77777777" w:rsidR="00043668" w:rsidRPr="009C5364" w:rsidRDefault="00043668" w:rsidP="00043668">
            <w:pPr>
              <w:jc w:val="both"/>
              <w:rPr>
                <w:color w:val="000000"/>
                <w:szCs w:val="24"/>
              </w:rPr>
            </w:pPr>
            <w:r w:rsidRPr="009C5364">
              <w:rPr>
                <w:color w:val="000000"/>
                <w:szCs w:val="24"/>
                <w:lang w:val="en-GB"/>
              </w:rPr>
              <w:t>&gt;15 yrs</w:t>
            </w:r>
          </w:p>
        </w:tc>
        <w:tc>
          <w:tcPr>
            <w:tcW w:w="1747" w:type="dxa"/>
            <w:tcBorders>
              <w:top w:val="nil"/>
              <w:left w:val="nil"/>
              <w:bottom w:val="single" w:sz="4" w:space="0" w:color="auto"/>
              <w:right w:val="single" w:sz="4" w:space="0" w:color="auto"/>
            </w:tcBorders>
            <w:vAlign w:val="center"/>
            <w:hideMark/>
          </w:tcPr>
          <w:p w14:paraId="18BC5B58" w14:textId="77777777" w:rsidR="00043668" w:rsidRPr="009C5364" w:rsidRDefault="00043668" w:rsidP="00043668">
            <w:pPr>
              <w:jc w:val="both"/>
              <w:rPr>
                <w:color w:val="000000"/>
                <w:szCs w:val="24"/>
              </w:rPr>
            </w:pPr>
            <w:r w:rsidRPr="009C5364">
              <w:rPr>
                <w:color w:val="000000"/>
                <w:szCs w:val="24"/>
                <w:lang w:val="en-GB"/>
              </w:rPr>
              <w:t>25</w:t>
            </w:r>
          </w:p>
        </w:tc>
        <w:tc>
          <w:tcPr>
            <w:tcW w:w="1321" w:type="dxa"/>
            <w:tcBorders>
              <w:top w:val="nil"/>
              <w:left w:val="nil"/>
              <w:bottom w:val="single" w:sz="4" w:space="0" w:color="auto"/>
              <w:right w:val="single" w:sz="4" w:space="0" w:color="auto"/>
            </w:tcBorders>
            <w:vAlign w:val="center"/>
            <w:hideMark/>
          </w:tcPr>
          <w:p w14:paraId="0D08F6A5" w14:textId="77777777" w:rsidR="00043668" w:rsidRPr="009C5364" w:rsidRDefault="00043668" w:rsidP="00043668">
            <w:pPr>
              <w:jc w:val="both"/>
              <w:rPr>
                <w:color w:val="000000"/>
                <w:szCs w:val="24"/>
              </w:rPr>
            </w:pPr>
            <w:r w:rsidRPr="009C5364">
              <w:rPr>
                <w:color w:val="000000"/>
                <w:szCs w:val="24"/>
                <w:lang w:val="en-GB"/>
              </w:rPr>
              <w:t>0</w:t>
            </w:r>
          </w:p>
        </w:tc>
        <w:tc>
          <w:tcPr>
            <w:tcW w:w="2239" w:type="dxa"/>
            <w:tcBorders>
              <w:top w:val="nil"/>
              <w:left w:val="nil"/>
              <w:bottom w:val="single" w:sz="4" w:space="0" w:color="auto"/>
              <w:right w:val="single" w:sz="4" w:space="0" w:color="auto"/>
            </w:tcBorders>
            <w:vAlign w:val="center"/>
            <w:hideMark/>
          </w:tcPr>
          <w:p w14:paraId="2BEAC9D8" w14:textId="77777777" w:rsidR="00043668" w:rsidRPr="009C5364" w:rsidRDefault="00043668" w:rsidP="00043668">
            <w:pPr>
              <w:jc w:val="both"/>
              <w:rPr>
                <w:color w:val="000000"/>
                <w:szCs w:val="24"/>
              </w:rPr>
            </w:pPr>
            <w:r w:rsidRPr="009C5364">
              <w:rPr>
                <w:color w:val="000000"/>
                <w:szCs w:val="24"/>
                <w:lang w:val="en-GB"/>
              </w:rPr>
              <w:t>18.75</w:t>
            </w:r>
          </w:p>
        </w:tc>
      </w:tr>
      <w:tr w:rsidR="00043668" w:rsidRPr="009C5364" w14:paraId="1C7C0314" w14:textId="77777777" w:rsidTr="00043668">
        <w:trPr>
          <w:trHeight w:val="290"/>
        </w:trPr>
        <w:tc>
          <w:tcPr>
            <w:tcW w:w="1756" w:type="dxa"/>
            <w:vMerge w:val="restart"/>
            <w:tcBorders>
              <w:top w:val="nil"/>
              <w:left w:val="single" w:sz="4" w:space="0" w:color="auto"/>
              <w:bottom w:val="single" w:sz="4" w:space="0" w:color="000000"/>
              <w:right w:val="single" w:sz="4" w:space="0" w:color="auto"/>
            </w:tcBorders>
            <w:vAlign w:val="center"/>
            <w:hideMark/>
          </w:tcPr>
          <w:p w14:paraId="796A932E" w14:textId="77777777" w:rsidR="00043668" w:rsidRPr="009C5364" w:rsidRDefault="00043668" w:rsidP="00043668">
            <w:pPr>
              <w:jc w:val="both"/>
              <w:rPr>
                <w:b/>
                <w:bCs/>
                <w:color w:val="000000"/>
                <w:szCs w:val="24"/>
              </w:rPr>
            </w:pPr>
            <w:r w:rsidRPr="009C5364">
              <w:rPr>
                <w:b/>
                <w:bCs/>
                <w:color w:val="000000"/>
                <w:szCs w:val="24"/>
                <w:lang w:val="en-GB"/>
              </w:rPr>
              <w:t>Training</w:t>
            </w:r>
          </w:p>
        </w:tc>
        <w:tc>
          <w:tcPr>
            <w:tcW w:w="1589" w:type="dxa"/>
            <w:tcBorders>
              <w:top w:val="nil"/>
              <w:left w:val="nil"/>
              <w:bottom w:val="single" w:sz="4" w:space="0" w:color="auto"/>
              <w:right w:val="single" w:sz="4" w:space="0" w:color="auto"/>
            </w:tcBorders>
            <w:vAlign w:val="center"/>
            <w:hideMark/>
          </w:tcPr>
          <w:p w14:paraId="089D3870" w14:textId="77777777" w:rsidR="00043668" w:rsidRPr="009C5364" w:rsidRDefault="00043668" w:rsidP="00043668">
            <w:pPr>
              <w:jc w:val="both"/>
              <w:rPr>
                <w:color w:val="000000"/>
                <w:szCs w:val="24"/>
              </w:rPr>
            </w:pPr>
            <w:r w:rsidRPr="009C5364">
              <w:rPr>
                <w:color w:val="000000"/>
                <w:szCs w:val="24"/>
                <w:lang w:val="en-GB"/>
              </w:rPr>
              <w:t>Yes</w:t>
            </w:r>
          </w:p>
        </w:tc>
        <w:tc>
          <w:tcPr>
            <w:tcW w:w="1747" w:type="dxa"/>
            <w:tcBorders>
              <w:top w:val="nil"/>
              <w:left w:val="nil"/>
              <w:bottom w:val="single" w:sz="4" w:space="0" w:color="auto"/>
              <w:right w:val="single" w:sz="4" w:space="0" w:color="auto"/>
            </w:tcBorders>
            <w:vAlign w:val="center"/>
            <w:hideMark/>
          </w:tcPr>
          <w:p w14:paraId="128AC362" w14:textId="77777777" w:rsidR="00043668" w:rsidRPr="009C5364" w:rsidRDefault="00043668" w:rsidP="00043668">
            <w:pPr>
              <w:jc w:val="both"/>
              <w:rPr>
                <w:color w:val="000000"/>
                <w:szCs w:val="24"/>
              </w:rPr>
            </w:pPr>
            <w:r w:rsidRPr="009C5364">
              <w:rPr>
                <w:color w:val="000000"/>
                <w:szCs w:val="24"/>
                <w:lang w:val="en-GB"/>
              </w:rPr>
              <w:t>18.75</w:t>
            </w:r>
          </w:p>
        </w:tc>
        <w:tc>
          <w:tcPr>
            <w:tcW w:w="1321" w:type="dxa"/>
            <w:tcBorders>
              <w:top w:val="nil"/>
              <w:left w:val="nil"/>
              <w:bottom w:val="single" w:sz="4" w:space="0" w:color="auto"/>
              <w:right w:val="single" w:sz="4" w:space="0" w:color="auto"/>
            </w:tcBorders>
            <w:vAlign w:val="center"/>
            <w:hideMark/>
          </w:tcPr>
          <w:p w14:paraId="70763DE5" w14:textId="77777777" w:rsidR="00043668" w:rsidRPr="009C5364" w:rsidRDefault="00043668" w:rsidP="00043668">
            <w:pPr>
              <w:jc w:val="both"/>
              <w:rPr>
                <w:color w:val="000000"/>
                <w:szCs w:val="24"/>
              </w:rPr>
            </w:pPr>
            <w:r w:rsidRPr="009C5364">
              <w:rPr>
                <w:color w:val="000000"/>
                <w:szCs w:val="24"/>
                <w:lang w:val="en-GB"/>
              </w:rPr>
              <w:t>0</w:t>
            </w:r>
          </w:p>
        </w:tc>
        <w:tc>
          <w:tcPr>
            <w:tcW w:w="2239" w:type="dxa"/>
            <w:tcBorders>
              <w:top w:val="nil"/>
              <w:left w:val="nil"/>
              <w:bottom w:val="single" w:sz="4" w:space="0" w:color="auto"/>
              <w:right w:val="single" w:sz="4" w:space="0" w:color="auto"/>
            </w:tcBorders>
            <w:vAlign w:val="center"/>
            <w:hideMark/>
          </w:tcPr>
          <w:p w14:paraId="03317C59" w14:textId="77777777" w:rsidR="00043668" w:rsidRPr="009C5364" w:rsidRDefault="00043668" w:rsidP="00043668">
            <w:pPr>
              <w:jc w:val="both"/>
              <w:rPr>
                <w:color w:val="000000"/>
                <w:szCs w:val="24"/>
              </w:rPr>
            </w:pPr>
            <w:r w:rsidRPr="009C5364">
              <w:rPr>
                <w:color w:val="000000"/>
                <w:szCs w:val="24"/>
                <w:lang w:val="en-GB"/>
              </w:rPr>
              <w:t>18.75</w:t>
            </w:r>
          </w:p>
        </w:tc>
      </w:tr>
      <w:tr w:rsidR="00043668" w:rsidRPr="009C5364" w14:paraId="3D196305"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5C8ED834"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6F092DBC" w14:textId="77777777" w:rsidR="00043668" w:rsidRPr="009C5364" w:rsidRDefault="00043668" w:rsidP="00043668">
            <w:pPr>
              <w:jc w:val="both"/>
              <w:rPr>
                <w:color w:val="000000"/>
                <w:szCs w:val="24"/>
              </w:rPr>
            </w:pPr>
            <w:r w:rsidRPr="009C5364">
              <w:rPr>
                <w:color w:val="000000"/>
                <w:szCs w:val="24"/>
                <w:lang w:val="en-GB"/>
              </w:rPr>
              <w:t>No</w:t>
            </w:r>
          </w:p>
        </w:tc>
        <w:tc>
          <w:tcPr>
            <w:tcW w:w="1747" w:type="dxa"/>
            <w:tcBorders>
              <w:top w:val="nil"/>
              <w:left w:val="nil"/>
              <w:bottom w:val="single" w:sz="4" w:space="0" w:color="auto"/>
              <w:right w:val="single" w:sz="4" w:space="0" w:color="auto"/>
            </w:tcBorders>
            <w:vAlign w:val="center"/>
            <w:hideMark/>
          </w:tcPr>
          <w:p w14:paraId="4E2C863F" w14:textId="77777777" w:rsidR="00043668" w:rsidRPr="009C5364" w:rsidRDefault="00043668" w:rsidP="00043668">
            <w:pPr>
              <w:jc w:val="both"/>
              <w:rPr>
                <w:color w:val="000000"/>
                <w:szCs w:val="24"/>
              </w:rPr>
            </w:pPr>
            <w:r w:rsidRPr="009C5364">
              <w:rPr>
                <w:color w:val="000000"/>
                <w:szCs w:val="24"/>
                <w:lang w:val="en-GB"/>
              </w:rPr>
              <w:t>81.25</w:t>
            </w:r>
          </w:p>
        </w:tc>
        <w:tc>
          <w:tcPr>
            <w:tcW w:w="1321" w:type="dxa"/>
            <w:tcBorders>
              <w:top w:val="nil"/>
              <w:left w:val="nil"/>
              <w:bottom w:val="single" w:sz="4" w:space="0" w:color="auto"/>
              <w:right w:val="single" w:sz="4" w:space="0" w:color="auto"/>
            </w:tcBorders>
            <w:vAlign w:val="center"/>
            <w:hideMark/>
          </w:tcPr>
          <w:p w14:paraId="1D270FF5" w14:textId="77777777" w:rsidR="00043668" w:rsidRPr="009C5364" w:rsidRDefault="00043668" w:rsidP="00043668">
            <w:pPr>
              <w:jc w:val="both"/>
              <w:rPr>
                <w:color w:val="000000"/>
                <w:szCs w:val="24"/>
              </w:rPr>
            </w:pPr>
            <w:r w:rsidRPr="009C5364">
              <w:rPr>
                <w:color w:val="000000"/>
                <w:szCs w:val="24"/>
                <w:lang w:val="en-GB"/>
              </w:rPr>
              <w:t>100</w:t>
            </w:r>
          </w:p>
        </w:tc>
        <w:tc>
          <w:tcPr>
            <w:tcW w:w="2239" w:type="dxa"/>
            <w:tcBorders>
              <w:top w:val="nil"/>
              <w:left w:val="nil"/>
              <w:bottom w:val="single" w:sz="4" w:space="0" w:color="auto"/>
              <w:right w:val="single" w:sz="4" w:space="0" w:color="auto"/>
            </w:tcBorders>
            <w:vAlign w:val="center"/>
            <w:hideMark/>
          </w:tcPr>
          <w:p w14:paraId="7E9BE126" w14:textId="77777777" w:rsidR="00043668" w:rsidRPr="009C5364" w:rsidRDefault="00043668" w:rsidP="00043668">
            <w:pPr>
              <w:jc w:val="both"/>
              <w:rPr>
                <w:color w:val="000000"/>
                <w:szCs w:val="24"/>
              </w:rPr>
            </w:pPr>
            <w:r w:rsidRPr="009C5364">
              <w:rPr>
                <w:color w:val="000000"/>
                <w:szCs w:val="24"/>
                <w:lang w:val="en-GB"/>
              </w:rPr>
              <w:t>81.25</w:t>
            </w:r>
          </w:p>
        </w:tc>
      </w:tr>
      <w:tr w:rsidR="00043668" w:rsidRPr="009C5364" w14:paraId="6CF8A9A2" w14:textId="77777777" w:rsidTr="00043668">
        <w:trPr>
          <w:trHeight w:val="290"/>
        </w:trPr>
        <w:tc>
          <w:tcPr>
            <w:tcW w:w="1756" w:type="dxa"/>
            <w:vMerge w:val="restart"/>
            <w:tcBorders>
              <w:top w:val="nil"/>
              <w:left w:val="single" w:sz="4" w:space="0" w:color="auto"/>
              <w:bottom w:val="single" w:sz="4" w:space="0" w:color="000000"/>
              <w:right w:val="single" w:sz="4" w:space="0" w:color="auto"/>
            </w:tcBorders>
            <w:vAlign w:val="center"/>
            <w:hideMark/>
          </w:tcPr>
          <w:p w14:paraId="11F8862B" w14:textId="77777777" w:rsidR="00043668" w:rsidRPr="009C5364" w:rsidRDefault="00043668" w:rsidP="00043668">
            <w:pPr>
              <w:jc w:val="both"/>
              <w:rPr>
                <w:b/>
                <w:bCs/>
                <w:color w:val="000000"/>
                <w:szCs w:val="24"/>
              </w:rPr>
            </w:pPr>
            <w:r w:rsidRPr="009C5364">
              <w:rPr>
                <w:b/>
                <w:bCs/>
                <w:color w:val="000000"/>
                <w:szCs w:val="24"/>
                <w:lang w:val="en-GB"/>
              </w:rPr>
              <w:t>Academic Qualification</w:t>
            </w:r>
          </w:p>
        </w:tc>
        <w:tc>
          <w:tcPr>
            <w:tcW w:w="1589" w:type="dxa"/>
            <w:tcBorders>
              <w:top w:val="nil"/>
              <w:left w:val="nil"/>
              <w:bottom w:val="single" w:sz="4" w:space="0" w:color="auto"/>
              <w:right w:val="single" w:sz="4" w:space="0" w:color="auto"/>
            </w:tcBorders>
            <w:vAlign w:val="center"/>
            <w:hideMark/>
          </w:tcPr>
          <w:p w14:paraId="063FE0D0" w14:textId="77777777" w:rsidR="00043668" w:rsidRPr="009C5364" w:rsidRDefault="00043668" w:rsidP="00043668">
            <w:pPr>
              <w:jc w:val="both"/>
              <w:rPr>
                <w:color w:val="000000"/>
                <w:szCs w:val="24"/>
              </w:rPr>
            </w:pPr>
            <w:r w:rsidRPr="009C5364">
              <w:rPr>
                <w:color w:val="000000"/>
                <w:szCs w:val="24"/>
                <w:lang w:val="en-GB"/>
              </w:rPr>
              <w:t>Literate</w:t>
            </w:r>
          </w:p>
        </w:tc>
        <w:tc>
          <w:tcPr>
            <w:tcW w:w="1747" w:type="dxa"/>
            <w:tcBorders>
              <w:top w:val="nil"/>
              <w:left w:val="nil"/>
              <w:bottom w:val="single" w:sz="4" w:space="0" w:color="auto"/>
              <w:right w:val="single" w:sz="4" w:space="0" w:color="auto"/>
            </w:tcBorders>
            <w:vAlign w:val="center"/>
            <w:hideMark/>
          </w:tcPr>
          <w:p w14:paraId="5BA04016" w14:textId="77777777" w:rsidR="00043668" w:rsidRPr="009C5364" w:rsidRDefault="00043668" w:rsidP="00043668">
            <w:pPr>
              <w:jc w:val="both"/>
              <w:rPr>
                <w:color w:val="000000"/>
                <w:szCs w:val="24"/>
              </w:rPr>
            </w:pPr>
            <w:r w:rsidRPr="009C5364">
              <w:rPr>
                <w:color w:val="000000"/>
                <w:szCs w:val="24"/>
                <w:lang w:val="en-GB"/>
              </w:rPr>
              <w:t>25</w:t>
            </w:r>
          </w:p>
        </w:tc>
        <w:tc>
          <w:tcPr>
            <w:tcW w:w="1321" w:type="dxa"/>
            <w:tcBorders>
              <w:top w:val="nil"/>
              <w:left w:val="nil"/>
              <w:bottom w:val="single" w:sz="4" w:space="0" w:color="auto"/>
              <w:right w:val="single" w:sz="4" w:space="0" w:color="auto"/>
            </w:tcBorders>
            <w:vAlign w:val="center"/>
            <w:hideMark/>
          </w:tcPr>
          <w:p w14:paraId="2DC7727F" w14:textId="77777777" w:rsidR="00043668" w:rsidRPr="009C5364" w:rsidRDefault="00043668" w:rsidP="00043668">
            <w:pPr>
              <w:jc w:val="both"/>
              <w:rPr>
                <w:color w:val="000000"/>
                <w:szCs w:val="24"/>
              </w:rPr>
            </w:pPr>
            <w:r w:rsidRPr="009C5364">
              <w:rPr>
                <w:color w:val="000000"/>
                <w:szCs w:val="24"/>
                <w:lang w:val="en-GB"/>
              </w:rPr>
              <w:t>38.46</w:t>
            </w:r>
          </w:p>
        </w:tc>
        <w:tc>
          <w:tcPr>
            <w:tcW w:w="2239" w:type="dxa"/>
            <w:tcBorders>
              <w:top w:val="nil"/>
              <w:left w:val="nil"/>
              <w:bottom w:val="single" w:sz="4" w:space="0" w:color="auto"/>
              <w:right w:val="single" w:sz="4" w:space="0" w:color="auto"/>
            </w:tcBorders>
            <w:vAlign w:val="center"/>
            <w:hideMark/>
          </w:tcPr>
          <w:p w14:paraId="57803832" w14:textId="77777777" w:rsidR="00043668" w:rsidRPr="009C5364" w:rsidRDefault="00043668" w:rsidP="00043668">
            <w:pPr>
              <w:jc w:val="both"/>
              <w:rPr>
                <w:color w:val="000000"/>
                <w:szCs w:val="24"/>
              </w:rPr>
            </w:pPr>
            <w:r w:rsidRPr="009C5364">
              <w:rPr>
                <w:color w:val="000000"/>
                <w:szCs w:val="24"/>
                <w:lang w:val="en-GB"/>
              </w:rPr>
              <w:t>31.25</w:t>
            </w:r>
          </w:p>
        </w:tc>
      </w:tr>
      <w:tr w:rsidR="00043668" w:rsidRPr="009C5364" w14:paraId="445F12BC"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1A909308"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37655207" w14:textId="77777777" w:rsidR="00043668" w:rsidRPr="009C5364" w:rsidRDefault="00043668" w:rsidP="00043668">
            <w:pPr>
              <w:jc w:val="both"/>
              <w:rPr>
                <w:color w:val="000000"/>
                <w:szCs w:val="24"/>
              </w:rPr>
            </w:pPr>
            <w:r w:rsidRPr="009C5364">
              <w:rPr>
                <w:color w:val="000000"/>
                <w:szCs w:val="24"/>
                <w:lang w:val="en-GB"/>
              </w:rPr>
              <w:t>Under SLC</w:t>
            </w:r>
          </w:p>
        </w:tc>
        <w:tc>
          <w:tcPr>
            <w:tcW w:w="1747" w:type="dxa"/>
            <w:tcBorders>
              <w:top w:val="nil"/>
              <w:left w:val="nil"/>
              <w:bottom w:val="single" w:sz="4" w:space="0" w:color="auto"/>
              <w:right w:val="single" w:sz="4" w:space="0" w:color="auto"/>
            </w:tcBorders>
            <w:vAlign w:val="center"/>
            <w:hideMark/>
          </w:tcPr>
          <w:p w14:paraId="4508B241" w14:textId="77777777" w:rsidR="00043668" w:rsidRPr="009C5364" w:rsidRDefault="00043668" w:rsidP="00043668">
            <w:pPr>
              <w:jc w:val="both"/>
              <w:rPr>
                <w:color w:val="000000"/>
                <w:szCs w:val="24"/>
              </w:rPr>
            </w:pPr>
            <w:r w:rsidRPr="009C5364">
              <w:rPr>
                <w:color w:val="000000"/>
                <w:szCs w:val="24"/>
                <w:lang w:val="en-GB"/>
              </w:rPr>
              <w:t>40.62</w:t>
            </w:r>
          </w:p>
        </w:tc>
        <w:tc>
          <w:tcPr>
            <w:tcW w:w="1321" w:type="dxa"/>
            <w:tcBorders>
              <w:top w:val="nil"/>
              <w:left w:val="nil"/>
              <w:bottom w:val="single" w:sz="4" w:space="0" w:color="auto"/>
              <w:right w:val="single" w:sz="4" w:space="0" w:color="auto"/>
            </w:tcBorders>
            <w:vAlign w:val="center"/>
            <w:hideMark/>
          </w:tcPr>
          <w:p w14:paraId="79AB4E09" w14:textId="77777777" w:rsidR="00043668" w:rsidRPr="009C5364" w:rsidRDefault="00043668" w:rsidP="00043668">
            <w:pPr>
              <w:jc w:val="both"/>
              <w:rPr>
                <w:color w:val="000000"/>
                <w:szCs w:val="24"/>
              </w:rPr>
            </w:pPr>
            <w:r w:rsidRPr="009C5364">
              <w:rPr>
                <w:color w:val="000000"/>
                <w:szCs w:val="24"/>
                <w:lang w:val="en-GB"/>
              </w:rPr>
              <w:t>38.46</w:t>
            </w:r>
          </w:p>
        </w:tc>
        <w:tc>
          <w:tcPr>
            <w:tcW w:w="2239" w:type="dxa"/>
            <w:tcBorders>
              <w:top w:val="nil"/>
              <w:left w:val="nil"/>
              <w:bottom w:val="single" w:sz="4" w:space="0" w:color="auto"/>
              <w:right w:val="single" w:sz="4" w:space="0" w:color="auto"/>
            </w:tcBorders>
            <w:vAlign w:val="center"/>
            <w:hideMark/>
          </w:tcPr>
          <w:p w14:paraId="3BDDBB16" w14:textId="77777777" w:rsidR="00043668" w:rsidRPr="009C5364" w:rsidRDefault="00043668" w:rsidP="00043668">
            <w:pPr>
              <w:jc w:val="both"/>
              <w:rPr>
                <w:color w:val="000000"/>
                <w:szCs w:val="24"/>
              </w:rPr>
            </w:pPr>
            <w:r w:rsidRPr="009C5364">
              <w:rPr>
                <w:color w:val="000000"/>
                <w:szCs w:val="24"/>
                <w:lang w:val="en-GB"/>
              </w:rPr>
              <w:t>50</w:t>
            </w:r>
          </w:p>
        </w:tc>
      </w:tr>
      <w:tr w:rsidR="00043668" w:rsidRPr="009C5364" w14:paraId="326D1CDF"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0E5E84AD"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5B14942C" w14:textId="77777777" w:rsidR="00043668" w:rsidRPr="009C5364" w:rsidRDefault="00043668" w:rsidP="00043668">
            <w:pPr>
              <w:jc w:val="both"/>
              <w:rPr>
                <w:color w:val="000000"/>
                <w:szCs w:val="24"/>
              </w:rPr>
            </w:pPr>
            <w:r w:rsidRPr="009C5364">
              <w:rPr>
                <w:color w:val="000000"/>
                <w:szCs w:val="24"/>
                <w:lang w:val="en-GB"/>
              </w:rPr>
              <w:t>SLC</w:t>
            </w:r>
          </w:p>
        </w:tc>
        <w:tc>
          <w:tcPr>
            <w:tcW w:w="1747" w:type="dxa"/>
            <w:tcBorders>
              <w:top w:val="nil"/>
              <w:left w:val="nil"/>
              <w:bottom w:val="single" w:sz="4" w:space="0" w:color="auto"/>
              <w:right w:val="single" w:sz="4" w:space="0" w:color="auto"/>
            </w:tcBorders>
            <w:vAlign w:val="center"/>
            <w:hideMark/>
          </w:tcPr>
          <w:p w14:paraId="3F854615" w14:textId="77777777" w:rsidR="00043668" w:rsidRPr="009C5364" w:rsidRDefault="00043668" w:rsidP="00043668">
            <w:pPr>
              <w:jc w:val="both"/>
              <w:rPr>
                <w:color w:val="000000"/>
                <w:szCs w:val="24"/>
              </w:rPr>
            </w:pPr>
            <w:r w:rsidRPr="009C5364">
              <w:rPr>
                <w:color w:val="000000"/>
                <w:szCs w:val="24"/>
                <w:lang w:val="en-GB"/>
              </w:rPr>
              <w:t>9.37</w:t>
            </w:r>
          </w:p>
        </w:tc>
        <w:tc>
          <w:tcPr>
            <w:tcW w:w="1321" w:type="dxa"/>
            <w:tcBorders>
              <w:top w:val="nil"/>
              <w:left w:val="nil"/>
              <w:bottom w:val="single" w:sz="4" w:space="0" w:color="auto"/>
              <w:right w:val="single" w:sz="4" w:space="0" w:color="auto"/>
            </w:tcBorders>
            <w:vAlign w:val="center"/>
            <w:hideMark/>
          </w:tcPr>
          <w:p w14:paraId="76DE7542" w14:textId="77777777" w:rsidR="00043668" w:rsidRPr="009C5364" w:rsidRDefault="00043668" w:rsidP="00043668">
            <w:pPr>
              <w:jc w:val="both"/>
              <w:rPr>
                <w:color w:val="000000"/>
                <w:szCs w:val="24"/>
              </w:rPr>
            </w:pPr>
            <w:r w:rsidRPr="009C5364">
              <w:rPr>
                <w:color w:val="000000"/>
                <w:szCs w:val="24"/>
                <w:lang w:val="en-GB"/>
              </w:rPr>
              <w:t>15.38</w:t>
            </w:r>
          </w:p>
        </w:tc>
        <w:tc>
          <w:tcPr>
            <w:tcW w:w="2239" w:type="dxa"/>
            <w:tcBorders>
              <w:top w:val="nil"/>
              <w:left w:val="nil"/>
              <w:bottom w:val="single" w:sz="4" w:space="0" w:color="auto"/>
              <w:right w:val="single" w:sz="4" w:space="0" w:color="auto"/>
            </w:tcBorders>
            <w:vAlign w:val="center"/>
            <w:hideMark/>
          </w:tcPr>
          <w:p w14:paraId="4F4558D1" w14:textId="77777777" w:rsidR="00043668" w:rsidRPr="009C5364" w:rsidRDefault="00043668" w:rsidP="00043668">
            <w:pPr>
              <w:jc w:val="both"/>
              <w:rPr>
                <w:color w:val="000000"/>
                <w:szCs w:val="24"/>
              </w:rPr>
            </w:pPr>
            <w:r w:rsidRPr="009C5364">
              <w:rPr>
                <w:color w:val="000000"/>
                <w:szCs w:val="24"/>
                <w:lang w:val="en-GB"/>
              </w:rPr>
              <w:t>12.5</w:t>
            </w:r>
          </w:p>
        </w:tc>
      </w:tr>
      <w:tr w:rsidR="00043668" w:rsidRPr="009C5364" w14:paraId="4EE9B82D"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1EF973C6"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62DB47D2" w14:textId="77777777" w:rsidR="00043668" w:rsidRPr="009C5364" w:rsidRDefault="00043668" w:rsidP="00043668">
            <w:pPr>
              <w:jc w:val="both"/>
              <w:rPr>
                <w:color w:val="000000"/>
                <w:szCs w:val="24"/>
              </w:rPr>
            </w:pPr>
            <w:r w:rsidRPr="009C5364">
              <w:rPr>
                <w:color w:val="000000"/>
                <w:szCs w:val="24"/>
                <w:lang w:val="en-GB"/>
              </w:rPr>
              <w:t>Intermediate</w:t>
            </w:r>
          </w:p>
        </w:tc>
        <w:tc>
          <w:tcPr>
            <w:tcW w:w="1747" w:type="dxa"/>
            <w:tcBorders>
              <w:top w:val="nil"/>
              <w:left w:val="nil"/>
              <w:bottom w:val="single" w:sz="4" w:space="0" w:color="auto"/>
              <w:right w:val="single" w:sz="4" w:space="0" w:color="auto"/>
            </w:tcBorders>
            <w:vAlign w:val="center"/>
            <w:hideMark/>
          </w:tcPr>
          <w:p w14:paraId="115F3BC7" w14:textId="77777777" w:rsidR="00043668" w:rsidRPr="009C5364" w:rsidRDefault="00043668" w:rsidP="00043668">
            <w:pPr>
              <w:jc w:val="both"/>
              <w:rPr>
                <w:color w:val="000000"/>
                <w:szCs w:val="24"/>
              </w:rPr>
            </w:pPr>
            <w:r w:rsidRPr="009C5364">
              <w:rPr>
                <w:color w:val="000000"/>
                <w:szCs w:val="24"/>
                <w:lang w:val="en-GB"/>
              </w:rPr>
              <w:t>6.25</w:t>
            </w:r>
          </w:p>
        </w:tc>
        <w:tc>
          <w:tcPr>
            <w:tcW w:w="1321" w:type="dxa"/>
            <w:tcBorders>
              <w:top w:val="nil"/>
              <w:left w:val="nil"/>
              <w:bottom w:val="single" w:sz="4" w:space="0" w:color="auto"/>
              <w:right w:val="single" w:sz="4" w:space="0" w:color="auto"/>
            </w:tcBorders>
            <w:vAlign w:val="center"/>
            <w:hideMark/>
          </w:tcPr>
          <w:p w14:paraId="0D84F7C5" w14:textId="77777777" w:rsidR="00043668" w:rsidRPr="009C5364" w:rsidRDefault="00043668" w:rsidP="00043668">
            <w:pPr>
              <w:jc w:val="both"/>
              <w:rPr>
                <w:color w:val="000000"/>
                <w:szCs w:val="24"/>
              </w:rPr>
            </w:pPr>
            <w:r w:rsidRPr="009C5364">
              <w:rPr>
                <w:color w:val="000000"/>
                <w:szCs w:val="24"/>
                <w:lang w:val="en-GB"/>
              </w:rPr>
              <w:t>7.69</w:t>
            </w:r>
          </w:p>
        </w:tc>
        <w:tc>
          <w:tcPr>
            <w:tcW w:w="2239" w:type="dxa"/>
            <w:tcBorders>
              <w:top w:val="nil"/>
              <w:left w:val="nil"/>
              <w:bottom w:val="single" w:sz="4" w:space="0" w:color="auto"/>
              <w:right w:val="single" w:sz="4" w:space="0" w:color="auto"/>
            </w:tcBorders>
            <w:vAlign w:val="center"/>
            <w:hideMark/>
          </w:tcPr>
          <w:p w14:paraId="4121F611" w14:textId="77777777" w:rsidR="00043668" w:rsidRPr="009C5364" w:rsidRDefault="00043668" w:rsidP="00043668">
            <w:pPr>
              <w:jc w:val="both"/>
              <w:rPr>
                <w:color w:val="000000"/>
                <w:szCs w:val="24"/>
              </w:rPr>
            </w:pPr>
            <w:r w:rsidRPr="009C5364">
              <w:rPr>
                <w:color w:val="000000"/>
                <w:szCs w:val="24"/>
                <w:lang w:val="en-GB"/>
              </w:rPr>
              <w:t>6.25</w:t>
            </w:r>
          </w:p>
        </w:tc>
      </w:tr>
    </w:tbl>
    <w:p w14:paraId="774B738E" w14:textId="77777777" w:rsidR="00043668" w:rsidRPr="009C5364" w:rsidRDefault="00043668" w:rsidP="00043668">
      <w:pPr>
        <w:jc w:val="both"/>
        <w:rPr>
          <w:szCs w:val="24"/>
        </w:rPr>
      </w:pPr>
    </w:p>
    <w:p w14:paraId="249D0D4B" w14:textId="77777777" w:rsidR="00043668" w:rsidRPr="009C5364" w:rsidRDefault="00043668" w:rsidP="00043668">
      <w:pPr>
        <w:pStyle w:val="Heading3"/>
        <w:jc w:val="both"/>
        <w:rPr>
          <w:rFonts w:cs="Times New Roman"/>
          <w:b/>
        </w:rPr>
      </w:pPr>
      <w:bookmarkStart w:id="46" w:name="_Toc184819566"/>
      <w:bookmarkStart w:id="47" w:name="_Toc184835226"/>
      <w:bookmarkStart w:id="48" w:name="_Toc184835326"/>
      <w:r w:rsidRPr="009C5364">
        <w:rPr>
          <w:rFonts w:cs="Times New Roman"/>
        </w:rPr>
        <w:lastRenderedPageBreak/>
        <w:t xml:space="preserve">Most masons in </w:t>
      </w:r>
      <w:proofErr w:type="spellStart"/>
      <w:r w:rsidRPr="009C5364">
        <w:rPr>
          <w:rFonts w:cs="Times New Roman"/>
        </w:rPr>
        <w:t>Godawari</w:t>
      </w:r>
      <w:proofErr w:type="spellEnd"/>
      <w:r w:rsidRPr="009C5364">
        <w:rPr>
          <w:rFonts w:cs="Times New Roman"/>
        </w:rPr>
        <w:t xml:space="preserve"> (43.75%) have 5–10 years of experience. Only 19% have received formal training, reflecting a gap in technical skill development. Academic levels are generally low, with only 15.62% completing SLC or above. Compared to past studies, </w:t>
      </w:r>
      <w:proofErr w:type="spellStart"/>
      <w:r w:rsidRPr="009C5364">
        <w:rPr>
          <w:rFonts w:cs="Times New Roman"/>
        </w:rPr>
        <w:t>Godawari</w:t>
      </w:r>
      <w:proofErr w:type="spellEnd"/>
      <w:r w:rsidRPr="009C5364">
        <w:rPr>
          <w:rFonts w:cs="Times New Roman"/>
        </w:rPr>
        <w:t xml:space="preserve"> retains a moderately experienced workforce, whereas </w:t>
      </w:r>
      <w:proofErr w:type="spellStart"/>
      <w:r w:rsidRPr="009C5364">
        <w:rPr>
          <w:rFonts w:cs="Times New Roman"/>
        </w:rPr>
        <w:t>Sisne</w:t>
      </w:r>
      <w:proofErr w:type="spellEnd"/>
      <w:r w:rsidRPr="009C5364">
        <w:rPr>
          <w:rFonts w:cs="Times New Roman"/>
        </w:rPr>
        <w:t xml:space="preserve"> [5] and </w:t>
      </w:r>
      <w:proofErr w:type="spellStart"/>
      <w:r w:rsidRPr="009C5364">
        <w:rPr>
          <w:rFonts w:cs="Times New Roman"/>
        </w:rPr>
        <w:t>Birendranagar</w:t>
      </w:r>
      <w:proofErr w:type="spellEnd"/>
      <w:r w:rsidRPr="009C5364">
        <w:rPr>
          <w:rFonts w:cs="Times New Roman"/>
        </w:rPr>
        <w:t xml:space="preserve"> [6] are more skewed towards mid- to low-experience and education levels.</w:t>
      </w:r>
    </w:p>
    <w:p w14:paraId="3813AFB8" w14:textId="77777777" w:rsidR="00043668" w:rsidRPr="00CB2694" w:rsidRDefault="00043668" w:rsidP="00043668">
      <w:pPr>
        <w:pStyle w:val="Heading3"/>
        <w:jc w:val="both"/>
        <w:rPr>
          <w:rFonts w:cs="Times New Roman"/>
          <w:i/>
          <w:sz w:val="27"/>
        </w:rPr>
      </w:pPr>
      <w:r w:rsidRPr="00CB2694">
        <w:rPr>
          <w:rFonts w:cs="Times New Roman"/>
          <w:i/>
        </w:rPr>
        <w:t>AWARENESS AND CAPABILITIES OF MASONS</w:t>
      </w:r>
    </w:p>
    <w:p w14:paraId="6648E588" w14:textId="77777777" w:rsidR="00043668" w:rsidRPr="009C5364" w:rsidRDefault="00043668" w:rsidP="00043668">
      <w:pPr>
        <w:pStyle w:val="NormalWeb"/>
        <w:spacing w:before="0" w:beforeAutospacing="0" w:after="0" w:afterAutospacing="0" w:line="240" w:lineRule="auto"/>
      </w:pPr>
      <w:r w:rsidRPr="009C5364">
        <w:t>The survey assessed masons’ awareness of earthquake phenomena, earthquake-resistant design, building codes, and approval processes, as well as their practical capabilities on site.</w:t>
      </w:r>
    </w:p>
    <w:p w14:paraId="159A7B62" w14:textId="77777777" w:rsidR="00043668" w:rsidRPr="009C5364" w:rsidRDefault="00043668" w:rsidP="00043668">
      <w:pPr>
        <w:pStyle w:val="NormalWeb"/>
        <w:spacing w:before="0" w:beforeAutospacing="0" w:after="0" w:afterAutospacing="0" w:line="240" w:lineRule="auto"/>
      </w:pPr>
      <w:r w:rsidRPr="009C5364">
        <w:rPr>
          <w:noProof/>
        </w:rPr>
        <w:drawing>
          <wp:inline distT="0" distB="0" distL="0" distR="0" wp14:anchorId="4197FC83" wp14:editId="7EBF088D">
            <wp:extent cx="4762500" cy="3268980"/>
            <wp:effectExtent l="0" t="0" r="0" b="7620"/>
            <wp:docPr id="8" name="Chart 8">
              <a:extLst xmlns:a="http://schemas.openxmlformats.org/drawingml/2006/main">
                <a:ext uri="{FF2B5EF4-FFF2-40B4-BE49-F238E27FC236}">
                  <a16:creationId xmlns:a16="http://schemas.microsoft.com/office/drawing/2014/main" id="{03AE3055-4479-4CF1-BEAF-E00F50472A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7C246F" w14:textId="77777777" w:rsidR="00043668" w:rsidRPr="009C5364" w:rsidRDefault="00043668" w:rsidP="00043668">
      <w:pPr>
        <w:jc w:val="both"/>
        <w:rPr>
          <w:szCs w:val="24"/>
        </w:rPr>
      </w:pPr>
      <w:r w:rsidRPr="009C5364">
        <w:rPr>
          <w:szCs w:val="24"/>
        </w:rPr>
        <w:t xml:space="preserve">Figure </w:t>
      </w:r>
      <w:r>
        <w:rPr>
          <w:szCs w:val="24"/>
        </w:rPr>
        <w:t>4</w:t>
      </w:r>
      <w:r w:rsidRPr="009C5364">
        <w:rPr>
          <w:szCs w:val="24"/>
        </w:rPr>
        <w:t>: Awareness of Masons</w:t>
      </w:r>
    </w:p>
    <w:p w14:paraId="4F8E9B41" w14:textId="77777777" w:rsidR="00043668" w:rsidRPr="009C5364" w:rsidRDefault="00043668" w:rsidP="00043668">
      <w:pPr>
        <w:jc w:val="both"/>
      </w:pPr>
      <w:r w:rsidRPr="009C5364">
        <w:t xml:space="preserve">Figure </w:t>
      </w:r>
      <w:r>
        <w:t>4</w:t>
      </w:r>
      <w:r w:rsidRPr="009C5364">
        <w:t xml:space="preserve"> compares the awareness of masons regarding earthquakes, building codes, and municipal approval processes. </w:t>
      </w:r>
      <w:proofErr w:type="spellStart"/>
      <w:r w:rsidRPr="009C5364">
        <w:t>Godawari</w:t>
      </w:r>
      <w:proofErr w:type="spellEnd"/>
      <w:r w:rsidRPr="009C5364">
        <w:t xml:space="preserve"> masons exhibited the highest overall awareness, with 93.75% familiar with earthquake phenomena and 62.5% aware of earthquake-resistant design principles. Awareness of the approval process for municipal drawings was also strong (78.12%), suggesting relatively better institutional exposure in </w:t>
      </w:r>
      <w:proofErr w:type="spellStart"/>
      <w:r w:rsidRPr="009C5364">
        <w:t>Godawari</w:t>
      </w:r>
      <w:proofErr w:type="spellEnd"/>
      <w:r w:rsidRPr="009C5364">
        <w:t>. However, only 25% were knowledgeable about building code provisions, indicating a gap between general disaster awareness and specific regulatory knowledge.</w:t>
      </w:r>
    </w:p>
    <w:p w14:paraId="2CE6D9CA" w14:textId="77777777" w:rsidR="00043668" w:rsidRPr="009C5364" w:rsidRDefault="00043668" w:rsidP="00043668">
      <w:pPr>
        <w:jc w:val="both"/>
      </w:pPr>
      <w:r w:rsidRPr="009C5364">
        <w:t xml:space="preserve">In contrast, </w:t>
      </w:r>
      <w:proofErr w:type="spellStart"/>
      <w:r w:rsidRPr="009C5364">
        <w:t>Sisne</w:t>
      </w:r>
      <w:proofErr w:type="spellEnd"/>
      <w:r w:rsidRPr="009C5364">
        <w:t xml:space="preserve"> masons had very low awareness across all categories, particularly on earthquake-resistant design (23.08%) and building code provisions (15.38%). </w:t>
      </w:r>
      <w:proofErr w:type="spellStart"/>
      <w:r w:rsidRPr="009C5364">
        <w:t>Birendranagar</w:t>
      </w:r>
      <w:proofErr w:type="spellEnd"/>
      <w:r w:rsidRPr="009C5364">
        <w:t xml:space="preserve"> performed moderately, with 56.25% awareness of the approval process and 31.25% familiarity with building codes, though awareness of earthquake phenomena was not reported. Overall, the findings show that while </w:t>
      </w:r>
      <w:proofErr w:type="spellStart"/>
      <w:r w:rsidRPr="009C5364">
        <w:t>Godawari</w:t>
      </w:r>
      <w:proofErr w:type="spellEnd"/>
      <w:r w:rsidRPr="009C5364">
        <w:t xml:space="preserve"> masons are comparatively better informed, awareness of building codes remains limited in all municipalities, underscoring the need for targeted training and public education campaigns to bridge the gap between general hazard awareness and technical regulatory compliance.</w:t>
      </w:r>
    </w:p>
    <w:p w14:paraId="2F3DF7AB" w14:textId="77777777" w:rsidR="00043668" w:rsidRPr="009C5364" w:rsidRDefault="00043668" w:rsidP="00043668">
      <w:pPr>
        <w:jc w:val="both"/>
      </w:pPr>
      <w:r w:rsidRPr="009C5364">
        <w:rPr>
          <w:noProof/>
        </w:rPr>
        <w:lastRenderedPageBreak/>
        <w:drawing>
          <wp:inline distT="0" distB="0" distL="0" distR="0" wp14:anchorId="01B7F6B2" wp14:editId="097FCCAE">
            <wp:extent cx="5440680" cy="3299460"/>
            <wp:effectExtent l="0" t="0" r="7620" b="15240"/>
            <wp:docPr id="9" name="Chart 9">
              <a:extLst xmlns:a="http://schemas.openxmlformats.org/drawingml/2006/main">
                <a:ext uri="{FF2B5EF4-FFF2-40B4-BE49-F238E27FC236}">
                  <a16:creationId xmlns:a16="http://schemas.microsoft.com/office/drawing/2014/main" id="{6CC26D66-98C5-48B2-91AC-5066C40CBD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533A6D" w14:textId="77777777" w:rsidR="00043668" w:rsidRPr="009C5364" w:rsidRDefault="00043668" w:rsidP="00043668">
      <w:pPr>
        <w:jc w:val="both"/>
        <w:rPr>
          <w:szCs w:val="24"/>
        </w:rPr>
      </w:pPr>
      <w:r w:rsidRPr="009C5364">
        <w:rPr>
          <w:szCs w:val="24"/>
        </w:rPr>
        <w:t xml:space="preserve">Figure </w:t>
      </w:r>
      <w:r>
        <w:rPr>
          <w:szCs w:val="24"/>
        </w:rPr>
        <w:t>5</w:t>
      </w:r>
      <w:r w:rsidRPr="009C5364">
        <w:rPr>
          <w:szCs w:val="24"/>
        </w:rPr>
        <w:t>: Capabilities of Masons</w:t>
      </w:r>
    </w:p>
    <w:p w14:paraId="4EF56999" w14:textId="77777777" w:rsidR="00043668" w:rsidRPr="009C5364" w:rsidRDefault="00043668" w:rsidP="00043668">
      <w:pPr>
        <w:jc w:val="both"/>
        <w:rPr>
          <w:szCs w:val="24"/>
        </w:rPr>
      </w:pPr>
      <w:r w:rsidRPr="009C5364">
        <w:rPr>
          <w:szCs w:val="24"/>
        </w:rPr>
        <w:t xml:space="preserve">Figure </w:t>
      </w:r>
      <w:r>
        <w:rPr>
          <w:szCs w:val="24"/>
        </w:rPr>
        <w:t>5</w:t>
      </w:r>
      <w:r w:rsidRPr="009C5364">
        <w:rPr>
          <w:szCs w:val="24"/>
        </w:rPr>
        <w:t xml:space="preserve"> presents the comparative capabilities of masons in </w:t>
      </w:r>
      <w:proofErr w:type="spellStart"/>
      <w:r w:rsidRPr="009C5364">
        <w:rPr>
          <w:szCs w:val="24"/>
        </w:rPr>
        <w:t>Godawari</w:t>
      </w:r>
      <w:proofErr w:type="spellEnd"/>
      <w:r w:rsidRPr="009C5364">
        <w:rPr>
          <w:szCs w:val="24"/>
        </w:rPr>
        <w:t xml:space="preserve">, </w:t>
      </w:r>
      <w:proofErr w:type="spellStart"/>
      <w:r w:rsidRPr="009C5364">
        <w:rPr>
          <w:szCs w:val="24"/>
        </w:rPr>
        <w:t>Sisne</w:t>
      </w:r>
      <w:proofErr w:type="spellEnd"/>
      <w:r w:rsidRPr="009C5364">
        <w:rPr>
          <w:szCs w:val="24"/>
        </w:rPr>
        <w:t xml:space="preserve">, and </w:t>
      </w:r>
      <w:proofErr w:type="spellStart"/>
      <w:r w:rsidRPr="009C5364">
        <w:rPr>
          <w:szCs w:val="24"/>
        </w:rPr>
        <w:t>Birendranagar</w:t>
      </w:r>
      <w:proofErr w:type="spellEnd"/>
      <w:r w:rsidRPr="009C5364">
        <w:rPr>
          <w:szCs w:val="24"/>
        </w:rPr>
        <w:t xml:space="preserve"> Municipalities. The results show significant variation in technical skills.</w:t>
      </w:r>
    </w:p>
    <w:p w14:paraId="37E0F21E" w14:textId="77777777" w:rsidR="00043668" w:rsidRPr="009C5364" w:rsidRDefault="00043668" w:rsidP="00043668">
      <w:pPr>
        <w:jc w:val="both"/>
        <w:rPr>
          <w:szCs w:val="24"/>
        </w:rPr>
      </w:pPr>
      <w:proofErr w:type="spellStart"/>
      <w:r w:rsidRPr="009C5364">
        <w:rPr>
          <w:szCs w:val="24"/>
        </w:rPr>
        <w:t>Godawari</w:t>
      </w:r>
      <w:proofErr w:type="spellEnd"/>
      <w:r w:rsidRPr="009C5364">
        <w:rPr>
          <w:szCs w:val="24"/>
        </w:rPr>
        <w:t xml:space="preserve"> masons demonstrated the highest capacity to follow earthquake-resistant construction practices, with 81.25% compliance, compared to only 23.07% in </w:t>
      </w:r>
      <w:proofErr w:type="spellStart"/>
      <w:r w:rsidRPr="009C5364">
        <w:rPr>
          <w:szCs w:val="24"/>
        </w:rPr>
        <w:t>Sisne</w:t>
      </w:r>
      <w:proofErr w:type="spellEnd"/>
      <w:r w:rsidRPr="009C5364">
        <w:rPr>
          <w:szCs w:val="24"/>
        </w:rPr>
        <w:t xml:space="preserve"> and 25% in </w:t>
      </w:r>
      <w:proofErr w:type="spellStart"/>
      <w:r w:rsidRPr="009C5364">
        <w:rPr>
          <w:szCs w:val="24"/>
        </w:rPr>
        <w:t>Birendranagar</w:t>
      </w:r>
      <w:proofErr w:type="spellEnd"/>
      <w:r w:rsidRPr="009C5364">
        <w:rPr>
          <w:szCs w:val="24"/>
        </w:rPr>
        <w:t xml:space="preserve">. This suggests that masons in </w:t>
      </w:r>
      <w:proofErr w:type="spellStart"/>
      <w:r w:rsidRPr="009C5364">
        <w:rPr>
          <w:szCs w:val="24"/>
        </w:rPr>
        <w:t>Godawari</w:t>
      </w:r>
      <w:proofErr w:type="spellEnd"/>
      <w:r w:rsidRPr="009C5364">
        <w:rPr>
          <w:szCs w:val="24"/>
        </w:rPr>
        <w:t xml:space="preserve"> are relatively more prepared for disaster-resilient construction. In contrast, </w:t>
      </w:r>
      <w:proofErr w:type="spellStart"/>
      <w:r w:rsidRPr="009C5364">
        <w:rPr>
          <w:szCs w:val="24"/>
        </w:rPr>
        <w:t>Godawari</w:t>
      </w:r>
      <w:proofErr w:type="spellEnd"/>
      <w:r w:rsidRPr="009C5364">
        <w:rPr>
          <w:szCs w:val="24"/>
        </w:rPr>
        <w:t xml:space="preserve"> lagged in material understanding, with only 15.63% able to interpret material and test specifications, while </w:t>
      </w:r>
      <w:proofErr w:type="spellStart"/>
      <w:r w:rsidRPr="009C5364">
        <w:rPr>
          <w:szCs w:val="24"/>
        </w:rPr>
        <w:t>Birendranagar</w:t>
      </w:r>
      <w:proofErr w:type="spellEnd"/>
      <w:r w:rsidRPr="009C5364">
        <w:rPr>
          <w:szCs w:val="24"/>
        </w:rPr>
        <w:t xml:space="preserve"> performed best in this aspect (43.75%). Similarly, </w:t>
      </w:r>
      <w:proofErr w:type="spellStart"/>
      <w:r w:rsidRPr="009C5364">
        <w:rPr>
          <w:szCs w:val="24"/>
        </w:rPr>
        <w:t>Birendranagar</w:t>
      </w:r>
      <w:proofErr w:type="spellEnd"/>
      <w:r w:rsidRPr="009C5364">
        <w:rPr>
          <w:szCs w:val="24"/>
        </w:rPr>
        <w:t xml:space="preserve"> showed a slight advantage in construction methodology (37.5%) compared to </w:t>
      </w:r>
      <w:proofErr w:type="spellStart"/>
      <w:r w:rsidRPr="009C5364">
        <w:rPr>
          <w:szCs w:val="24"/>
        </w:rPr>
        <w:t>Godawari</w:t>
      </w:r>
      <w:proofErr w:type="spellEnd"/>
      <w:r w:rsidRPr="009C5364">
        <w:rPr>
          <w:szCs w:val="24"/>
        </w:rPr>
        <w:t xml:space="preserve"> (31.25%) and </w:t>
      </w:r>
      <w:proofErr w:type="spellStart"/>
      <w:r w:rsidRPr="009C5364">
        <w:rPr>
          <w:szCs w:val="24"/>
        </w:rPr>
        <w:t>Sisne</w:t>
      </w:r>
      <w:proofErr w:type="spellEnd"/>
      <w:r w:rsidRPr="009C5364">
        <w:rPr>
          <w:szCs w:val="24"/>
        </w:rPr>
        <w:t xml:space="preserve"> (30.76%). Regarding the ability to read architectural and structural drawings, </w:t>
      </w:r>
      <w:proofErr w:type="spellStart"/>
      <w:r w:rsidRPr="009C5364">
        <w:rPr>
          <w:szCs w:val="24"/>
        </w:rPr>
        <w:t>Godawari</w:t>
      </w:r>
      <w:proofErr w:type="spellEnd"/>
      <w:r w:rsidRPr="009C5364">
        <w:rPr>
          <w:szCs w:val="24"/>
        </w:rPr>
        <w:t xml:space="preserve"> masons (46.88%) outperformed </w:t>
      </w:r>
      <w:proofErr w:type="spellStart"/>
      <w:r w:rsidRPr="009C5364">
        <w:rPr>
          <w:szCs w:val="24"/>
        </w:rPr>
        <w:t>Sisne</w:t>
      </w:r>
      <w:proofErr w:type="spellEnd"/>
      <w:r w:rsidRPr="009C5364">
        <w:rPr>
          <w:szCs w:val="24"/>
        </w:rPr>
        <w:t xml:space="preserve"> (15.38%) and </w:t>
      </w:r>
      <w:proofErr w:type="spellStart"/>
      <w:r w:rsidRPr="009C5364">
        <w:rPr>
          <w:szCs w:val="24"/>
        </w:rPr>
        <w:t>Birendranagar</w:t>
      </w:r>
      <w:proofErr w:type="spellEnd"/>
      <w:r w:rsidRPr="009C5364">
        <w:rPr>
          <w:szCs w:val="24"/>
        </w:rPr>
        <w:t xml:space="preserve"> (18.75%). This reflects relatively better but still limited literacy in handling technical documentation in </w:t>
      </w:r>
      <w:proofErr w:type="spellStart"/>
      <w:r w:rsidRPr="009C5364">
        <w:rPr>
          <w:szCs w:val="24"/>
        </w:rPr>
        <w:t>Godawari</w:t>
      </w:r>
      <w:proofErr w:type="spellEnd"/>
      <w:r w:rsidRPr="009C5364">
        <w:rPr>
          <w:szCs w:val="24"/>
        </w:rPr>
        <w:t>.</w:t>
      </w:r>
    </w:p>
    <w:p w14:paraId="4BB53314" w14:textId="77777777" w:rsidR="00043668" w:rsidRPr="009C5364" w:rsidRDefault="00043668" w:rsidP="00043668">
      <w:pPr>
        <w:jc w:val="both"/>
        <w:rPr>
          <w:szCs w:val="24"/>
        </w:rPr>
      </w:pPr>
      <w:r w:rsidRPr="009C5364">
        <w:rPr>
          <w:szCs w:val="24"/>
        </w:rPr>
        <w:t xml:space="preserve">The findings reveal asymmetric capabilities: </w:t>
      </w:r>
      <w:proofErr w:type="spellStart"/>
      <w:r w:rsidRPr="009C5364">
        <w:rPr>
          <w:szCs w:val="24"/>
        </w:rPr>
        <w:t>Godawari</w:t>
      </w:r>
      <w:proofErr w:type="spellEnd"/>
      <w:r w:rsidRPr="009C5364">
        <w:rPr>
          <w:szCs w:val="24"/>
        </w:rPr>
        <w:t xml:space="preserve"> leads in earthquake-resistant practice and drawing interpretation, while </w:t>
      </w:r>
      <w:proofErr w:type="spellStart"/>
      <w:r w:rsidRPr="009C5364">
        <w:rPr>
          <w:szCs w:val="24"/>
        </w:rPr>
        <w:t>Birendranagar</w:t>
      </w:r>
      <w:proofErr w:type="spellEnd"/>
      <w:r w:rsidRPr="009C5364">
        <w:rPr>
          <w:szCs w:val="24"/>
        </w:rPr>
        <w:t xml:space="preserve"> shows relative strength in material understanding and methodology. </w:t>
      </w:r>
      <w:proofErr w:type="spellStart"/>
      <w:r w:rsidRPr="009C5364">
        <w:rPr>
          <w:szCs w:val="24"/>
        </w:rPr>
        <w:t>Sisne</w:t>
      </w:r>
      <w:proofErr w:type="spellEnd"/>
      <w:r w:rsidRPr="009C5364">
        <w:rPr>
          <w:szCs w:val="24"/>
        </w:rPr>
        <w:t xml:space="preserve"> lags across most indicators, highlighting a pressing need for training and technical support in that municipality.</w:t>
      </w:r>
    </w:p>
    <w:p w14:paraId="0175595E" w14:textId="77777777" w:rsidR="00043668" w:rsidRPr="009C5364" w:rsidRDefault="00043668" w:rsidP="00043668">
      <w:pPr>
        <w:jc w:val="both"/>
        <w:rPr>
          <w:szCs w:val="24"/>
        </w:rPr>
      </w:pPr>
    </w:p>
    <w:p w14:paraId="0DF20920" w14:textId="77777777" w:rsidR="00043668" w:rsidRPr="00CB2694" w:rsidRDefault="00043668" w:rsidP="00043668">
      <w:pPr>
        <w:pStyle w:val="Heading3"/>
        <w:jc w:val="both"/>
        <w:rPr>
          <w:rFonts w:cs="Times New Roman"/>
          <w:i/>
        </w:rPr>
      </w:pPr>
      <w:r w:rsidRPr="00CB2694">
        <w:rPr>
          <w:rFonts w:cs="Times New Roman"/>
          <w:i/>
        </w:rPr>
        <w:t>PERSPECTIVE OF MASON’S ON NON-COMPLIANCE</w:t>
      </w:r>
    </w:p>
    <w:p w14:paraId="1954B6EB" w14:textId="3BCFD6DB" w:rsidR="00043668" w:rsidRPr="009C5364" w:rsidRDefault="00043668" w:rsidP="00043668">
      <w:pPr>
        <w:jc w:val="both"/>
        <w:rPr>
          <w:sz w:val="27"/>
        </w:rPr>
      </w:pPr>
      <w:r w:rsidRPr="009C5364">
        <w:t xml:space="preserve">Masons’ viewpoints on the causes of building code non-compliance were surveyed. The details are depicted in figure </w:t>
      </w:r>
      <w:r w:rsidR="00FA406B">
        <w:t>6</w:t>
      </w:r>
      <w:r w:rsidRPr="009C5364">
        <w:t xml:space="preserve"> below. </w:t>
      </w:r>
    </w:p>
    <w:p w14:paraId="61FA0D61" w14:textId="77777777" w:rsidR="00043668" w:rsidRPr="009C5364" w:rsidRDefault="00043668" w:rsidP="00043668">
      <w:pPr>
        <w:pStyle w:val="NormalWeb"/>
        <w:spacing w:before="0" w:beforeAutospacing="0" w:after="0" w:afterAutospacing="0" w:line="240" w:lineRule="auto"/>
      </w:pPr>
      <w:r w:rsidRPr="009C5364">
        <w:rPr>
          <w:noProof/>
        </w:rPr>
        <w:lastRenderedPageBreak/>
        <w:drawing>
          <wp:inline distT="0" distB="0" distL="0" distR="0" wp14:anchorId="06DBE3AB" wp14:editId="3CB9C0EC">
            <wp:extent cx="5502910" cy="3070225"/>
            <wp:effectExtent l="0" t="0" r="2540" b="15875"/>
            <wp:docPr id="10" name="Chart 10">
              <a:extLst xmlns:a="http://schemas.openxmlformats.org/drawingml/2006/main">
                <a:ext uri="{FF2B5EF4-FFF2-40B4-BE49-F238E27FC236}">
                  <a16:creationId xmlns:a16="http://schemas.microsoft.com/office/drawing/2014/main" id="{05F08790-ED83-4235-AF2D-1EF59A2FB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E026AE" w14:textId="77777777" w:rsidR="00043668" w:rsidRPr="009C5364" w:rsidRDefault="00043668" w:rsidP="00043668">
      <w:pPr>
        <w:jc w:val="both"/>
        <w:rPr>
          <w:szCs w:val="24"/>
        </w:rPr>
      </w:pPr>
      <w:r w:rsidRPr="009C5364">
        <w:rPr>
          <w:szCs w:val="24"/>
        </w:rPr>
        <w:t xml:space="preserve">Figure </w:t>
      </w:r>
      <w:r>
        <w:rPr>
          <w:szCs w:val="24"/>
        </w:rPr>
        <w:t>6</w:t>
      </w:r>
      <w:r w:rsidRPr="009C5364">
        <w:rPr>
          <w:szCs w:val="24"/>
        </w:rPr>
        <w:t>: Mason’s Perspective on Non-Compliance</w:t>
      </w:r>
    </w:p>
    <w:p w14:paraId="4238BAAD" w14:textId="77777777" w:rsidR="00043668" w:rsidRPr="009C5364" w:rsidRDefault="00043668" w:rsidP="00043668">
      <w:pPr>
        <w:pStyle w:val="NormalWeb"/>
        <w:spacing w:before="0" w:beforeAutospacing="0" w:after="0" w:afterAutospacing="0" w:line="240" w:lineRule="auto"/>
      </w:pPr>
      <w:r w:rsidRPr="009C5364">
        <w:t xml:space="preserve">Figure </w:t>
      </w:r>
      <w:r>
        <w:t>6</w:t>
      </w:r>
      <w:r w:rsidRPr="009C5364">
        <w:t xml:space="preserve"> presents masons’ responses regarding compliance and design modifications. A clear divergence is observed across the three municipalities. In </w:t>
      </w:r>
      <w:proofErr w:type="spellStart"/>
      <w:r w:rsidRPr="009C5364">
        <w:t>Godawari</w:t>
      </w:r>
      <w:proofErr w:type="spellEnd"/>
      <w:r w:rsidRPr="009C5364">
        <w:t>, compliance was highest (62.5%), indicating a comparatively stronger inclination toward following prescribed designs. However, even here, 31.25% admitted modifying designs at the owner’s request, revealing the influence of client pressure over technical compliance.</w:t>
      </w:r>
    </w:p>
    <w:p w14:paraId="155E540B" w14:textId="77777777" w:rsidR="00043668" w:rsidRPr="009C5364" w:rsidRDefault="00043668" w:rsidP="00043668">
      <w:pPr>
        <w:pStyle w:val="NormalWeb"/>
        <w:spacing w:before="0" w:beforeAutospacing="0" w:after="0" w:afterAutospacing="0" w:line="240" w:lineRule="auto"/>
      </w:pPr>
      <w:r w:rsidRPr="009C5364">
        <w:t xml:space="preserve">In </w:t>
      </w:r>
      <w:proofErr w:type="spellStart"/>
      <w:r w:rsidRPr="009C5364">
        <w:t>Sisne</w:t>
      </w:r>
      <w:proofErr w:type="spellEnd"/>
      <w:r w:rsidRPr="009C5364">
        <w:t xml:space="preserve">, only 15.38% of masons reported compliance, while 69.23% modified designs as per owner instruction, and 15.38% simplified designs to ease their own work. These highlights both low awareness and weak regulatory enforcement in rural contexts. In </w:t>
      </w:r>
      <w:proofErr w:type="spellStart"/>
      <w:r w:rsidRPr="009C5364">
        <w:t>Birendranagar</w:t>
      </w:r>
      <w:proofErr w:type="spellEnd"/>
      <w:r w:rsidRPr="009C5364">
        <w:t xml:space="preserve">, non-compliance was most prevalent, with 81.25% altering designs at the owner’s direction, and compliance dropping to just 6.25%. Overall, the results indicate that owner influence outweighs regulatory or technical considerations in practice, particularly in </w:t>
      </w:r>
      <w:proofErr w:type="spellStart"/>
      <w:r w:rsidRPr="009C5364">
        <w:t>Sisne</w:t>
      </w:r>
      <w:proofErr w:type="spellEnd"/>
      <w:r w:rsidRPr="009C5364">
        <w:t xml:space="preserve"> and </w:t>
      </w:r>
      <w:proofErr w:type="spellStart"/>
      <w:r w:rsidRPr="009C5364">
        <w:t>Birendranagar</w:t>
      </w:r>
      <w:proofErr w:type="spellEnd"/>
      <w:r w:rsidRPr="009C5364">
        <w:t xml:space="preserve">. </w:t>
      </w:r>
      <w:proofErr w:type="spellStart"/>
      <w:r w:rsidRPr="009C5364">
        <w:t>Godawari</w:t>
      </w:r>
      <w:proofErr w:type="spellEnd"/>
      <w:r w:rsidRPr="009C5364">
        <w:t xml:space="preserve"> shows comparatively better adherence but still faces challenges of client-driven non-compliance.</w:t>
      </w:r>
    </w:p>
    <w:bookmarkEnd w:id="46"/>
    <w:bookmarkEnd w:id="47"/>
    <w:bookmarkEnd w:id="48"/>
    <w:p w14:paraId="5ECAF1A0" w14:textId="77777777" w:rsidR="00043668" w:rsidRPr="009C5364" w:rsidRDefault="00043668" w:rsidP="00043668">
      <w:pPr>
        <w:jc w:val="both"/>
        <w:rPr>
          <w:b/>
          <w:bCs/>
        </w:rPr>
      </w:pPr>
      <w:r w:rsidRPr="009C5364">
        <w:rPr>
          <w:b/>
          <w:bCs/>
        </w:rPr>
        <w:t>4.3 REASONS FOR NON-COMPLIANCE AND SUGGESTED MEASURES FOR STRENGTHENING CONSTRUCTION COMPLIANCE</w:t>
      </w:r>
    </w:p>
    <w:p w14:paraId="2AA479D8" w14:textId="77777777" w:rsidR="00043668" w:rsidRPr="009C5364" w:rsidRDefault="00043668" w:rsidP="00043668">
      <w:pPr>
        <w:jc w:val="both"/>
        <w:rPr>
          <w:bCs/>
        </w:rPr>
      </w:pPr>
      <w:r w:rsidRPr="009C5364">
        <w:rPr>
          <w:bCs/>
        </w:rPr>
        <w:t>Third objective was to find out the reasons for non-compliance and suggest measures for strengthen construction compliance. For this Key informant interviews with municipal representatives (Mayor, Ward Chairperson, Chief Administrative Officer, technical personnel, and consultants) revealed several interlinked causes of non-compliance in residential construction.</w:t>
      </w:r>
    </w:p>
    <w:p w14:paraId="02E30A78" w14:textId="77777777" w:rsidR="00043668" w:rsidRPr="00CB2694" w:rsidRDefault="00043668" w:rsidP="00043668">
      <w:pPr>
        <w:jc w:val="both"/>
        <w:rPr>
          <w:b/>
          <w:bCs/>
          <w:i/>
        </w:rPr>
      </w:pPr>
      <w:r w:rsidRPr="00CB2694">
        <w:rPr>
          <w:b/>
          <w:bCs/>
          <w:i/>
        </w:rPr>
        <w:t>REASONS BEHIND NON-COMPLIANCE:</w:t>
      </w:r>
    </w:p>
    <w:p w14:paraId="5B155D82" w14:textId="77777777" w:rsidR="00043668" w:rsidRPr="009C5364" w:rsidRDefault="00043668" w:rsidP="00043668">
      <w:pPr>
        <w:jc w:val="both"/>
        <w:rPr>
          <w:b/>
          <w:bCs/>
        </w:rPr>
      </w:pPr>
      <w:r w:rsidRPr="009C5364">
        <w:rPr>
          <w:bCs/>
        </w:rPr>
        <w:t xml:space="preserve">A common factor is the limited awareness of building code provisions among both house owners and masons. Many owners underestimate earthquake risks hold misconceptions that compliance is costly or show reluctance due to lack of seriousness about disasters. At the institutional level, inadequate municipal outreach, limited consulting services, and infrequent monitoring by sub-engineers exacerbate the issue. Shortages of trained masons and </w:t>
      </w:r>
      <w:r w:rsidRPr="009C5364">
        <w:rPr>
          <w:bCs/>
        </w:rPr>
        <w:lastRenderedPageBreak/>
        <w:t>contractors, coupled with weak coordination among owners, contractors, and consultants, further contribute to non-compliance.</w:t>
      </w:r>
    </w:p>
    <w:p w14:paraId="5DB11BBE" w14:textId="77777777" w:rsidR="00043668" w:rsidRDefault="00043668" w:rsidP="00043668">
      <w:pPr>
        <w:jc w:val="both"/>
        <w:rPr>
          <w:b/>
          <w:bCs/>
          <w:i/>
        </w:rPr>
      </w:pPr>
      <w:r w:rsidRPr="00CB2694">
        <w:rPr>
          <w:b/>
          <w:bCs/>
          <w:i/>
        </w:rPr>
        <w:t>PROBABLE SOLUTIONS</w:t>
      </w:r>
      <w:r>
        <w:rPr>
          <w:b/>
          <w:bCs/>
          <w:i/>
        </w:rPr>
        <w:t>:</w:t>
      </w:r>
    </w:p>
    <w:p w14:paraId="6E823EDB" w14:textId="77777777" w:rsidR="00043668" w:rsidRPr="009C5364" w:rsidRDefault="00043668" w:rsidP="00043668">
      <w:pPr>
        <w:jc w:val="both"/>
        <w:rPr>
          <w:b/>
          <w:bCs/>
        </w:rPr>
      </w:pPr>
      <w:r w:rsidRPr="009C5364">
        <w:rPr>
          <w:bCs/>
        </w:rPr>
        <w:t>Respondents consistently emphasized the need for capacity building and incentive mechanisms. Recommendations include:</w:t>
      </w:r>
    </w:p>
    <w:p w14:paraId="15B25AE9" w14:textId="77777777" w:rsidR="00043668" w:rsidRPr="009C5364" w:rsidRDefault="00043668" w:rsidP="00B5230A">
      <w:pPr>
        <w:pStyle w:val="ListParagraph"/>
        <w:numPr>
          <w:ilvl w:val="0"/>
          <w:numId w:val="6"/>
        </w:numPr>
        <w:spacing w:line="240" w:lineRule="auto"/>
        <w:rPr>
          <w:rFonts w:cs="Times New Roman"/>
          <w:bCs/>
        </w:rPr>
      </w:pPr>
      <w:r w:rsidRPr="009C5364">
        <w:rPr>
          <w:rFonts w:cs="Times New Roman"/>
          <w:bCs/>
        </w:rPr>
        <w:t>Strengthening municipal monitoring through regular site inspections and a reward–penalty system.</w:t>
      </w:r>
    </w:p>
    <w:p w14:paraId="76566027" w14:textId="77777777" w:rsidR="00043668" w:rsidRPr="009C5364" w:rsidRDefault="00043668" w:rsidP="00B5230A">
      <w:pPr>
        <w:pStyle w:val="ListParagraph"/>
        <w:numPr>
          <w:ilvl w:val="0"/>
          <w:numId w:val="6"/>
        </w:numPr>
        <w:spacing w:line="240" w:lineRule="auto"/>
        <w:rPr>
          <w:rFonts w:cs="Times New Roman"/>
          <w:bCs/>
        </w:rPr>
      </w:pPr>
      <w:r w:rsidRPr="009C5364">
        <w:rPr>
          <w:rFonts w:cs="Times New Roman"/>
          <w:bCs/>
        </w:rPr>
        <w:t>Expanding training programs for masons, contractors, and municipal staff in earthquake-resistant and code-compliant practices.</w:t>
      </w:r>
    </w:p>
    <w:p w14:paraId="6AB3AB41" w14:textId="77777777" w:rsidR="00043668" w:rsidRPr="009C5364" w:rsidRDefault="00043668" w:rsidP="00B5230A">
      <w:pPr>
        <w:pStyle w:val="ListParagraph"/>
        <w:numPr>
          <w:ilvl w:val="0"/>
          <w:numId w:val="6"/>
        </w:numPr>
        <w:spacing w:line="240" w:lineRule="auto"/>
        <w:rPr>
          <w:rFonts w:cs="Times New Roman"/>
          <w:bCs/>
        </w:rPr>
      </w:pPr>
      <w:r w:rsidRPr="009C5364">
        <w:rPr>
          <w:rFonts w:cs="Times New Roman"/>
          <w:bCs/>
        </w:rPr>
        <w:t>Conducting awareness campaigns for house owners using simplified guidelines and visual aids.</w:t>
      </w:r>
    </w:p>
    <w:p w14:paraId="09BDDCD2" w14:textId="77777777" w:rsidR="00043668" w:rsidRPr="009C5364" w:rsidRDefault="00043668" w:rsidP="00B5230A">
      <w:pPr>
        <w:pStyle w:val="ListParagraph"/>
        <w:numPr>
          <w:ilvl w:val="0"/>
          <w:numId w:val="6"/>
        </w:numPr>
        <w:spacing w:line="240" w:lineRule="auto"/>
        <w:rPr>
          <w:rFonts w:cs="Times New Roman"/>
          <w:bCs/>
        </w:rPr>
      </w:pPr>
      <w:r w:rsidRPr="009C5364">
        <w:rPr>
          <w:rFonts w:cs="Times New Roman"/>
          <w:bCs/>
        </w:rPr>
        <w:t>Offering incentives such as fee reductions or recognition for compliant builders.</w:t>
      </w:r>
    </w:p>
    <w:p w14:paraId="53CD0F99" w14:textId="77777777" w:rsidR="00043668" w:rsidRPr="009C5364" w:rsidRDefault="00043668" w:rsidP="00B5230A">
      <w:pPr>
        <w:pStyle w:val="ListParagraph"/>
        <w:numPr>
          <w:ilvl w:val="0"/>
          <w:numId w:val="6"/>
        </w:numPr>
        <w:spacing w:line="240" w:lineRule="auto"/>
        <w:rPr>
          <w:rFonts w:cs="Times New Roman"/>
          <w:bCs/>
        </w:rPr>
      </w:pPr>
      <w:r w:rsidRPr="009C5364">
        <w:rPr>
          <w:rFonts w:cs="Times New Roman"/>
          <w:bCs/>
        </w:rPr>
        <w:t>Enhancing coordination among municipal authorities, consultants, and contractors to minimize errors and deviations from approved designs.</w:t>
      </w:r>
    </w:p>
    <w:p w14:paraId="7CDC39F8" w14:textId="77777777" w:rsidR="00043668" w:rsidRPr="009C5364" w:rsidRDefault="00043668" w:rsidP="00043668">
      <w:pPr>
        <w:jc w:val="both"/>
        <w:rPr>
          <w:b/>
          <w:bCs/>
        </w:rPr>
      </w:pPr>
    </w:p>
    <w:p w14:paraId="27A8D3AF" w14:textId="77777777" w:rsidR="00043668" w:rsidRPr="009C5364" w:rsidRDefault="00043668" w:rsidP="00043668">
      <w:pPr>
        <w:jc w:val="both"/>
        <w:rPr>
          <w:bCs/>
        </w:rPr>
      </w:pPr>
      <w:r w:rsidRPr="009C5364">
        <w:rPr>
          <w:bCs/>
        </w:rPr>
        <w:t>In summary, the findings underscore that improving compliance requires a dual approach: raising public awareness and technical capacity, while simultaneously ensuring strict yet supportive municipal enforcement.</w:t>
      </w:r>
    </w:p>
    <w:p w14:paraId="12CDAC54" w14:textId="77777777" w:rsidR="00043668" w:rsidRPr="009C5364" w:rsidRDefault="00043668" w:rsidP="00043668">
      <w:pPr>
        <w:jc w:val="both"/>
        <w:rPr>
          <w:bCs/>
        </w:rPr>
      </w:pPr>
    </w:p>
    <w:p w14:paraId="7758DE7D" w14:textId="77777777" w:rsidR="00043668" w:rsidRPr="009C5364" w:rsidRDefault="00043668" w:rsidP="00043668">
      <w:pPr>
        <w:pStyle w:val="Heading2"/>
        <w:jc w:val="both"/>
        <w:rPr>
          <w:rFonts w:cs="Times New Roman"/>
          <w:szCs w:val="24"/>
        </w:rPr>
      </w:pPr>
      <w:bookmarkStart w:id="49" w:name="_Toc184835230"/>
      <w:bookmarkStart w:id="50" w:name="_Toc184835330"/>
      <w:r w:rsidRPr="009C5364">
        <w:rPr>
          <w:rFonts w:cs="Times New Roman"/>
          <w:szCs w:val="24"/>
        </w:rPr>
        <w:t>5. CONCLUSION</w:t>
      </w:r>
      <w:bookmarkEnd w:id="49"/>
      <w:bookmarkEnd w:id="50"/>
      <w:r w:rsidRPr="009C5364">
        <w:rPr>
          <w:rFonts w:cs="Times New Roman"/>
          <w:szCs w:val="24"/>
        </w:rPr>
        <w:t>S</w:t>
      </w:r>
    </w:p>
    <w:p w14:paraId="275C68A8" w14:textId="77777777" w:rsidR="00043668" w:rsidRPr="009C5364" w:rsidRDefault="00043668" w:rsidP="00043668">
      <w:pPr>
        <w:jc w:val="both"/>
      </w:pPr>
      <w:bookmarkStart w:id="51" w:name="_Toc184835231"/>
      <w:bookmarkStart w:id="52" w:name="_Toc184835331"/>
      <w:r w:rsidRPr="009C5364">
        <w:t xml:space="preserve">The study aimed to assess the level of building code compliance in residential construction within </w:t>
      </w:r>
      <w:proofErr w:type="spellStart"/>
      <w:r w:rsidRPr="009C5364">
        <w:t>Godawari</w:t>
      </w:r>
      <w:proofErr w:type="spellEnd"/>
      <w:r w:rsidRPr="009C5364">
        <w:t xml:space="preserve"> Municipality. The research employed a combination of secondary data analysis, field observations, questionnaire surveys, and key informant interviews. Based on the results, several key conclusions were identified.</w:t>
      </w:r>
    </w:p>
    <w:p w14:paraId="1F27C9A1" w14:textId="77777777" w:rsidR="00043668" w:rsidRPr="009C5364" w:rsidRDefault="00043668" w:rsidP="00B5230A">
      <w:pPr>
        <w:pStyle w:val="ListParagraph"/>
        <w:numPr>
          <w:ilvl w:val="0"/>
          <w:numId w:val="4"/>
        </w:numPr>
        <w:spacing w:line="240" w:lineRule="auto"/>
        <w:rPr>
          <w:rFonts w:cs="Times New Roman"/>
        </w:rPr>
      </w:pPr>
      <w:r w:rsidRPr="009C5364">
        <w:rPr>
          <w:rFonts w:cs="Times New Roman"/>
        </w:rPr>
        <w:t xml:space="preserve">The compliance of building codes in completed residential buildings within </w:t>
      </w:r>
      <w:proofErr w:type="spellStart"/>
      <w:r w:rsidRPr="009C5364">
        <w:rPr>
          <w:rFonts w:cs="Times New Roman"/>
        </w:rPr>
        <w:t>Godawari</w:t>
      </w:r>
      <w:proofErr w:type="spellEnd"/>
      <w:r w:rsidRPr="009C5364">
        <w:rPr>
          <w:rFonts w:cs="Times New Roman"/>
        </w:rPr>
        <w:t xml:space="preserve"> Municipality is generally inadequate. The study indicates that multiple construction parameters have been altered from the approved designs, reflecting poor adherence to regulatory standards. Specifically, changes were observed in the plinth area, room sizes, beam depths, and the size and positioning of staircases, which deviate from the approved drawings. Such modifications not only compromise the structural integrity and safety of the buildings but also indicate a lack of supervision, technical expertise, and awareness among builders and house owners regarding the importance of following the building code. These deviations highlight the need for enhanced monitoring, stricter enforcement, and awareness programs to ensure that construction practices align with established regulations.</w:t>
      </w:r>
    </w:p>
    <w:p w14:paraId="546EDBBC" w14:textId="77777777" w:rsidR="00043668" w:rsidRPr="009C5364" w:rsidRDefault="00043668" w:rsidP="00B5230A">
      <w:pPr>
        <w:pStyle w:val="ListParagraph"/>
        <w:numPr>
          <w:ilvl w:val="0"/>
          <w:numId w:val="4"/>
        </w:numPr>
        <w:spacing w:line="240" w:lineRule="auto"/>
        <w:rPr>
          <w:rFonts w:cs="Times New Roman"/>
        </w:rPr>
      </w:pPr>
      <w:r w:rsidRPr="009C5364">
        <w:rPr>
          <w:rFonts w:cs="Times New Roman"/>
        </w:rPr>
        <w:t xml:space="preserve">The data for </w:t>
      </w:r>
      <w:proofErr w:type="spellStart"/>
      <w:r w:rsidRPr="009C5364">
        <w:rPr>
          <w:rFonts w:cs="Times New Roman"/>
        </w:rPr>
        <w:t>Godawari</w:t>
      </w:r>
      <w:proofErr w:type="spellEnd"/>
      <w:r w:rsidRPr="009C5364">
        <w:rPr>
          <w:rFonts w:cs="Times New Roman"/>
        </w:rPr>
        <w:t xml:space="preserve"> Municipality indicates a generally high level of compliance with building regulations. Compliance is particularly strong for building height (98.72%) and back setback (93.59%), while slightly lower compliance is observed for ground coverage ratio (87.18%) and front setback (88.46%). Overall, most parameters show over 85% adherence, suggesting that construction in </w:t>
      </w:r>
      <w:proofErr w:type="spellStart"/>
      <w:r w:rsidRPr="009C5364">
        <w:rPr>
          <w:rFonts w:cs="Times New Roman"/>
        </w:rPr>
        <w:t>Godawari</w:t>
      </w:r>
      <w:proofErr w:type="spellEnd"/>
      <w:r w:rsidRPr="009C5364">
        <w:rPr>
          <w:rFonts w:cs="Times New Roman"/>
        </w:rPr>
        <w:t xml:space="preserve"> largely follows municipal planning standards, with only minor gaps in setback and coverage regulations.</w:t>
      </w:r>
    </w:p>
    <w:p w14:paraId="3BF0A89E" w14:textId="77777777" w:rsidR="00043668" w:rsidRPr="009C5364" w:rsidRDefault="00043668" w:rsidP="00B5230A">
      <w:pPr>
        <w:pStyle w:val="ListParagraph"/>
        <w:numPr>
          <w:ilvl w:val="0"/>
          <w:numId w:val="4"/>
        </w:numPr>
        <w:spacing w:line="240" w:lineRule="auto"/>
        <w:rPr>
          <w:rFonts w:cs="Times New Roman"/>
        </w:rPr>
      </w:pPr>
      <w:r w:rsidRPr="009C5364">
        <w:rPr>
          <w:rFonts w:cs="Times New Roman"/>
        </w:rPr>
        <w:t xml:space="preserve">The adherence to building codes in buildings currently under construction is also unsatisfactory. The analysis revealed significant deficiencies in critical </w:t>
      </w:r>
      <w:r w:rsidRPr="009C5364">
        <w:rPr>
          <w:rFonts w:cs="Times New Roman"/>
        </w:rPr>
        <w:lastRenderedPageBreak/>
        <w:t>construction practices, particularly in the use of correct concrete mix proportions and proper lapping of reinforcement bars. Alarmingly, in ongoing construction projects (76% failed to use the required concrete mix proportions. Likewise, 32% of the buildings don’t comply with proper lapping of column reinforcement, while approximately 22% of buildings did not meet the standards for top and bottom beam rebar lapping. Though 100% compliance was found in reinforcement detailing of column, beam, slab, staircase slab, and in rebar placement and size. These findings indicate serious gaps in technical execution and highlight the urgent need for training, supervision, and stricter enforcement during the construction process to ensure compliance with building codes.</w:t>
      </w:r>
    </w:p>
    <w:p w14:paraId="1A818FC4" w14:textId="77777777" w:rsidR="00043668" w:rsidRPr="009C5364" w:rsidRDefault="00043668" w:rsidP="00B5230A">
      <w:pPr>
        <w:pStyle w:val="ListParagraph"/>
        <w:numPr>
          <w:ilvl w:val="0"/>
          <w:numId w:val="4"/>
        </w:numPr>
        <w:spacing w:line="240" w:lineRule="auto"/>
        <w:rPr>
          <w:rFonts w:cs="Times New Roman"/>
        </w:rPr>
      </w:pPr>
      <w:r w:rsidRPr="009C5364">
        <w:rPr>
          <w:rFonts w:cs="Times New Roman"/>
        </w:rPr>
        <w:t xml:space="preserve">The study reveals that the masons assessed have insufficient awareness regarding the fundamental principles behind building code compliance. Most were unfamiliar with earthquake phenomena, lacked knowledge of earthquake-resistant design and construction, and were unaware of the building code provisions, as well as the municipal drawing approval process. Additionally, the findings indicate that the skills and capabilities of masons in </w:t>
      </w:r>
      <w:proofErr w:type="spellStart"/>
      <w:r w:rsidRPr="009C5364">
        <w:rPr>
          <w:rFonts w:cs="Times New Roman"/>
        </w:rPr>
        <w:t>Godawari</w:t>
      </w:r>
      <w:proofErr w:type="spellEnd"/>
      <w:r w:rsidRPr="009C5364">
        <w:rPr>
          <w:rFonts w:cs="Times New Roman"/>
        </w:rPr>
        <w:t xml:space="preserve"> Municipality are inadequate, though </w:t>
      </w:r>
      <w:proofErr w:type="spellStart"/>
      <w:r w:rsidRPr="009C5364">
        <w:rPr>
          <w:rFonts w:cs="Times New Roman"/>
        </w:rPr>
        <w:t>Godawari</w:t>
      </w:r>
      <w:proofErr w:type="spellEnd"/>
      <w:r w:rsidRPr="009C5364">
        <w:rPr>
          <w:rFonts w:cs="Times New Roman"/>
        </w:rPr>
        <w:t xml:space="preserve"> has the highest compliance in comparison to </w:t>
      </w:r>
      <w:proofErr w:type="spellStart"/>
      <w:r w:rsidRPr="009C5364">
        <w:rPr>
          <w:rFonts w:cs="Times New Roman"/>
        </w:rPr>
        <w:t>Sisne</w:t>
      </w:r>
      <w:proofErr w:type="spellEnd"/>
      <w:r w:rsidRPr="009C5364">
        <w:rPr>
          <w:rFonts w:cs="Times New Roman"/>
        </w:rPr>
        <w:t xml:space="preserve"> Rural Municipality </w:t>
      </w:r>
      <w:sdt>
        <w:sdtPr>
          <w:rPr>
            <w:rFonts w:cs="Times New Roman"/>
          </w:rPr>
          <w:id w:val="-1209325909"/>
          <w:citation/>
        </w:sdtPr>
        <w:sdtEndPr/>
        <w:sdtContent>
          <w:r w:rsidRPr="009C5364">
            <w:rPr>
              <w:rFonts w:cs="Times New Roman"/>
            </w:rPr>
            <w:fldChar w:fldCharType="begin"/>
          </w:r>
          <w:r w:rsidRPr="009C5364">
            <w:rPr>
              <w:rFonts w:cs="Times New Roman"/>
            </w:rPr>
            <w:instrText xml:space="preserve"> CITATION KCK23 \l 1033 </w:instrText>
          </w:r>
          <w:r w:rsidRPr="009C5364">
            <w:rPr>
              <w:rFonts w:cs="Times New Roman"/>
            </w:rPr>
            <w:fldChar w:fldCharType="separate"/>
          </w:r>
          <w:r w:rsidRPr="009C5364">
            <w:rPr>
              <w:rFonts w:cs="Times New Roman"/>
              <w:noProof/>
            </w:rPr>
            <w:t>[11]</w:t>
          </w:r>
          <w:r w:rsidRPr="009C5364">
            <w:rPr>
              <w:rFonts w:cs="Times New Roman"/>
            </w:rPr>
            <w:fldChar w:fldCharType="end"/>
          </w:r>
        </w:sdtContent>
      </w:sdt>
      <w:r w:rsidRPr="009C5364">
        <w:rPr>
          <w:rFonts w:cs="Times New Roman"/>
        </w:rPr>
        <w:t xml:space="preserve"> and </w:t>
      </w:r>
      <w:proofErr w:type="spellStart"/>
      <w:r w:rsidRPr="009C5364">
        <w:rPr>
          <w:rFonts w:cs="Times New Roman"/>
        </w:rPr>
        <w:t>Birendranagar</w:t>
      </w:r>
      <w:proofErr w:type="spellEnd"/>
      <w:r w:rsidRPr="009C5364">
        <w:rPr>
          <w:rFonts w:cs="Times New Roman"/>
        </w:rPr>
        <w:t xml:space="preserve"> Municipality </w:t>
      </w:r>
      <w:sdt>
        <w:sdtPr>
          <w:rPr>
            <w:rFonts w:cs="Times New Roman"/>
          </w:rPr>
          <w:id w:val="1910108945"/>
          <w:citation/>
        </w:sdtPr>
        <w:sdtEndPr/>
        <w:sdtContent>
          <w:r w:rsidRPr="009C5364">
            <w:rPr>
              <w:rFonts w:cs="Times New Roman"/>
            </w:rPr>
            <w:fldChar w:fldCharType="begin"/>
          </w:r>
          <w:r w:rsidRPr="009C5364">
            <w:rPr>
              <w:rFonts w:cs="Times New Roman"/>
            </w:rPr>
            <w:instrText xml:space="preserve"> CITATION Rij25 \l 1033 </w:instrText>
          </w:r>
          <w:r w:rsidRPr="009C5364">
            <w:rPr>
              <w:rFonts w:cs="Times New Roman"/>
            </w:rPr>
            <w:fldChar w:fldCharType="separate"/>
          </w:r>
          <w:r w:rsidRPr="009C5364">
            <w:rPr>
              <w:rFonts w:cs="Times New Roman"/>
              <w:noProof/>
            </w:rPr>
            <w:t>[12]</w:t>
          </w:r>
          <w:r w:rsidRPr="009C5364">
            <w:rPr>
              <w:rFonts w:cs="Times New Roman"/>
            </w:rPr>
            <w:fldChar w:fldCharType="end"/>
          </w:r>
        </w:sdtContent>
      </w:sdt>
      <w:r w:rsidRPr="009C5364">
        <w:rPr>
          <w:rFonts w:cs="Times New Roman"/>
        </w:rPr>
        <w:t>.</w:t>
      </w:r>
    </w:p>
    <w:p w14:paraId="777507EC" w14:textId="77777777" w:rsidR="00043668" w:rsidRPr="009C5364" w:rsidRDefault="00043668" w:rsidP="00043668">
      <w:pPr>
        <w:pStyle w:val="Heading2"/>
        <w:jc w:val="both"/>
        <w:rPr>
          <w:rFonts w:cs="Times New Roman"/>
          <w:szCs w:val="24"/>
        </w:rPr>
      </w:pPr>
      <w:r w:rsidRPr="009C5364">
        <w:rPr>
          <w:rFonts w:cs="Times New Roman"/>
          <w:szCs w:val="24"/>
        </w:rPr>
        <w:t>RECOMMENDATION</w:t>
      </w:r>
      <w:bookmarkEnd w:id="51"/>
      <w:bookmarkEnd w:id="52"/>
      <w:r w:rsidRPr="009C5364">
        <w:rPr>
          <w:rFonts w:cs="Times New Roman"/>
          <w:szCs w:val="24"/>
        </w:rPr>
        <w:t xml:space="preserve"> </w:t>
      </w:r>
    </w:p>
    <w:p w14:paraId="5FBDF200" w14:textId="77777777" w:rsidR="00043668" w:rsidRDefault="00043668" w:rsidP="00043668">
      <w:pPr>
        <w:jc w:val="both"/>
        <w:rPr>
          <w:szCs w:val="24"/>
        </w:rPr>
      </w:pPr>
      <w:r w:rsidRPr="009C5364">
        <w:rPr>
          <w:szCs w:val="24"/>
        </w:rPr>
        <w:t xml:space="preserve">The study recommends improving building code compliance in </w:t>
      </w:r>
      <w:proofErr w:type="spellStart"/>
      <w:r w:rsidRPr="009C5364">
        <w:rPr>
          <w:szCs w:val="24"/>
        </w:rPr>
        <w:t>Godawari</w:t>
      </w:r>
      <w:proofErr w:type="spellEnd"/>
      <w:r w:rsidRPr="009C5364">
        <w:rPr>
          <w:szCs w:val="24"/>
        </w:rPr>
        <w:t xml:space="preserve"> Municipality through awareness campaigns for the public, skill development programs for masons, and training for municipal staff. It also suggests establishing clear guidelines and SOPs aligned with the national building code, simplifying the building permit process with visual tools, and enforcing compliance through monitoring, rewards, and penalties. Additionally, periodic training and awareness programs should accompany these measures, while a comprehensive study with field and lab testing is advised to assess how non-compliance impacts building strength and seismic resistance. </w:t>
      </w:r>
    </w:p>
    <w:p w14:paraId="28ADB741" w14:textId="77777777" w:rsidR="005A67B7" w:rsidRDefault="005A67B7" w:rsidP="00043668">
      <w:pPr>
        <w:jc w:val="both"/>
        <w:rPr>
          <w:szCs w:val="24"/>
        </w:rPr>
      </w:pPr>
    </w:p>
    <w:p w14:paraId="6559F885" w14:textId="77777777" w:rsidR="005A67B7" w:rsidRDefault="005A67B7" w:rsidP="00043668">
      <w:pPr>
        <w:jc w:val="both"/>
        <w:rPr>
          <w:szCs w:val="24"/>
        </w:rPr>
      </w:pPr>
    </w:p>
    <w:p w14:paraId="773CD2BB" w14:textId="77777777" w:rsidR="005A67B7" w:rsidRDefault="005A67B7" w:rsidP="00043668">
      <w:pPr>
        <w:jc w:val="both"/>
        <w:rPr>
          <w:szCs w:val="24"/>
        </w:rPr>
      </w:pPr>
    </w:p>
    <w:p w14:paraId="239E0C8F" w14:textId="77777777" w:rsidR="005A67B7" w:rsidRPr="005A67B7" w:rsidRDefault="005A67B7" w:rsidP="005A67B7">
      <w:pPr>
        <w:jc w:val="both"/>
        <w:rPr>
          <w:szCs w:val="24"/>
        </w:rPr>
      </w:pPr>
      <w:r w:rsidRPr="005A67B7">
        <w:rPr>
          <w:szCs w:val="24"/>
        </w:rPr>
        <w:t>COMPETING INTERESTS DISCLAIMER:</w:t>
      </w:r>
    </w:p>
    <w:p w14:paraId="356C1746" w14:textId="01548B37" w:rsidR="005A67B7" w:rsidRPr="009C5364" w:rsidRDefault="005A67B7" w:rsidP="005A67B7">
      <w:pPr>
        <w:jc w:val="both"/>
        <w:rPr>
          <w:szCs w:val="24"/>
        </w:rPr>
      </w:pPr>
      <w:r w:rsidRPr="005A67B7">
        <w:rPr>
          <w:szCs w:val="24"/>
        </w:rPr>
        <w:t>Authors have declared that they have no known competing financial interests OR non-financial interests OR personal relationships that could have appeared to influence the work reported in this paper.</w:t>
      </w:r>
    </w:p>
    <w:sdt>
      <w:sdtPr>
        <w:rPr>
          <w:rFonts w:ascii="Helvetica" w:eastAsiaTheme="minorHAnsi" w:hAnsi="Helvetica" w:cstheme="minorBidi"/>
          <w:b w:val="0"/>
          <w:kern w:val="0"/>
          <w:sz w:val="20"/>
          <w:szCs w:val="22"/>
        </w:rPr>
        <w:id w:val="11654359"/>
        <w:docPartObj>
          <w:docPartGallery w:val="Bibliographies"/>
          <w:docPartUnique/>
        </w:docPartObj>
      </w:sdtPr>
      <w:sdtEndPr>
        <w:rPr>
          <w:rFonts w:eastAsia="Times New Roman" w:cs="Times New Roman"/>
          <w:szCs w:val="20"/>
        </w:rPr>
      </w:sdtEndPr>
      <w:sdtContent>
        <w:p w14:paraId="14F9E137" w14:textId="77777777" w:rsidR="00043668" w:rsidRPr="009C5364" w:rsidRDefault="00043668" w:rsidP="00043668">
          <w:pPr>
            <w:pStyle w:val="Heading1"/>
            <w:jc w:val="both"/>
          </w:pPr>
          <w:r w:rsidRPr="009C5364">
            <w:t>References</w:t>
          </w:r>
        </w:p>
        <w:sdt>
          <w:sdtPr>
            <w:id w:val="1861316610"/>
            <w:bibliography/>
          </w:sdtPr>
          <w:sdtEndPr/>
          <w:sdtContent>
            <w:p w14:paraId="5141AE15" w14:textId="77777777" w:rsidR="00043668" w:rsidRPr="009C5364" w:rsidRDefault="00043668" w:rsidP="00043668">
              <w:pPr>
                <w:jc w:val="both"/>
                <w:rPr>
                  <w:rFonts w:asciiTheme="minorHAnsi" w:hAnsiTheme="minorHAnsi"/>
                  <w:noProof/>
                  <w:sz w:val="22"/>
                </w:rPr>
              </w:pPr>
              <w:r w:rsidRPr="009C5364">
                <w:fldChar w:fldCharType="begin"/>
              </w:r>
              <w:r w:rsidRPr="009C5364">
                <w:instrText xml:space="preserve"> BIBLIOGRAPHY </w:instrText>
              </w:r>
              <w:r w:rsidRPr="009C5364">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7823"/>
              </w:tblGrid>
              <w:tr w:rsidR="00043668" w:rsidRPr="009C5364" w14:paraId="72B27ADE" w14:textId="77777777" w:rsidTr="00043668">
                <w:trPr>
                  <w:tblCellSpacing w:w="15" w:type="dxa"/>
                </w:trPr>
                <w:tc>
                  <w:tcPr>
                    <w:tcW w:w="50" w:type="pct"/>
                    <w:hideMark/>
                  </w:tcPr>
                  <w:p w14:paraId="5FC030D2" w14:textId="77777777" w:rsidR="00043668" w:rsidRPr="009C5364" w:rsidRDefault="00043668" w:rsidP="00043668">
                    <w:pPr>
                      <w:pStyle w:val="Bibliography"/>
                      <w:spacing w:line="240" w:lineRule="auto"/>
                      <w:rPr>
                        <w:noProof/>
                        <w:szCs w:val="24"/>
                      </w:rPr>
                    </w:pPr>
                    <w:r w:rsidRPr="009C5364">
                      <w:rPr>
                        <w:noProof/>
                      </w:rPr>
                      <w:t xml:space="preserve">[1] </w:t>
                    </w:r>
                  </w:p>
                </w:tc>
                <w:tc>
                  <w:tcPr>
                    <w:tcW w:w="0" w:type="auto"/>
                    <w:hideMark/>
                  </w:tcPr>
                  <w:p w14:paraId="6B1DD648" w14:textId="77777777" w:rsidR="00043668" w:rsidRPr="009C5364" w:rsidRDefault="00043668" w:rsidP="00043668">
                    <w:pPr>
                      <w:pStyle w:val="Bibliography"/>
                      <w:spacing w:line="240" w:lineRule="auto"/>
                      <w:rPr>
                        <w:noProof/>
                      </w:rPr>
                    </w:pPr>
                    <w:r w:rsidRPr="009C5364">
                      <w:rPr>
                        <w:noProof/>
                      </w:rPr>
                      <w:t xml:space="preserve">D. Gautam, H. Rodrigues, K. K. Bhetwal, P. Neupane and Y. Sanada, "Common structural and construction deficiencies of Nepalese," </w:t>
                    </w:r>
                    <w:r w:rsidRPr="009C5364">
                      <w:rPr>
                        <w:i/>
                        <w:iCs/>
                        <w:noProof/>
                      </w:rPr>
                      <w:t xml:space="preserve">Journal of Structure Engineering, </w:t>
                    </w:r>
                    <w:r w:rsidRPr="009C5364">
                      <w:rPr>
                        <w:noProof/>
                      </w:rPr>
                      <w:t xml:space="preserve">2016. </w:t>
                    </w:r>
                  </w:p>
                </w:tc>
              </w:tr>
              <w:tr w:rsidR="00043668" w:rsidRPr="009C5364" w14:paraId="5EA6AAA9" w14:textId="77777777" w:rsidTr="00043668">
                <w:trPr>
                  <w:tblCellSpacing w:w="15" w:type="dxa"/>
                </w:trPr>
                <w:tc>
                  <w:tcPr>
                    <w:tcW w:w="50" w:type="pct"/>
                    <w:hideMark/>
                  </w:tcPr>
                  <w:p w14:paraId="44209A73" w14:textId="77777777" w:rsidR="00043668" w:rsidRPr="009C5364" w:rsidRDefault="00043668" w:rsidP="00043668">
                    <w:pPr>
                      <w:pStyle w:val="Bibliography"/>
                      <w:spacing w:line="240" w:lineRule="auto"/>
                      <w:rPr>
                        <w:noProof/>
                      </w:rPr>
                    </w:pPr>
                    <w:r w:rsidRPr="009C5364">
                      <w:rPr>
                        <w:noProof/>
                      </w:rPr>
                      <w:t xml:space="preserve">[2] </w:t>
                    </w:r>
                  </w:p>
                </w:tc>
                <w:tc>
                  <w:tcPr>
                    <w:tcW w:w="0" w:type="auto"/>
                    <w:hideMark/>
                  </w:tcPr>
                  <w:p w14:paraId="31D1F4BC" w14:textId="77777777" w:rsidR="00043668" w:rsidRPr="009C5364" w:rsidRDefault="00043668" w:rsidP="00043668">
                    <w:pPr>
                      <w:pStyle w:val="Bibliography"/>
                      <w:spacing w:line="240" w:lineRule="auto"/>
                      <w:rPr>
                        <w:noProof/>
                      </w:rPr>
                    </w:pPr>
                    <w:r w:rsidRPr="009C5364">
                      <w:rPr>
                        <w:noProof/>
                      </w:rPr>
                      <w:t xml:space="preserve">S. K. Bhattarai and A. Kumar, "Existing Scenario of Building Code Implementation in Newly Formed "Nagarjun Municipality"," </w:t>
                    </w:r>
                    <w:r w:rsidRPr="009C5364">
                      <w:rPr>
                        <w:i/>
                        <w:iCs/>
                        <w:noProof/>
                      </w:rPr>
                      <w:t xml:space="preserve">Asian Journal of Science and Technology, </w:t>
                    </w:r>
                    <w:r w:rsidRPr="009C5364">
                      <w:rPr>
                        <w:noProof/>
                      </w:rPr>
                      <w:t xml:space="preserve">pp. 6751-6762, 2017. </w:t>
                    </w:r>
                  </w:p>
                </w:tc>
              </w:tr>
              <w:tr w:rsidR="00043668" w:rsidRPr="009C5364" w14:paraId="5A4917B4" w14:textId="77777777" w:rsidTr="00043668">
                <w:trPr>
                  <w:tblCellSpacing w:w="15" w:type="dxa"/>
                </w:trPr>
                <w:tc>
                  <w:tcPr>
                    <w:tcW w:w="50" w:type="pct"/>
                    <w:hideMark/>
                  </w:tcPr>
                  <w:p w14:paraId="3AEDF17B" w14:textId="77777777" w:rsidR="00043668" w:rsidRPr="009C5364" w:rsidRDefault="00043668" w:rsidP="00043668">
                    <w:pPr>
                      <w:pStyle w:val="Bibliography"/>
                      <w:spacing w:line="240" w:lineRule="auto"/>
                      <w:rPr>
                        <w:noProof/>
                      </w:rPr>
                    </w:pPr>
                    <w:r w:rsidRPr="009C5364">
                      <w:rPr>
                        <w:noProof/>
                      </w:rPr>
                      <w:t xml:space="preserve">[3] </w:t>
                    </w:r>
                  </w:p>
                </w:tc>
                <w:tc>
                  <w:tcPr>
                    <w:tcW w:w="0" w:type="auto"/>
                    <w:hideMark/>
                  </w:tcPr>
                  <w:p w14:paraId="5555DE97" w14:textId="77777777" w:rsidR="00043668" w:rsidRPr="009C5364" w:rsidRDefault="00043668" w:rsidP="00043668">
                    <w:pPr>
                      <w:pStyle w:val="Bibliography"/>
                      <w:spacing w:line="240" w:lineRule="auto"/>
                      <w:rPr>
                        <w:noProof/>
                      </w:rPr>
                    </w:pPr>
                    <w:r w:rsidRPr="009C5364">
                      <w:rPr>
                        <w:noProof/>
                      </w:rPr>
                      <w:t xml:space="preserve">N. Maharjan, "Compliance of Concrete Strength Used in Low Rise Residential </w:t>
                    </w:r>
                    <w:r w:rsidRPr="009C5364">
                      <w:rPr>
                        <w:noProof/>
                      </w:rPr>
                      <w:lastRenderedPageBreak/>
                      <w:t>Buildings with NBC 205: A Case Study of Lalitpur Metropolitan City-28, 29, Harisiddhi," Pulchwok Campus, Lalitpur, 2017.</w:t>
                    </w:r>
                  </w:p>
                </w:tc>
              </w:tr>
              <w:tr w:rsidR="00043668" w:rsidRPr="009C5364" w14:paraId="7A1656BE" w14:textId="77777777" w:rsidTr="00043668">
                <w:trPr>
                  <w:tblCellSpacing w:w="15" w:type="dxa"/>
                </w:trPr>
                <w:tc>
                  <w:tcPr>
                    <w:tcW w:w="50" w:type="pct"/>
                    <w:hideMark/>
                  </w:tcPr>
                  <w:p w14:paraId="411F2DDB" w14:textId="77777777" w:rsidR="00043668" w:rsidRPr="009C5364" w:rsidRDefault="00043668" w:rsidP="00043668">
                    <w:pPr>
                      <w:pStyle w:val="Bibliography"/>
                      <w:spacing w:line="240" w:lineRule="auto"/>
                      <w:rPr>
                        <w:noProof/>
                      </w:rPr>
                    </w:pPr>
                    <w:r w:rsidRPr="009C5364">
                      <w:rPr>
                        <w:noProof/>
                      </w:rPr>
                      <w:lastRenderedPageBreak/>
                      <w:t xml:space="preserve">[4] </w:t>
                    </w:r>
                  </w:p>
                </w:tc>
                <w:tc>
                  <w:tcPr>
                    <w:tcW w:w="0" w:type="auto"/>
                    <w:hideMark/>
                  </w:tcPr>
                  <w:p w14:paraId="642EFFC0" w14:textId="77777777" w:rsidR="00043668" w:rsidRPr="009C5364" w:rsidRDefault="00043668" w:rsidP="00043668">
                    <w:pPr>
                      <w:pStyle w:val="Bibliography"/>
                      <w:spacing w:line="240" w:lineRule="auto"/>
                      <w:rPr>
                        <w:noProof/>
                      </w:rPr>
                    </w:pPr>
                    <w:r w:rsidRPr="009C5364">
                      <w:rPr>
                        <w:noProof/>
                      </w:rPr>
                      <w:t xml:space="preserve">A. Windapo and K. Cattell, "A study of building contractors' compliance with national building regulations in Cape Town.," 2010. </w:t>
                    </w:r>
                  </w:p>
                </w:tc>
              </w:tr>
              <w:tr w:rsidR="00043668" w:rsidRPr="009C5364" w14:paraId="0A4AA6F8" w14:textId="77777777" w:rsidTr="00043668">
                <w:trPr>
                  <w:tblCellSpacing w:w="15" w:type="dxa"/>
                </w:trPr>
                <w:tc>
                  <w:tcPr>
                    <w:tcW w:w="50" w:type="pct"/>
                    <w:hideMark/>
                  </w:tcPr>
                  <w:p w14:paraId="460AA9BD" w14:textId="77777777" w:rsidR="00043668" w:rsidRPr="009C5364" w:rsidRDefault="00043668" w:rsidP="00043668">
                    <w:pPr>
                      <w:pStyle w:val="Bibliography"/>
                      <w:spacing w:line="240" w:lineRule="auto"/>
                      <w:rPr>
                        <w:noProof/>
                      </w:rPr>
                    </w:pPr>
                    <w:r w:rsidRPr="009C5364">
                      <w:rPr>
                        <w:noProof/>
                      </w:rPr>
                      <w:t xml:space="preserve">[5] </w:t>
                    </w:r>
                  </w:p>
                </w:tc>
                <w:tc>
                  <w:tcPr>
                    <w:tcW w:w="0" w:type="auto"/>
                    <w:hideMark/>
                  </w:tcPr>
                  <w:p w14:paraId="221E9519" w14:textId="77777777" w:rsidR="00043668" w:rsidRPr="009C5364" w:rsidRDefault="00043668" w:rsidP="00043668">
                    <w:pPr>
                      <w:pStyle w:val="Bibliography"/>
                      <w:spacing w:line="240" w:lineRule="auto"/>
                      <w:rPr>
                        <w:noProof/>
                      </w:rPr>
                    </w:pPr>
                    <w:r w:rsidRPr="009C5364">
                      <w:rPr>
                        <w:noProof/>
                      </w:rPr>
                      <w:t xml:space="preserve">S. G. Shrestha, S. Pradhan and S. N. Shrestha, "Status of Building Code Compliance: A case study in Karyavinayak Municipality," 2015. </w:t>
                    </w:r>
                  </w:p>
                </w:tc>
              </w:tr>
              <w:tr w:rsidR="00043668" w:rsidRPr="009C5364" w14:paraId="75FBF9E8" w14:textId="77777777" w:rsidTr="00043668">
                <w:trPr>
                  <w:tblCellSpacing w:w="15" w:type="dxa"/>
                </w:trPr>
                <w:tc>
                  <w:tcPr>
                    <w:tcW w:w="50" w:type="pct"/>
                    <w:hideMark/>
                  </w:tcPr>
                  <w:p w14:paraId="6CF42520" w14:textId="77777777" w:rsidR="00043668" w:rsidRPr="009C5364" w:rsidRDefault="00043668" w:rsidP="00043668">
                    <w:pPr>
                      <w:pStyle w:val="Bibliography"/>
                      <w:spacing w:line="240" w:lineRule="auto"/>
                      <w:rPr>
                        <w:noProof/>
                      </w:rPr>
                    </w:pPr>
                    <w:r w:rsidRPr="009C5364">
                      <w:rPr>
                        <w:noProof/>
                      </w:rPr>
                      <w:t xml:space="preserve">[6] </w:t>
                    </w:r>
                  </w:p>
                </w:tc>
                <w:tc>
                  <w:tcPr>
                    <w:tcW w:w="0" w:type="auto"/>
                    <w:hideMark/>
                  </w:tcPr>
                  <w:p w14:paraId="6D411CD5" w14:textId="77777777" w:rsidR="00043668" w:rsidRPr="009C5364" w:rsidRDefault="00043668" w:rsidP="00043668">
                    <w:pPr>
                      <w:pStyle w:val="Bibliography"/>
                      <w:spacing w:line="240" w:lineRule="auto"/>
                      <w:rPr>
                        <w:noProof/>
                      </w:rPr>
                    </w:pPr>
                    <w:r w:rsidRPr="009C5364">
                      <w:rPr>
                        <w:noProof/>
                      </w:rPr>
                      <w:t xml:space="preserve">L. Arendt, M. EERI, A. Hortacsu, K. Jaiswal, S. Shrestha, J. Bevington, F. Lanning and G. Mentor-William, "Implementing Nepal's National Building Code: A Case Study in Patience and Persistence," </w:t>
                    </w:r>
                    <w:r w:rsidRPr="009C5364">
                      <w:rPr>
                        <w:i/>
                        <w:iCs/>
                        <w:noProof/>
                      </w:rPr>
                      <w:t xml:space="preserve">SAGE Journals, </w:t>
                    </w:r>
                    <w:r w:rsidRPr="009C5364">
                      <w:rPr>
                        <w:noProof/>
                      </w:rPr>
                      <w:t xml:space="preserve">vol. 33, no. 1, 2017. </w:t>
                    </w:r>
                  </w:p>
                </w:tc>
              </w:tr>
              <w:tr w:rsidR="00043668" w:rsidRPr="009C5364" w14:paraId="569252FA" w14:textId="77777777" w:rsidTr="00043668">
                <w:trPr>
                  <w:tblCellSpacing w:w="15" w:type="dxa"/>
                </w:trPr>
                <w:tc>
                  <w:tcPr>
                    <w:tcW w:w="50" w:type="pct"/>
                    <w:hideMark/>
                  </w:tcPr>
                  <w:p w14:paraId="5EAF3416" w14:textId="77777777" w:rsidR="00043668" w:rsidRPr="009C5364" w:rsidRDefault="00043668" w:rsidP="00043668">
                    <w:pPr>
                      <w:pStyle w:val="Bibliography"/>
                      <w:spacing w:line="240" w:lineRule="auto"/>
                      <w:rPr>
                        <w:noProof/>
                      </w:rPr>
                    </w:pPr>
                    <w:r w:rsidRPr="009C5364">
                      <w:rPr>
                        <w:noProof/>
                      </w:rPr>
                      <w:t xml:space="preserve">[7] </w:t>
                    </w:r>
                  </w:p>
                </w:tc>
                <w:tc>
                  <w:tcPr>
                    <w:tcW w:w="0" w:type="auto"/>
                    <w:hideMark/>
                  </w:tcPr>
                  <w:p w14:paraId="026E251C" w14:textId="77777777" w:rsidR="00043668" w:rsidRPr="009C5364" w:rsidRDefault="00043668" w:rsidP="00043668">
                    <w:pPr>
                      <w:pStyle w:val="Bibliography"/>
                      <w:spacing w:line="240" w:lineRule="auto"/>
                      <w:rPr>
                        <w:noProof/>
                      </w:rPr>
                    </w:pPr>
                    <w:r w:rsidRPr="009C5364">
                      <w:rPr>
                        <w:noProof/>
                      </w:rPr>
                      <w:t xml:space="preserve">S. Jones and V. Vasvani, "Compliance with the building byelaws and earthquake safety in urban areas of Bihar: progress, constraints and challenges," </w:t>
                    </w:r>
                    <w:r w:rsidRPr="009C5364">
                      <w:rPr>
                        <w:i/>
                        <w:iCs/>
                        <w:noProof/>
                      </w:rPr>
                      <w:t xml:space="preserve">Environmental Hazards, </w:t>
                    </w:r>
                    <w:r w:rsidRPr="009C5364">
                      <w:rPr>
                        <w:noProof/>
                      </w:rPr>
                      <w:t xml:space="preserve">vol. 10, no. 16, pp. 1-18, 2017. </w:t>
                    </w:r>
                  </w:p>
                </w:tc>
              </w:tr>
              <w:tr w:rsidR="00043668" w:rsidRPr="009C5364" w14:paraId="6F63BB33" w14:textId="77777777" w:rsidTr="00043668">
                <w:trPr>
                  <w:tblCellSpacing w:w="15" w:type="dxa"/>
                </w:trPr>
                <w:tc>
                  <w:tcPr>
                    <w:tcW w:w="50" w:type="pct"/>
                    <w:hideMark/>
                  </w:tcPr>
                  <w:p w14:paraId="46861651" w14:textId="77777777" w:rsidR="00043668" w:rsidRPr="009C5364" w:rsidRDefault="00043668" w:rsidP="00043668">
                    <w:pPr>
                      <w:pStyle w:val="Bibliography"/>
                      <w:spacing w:line="240" w:lineRule="auto"/>
                      <w:rPr>
                        <w:noProof/>
                      </w:rPr>
                    </w:pPr>
                    <w:r w:rsidRPr="009C5364">
                      <w:rPr>
                        <w:noProof/>
                      </w:rPr>
                      <w:t xml:space="preserve">[8] </w:t>
                    </w:r>
                  </w:p>
                </w:tc>
                <w:tc>
                  <w:tcPr>
                    <w:tcW w:w="0" w:type="auto"/>
                    <w:hideMark/>
                  </w:tcPr>
                  <w:p w14:paraId="2112F593" w14:textId="77777777" w:rsidR="00043668" w:rsidRPr="009C5364" w:rsidRDefault="00043668" w:rsidP="00043668">
                    <w:pPr>
                      <w:pStyle w:val="Bibliography"/>
                      <w:spacing w:line="240" w:lineRule="auto"/>
                      <w:rPr>
                        <w:noProof/>
                      </w:rPr>
                    </w:pPr>
                    <w:r w:rsidRPr="009C5364">
                      <w:rPr>
                        <w:noProof/>
                      </w:rPr>
                      <w:t xml:space="preserve">H. Varum, R. Dumaru, A. F. Furtado and A. R. Barbosa, "Seismic Performance of Buildings in Nepal After the Gorkha Earthquake," in </w:t>
                    </w:r>
                    <w:r w:rsidRPr="009C5364">
                      <w:rPr>
                        <w:i/>
                        <w:iCs/>
                        <w:noProof/>
                      </w:rPr>
                      <w:t>Impacts and Insights of Gorkha Earthquake</w:t>
                    </w:r>
                    <w:r w:rsidRPr="009C5364">
                      <w:rPr>
                        <w:noProof/>
                      </w:rPr>
                      <w:t xml:space="preserve">, D. Gautam and H. Rodrigues, Eds., Elsevier, 2017. </w:t>
                    </w:r>
                  </w:p>
                </w:tc>
              </w:tr>
              <w:tr w:rsidR="00043668" w:rsidRPr="009C5364" w14:paraId="36AEBD0B" w14:textId="77777777" w:rsidTr="00043668">
                <w:trPr>
                  <w:tblCellSpacing w:w="15" w:type="dxa"/>
                </w:trPr>
                <w:tc>
                  <w:tcPr>
                    <w:tcW w:w="50" w:type="pct"/>
                    <w:hideMark/>
                  </w:tcPr>
                  <w:p w14:paraId="60119993" w14:textId="77777777" w:rsidR="00043668" w:rsidRPr="009C5364" w:rsidRDefault="00043668" w:rsidP="00043668">
                    <w:pPr>
                      <w:pStyle w:val="Bibliography"/>
                      <w:spacing w:line="240" w:lineRule="auto"/>
                      <w:rPr>
                        <w:noProof/>
                      </w:rPr>
                    </w:pPr>
                    <w:r w:rsidRPr="009C5364">
                      <w:rPr>
                        <w:noProof/>
                      </w:rPr>
                      <w:t xml:space="preserve">[9] </w:t>
                    </w:r>
                  </w:p>
                </w:tc>
                <w:tc>
                  <w:tcPr>
                    <w:tcW w:w="0" w:type="auto"/>
                    <w:hideMark/>
                  </w:tcPr>
                  <w:p w14:paraId="1E3D7498" w14:textId="77777777" w:rsidR="00043668" w:rsidRPr="009C5364" w:rsidRDefault="00043668" w:rsidP="00043668">
                    <w:pPr>
                      <w:pStyle w:val="Bibliography"/>
                      <w:spacing w:line="240" w:lineRule="auto"/>
                      <w:rPr>
                        <w:noProof/>
                      </w:rPr>
                    </w:pPr>
                    <w:r w:rsidRPr="009C5364">
                      <w:rPr>
                        <w:noProof/>
                      </w:rPr>
                      <w:t>B. K. Niraula, "Status of Implementation of Building Code on Post Earthquake Reconstruction Work in Kakani Rural Municipality, Nuwakot," Nepal Engineering College, Lalitpur, 2018.</w:t>
                    </w:r>
                  </w:p>
                </w:tc>
              </w:tr>
              <w:tr w:rsidR="00043668" w:rsidRPr="009C5364" w14:paraId="30024733" w14:textId="77777777" w:rsidTr="00043668">
                <w:trPr>
                  <w:tblCellSpacing w:w="15" w:type="dxa"/>
                </w:trPr>
                <w:tc>
                  <w:tcPr>
                    <w:tcW w:w="50" w:type="pct"/>
                    <w:hideMark/>
                  </w:tcPr>
                  <w:p w14:paraId="68970FF5" w14:textId="77777777" w:rsidR="00043668" w:rsidRPr="009C5364" w:rsidRDefault="00043668" w:rsidP="00043668">
                    <w:pPr>
                      <w:pStyle w:val="Bibliography"/>
                      <w:spacing w:line="240" w:lineRule="auto"/>
                      <w:rPr>
                        <w:noProof/>
                      </w:rPr>
                    </w:pPr>
                    <w:r w:rsidRPr="009C5364">
                      <w:rPr>
                        <w:noProof/>
                      </w:rPr>
                      <w:t xml:space="preserve">[10] </w:t>
                    </w:r>
                  </w:p>
                </w:tc>
                <w:tc>
                  <w:tcPr>
                    <w:tcW w:w="0" w:type="auto"/>
                    <w:hideMark/>
                  </w:tcPr>
                  <w:p w14:paraId="064C165B" w14:textId="77777777" w:rsidR="00043668" w:rsidRPr="009C5364" w:rsidRDefault="00043668" w:rsidP="00043668">
                    <w:pPr>
                      <w:pStyle w:val="Bibliography"/>
                      <w:spacing w:line="240" w:lineRule="auto"/>
                      <w:rPr>
                        <w:noProof/>
                      </w:rPr>
                    </w:pPr>
                    <w:r w:rsidRPr="009C5364">
                      <w:rPr>
                        <w:noProof/>
                      </w:rPr>
                      <w:t>P. Thapa and H. K. Shrestha, "Evaluation of Implementation Process of National Building Code for Reconstruction of Residential Building after Gorkha Earthquake 2015 (A Case Study of Chandragiri Municipality, Kathmandu)," Nepal Engineering College, Lalitpur, 2022.</w:t>
                    </w:r>
                  </w:p>
                </w:tc>
              </w:tr>
              <w:tr w:rsidR="00043668" w:rsidRPr="009C5364" w14:paraId="661F262E" w14:textId="77777777" w:rsidTr="00043668">
                <w:trPr>
                  <w:tblCellSpacing w:w="15" w:type="dxa"/>
                </w:trPr>
                <w:tc>
                  <w:tcPr>
                    <w:tcW w:w="50" w:type="pct"/>
                    <w:hideMark/>
                  </w:tcPr>
                  <w:p w14:paraId="62723476" w14:textId="77777777" w:rsidR="00043668" w:rsidRPr="009C5364" w:rsidRDefault="00043668" w:rsidP="00043668">
                    <w:pPr>
                      <w:pStyle w:val="Bibliography"/>
                      <w:spacing w:line="240" w:lineRule="auto"/>
                      <w:rPr>
                        <w:noProof/>
                      </w:rPr>
                    </w:pPr>
                    <w:r w:rsidRPr="009C5364">
                      <w:rPr>
                        <w:noProof/>
                      </w:rPr>
                      <w:t xml:space="preserve">[11] </w:t>
                    </w:r>
                  </w:p>
                </w:tc>
                <w:tc>
                  <w:tcPr>
                    <w:tcW w:w="0" w:type="auto"/>
                    <w:hideMark/>
                  </w:tcPr>
                  <w:p w14:paraId="525370E7" w14:textId="77777777" w:rsidR="00043668" w:rsidRPr="009C5364" w:rsidRDefault="00043668" w:rsidP="00043668">
                    <w:pPr>
                      <w:pStyle w:val="Bibliography"/>
                      <w:spacing w:line="240" w:lineRule="auto"/>
                      <w:rPr>
                        <w:noProof/>
                      </w:rPr>
                    </w:pPr>
                    <w:r w:rsidRPr="009C5364">
                      <w:rPr>
                        <w:noProof/>
                      </w:rPr>
                      <w:t xml:space="preserve">K. K.C, S. K. Bhattarai and K. Katuwal, "Compliance of Building Code in Construction of Residential Buildings in Sisne Rural Municipality, Rukum (East). Nepal," Lalitpur, 2023. </w:t>
                    </w:r>
                  </w:p>
                </w:tc>
              </w:tr>
              <w:tr w:rsidR="00043668" w:rsidRPr="009C5364" w14:paraId="437BFE22" w14:textId="77777777" w:rsidTr="00043668">
                <w:trPr>
                  <w:tblCellSpacing w:w="15" w:type="dxa"/>
                </w:trPr>
                <w:tc>
                  <w:tcPr>
                    <w:tcW w:w="50" w:type="pct"/>
                    <w:hideMark/>
                  </w:tcPr>
                  <w:p w14:paraId="5408B1DD" w14:textId="77777777" w:rsidR="00043668" w:rsidRPr="009C5364" w:rsidRDefault="00043668" w:rsidP="00043668">
                    <w:pPr>
                      <w:pStyle w:val="Bibliography"/>
                      <w:spacing w:line="240" w:lineRule="auto"/>
                      <w:rPr>
                        <w:noProof/>
                      </w:rPr>
                    </w:pPr>
                    <w:r w:rsidRPr="009C5364">
                      <w:rPr>
                        <w:noProof/>
                      </w:rPr>
                      <w:t xml:space="preserve">[12] </w:t>
                    </w:r>
                  </w:p>
                </w:tc>
                <w:tc>
                  <w:tcPr>
                    <w:tcW w:w="0" w:type="auto"/>
                    <w:hideMark/>
                  </w:tcPr>
                  <w:p w14:paraId="6C9C4E7D" w14:textId="77777777" w:rsidR="00043668" w:rsidRPr="009C5364" w:rsidRDefault="00043668" w:rsidP="00043668">
                    <w:pPr>
                      <w:pStyle w:val="Bibliography"/>
                      <w:spacing w:line="240" w:lineRule="auto"/>
                      <w:rPr>
                        <w:noProof/>
                      </w:rPr>
                    </w:pPr>
                    <w:r w:rsidRPr="009C5364">
                      <w:rPr>
                        <w:noProof/>
                      </w:rPr>
                      <w:t xml:space="preserve">N. Rijal, S. K. Bhattarai and G. Khatri, "Assessing Code Compliance and Mason Proficiency in Residential Construction in Birendranagar Municipality, Surkhet," </w:t>
                    </w:r>
                    <w:r w:rsidRPr="009C5364">
                      <w:rPr>
                        <w:i/>
                        <w:iCs/>
                        <w:noProof/>
                      </w:rPr>
                      <w:t xml:space="preserve">The OCEM Journal of Management, Technology &amp; Social Sciences, </w:t>
                    </w:r>
                    <w:r w:rsidRPr="009C5364">
                      <w:rPr>
                        <w:noProof/>
                      </w:rPr>
                      <w:t xml:space="preserve">pp. 155-167, 2025. </w:t>
                    </w:r>
                  </w:p>
                </w:tc>
              </w:tr>
            </w:tbl>
            <w:p w14:paraId="06D12769" w14:textId="77777777" w:rsidR="00043668" w:rsidRPr="009C5364" w:rsidRDefault="00043668" w:rsidP="00043668">
              <w:pPr>
                <w:jc w:val="both"/>
                <w:rPr>
                  <w:noProof/>
                </w:rPr>
              </w:pPr>
            </w:p>
            <w:p w14:paraId="20E19E72" w14:textId="77777777" w:rsidR="00043668" w:rsidRPr="009C5364" w:rsidRDefault="00043668" w:rsidP="00043668">
              <w:pPr>
                <w:jc w:val="both"/>
              </w:pPr>
              <w:r w:rsidRPr="009C5364">
                <w:rPr>
                  <w:b/>
                  <w:bCs/>
                  <w:noProof/>
                </w:rPr>
                <w:fldChar w:fldCharType="end"/>
              </w:r>
            </w:p>
          </w:sdtContent>
        </w:sdt>
      </w:sdtContent>
    </w:sdt>
    <w:p w14:paraId="0A8830D7" w14:textId="77777777" w:rsidR="00043668" w:rsidRPr="009C5364" w:rsidRDefault="00043668" w:rsidP="00043668">
      <w:pPr>
        <w:jc w:val="both"/>
        <w:rPr>
          <w:szCs w:val="24"/>
        </w:rPr>
      </w:pPr>
    </w:p>
    <w:sdt>
      <w:sdtPr>
        <w:rPr>
          <w:rFonts w:cs="Times New Roman"/>
          <w:szCs w:val="24"/>
        </w:rPr>
        <w:id w:val="-903211213"/>
        <w:docPartObj>
          <w:docPartGallery w:val="Bibliographies"/>
          <w:docPartUnique/>
        </w:docPartObj>
      </w:sdtPr>
      <w:sdtEndPr/>
      <w:sdtContent>
        <w:sdt>
          <w:sdtPr>
            <w:rPr>
              <w:rFonts w:cs="Times New Roman"/>
              <w:b/>
              <w:bCs/>
              <w:szCs w:val="24"/>
            </w:rPr>
            <w:id w:val="-573587230"/>
            <w:showingPlcHdr/>
            <w:bibliography/>
          </w:sdtPr>
          <w:sdtEndPr>
            <w:rPr>
              <w:b w:val="0"/>
              <w:bCs w:val="0"/>
            </w:rPr>
          </w:sdtEndPr>
          <w:sdtContent>
            <w:p w14:paraId="25C66F24" w14:textId="77777777" w:rsidR="00043668" w:rsidRPr="00D414A3" w:rsidRDefault="00043668" w:rsidP="00043668">
              <w:pPr>
                <w:pStyle w:val="ListParagraph"/>
                <w:spacing w:line="240" w:lineRule="auto"/>
                <w:rPr>
                  <w:rFonts w:cs="Times New Roman"/>
                  <w:szCs w:val="24"/>
                </w:rPr>
              </w:pPr>
              <w:r w:rsidRPr="009C5364">
                <w:rPr>
                  <w:rFonts w:cs="Times New Roman"/>
                  <w:b/>
                  <w:bCs/>
                  <w:szCs w:val="24"/>
                </w:rPr>
                <w:t xml:space="preserve">     </w:t>
              </w:r>
            </w:p>
          </w:sdtContent>
        </w:sdt>
      </w:sdtContent>
    </w:sdt>
    <w:p w14:paraId="48A2730C" w14:textId="77777777" w:rsidR="004D4277" w:rsidRPr="00FB3A86" w:rsidRDefault="004D4277" w:rsidP="00043668">
      <w:pPr>
        <w:pStyle w:val="Body"/>
        <w:spacing w:after="0"/>
        <w:rPr>
          <w:rFonts w:ascii="Arial" w:hAnsi="Arial" w:cs="Arial"/>
          <w:b/>
        </w:rPr>
        <w:sectPr w:rsidR="004D4277" w:rsidRPr="00FB3A86" w:rsidSect="00AD2E5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1123" w:gutter="0"/>
          <w:cols w:space="720"/>
          <w:docGrid w:linePitch="272"/>
        </w:sectPr>
      </w:pPr>
    </w:p>
    <w:p w14:paraId="1B246B54" w14:textId="77777777" w:rsidR="00B01FCD" w:rsidRPr="00FB3A86" w:rsidRDefault="00B01FCD" w:rsidP="00043668">
      <w:pPr>
        <w:pStyle w:val="Appendix"/>
        <w:spacing w:after="0"/>
        <w:jc w:val="both"/>
        <w:rPr>
          <w:rFonts w:ascii="Arial" w:hAnsi="Arial" w:cs="Arial"/>
          <w:b w:val="0"/>
        </w:rPr>
      </w:pPr>
    </w:p>
    <w:sectPr w:rsidR="00B01FCD" w:rsidRPr="00FB3A86" w:rsidSect="00AD2E5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0B8EF" w14:textId="77777777" w:rsidR="00FD1583" w:rsidRDefault="00FD1583" w:rsidP="00C37E61">
      <w:r>
        <w:separator/>
      </w:r>
    </w:p>
  </w:endnote>
  <w:endnote w:type="continuationSeparator" w:id="0">
    <w:p w14:paraId="68794E6C" w14:textId="77777777" w:rsidR="00FD1583" w:rsidRDefault="00FD15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16BB" w14:textId="77777777" w:rsidR="00AD2E59" w:rsidRDefault="00AD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F667" w14:textId="77777777" w:rsidR="00043668" w:rsidRPr="00C37E61" w:rsidRDefault="0004366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29B0" w14:textId="77777777" w:rsidR="00AD2E59" w:rsidRDefault="00AD2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4859E" w14:textId="77777777" w:rsidR="00FD1583" w:rsidRDefault="00FD1583" w:rsidP="00C37E61">
      <w:r>
        <w:separator/>
      </w:r>
    </w:p>
  </w:footnote>
  <w:footnote w:type="continuationSeparator" w:id="0">
    <w:p w14:paraId="0C952245" w14:textId="77777777" w:rsidR="00FD1583" w:rsidRDefault="00FD15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BE7F" w14:textId="7380F303" w:rsidR="00AD2E59" w:rsidRDefault="00AD2E59">
    <w:pPr>
      <w:pStyle w:val="Header"/>
    </w:pPr>
    <w:r>
      <w:rPr>
        <w:noProof/>
      </w:rPr>
      <w:pict w14:anchorId="4425A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476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9316D" w14:textId="68AC81A1" w:rsidR="00AD2E59" w:rsidRDefault="00AD2E59">
    <w:pPr>
      <w:pStyle w:val="Header"/>
    </w:pPr>
    <w:r>
      <w:rPr>
        <w:noProof/>
      </w:rPr>
      <w:pict w14:anchorId="2D4FC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476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97DF4" w14:textId="61DB2EE1" w:rsidR="00AD2E59" w:rsidRDefault="00AD2E59">
    <w:pPr>
      <w:pStyle w:val="Header"/>
    </w:pPr>
    <w:r>
      <w:rPr>
        <w:noProof/>
      </w:rPr>
      <w:pict w14:anchorId="5FBFF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47629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D0856"/>
    <w:multiLevelType w:val="hybridMultilevel"/>
    <w:tmpl w:val="E0C8E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348ED"/>
    <w:multiLevelType w:val="hybridMultilevel"/>
    <w:tmpl w:val="B6FA27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B2987"/>
    <w:multiLevelType w:val="hybridMultilevel"/>
    <w:tmpl w:val="B1F8EF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B7A2B"/>
    <w:multiLevelType w:val="hybridMultilevel"/>
    <w:tmpl w:val="1718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3716"/>
    <w:multiLevelType w:val="hybridMultilevel"/>
    <w:tmpl w:val="FEDA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5"/>
  </w:num>
  <w:num w:numId="2">
    <w:abstractNumId w:val="1"/>
  </w:num>
  <w:num w:numId="3">
    <w:abstractNumId w:val="2"/>
  </w:num>
  <w:num w:numId="4">
    <w:abstractNumId w:val="0"/>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3668"/>
    <w:rsid w:val="0004579C"/>
    <w:rsid w:val="00054E26"/>
    <w:rsid w:val="000A47FA"/>
    <w:rsid w:val="000A65D3"/>
    <w:rsid w:val="000B1E33"/>
    <w:rsid w:val="000D689F"/>
    <w:rsid w:val="000E7B7B"/>
    <w:rsid w:val="000E7D62"/>
    <w:rsid w:val="00103357"/>
    <w:rsid w:val="00123C9F"/>
    <w:rsid w:val="00126190"/>
    <w:rsid w:val="00130F17"/>
    <w:rsid w:val="001320BF"/>
    <w:rsid w:val="00163BC4"/>
    <w:rsid w:val="0019070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F1E"/>
    <w:rsid w:val="002B27FB"/>
    <w:rsid w:val="002B685A"/>
    <w:rsid w:val="002C57D2"/>
    <w:rsid w:val="002E0D56"/>
    <w:rsid w:val="00315186"/>
    <w:rsid w:val="0033343E"/>
    <w:rsid w:val="003512C2"/>
    <w:rsid w:val="00360249"/>
    <w:rsid w:val="00371FB6"/>
    <w:rsid w:val="003763C1"/>
    <w:rsid w:val="00376BBE"/>
    <w:rsid w:val="003837C0"/>
    <w:rsid w:val="0039224F"/>
    <w:rsid w:val="003A05D7"/>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67B7"/>
    <w:rsid w:val="005B60C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24C"/>
    <w:rsid w:val="006F11EC"/>
    <w:rsid w:val="0070082C"/>
    <w:rsid w:val="007369E6"/>
    <w:rsid w:val="00746E59"/>
    <w:rsid w:val="00754C9A"/>
    <w:rsid w:val="0075599A"/>
    <w:rsid w:val="00761D52"/>
    <w:rsid w:val="0077749E"/>
    <w:rsid w:val="00790ADA"/>
    <w:rsid w:val="007B6A67"/>
    <w:rsid w:val="007D2288"/>
    <w:rsid w:val="007E088F"/>
    <w:rsid w:val="007F5A5B"/>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36C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298"/>
    <w:rsid w:val="00AC6BB8"/>
    <w:rsid w:val="00AD2E59"/>
    <w:rsid w:val="00AE008F"/>
    <w:rsid w:val="00AF2FC2"/>
    <w:rsid w:val="00B01FCD"/>
    <w:rsid w:val="00B1776C"/>
    <w:rsid w:val="00B5230A"/>
    <w:rsid w:val="00B52583"/>
    <w:rsid w:val="00B52896"/>
    <w:rsid w:val="00B95236"/>
    <w:rsid w:val="00B96BD9"/>
    <w:rsid w:val="00BA1B01"/>
    <w:rsid w:val="00BA2641"/>
    <w:rsid w:val="00BB37AA"/>
    <w:rsid w:val="00BC15A9"/>
    <w:rsid w:val="00BC53A0"/>
    <w:rsid w:val="00BE62AD"/>
    <w:rsid w:val="00BF121F"/>
    <w:rsid w:val="00BF1F80"/>
    <w:rsid w:val="00C166EF"/>
    <w:rsid w:val="00C17D36"/>
    <w:rsid w:val="00C17EB0"/>
    <w:rsid w:val="00C27F5F"/>
    <w:rsid w:val="00C30A0F"/>
    <w:rsid w:val="00C33FF2"/>
    <w:rsid w:val="00C37E61"/>
    <w:rsid w:val="00C5050E"/>
    <w:rsid w:val="00C70F1B"/>
    <w:rsid w:val="00C71A47"/>
    <w:rsid w:val="00C7464C"/>
    <w:rsid w:val="00C85588"/>
    <w:rsid w:val="00CD6755"/>
    <w:rsid w:val="00CD6856"/>
    <w:rsid w:val="00CE0089"/>
    <w:rsid w:val="00CE793C"/>
    <w:rsid w:val="00CF193C"/>
    <w:rsid w:val="00D173F1"/>
    <w:rsid w:val="00D2323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2A92"/>
    <w:rsid w:val="00EC6A55"/>
    <w:rsid w:val="00ED0288"/>
    <w:rsid w:val="00EE52CB"/>
    <w:rsid w:val="00EF581D"/>
    <w:rsid w:val="00EF7FD8"/>
    <w:rsid w:val="00F00872"/>
    <w:rsid w:val="00F06F59"/>
    <w:rsid w:val="00F17988"/>
    <w:rsid w:val="00F469F0"/>
    <w:rsid w:val="00F53273"/>
    <w:rsid w:val="00F755E4"/>
    <w:rsid w:val="00F77D02"/>
    <w:rsid w:val="00FA406B"/>
    <w:rsid w:val="00FB3A86"/>
    <w:rsid w:val="00FD158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9A7B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436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436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43668"/>
    <w:pPr>
      <w:keepNext/>
      <w:keepLines/>
      <w:spacing w:line="360" w:lineRule="auto"/>
      <w:outlineLvl w:val="3"/>
    </w:pPr>
    <w:rPr>
      <w:rFonts w:ascii="Times New Roman" w:hAnsi="Times New Roman" w:cs="Mangal"/>
      <w:b/>
      <w:sz w:val="24"/>
      <w:szCs w:val="24"/>
      <w:lang w:bidi="ne-NP"/>
    </w:rPr>
  </w:style>
  <w:style w:type="paragraph" w:styleId="Heading5">
    <w:name w:val="heading 5"/>
    <w:basedOn w:val="Normal"/>
    <w:next w:val="Normal"/>
    <w:link w:val="Heading5Char"/>
    <w:uiPriority w:val="9"/>
    <w:semiHidden/>
    <w:unhideWhenUsed/>
    <w:qFormat/>
    <w:rsid w:val="00043668"/>
    <w:pPr>
      <w:keepNext/>
      <w:keepLines/>
      <w:spacing w:before="40" w:line="360" w:lineRule="auto"/>
      <w:jc w:val="both"/>
      <w:outlineLvl w:val="4"/>
    </w:pPr>
    <w:rPr>
      <w:rFonts w:ascii="Times New Roman" w:hAnsi="Times New Roman" w:cs="Mangal"/>
      <w:color w:val="2E74B5"/>
      <w:sz w:val="24"/>
      <w:szCs w:val="24"/>
      <w:lang w:bidi="ne-NP"/>
    </w:rPr>
  </w:style>
  <w:style w:type="paragraph" w:styleId="Heading6">
    <w:name w:val="heading 6"/>
    <w:basedOn w:val="Normal"/>
    <w:next w:val="Normal"/>
    <w:link w:val="Heading6Char"/>
    <w:uiPriority w:val="9"/>
    <w:semiHidden/>
    <w:unhideWhenUsed/>
    <w:qFormat/>
    <w:rsid w:val="00043668"/>
    <w:pPr>
      <w:keepNext/>
      <w:keepLines/>
      <w:spacing w:before="40" w:line="360" w:lineRule="auto"/>
      <w:jc w:val="both"/>
      <w:outlineLvl w:val="5"/>
    </w:pPr>
    <w:rPr>
      <w:rFonts w:ascii="Times New Roman" w:hAnsi="Times New Roman" w:cs="Mangal"/>
      <w:color w:val="1F4D78"/>
      <w:sz w:val="24"/>
      <w:szCs w:val="24"/>
      <w:lang w:bidi="ne-NP"/>
    </w:rPr>
  </w:style>
  <w:style w:type="paragraph" w:styleId="Heading7">
    <w:name w:val="heading 7"/>
    <w:basedOn w:val="Normal"/>
    <w:next w:val="Normal"/>
    <w:link w:val="Heading7Char"/>
    <w:uiPriority w:val="9"/>
    <w:semiHidden/>
    <w:unhideWhenUsed/>
    <w:qFormat/>
    <w:rsid w:val="00043668"/>
    <w:pPr>
      <w:keepNext/>
      <w:keepLines/>
      <w:spacing w:before="40" w:line="360" w:lineRule="auto"/>
      <w:jc w:val="both"/>
      <w:outlineLvl w:val="6"/>
    </w:pPr>
    <w:rPr>
      <w:rFonts w:ascii="Times New Roman" w:hAnsi="Times New Roman" w:cs="Mangal"/>
      <w:i/>
      <w:iCs/>
      <w:color w:val="1F4D78"/>
      <w:sz w:val="24"/>
      <w:szCs w:val="24"/>
      <w:lang w:bidi="ne-NP"/>
    </w:rPr>
  </w:style>
  <w:style w:type="paragraph" w:styleId="Heading8">
    <w:name w:val="heading 8"/>
    <w:basedOn w:val="Normal"/>
    <w:next w:val="Normal"/>
    <w:link w:val="Heading8Char"/>
    <w:uiPriority w:val="9"/>
    <w:semiHidden/>
    <w:unhideWhenUsed/>
    <w:qFormat/>
    <w:rsid w:val="00043668"/>
    <w:pPr>
      <w:keepNext/>
      <w:keepLines/>
      <w:spacing w:before="40" w:line="360" w:lineRule="auto"/>
      <w:jc w:val="both"/>
      <w:outlineLvl w:val="7"/>
    </w:pPr>
    <w:rPr>
      <w:rFonts w:ascii="Times New Roman" w:hAnsi="Times New Roman" w:cs="Mangal"/>
      <w:color w:val="272727"/>
      <w:sz w:val="21"/>
      <w:szCs w:val="21"/>
      <w:lang w:bidi="ne-NP"/>
    </w:rPr>
  </w:style>
  <w:style w:type="paragraph" w:styleId="Heading9">
    <w:name w:val="heading 9"/>
    <w:basedOn w:val="Normal"/>
    <w:next w:val="Normal"/>
    <w:link w:val="Heading9Char"/>
    <w:uiPriority w:val="9"/>
    <w:semiHidden/>
    <w:unhideWhenUsed/>
    <w:qFormat/>
    <w:rsid w:val="00043668"/>
    <w:pPr>
      <w:keepNext/>
      <w:keepLines/>
      <w:spacing w:before="40" w:line="360" w:lineRule="auto"/>
      <w:jc w:val="both"/>
      <w:outlineLvl w:val="8"/>
    </w:pPr>
    <w:rPr>
      <w:rFonts w:ascii="Times New Roman" w:hAnsi="Times New Roman" w:cs="Mangal"/>
      <w:i/>
      <w:iCs/>
      <w:color w:val="272727"/>
      <w:sz w:val="21"/>
      <w:szCs w:val="21"/>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0436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4366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43668"/>
    <w:rPr>
      <w:rFonts w:cs="Mangal"/>
      <w:b/>
      <w:sz w:val="24"/>
      <w:szCs w:val="24"/>
      <w:lang w:bidi="ne-NP"/>
    </w:rPr>
  </w:style>
  <w:style w:type="character" w:customStyle="1" w:styleId="Heading5Char">
    <w:name w:val="Heading 5 Char"/>
    <w:basedOn w:val="DefaultParagraphFont"/>
    <w:link w:val="Heading5"/>
    <w:uiPriority w:val="9"/>
    <w:semiHidden/>
    <w:rsid w:val="00043668"/>
    <w:rPr>
      <w:rFonts w:cs="Mangal"/>
      <w:color w:val="2E74B5"/>
      <w:sz w:val="24"/>
      <w:szCs w:val="24"/>
      <w:lang w:bidi="ne-NP"/>
    </w:rPr>
  </w:style>
  <w:style w:type="character" w:customStyle="1" w:styleId="Heading6Char">
    <w:name w:val="Heading 6 Char"/>
    <w:basedOn w:val="DefaultParagraphFont"/>
    <w:link w:val="Heading6"/>
    <w:uiPriority w:val="9"/>
    <w:semiHidden/>
    <w:rsid w:val="00043668"/>
    <w:rPr>
      <w:rFonts w:cs="Mangal"/>
      <w:color w:val="1F4D78"/>
      <w:sz w:val="24"/>
      <w:szCs w:val="24"/>
      <w:lang w:bidi="ne-NP"/>
    </w:rPr>
  </w:style>
  <w:style w:type="character" w:customStyle="1" w:styleId="Heading7Char">
    <w:name w:val="Heading 7 Char"/>
    <w:basedOn w:val="DefaultParagraphFont"/>
    <w:link w:val="Heading7"/>
    <w:uiPriority w:val="9"/>
    <w:semiHidden/>
    <w:rsid w:val="00043668"/>
    <w:rPr>
      <w:rFonts w:cs="Mangal"/>
      <w:i/>
      <w:iCs/>
      <w:color w:val="1F4D78"/>
      <w:sz w:val="24"/>
      <w:szCs w:val="24"/>
      <w:lang w:bidi="ne-NP"/>
    </w:rPr>
  </w:style>
  <w:style w:type="character" w:customStyle="1" w:styleId="Heading8Char">
    <w:name w:val="Heading 8 Char"/>
    <w:basedOn w:val="DefaultParagraphFont"/>
    <w:link w:val="Heading8"/>
    <w:uiPriority w:val="9"/>
    <w:semiHidden/>
    <w:rsid w:val="00043668"/>
    <w:rPr>
      <w:rFonts w:cs="Mangal"/>
      <w:color w:val="272727"/>
      <w:sz w:val="21"/>
      <w:szCs w:val="21"/>
      <w:lang w:bidi="ne-NP"/>
    </w:rPr>
  </w:style>
  <w:style w:type="character" w:customStyle="1" w:styleId="Heading9Char">
    <w:name w:val="Heading 9 Char"/>
    <w:basedOn w:val="DefaultParagraphFont"/>
    <w:link w:val="Heading9"/>
    <w:uiPriority w:val="9"/>
    <w:semiHidden/>
    <w:rsid w:val="00043668"/>
    <w:rPr>
      <w:rFonts w:cs="Mangal"/>
      <w:i/>
      <w:iCs/>
      <w:color w:val="272727"/>
      <w:sz w:val="21"/>
      <w:szCs w:val="21"/>
      <w:lang w:bidi="ne-NP"/>
    </w:rPr>
  </w:style>
  <w:style w:type="character" w:customStyle="1" w:styleId="Heading1Char">
    <w:name w:val="Heading 1 Char"/>
    <w:basedOn w:val="DefaultParagraphFont"/>
    <w:link w:val="Heading1"/>
    <w:uiPriority w:val="9"/>
    <w:rsid w:val="00043668"/>
    <w:rPr>
      <w:rFonts w:ascii="Arial" w:hAnsi="Arial"/>
      <w:b/>
      <w:kern w:val="28"/>
      <w:sz w:val="28"/>
    </w:rPr>
  </w:style>
  <w:style w:type="paragraph" w:styleId="Caption">
    <w:name w:val="caption"/>
    <w:basedOn w:val="Normal"/>
    <w:next w:val="Normal"/>
    <w:uiPriority w:val="35"/>
    <w:unhideWhenUsed/>
    <w:qFormat/>
    <w:rsid w:val="00043668"/>
    <w:pPr>
      <w:spacing w:after="200"/>
      <w:jc w:val="both"/>
    </w:pPr>
    <w:rPr>
      <w:rFonts w:ascii="Times New Roman" w:eastAsiaTheme="minorHAnsi" w:hAnsi="Times New Roman" w:cstheme="minorBidi"/>
      <w:i/>
      <w:iCs/>
      <w:color w:val="1F497D" w:themeColor="text2"/>
      <w:sz w:val="18"/>
      <w:szCs w:val="18"/>
    </w:rPr>
  </w:style>
  <w:style w:type="paragraph" w:styleId="TableofFigures">
    <w:name w:val="table of figures"/>
    <w:basedOn w:val="Normal"/>
    <w:next w:val="Normal"/>
    <w:uiPriority w:val="99"/>
    <w:unhideWhenUsed/>
    <w:rsid w:val="00043668"/>
    <w:pPr>
      <w:spacing w:line="360" w:lineRule="auto"/>
      <w:jc w:val="both"/>
    </w:pPr>
    <w:rPr>
      <w:rFonts w:ascii="Times New Roman" w:eastAsiaTheme="minorHAnsi" w:hAnsi="Times New Roman" w:cstheme="minorBidi"/>
      <w:sz w:val="24"/>
      <w:szCs w:val="22"/>
    </w:rPr>
  </w:style>
  <w:style w:type="paragraph" w:styleId="ListParagraph">
    <w:name w:val="List Paragraph"/>
    <w:aliases w:val="ADB Normal"/>
    <w:basedOn w:val="Normal"/>
    <w:link w:val="ListParagraphChar"/>
    <w:uiPriority w:val="34"/>
    <w:qFormat/>
    <w:rsid w:val="00043668"/>
    <w:pPr>
      <w:spacing w:line="360" w:lineRule="auto"/>
      <w:ind w:left="720"/>
      <w:contextualSpacing/>
      <w:jc w:val="both"/>
    </w:pPr>
    <w:rPr>
      <w:rFonts w:ascii="Times New Roman" w:eastAsiaTheme="minorHAnsi" w:hAnsi="Times New Roman" w:cstheme="minorBidi"/>
      <w:sz w:val="24"/>
      <w:szCs w:val="22"/>
    </w:rPr>
  </w:style>
  <w:style w:type="table" w:customStyle="1" w:styleId="TableGrid1">
    <w:name w:val="Table Grid1"/>
    <w:basedOn w:val="TableNormal"/>
    <w:next w:val="TableGrid"/>
    <w:uiPriority w:val="39"/>
    <w:rsid w:val="000436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43668"/>
    <w:pPr>
      <w:spacing w:line="360" w:lineRule="auto"/>
      <w:jc w:val="both"/>
    </w:pPr>
    <w:rPr>
      <w:rFonts w:ascii="Times New Roman" w:eastAsiaTheme="minorHAnsi" w:hAnsi="Times New Roman" w:cstheme="minorBidi"/>
      <w:sz w:val="24"/>
      <w:szCs w:val="22"/>
    </w:rPr>
  </w:style>
  <w:style w:type="paragraph" w:customStyle="1" w:styleId="Heading41">
    <w:name w:val="Heading 41"/>
    <w:basedOn w:val="Normal"/>
    <w:next w:val="Normal"/>
    <w:uiPriority w:val="9"/>
    <w:unhideWhenUsed/>
    <w:qFormat/>
    <w:rsid w:val="00043668"/>
    <w:pPr>
      <w:keepNext/>
      <w:keepLines/>
      <w:autoSpaceDE w:val="0"/>
      <w:autoSpaceDN w:val="0"/>
      <w:adjustRightInd w:val="0"/>
      <w:spacing w:before="40" w:line="360" w:lineRule="auto"/>
      <w:ind w:left="720" w:hanging="720"/>
      <w:jc w:val="both"/>
      <w:outlineLvl w:val="3"/>
    </w:pPr>
    <w:rPr>
      <w:rFonts w:ascii="Times New Roman" w:hAnsi="Times New Roman" w:cs="Mangal"/>
      <w:color w:val="5B9BD5"/>
      <w:sz w:val="24"/>
      <w:szCs w:val="24"/>
      <w:shd w:val="clear" w:color="auto" w:fill="FFFFFF"/>
      <w:lang w:bidi="ne-NP"/>
    </w:rPr>
  </w:style>
  <w:style w:type="paragraph" w:customStyle="1" w:styleId="Heading51">
    <w:name w:val="Heading 51"/>
    <w:basedOn w:val="Normal"/>
    <w:next w:val="Normal"/>
    <w:uiPriority w:val="9"/>
    <w:semiHidden/>
    <w:unhideWhenUsed/>
    <w:qFormat/>
    <w:rsid w:val="00043668"/>
    <w:pPr>
      <w:keepNext/>
      <w:keepLines/>
      <w:autoSpaceDE w:val="0"/>
      <w:autoSpaceDN w:val="0"/>
      <w:adjustRightInd w:val="0"/>
      <w:spacing w:before="40" w:line="360" w:lineRule="auto"/>
      <w:ind w:left="1080" w:hanging="1080"/>
      <w:jc w:val="both"/>
      <w:outlineLvl w:val="4"/>
    </w:pPr>
    <w:rPr>
      <w:rFonts w:ascii="Times New Roman" w:hAnsi="Times New Roman" w:cs="Mangal"/>
      <w:color w:val="2E74B5"/>
      <w:sz w:val="24"/>
      <w:szCs w:val="24"/>
      <w:shd w:val="clear" w:color="auto" w:fill="FFFFFF"/>
      <w:lang w:bidi="ne-NP"/>
    </w:rPr>
  </w:style>
  <w:style w:type="paragraph" w:customStyle="1" w:styleId="Heading61">
    <w:name w:val="Heading 61"/>
    <w:basedOn w:val="Normal"/>
    <w:next w:val="Normal"/>
    <w:uiPriority w:val="9"/>
    <w:semiHidden/>
    <w:unhideWhenUsed/>
    <w:qFormat/>
    <w:rsid w:val="00043668"/>
    <w:pPr>
      <w:keepNext/>
      <w:keepLines/>
      <w:autoSpaceDE w:val="0"/>
      <w:autoSpaceDN w:val="0"/>
      <w:adjustRightInd w:val="0"/>
      <w:spacing w:before="40" w:line="360" w:lineRule="auto"/>
      <w:ind w:left="1080" w:hanging="1080"/>
      <w:jc w:val="both"/>
      <w:outlineLvl w:val="5"/>
    </w:pPr>
    <w:rPr>
      <w:rFonts w:ascii="Times New Roman" w:hAnsi="Times New Roman" w:cs="Mangal"/>
      <w:color w:val="1F4D78"/>
      <w:sz w:val="24"/>
      <w:szCs w:val="24"/>
      <w:shd w:val="clear" w:color="auto" w:fill="FFFFFF"/>
      <w:lang w:bidi="ne-NP"/>
    </w:rPr>
  </w:style>
  <w:style w:type="paragraph" w:customStyle="1" w:styleId="Heading71">
    <w:name w:val="Heading 71"/>
    <w:basedOn w:val="Normal"/>
    <w:next w:val="Normal"/>
    <w:uiPriority w:val="9"/>
    <w:semiHidden/>
    <w:unhideWhenUsed/>
    <w:qFormat/>
    <w:rsid w:val="00043668"/>
    <w:pPr>
      <w:keepNext/>
      <w:keepLines/>
      <w:autoSpaceDE w:val="0"/>
      <w:autoSpaceDN w:val="0"/>
      <w:adjustRightInd w:val="0"/>
      <w:spacing w:before="40" w:line="360" w:lineRule="auto"/>
      <w:ind w:left="1440" w:hanging="1440"/>
      <w:jc w:val="both"/>
      <w:outlineLvl w:val="6"/>
    </w:pPr>
    <w:rPr>
      <w:rFonts w:ascii="Times New Roman" w:hAnsi="Times New Roman" w:cs="Mangal"/>
      <w:i/>
      <w:iCs/>
      <w:color w:val="1F4D78"/>
      <w:sz w:val="24"/>
      <w:szCs w:val="24"/>
      <w:shd w:val="clear" w:color="auto" w:fill="FFFFFF"/>
      <w:lang w:bidi="ne-NP"/>
    </w:rPr>
  </w:style>
  <w:style w:type="paragraph" w:customStyle="1" w:styleId="Heading81">
    <w:name w:val="Heading 81"/>
    <w:basedOn w:val="Normal"/>
    <w:next w:val="Normal"/>
    <w:uiPriority w:val="9"/>
    <w:semiHidden/>
    <w:unhideWhenUsed/>
    <w:qFormat/>
    <w:rsid w:val="00043668"/>
    <w:pPr>
      <w:keepNext/>
      <w:keepLines/>
      <w:autoSpaceDE w:val="0"/>
      <w:autoSpaceDN w:val="0"/>
      <w:adjustRightInd w:val="0"/>
      <w:spacing w:before="40" w:line="360" w:lineRule="auto"/>
      <w:ind w:left="1440" w:hanging="1440"/>
      <w:jc w:val="both"/>
      <w:outlineLvl w:val="7"/>
    </w:pPr>
    <w:rPr>
      <w:rFonts w:ascii="Times New Roman" w:hAnsi="Times New Roman" w:cs="Mangal"/>
      <w:color w:val="272727"/>
      <w:sz w:val="21"/>
      <w:szCs w:val="21"/>
      <w:shd w:val="clear" w:color="auto" w:fill="FFFFFF"/>
      <w:lang w:bidi="ne-NP"/>
    </w:rPr>
  </w:style>
  <w:style w:type="paragraph" w:customStyle="1" w:styleId="Heading91">
    <w:name w:val="Heading 91"/>
    <w:basedOn w:val="Normal"/>
    <w:next w:val="Normal"/>
    <w:uiPriority w:val="9"/>
    <w:semiHidden/>
    <w:unhideWhenUsed/>
    <w:qFormat/>
    <w:rsid w:val="00043668"/>
    <w:pPr>
      <w:keepNext/>
      <w:keepLines/>
      <w:autoSpaceDE w:val="0"/>
      <w:autoSpaceDN w:val="0"/>
      <w:adjustRightInd w:val="0"/>
      <w:spacing w:before="40" w:line="360" w:lineRule="auto"/>
      <w:ind w:left="1800" w:hanging="1800"/>
      <w:jc w:val="both"/>
      <w:outlineLvl w:val="8"/>
    </w:pPr>
    <w:rPr>
      <w:rFonts w:ascii="Times New Roman" w:hAnsi="Times New Roman" w:cs="Mangal"/>
      <w:i/>
      <w:iCs/>
      <w:color w:val="272727"/>
      <w:sz w:val="21"/>
      <w:szCs w:val="21"/>
      <w:shd w:val="clear" w:color="auto" w:fill="FFFFFF"/>
      <w:lang w:bidi="ne-NP"/>
    </w:rPr>
  </w:style>
  <w:style w:type="numbering" w:customStyle="1" w:styleId="NoList1">
    <w:name w:val="No List1"/>
    <w:next w:val="NoList"/>
    <w:uiPriority w:val="99"/>
    <w:semiHidden/>
    <w:unhideWhenUsed/>
    <w:rsid w:val="00043668"/>
  </w:style>
  <w:style w:type="character" w:customStyle="1" w:styleId="Hyperlink1">
    <w:name w:val="Hyperlink1"/>
    <w:basedOn w:val="DefaultParagraphFont"/>
    <w:uiPriority w:val="99"/>
    <w:unhideWhenUsed/>
    <w:rsid w:val="00043668"/>
    <w:rPr>
      <w:color w:val="0563C1"/>
      <w:u w:val="single"/>
    </w:rPr>
  </w:style>
  <w:style w:type="character" w:styleId="PlaceholderText">
    <w:name w:val="Placeholder Text"/>
    <w:basedOn w:val="DefaultParagraphFont"/>
    <w:uiPriority w:val="99"/>
    <w:semiHidden/>
    <w:rsid w:val="00043668"/>
    <w:rPr>
      <w:color w:val="808080"/>
    </w:rPr>
  </w:style>
  <w:style w:type="paragraph" w:styleId="NormalWeb">
    <w:name w:val="Normal (Web)"/>
    <w:basedOn w:val="Normal"/>
    <w:uiPriority w:val="99"/>
    <w:unhideWhenUsed/>
    <w:rsid w:val="00043668"/>
    <w:pPr>
      <w:autoSpaceDE w:val="0"/>
      <w:autoSpaceDN w:val="0"/>
      <w:adjustRightInd w:val="0"/>
      <w:spacing w:before="100" w:beforeAutospacing="1" w:after="100" w:afterAutospacing="1" w:line="360" w:lineRule="auto"/>
      <w:jc w:val="both"/>
    </w:pPr>
    <w:rPr>
      <w:rFonts w:ascii="Times New Roman" w:hAnsi="Times New Roman"/>
      <w:sz w:val="24"/>
      <w:szCs w:val="24"/>
      <w:shd w:val="clear" w:color="auto" w:fill="FFFFFF"/>
      <w:lang w:bidi="ne-NP"/>
    </w:rPr>
  </w:style>
  <w:style w:type="character" w:customStyle="1" w:styleId="hi-italic">
    <w:name w:val="hi-italic"/>
    <w:basedOn w:val="DefaultParagraphFont"/>
    <w:rsid w:val="00043668"/>
  </w:style>
  <w:style w:type="character" w:customStyle="1" w:styleId="hi-subscript">
    <w:name w:val="hi-subscript"/>
    <w:basedOn w:val="DefaultParagraphFont"/>
    <w:rsid w:val="00043668"/>
  </w:style>
  <w:style w:type="paragraph" w:customStyle="1" w:styleId="Default">
    <w:name w:val="Default"/>
    <w:rsid w:val="00043668"/>
    <w:pPr>
      <w:autoSpaceDE w:val="0"/>
      <w:autoSpaceDN w:val="0"/>
      <w:adjustRightInd w:val="0"/>
    </w:pPr>
    <w:rPr>
      <w:rFonts w:eastAsia="Calibri"/>
      <w:color w:val="000000"/>
      <w:sz w:val="24"/>
      <w:szCs w:val="24"/>
    </w:rPr>
  </w:style>
  <w:style w:type="character" w:customStyle="1" w:styleId="TitleChar">
    <w:name w:val="Title Char"/>
    <w:link w:val="Title"/>
    <w:rsid w:val="00043668"/>
    <w:rPr>
      <w:rFonts w:ascii="Helvetica" w:hAnsi="Helvetica"/>
      <w:b/>
      <w:kern w:val="28"/>
      <w:sz w:val="36"/>
    </w:rPr>
  </w:style>
  <w:style w:type="character" w:customStyle="1" w:styleId="TitleChar1">
    <w:name w:val="Title Char1"/>
    <w:basedOn w:val="DefaultParagraphFont"/>
    <w:uiPriority w:val="10"/>
    <w:rsid w:val="0004366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43668"/>
    <w:pPr>
      <w:keepLines/>
      <w:spacing w:after="0" w:line="259" w:lineRule="auto"/>
      <w:outlineLvl w:val="9"/>
    </w:pPr>
    <w:rPr>
      <w:rFonts w:ascii="Times New Roman" w:eastAsiaTheme="majorEastAsia" w:hAnsi="Times New Roman" w:cstheme="majorBidi"/>
      <w:bCs/>
      <w:kern w:val="0"/>
      <w:sz w:val="24"/>
      <w:szCs w:val="24"/>
      <w:shd w:val="clear" w:color="auto" w:fill="FFFFFF"/>
    </w:rPr>
  </w:style>
  <w:style w:type="paragraph" w:styleId="TOC1">
    <w:name w:val="toc 1"/>
    <w:basedOn w:val="Normal"/>
    <w:next w:val="Normal"/>
    <w:autoRedefine/>
    <w:uiPriority w:val="39"/>
    <w:unhideWhenUsed/>
    <w:rsid w:val="00043668"/>
    <w:pPr>
      <w:tabs>
        <w:tab w:val="right" w:leader="dot" w:pos="8296"/>
      </w:tabs>
      <w:autoSpaceDE w:val="0"/>
      <w:autoSpaceDN w:val="0"/>
      <w:adjustRightInd w:val="0"/>
      <w:spacing w:before="120" w:after="100" w:line="360" w:lineRule="auto"/>
      <w:jc w:val="both"/>
    </w:pPr>
    <w:rPr>
      <w:rFonts w:ascii="Times New Roman" w:eastAsiaTheme="minorHAnsi" w:hAnsi="Times New Roman"/>
      <w:b/>
      <w:bCs/>
      <w:caps/>
      <w:noProof/>
      <w:sz w:val="24"/>
      <w:szCs w:val="21"/>
      <w:shd w:val="clear" w:color="auto" w:fill="FFFFFF"/>
      <w:lang w:bidi="ne-NP"/>
    </w:rPr>
  </w:style>
  <w:style w:type="paragraph" w:styleId="TOC2">
    <w:name w:val="toc 2"/>
    <w:basedOn w:val="Normal"/>
    <w:next w:val="Normal"/>
    <w:autoRedefine/>
    <w:uiPriority w:val="39"/>
    <w:unhideWhenUsed/>
    <w:rsid w:val="00043668"/>
    <w:pPr>
      <w:tabs>
        <w:tab w:val="right" w:leader="dot" w:pos="9016"/>
      </w:tabs>
      <w:autoSpaceDE w:val="0"/>
      <w:autoSpaceDN w:val="0"/>
      <w:adjustRightInd w:val="0"/>
      <w:spacing w:before="120" w:after="100" w:line="360" w:lineRule="auto"/>
      <w:ind w:left="245"/>
      <w:jc w:val="both"/>
    </w:pPr>
    <w:rPr>
      <w:rFonts w:ascii="Times New Roman" w:eastAsiaTheme="minorHAnsi" w:hAnsi="Times New Roman"/>
      <w:sz w:val="24"/>
      <w:szCs w:val="21"/>
      <w:shd w:val="clear" w:color="auto" w:fill="FFFFFF"/>
      <w:lang w:bidi="ne-NP"/>
    </w:rPr>
  </w:style>
  <w:style w:type="paragraph" w:styleId="TOC3">
    <w:name w:val="toc 3"/>
    <w:basedOn w:val="Normal"/>
    <w:next w:val="Normal"/>
    <w:autoRedefine/>
    <w:uiPriority w:val="39"/>
    <w:unhideWhenUsed/>
    <w:rsid w:val="00043668"/>
    <w:pPr>
      <w:autoSpaceDE w:val="0"/>
      <w:autoSpaceDN w:val="0"/>
      <w:adjustRightInd w:val="0"/>
      <w:spacing w:before="120" w:after="100" w:line="360" w:lineRule="auto"/>
      <w:ind w:left="480"/>
      <w:jc w:val="both"/>
    </w:pPr>
    <w:rPr>
      <w:rFonts w:ascii="Times New Roman" w:eastAsiaTheme="minorHAnsi" w:hAnsi="Times New Roman"/>
      <w:sz w:val="24"/>
      <w:szCs w:val="21"/>
      <w:shd w:val="clear" w:color="auto" w:fill="FFFFFF"/>
      <w:lang w:bidi="ne-NP"/>
    </w:rPr>
  </w:style>
  <w:style w:type="character" w:customStyle="1" w:styleId="HeaderChar">
    <w:name w:val="Header Char"/>
    <w:basedOn w:val="DefaultParagraphFont"/>
    <w:link w:val="Header"/>
    <w:uiPriority w:val="99"/>
    <w:rsid w:val="00043668"/>
    <w:rPr>
      <w:rFonts w:ascii="Helvetica" w:hAnsi="Helvetica"/>
    </w:rPr>
  </w:style>
  <w:style w:type="character" w:customStyle="1" w:styleId="FooterChar">
    <w:name w:val="Footer Char"/>
    <w:basedOn w:val="DefaultParagraphFont"/>
    <w:link w:val="Footer"/>
    <w:uiPriority w:val="99"/>
    <w:rsid w:val="00043668"/>
    <w:rPr>
      <w:rFonts w:ascii="Helvetica" w:hAnsi="Helvetica"/>
    </w:rPr>
  </w:style>
  <w:style w:type="paragraph" w:styleId="FootnoteText">
    <w:name w:val="footnote text"/>
    <w:basedOn w:val="Normal"/>
    <w:link w:val="FootnoteTextChar"/>
    <w:uiPriority w:val="99"/>
    <w:semiHidden/>
    <w:unhideWhenUsed/>
    <w:rsid w:val="00043668"/>
    <w:pPr>
      <w:autoSpaceDE w:val="0"/>
      <w:autoSpaceDN w:val="0"/>
      <w:adjustRightInd w:val="0"/>
      <w:spacing w:before="120"/>
      <w:jc w:val="both"/>
    </w:pPr>
    <w:rPr>
      <w:rFonts w:ascii="Times New Roman" w:eastAsiaTheme="minorHAnsi" w:hAnsi="Times New Roman"/>
      <w:szCs w:val="18"/>
      <w:shd w:val="clear" w:color="auto" w:fill="FFFFFF"/>
      <w:lang w:bidi="ne-NP"/>
    </w:rPr>
  </w:style>
  <w:style w:type="character" w:customStyle="1" w:styleId="FootnoteTextChar">
    <w:name w:val="Footnote Text Char"/>
    <w:basedOn w:val="DefaultParagraphFont"/>
    <w:link w:val="FootnoteText"/>
    <w:uiPriority w:val="99"/>
    <w:semiHidden/>
    <w:rsid w:val="00043668"/>
    <w:rPr>
      <w:rFonts w:eastAsiaTheme="minorHAnsi"/>
      <w:szCs w:val="18"/>
      <w:lang w:bidi="ne-NP"/>
    </w:rPr>
  </w:style>
  <w:style w:type="character" w:styleId="FootnoteReference">
    <w:name w:val="footnote reference"/>
    <w:basedOn w:val="DefaultParagraphFont"/>
    <w:uiPriority w:val="99"/>
    <w:semiHidden/>
    <w:unhideWhenUsed/>
    <w:rsid w:val="00043668"/>
    <w:rPr>
      <w:vertAlign w:val="superscript"/>
    </w:rPr>
  </w:style>
  <w:style w:type="character" w:customStyle="1" w:styleId="ipa">
    <w:name w:val="ipa"/>
    <w:basedOn w:val="DefaultParagraphFont"/>
    <w:rsid w:val="00043668"/>
  </w:style>
  <w:style w:type="paragraph" w:customStyle="1" w:styleId="msonormal0">
    <w:name w:val="msonormal"/>
    <w:basedOn w:val="Normal"/>
    <w:rsid w:val="00043668"/>
    <w:pPr>
      <w:spacing w:before="100" w:beforeAutospacing="1" w:after="100" w:afterAutospacing="1"/>
    </w:pPr>
    <w:rPr>
      <w:rFonts w:ascii="Times New Roman" w:hAnsi="Times New Roman"/>
      <w:sz w:val="24"/>
      <w:szCs w:val="24"/>
      <w:lang w:bidi="ne-NP"/>
    </w:rPr>
  </w:style>
  <w:style w:type="paragraph" w:customStyle="1" w:styleId="font5">
    <w:name w:val="font5"/>
    <w:basedOn w:val="Normal"/>
    <w:rsid w:val="00043668"/>
    <w:pPr>
      <w:spacing w:before="100" w:beforeAutospacing="1" w:after="100" w:afterAutospacing="1"/>
    </w:pPr>
    <w:rPr>
      <w:rFonts w:ascii="Times New Roman" w:hAnsi="Times New Roman"/>
      <w:color w:val="000000"/>
      <w:sz w:val="24"/>
      <w:szCs w:val="24"/>
      <w:lang w:bidi="ne-NP"/>
    </w:rPr>
  </w:style>
  <w:style w:type="paragraph" w:customStyle="1" w:styleId="xl63">
    <w:name w:val="xl63"/>
    <w:basedOn w:val="Normal"/>
    <w:rsid w:val="00043668"/>
    <w:pPr>
      <w:spacing w:before="100" w:beforeAutospacing="1" w:after="100" w:afterAutospacing="1"/>
    </w:pPr>
    <w:rPr>
      <w:rFonts w:ascii="Times New Roman" w:hAnsi="Times New Roman"/>
      <w:sz w:val="24"/>
      <w:szCs w:val="24"/>
      <w:lang w:bidi="ne-NP"/>
    </w:rPr>
  </w:style>
  <w:style w:type="paragraph" w:customStyle="1" w:styleId="xl64">
    <w:name w:val="xl64"/>
    <w:basedOn w:val="Normal"/>
    <w:rsid w:val="00043668"/>
    <w:pPr>
      <w:spacing w:before="100" w:beforeAutospacing="1" w:after="100" w:afterAutospacing="1"/>
    </w:pPr>
    <w:rPr>
      <w:rFonts w:ascii="Times New Roman" w:hAnsi="Times New Roman"/>
      <w:sz w:val="24"/>
      <w:szCs w:val="24"/>
      <w:lang w:bidi="ne-NP"/>
    </w:rPr>
  </w:style>
  <w:style w:type="paragraph" w:customStyle="1" w:styleId="xl65">
    <w:name w:val="xl65"/>
    <w:basedOn w:val="Normal"/>
    <w:rsid w:val="00043668"/>
    <w:pPr>
      <w:spacing w:before="100" w:beforeAutospacing="1" w:after="100" w:afterAutospacing="1"/>
      <w:jc w:val="center"/>
    </w:pPr>
    <w:rPr>
      <w:rFonts w:ascii="Times New Roman" w:hAnsi="Times New Roman"/>
      <w:sz w:val="24"/>
      <w:szCs w:val="24"/>
      <w:lang w:bidi="ne-NP"/>
    </w:rPr>
  </w:style>
  <w:style w:type="paragraph" w:customStyle="1" w:styleId="xl66">
    <w:name w:val="xl66"/>
    <w:basedOn w:val="Normal"/>
    <w:rsid w:val="00043668"/>
    <w:pPr>
      <w:spacing w:before="100" w:beforeAutospacing="1" w:after="100" w:afterAutospacing="1"/>
      <w:ind w:firstLineChars="500" w:firstLine="500"/>
      <w:textAlignment w:val="center"/>
    </w:pPr>
    <w:rPr>
      <w:rFonts w:ascii="Symbol" w:hAnsi="Symbol"/>
      <w:sz w:val="24"/>
      <w:szCs w:val="24"/>
      <w:lang w:bidi="ne-NP"/>
    </w:rPr>
  </w:style>
  <w:style w:type="paragraph" w:customStyle="1" w:styleId="xl67">
    <w:name w:val="xl67"/>
    <w:basedOn w:val="Normal"/>
    <w:rsid w:val="00043668"/>
    <w:pPr>
      <w:spacing w:before="100" w:beforeAutospacing="1" w:after="100" w:afterAutospacing="1"/>
      <w:textAlignment w:val="center"/>
    </w:pPr>
    <w:rPr>
      <w:rFonts w:ascii="Times New Roman" w:hAnsi="Times New Roman"/>
      <w:sz w:val="24"/>
      <w:szCs w:val="24"/>
      <w:lang w:bidi="ne-NP"/>
    </w:rPr>
  </w:style>
  <w:style w:type="paragraph" w:customStyle="1" w:styleId="xl68">
    <w:name w:val="xl68"/>
    <w:basedOn w:val="Normal"/>
    <w:rsid w:val="00043668"/>
    <w:pPr>
      <w:spacing w:before="100" w:beforeAutospacing="1" w:after="100" w:afterAutospacing="1"/>
    </w:pPr>
    <w:rPr>
      <w:rFonts w:ascii="Times New Roman" w:hAnsi="Times New Roman"/>
      <w:b/>
      <w:bCs/>
      <w:sz w:val="24"/>
      <w:szCs w:val="24"/>
      <w:lang w:bidi="ne-NP"/>
    </w:rPr>
  </w:style>
  <w:style w:type="paragraph" w:customStyle="1" w:styleId="xl69">
    <w:name w:val="xl69"/>
    <w:basedOn w:val="Normal"/>
    <w:rsid w:val="00043668"/>
    <w:pPr>
      <w:spacing w:before="100" w:beforeAutospacing="1" w:after="100" w:afterAutospacing="1"/>
      <w:jc w:val="right"/>
    </w:pPr>
    <w:rPr>
      <w:rFonts w:ascii="Times New Roman" w:hAnsi="Times New Roman"/>
      <w:sz w:val="24"/>
      <w:szCs w:val="24"/>
      <w:lang w:bidi="ne-NP"/>
    </w:rPr>
  </w:style>
  <w:style w:type="paragraph" w:customStyle="1" w:styleId="xl70">
    <w:name w:val="xl70"/>
    <w:basedOn w:val="Normal"/>
    <w:rsid w:val="000436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bidi="ne-NP"/>
    </w:rPr>
  </w:style>
  <w:style w:type="paragraph" w:customStyle="1" w:styleId="xl71">
    <w:name w:val="xl71"/>
    <w:basedOn w:val="Normal"/>
    <w:rsid w:val="00043668"/>
    <w:pPr>
      <w:pBdr>
        <w:left w:val="single" w:sz="4" w:space="0" w:color="auto"/>
        <w:right w:val="single" w:sz="4" w:space="0" w:color="auto"/>
      </w:pBdr>
      <w:spacing w:before="100" w:beforeAutospacing="1" w:after="100" w:afterAutospacing="1"/>
    </w:pPr>
    <w:rPr>
      <w:rFonts w:ascii="Times New Roman" w:hAnsi="Times New Roman"/>
      <w:sz w:val="24"/>
      <w:szCs w:val="24"/>
      <w:lang w:bidi="ne-NP"/>
    </w:rPr>
  </w:style>
  <w:style w:type="paragraph" w:customStyle="1" w:styleId="xl72">
    <w:name w:val="xl72"/>
    <w:basedOn w:val="Normal"/>
    <w:rsid w:val="00043668"/>
    <w:pPr>
      <w:spacing w:before="100" w:beforeAutospacing="1" w:after="100" w:afterAutospacing="1"/>
      <w:jc w:val="right"/>
      <w:textAlignment w:val="center"/>
    </w:pPr>
    <w:rPr>
      <w:rFonts w:ascii="Calibri Light" w:hAnsi="Calibri Light" w:cs="Calibri Light"/>
      <w:sz w:val="24"/>
      <w:szCs w:val="24"/>
      <w:lang w:bidi="ne-NP"/>
    </w:rPr>
  </w:style>
  <w:style w:type="paragraph" w:customStyle="1" w:styleId="xl73">
    <w:name w:val="xl73"/>
    <w:basedOn w:val="Normal"/>
    <w:rsid w:val="00043668"/>
    <w:pPr>
      <w:spacing w:before="100" w:beforeAutospacing="1" w:after="100" w:afterAutospacing="1"/>
      <w:jc w:val="center"/>
    </w:pPr>
    <w:rPr>
      <w:rFonts w:ascii="Times New Roman" w:hAnsi="Times New Roman"/>
      <w:sz w:val="24"/>
      <w:szCs w:val="24"/>
      <w:lang w:bidi="ne-NP"/>
    </w:rPr>
  </w:style>
  <w:style w:type="paragraph" w:customStyle="1" w:styleId="xl74">
    <w:name w:val="xl74"/>
    <w:basedOn w:val="Normal"/>
    <w:rsid w:val="00043668"/>
    <w:pPr>
      <w:spacing w:before="100" w:beforeAutospacing="1" w:after="100" w:afterAutospacing="1"/>
    </w:pPr>
    <w:rPr>
      <w:rFonts w:ascii="Times New Roman" w:hAnsi="Times New Roman"/>
      <w:sz w:val="24"/>
      <w:szCs w:val="24"/>
      <w:lang w:bidi="ne-NP"/>
    </w:rPr>
  </w:style>
  <w:style w:type="paragraph" w:customStyle="1" w:styleId="xl75">
    <w:name w:val="xl75"/>
    <w:basedOn w:val="Normal"/>
    <w:rsid w:val="00043668"/>
    <w:pPr>
      <w:spacing w:before="100" w:beforeAutospacing="1" w:after="100" w:afterAutospacing="1"/>
      <w:jc w:val="center"/>
    </w:pPr>
    <w:rPr>
      <w:rFonts w:ascii="Times New Roman" w:hAnsi="Times New Roman"/>
      <w:b/>
      <w:bCs/>
      <w:sz w:val="24"/>
      <w:szCs w:val="24"/>
      <w:lang w:bidi="ne-NP"/>
    </w:rPr>
  </w:style>
  <w:style w:type="paragraph" w:customStyle="1" w:styleId="xl76">
    <w:name w:val="xl76"/>
    <w:basedOn w:val="Normal"/>
    <w:rsid w:val="00043668"/>
    <w:pPr>
      <w:spacing w:before="100" w:beforeAutospacing="1" w:after="100" w:afterAutospacing="1"/>
    </w:pPr>
    <w:rPr>
      <w:rFonts w:ascii="Times New Roman" w:hAnsi="Times New Roman"/>
      <w:sz w:val="24"/>
      <w:szCs w:val="24"/>
      <w:lang w:bidi="ne-NP"/>
    </w:rPr>
  </w:style>
  <w:style w:type="paragraph" w:styleId="CommentSubject">
    <w:name w:val="annotation subject"/>
    <w:basedOn w:val="CommentText"/>
    <w:next w:val="CommentText"/>
    <w:link w:val="CommentSubjectChar"/>
    <w:uiPriority w:val="99"/>
    <w:semiHidden/>
    <w:unhideWhenUsed/>
    <w:rsid w:val="00043668"/>
    <w:pPr>
      <w:autoSpaceDE w:val="0"/>
      <w:autoSpaceDN w:val="0"/>
      <w:adjustRightInd w:val="0"/>
      <w:spacing w:before="120" w:after="120"/>
      <w:jc w:val="both"/>
    </w:pPr>
    <w:rPr>
      <w:rFonts w:eastAsiaTheme="minorHAnsi"/>
      <w:b/>
      <w:bCs/>
      <w:szCs w:val="18"/>
      <w:shd w:val="clear" w:color="auto" w:fill="FFFFFF"/>
      <w:lang w:val="en-US" w:eastAsia="en-US" w:bidi="ne-NP"/>
    </w:rPr>
  </w:style>
  <w:style w:type="character" w:customStyle="1" w:styleId="CommentSubjectChar">
    <w:name w:val="Comment Subject Char"/>
    <w:basedOn w:val="CommentTextChar"/>
    <w:link w:val="CommentSubject"/>
    <w:uiPriority w:val="99"/>
    <w:semiHidden/>
    <w:rsid w:val="00043668"/>
    <w:rPr>
      <w:rFonts w:eastAsiaTheme="minorHAnsi"/>
      <w:b/>
      <w:bCs/>
      <w:szCs w:val="18"/>
      <w:lang w:val="nb-NO" w:eastAsia="nb-NO" w:bidi="ne-NP"/>
    </w:rPr>
  </w:style>
  <w:style w:type="character" w:customStyle="1" w:styleId="normaltextrun">
    <w:name w:val="normaltextrun"/>
    <w:basedOn w:val="DefaultParagraphFont"/>
    <w:rsid w:val="00043668"/>
  </w:style>
  <w:style w:type="paragraph" w:customStyle="1" w:styleId="paragraph">
    <w:name w:val="paragraph"/>
    <w:basedOn w:val="Normal"/>
    <w:rsid w:val="00043668"/>
    <w:pPr>
      <w:spacing w:before="100" w:beforeAutospacing="1" w:after="100" w:afterAutospacing="1"/>
    </w:pPr>
    <w:rPr>
      <w:rFonts w:ascii="Times New Roman" w:hAnsi="Times New Roman"/>
      <w:sz w:val="24"/>
      <w:szCs w:val="24"/>
      <w:lang w:bidi="ne-NP"/>
    </w:rPr>
  </w:style>
  <w:style w:type="character" w:customStyle="1" w:styleId="eop">
    <w:name w:val="eop"/>
    <w:basedOn w:val="DefaultParagraphFont"/>
    <w:rsid w:val="00043668"/>
  </w:style>
  <w:style w:type="character" w:customStyle="1" w:styleId="mathspan">
    <w:name w:val="mathspan"/>
    <w:basedOn w:val="DefaultParagraphFont"/>
    <w:rsid w:val="00043668"/>
  </w:style>
  <w:style w:type="character" w:customStyle="1" w:styleId="mi">
    <w:name w:val="mi"/>
    <w:basedOn w:val="DefaultParagraphFont"/>
    <w:rsid w:val="00043668"/>
  </w:style>
  <w:style w:type="character" w:customStyle="1" w:styleId="mn">
    <w:name w:val="mn"/>
    <w:basedOn w:val="DefaultParagraphFont"/>
    <w:rsid w:val="00043668"/>
  </w:style>
  <w:style w:type="character" w:customStyle="1" w:styleId="mo">
    <w:name w:val="mo"/>
    <w:basedOn w:val="DefaultParagraphFont"/>
    <w:rsid w:val="00043668"/>
  </w:style>
  <w:style w:type="character" w:customStyle="1" w:styleId="Heading4Char1">
    <w:name w:val="Heading 4 Char1"/>
    <w:basedOn w:val="DefaultParagraphFont"/>
    <w:uiPriority w:val="9"/>
    <w:semiHidden/>
    <w:rsid w:val="00043668"/>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uiPriority w:val="9"/>
    <w:semiHidden/>
    <w:rsid w:val="00043668"/>
    <w:rPr>
      <w:rFonts w:asciiTheme="majorHAnsi" w:eastAsiaTheme="majorEastAsia" w:hAnsiTheme="majorHAnsi" w:cstheme="majorBidi"/>
      <w:color w:val="365F91" w:themeColor="accent1" w:themeShade="BF"/>
      <w:sz w:val="24"/>
    </w:rPr>
  </w:style>
  <w:style w:type="character" w:customStyle="1" w:styleId="Heading6Char1">
    <w:name w:val="Heading 6 Char1"/>
    <w:basedOn w:val="DefaultParagraphFont"/>
    <w:uiPriority w:val="9"/>
    <w:semiHidden/>
    <w:rsid w:val="00043668"/>
    <w:rPr>
      <w:rFonts w:asciiTheme="majorHAnsi" w:eastAsiaTheme="majorEastAsia" w:hAnsiTheme="majorHAnsi" w:cstheme="majorBidi"/>
      <w:color w:val="243F60" w:themeColor="accent1" w:themeShade="7F"/>
      <w:sz w:val="24"/>
    </w:rPr>
  </w:style>
  <w:style w:type="character" w:customStyle="1" w:styleId="Heading7Char1">
    <w:name w:val="Heading 7 Char1"/>
    <w:basedOn w:val="DefaultParagraphFont"/>
    <w:uiPriority w:val="9"/>
    <w:semiHidden/>
    <w:rsid w:val="00043668"/>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uiPriority w:val="9"/>
    <w:semiHidden/>
    <w:rsid w:val="0004366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43668"/>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043668"/>
    <w:pPr>
      <w:jc w:val="both"/>
    </w:pPr>
    <w:rPr>
      <w:sz w:val="16"/>
      <w:szCs w:val="22"/>
    </w:rPr>
  </w:style>
  <w:style w:type="paragraph" w:styleId="TOC4">
    <w:name w:val="toc 4"/>
    <w:basedOn w:val="Normal"/>
    <w:next w:val="Normal"/>
    <w:autoRedefine/>
    <w:uiPriority w:val="39"/>
    <w:unhideWhenUsed/>
    <w:rsid w:val="00043668"/>
    <w:pPr>
      <w:spacing w:after="100" w:line="360" w:lineRule="auto"/>
      <w:ind w:left="720"/>
      <w:jc w:val="both"/>
    </w:pPr>
    <w:rPr>
      <w:rFonts w:ascii="Times New Roman" w:eastAsiaTheme="minorHAnsi" w:hAnsi="Times New Roman" w:cstheme="minorBidi"/>
      <w:sz w:val="24"/>
      <w:szCs w:val="22"/>
    </w:rPr>
  </w:style>
  <w:style w:type="table" w:customStyle="1" w:styleId="TableGrid0">
    <w:name w:val="TableGrid"/>
    <w:rsid w:val="0004366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selectable-text">
    <w:name w:val="selectable-text"/>
    <w:basedOn w:val="DefaultParagraphFont"/>
    <w:rsid w:val="00043668"/>
  </w:style>
  <w:style w:type="character" w:styleId="Strong">
    <w:name w:val="Strong"/>
    <w:basedOn w:val="DefaultParagraphFont"/>
    <w:uiPriority w:val="22"/>
    <w:qFormat/>
    <w:rsid w:val="00043668"/>
    <w:rPr>
      <w:b/>
      <w:bCs/>
    </w:rPr>
  </w:style>
  <w:style w:type="table" w:styleId="GridTable5Dark-Accent1">
    <w:name w:val="Grid Table 5 Dark Accent 1"/>
    <w:basedOn w:val="TableNormal"/>
    <w:uiPriority w:val="50"/>
    <w:rsid w:val="0004366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1">
    <w:name w:val="Unresolved Mention1"/>
    <w:basedOn w:val="DefaultParagraphFont"/>
    <w:uiPriority w:val="99"/>
    <w:semiHidden/>
    <w:unhideWhenUsed/>
    <w:rsid w:val="00043668"/>
    <w:rPr>
      <w:color w:val="605E5C"/>
      <w:shd w:val="clear" w:color="auto" w:fill="E1DFDD"/>
    </w:rPr>
  </w:style>
  <w:style w:type="table" w:styleId="PlainTable2">
    <w:name w:val="Plain Table 2"/>
    <w:basedOn w:val="TableNormal"/>
    <w:uiPriority w:val="42"/>
    <w:rsid w:val="00043668"/>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Spacing1">
    <w:name w:val="No Spacing1"/>
    <w:link w:val="NoSpacingChar"/>
    <w:uiPriority w:val="1"/>
    <w:qFormat/>
    <w:rsid w:val="00043668"/>
    <w:rPr>
      <w:rFonts w:ascii="Calibri" w:eastAsia="Calibri" w:hAnsi="Calibri" w:cs="Mangal"/>
      <w:sz w:val="22"/>
      <w:szCs w:val="22"/>
    </w:rPr>
  </w:style>
  <w:style w:type="character" w:customStyle="1" w:styleId="NoSpacingChar">
    <w:name w:val="No Spacing Char"/>
    <w:link w:val="NoSpacing1"/>
    <w:uiPriority w:val="1"/>
    <w:qFormat/>
    <w:rsid w:val="00043668"/>
    <w:rPr>
      <w:rFonts w:ascii="Calibri" w:eastAsia="Calibri" w:hAnsi="Calibri" w:cs="Mangal"/>
      <w:sz w:val="22"/>
      <w:szCs w:val="22"/>
    </w:rPr>
  </w:style>
  <w:style w:type="character" w:customStyle="1" w:styleId="ListParagraphChar">
    <w:name w:val="List Paragraph Char"/>
    <w:aliases w:val="ADB Normal Char"/>
    <w:basedOn w:val="DefaultParagraphFont"/>
    <w:link w:val="ListParagraph"/>
    <w:uiPriority w:val="34"/>
    <w:rsid w:val="00043668"/>
    <w:rPr>
      <w:rFonts w:eastAsiaTheme="minorHAnsi" w:cstheme="minorBidi"/>
      <w:sz w:val="24"/>
      <w:szCs w:val="22"/>
    </w:rPr>
  </w:style>
  <w:style w:type="table" w:customStyle="1" w:styleId="TableGrid2">
    <w:name w:val="Table Grid2"/>
    <w:basedOn w:val="TableNormal"/>
    <w:next w:val="TableGrid"/>
    <w:uiPriority w:val="39"/>
    <w:qFormat/>
    <w:rsid w:val="00043668"/>
    <w:rPr>
      <w:rFonts w:asciiTheme="minorHAnsi" w:eastAsiaTheme="minorHAnsi" w:hAnsiTheme="minorHAnsi" w:cstheme="minorBidi"/>
      <w:sz w:val="22"/>
      <w:lang w:val="en-GB"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043668"/>
    <w:rPr>
      <w:rFonts w:asciiTheme="minorHAnsi" w:eastAsiaTheme="minorHAnsi" w:hAnsiTheme="minorHAnsi" w:cstheme="minorBidi"/>
      <w:sz w:val="22"/>
      <w:lang w:val="en-GB"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043668"/>
    <w:pPr>
      <w:spacing w:before="100" w:beforeAutospacing="1" w:after="100" w:afterAutospacing="1" w:line="36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wnloads\Data%20of%20Completed%20Building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ownloads\checklist%20for%20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Building Code Compliance in Completed Residential Buildings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Sheet1!$C$7</c:f>
              <c:strCache>
                <c:ptCount val="1"/>
                <c:pt idx="0">
                  <c:v>Compliance(no.s)</c:v>
                </c:pt>
              </c:strCache>
            </c:strRef>
          </c:tx>
          <c:spPr>
            <a:solidFill>
              <a:schemeClr val="accent1"/>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Sheet1!$C$8:$C$13</c:f>
            </c:numRef>
          </c:val>
          <c:extLst>
            <c:ext xmlns:c16="http://schemas.microsoft.com/office/drawing/2014/chart" uri="{C3380CC4-5D6E-409C-BE32-E72D297353CC}">
              <c16:uniqueId val="{00000000-62AB-4328-9FB7-9AA91BC4E092}"/>
            </c:ext>
          </c:extLst>
        </c:ser>
        <c:ser>
          <c:idx val="1"/>
          <c:order val="1"/>
          <c:tx>
            <c:strRef>
              <c:f>Sheet1!$D$7</c:f>
              <c:strCache>
                <c:ptCount val="1"/>
                <c:pt idx="0">
                  <c:v>Non-Compliance(no.s)</c:v>
                </c:pt>
              </c:strCache>
            </c:strRef>
          </c:tx>
          <c:spPr>
            <a:solidFill>
              <a:schemeClr val="accent2"/>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Sheet1!$D$8:$D$13</c:f>
            </c:numRef>
          </c:val>
          <c:extLst>
            <c:ext xmlns:c16="http://schemas.microsoft.com/office/drawing/2014/chart" uri="{C3380CC4-5D6E-409C-BE32-E72D297353CC}">
              <c16:uniqueId val="{00000001-62AB-4328-9FB7-9AA91BC4E092}"/>
            </c:ext>
          </c:extLst>
        </c:ser>
        <c:ser>
          <c:idx val="2"/>
          <c:order val="2"/>
          <c:tx>
            <c:strRef>
              <c:f>Sheet1!$E$7</c:f>
              <c:strCache>
                <c:ptCount val="1"/>
                <c:pt idx="0">
                  <c:v>Compliance Buildings</c:v>
                </c:pt>
              </c:strCache>
            </c:strRef>
          </c:tx>
          <c:spPr>
            <a:solidFill>
              <a:schemeClr val="accent3"/>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Sheet1!$E$8:$E$13</c:f>
              <c:numCache>
                <c:formatCode>General</c:formatCode>
                <c:ptCount val="6"/>
                <c:pt idx="0">
                  <c:v>78</c:v>
                </c:pt>
                <c:pt idx="1">
                  <c:v>73</c:v>
                </c:pt>
                <c:pt idx="2">
                  <c:v>50</c:v>
                </c:pt>
                <c:pt idx="3">
                  <c:v>40</c:v>
                </c:pt>
                <c:pt idx="4">
                  <c:v>68</c:v>
                </c:pt>
                <c:pt idx="5">
                  <c:v>51</c:v>
                </c:pt>
              </c:numCache>
            </c:numRef>
          </c:val>
          <c:extLst>
            <c:ext xmlns:c16="http://schemas.microsoft.com/office/drawing/2014/chart" uri="{C3380CC4-5D6E-409C-BE32-E72D297353CC}">
              <c16:uniqueId val="{00000002-62AB-4328-9FB7-9AA91BC4E092}"/>
            </c:ext>
          </c:extLst>
        </c:ser>
        <c:ser>
          <c:idx val="3"/>
          <c:order val="3"/>
          <c:tx>
            <c:strRef>
              <c:f>Sheet1!$F$7</c:f>
              <c:strCache>
                <c:ptCount val="1"/>
                <c:pt idx="0">
                  <c:v>Non-compliance buildings</c:v>
                </c:pt>
              </c:strCache>
            </c:strRef>
          </c:tx>
          <c:spPr>
            <a:solidFill>
              <a:schemeClr val="accent4"/>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Sheet1!$F$8:$F$13</c:f>
              <c:numCache>
                <c:formatCode>General</c:formatCode>
                <c:ptCount val="6"/>
                <c:pt idx="0">
                  <c:v>0</c:v>
                </c:pt>
                <c:pt idx="1">
                  <c:v>5</c:v>
                </c:pt>
                <c:pt idx="2">
                  <c:v>25</c:v>
                </c:pt>
                <c:pt idx="3">
                  <c:v>38</c:v>
                </c:pt>
                <c:pt idx="4">
                  <c:v>10</c:v>
                </c:pt>
                <c:pt idx="5">
                  <c:v>27</c:v>
                </c:pt>
              </c:numCache>
            </c:numRef>
          </c:val>
          <c:extLst>
            <c:ext xmlns:c16="http://schemas.microsoft.com/office/drawing/2014/chart" uri="{C3380CC4-5D6E-409C-BE32-E72D297353CC}">
              <c16:uniqueId val="{00000003-62AB-4328-9FB7-9AA91BC4E092}"/>
            </c:ext>
          </c:extLst>
        </c:ser>
        <c:dLbls>
          <c:showLegendKey val="0"/>
          <c:showVal val="0"/>
          <c:showCatName val="0"/>
          <c:showSerName val="0"/>
          <c:showPercent val="0"/>
          <c:showBubbleSize val="0"/>
        </c:dLbls>
        <c:gapWidth val="219"/>
        <c:overlap val="-27"/>
        <c:axId val="21678048"/>
        <c:axId val="21677568"/>
      </c:barChart>
      <c:catAx>
        <c:axId val="2167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677568"/>
        <c:crosses val="autoZero"/>
        <c:auto val="1"/>
        <c:lblAlgn val="ctr"/>
        <c:lblOffset val="100"/>
        <c:noMultiLvlLbl val="0"/>
      </c:catAx>
      <c:valAx>
        <c:axId val="21677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67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400" b="0"/>
              <a:t>Building Byelaw Compliance for Completed Buildings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Buildings.xlsx]completed'!$C$8:$C$13</c:f>
            </c:numRef>
          </c:val>
          <c:extLst>
            <c:ext xmlns:c16="http://schemas.microsoft.com/office/drawing/2014/chart" uri="{C3380CC4-5D6E-409C-BE32-E72D297353CC}">
              <c16:uniqueId val="{00000000-F076-41FE-A6C3-C222287C4562}"/>
            </c:ext>
          </c:extLst>
        </c:ser>
        <c:ser>
          <c:idx val="1"/>
          <c:order val="1"/>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Buildings.xlsx]completed'!$D$8:$D$13</c:f>
            </c:numRef>
          </c:val>
          <c:extLst>
            <c:ext xmlns:c16="http://schemas.microsoft.com/office/drawing/2014/chart" uri="{C3380CC4-5D6E-409C-BE32-E72D297353CC}">
              <c16:uniqueId val="{00000001-F076-41FE-A6C3-C222287C4562}"/>
            </c:ext>
          </c:extLst>
        </c:ser>
        <c:ser>
          <c:idx val="2"/>
          <c:order val="2"/>
          <c:tx>
            <c:v>Compliance</c:v>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Buildings.xlsx]completed'!$E$8:$E$13</c:f>
              <c:numCache>
                <c:formatCode>0.00%</c:formatCode>
                <c:ptCount val="6"/>
                <c:pt idx="0">
                  <c:v>0.87179487179487181</c:v>
                </c:pt>
                <c:pt idx="1">
                  <c:v>0.91025641025641024</c:v>
                </c:pt>
                <c:pt idx="2">
                  <c:v>0.98717948717948723</c:v>
                </c:pt>
                <c:pt idx="3">
                  <c:v>0.88461538461538458</c:v>
                </c:pt>
                <c:pt idx="4">
                  <c:v>0.91025641025641024</c:v>
                </c:pt>
                <c:pt idx="5">
                  <c:v>0.9358974358974359</c:v>
                </c:pt>
              </c:numCache>
            </c:numRef>
          </c:val>
          <c:extLst>
            <c:ext xmlns:c16="http://schemas.microsoft.com/office/drawing/2014/chart" uri="{C3380CC4-5D6E-409C-BE32-E72D297353CC}">
              <c16:uniqueId val="{00000002-F076-41FE-A6C3-C222287C4562}"/>
            </c:ext>
          </c:extLst>
        </c:ser>
        <c:ser>
          <c:idx val="3"/>
          <c:order val="3"/>
          <c:tx>
            <c:v>Non-Compliance</c:v>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Buildings.xlsx]completed'!$F$8:$F$13</c:f>
              <c:numCache>
                <c:formatCode>0.00%</c:formatCode>
                <c:ptCount val="6"/>
                <c:pt idx="0">
                  <c:v>0.12820512820512819</c:v>
                </c:pt>
                <c:pt idx="1">
                  <c:v>8.9743589743589744E-2</c:v>
                </c:pt>
                <c:pt idx="2">
                  <c:v>1.282051282051282E-2</c:v>
                </c:pt>
                <c:pt idx="3">
                  <c:v>0.11538461538461539</c:v>
                </c:pt>
                <c:pt idx="4">
                  <c:v>8.9743589743589744E-2</c:v>
                </c:pt>
                <c:pt idx="5">
                  <c:v>6.4102564102564097E-2</c:v>
                </c:pt>
              </c:numCache>
            </c:numRef>
          </c:val>
          <c:extLst>
            <c:ext xmlns:c16="http://schemas.microsoft.com/office/drawing/2014/chart" uri="{C3380CC4-5D6E-409C-BE32-E72D297353CC}">
              <c16:uniqueId val="{00000003-F076-41FE-A6C3-C222287C4562}"/>
            </c:ext>
          </c:extLst>
        </c:ser>
        <c:dLbls>
          <c:showLegendKey val="0"/>
          <c:showVal val="0"/>
          <c:showCatName val="0"/>
          <c:showSerName val="0"/>
          <c:showPercent val="0"/>
          <c:showBubbleSize val="0"/>
        </c:dLbls>
        <c:gapWidth val="65"/>
        <c:shape val="box"/>
        <c:axId val="2022858928"/>
        <c:axId val="2022865168"/>
        <c:axId val="0"/>
      </c:bar3DChart>
      <c:catAx>
        <c:axId val="20228589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2022865168"/>
        <c:crosses val="autoZero"/>
        <c:auto val="1"/>
        <c:lblAlgn val="ctr"/>
        <c:lblOffset val="100"/>
        <c:noMultiLvlLbl val="0"/>
      </c:catAx>
      <c:valAx>
        <c:axId val="2022865168"/>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20228589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Comparison</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percentStacked"/>
        <c:varyColors val="0"/>
        <c:ser>
          <c:idx val="0"/>
          <c:order val="0"/>
          <c:tx>
            <c:strRef>
              <c:f>Sheet3!$A$2</c:f>
              <c:strCache>
                <c:ptCount val="1"/>
                <c:pt idx="0">
                  <c:v>Ground Coverage Ratio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Sheet3!$B$2:$E$2</c:f>
              <c:numCache>
                <c:formatCode>0%</c:formatCode>
                <c:ptCount val="4"/>
                <c:pt idx="0" formatCode="0.00%">
                  <c:v>0.87180000000000002</c:v>
                </c:pt>
                <c:pt idx="1">
                  <c:v>1</c:v>
                </c:pt>
                <c:pt idx="2" formatCode="0.00%">
                  <c:v>0.12820000000000001</c:v>
                </c:pt>
                <c:pt idx="3" formatCode="General">
                  <c:v>0</c:v>
                </c:pt>
              </c:numCache>
            </c:numRef>
          </c:val>
          <c:extLst>
            <c:ext xmlns:c16="http://schemas.microsoft.com/office/drawing/2014/chart" uri="{C3380CC4-5D6E-409C-BE32-E72D297353CC}">
              <c16:uniqueId val="{00000000-8412-444E-B0E7-548907123E89}"/>
            </c:ext>
          </c:extLst>
        </c:ser>
        <c:ser>
          <c:idx val="1"/>
          <c:order val="1"/>
          <c:tx>
            <c:strRef>
              <c:f>Sheet3!$A$3</c:f>
              <c:strCache>
                <c:ptCount val="1"/>
                <c:pt idx="0">
                  <c:v>Floor Area Ratio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Sheet3!$B$3:$E$3</c:f>
              <c:numCache>
                <c:formatCode>0%</c:formatCode>
                <c:ptCount val="4"/>
                <c:pt idx="0" formatCode="0.00%">
                  <c:v>0.9103</c:v>
                </c:pt>
                <c:pt idx="1">
                  <c:v>0.86</c:v>
                </c:pt>
                <c:pt idx="2" formatCode="0.00%">
                  <c:v>8.9700000000000002E-2</c:v>
                </c:pt>
                <c:pt idx="3">
                  <c:v>0.14000000000000001</c:v>
                </c:pt>
              </c:numCache>
            </c:numRef>
          </c:val>
          <c:extLst>
            <c:ext xmlns:c16="http://schemas.microsoft.com/office/drawing/2014/chart" uri="{C3380CC4-5D6E-409C-BE32-E72D297353CC}">
              <c16:uniqueId val="{00000001-8412-444E-B0E7-548907123E89}"/>
            </c:ext>
          </c:extLst>
        </c:ser>
        <c:ser>
          <c:idx val="2"/>
          <c:order val="2"/>
          <c:tx>
            <c:strRef>
              <c:f>Sheet3!$A$4</c:f>
              <c:strCache>
                <c:ptCount val="1"/>
                <c:pt idx="0">
                  <c:v>Building Height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Sheet3!$B$4:$E$4</c:f>
              <c:numCache>
                <c:formatCode>0%</c:formatCode>
                <c:ptCount val="4"/>
                <c:pt idx="0" formatCode="0.00%">
                  <c:v>0.98719999999999997</c:v>
                </c:pt>
                <c:pt idx="1">
                  <c:v>1</c:v>
                </c:pt>
                <c:pt idx="2" formatCode="0.00%">
                  <c:v>1.2800000000000001E-2</c:v>
                </c:pt>
                <c:pt idx="3" formatCode="General">
                  <c:v>0</c:v>
                </c:pt>
              </c:numCache>
            </c:numRef>
          </c:val>
          <c:extLst>
            <c:ext xmlns:c16="http://schemas.microsoft.com/office/drawing/2014/chart" uri="{C3380CC4-5D6E-409C-BE32-E72D297353CC}">
              <c16:uniqueId val="{00000002-8412-444E-B0E7-548907123E89}"/>
            </c:ext>
          </c:extLst>
        </c:ser>
        <c:ser>
          <c:idx val="3"/>
          <c:order val="3"/>
          <c:tx>
            <c:strRef>
              <c:f>Sheet3!$A$5</c:f>
              <c:strCache>
                <c:ptCount val="1"/>
                <c:pt idx="0">
                  <c:v>Front setback</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Sheet3!$B$5:$E$5</c:f>
              <c:numCache>
                <c:formatCode>0.00%</c:formatCode>
                <c:ptCount val="4"/>
                <c:pt idx="0">
                  <c:v>0.88460000000000005</c:v>
                </c:pt>
                <c:pt idx="1">
                  <c:v>0.81820000000000004</c:v>
                </c:pt>
                <c:pt idx="2">
                  <c:v>0.1154</c:v>
                </c:pt>
                <c:pt idx="3">
                  <c:v>0.18179999999999999</c:v>
                </c:pt>
              </c:numCache>
            </c:numRef>
          </c:val>
          <c:extLst>
            <c:ext xmlns:c16="http://schemas.microsoft.com/office/drawing/2014/chart" uri="{C3380CC4-5D6E-409C-BE32-E72D297353CC}">
              <c16:uniqueId val="{00000003-8412-444E-B0E7-548907123E89}"/>
            </c:ext>
          </c:extLst>
        </c:ser>
        <c:ser>
          <c:idx val="4"/>
          <c:order val="4"/>
          <c:tx>
            <c:strRef>
              <c:f>Sheet3!$A$6</c:f>
              <c:strCache>
                <c:ptCount val="1"/>
                <c:pt idx="0">
                  <c:v>Side setback</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Sheet3!$B$6:$E$6</c:f>
              <c:numCache>
                <c:formatCode>0.00%</c:formatCode>
                <c:ptCount val="4"/>
                <c:pt idx="0">
                  <c:v>0.9103</c:v>
                </c:pt>
                <c:pt idx="1">
                  <c:v>0.2727</c:v>
                </c:pt>
                <c:pt idx="2">
                  <c:v>8.9700000000000002E-2</c:v>
                </c:pt>
                <c:pt idx="3">
                  <c:v>0.72729999999999995</c:v>
                </c:pt>
              </c:numCache>
            </c:numRef>
          </c:val>
          <c:extLst>
            <c:ext xmlns:c16="http://schemas.microsoft.com/office/drawing/2014/chart" uri="{C3380CC4-5D6E-409C-BE32-E72D297353CC}">
              <c16:uniqueId val="{00000004-8412-444E-B0E7-548907123E89}"/>
            </c:ext>
          </c:extLst>
        </c:ser>
        <c:ser>
          <c:idx val="5"/>
          <c:order val="5"/>
          <c:tx>
            <c:strRef>
              <c:f>Sheet3!$A$7</c:f>
              <c:strCache>
                <c:ptCount val="1"/>
                <c:pt idx="0">
                  <c:v>Back set back</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Sheet3!$B$7:$E$7</c:f>
              <c:numCache>
                <c:formatCode>0.00%</c:formatCode>
                <c:ptCount val="4"/>
                <c:pt idx="0">
                  <c:v>0.93589999999999995</c:v>
                </c:pt>
                <c:pt idx="1">
                  <c:v>0.72719999999999996</c:v>
                </c:pt>
                <c:pt idx="2">
                  <c:v>6.4100000000000004E-2</c:v>
                </c:pt>
                <c:pt idx="3">
                  <c:v>0.27279999999999999</c:v>
                </c:pt>
              </c:numCache>
            </c:numRef>
          </c:val>
          <c:extLst>
            <c:ext xmlns:c16="http://schemas.microsoft.com/office/drawing/2014/chart" uri="{C3380CC4-5D6E-409C-BE32-E72D297353CC}">
              <c16:uniqueId val="{00000005-8412-444E-B0E7-548907123E89}"/>
            </c:ext>
          </c:extLst>
        </c:ser>
        <c:dLbls>
          <c:dLblPos val="ctr"/>
          <c:showLegendKey val="0"/>
          <c:showVal val="1"/>
          <c:showCatName val="0"/>
          <c:showSerName val="0"/>
          <c:showPercent val="0"/>
          <c:showBubbleSize val="0"/>
        </c:dLbls>
        <c:gapWidth val="150"/>
        <c:overlap val="100"/>
        <c:axId val="1532237599"/>
        <c:axId val="1658775039"/>
      </c:barChart>
      <c:catAx>
        <c:axId val="153223759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58775039"/>
        <c:crosses val="autoZero"/>
        <c:auto val="1"/>
        <c:lblAlgn val="ctr"/>
        <c:lblOffset val="100"/>
        <c:noMultiLvlLbl val="0"/>
      </c:catAx>
      <c:valAx>
        <c:axId val="165877503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53223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Awarness of Masons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Sheet6!$C$1</c:f>
              <c:strCache>
                <c:ptCount val="1"/>
                <c:pt idx="0">
                  <c:v>Godawari Yes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Sheet6!$A$2:$B$5</c:f>
              <c:strCache>
                <c:ptCount val="4"/>
                <c:pt idx="0">
                  <c:v>General concept of earthquake</c:v>
                </c:pt>
                <c:pt idx="1">
                  <c:v>Earthquake-resistant design</c:v>
                </c:pt>
                <c:pt idx="2">
                  <c:v>Building Code &amp; provisions</c:v>
                </c:pt>
                <c:pt idx="3">
                  <c:v>Approval process of drawings</c:v>
                </c:pt>
              </c:strCache>
              <c:extLst/>
            </c:strRef>
          </c:cat>
          <c:val>
            <c:numRef>
              <c:f>Sheet6!$C$2:$C$5</c:f>
              <c:numCache>
                <c:formatCode>General</c:formatCode>
                <c:ptCount val="4"/>
                <c:pt idx="0">
                  <c:v>93.75</c:v>
                </c:pt>
                <c:pt idx="1">
                  <c:v>62.5</c:v>
                </c:pt>
                <c:pt idx="2">
                  <c:v>25</c:v>
                </c:pt>
                <c:pt idx="3">
                  <c:v>78.12</c:v>
                </c:pt>
              </c:numCache>
            </c:numRef>
          </c:val>
          <c:extLst>
            <c:ext xmlns:c16="http://schemas.microsoft.com/office/drawing/2014/chart" uri="{C3380CC4-5D6E-409C-BE32-E72D297353CC}">
              <c16:uniqueId val="{00000000-9BFF-403F-8C78-12A9F7E2A879}"/>
            </c:ext>
          </c:extLst>
        </c:ser>
        <c:ser>
          <c:idx val="1"/>
          <c:order val="1"/>
          <c:tx>
            <c:strRef>
              <c:f>Sheet6!$D$1</c:f>
              <c:strCache>
                <c:ptCount val="1"/>
                <c:pt idx="0">
                  <c:v>Sisne Yes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Sheet6!$A$2:$B$5</c:f>
              <c:strCache>
                <c:ptCount val="4"/>
                <c:pt idx="0">
                  <c:v>General concept of earthquake</c:v>
                </c:pt>
                <c:pt idx="1">
                  <c:v>Earthquake-resistant design</c:v>
                </c:pt>
                <c:pt idx="2">
                  <c:v>Building Code &amp; provisions</c:v>
                </c:pt>
                <c:pt idx="3">
                  <c:v>Approval process of drawings</c:v>
                </c:pt>
              </c:strCache>
              <c:extLst/>
            </c:strRef>
          </c:cat>
          <c:val>
            <c:numRef>
              <c:f>Sheet6!$D$2:$D$5</c:f>
              <c:numCache>
                <c:formatCode>General</c:formatCode>
                <c:ptCount val="4"/>
                <c:pt idx="0">
                  <c:v>30.76</c:v>
                </c:pt>
                <c:pt idx="1">
                  <c:v>23.08</c:v>
                </c:pt>
                <c:pt idx="2">
                  <c:v>15.38</c:v>
                </c:pt>
                <c:pt idx="3">
                  <c:v>46.15</c:v>
                </c:pt>
              </c:numCache>
            </c:numRef>
          </c:val>
          <c:extLst>
            <c:ext xmlns:c16="http://schemas.microsoft.com/office/drawing/2014/chart" uri="{C3380CC4-5D6E-409C-BE32-E72D297353CC}">
              <c16:uniqueId val="{00000001-9BFF-403F-8C78-12A9F7E2A879}"/>
            </c:ext>
          </c:extLst>
        </c:ser>
        <c:ser>
          <c:idx val="2"/>
          <c:order val="2"/>
          <c:tx>
            <c:strRef>
              <c:f>Sheet6!$E$1</c:f>
              <c:strCache>
                <c:ptCount val="1"/>
                <c:pt idx="0">
                  <c:v>Birendranagar Yes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Sheet6!$A$2:$B$5</c:f>
              <c:strCache>
                <c:ptCount val="4"/>
                <c:pt idx="0">
                  <c:v>General concept of earthquake</c:v>
                </c:pt>
                <c:pt idx="1">
                  <c:v>Earthquake-resistant design</c:v>
                </c:pt>
                <c:pt idx="2">
                  <c:v>Building Code &amp; provisions</c:v>
                </c:pt>
                <c:pt idx="3">
                  <c:v>Approval process of drawings</c:v>
                </c:pt>
              </c:strCache>
              <c:extLst/>
            </c:strRef>
          </c:cat>
          <c:val>
            <c:numRef>
              <c:f>Sheet6!$E$2:$E$5</c:f>
              <c:numCache>
                <c:formatCode>General</c:formatCode>
                <c:ptCount val="4"/>
                <c:pt idx="0">
                  <c:v>0</c:v>
                </c:pt>
                <c:pt idx="1">
                  <c:v>25</c:v>
                </c:pt>
                <c:pt idx="2">
                  <c:v>31.25</c:v>
                </c:pt>
                <c:pt idx="3">
                  <c:v>56.25</c:v>
                </c:pt>
              </c:numCache>
            </c:numRef>
          </c:val>
          <c:extLst>
            <c:ext xmlns:c16="http://schemas.microsoft.com/office/drawing/2014/chart" uri="{C3380CC4-5D6E-409C-BE32-E72D297353CC}">
              <c16:uniqueId val="{00000002-9BFF-403F-8C78-12A9F7E2A879}"/>
            </c:ext>
          </c:extLst>
        </c:ser>
        <c:dLbls>
          <c:dLblPos val="outEnd"/>
          <c:showLegendKey val="0"/>
          <c:showVal val="1"/>
          <c:showCatName val="0"/>
          <c:showSerName val="0"/>
          <c:showPercent val="0"/>
          <c:showBubbleSize val="0"/>
        </c:dLbls>
        <c:gapWidth val="100"/>
        <c:overlap val="-24"/>
        <c:axId val="1751941487"/>
        <c:axId val="1664253567"/>
      </c:barChart>
      <c:catAx>
        <c:axId val="175194148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64253567"/>
        <c:crosses val="autoZero"/>
        <c:auto val="1"/>
        <c:lblAlgn val="ctr"/>
        <c:lblOffset val="100"/>
        <c:noMultiLvlLbl val="0"/>
      </c:catAx>
      <c:valAx>
        <c:axId val="166425356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51941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Capabilities</a:t>
            </a:r>
            <a:r>
              <a:rPr lang="en-US" baseline="0"/>
              <a:t> of Masons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Sheet6!$C$6</c:f>
              <c:strCache>
                <c:ptCount val="1"/>
                <c:pt idx="0">
                  <c:v>Godawari Yes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Sheet6!$A$7:$B$10</c:f>
              <c:strCache>
                <c:ptCount val="4"/>
                <c:pt idx="0">
                  <c:v>Follow earthquake-resistant construction</c:v>
                </c:pt>
                <c:pt idx="1">
                  <c:v>Read architectural &amp; structural drawings</c:v>
                </c:pt>
                <c:pt idx="2">
                  <c:v>Understand material &amp; test specifications</c:v>
                </c:pt>
                <c:pt idx="3">
                  <c:v>Understand construction methodology</c:v>
                </c:pt>
              </c:strCache>
              <c:extLst/>
            </c:strRef>
          </c:cat>
          <c:val>
            <c:numRef>
              <c:f>Sheet6!$C$7:$C$10</c:f>
              <c:numCache>
                <c:formatCode>General</c:formatCode>
                <c:ptCount val="4"/>
                <c:pt idx="0">
                  <c:v>81.25</c:v>
                </c:pt>
                <c:pt idx="1">
                  <c:v>46.88</c:v>
                </c:pt>
                <c:pt idx="2">
                  <c:v>15.63</c:v>
                </c:pt>
                <c:pt idx="3">
                  <c:v>31.25</c:v>
                </c:pt>
              </c:numCache>
            </c:numRef>
          </c:val>
          <c:extLst>
            <c:ext xmlns:c16="http://schemas.microsoft.com/office/drawing/2014/chart" uri="{C3380CC4-5D6E-409C-BE32-E72D297353CC}">
              <c16:uniqueId val="{00000000-9306-4EE7-B8D1-60E429CD262C}"/>
            </c:ext>
          </c:extLst>
        </c:ser>
        <c:ser>
          <c:idx val="1"/>
          <c:order val="1"/>
          <c:tx>
            <c:strRef>
              <c:f>Sheet6!$D$6</c:f>
              <c:strCache>
                <c:ptCount val="1"/>
                <c:pt idx="0">
                  <c:v>Sisne Yes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Sheet6!$A$7:$B$10</c:f>
              <c:strCache>
                <c:ptCount val="4"/>
                <c:pt idx="0">
                  <c:v>Follow earthquake-resistant construction</c:v>
                </c:pt>
                <c:pt idx="1">
                  <c:v>Read architectural &amp; structural drawings</c:v>
                </c:pt>
                <c:pt idx="2">
                  <c:v>Understand material &amp; test specifications</c:v>
                </c:pt>
                <c:pt idx="3">
                  <c:v>Understand construction methodology</c:v>
                </c:pt>
              </c:strCache>
              <c:extLst/>
            </c:strRef>
          </c:cat>
          <c:val>
            <c:numRef>
              <c:f>Sheet6!$D$7:$D$10</c:f>
              <c:numCache>
                <c:formatCode>General</c:formatCode>
                <c:ptCount val="4"/>
                <c:pt idx="0">
                  <c:v>23.07</c:v>
                </c:pt>
                <c:pt idx="1">
                  <c:v>15.38</c:v>
                </c:pt>
                <c:pt idx="2">
                  <c:v>23.07</c:v>
                </c:pt>
                <c:pt idx="3">
                  <c:v>30.76</c:v>
                </c:pt>
              </c:numCache>
            </c:numRef>
          </c:val>
          <c:extLst>
            <c:ext xmlns:c16="http://schemas.microsoft.com/office/drawing/2014/chart" uri="{C3380CC4-5D6E-409C-BE32-E72D297353CC}">
              <c16:uniqueId val="{00000001-9306-4EE7-B8D1-60E429CD262C}"/>
            </c:ext>
          </c:extLst>
        </c:ser>
        <c:ser>
          <c:idx val="2"/>
          <c:order val="2"/>
          <c:tx>
            <c:strRef>
              <c:f>Sheet6!$E$6</c:f>
              <c:strCache>
                <c:ptCount val="1"/>
                <c:pt idx="0">
                  <c:v>Birendranagar Yes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Sheet6!$A$7:$B$10</c:f>
              <c:strCache>
                <c:ptCount val="4"/>
                <c:pt idx="0">
                  <c:v>Follow earthquake-resistant construction</c:v>
                </c:pt>
                <c:pt idx="1">
                  <c:v>Read architectural &amp; structural drawings</c:v>
                </c:pt>
                <c:pt idx="2">
                  <c:v>Understand material &amp; test specifications</c:v>
                </c:pt>
                <c:pt idx="3">
                  <c:v>Understand construction methodology</c:v>
                </c:pt>
              </c:strCache>
              <c:extLst/>
            </c:strRef>
          </c:cat>
          <c:val>
            <c:numRef>
              <c:f>Sheet6!$E$7:$E$10</c:f>
              <c:numCache>
                <c:formatCode>General</c:formatCode>
                <c:ptCount val="4"/>
                <c:pt idx="0">
                  <c:v>25</c:v>
                </c:pt>
                <c:pt idx="1">
                  <c:v>18.75</c:v>
                </c:pt>
                <c:pt idx="2">
                  <c:v>43.75</c:v>
                </c:pt>
                <c:pt idx="3">
                  <c:v>37.5</c:v>
                </c:pt>
              </c:numCache>
            </c:numRef>
          </c:val>
          <c:extLst>
            <c:ext xmlns:c16="http://schemas.microsoft.com/office/drawing/2014/chart" uri="{C3380CC4-5D6E-409C-BE32-E72D297353CC}">
              <c16:uniqueId val="{00000002-9306-4EE7-B8D1-60E429CD262C}"/>
            </c:ext>
          </c:extLst>
        </c:ser>
        <c:dLbls>
          <c:dLblPos val="outEnd"/>
          <c:showLegendKey val="0"/>
          <c:showVal val="1"/>
          <c:showCatName val="0"/>
          <c:showSerName val="0"/>
          <c:showPercent val="0"/>
          <c:showBubbleSize val="0"/>
        </c:dLbls>
        <c:gapWidth val="219"/>
        <c:overlap val="-27"/>
        <c:axId val="1806085727"/>
        <c:axId val="1653700255"/>
      </c:barChart>
      <c:catAx>
        <c:axId val="180608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3700255"/>
        <c:crosses val="autoZero"/>
        <c:auto val="1"/>
        <c:lblAlgn val="ctr"/>
        <c:lblOffset val="100"/>
        <c:noMultiLvlLbl val="0"/>
      </c:catAx>
      <c:valAx>
        <c:axId val="1653700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6085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Mason's Perspective on</a:t>
            </a:r>
            <a:r>
              <a:rPr lang="en-US" baseline="0"/>
              <a:t> Non- Complaince</a:t>
            </a:r>
            <a:endParaRPr lang="en-US"/>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Sheet7!$B$1</c:f>
              <c:strCache>
                <c:ptCount val="1"/>
                <c:pt idx="0">
                  <c:v>Godawari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Sheet7!$A$2:$A$4</c:f>
              <c:strCache>
                <c:ptCount val="3"/>
                <c:pt idx="0">
                  <c:v>Compliance</c:v>
                </c:pt>
                <c:pt idx="1">
                  <c:v>Modify design to simplify work</c:v>
                </c:pt>
                <c:pt idx="2">
                  <c:v>Modify design as instructed by owner</c:v>
                </c:pt>
              </c:strCache>
            </c:strRef>
          </c:cat>
          <c:val>
            <c:numRef>
              <c:f>Sheet7!$B$2:$B$4</c:f>
              <c:numCache>
                <c:formatCode>General</c:formatCode>
                <c:ptCount val="3"/>
                <c:pt idx="0">
                  <c:v>62.5</c:v>
                </c:pt>
                <c:pt idx="1">
                  <c:v>6.25</c:v>
                </c:pt>
                <c:pt idx="2">
                  <c:v>31.25</c:v>
                </c:pt>
              </c:numCache>
            </c:numRef>
          </c:val>
          <c:extLst>
            <c:ext xmlns:c16="http://schemas.microsoft.com/office/drawing/2014/chart" uri="{C3380CC4-5D6E-409C-BE32-E72D297353CC}">
              <c16:uniqueId val="{00000000-1BD6-4521-8861-2F0DFA8CF6CA}"/>
            </c:ext>
          </c:extLst>
        </c:ser>
        <c:ser>
          <c:idx val="1"/>
          <c:order val="1"/>
          <c:tx>
            <c:strRef>
              <c:f>Sheet7!$C$1</c:f>
              <c:strCache>
                <c:ptCount val="1"/>
                <c:pt idx="0">
                  <c:v>Sisne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Sheet7!$A$2:$A$4</c:f>
              <c:strCache>
                <c:ptCount val="3"/>
                <c:pt idx="0">
                  <c:v>Compliance</c:v>
                </c:pt>
                <c:pt idx="1">
                  <c:v>Modify design to simplify work</c:v>
                </c:pt>
                <c:pt idx="2">
                  <c:v>Modify design as instructed by owner</c:v>
                </c:pt>
              </c:strCache>
            </c:strRef>
          </c:cat>
          <c:val>
            <c:numRef>
              <c:f>Sheet7!$C$2:$C$4</c:f>
              <c:numCache>
                <c:formatCode>General</c:formatCode>
                <c:ptCount val="3"/>
                <c:pt idx="0">
                  <c:v>15.38</c:v>
                </c:pt>
                <c:pt idx="1">
                  <c:v>15.38</c:v>
                </c:pt>
                <c:pt idx="2">
                  <c:v>69.23</c:v>
                </c:pt>
              </c:numCache>
            </c:numRef>
          </c:val>
          <c:extLst>
            <c:ext xmlns:c16="http://schemas.microsoft.com/office/drawing/2014/chart" uri="{C3380CC4-5D6E-409C-BE32-E72D297353CC}">
              <c16:uniqueId val="{00000001-1BD6-4521-8861-2F0DFA8CF6CA}"/>
            </c:ext>
          </c:extLst>
        </c:ser>
        <c:ser>
          <c:idx val="2"/>
          <c:order val="2"/>
          <c:tx>
            <c:strRef>
              <c:f>Sheet7!$D$1</c:f>
              <c:strCache>
                <c:ptCount val="1"/>
                <c:pt idx="0">
                  <c:v>Birendranagar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Sheet7!$A$2:$A$4</c:f>
              <c:strCache>
                <c:ptCount val="3"/>
                <c:pt idx="0">
                  <c:v>Compliance</c:v>
                </c:pt>
                <c:pt idx="1">
                  <c:v>Modify design to simplify work</c:v>
                </c:pt>
                <c:pt idx="2">
                  <c:v>Modify design as instructed by owner</c:v>
                </c:pt>
              </c:strCache>
            </c:strRef>
          </c:cat>
          <c:val>
            <c:numRef>
              <c:f>Sheet7!$D$2:$D$4</c:f>
              <c:numCache>
                <c:formatCode>General</c:formatCode>
                <c:ptCount val="3"/>
                <c:pt idx="0">
                  <c:v>6.25</c:v>
                </c:pt>
                <c:pt idx="1">
                  <c:v>12.5</c:v>
                </c:pt>
                <c:pt idx="2">
                  <c:v>81.25</c:v>
                </c:pt>
              </c:numCache>
            </c:numRef>
          </c:val>
          <c:extLst>
            <c:ext xmlns:c16="http://schemas.microsoft.com/office/drawing/2014/chart" uri="{C3380CC4-5D6E-409C-BE32-E72D297353CC}">
              <c16:uniqueId val="{00000002-1BD6-4521-8861-2F0DFA8CF6CA}"/>
            </c:ext>
          </c:extLst>
        </c:ser>
        <c:dLbls>
          <c:dLblPos val="ctr"/>
          <c:showLegendKey val="0"/>
          <c:showVal val="1"/>
          <c:showCatName val="0"/>
          <c:showSerName val="0"/>
          <c:showPercent val="0"/>
          <c:showBubbleSize val="0"/>
        </c:dLbls>
        <c:gapWidth val="150"/>
        <c:overlap val="100"/>
        <c:axId val="1753240975"/>
        <c:axId val="1763469951"/>
      </c:barChart>
      <c:catAx>
        <c:axId val="1753240975"/>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63469951"/>
        <c:crosses val="autoZero"/>
        <c:auto val="1"/>
        <c:lblAlgn val="ctr"/>
        <c:lblOffset val="100"/>
        <c:noMultiLvlLbl val="0"/>
      </c:catAx>
      <c:valAx>
        <c:axId val="1763469951"/>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53240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Gau16</b:Tag>
    <b:SourceType>JournalArticle</b:SourceType>
    <b:Guid>{E1139FF4-4D4C-43D0-9278-41F374F2D3BB}</b:Guid>
    <b:Title>Common structural and construction deficiencies of Nepalese</b:Title>
    <b:Year>2016</b:Year>
    <b:Author>
      <b:Author>
        <b:NameList>
          <b:Person>
            <b:Last>Gautam</b:Last>
            <b:First>Dipendra</b:First>
          </b:Person>
          <b:Person>
            <b:Last>Rodrigues</b:Last>
            <b:First>Hugo</b:First>
          </b:Person>
          <b:Person>
            <b:Last>Bhetwal</b:Last>
            <b:Middle>Kumar</b:Middle>
            <b:First>Krishna</b:First>
          </b:Person>
          <b:Person>
            <b:Last>Neupane</b:Last>
            <b:First>Pramod</b:First>
          </b:Person>
          <b:Person>
            <b:Last>Sanada</b:Last>
            <b:First>Yashusi</b:First>
          </b:Person>
        </b:NameList>
      </b:Author>
    </b:Author>
    <b:JournalName>Journal of Structure Engineering</b:JournalName>
    <b:RefOrder>1</b:RefOrder>
  </b:Source>
  <b:Source>
    <b:Tag>Placeholder1</b:Tag>
    <b:SourceType>JournalArticle</b:SourceType>
    <b:Guid>{AE87843B-BAFE-49C2-9D6C-69B5E588A6CD}</b:Guid>
    <b:Title>Existing Scenario of Building Code Implementation in Newly Formed "Nagarjun Municipality"</b:Title>
    <b:JournalName>Asian Journal of Science and Technology</b:JournalName>
    <b:Year>2017</b:Year>
    <b:Pages>6751-6762</b:Pages>
    <b:Author>
      <b:Author>
        <b:NameList>
          <b:Person>
            <b:Last>Bhattarai</b:Last>
            <b:First>Subash</b:First>
            <b:Middle>Kumar</b:Middle>
          </b:Person>
          <b:Person>
            <b:Last>Kumar</b:Last>
            <b:First>Anjaya</b:First>
          </b:Person>
        </b:NameList>
      </b:Author>
    </b:Author>
    <b:RefOrder>2</b:RefOrder>
  </b:Source>
  <b:Source>
    <b:Tag>Placeholder2</b:Tag>
    <b:SourceType>Report</b:SourceType>
    <b:Guid>{E11CF681-09B8-4DD6-9C5F-29CE2E575CA1}</b:Guid>
    <b:Title>Compliance of Concrete Strength Used in Low Rise Residential Buildings with NBC 205: A Case Study of Lalitpur Metropolitan City-28, 29, Harisiddhi</b:Title>
    <b:Year>2017</b:Year>
    <b:Publisher>Pulchwok Campus</b:Publisher>
    <b:City>Lalitpur</b:City>
    <b:Author>
      <b:Author>
        <b:NameList>
          <b:Person>
            <b:Last>Maharjan</b:Last>
            <b:First>Niman</b:First>
          </b:Person>
        </b:NameList>
      </b:Author>
    </b:Author>
    <b:RefOrder>3</b:RefOrder>
  </b:Source>
  <b:Source>
    <b:Tag>Win10</b:Tag>
    <b:SourceType>ConferenceProceedings</b:SourceType>
    <b:Guid>{1751862B-CEEB-44C2-A584-EBD1D4CBFF81}</b:Guid>
    <b:Title>A study of building contractors' compliance with national building regulations in Cape Town.</b:Title>
    <b:Year>2010</b:Year>
    <b:Publisher>COBRA 2010</b:Publisher>
    <b:Author>
      <b:Author>
        <b:NameList>
          <b:Person>
            <b:Last>Windapo</b:Last>
            <b:First>Abimbola</b:First>
          </b:Person>
          <b:Person>
            <b:Last> Cattell</b:Last>
            <b:First>Keith</b:First>
          </b:Person>
        </b:NameList>
      </b:Author>
    </b:Author>
    <b:RefOrder>4</b:RefOrder>
  </b:Source>
  <b:Source>
    <b:Tag>Shr15</b:Tag>
    <b:SourceType>ConferenceProceedings</b:SourceType>
    <b:Guid>{FA0089CF-9E84-45C7-9F23-FE2DFE694E6F}</b:Guid>
    <b:Title>Status of Building Code Compliance: A case study in Karyavinayak Municipality</b:Title>
    <b:Year>2015</b:Year>
    <b:Publisher>International Symposium on New Technologies for Urban Safety of Mega Cities in Asia (USMCA)</b:Publisher>
    <b:Author>
      <b:Author>
        <b:NameList>
          <b:Person>
            <b:Last>Shrestha</b:Last>
            <b:First>Srijana Gurung </b:First>
          </b:Person>
          <b:Person>
            <b:Last>Pradhan</b:Last>
            <b:First>Suman </b:First>
          </b:Person>
          <b:Person>
            <b:Last>Shrestha</b:Last>
            <b:First>Surya N </b:First>
          </b:Person>
        </b:NameList>
      </b:Author>
    </b:Author>
    <b:RefOrder>5</b:RefOrder>
  </b:Source>
  <b:Source>
    <b:Tag>Are17</b:Tag>
    <b:SourceType>JournalArticle</b:SourceType>
    <b:Guid>{7D387BCB-BD01-4B30-9475-A50EB75AAD1B}</b:Guid>
    <b:Title>Implementing Nepal's National Building Code: A Case Study in Patience and Persistence</b:Title>
    <b:Year>2017</b:Year>
    <b:Author>
      <b:Author>
        <b:NameList>
          <b:Person>
            <b:Last>Arendt</b:Last>
            <b:First>Lucy</b:First>
          </b:Person>
          <b:Person>
            <b:Last>EERI</b:Last>
            <b:First>M. </b:First>
          </b:Person>
          <b:Person>
            <b:Last>Hortacsu</b:Last>
            <b:First>Ayse </b:First>
          </b:Person>
          <b:Person>
            <b:Last>Jaiswal</b:Last>
            <b:First>Kishor </b:First>
          </b:Person>
          <b:Person>
            <b:Last>Shrestha</b:Last>
            <b:First>Surya </b:First>
          </b:Person>
          <b:Person>
            <b:Last>Bevington</b:Last>
            <b:First>John </b:First>
          </b:Person>
          <b:Person>
            <b:Last>Lanning</b:Last>
            <b:First>Forrest </b:First>
          </b:Person>
          <b:Person>
            <b:Last>Mentor-William</b:Last>
            <b:First>Garmalia </b:First>
          </b:Person>
        </b:NameList>
      </b:Author>
    </b:Author>
    <b:JournalName>SAGE Journals</b:JournalName>
    <b:Volume>33</b:Volume>
    <b:Issue>1</b:Issue>
    <b:RefOrder>6</b:RefOrder>
  </b:Source>
  <b:Source>
    <b:Tag>Jon17</b:Tag>
    <b:SourceType>JournalArticle</b:SourceType>
    <b:Guid>{DCA78A2A-B52F-4832-A484-D97811A72BC8}</b:Guid>
    <b:Title>Compliance with the building byelaws and earthquake safety in urban areas of Bihar: progress, constraints and challenges</b:Title>
    <b:JournalName>Environmental Hazards</b:JournalName>
    <b:Year>2017</b:Year>
    <b:Pages>1-18</b:Pages>
    <b:Volume>10</b:Volume>
    <b:Issue>16</b:Issue>
    <b:Author>
      <b:Author>
        <b:NameList>
          <b:Person>
            <b:Last>Jones</b:Last>
            <b:First>Samantha</b:First>
          </b:Person>
          <b:Person>
            <b:Last>Vasvani</b:Last>
            <b:First>Vishal</b:First>
          </b:Person>
        </b:NameList>
      </b:Author>
    </b:Author>
    <b:RefOrder>7</b:RefOrder>
  </b:Source>
  <b:Source>
    <b:Tag>Var17</b:Tag>
    <b:SourceType>BookSection</b:SourceType>
    <b:Guid>{33CFE7EF-11EA-4BF9-99BE-BDAB300BF6E4}</b:Guid>
    <b:Title>Seismic Performance of Buildings in Nepal After the Gorkha Earthquake</b:Title>
    <b:Year>2017</b:Year>
    <b:Publisher>Elsevier</b:Publisher>
    <b:Author>
      <b:Author>
        <b:NameList>
          <b:Person>
            <b:Last>Varum</b:Last>
            <b:First>H.</b:First>
          </b:Person>
          <b:Person>
            <b:Last>Dumaru</b:Last>
            <b:First>Rakesh</b:First>
          </b:Person>
          <b:Person>
            <b:Last>Furtado</b:Last>
            <b:Middle>Filipe</b:Middle>
            <b:First>André </b:First>
          </b:Person>
          <b:Person>
            <b:Last> Barbosa</b:Last>
            <b:First>Andre R.</b:First>
          </b:Person>
        </b:NameList>
      </b:Author>
      <b:Editor>
        <b:NameList>
          <b:Person>
            <b:Last>Gautam</b:Last>
            <b:First>Dipendra</b:First>
          </b:Person>
          <b:Person>
            <b:Last>Rodrigues</b:Last>
            <b:First>Hugo</b:First>
          </b:Person>
        </b:NameList>
      </b:Editor>
    </b:Author>
    <b:BookTitle>Impacts and Insights of Gorkha Earthquake</b:BookTitle>
    <b:RefOrder>8</b:RefOrder>
  </b:Source>
  <b:Source>
    <b:Tag>Nir18</b:Tag>
    <b:SourceType>Report</b:SourceType>
    <b:Guid>{EC5EC48A-E6A6-40FE-8F5B-C654EE32EDB9}</b:Guid>
    <b:Title>Status of Implementation of Building Code on Post Earthquake Reconstruction Work in Kakani Rural Municipality, Nuwakot</b:Title>
    <b:Year>2018</b:Year>
    <b:Publisher>Nepal Engineering College</b:Publisher>
    <b:City>Lalitpur</b:City>
    <b:Author>
      <b:Author>
        <b:NameList>
          <b:Person>
            <b:Last>Niraula</b:Last>
            <b:Middle>Krishna</b:Middle>
            <b:First>Bal</b:First>
          </b:Person>
        </b:NameList>
      </b:Author>
    </b:Author>
    <b:RefOrder>9</b:RefOrder>
  </b:Source>
  <b:Source>
    <b:Tag>Tha22</b:Tag>
    <b:SourceType>Report</b:SourceType>
    <b:Guid>{2C2F6ED0-0855-4C1B-840E-98382DA5BEE6}</b:Guid>
    <b:Title>Evaluation of Implementation Process of National Building Code for Reconstruction of Residential Building after Gorkha Earthquake 2015 (A Case Study of Chandragiri Municipality, Kathmandu)</b:Title>
    <b:Year>2022</b:Year>
    <b:Publisher>Nepal Engineering College</b:Publisher>
    <b:City>Lalitpur</b:City>
    <b:Author>
      <b:Author>
        <b:NameList>
          <b:Person>
            <b:Last>Thapa</b:Last>
            <b:First>Parash</b:First>
          </b:Person>
          <b:Person>
            <b:Last>Shrestha</b:Last>
            <b:Middle>Krishna</b:Middle>
            <b:First>Hari</b:First>
          </b:Person>
        </b:NameList>
      </b:Author>
    </b:Author>
    <b:RefOrder>10</b:RefOrder>
  </b:Source>
  <b:Source>
    <b:Tag>KCK23</b:Tag>
    <b:SourceType>ConferenceProceedings</b:SourceType>
    <b:Guid>{BD55BD1F-BC49-4287-BB1C-FCEE16B72A41}</b:Guid>
    <b:Title>Compliance of Building Code in Construction of Residential Buildings in Sisne Rural Municipality, Rukum (East). Nepal</b:Title>
    <b:Year>2023</b:Year>
    <b:City>Lalitpur</b:City>
    <b:Publisher>Kantipur Engineering College</b:Publisher>
    <b:Author>
      <b:Author>
        <b:NameList>
          <b:Person>
            <b:Last>K.C</b:Last>
            <b:First>Karna</b:First>
          </b:Person>
          <b:Person>
            <b:Last>Bhattarai</b:Last>
            <b:Middle>Kumar</b:Middle>
            <b:First>Subash</b:First>
          </b:Person>
          <b:Person>
            <b:Last>Katuwal</b:Last>
            <b:First>Kamal</b:First>
          </b:Person>
        </b:NameList>
      </b:Author>
    </b:Author>
    <b:RefOrder>11</b:RefOrder>
  </b:Source>
  <b:Source>
    <b:Tag>Rij25</b:Tag>
    <b:SourceType>JournalArticle</b:SourceType>
    <b:Guid>{42613F24-2CAF-415B-82B0-76DCAA0D3E0A}</b:Guid>
    <b:Title>Assessing Code Compliance and Mason Proficiency in Residential Construction in Birendranagar Municipality, Surkhet</b:Title>
    <b:JournalName>The OCEM Journal of Management, Technology &amp; Social Sciences</b:JournalName>
    <b:Year>2025</b:Year>
    <b:Pages>155-167</b:Pages>
    <b:Author>
      <b:Author>
        <b:NameList>
          <b:Person>
            <b:Last>Rijal</b:Last>
            <b:First>Neeta</b:First>
          </b:Person>
          <b:Person>
            <b:Last>Bhattarai</b:Last>
            <b:Middle>Kumar</b:Middle>
            <b:First>Subash</b:First>
          </b:Person>
          <b:Person>
            <b:Last>Khatri</b:Last>
            <b:First>Govinda</b:First>
          </b:Person>
        </b:NameList>
      </b:Author>
    </b:Author>
    <b:RefOrder>12</b:RefOrder>
  </b:Source>
</b:Sources>
</file>

<file path=customXml/itemProps1.xml><?xml version="1.0" encoding="utf-8"?>
<ds:datastoreItem xmlns:ds="http://schemas.openxmlformats.org/officeDocument/2006/customXml" ds:itemID="{4E9FEB0B-B62F-437E-A6DB-BFFF1807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19</Pages>
  <Words>6068</Words>
  <Characters>34590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2025-09-13T18:42:00Z</dcterms:created>
  <dcterms:modified xsi:type="dcterms:W3CDTF">2025-09-15T09:37:00Z</dcterms:modified>
</cp:coreProperties>
</file>