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733B" w14:textId="392667C8" w:rsidR="00776883" w:rsidRPr="008242BC" w:rsidRDefault="00CC40E3" w:rsidP="008242BC">
      <w:pPr>
        <w:jc w:val="center"/>
        <w:rPr>
          <w:rFonts w:ascii="Arial" w:hAnsi="Arial" w:cs="Arial"/>
          <w:b/>
          <w:bCs/>
          <w:sz w:val="28"/>
          <w:szCs w:val="28"/>
        </w:rPr>
      </w:pPr>
      <w:r w:rsidRPr="00CC40E3">
        <w:rPr>
          <w:rFonts w:ascii="Arial" w:hAnsi="Arial" w:cs="Arial"/>
          <w:b/>
          <w:bCs/>
          <w:sz w:val="28"/>
          <w:szCs w:val="28"/>
        </w:rPr>
        <w:t>HYDROGEN GAS AND ITS POTENTIAL FOR GAS LIFTING OIL WELL</w:t>
      </w:r>
    </w:p>
    <w:p w14:paraId="4E82E59A" w14:textId="1B9CB05C" w:rsidR="00575069" w:rsidRDefault="00575069" w:rsidP="000A7779">
      <w:pPr>
        <w:ind w:left="360"/>
        <w:rPr>
          <w:rFonts w:ascii="Arial" w:hAnsi="Arial" w:cs="Arial"/>
          <w:sz w:val="20"/>
          <w:szCs w:val="20"/>
        </w:rPr>
      </w:pPr>
    </w:p>
    <w:p w14:paraId="6526876C" w14:textId="77777777" w:rsidR="00C16E83" w:rsidRPr="000A7779" w:rsidRDefault="00C16E83" w:rsidP="000A7779">
      <w:pPr>
        <w:ind w:left="360"/>
        <w:rPr>
          <w:rFonts w:ascii="Arial" w:hAnsi="Arial" w:cs="Arial"/>
          <w:sz w:val="20"/>
          <w:szCs w:val="20"/>
        </w:rPr>
      </w:pPr>
    </w:p>
    <w:p w14:paraId="0FB03324" w14:textId="2BB11ACA" w:rsidR="00834F64" w:rsidRPr="00B36E71" w:rsidRDefault="00834F64" w:rsidP="00755BD3">
      <w:pPr>
        <w:rPr>
          <w:rFonts w:ascii="Arial" w:hAnsi="Arial" w:cs="Arial"/>
          <w:b/>
          <w:bCs/>
          <w:sz w:val="20"/>
          <w:szCs w:val="20"/>
        </w:rPr>
      </w:pPr>
      <w:r w:rsidRPr="00B36E71">
        <w:rPr>
          <w:rFonts w:ascii="Arial" w:hAnsi="Arial" w:cs="Arial"/>
          <w:b/>
          <w:bCs/>
          <w:sz w:val="20"/>
          <w:szCs w:val="20"/>
        </w:rPr>
        <w:t>ABSTRACT</w:t>
      </w:r>
    </w:p>
    <w:p w14:paraId="6CC9FF98" w14:textId="620BC803" w:rsidR="00933471" w:rsidRPr="001B1512" w:rsidRDefault="00A04E9C" w:rsidP="00CC2ACE">
      <w:pPr>
        <w:jc w:val="both"/>
        <w:rPr>
          <w:rFonts w:ascii="Arial" w:hAnsi="Arial" w:cs="Arial"/>
          <w:sz w:val="20"/>
          <w:szCs w:val="20"/>
        </w:rPr>
      </w:pPr>
      <w:r w:rsidRPr="001B1512">
        <w:rPr>
          <w:rFonts w:ascii="Arial" w:hAnsi="Arial" w:cs="Arial"/>
          <w:sz w:val="20"/>
          <w:szCs w:val="20"/>
        </w:rPr>
        <w:t>Hydrogen gas usage is expanding into various sector of our economy</w:t>
      </w:r>
      <w:r w:rsidR="00933471" w:rsidRPr="001B1512">
        <w:rPr>
          <w:rFonts w:ascii="Arial" w:hAnsi="Arial" w:cs="Arial"/>
          <w:sz w:val="20"/>
          <w:szCs w:val="20"/>
        </w:rPr>
        <w:t xml:space="preserve"> because of </w:t>
      </w:r>
      <w:proofErr w:type="spellStart"/>
      <w:r w:rsidR="00933471" w:rsidRPr="001B1512">
        <w:rPr>
          <w:rFonts w:ascii="Arial" w:hAnsi="Arial" w:cs="Arial"/>
          <w:sz w:val="20"/>
          <w:szCs w:val="20"/>
        </w:rPr>
        <w:t>it’s</w:t>
      </w:r>
      <w:proofErr w:type="spellEnd"/>
      <w:r w:rsidR="00933471" w:rsidRPr="001B1512">
        <w:rPr>
          <w:rFonts w:ascii="Arial" w:hAnsi="Arial" w:cs="Arial"/>
          <w:sz w:val="20"/>
          <w:szCs w:val="20"/>
        </w:rPr>
        <w:t xml:space="preserve"> physio-chemical properties and also due to political and economic attentions in response to rising energy demand and low carbon requirements. During the net-zero carbon transition period, oil and gas industries will continue to devise </w:t>
      </w:r>
      <w:r w:rsidR="00335B24" w:rsidRPr="001B1512">
        <w:rPr>
          <w:rFonts w:ascii="Arial" w:hAnsi="Arial" w:cs="Arial"/>
          <w:sz w:val="20"/>
          <w:szCs w:val="20"/>
        </w:rPr>
        <w:t>new</w:t>
      </w:r>
      <w:r w:rsidR="00933471" w:rsidRPr="001B1512">
        <w:rPr>
          <w:rFonts w:ascii="Arial" w:hAnsi="Arial" w:cs="Arial"/>
          <w:sz w:val="20"/>
          <w:szCs w:val="20"/>
        </w:rPr>
        <w:t xml:space="preserve"> strategies to improve oil production and also meet the low carbon requirements. </w:t>
      </w:r>
    </w:p>
    <w:p w14:paraId="3FBE8BE2" w14:textId="0810E733" w:rsidR="00CC2ACE" w:rsidRPr="000B6867" w:rsidRDefault="00933471" w:rsidP="00CC2ACE">
      <w:pPr>
        <w:jc w:val="both"/>
        <w:rPr>
          <w:rFonts w:ascii="Arial" w:hAnsi="Arial" w:cs="Arial"/>
          <w:sz w:val="20"/>
          <w:szCs w:val="20"/>
        </w:rPr>
      </w:pPr>
      <w:r w:rsidRPr="001B1512">
        <w:rPr>
          <w:rFonts w:ascii="Arial" w:hAnsi="Arial" w:cs="Arial"/>
          <w:sz w:val="20"/>
          <w:szCs w:val="20"/>
        </w:rPr>
        <w:t xml:space="preserve">Firstly, this work </w:t>
      </w:r>
      <w:r w:rsidR="009D1E43">
        <w:rPr>
          <w:rFonts w:ascii="Arial" w:hAnsi="Arial" w:cs="Arial"/>
          <w:sz w:val="20"/>
          <w:szCs w:val="20"/>
        </w:rPr>
        <w:t>presents</w:t>
      </w:r>
      <w:r w:rsidRPr="001B1512">
        <w:rPr>
          <w:rFonts w:ascii="Arial" w:hAnsi="Arial" w:cs="Arial"/>
          <w:sz w:val="20"/>
          <w:szCs w:val="20"/>
        </w:rPr>
        <w:t xml:space="preserve"> </w:t>
      </w:r>
      <w:r w:rsidR="009D1E43">
        <w:rPr>
          <w:rFonts w:ascii="Arial" w:hAnsi="Arial" w:cs="Arial"/>
          <w:sz w:val="20"/>
          <w:szCs w:val="20"/>
        </w:rPr>
        <w:t>brief report on</w:t>
      </w:r>
      <w:r w:rsidRPr="001B1512">
        <w:rPr>
          <w:rFonts w:ascii="Arial" w:hAnsi="Arial" w:cs="Arial"/>
          <w:sz w:val="20"/>
          <w:szCs w:val="20"/>
        </w:rPr>
        <w:t xml:space="preserve"> the</w:t>
      </w:r>
      <w:r w:rsidR="00CC2ACE" w:rsidRPr="001B1512">
        <w:rPr>
          <w:rFonts w:ascii="Arial" w:hAnsi="Arial" w:cs="Arial"/>
          <w:sz w:val="20"/>
          <w:szCs w:val="20"/>
        </w:rPr>
        <w:t xml:space="preserve"> production, transportation, compression, storage, deblending and usage</w:t>
      </w:r>
      <w:r w:rsidRPr="001B1512">
        <w:rPr>
          <w:rFonts w:ascii="Arial" w:hAnsi="Arial" w:cs="Arial"/>
          <w:sz w:val="20"/>
          <w:szCs w:val="20"/>
        </w:rPr>
        <w:t xml:space="preserve"> of hydrogen gas</w:t>
      </w:r>
      <w:r w:rsidR="00CC2ACE" w:rsidRPr="001B1512">
        <w:rPr>
          <w:rFonts w:ascii="Arial" w:hAnsi="Arial" w:cs="Arial"/>
          <w:sz w:val="20"/>
          <w:szCs w:val="20"/>
        </w:rPr>
        <w:t xml:space="preserve">. </w:t>
      </w:r>
      <w:r w:rsidR="00335B24" w:rsidRPr="001B1512">
        <w:rPr>
          <w:rFonts w:ascii="Arial" w:hAnsi="Arial" w:cs="Arial"/>
          <w:sz w:val="20"/>
          <w:szCs w:val="20"/>
        </w:rPr>
        <w:t xml:space="preserve"> T</w:t>
      </w:r>
      <w:r w:rsidR="00CC2ACE" w:rsidRPr="001B1512">
        <w:rPr>
          <w:rFonts w:ascii="Arial" w:hAnsi="Arial" w:cs="Arial"/>
          <w:sz w:val="20"/>
          <w:szCs w:val="20"/>
        </w:rPr>
        <w:t xml:space="preserve">he potential of </w:t>
      </w:r>
      <w:r w:rsidR="00335B24" w:rsidRPr="001B1512">
        <w:rPr>
          <w:rFonts w:ascii="Arial" w:hAnsi="Arial" w:cs="Arial"/>
          <w:sz w:val="20"/>
          <w:szCs w:val="20"/>
        </w:rPr>
        <w:t>using</w:t>
      </w:r>
      <w:r w:rsidR="00CC2ACE" w:rsidRPr="001B1512">
        <w:rPr>
          <w:rFonts w:ascii="Arial" w:hAnsi="Arial" w:cs="Arial"/>
          <w:sz w:val="20"/>
          <w:szCs w:val="20"/>
        </w:rPr>
        <w:t xml:space="preserve"> hydrogen</w:t>
      </w:r>
      <w:r w:rsidR="00335B24" w:rsidRPr="001B1512">
        <w:rPr>
          <w:rFonts w:ascii="Arial" w:hAnsi="Arial" w:cs="Arial"/>
          <w:sz w:val="20"/>
          <w:szCs w:val="20"/>
        </w:rPr>
        <w:t xml:space="preserve">-natural </w:t>
      </w:r>
      <w:r w:rsidR="00CC2ACE" w:rsidRPr="001B1512">
        <w:rPr>
          <w:rFonts w:ascii="Arial" w:hAnsi="Arial" w:cs="Arial"/>
          <w:sz w:val="20"/>
          <w:szCs w:val="20"/>
        </w:rPr>
        <w:t xml:space="preserve">gas </w:t>
      </w:r>
      <w:r w:rsidR="00335B24" w:rsidRPr="001B1512">
        <w:rPr>
          <w:rFonts w:ascii="Arial" w:hAnsi="Arial" w:cs="Arial"/>
          <w:sz w:val="20"/>
          <w:szCs w:val="20"/>
        </w:rPr>
        <w:t xml:space="preserve">blends </w:t>
      </w:r>
      <w:r w:rsidR="00CC2ACE" w:rsidRPr="001B1512">
        <w:rPr>
          <w:rFonts w:ascii="Arial" w:hAnsi="Arial" w:cs="Arial"/>
          <w:sz w:val="20"/>
          <w:szCs w:val="20"/>
        </w:rPr>
        <w:t>for gas lifting oil wells</w:t>
      </w:r>
      <w:r w:rsidR="000B6867">
        <w:rPr>
          <w:rFonts w:ascii="Arial" w:hAnsi="Arial" w:cs="Arial"/>
          <w:sz w:val="20"/>
          <w:szCs w:val="20"/>
        </w:rPr>
        <w:t xml:space="preserve"> was studied</w:t>
      </w:r>
      <w:r w:rsidR="00CC2ACE" w:rsidRPr="001B1512">
        <w:rPr>
          <w:rFonts w:ascii="Arial" w:hAnsi="Arial" w:cs="Arial"/>
          <w:sz w:val="20"/>
          <w:szCs w:val="20"/>
        </w:rPr>
        <w:t xml:space="preserve">, considering </w:t>
      </w:r>
      <w:r w:rsidR="00335B24" w:rsidRPr="001B1512">
        <w:rPr>
          <w:rFonts w:ascii="Arial" w:hAnsi="Arial" w:cs="Arial"/>
          <w:sz w:val="20"/>
          <w:szCs w:val="20"/>
        </w:rPr>
        <w:t>Well-X</w:t>
      </w:r>
      <w:r w:rsidR="00CC2ACE" w:rsidRPr="001B1512">
        <w:rPr>
          <w:rFonts w:ascii="Arial" w:hAnsi="Arial" w:cs="Arial"/>
          <w:sz w:val="20"/>
          <w:szCs w:val="20"/>
        </w:rPr>
        <w:t xml:space="preserve"> </w:t>
      </w:r>
      <w:r w:rsidR="000B6867">
        <w:rPr>
          <w:rFonts w:ascii="Arial" w:hAnsi="Arial" w:cs="Arial"/>
          <w:sz w:val="20"/>
          <w:szCs w:val="20"/>
        </w:rPr>
        <w:t xml:space="preserve">(that </w:t>
      </w:r>
      <w:r w:rsidR="000B6867" w:rsidRPr="00650CEE">
        <w:rPr>
          <w:rFonts w:ascii="Arial" w:hAnsi="Arial" w:cs="Arial"/>
          <w:sz w:val="20"/>
          <w:szCs w:val="20"/>
        </w:rPr>
        <w:t>has experienced natural gas lift for years, and a foam-assisted gas lift trial</w:t>
      </w:r>
      <w:r w:rsidR="000B6867">
        <w:rPr>
          <w:rFonts w:ascii="Arial" w:hAnsi="Arial" w:cs="Arial"/>
          <w:sz w:val="20"/>
          <w:szCs w:val="20"/>
        </w:rPr>
        <w:t xml:space="preserve"> was currently conducted) </w:t>
      </w:r>
      <w:r w:rsidR="00CC2ACE" w:rsidRPr="001B1512">
        <w:rPr>
          <w:rFonts w:ascii="Arial" w:hAnsi="Arial" w:cs="Arial"/>
          <w:sz w:val="20"/>
          <w:szCs w:val="20"/>
        </w:rPr>
        <w:t>n the Niger Delta</w:t>
      </w:r>
      <w:r w:rsidR="00335B24" w:rsidRPr="001B1512">
        <w:rPr>
          <w:rFonts w:ascii="Arial" w:hAnsi="Arial" w:cs="Arial"/>
          <w:sz w:val="20"/>
          <w:szCs w:val="20"/>
        </w:rPr>
        <w:t xml:space="preserve">. </w:t>
      </w:r>
      <w:r w:rsidR="000B6867" w:rsidRPr="00650CEE">
        <w:rPr>
          <w:rFonts w:ascii="Arial" w:hAnsi="Arial" w:cs="Arial"/>
          <w:sz w:val="20"/>
          <w:szCs w:val="20"/>
        </w:rPr>
        <w:t>The gas lifted well was modelled to match the production data from the test conducted on Well-X pre-foam assisted gas lift field trial on the well</w:t>
      </w:r>
      <w:r w:rsidR="000B6867">
        <w:rPr>
          <w:rFonts w:ascii="Arial" w:hAnsi="Arial" w:cs="Arial"/>
          <w:sz w:val="20"/>
          <w:szCs w:val="20"/>
        </w:rPr>
        <w:t xml:space="preserve">. Then, </w:t>
      </w:r>
      <w:r w:rsidR="000B6867" w:rsidRPr="00650CEE">
        <w:rPr>
          <w:rFonts w:ascii="Arial" w:hAnsi="Arial" w:cs="Arial"/>
          <w:sz w:val="20"/>
          <w:szCs w:val="20"/>
        </w:rPr>
        <w:t>further analysis of the well performance was carried out</w:t>
      </w:r>
      <w:r w:rsidR="000B6867">
        <w:rPr>
          <w:rFonts w:ascii="Arial" w:hAnsi="Arial" w:cs="Arial"/>
          <w:sz w:val="20"/>
          <w:szCs w:val="20"/>
        </w:rPr>
        <w:t xml:space="preserve">. </w:t>
      </w:r>
      <w:r w:rsidR="001B1512">
        <w:rPr>
          <w:rFonts w:ascii="Arial" w:hAnsi="Arial" w:cs="Arial"/>
          <w:sz w:val="20"/>
          <w:szCs w:val="20"/>
        </w:rPr>
        <w:t>O</w:t>
      </w:r>
      <w:r w:rsidR="00335B24" w:rsidRPr="001B1512">
        <w:rPr>
          <w:rFonts w:ascii="Arial" w:hAnsi="Arial" w:cs="Arial"/>
          <w:sz w:val="20"/>
          <w:szCs w:val="20"/>
        </w:rPr>
        <w:t xml:space="preserve">il rate increment between 10 and 22 </w:t>
      </w:r>
      <w:proofErr w:type="spellStart"/>
      <w:r w:rsidR="00335B24" w:rsidRPr="001B1512">
        <w:rPr>
          <w:rFonts w:ascii="Arial" w:hAnsi="Arial" w:cs="Arial"/>
          <w:sz w:val="20"/>
          <w:szCs w:val="20"/>
        </w:rPr>
        <w:t>stb</w:t>
      </w:r>
      <w:proofErr w:type="spellEnd"/>
      <w:r w:rsidR="00335B24" w:rsidRPr="001B1512">
        <w:rPr>
          <w:rFonts w:ascii="Arial" w:hAnsi="Arial" w:cs="Arial"/>
          <w:sz w:val="20"/>
          <w:szCs w:val="20"/>
        </w:rPr>
        <w:t xml:space="preserve">/d </w:t>
      </w:r>
      <w:r w:rsidR="001B1512">
        <w:rPr>
          <w:rFonts w:ascii="Arial" w:hAnsi="Arial" w:cs="Arial"/>
          <w:sz w:val="20"/>
          <w:szCs w:val="20"/>
        </w:rPr>
        <w:t>was</w:t>
      </w:r>
      <w:r w:rsidR="00335B24" w:rsidRPr="001B1512">
        <w:rPr>
          <w:rFonts w:ascii="Arial" w:hAnsi="Arial" w:cs="Arial"/>
          <w:sz w:val="20"/>
          <w:szCs w:val="20"/>
        </w:rPr>
        <w:t xml:space="preserve"> obtained</w:t>
      </w:r>
      <w:r w:rsidR="001B1512">
        <w:rPr>
          <w:rFonts w:ascii="Arial" w:hAnsi="Arial" w:cs="Arial"/>
          <w:sz w:val="20"/>
          <w:szCs w:val="20"/>
        </w:rPr>
        <w:t xml:space="preserve"> from the well performance simulations</w:t>
      </w:r>
      <w:r w:rsidR="000B6867">
        <w:rPr>
          <w:rFonts w:ascii="Arial" w:hAnsi="Arial" w:cs="Arial"/>
          <w:sz w:val="20"/>
          <w:szCs w:val="20"/>
        </w:rPr>
        <w:t xml:space="preserve"> </w:t>
      </w:r>
      <w:r w:rsidR="000B6867" w:rsidRPr="001B1512">
        <w:rPr>
          <w:rFonts w:ascii="Arial" w:hAnsi="Arial" w:cs="Arial"/>
          <w:sz w:val="20"/>
          <w:szCs w:val="20"/>
        </w:rPr>
        <w:t>for various hydrogen-natural blends</w:t>
      </w:r>
      <w:r w:rsidR="00335B24" w:rsidRPr="001B1512">
        <w:rPr>
          <w:rFonts w:ascii="Arial" w:hAnsi="Arial" w:cs="Arial"/>
          <w:sz w:val="20"/>
          <w:szCs w:val="20"/>
        </w:rPr>
        <w:t xml:space="preserve">, which is insignificant when compared to the reported 280 </w:t>
      </w:r>
      <w:proofErr w:type="spellStart"/>
      <w:r w:rsidR="00335B24" w:rsidRPr="001B1512">
        <w:rPr>
          <w:rFonts w:ascii="Arial" w:hAnsi="Arial" w:cs="Arial"/>
          <w:sz w:val="20"/>
          <w:szCs w:val="20"/>
        </w:rPr>
        <w:t>bbls</w:t>
      </w:r>
      <w:proofErr w:type="spellEnd"/>
      <w:r w:rsidR="00335B24" w:rsidRPr="001B1512">
        <w:rPr>
          <w:rFonts w:ascii="Arial" w:hAnsi="Arial" w:cs="Arial"/>
          <w:sz w:val="20"/>
          <w:szCs w:val="20"/>
        </w:rPr>
        <w:t>/d oil rate increment of the foam-assisted gas lift field trial</w:t>
      </w:r>
      <w:r w:rsidR="000B6867">
        <w:rPr>
          <w:rFonts w:ascii="Arial" w:hAnsi="Arial" w:cs="Arial"/>
          <w:sz w:val="20"/>
          <w:szCs w:val="20"/>
        </w:rPr>
        <w:t>.</w:t>
      </w:r>
    </w:p>
    <w:p w14:paraId="7DE7C6B2" w14:textId="0E76DBBD" w:rsidR="00CC2ACE" w:rsidRDefault="00335B24" w:rsidP="00335B24">
      <w:pPr>
        <w:jc w:val="both"/>
        <w:rPr>
          <w:rFonts w:ascii="Arial" w:hAnsi="Arial" w:cs="Arial"/>
          <w:sz w:val="20"/>
          <w:szCs w:val="20"/>
        </w:rPr>
      </w:pPr>
      <w:r w:rsidRPr="001B1512">
        <w:rPr>
          <w:rFonts w:ascii="Arial" w:hAnsi="Arial" w:cs="Arial"/>
          <w:sz w:val="20"/>
          <w:szCs w:val="20"/>
        </w:rPr>
        <w:t xml:space="preserve">Furthermore, irrespective of the hydrogen-natural gas blends, gas injection rate </w:t>
      </w:r>
      <w:r w:rsidR="00337AC1">
        <w:rPr>
          <w:rFonts w:ascii="Arial" w:hAnsi="Arial" w:cs="Arial"/>
          <w:sz w:val="20"/>
          <w:szCs w:val="20"/>
        </w:rPr>
        <w:t>has significant</w:t>
      </w:r>
      <w:r w:rsidRPr="001B1512">
        <w:rPr>
          <w:rFonts w:ascii="Arial" w:hAnsi="Arial" w:cs="Arial"/>
          <w:sz w:val="20"/>
          <w:szCs w:val="20"/>
        </w:rPr>
        <w:t xml:space="preserve"> influence</w:t>
      </w:r>
      <w:r w:rsidR="00337AC1">
        <w:rPr>
          <w:rFonts w:ascii="Arial" w:hAnsi="Arial" w:cs="Arial"/>
          <w:sz w:val="20"/>
          <w:szCs w:val="20"/>
        </w:rPr>
        <w:t xml:space="preserve"> on</w:t>
      </w:r>
      <w:r w:rsidRPr="001B1512">
        <w:rPr>
          <w:rFonts w:ascii="Arial" w:hAnsi="Arial" w:cs="Arial"/>
          <w:sz w:val="20"/>
          <w:szCs w:val="20"/>
        </w:rPr>
        <w:t xml:space="preserve"> the profitability of the production strategy. </w:t>
      </w:r>
      <w:r w:rsidR="00337AC1" w:rsidRPr="00B77BD2">
        <w:rPr>
          <w:rFonts w:ascii="Arial" w:hAnsi="Arial" w:cs="Arial"/>
          <w:sz w:val="20"/>
          <w:szCs w:val="20"/>
        </w:rPr>
        <w:t>However, the 30 % hydrogen-natural gas lift case has the least positive NPV values</w:t>
      </w:r>
      <w:r w:rsidR="00337AC1">
        <w:rPr>
          <w:rFonts w:ascii="Arial" w:hAnsi="Arial" w:cs="Arial"/>
          <w:sz w:val="20"/>
          <w:szCs w:val="20"/>
        </w:rPr>
        <w:t>,</w:t>
      </w:r>
      <w:r w:rsidR="00337AC1" w:rsidRPr="00B77BD2">
        <w:rPr>
          <w:rFonts w:ascii="Arial" w:hAnsi="Arial" w:cs="Arial"/>
          <w:sz w:val="20"/>
          <w:szCs w:val="20"/>
        </w:rPr>
        <w:t xml:space="preserve"> due to the high electrolytic hydrogen production costs of $1.11 per kg considered.</w:t>
      </w:r>
    </w:p>
    <w:p w14:paraId="6AC63431" w14:textId="1ACDB751" w:rsidR="009C5D13" w:rsidRPr="001E786D" w:rsidRDefault="00536FC7" w:rsidP="001E786D">
      <w:pPr>
        <w:jc w:val="both"/>
        <w:rPr>
          <w:rFonts w:ascii="Arial" w:hAnsi="Arial" w:cs="Arial"/>
          <w:sz w:val="20"/>
          <w:szCs w:val="20"/>
        </w:rPr>
      </w:pPr>
      <w:r w:rsidRPr="00536FC7">
        <w:rPr>
          <w:rFonts w:ascii="Arial" w:hAnsi="Arial" w:cs="Arial"/>
          <w:b/>
          <w:bCs/>
          <w:sz w:val="20"/>
          <w:szCs w:val="20"/>
        </w:rPr>
        <w:t>Keywords</w:t>
      </w:r>
      <w:r>
        <w:rPr>
          <w:rFonts w:ascii="Arial" w:hAnsi="Arial" w:cs="Arial"/>
          <w:sz w:val="20"/>
          <w:szCs w:val="20"/>
        </w:rPr>
        <w:t>: Hydrogen gas; Green energy; Natural gas; artificial lift; green hydrogen usage.</w:t>
      </w:r>
    </w:p>
    <w:p w14:paraId="24FDA0B5" w14:textId="4CE10CEB" w:rsidR="000863FB" w:rsidRPr="001C12C3" w:rsidRDefault="00F92C14" w:rsidP="00755BD3">
      <w:pPr>
        <w:rPr>
          <w:rFonts w:ascii="Arial" w:hAnsi="Arial" w:cs="Arial"/>
          <w:b/>
          <w:bCs/>
          <w:sz w:val="20"/>
          <w:szCs w:val="20"/>
        </w:rPr>
      </w:pPr>
      <w:r w:rsidRPr="001C12C3">
        <w:rPr>
          <w:rFonts w:ascii="Arial" w:hAnsi="Arial" w:cs="Arial"/>
          <w:b/>
          <w:bCs/>
          <w:sz w:val="20"/>
          <w:szCs w:val="20"/>
        </w:rPr>
        <w:t xml:space="preserve">1.0 </w:t>
      </w:r>
      <w:r w:rsidR="00A8639D" w:rsidRPr="001C12C3">
        <w:rPr>
          <w:rFonts w:ascii="Arial" w:hAnsi="Arial" w:cs="Arial"/>
          <w:b/>
          <w:bCs/>
          <w:sz w:val="20"/>
          <w:szCs w:val="20"/>
        </w:rPr>
        <w:t>Introduction</w:t>
      </w:r>
    </w:p>
    <w:p w14:paraId="52815673" w14:textId="5EB4BDFA" w:rsidR="00605BBE" w:rsidRDefault="001B1AEF" w:rsidP="000E760A">
      <w:pPr>
        <w:jc w:val="both"/>
        <w:rPr>
          <w:rFonts w:ascii="Arial" w:hAnsi="Arial" w:cs="Arial"/>
          <w:sz w:val="20"/>
          <w:szCs w:val="20"/>
        </w:rPr>
      </w:pPr>
      <w:r w:rsidRPr="001C12C3">
        <w:rPr>
          <w:rFonts w:ascii="Arial" w:hAnsi="Arial" w:cs="Arial"/>
          <w:sz w:val="20"/>
          <w:szCs w:val="20"/>
        </w:rPr>
        <w:t>Over 70% of all matters contain hydrogen. This element</w:t>
      </w:r>
      <w:r w:rsidRPr="001C12C3">
        <w:rPr>
          <w:rFonts w:ascii="Arial" w:hAnsi="Arial" w:cs="Arial"/>
          <w:b/>
          <w:bCs/>
          <w:sz w:val="20"/>
          <w:szCs w:val="20"/>
        </w:rPr>
        <w:t xml:space="preserve"> </w:t>
      </w:r>
      <w:r w:rsidRPr="001C12C3">
        <w:rPr>
          <w:rFonts w:ascii="Arial" w:hAnsi="Arial" w:cs="Arial"/>
          <w:sz w:val="20"/>
          <w:szCs w:val="20"/>
        </w:rPr>
        <w:t xml:space="preserve">has the lowest atomic weight, and both in gaseous and liquid state, the density is quite low; about 0.00523 </w:t>
      </w:r>
      <w:proofErr w:type="spellStart"/>
      <w:r w:rsidRPr="001C12C3">
        <w:rPr>
          <w:rFonts w:ascii="Arial" w:hAnsi="Arial" w:cs="Arial"/>
          <w:sz w:val="20"/>
          <w:szCs w:val="20"/>
        </w:rPr>
        <w:t>lb</w:t>
      </w:r>
      <w:proofErr w:type="spellEnd"/>
      <w:r w:rsidRPr="001C12C3">
        <w:rPr>
          <w:rFonts w:ascii="Arial" w:hAnsi="Arial" w:cs="Arial"/>
          <w:sz w:val="20"/>
          <w:szCs w:val="20"/>
        </w:rPr>
        <w:t>/ft3 when in gaseous form. Hydrogen molecule has critical temperature, pressure and volume of 33.25 K (–239 °C), 1.28 MPa and 64.99 cm</w:t>
      </w:r>
      <w:r w:rsidRPr="001C12C3">
        <w:rPr>
          <w:rFonts w:ascii="Arial" w:hAnsi="Arial" w:cs="Arial"/>
          <w:sz w:val="20"/>
          <w:szCs w:val="20"/>
          <w:vertAlign w:val="superscript"/>
        </w:rPr>
        <w:t>3</w:t>
      </w:r>
      <w:r w:rsidRPr="001C12C3">
        <w:rPr>
          <w:rFonts w:ascii="Arial" w:hAnsi="Arial" w:cs="Arial"/>
          <w:sz w:val="20"/>
          <w:szCs w:val="20"/>
        </w:rPr>
        <w:t xml:space="preserve">/mol, respectively </w:t>
      </w:r>
      <w:r w:rsidR="000E760A">
        <w:rPr>
          <w:rFonts w:ascii="Arial" w:hAnsi="Arial" w:cs="Arial"/>
          <w:sz w:val="20"/>
          <w:szCs w:val="20"/>
        </w:rPr>
        <w:t>[1]</w:t>
      </w:r>
      <w:r w:rsidRPr="001C12C3">
        <w:rPr>
          <w:rFonts w:ascii="Arial" w:hAnsi="Arial" w:cs="Arial"/>
          <w:sz w:val="20"/>
          <w:szCs w:val="20"/>
        </w:rPr>
        <w:t xml:space="preserve">. </w:t>
      </w:r>
      <w:proofErr w:type="spellStart"/>
      <w:r w:rsidRPr="001C12C3">
        <w:rPr>
          <w:rFonts w:ascii="Arial" w:hAnsi="Arial" w:cs="Arial"/>
          <w:sz w:val="20"/>
          <w:szCs w:val="20"/>
        </w:rPr>
        <w:t>Messaoudani</w:t>
      </w:r>
      <w:proofErr w:type="spellEnd"/>
      <w:r w:rsidRPr="001C12C3">
        <w:rPr>
          <w:rFonts w:ascii="Arial" w:hAnsi="Arial" w:cs="Arial"/>
          <w:sz w:val="20"/>
          <w:szCs w:val="20"/>
        </w:rPr>
        <w:t xml:space="preserve"> et al</w:t>
      </w:r>
      <w:r w:rsidR="008D5B71">
        <w:rPr>
          <w:rFonts w:ascii="Arial" w:hAnsi="Arial" w:cs="Arial"/>
          <w:sz w:val="20"/>
          <w:szCs w:val="20"/>
        </w:rPr>
        <w:t xml:space="preserve">. </w:t>
      </w:r>
      <w:r w:rsidR="000E760A">
        <w:rPr>
          <w:rFonts w:ascii="Arial" w:hAnsi="Arial" w:cs="Arial"/>
          <w:sz w:val="20"/>
          <w:szCs w:val="20"/>
        </w:rPr>
        <w:t>[2]</w:t>
      </w:r>
      <w:r w:rsidRPr="001C12C3">
        <w:rPr>
          <w:rFonts w:ascii="Arial" w:hAnsi="Arial" w:cs="Arial"/>
          <w:sz w:val="20"/>
          <w:szCs w:val="20"/>
        </w:rPr>
        <w:t xml:space="preserve"> presented a comparison table of the values of relevant properties of methane and hydrogen, showing that the physio-chemical properties of hydrogen vary significantly from those of methane. </w:t>
      </w:r>
      <w:r w:rsidR="00B27420" w:rsidRPr="001C12C3">
        <w:rPr>
          <w:rFonts w:ascii="Arial" w:hAnsi="Arial" w:cs="Arial"/>
          <w:sz w:val="20"/>
          <w:szCs w:val="20"/>
        </w:rPr>
        <w:t xml:space="preserve">Hydrogen is highly combustible with a water vapor product, when it burns. It can be safely released into the atmosphere because of its non-polluting nature </w:t>
      </w:r>
      <w:r w:rsidR="000E760A">
        <w:rPr>
          <w:rFonts w:ascii="Arial" w:hAnsi="Arial" w:cs="Arial"/>
          <w:sz w:val="20"/>
          <w:szCs w:val="20"/>
        </w:rPr>
        <w:t>[3]</w:t>
      </w:r>
      <w:r w:rsidR="00B27420" w:rsidRPr="001C12C3">
        <w:rPr>
          <w:rFonts w:ascii="Arial" w:hAnsi="Arial" w:cs="Arial"/>
          <w:sz w:val="20"/>
          <w:szCs w:val="20"/>
        </w:rPr>
        <w:t xml:space="preserve">. </w:t>
      </w:r>
      <w:r w:rsidR="00403D53" w:rsidRPr="001C12C3">
        <w:rPr>
          <w:rFonts w:ascii="Arial" w:hAnsi="Arial" w:cs="Arial"/>
          <w:sz w:val="20"/>
          <w:szCs w:val="20"/>
        </w:rPr>
        <w:t xml:space="preserve">Hydrogen gas can be produced from several sources and processes, compressed and transported to the end users or stored. </w:t>
      </w:r>
    </w:p>
    <w:p w14:paraId="4193822D" w14:textId="77777777" w:rsidR="00811049" w:rsidRPr="00811049" w:rsidRDefault="00811049" w:rsidP="000E760A">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41C0D" w14:paraId="5C1AEB53" w14:textId="77777777" w:rsidTr="00EC27C6">
        <w:tc>
          <w:tcPr>
            <w:tcW w:w="9350" w:type="dxa"/>
          </w:tcPr>
          <w:p w14:paraId="031F1FFD" w14:textId="0C60D18A" w:rsidR="00D41C0D" w:rsidRDefault="00D41C0D" w:rsidP="00605BBE">
            <w:pPr>
              <w:jc w:val="center"/>
            </w:pPr>
            <w:r>
              <w:rPr>
                <w:noProof/>
              </w:rPr>
              <w:lastRenderedPageBreak/>
              <w:drawing>
                <wp:inline distT="0" distB="0" distL="0" distR="0" wp14:anchorId="7953617D" wp14:editId="130BDECC">
                  <wp:extent cx="5187950" cy="2743200"/>
                  <wp:effectExtent l="0" t="0" r="0" b="0"/>
                  <wp:docPr id="718165561" name="Chart 1">
                    <a:extLst xmlns:a="http://schemas.openxmlformats.org/drawingml/2006/main">
                      <a:ext uri="{FF2B5EF4-FFF2-40B4-BE49-F238E27FC236}">
                        <a16:creationId xmlns:a16="http://schemas.microsoft.com/office/drawing/2014/main" id="{EFB71CBE-4D60-C84D-4D87-F478457C4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D41C0D" w14:paraId="3B9D4CA5" w14:textId="77777777" w:rsidTr="00EC27C6">
        <w:tc>
          <w:tcPr>
            <w:tcW w:w="9350" w:type="dxa"/>
          </w:tcPr>
          <w:p w14:paraId="0FC2B4C3" w14:textId="5CC495BF" w:rsidR="00D41C0D" w:rsidRPr="001C12C3" w:rsidRDefault="00D41C0D" w:rsidP="00605BBE">
            <w:pPr>
              <w:jc w:val="center"/>
              <w:rPr>
                <w:rFonts w:ascii="Arial" w:hAnsi="Arial" w:cs="Arial"/>
                <w:sz w:val="20"/>
                <w:szCs w:val="20"/>
              </w:rPr>
            </w:pPr>
            <w:r w:rsidRPr="001C12C3">
              <w:rPr>
                <w:rFonts w:ascii="Arial" w:hAnsi="Arial" w:cs="Arial"/>
                <w:sz w:val="20"/>
                <w:szCs w:val="20"/>
              </w:rPr>
              <w:t>Figure 1: Hydrogen and Methane (real gas) relationship as a function of Pressure at 80</w:t>
            </w:r>
            <w:r w:rsidRPr="001C12C3">
              <w:rPr>
                <w:rFonts w:ascii="Arial" w:hAnsi="Arial" w:cs="Arial"/>
                <w:sz w:val="20"/>
                <w:szCs w:val="20"/>
                <w:vertAlign w:val="superscript"/>
              </w:rPr>
              <w:t>o</w:t>
            </w:r>
            <w:r w:rsidRPr="001C12C3">
              <w:rPr>
                <w:rFonts w:ascii="Arial" w:hAnsi="Arial" w:cs="Arial"/>
                <w:sz w:val="20"/>
                <w:szCs w:val="20"/>
              </w:rPr>
              <w:t xml:space="preserve">F (Data extracted from </w:t>
            </w:r>
            <w:r w:rsidR="000E760A">
              <w:rPr>
                <w:rFonts w:ascii="Arial" w:hAnsi="Arial" w:cs="Arial"/>
                <w:sz w:val="20"/>
                <w:szCs w:val="20"/>
              </w:rPr>
              <w:t xml:space="preserve">[4] </w:t>
            </w:r>
            <w:r w:rsidRPr="001C12C3">
              <w:rPr>
                <w:rFonts w:ascii="Arial" w:hAnsi="Arial" w:cs="Arial"/>
                <w:sz w:val="20"/>
                <w:szCs w:val="20"/>
              </w:rPr>
              <w:t>Hydrogen Fuel Cell Engines and Related Technologies: Rev 0, December 2001</w:t>
            </w:r>
            <w:r w:rsidR="00187562" w:rsidRPr="001C12C3">
              <w:rPr>
                <w:rFonts w:ascii="Arial" w:hAnsi="Arial" w:cs="Arial"/>
                <w:sz w:val="20"/>
                <w:szCs w:val="20"/>
              </w:rPr>
              <w:t>)</w:t>
            </w:r>
            <w:r w:rsidRPr="001C12C3">
              <w:rPr>
                <w:rFonts w:ascii="Arial" w:hAnsi="Arial" w:cs="Arial"/>
                <w:sz w:val="20"/>
                <w:szCs w:val="20"/>
              </w:rPr>
              <w:t>.</w:t>
            </w:r>
          </w:p>
        </w:tc>
      </w:tr>
    </w:tbl>
    <w:p w14:paraId="0B4C8BE4" w14:textId="77777777" w:rsidR="00D41C0D" w:rsidRDefault="00D41C0D" w:rsidP="00605BBE">
      <w:pPr>
        <w:jc w:val="center"/>
      </w:pPr>
    </w:p>
    <w:p w14:paraId="6304EF99" w14:textId="48AD52BD" w:rsidR="00587E1C" w:rsidRPr="001C12C3" w:rsidRDefault="009874FC" w:rsidP="002D4D80">
      <w:pPr>
        <w:ind w:firstLine="720"/>
        <w:jc w:val="both"/>
        <w:rPr>
          <w:rFonts w:ascii="Arial" w:hAnsi="Arial" w:cs="Arial"/>
          <w:sz w:val="20"/>
          <w:szCs w:val="20"/>
        </w:rPr>
      </w:pPr>
      <w:r w:rsidRPr="002D4D80">
        <w:rPr>
          <w:rFonts w:ascii="Arial" w:hAnsi="Arial" w:cs="Arial"/>
          <w:sz w:val="20"/>
          <w:szCs w:val="20"/>
        </w:rPr>
        <w:t>The production</w:t>
      </w:r>
      <w:r w:rsidRPr="001C12C3">
        <w:rPr>
          <w:rFonts w:ascii="Arial" w:hAnsi="Arial" w:cs="Arial"/>
          <w:sz w:val="20"/>
          <w:szCs w:val="20"/>
        </w:rPr>
        <w:t xml:space="preserve"> of </w:t>
      </w:r>
      <w:r w:rsidR="00F742ED">
        <w:rPr>
          <w:rFonts w:ascii="Arial" w:hAnsi="Arial" w:cs="Arial"/>
          <w:sz w:val="20"/>
          <w:szCs w:val="20"/>
        </w:rPr>
        <w:t>h</w:t>
      </w:r>
      <w:r w:rsidRPr="001C12C3">
        <w:rPr>
          <w:rFonts w:ascii="Arial" w:hAnsi="Arial" w:cs="Arial"/>
          <w:sz w:val="20"/>
          <w:szCs w:val="20"/>
        </w:rPr>
        <w:t>ydro</w:t>
      </w:r>
      <w:r w:rsidR="00F742ED">
        <w:rPr>
          <w:rFonts w:ascii="Arial" w:hAnsi="Arial" w:cs="Arial"/>
          <w:sz w:val="20"/>
          <w:szCs w:val="20"/>
        </w:rPr>
        <w:t>gen</w:t>
      </w:r>
      <w:r w:rsidRPr="001C12C3">
        <w:rPr>
          <w:rFonts w:ascii="Arial" w:hAnsi="Arial" w:cs="Arial"/>
          <w:sz w:val="20"/>
          <w:szCs w:val="20"/>
        </w:rPr>
        <w:t xml:space="preserve"> can be from steam reforming of methane (</w:t>
      </w:r>
      <w:r w:rsidR="00982BC7" w:rsidRPr="001C12C3">
        <w:rPr>
          <w:rFonts w:ascii="Arial" w:hAnsi="Arial" w:cs="Arial"/>
          <w:sz w:val="20"/>
          <w:szCs w:val="20"/>
        </w:rPr>
        <w:t>grey</w:t>
      </w:r>
      <w:r w:rsidRPr="001C12C3">
        <w:rPr>
          <w:rFonts w:ascii="Arial" w:hAnsi="Arial" w:cs="Arial"/>
          <w:sz w:val="20"/>
          <w:szCs w:val="20"/>
        </w:rPr>
        <w:t xml:space="preserve"> hydrogen), coal gasification</w:t>
      </w:r>
      <w:r w:rsidR="00982BC7" w:rsidRPr="001C12C3">
        <w:rPr>
          <w:rFonts w:ascii="Arial" w:hAnsi="Arial" w:cs="Arial"/>
          <w:sz w:val="20"/>
          <w:szCs w:val="20"/>
        </w:rPr>
        <w:t xml:space="preserve"> (black hydrogen)</w:t>
      </w:r>
      <w:r w:rsidRPr="001C12C3">
        <w:rPr>
          <w:rFonts w:ascii="Arial" w:hAnsi="Arial" w:cs="Arial"/>
          <w:sz w:val="20"/>
          <w:szCs w:val="20"/>
        </w:rPr>
        <w:t xml:space="preserve">, </w:t>
      </w:r>
      <w:r w:rsidR="00982BC7" w:rsidRPr="001C12C3">
        <w:rPr>
          <w:rFonts w:ascii="Arial" w:hAnsi="Arial" w:cs="Arial"/>
          <w:sz w:val="20"/>
          <w:szCs w:val="20"/>
        </w:rPr>
        <w:t xml:space="preserve">and while hydrogen produced from </w:t>
      </w:r>
      <w:r w:rsidRPr="001C12C3">
        <w:rPr>
          <w:rFonts w:ascii="Arial" w:hAnsi="Arial" w:cs="Arial"/>
          <w:sz w:val="20"/>
          <w:szCs w:val="20"/>
        </w:rPr>
        <w:t>water electrolysis, wind or very low-carbon grid electricity</w:t>
      </w:r>
      <w:r w:rsidR="00982BC7" w:rsidRPr="001C12C3">
        <w:rPr>
          <w:rFonts w:ascii="Arial" w:hAnsi="Arial" w:cs="Arial"/>
          <w:sz w:val="20"/>
          <w:szCs w:val="20"/>
        </w:rPr>
        <w:t xml:space="preserve"> is </w:t>
      </w:r>
      <w:r w:rsidR="006D3CA3" w:rsidRPr="001C12C3">
        <w:rPr>
          <w:rFonts w:ascii="Arial" w:hAnsi="Arial" w:cs="Arial"/>
          <w:sz w:val="20"/>
          <w:szCs w:val="20"/>
        </w:rPr>
        <w:t>called</w:t>
      </w:r>
      <w:r w:rsidR="00982BC7" w:rsidRPr="001C12C3">
        <w:rPr>
          <w:rFonts w:ascii="Arial" w:hAnsi="Arial" w:cs="Arial"/>
          <w:sz w:val="20"/>
          <w:szCs w:val="20"/>
        </w:rPr>
        <w:t xml:space="preserve"> green hydrogen. At the moment, only 2% of </w:t>
      </w:r>
      <w:r w:rsidR="002F0388" w:rsidRPr="001C12C3">
        <w:rPr>
          <w:rFonts w:ascii="Arial" w:hAnsi="Arial" w:cs="Arial"/>
          <w:sz w:val="20"/>
          <w:szCs w:val="20"/>
        </w:rPr>
        <w:t>the world’s</w:t>
      </w:r>
      <w:r w:rsidR="00982BC7" w:rsidRPr="001C12C3">
        <w:rPr>
          <w:rFonts w:ascii="Arial" w:hAnsi="Arial" w:cs="Arial"/>
          <w:sz w:val="20"/>
          <w:szCs w:val="20"/>
        </w:rPr>
        <w:t xml:space="preserve"> hydrogen production </w:t>
      </w:r>
      <w:r w:rsidR="006E38C1" w:rsidRPr="001C12C3">
        <w:rPr>
          <w:rFonts w:ascii="Arial" w:hAnsi="Arial" w:cs="Arial"/>
          <w:sz w:val="20"/>
          <w:szCs w:val="20"/>
        </w:rPr>
        <w:t>comes</w:t>
      </w:r>
      <w:r w:rsidR="00982BC7" w:rsidRPr="001C12C3">
        <w:rPr>
          <w:rFonts w:ascii="Arial" w:hAnsi="Arial" w:cs="Arial"/>
          <w:sz w:val="20"/>
          <w:szCs w:val="20"/>
        </w:rPr>
        <w:t xml:space="preserve"> from water electrolysis </w:t>
      </w:r>
      <w:r w:rsidR="00FA2D2B">
        <w:rPr>
          <w:rFonts w:ascii="Arial" w:hAnsi="Arial" w:cs="Arial"/>
          <w:sz w:val="20"/>
          <w:szCs w:val="20"/>
        </w:rPr>
        <w:t>[5]</w:t>
      </w:r>
      <w:r w:rsidR="00982BC7" w:rsidRPr="001C12C3">
        <w:rPr>
          <w:rFonts w:ascii="Arial" w:hAnsi="Arial" w:cs="Arial"/>
          <w:sz w:val="20"/>
          <w:szCs w:val="20"/>
        </w:rPr>
        <w:t>.</w:t>
      </w:r>
      <w:r w:rsidR="00635678" w:rsidRPr="001C12C3">
        <w:rPr>
          <w:rFonts w:ascii="Arial" w:hAnsi="Arial" w:cs="Arial"/>
          <w:sz w:val="20"/>
          <w:szCs w:val="20"/>
        </w:rPr>
        <w:t xml:space="preserve"> Hydrogen production </w:t>
      </w:r>
      <w:r w:rsidR="006E38C1" w:rsidRPr="001C12C3">
        <w:rPr>
          <w:rFonts w:ascii="Arial" w:hAnsi="Arial" w:cs="Arial"/>
          <w:sz w:val="20"/>
          <w:szCs w:val="20"/>
        </w:rPr>
        <w:t xml:space="preserve">via electrolysis </w:t>
      </w:r>
      <w:r w:rsidR="00635678" w:rsidRPr="001C12C3">
        <w:rPr>
          <w:rFonts w:ascii="Arial" w:hAnsi="Arial" w:cs="Arial"/>
          <w:sz w:val="20"/>
          <w:szCs w:val="20"/>
        </w:rPr>
        <w:t xml:space="preserve">from </w:t>
      </w:r>
      <w:r w:rsidR="006E38C1" w:rsidRPr="001C12C3">
        <w:rPr>
          <w:rFonts w:ascii="Arial" w:hAnsi="Arial" w:cs="Arial"/>
          <w:sz w:val="20"/>
          <w:szCs w:val="20"/>
        </w:rPr>
        <w:t>(sea) water</w:t>
      </w:r>
      <w:r w:rsidR="00635678" w:rsidRPr="001C12C3">
        <w:rPr>
          <w:rFonts w:ascii="Arial" w:hAnsi="Arial" w:cs="Arial"/>
          <w:sz w:val="20"/>
          <w:szCs w:val="20"/>
        </w:rPr>
        <w:t xml:space="preserve"> requires </w:t>
      </w:r>
      <w:r w:rsidR="006E38C1" w:rsidRPr="001C12C3">
        <w:rPr>
          <w:rFonts w:ascii="Arial" w:hAnsi="Arial" w:cs="Arial"/>
          <w:sz w:val="20"/>
          <w:szCs w:val="20"/>
        </w:rPr>
        <w:t xml:space="preserve">desalination process, </w:t>
      </w:r>
      <w:proofErr w:type="spellStart"/>
      <w:r w:rsidR="006E38C1" w:rsidRPr="001C12C3">
        <w:rPr>
          <w:rFonts w:ascii="Arial" w:hAnsi="Arial" w:cs="Arial"/>
          <w:sz w:val="20"/>
          <w:szCs w:val="20"/>
        </w:rPr>
        <w:t>electrolyzer</w:t>
      </w:r>
      <w:proofErr w:type="spellEnd"/>
      <w:r w:rsidR="006E38C1" w:rsidRPr="001C12C3">
        <w:rPr>
          <w:rFonts w:ascii="Arial" w:hAnsi="Arial" w:cs="Arial"/>
          <w:sz w:val="20"/>
          <w:szCs w:val="20"/>
        </w:rPr>
        <w:t xml:space="preserve"> (</w:t>
      </w:r>
      <w:proofErr w:type="spellStart"/>
      <w:r w:rsidR="006E38C1" w:rsidRPr="001C12C3">
        <w:rPr>
          <w:rFonts w:ascii="Arial" w:hAnsi="Arial" w:cs="Arial"/>
          <w:sz w:val="20"/>
          <w:szCs w:val="20"/>
        </w:rPr>
        <w:t>e.g</w:t>
      </w:r>
      <w:proofErr w:type="spellEnd"/>
      <w:r w:rsidR="006E38C1" w:rsidRPr="001C12C3">
        <w:rPr>
          <w:rFonts w:ascii="Arial" w:hAnsi="Arial" w:cs="Arial"/>
          <w:sz w:val="20"/>
          <w:szCs w:val="20"/>
        </w:rPr>
        <w:t xml:space="preserve"> polymer electrolyte membrane (PEM)), and a compression stage (usually </w:t>
      </w:r>
      <w:r w:rsidR="007730FB" w:rsidRPr="001C12C3">
        <w:rPr>
          <w:rFonts w:ascii="Arial" w:hAnsi="Arial" w:cs="Arial"/>
          <w:sz w:val="20"/>
          <w:szCs w:val="20"/>
        </w:rPr>
        <w:t>to compress the gas from 30 bars to the required transportation or storage pressure).</w:t>
      </w:r>
      <w:r w:rsidR="0053789C" w:rsidRPr="001C12C3">
        <w:rPr>
          <w:rFonts w:ascii="Arial" w:hAnsi="Arial" w:cs="Arial"/>
          <w:sz w:val="20"/>
          <w:szCs w:val="20"/>
        </w:rPr>
        <w:t xml:space="preserve"> </w:t>
      </w:r>
      <w:r w:rsidR="00587E1C" w:rsidRPr="001C12C3">
        <w:rPr>
          <w:rFonts w:ascii="Arial" w:hAnsi="Arial" w:cs="Arial"/>
          <w:sz w:val="20"/>
          <w:szCs w:val="20"/>
        </w:rPr>
        <w:t>By today’s technology</w:t>
      </w:r>
      <w:r w:rsidR="0053789C" w:rsidRPr="001C12C3">
        <w:rPr>
          <w:rFonts w:ascii="Arial" w:hAnsi="Arial" w:cs="Arial"/>
          <w:sz w:val="20"/>
          <w:szCs w:val="20"/>
        </w:rPr>
        <w:t>, green hydrogen production is currently about 15 Euros per Kg</w:t>
      </w:r>
      <w:r w:rsidR="0045412C" w:rsidRPr="001C12C3">
        <w:rPr>
          <w:rFonts w:ascii="Arial" w:hAnsi="Arial" w:cs="Arial"/>
          <w:sz w:val="20"/>
          <w:szCs w:val="20"/>
        </w:rPr>
        <w:t xml:space="preserve"> </w:t>
      </w:r>
      <w:r w:rsidR="00FA2D2B">
        <w:rPr>
          <w:rFonts w:ascii="Arial" w:hAnsi="Arial" w:cs="Arial"/>
          <w:sz w:val="20"/>
          <w:szCs w:val="20"/>
        </w:rPr>
        <w:t>[6]</w:t>
      </w:r>
      <w:r w:rsidR="00587E1C" w:rsidRPr="001C12C3">
        <w:rPr>
          <w:rFonts w:ascii="Arial" w:hAnsi="Arial" w:cs="Arial"/>
          <w:sz w:val="20"/>
          <w:szCs w:val="20"/>
        </w:rPr>
        <w:t xml:space="preserve">, which is high due to the high investment for </w:t>
      </w:r>
      <w:proofErr w:type="spellStart"/>
      <w:r w:rsidR="00587E1C" w:rsidRPr="001C12C3">
        <w:rPr>
          <w:rFonts w:ascii="Arial" w:hAnsi="Arial" w:cs="Arial"/>
          <w:sz w:val="20"/>
          <w:szCs w:val="20"/>
        </w:rPr>
        <w:t>electrolyzer</w:t>
      </w:r>
      <w:proofErr w:type="spellEnd"/>
      <w:r w:rsidR="0053789C" w:rsidRPr="001C12C3">
        <w:rPr>
          <w:rFonts w:ascii="Arial" w:hAnsi="Arial" w:cs="Arial"/>
          <w:sz w:val="20"/>
          <w:szCs w:val="20"/>
        </w:rPr>
        <w:t xml:space="preserve">. </w:t>
      </w:r>
      <w:r w:rsidR="00587E1C" w:rsidRPr="001C12C3">
        <w:rPr>
          <w:rFonts w:ascii="Arial" w:hAnsi="Arial" w:cs="Arial"/>
          <w:sz w:val="20"/>
          <w:szCs w:val="20"/>
        </w:rPr>
        <w:t xml:space="preserve">The blue, grey, brown and black hydrogen production from carbon related sources are relatively cheap costs. For example, grey hydrogen currently costs an average of about $1.50/kg, as compared with roughly $6/kg of green hydrogen </w:t>
      </w:r>
      <w:r w:rsidR="00FA2D2B">
        <w:rPr>
          <w:rFonts w:ascii="Arial" w:hAnsi="Arial" w:cs="Arial"/>
          <w:sz w:val="20"/>
          <w:szCs w:val="20"/>
        </w:rPr>
        <w:t>[7]</w:t>
      </w:r>
      <w:r w:rsidR="00587E1C" w:rsidRPr="001C12C3">
        <w:rPr>
          <w:rFonts w:ascii="Arial" w:hAnsi="Arial" w:cs="Arial"/>
          <w:sz w:val="20"/>
          <w:szCs w:val="20"/>
        </w:rPr>
        <w:t>.</w:t>
      </w:r>
    </w:p>
    <w:p w14:paraId="441EA149" w14:textId="75DF05BC" w:rsidR="00755BD3" w:rsidRPr="001C12C3" w:rsidRDefault="00A21923" w:rsidP="00BD6140">
      <w:pPr>
        <w:jc w:val="both"/>
        <w:rPr>
          <w:rFonts w:ascii="Arial" w:hAnsi="Arial" w:cs="Arial"/>
          <w:sz w:val="20"/>
          <w:szCs w:val="20"/>
        </w:rPr>
      </w:pPr>
      <w:r w:rsidRPr="001C12C3">
        <w:rPr>
          <w:rFonts w:ascii="Arial" w:hAnsi="Arial" w:cs="Arial"/>
          <w:sz w:val="20"/>
          <w:szCs w:val="20"/>
        </w:rPr>
        <w:t>Tom et al</w:t>
      </w:r>
      <w:r w:rsidR="00FA2D2B">
        <w:rPr>
          <w:rFonts w:ascii="Arial" w:hAnsi="Arial" w:cs="Arial"/>
          <w:sz w:val="20"/>
          <w:szCs w:val="20"/>
        </w:rPr>
        <w:t>.</w:t>
      </w:r>
      <w:r w:rsidRPr="001C12C3">
        <w:rPr>
          <w:rFonts w:ascii="Arial" w:hAnsi="Arial" w:cs="Arial"/>
          <w:sz w:val="20"/>
          <w:szCs w:val="20"/>
        </w:rPr>
        <w:t xml:space="preserve"> </w:t>
      </w:r>
      <w:r w:rsidR="00FA2D2B">
        <w:rPr>
          <w:rFonts w:ascii="Arial" w:hAnsi="Arial" w:cs="Arial"/>
          <w:sz w:val="20"/>
          <w:szCs w:val="20"/>
        </w:rPr>
        <w:t xml:space="preserve">[8] </w:t>
      </w:r>
      <w:r w:rsidR="00755BD3" w:rsidRPr="001C12C3">
        <w:rPr>
          <w:rFonts w:ascii="Arial" w:hAnsi="Arial" w:cs="Arial"/>
          <w:sz w:val="20"/>
          <w:szCs w:val="20"/>
        </w:rPr>
        <w:t xml:space="preserve">presented a </w:t>
      </w:r>
      <w:r w:rsidR="00636307" w:rsidRPr="001C12C3">
        <w:rPr>
          <w:rFonts w:ascii="Arial" w:hAnsi="Arial" w:cs="Arial"/>
          <w:sz w:val="20"/>
          <w:szCs w:val="20"/>
        </w:rPr>
        <w:t xml:space="preserve">techno-economic </w:t>
      </w:r>
      <w:r w:rsidR="00755BD3" w:rsidRPr="001C12C3">
        <w:rPr>
          <w:rFonts w:ascii="Arial" w:hAnsi="Arial" w:cs="Arial"/>
          <w:sz w:val="20"/>
          <w:szCs w:val="20"/>
        </w:rPr>
        <w:t xml:space="preserve">study that quantifies current and future hydrogen production costs; their results showed that the most crucial factors for the overall costs of large-scale hydrogen production configurations are the amount of electricity consumed, its source and price, the (firm) supply of PV </w:t>
      </w:r>
      <w:r w:rsidR="00581899" w:rsidRPr="001C12C3">
        <w:rPr>
          <w:rFonts w:ascii="Arial" w:hAnsi="Arial" w:cs="Arial"/>
          <w:sz w:val="20"/>
          <w:szCs w:val="20"/>
        </w:rPr>
        <w:t xml:space="preserve">(photovoltaic) </w:t>
      </w:r>
      <w:r w:rsidR="00755BD3" w:rsidRPr="001C12C3">
        <w:rPr>
          <w:rFonts w:ascii="Arial" w:hAnsi="Arial" w:cs="Arial"/>
          <w:sz w:val="20"/>
          <w:szCs w:val="20"/>
        </w:rPr>
        <w:t>and wind electricity, and investments for system components. At suitable location, Hydrogen production costs of 3.7 Euro per kg H</w:t>
      </w:r>
      <w:r w:rsidR="00755BD3" w:rsidRPr="00FA2D2B">
        <w:rPr>
          <w:rFonts w:ascii="Arial" w:hAnsi="Arial" w:cs="Arial"/>
          <w:sz w:val="20"/>
          <w:szCs w:val="20"/>
          <w:vertAlign w:val="subscript"/>
        </w:rPr>
        <w:t>2</w:t>
      </w:r>
      <w:r w:rsidR="00755BD3" w:rsidRPr="001C12C3">
        <w:rPr>
          <w:rFonts w:ascii="Arial" w:hAnsi="Arial" w:cs="Arial"/>
          <w:sz w:val="20"/>
          <w:szCs w:val="20"/>
        </w:rPr>
        <w:t xml:space="preserve"> are </w:t>
      </w:r>
      <w:r w:rsidR="00636307" w:rsidRPr="001C12C3">
        <w:rPr>
          <w:rFonts w:ascii="Arial" w:hAnsi="Arial" w:cs="Arial"/>
          <w:sz w:val="20"/>
          <w:szCs w:val="20"/>
        </w:rPr>
        <w:t>feasible at present</w:t>
      </w:r>
      <w:r w:rsidR="00755BD3" w:rsidRPr="001C12C3">
        <w:rPr>
          <w:rFonts w:ascii="Arial" w:hAnsi="Arial" w:cs="Arial"/>
          <w:sz w:val="20"/>
          <w:szCs w:val="20"/>
        </w:rPr>
        <w:t xml:space="preserve"> for hybrid systems </w:t>
      </w:r>
      <w:r w:rsidR="00636307" w:rsidRPr="001C12C3">
        <w:rPr>
          <w:rFonts w:ascii="Arial" w:hAnsi="Arial" w:cs="Arial"/>
          <w:sz w:val="20"/>
          <w:szCs w:val="20"/>
        </w:rPr>
        <w:t xml:space="preserve">and </w:t>
      </w:r>
      <w:r w:rsidR="00755BD3" w:rsidRPr="001C12C3">
        <w:rPr>
          <w:rFonts w:ascii="Arial" w:hAnsi="Arial" w:cs="Arial"/>
          <w:sz w:val="20"/>
          <w:szCs w:val="20"/>
        </w:rPr>
        <w:t>might be reduced to about 2 Euro per kg H</w:t>
      </w:r>
      <w:r w:rsidR="00755BD3" w:rsidRPr="00FA2D2B">
        <w:rPr>
          <w:rFonts w:ascii="Arial" w:hAnsi="Arial" w:cs="Arial"/>
          <w:sz w:val="20"/>
          <w:szCs w:val="20"/>
          <w:vertAlign w:val="subscript"/>
        </w:rPr>
        <w:t>2</w:t>
      </w:r>
      <w:r w:rsidR="00755BD3" w:rsidRPr="001C12C3">
        <w:rPr>
          <w:rFonts w:ascii="Arial" w:hAnsi="Arial" w:cs="Arial"/>
          <w:sz w:val="20"/>
          <w:szCs w:val="20"/>
        </w:rPr>
        <w:t xml:space="preserve"> in 2040.</w:t>
      </w:r>
    </w:p>
    <w:p w14:paraId="2B203885" w14:textId="3A89248E" w:rsidR="00D726BE" w:rsidRPr="001C12C3" w:rsidRDefault="00403D53" w:rsidP="002D4D80">
      <w:pPr>
        <w:ind w:firstLine="720"/>
        <w:jc w:val="both"/>
        <w:rPr>
          <w:rFonts w:ascii="Arial" w:hAnsi="Arial" w:cs="Arial"/>
          <w:sz w:val="20"/>
          <w:szCs w:val="20"/>
        </w:rPr>
      </w:pPr>
      <w:r w:rsidRPr="002D4D80">
        <w:rPr>
          <w:rFonts w:ascii="Arial" w:hAnsi="Arial" w:cs="Arial"/>
          <w:sz w:val="20"/>
          <w:szCs w:val="20"/>
        </w:rPr>
        <w:t>Hydrogen gas compression</w:t>
      </w:r>
      <w:r w:rsidR="002D4D80" w:rsidRPr="002D4D80">
        <w:rPr>
          <w:rFonts w:ascii="Arial" w:hAnsi="Arial" w:cs="Arial"/>
          <w:sz w:val="20"/>
          <w:szCs w:val="20"/>
        </w:rPr>
        <w:t>, also requires</w:t>
      </w:r>
      <w:r w:rsidR="002D4D80">
        <w:rPr>
          <w:rFonts w:ascii="Arial" w:hAnsi="Arial" w:cs="Arial"/>
          <w:b/>
          <w:bCs/>
          <w:sz w:val="20"/>
          <w:szCs w:val="20"/>
        </w:rPr>
        <w:t xml:space="preserve"> </w:t>
      </w:r>
      <w:r w:rsidR="002D4D80">
        <w:rPr>
          <w:rFonts w:ascii="Arial" w:hAnsi="Arial" w:cs="Arial"/>
          <w:sz w:val="20"/>
          <w:szCs w:val="20"/>
        </w:rPr>
        <w:t>g</w:t>
      </w:r>
      <w:r w:rsidR="003D1D72" w:rsidRPr="001C12C3">
        <w:rPr>
          <w:rFonts w:ascii="Arial" w:hAnsi="Arial" w:cs="Arial"/>
          <w:sz w:val="20"/>
          <w:szCs w:val="20"/>
        </w:rPr>
        <w:t>as compression stations</w:t>
      </w:r>
      <w:r w:rsidR="002D4D80">
        <w:rPr>
          <w:rFonts w:ascii="Arial" w:hAnsi="Arial" w:cs="Arial"/>
          <w:sz w:val="20"/>
          <w:szCs w:val="20"/>
        </w:rPr>
        <w:t xml:space="preserve"> -</w:t>
      </w:r>
      <w:r w:rsidR="003D1D72" w:rsidRPr="001C12C3">
        <w:rPr>
          <w:rFonts w:ascii="Arial" w:hAnsi="Arial" w:cs="Arial"/>
          <w:sz w:val="20"/>
          <w:szCs w:val="20"/>
        </w:rPr>
        <w:t xml:space="preserve"> where gas compression takes place, are very vital elements in gas transmission systems.</w:t>
      </w:r>
      <w:r w:rsidR="003D1D72" w:rsidRPr="001C12C3">
        <w:rPr>
          <w:rFonts w:ascii="Arial" w:hAnsi="Arial" w:cs="Arial"/>
          <w:b/>
          <w:bCs/>
          <w:sz w:val="20"/>
          <w:szCs w:val="20"/>
        </w:rPr>
        <w:t xml:space="preserve"> </w:t>
      </w:r>
      <w:r w:rsidR="003D1D72" w:rsidRPr="001C12C3">
        <w:rPr>
          <w:rFonts w:ascii="Arial" w:hAnsi="Arial" w:cs="Arial"/>
          <w:sz w:val="20"/>
          <w:szCs w:val="20"/>
        </w:rPr>
        <w:t>T</w:t>
      </w:r>
      <w:r w:rsidR="00DC2558" w:rsidRPr="001C12C3">
        <w:rPr>
          <w:rFonts w:ascii="Arial" w:hAnsi="Arial" w:cs="Arial"/>
          <w:sz w:val="20"/>
          <w:szCs w:val="20"/>
        </w:rPr>
        <w:t>o increase the pressure of the hydrogen gas to a level that makes it practical for transportation and storage in tanks or underground reservoirs</w:t>
      </w:r>
      <w:r w:rsidR="003D1D72" w:rsidRPr="001C12C3">
        <w:rPr>
          <w:rFonts w:ascii="Arial" w:hAnsi="Arial" w:cs="Arial"/>
          <w:sz w:val="20"/>
          <w:szCs w:val="20"/>
        </w:rPr>
        <w:t>, compressors are used</w:t>
      </w:r>
      <w:r w:rsidR="00DC2558" w:rsidRPr="001C12C3">
        <w:rPr>
          <w:rFonts w:ascii="Arial" w:hAnsi="Arial" w:cs="Arial"/>
          <w:sz w:val="20"/>
          <w:szCs w:val="20"/>
        </w:rPr>
        <w:t>. The major compression technologies used for hydrogen applications are</w:t>
      </w:r>
      <w:r w:rsidR="003D1D72" w:rsidRPr="001C12C3">
        <w:rPr>
          <w:rFonts w:ascii="Arial" w:hAnsi="Arial" w:cs="Arial"/>
          <w:sz w:val="20"/>
          <w:szCs w:val="20"/>
        </w:rPr>
        <w:t xml:space="preserve"> similar to that of natural gas; the positive displacement, dynamic and the non-mechanical compressors. </w:t>
      </w:r>
      <w:r w:rsidR="00D726BE" w:rsidRPr="001C12C3">
        <w:rPr>
          <w:rFonts w:ascii="Arial" w:hAnsi="Arial" w:cs="Arial"/>
          <w:sz w:val="20"/>
          <w:szCs w:val="20"/>
        </w:rPr>
        <w:t>The choice of the suitable compressor during design work and the selection stage is determined primarily by flow rates, gas composition, suction pressure and temperature, discharge pressure, structural features (for reciprocating compressors: number of cylinders, cooling, flow control) and number units [9</w:t>
      </w:r>
      <w:r w:rsidR="00FA2D2B">
        <w:rPr>
          <w:rFonts w:ascii="Arial" w:hAnsi="Arial" w:cs="Arial"/>
          <w:sz w:val="20"/>
          <w:szCs w:val="20"/>
        </w:rPr>
        <w:t>]</w:t>
      </w:r>
      <w:r w:rsidR="00D726BE" w:rsidRPr="001C12C3">
        <w:rPr>
          <w:rFonts w:ascii="Arial" w:hAnsi="Arial" w:cs="Arial"/>
          <w:sz w:val="20"/>
          <w:szCs w:val="20"/>
        </w:rPr>
        <w:t>. Other</w:t>
      </w:r>
      <w:r w:rsidR="00D726BE">
        <w:t xml:space="preserve"> </w:t>
      </w:r>
      <w:r w:rsidR="00D726BE" w:rsidRPr="001C12C3">
        <w:rPr>
          <w:rFonts w:ascii="Arial" w:hAnsi="Arial" w:cs="Arial"/>
          <w:sz w:val="20"/>
          <w:szCs w:val="20"/>
        </w:rPr>
        <w:t>general</w:t>
      </w:r>
      <w:r w:rsidR="003D1D72" w:rsidRPr="001C12C3">
        <w:rPr>
          <w:rFonts w:ascii="Arial" w:hAnsi="Arial" w:cs="Arial"/>
          <w:sz w:val="20"/>
          <w:szCs w:val="20"/>
        </w:rPr>
        <w:t xml:space="preserve"> </w:t>
      </w:r>
      <w:r w:rsidR="008513F0" w:rsidRPr="001C12C3">
        <w:rPr>
          <w:rFonts w:ascii="Arial" w:hAnsi="Arial" w:cs="Arial"/>
          <w:sz w:val="20"/>
          <w:szCs w:val="20"/>
        </w:rPr>
        <w:t>factors considere</w:t>
      </w:r>
      <w:r w:rsidR="00D726BE" w:rsidRPr="001C12C3">
        <w:rPr>
          <w:rFonts w:ascii="Arial" w:hAnsi="Arial" w:cs="Arial"/>
          <w:sz w:val="20"/>
          <w:szCs w:val="20"/>
        </w:rPr>
        <w:t>d</w:t>
      </w:r>
      <w:r w:rsidR="008513F0" w:rsidRPr="001C12C3">
        <w:rPr>
          <w:rFonts w:ascii="Arial" w:hAnsi="Arial" w:cs="Arial"/>
          <w:sz w:val="20"/>
          <w:szCs w:val="20"/>
        </w:rPr>
        <w:t xml:space="preserve"> are; CAPEX, OPEX, efficiency, MTBF, technology maturity and pulsations, vibrations and noise. </w:t>
      </w:r>
      <w:r w:rsidR="001E786D">
        <w:rPr>
          <w:rFonts w:ascii="Arial" w:hAnsi="Arial" w:cs="Arial"/>
          <w:sz w:val="20"/>
          <w:szCs w:val="20"/>
        </w:rPr>
        <w:t>F</w:t>
      </w:r>
      <w:r w:rsidR="008513F0" w:rsidRPr="001C12C3">
        <w:rPr>
          <w:rFonts w:ascii="Arial" w:hAnsi="Arial" w:cs="Arial"/>
          <w:sz w:val="20"/>
          <w:szCs w:val="20"/>
        </w:rPr>
        <w:t xml:space="preserve">igure </w:t>
      </w:r>
      <w:r w:rsidR="001E786D">
        <w:rPr>
          <w:rFonts w:ascii="Arial" w:hAnsi="Arial" w:cs="Arial"/>
          <w:sz w:val="20"/>
          <w:szCs w:val="20"/>
        </w:rPr>
        <w:t>2</w:t>
      </w:r>
      <w:r w:rsidR="008513F0" w:rsidRPr="001C12C3">
        <w:rPr>
          <w:rFonts w:ascii="Arial" w:hAnsi="Arial" w:cs="Arial"/>
          <w:sz w:val="20"/>
          <w:szCs w:val="20"/>
        </w:rPr>
        <w:t xml:space="preserve"> </w:t>
      </w:r>
      <w:r w:rsidR="00FA2D2B">
        <w:rPr>
          <w:rFonts w:ascii="Arial" w:hAnsi="Arial" w:cs="Arial"/>
          <w:sz w:val="20"/>
          <w:szCs w:val="20"/>
        </w:rPr>
        <w:t xml:space="preserve">[10] </w:t>
      </w:r>
      <w:r w:rsidR="00D726BE" w:rsidRPr="001C12C3">
        <w:rPr>
          <w:rFonts w:ascii="Arial" w:hAnsi="Arial" w:cs="Arial"/>
          <w:sz w:val="20"/>
          <w:szCs w:val="20"/>
        </w:rPr>
        <w:t xml:space="preserve">(from EFRC, 2022) </w:t>
      </w:r>
      <w:r w:rsidR="008513F0" w:rsidRPr="001C12C3">
        <w:rPr>
          <w:rFonts w:ascii="Arial" w:hAnsi="Arial" w:cs="Arial"/>
          <w:sz w:val="20"/>
          <w:szCs w:val="20"/>
        </w:rPr>
        <w:t>shows compressor map with current industrial references (dots) and performance ranges (lines) for pure hydrogen applications. Centrifugal compressors</w:t>
      </w:r>
      <w:r w:rsidR="008513F0">
        <w:t xml:space="preserve"> </w:t>
      </w:r>
      <w:r w:rsidR="008513F0" w:rsidRPr="001C12C3">
        <w:rPr>
          <w:rFonts w:ascii="Arial" w:hAnsi="Arial" w:cs="Arial"/>
          <w:sz w:val="20"/>
          <w:szCs w:val="20"/>
        </w:rPr>
        <w:t>are absent in the map, as no industrial references were found on pure hydrogen</w:t>
      </w:r>
      <w:r w:rsidR="00D726BE" w:rsidRPr="001C12C3">
        <w:rPr>
          <w:rFonts w:ascii="Arial" w:hAnsi="Arial" w:cs="Arial"/>
          <w:sz w:val="20"/>
          <w:szCs w:val="20"/>
        </w:rPr>
        <w:t xml:space="preserve"> for </w:t>
      </w:r>
      <w:r w:rsidR="008513F0" w:rsidRPr="001C12C3">
        <w:rPr>
          <w:rFonts w:ascii="Arial" w:hAnsi="Arial" w:cs="Arial"/>
          <w:sz w:val="20"/>
          <w:szCs w:val="20"/>
        </w:rPr>
        <w:t xml:space="preserve">active field of development in industry.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26BE" w14:paraId="74443A34" w14:textId="77777777" w:rsidTr="00EC27C6">
        <w:tc>
          <w:tcPr>
            <w:tcW w:w="9350" w:type="dxa"/>
          </w:tcPr>
          <w:p w14:paraId="02C5AB2B" w14:textId="55EEA4B6" w:rsidR="00D726BE" w:rsidRDefault="00D726BE" w:rsidP="00D726BE">
            <w:pPr>
              <w:jc w:val="center"/>
            </w:pPr>
            <w:r>
              <w:rPr>
                <w:noProof/>
              </w:rPr>
              <w:lastRenderedPageBreak/>
              <w:drawing>
                <wp:inline distT="0" distB="0" distL="0" distR="0" wp14:anchorId="3F31C20B" wp14:editId="72C54238">
                  <wp:extent cx="4419600" cy="2597150"/>
                  <wp:effectExtent l="0" t="0" r="0" b="0"/>
                  <wp:docPr id="58603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0245" name=""/>
                          <pic:cNvPicPr/>
                        </pic:nvPicPr>
                        <pic:blipFill rotWithShape="1">
                          <a:blip r:embed="rId8"/>
                          <a:srcRect l="49971" t="24544" r="9630" b="24740"/>
                          <a:stretch/>
                        </pic:blipFill>
                        <pic:spPr bwMode="auto">
                          <a:xfrm>
                            <a:off x="0" y="0"/>
                            <a:ext cx="4419600" cy="2597150"/>
                          </a:xfrm>
                          <a:prstGeom prst="rect">
                            <a:avLst/>
                          </a:prstGeom>
                          <a:ln>
                            <a:noFill/>
                          </a:ln>
                          <a:extLst>
                            <a:ext uri="{53640926-AAD7-44D8-BBD7-CCE9431645EC}">
                              <a14:shadowObscured xmlns:a14="http://schemas.microsoft.com/office/drawing/2010/main"/>
                            </a:ext>
                          </a:extLst>
                        </pic:spPr>
                      </pic:pic>
                    </a:graphicData>
                  </a:graphic>
                </wp:inline>
              </w:drawing>
            </w:r>
          </w:p>
        </w:tc>
      </w:tr>
      <w:tr w:rsidR="00D726BE" w14:paraId="750CF703" w14:textId="77777777" w:rsidTr="00EC27C6">
        <w:tc>
          <w:tcPr>
            <w:tcW w:w="9350" w:type="dxa"/>
          </w:tcPr>
          <w:p w14:paraId="3823C763" w14:textId="77777777" w:rsidR="00EC27C6" w:rsidRDefault="00EC27C6" w:rsidP="008513F0">
            <w:pPr>
              <w:rPr>
                <w:rFonts w:ascii="Arial" w:hAnsi="Arial" w:cs="Arial"/>
                <w:sz w:val="20"/>
                <w:szCs w:val="20"/>
              </w:rPr>
            </w:pPr>
          </w:p>
          <w:p w14:paraId="7879D5D3" w14:textId="7F6A9D5C" w:rsidR="00D726BE" w:rsidRPr="00D17C28" w:rsidRDefault="00482977" w:rsidP="008513F0">
            <w:pPr>
              <w:rPr>
                <w:rFonts w:ascii="Arial" w:hAnsi="Arial" w:cs="Arial"/>
                <w:sz w:val="20"/>
                <w:szCs w:val="20"/>
              </w:rPr>
            </w:pPr>
            <w:r w:rsidRPr="00D17C28">
              <w:rPr>
                <w:rFonts w:ascii="Arial" w:hAnsi="Arial" w:cs="Arial"/>
                <w:sz w:val="20"/>
                <w:szCs w:val="20"/>
              </w:rPr>
              <w:t xml:space="preserve">Figure 2: Compressor map with current industrial references (dots) and performance ranges (lines) for pure hydrogen applications </w:t>
            </w:r>
            <w:r w:rsidR="00251EC9">
              <w:rPr>
                <w:rFonts w:ascii="Arial" w:hAnsi="Arial" w:cs="Arial"/>
                <w:sz w:val="20"/>
                <w:szCs w:val="20"/>
              </w:rPr>
              <w:t xml:space="preserve">[10] </w:t>
            </w:r>
            <w:r w:rsidRPr="00D17C28">
              <w:rPr>
                <w:rFonts w:ascii="Arial" w:hAnsi="Arial" w:cs="Arial"/>
                <w:sz w:val="20"/>
                <w:szCs w:val="20"/>
              </w:rPr>
              <w:t>(EFRC, 2022)</w:t>
            </w:r>
          </w:p>
        </w:tc>
      </w:tr>
    </w:tbl>
    <w:p w14:paraId="5EEDE099" w14:textId="77777777" w:rsidR="00496ED4" w:rsidRDefault="00496ED4" w:rsidP="00F85BA3">
      <w:pPr>
        <w:jc w:val="both"/>
      </w:pPr>
    </w:p>
    <w:p w14:paraId="1D2AC7D9" w14:textId="775140D2" w:rsidR="005201D6" w:rsidRPr="0011284C" w:rsidRDefault="005201D6" w:rsidP="00F85BA3">
      <w:pPr>
        <w:jc w:val="both"/>
        <w:rPr>
          <w:rFonts w:ascii="Arial" w:hAnsi="Arial" w:cs="Arial"/>
          <w:sz w:val="20"/>
          <w:szCs w:val="20"/>
        </w:rPr>
      </w:pPr>
      <w:proofErr w:type="spellStart"/>
      <w:r w:rsidRPr="0011284C">
        <w:rPr>
          <w:rFonts w:ascii="Arial" w:hAnsi="Arial" w:cs="Arial"/>
          <w:sz w:val="20"/>
          <w:szCs w:val="20"/>
        </w:rPr>
        <w:t>Zabrzeski</w:t>
      </w:r>
      <w:proofErr w:type="spellEnd"/>
      <w:r w:rsidRPr="0011284C">
        <w:rPr>
          <w:rFonts w:ascii="Arial" w:hAnsi="Arial" w:cs="Arial"/>
          <w:sz w:val="20"/>
          <w:szCs w:val="20"/>
        </w:rPr>
        <w:t xml:space="preserve"> et al</w:t>
      </w:r>
      <w:r w:rsidR="00251EC9">
        <w:rPr>
          <w:rFonts w:ascii="Arial" w:hAnsi="Arial" w:cs="Arial"/>
          <w:sz w:val="20"/>
          <w:szCs w:val="20"/>
        </w:rPr>
        <w:t>. [11]</w:t>
      </w:r>
      <w:r w:rsidRPr="0011284C">
        <w:rPr>
          <w:rFonts w:ascii="Arial" w:hAnsi="Arial" w:cs="Arial"/>
          <w:sz w:val="20"/>
          <w:szCs w:val="20"/>
        </w:rPr>
        <w:t>, in their study</w:t>
      </w:r>
      <w:r w:rsidR="00EA5E53" w:rsidRPr="0011284C">
        <w:rPr>
          <w:rFonts w:ascii="Arial" w:hAnsi="Arial" w:cs="Arial"/>
          <w:sz w:val="20"/>
          <w:szCs w:val="20"/>
        </w:rPr>
        <w:t xml:space="preserve"> of a hydrogen-natural gas mixture compression transporting through high pressure gas pipelines</w:t>
      </w:r>
      <w:r w:rsidRPr="0011284C">
        <w:rPr>
          <w:rFonts w:ascii="Arial" w:hAnsi="Arial" w:cs="Arial"/>
          <w:sz w:val="20"/>
          <w:szCs w:val="20"/>
        </w:rPr>
        <w:t xml:space="preserve">, showed that the greater the distance, the greater the difference between the required compression ratio for varying hydrogen-natural gas mixtures, and </w:t>
      </w:r>
      <w:r w:rsidR="00145007" w:rsidRPr="0011284C">
        <w:rPr>
          <w:rFonts w:ascii="Arial" w:hAnsi="Arial" w:cs="Arial"/>
          <w:sz w:val="20"/>
          <w:szCs w:val="20"/>
        </w:rPr>
        <w:t>significant power requirement can be obtained from</w:t>
      </w:r>
      <w:r w:rsidRPr="0011284C">
        <w:rPr>
          <w:rFonts w:ascii="Arial" w:hAnsi="Arial" w:cs="Arial"/>
          <w:sz w:val="20"/>
          <w:szCs w:val="20"/>
        </w:rPr>
        <w:t xml:space="preserve"> a small amount of hydrogen. </w:t>
      </w:r>
    </w:p>
    <w:p w14:paraId="1F228D0C" w14:textId="630C2FF4" w:rsidR="009E7A2F" w:rsidRPr="0011284C" w:rsidRDefault="009E7A2F" w:rsidP="002D4D80">
      <w:pPr>
        <w:ind w:firstLine="720"/>
        <w:jc w:val="both"/>
        <w:rPr>
          <w:rFonts w:ascii="Arial" w:hAnsi="Arial" w:cs="Arial"/>
          <w:sz w:val="20"/>
          <w:szCs w:val="20"/>
        </w:rPr>
      </w:pPr>
      <w:r w:rsidRPr="0011284C">
        <w:rPr>
          <w:rFonts w:ascii="Arial" w:hAnsi="Arial" w:cs="Arial"/>
          <w:sz w:val="20"/>
          <w:szCs w:val="20"/>
        </w:rPr>
        <w:t>To assure s</w:t>
      </w:r>
      <w:r w:rsidR="00F85BA3" w:rsidRPr="0011284C">
        <w:rPr>
          <w:rFonts w:ascii="Arial" w:hAnsi="Arial" w:cs="Arial"/>
          <w:sz w:val="20"/>
          <w:szCs w:val="20"/>
        </w:rPr>
        <w:t xml:space="preserve">teady </w:t>
      </w:r>
      <w:r w:rsidRPr="0011284C">
        <w:rPr>
          <w:rFonts w:ascii="Arial" w:hAnsi="Arial" w:cs="Arial"/>
          <w:sz w:val="20"/>
          <w:szCs w:val="20"/>
        </w:rPr>
        <w:t>supply at periods of lower production, hydrogen gas is stored in various media. High-pressure hydrogen storage tanks (typically in the range of 350–700 bar to enable a larger amount of hydrogen to be stored in a smaller volume)</w:t>
      </w:r>
      <w:r w:rsidRPr="0011284C">
        <w:rPr>
          <w:rFonts w:ascii="Arial" w:hAnsi="Arial" w:cs="Arial"/>
          <w:b/>
          <w:bCs/>
          <w:sz w:val="20"/>
          <w:szCs w:val="20"/>
        </w:rPr>
        <w:t xml:space="preserve"> </w:t>
      </w:r>
      <w:r w:rsidRPr="0011284C">
        <w:rPr>
          <w:rFonts w:ascii="Arial" w:hAnsi="Arial" w:cs="Arial"/>
          <w:sz w:val="20"/>
          <w:szCs w:val="20"/>
        </w:rPr>
        <w:t xml:space="preserve">are expected at different scales at several locations, both onshore and offshore </w:t>
      </w:r>
      <w:r w:rsidR="006865D4">
        <w:rPr>
          <w:rFonts w:ascii="Arial" w:hAnsi="Arial" w:cs="Arial"/>
          <w:sz w:val="20"/>
          <w:szCs w:val="20"/>
        </w:rPr>
        <w:t>[12]</w:t>
      </w:r>
      <w:r w:rsidRPr="0011284C">
        <w:rPr>
          <w:rFonts w:ascii="Arial" w:hAnsi="Arial" w:cs="Arial"/>
          <w:sz w:val="20"/>
          <w:szCs w:val="20"/>
        </w:rPr>
        <w:t xml:space="preserve">. For a larger capacity and on longer time period, salt caverns are currently prepared as underground hydrogen storage sites, with expected discharge pressures of up to 200 bara. </w:t>
      </w:r>
    </w:p>
    <w:p w14:paraId="39377223" w14:textId="5B605B47" w:rsidR="009E7A2F" w:rsidRPr="0011284C" w:rsidRDefault="00372923" w:rsidP="002D4D80">
      <w:pPr>
        <w:ind w:firstLine="720"/>
        <w:jc w:val="both"/>
        <w:rPr>
          <w:rFonts w:ascii="Arial" w:hAnsi="Arial" w:cs="Arial"/>
          <w:sz w:val="20"/>
          <w:szCs w:val="20"/>
        </w:rPr>
      </w:pPr>
      <w:r w:rsidRPr="0011284C">
        <w:rPr>
          <w:rFonts w:ascii="Arial" w:hAnsi="Arial" w:cs="Arial"/>
          <w:sz w:val="20"/>
          <w:szCs w:val="20"/>
        </w:rPr>
        <w:t>Relevant standards for pure hydrogen transportation pipelines have been given by many countries; for example, ASME B31.12–2019</w:t>
      </w:r>
      <w:r w:rsidR="008D5B71">
        <w:rPr>
          <w:rFonts w:ascii="Arial" w:hAnsi="Arial" w:cs="Arial"/>
          <w:sz w:val="20"/>
          <w:szCs w:val="20"/>
        </w:rPr>
        <w:t xml:space="preserve"> [13],</w:t>
      </w:r>
      <w:r w:rsidRPr="0011284C">
        <w:rPr>
          <w:rFonts w:ascii="Arial" w:hAnsi="Arial" w:cs="Arial"/>
          <w:sz w:val="20"/>
          <w:szCs w:val="20"/>
        </w:rPr>
        <w:t xml:space="preserve"> CGAG-5.6-2005 - revised in 2013</w:t>
      </w:r>
      <w:r w:rsidR="008D5B71">
        <w:rPr>
          <w:rFonts w:ascii="Arial" w:hAnsi="Arial" w:cs="Arial"/>
          <w:sz w:val="20"/>
          <w:szCs w:val="20"/>
        </w:rPr>
        <w:t xml:space="preserve"> [14]</w:t>
      </w:r>
      <w:r w:rsidRPr="0011284C">
        <w:rPr>
          <w:rFonts w:ascii="Arial" w:hAnsi="Arial" w:cs="Arial"/>
          <w:sz w:val="20"/>
          <w:szCs w:val="20"/>
        </w:rPr>
        <w:t>, AIGA 033/06–2006</w:t>
      </w:r>
      <w:r w:rsidR="008D5B71">
        <w:rPr>
          <w:rFonts w:ascii="Arial" w:hAnsi="Arial" w:cs="Arial"/>
          <w:sz w:val="20"/>
          <w:szCs w:val="20"/>
        </w:rPr>
        <w:t xml:space="preserve"> [15]</w:t>
      </w:r>
      <w:r w:rsidRPr="0011284C">
        <w:rPr>
          <w:rFonts w:ascii="Arial" w:hAnsi="Arial" w:cs="Arial"/>
          <w:sz w:val="20"/>
          <w:szCs w:val="20"/>
        </w:rPr>
        <w:t>.  Many of these standards covers aspects of design, construction, operation, and maintenance of long-distance piping, sub-piping, and service piping systems of transportation of hydrogen, hydrogen mixtures, and liquid hydrogen (with volume fraction of less than 10 %) from the manufacturing plant to the place of use. Existing natural gas transmission network can be used but issues such as; increase of corrosivity of pipes caused by the presence of hydrogen or its increased emissivity compared to natural gas components</w:t>
      </w:r>
      <w:r w:rsidR="005B78CD">
        <w:rPr>
          <w:rFonts w:ascii="Arial" w:hAnsi="Arial" w:cs="Arial"/>
          <w:sz w:val="20"/>
          <w:szCs w:val="20"/>
        </w:rPr>
        <w:t xml:space="preserve"> </w:t>
      </w:r>
      <w:r w:rsidRPr="0011284C">
        <w:rPr>
          <w:rFonts w:ascii="Arial" w:hAnsi="Arial" w:cs="Arial"/>
          <w:sz w:val="20"/>
          <w:szCs w:val="20"/>
        </w:rPr>
        <w:t>[</w:t>
      </w:r>
      <w:r w:rsidR="005B78CD">
        <w:rPr>
          <w:rFonts w:ascii="Arial" w:hAnsi="Arial" w:cs="Arial"/>
          <w:sz w:val="20"/>
          <w:szCs w:val="20"/>
        </w:rPr>
        <w:t>1</w:t>
      </w:r>
      <w:r w:rsidRPr="0011284C">
        <w:rPr>
          <w:rFonts w:ascii="Arial" w:hAnsi="Arial" w:cs="Arial"/>
          <w:sz w:val="20"/>
          <w:szCs w:val="20"/>
        </w:rPr>
        <w:t xml:space="preserve">6], need to be managed. However, studies have shown that the maximum amount of hydrogen that will not significantly affect transport safety and use of the entire mixture is 10% </w:t>
      </w:r>
      <w:r w:rsidR="00726E5A" w:rsidRPr="0011284C">
        <w:rPr>
          <w:rFonts w:ascii="Arial" w:hAnsi="Arial" w:cs="Arial"/>
          <w:sz w:val="20"/>
          <w:szCs w:val="20"/>
        </w:rPr>
        <w:t>(</w:t>
      </w:r>
      <w:r w:rsidRPr="0011284C">
        <w:rPr>
          <w:rFonts w:ascii="Arial" w:hAnsi="Arial" w:cs="Arial"/>
          <w:sz w:val="20"/>
          <w:szCs w:val="20"/>
        </w:rPr>
        <w:t>[</w:t>
      </w:r>
      <w:r w:rsidR="005B78CD">
        <w:rPr>
          <w:rFonts w:ascii="Arial" w:hAnsi="Arial" w:cs="Arial"/>
          <w:sz w:val="20"/>
          <w:szCs w:val="20"/>
        </w:rPr>
        <w:t>17</w:t>
      </w:r>
      <w:r w:rsidRPr="0011284C">
        <w:rPr>
          <w:rFonts w:ascii="Arial" w:hAnsi="Arial" w:cs="Arial"/>
          <w:sz w:val="20"/>
          <w:szCs w:val="20"/>
        </w:rPr>
        <w:t>], 20-30% [</w:t>
      </w:r>
      <w:r w:rsidR="005B78CD">
        <w:rPr>
          <w:rFonts w:ascii="Arial" w:hAnsi="Arial" w:cs="Arial"/>
          <w:sz w:val="20"/>
          <w:szCs w:val="20"/>
        </w:rPr>
        <w:t>1</w:t>
      </w:r>
      <w:r w:rsidRPr="0011284C">
        <w:rPr>
          <w:rFonts w:ascii="Arial" w:hAnsi="Arial" w:cs="Arial"/>
          <w:sz w:val="20"/>
          <w:szCs w:val="20"/>
        </w:rPr>
        <w:t>8, 1</w:t>
      </w:r>
      <w:r w:rsidR="005B78CD">
        <w:rPr>
          <w:rFonts w:ascii="Arial" w:hAnsi="Arial" w:cs="Arial"/>
          <w:sz w:val="20"/>
          <w:szCs w:val="20"/>
        </w:rPr>
        <w:t>9</w:t>
      </w:r>
      <w:r w:rsidRPr="0011284C">
        <w:rPr>
          <w:rFonts w:ascii="Arial" w:hAnsi="Arial" w:cs="Arial"/>
          <w:sz w:val="20"/>
          <w:szCs w:val="20"/>
        </w:rPr>
        <w:t>]</w:t>
      </w:r>
      <w:r w:rsidR="008D5B71">
        <w:rPr>
          <w:rFonts w:ascii="Arial" w:hAnsi="Arial" w:cs="Arial"/>
          <w:sz w:val="20"/>
          <w:szCs w:val="20"/>
        </w:rPr>
        <w:t xml:space="preserve"> </w:t>
      </w:r>
      <w:r w:rsidRPr="0011284C">
        <w:rPr>
          <w:rFonts w:ascii="Arial" w:hAnsi="Arial" w:cs="Arial"/>
          <w:sz w:val="20"/>
          <w:szCs w:val="20"/>
        </w:rPr>
        <w:t>and even 50% or more [</w:t>
      </w:r>
      <w:r w:rsidR="00213B02">
        <w:rPr>
          <w:rFonts w:ascii="Arial" w:hAnsi="Arial" w:cs="Arial"/>
          <w:sz w:val="20"/>
          <w:szCs w:val="20"/>
        </w:rPr>
        <w:t>20]</w:t>
      </w:r>
      <w:r w:rsidRPr="0011284C">
        <w:rPr>
          <w:rFonts w:ascii="Arial" w:hAnsi="Arial" w:cs="Arial"/>
          <w:sz w:val="20"/>
          <w:szCs w:val="20"/>
        </w:rPr>
        <w:t xml:space="preserve"> depending on the criteria taken into account.</w:t>
      </w:r>
    </w:p>
    <w:p w14:paraId="7BCA680E" w14:textId="285362D3" w:rsidR="00030827" w:rsidRPr="002D4D80" w:rsidRDefault="009E7A2F" w:rsidP="002D4D80">
      <w:pPr>
        <w:ind w:firstLine="720"/>
        <w:jc w:val="both"/>
        <w:rPr>
          <w:rFonts w:ascii="Arial" w:hAnsi="Arial" w:cs="Arial"/>
          <w:sz w:val="20"/>
          <w:szCs w:val="20"/>
        </w:rPr>
      </w:pPr>
      <w:r w:rsidRPr="002D4D80">
        <w:rPr>
          <w:rFonts w:ascii="Arial" w:hAnsi="Arial" w:cs="Arial"/>
          <w:sz w:val="20"/>
          <w:szCs w:val="20"/>
        </w:rPr>
        <w:t>Hydrogen deblending</w:t>
      </w:r>
      <w:r w:rsidR="007A4B77" w:rsidRPr="0011284C">
        <w:rPr>
          <w:rFonts w:ascii="Arial" w:hAnsi="Arial" w:cs="Arial"/>
          <w:b/>
          <w:bCs/>
          <w:sz w:val="20"/>
          <w:szCs w:val="20"/>
        </w:rPr>
        <w:t xml:space="preserve"> </w:t>
      </w:r>
      <w:r w:rsidR="007A4B77" w:rsidRPr="0011284C">
        <w:rPr>
          <w:rFonts w:ascii="Arial" w:hAnsi="Arial" w:cs="Arial"/>
          <w:sz w:val="20"/>
          <w:szCs w:val="20"/>
        </w:rPr>
        <w:t xml:space="preserve">is the reverse process of blending and allows to extract pure hydrogen for specific uses. Techniques such as pressure swing adsorption, membranes and sieves are the most </w:t>
      </w:r>
      <w:r w:rsidR="007A4B77" w:rsidRPr="001F43AB">
        <w:rPr>
          <w:rFonts w:ascii="Arial" w:hAnsi="Arial" w:cs="Arial"/>
          <w:sz w:val="20"/>
          <w:szCs w:val="20"/>
        </w:rPr>
        <w:t xml:space="preserve">potential ones for deblending process. The deblending efficiency depends on the hydrogen concentration in methane but several other important factors have to be considered when choosing the most suitable technology, such as permeability, selectivity, stability of the membrane material, </w:t>
      </w:r>
      <w:proofErr w:type="spellStart"/>
      <w:r w:rsidR="007A4B77" w:rsidRPr="001F43AB">
        <w:rPr>
          <w:rFonts w:ascii="Arial" w:hAnsi="Arial" w:cs="Arial"/>
          <w:sz w:val="20"/>
          <w:szCs w:val="20"/>
        </w:rPr>
        <w:t>etc</w:t>
      </w:r>
      <w:proofErr w:type="spellEnd"/>
      <w:r w:rsidR="00AF01D7">
        <w:rPr>
          <w:rFonts w:ascii="Arial" w:hAnsi="Arial" w:cs="Arial"/>
          <w:sz w:val="20"/>
          <w:szCs w:val="20"/>
        </w:rPr>
        <w:t xml:space="preserve"> [21]</w:t>
      </w:r>
      <w:r w:rsidR="007A4B77" w:rsidRPr="001F43AB">
        <w:rPr>
          <w:rFonts w:ascii="Arial" w:hAnsi="Arial" w:cs="Arial"/>
          <w:sz w:val="20"/>
          <w:szCs w:val="20"/>
        </w:rPr>
        <w:t>.</w:t>
      </w:r>
    </w:p>
    <w:p w14:paraId="74F93012" w14:textId="77777777" w:rsidR="009D1E43" w:rsidRDefault="00DB39FF" w:rsidP="009D1E43">
      <w:pPr>
        <w:pStyle w:val="TableCaption"/>
        <w:spacing w:line="240" w:lineRule="auto"/>
        <w:rPr>
          <w:sz w:val="20"/>
          <w:szCs w:val="20"/>
        </w:rPr>
      </w:pPr>
      <w:r w:rsidRPr="008610EB">
        <w:rPr>
          <w:sz w:val="20"/>
          <w:szCs w:val="20"/>
        </w:rPr>
        <w:t>Hydrogen has been in our economy for decades now, and its use is expanding into various sectors of our economy</w:t>
      </w:r>
      <w:r w:rsidR="001B1512" w:rsidRPr="008610EB">
        <w:rPr>
          <w:sz w:val="20"/>
          <w:szCs w:val="20"/>
        </w:rPr>
        <w:t xml:space="preserve"> because of </w:t>
      </w:r>
      <w:proofErr w:type="spellStart"/>
      <w:r w:rsidR="001B1512" w:rsidRPr="008610EB">
        <w:rPr>
          <w:sz w:val="20"/>
          <w:szCs w:val="20"/>
        </w:rPr>
        <w:t>it’s</w:t>
      </w:r>
      <w:proofErr w:type="spellEnd"/>
      <w:r w:rsidR="001B1512" w:rsidRPr="008610EB">
        <w:rPr>
          <w:sz w:val="20"/>
          <w:szCs w:val="20"/>
        </w:rPr>
        <w:t xml:space="preserve"> physio-chemical properties.</w:t>
      </w:r>
      <w:r w:rsidR="00471B18" w:rsidRPr="008610EB">
        <w:rPr>
          <w:sz w:val="20"/>
          <w:szCs w:val="20"/>
        </w:rPr>
        <w:t xml:space="preserve"> For instance, h</w:t>
      </w:r>
      <w:r w:rsidR="00255F35" w:rsidRPr="008610EB">
        <w:rPr>
          <w:sz w:val="20"/>
          <w:szCs w:val="20"/>
        </w:rPr>
        <w:t xml:space="preserve">ydrogen is an essential raw material for many industrial processes such as; </w:t>
      </w:r>
      <w:proofErr w:type="spellStart"/>
      <w:r w:rsidR="00255F35" w:rsidRPr="008610EB">
        <w:rPr>
          <w:sz w:val="20"/>
          <w:szCs w:val="20"/>
        </w:rPr>
        <w:t>fertiliser</w:t>
      </w:r>
      <w:proofErr w:type="spellEnd"/>
      <w:r w:rsidR="00255F35" w:rsidRPr="008610EB">
        <w:rPr>
          <w:sz w:val="20"/>
          <w:szCs w:val="20"/>
        </w:rPr>
        <w:t xml:space="preserve"> manufacturing, metal production and methanol production. Hydrogen can also be used as fuel for space rockets and vehicles. It can also </w:t>
      </w:r>
      <w:r w:rsidR="00471B18" w:rsidRPr="008610EB">
        <w:rPr>
          <w:sz w:val="20"/>
          <w:szCs w:val="20"/>
        </w:rPr>
        <w:t xml:space="preserve">serve </w:t>
      </w:r>
      <w:r w:rsidR="00255F35" w:rsidRPr="008610EB">
        <w:rPr>
          <w:sz w:val="20"/>
          <w:szCs w:val="20"/>
        </w:rPr>
        <w:t xml:space="preserve">as an energy carrier. </w:t>
      </w:r>
      <w:r w:rsidR="00E90013" w:rsidRPr="008610EB">
        <w:rPr>
          <w:sz w:val="20"/>
          <w:szCs w:val="20"/>
        </w:rPr>
        <w:t xml:space="preserve">Sakthivel </w:t>
      </w:r>
      <w:r w:rsidR="006C0719" w:rsidRPr="008610EB">
        <w:rPr>
          <w:sz w:val="20"/>
          <w:szCs w:val="20"/>
        </w:rPr>
        <w:t xml:space="preserve">[22] </w:t>
      </w:r>
      <w:r w:rsidR="00E90013" w:rsidRPr="008610EB">
        <w:rPr>
          <w:sz w:val="20"/>
          <w:szCs w:val="20"/>
        </w:rPr>
        <w:t xml:space="preserve">presented some of main applications of hydrogen. </w:t>
      </w:r>
      <w:r w:rsidR="009D1E43" w:rsidRPr="001F43AB">
        <w:rPr>
          <w:sz w:val="20"/>
          <w:szCs w:val="20"/>
        </w:rPr>
        <w:t>Figure 3 shows a schematic of a hydrogen-natural gas lift system, considering a water electrolytic hydrogen gas production.</w:t>
      </w:r>
    </w:p>
    <w:p w14:paraId="6FE8680F" w14:textId="77777777" w:rsidR="009D1E43" w:rsidRPr="001F43AB" w:rsidRDefault="009D1E43" w:rsidP="009D1E43">
      <w:pPr>
        <w:pStyle w:val="TableCaption"/>
        <w:spacing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D1E43" w14:paraId="3FE85217" w14:textId="77777777" w:rsidTr="00AA54DE">
        <w:tc>
          <w:tcPr>
            <w:tcW w:w="9350" w:type="dxa"/>
          </w:tcPr>
          <w:p w14:paraId="1D5E2619" w14:textId="77777777" w:rsidR="009D1E43" w:rsidRDefault="009D1E43" w:rsidP="00AA54DE">
            <w:pPr>
              <w:pStyle w:val="TableCaption"/>
            </w:pPr>
            <w:r>
              <w:rPr>
                <w:noProof/>
              </w:rPr>
              <w:drawing>
                <wp:inline distT="0" distB="0" distL="0" distR="0" wp14:anchorId="75C485D6" wp14:editId="5FC9F9AA">
                  <wp:extent cx="5778500" cy="2771775"/>
                  <wp:effectExtent l="0" t="0" r="0" b="9525"/>
                  <wp:docPr id="137804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0" cy="2771775"/>
                          </a:xfrm>
                          <a:prstGeom prst="rect">
                            <a:avLst/>
                          </a:prstGeom>
                          <a:noFill/>
                          <a:ln>
                            <a:noFill/>
                          </a:ln>
                        </pic:spPr>
                      </pic:pic>
                    </a:graphicData>
                  </a:graphic>
                </wp:inline>
              </w:drawing>
            </w:r>
          </w:p>
        </w:tc>
      </w:tr>
      <w:tr w:rsidR="009D1E43" w14:paraId="3CE69A91" w14:textId="77777777" w:rsidTr="00AA54DE">
        <w:tc>
          <w:tcPr>
            <w:tcW w:w="9350" w:type="dxa"/>
          </w:tcPr>
          <w:p w14:paraId="4EA2215C" w14:textId="77777777" w:rsidR="009D1E43" w:rsidRPr="00650CEE" w:rsidRDefault="009D1E43" w:rsidP="00AA54DE">
            <w:pPr>
              <w:pStyle w:val="TableCaption"/>
              <w:rPr>
                <w:sz w:val="20"/>
                <w:szCs w:val="20"/>
              </w:rPr>
            </w:pPr>
            <w:r w:rsidRPr="00650CEE">
              <w:rPr>
                <w:sz w:val="20"/>
                <w:szCs w:val="20"/>
              </w:rPr>
              <w:t>Figure 3: schematic of a hydrogen-natural gas lift system, considering a water electrolytic hydrogen gas production</w:t>
            </w:r>
          </w:p>
        </w:tc>
      </w:tr>
    </w:tbl>
    <w:p w14:paraId="3FCA8CF6" w14:textId="5B68FA3C" w:rsidR="00DB39FF" w:rsidRPr="008A5C02" w:rsidRDefault="00DB39FF" w:rsidP="00EA5E53">
      <w:pPr>
        <w:rPr>
          <w:b/>
          <w:bCs/>
        </w:rPr>
      </w:pPr>
    </w:p>
    <w:p w14:paraId="6B0A1AE8" w14:textId="60119640" w:rsidR="00E90D2A" w:rsidRPr="001F43AB" w:rsidRDefault="008E5F27" w:rsidP="001F43AB">
      <w:pPr>
        <w:spacing w:line="240" w:lineRule="auto"/>
        <w:rPr>
          <w:rFonts w:ascii="Arial" w:hAnsi="Arial" w:cs="Arial"/>
          <w:b/>
          <w:bCs/>
          <w:sz w:val="20"/>
          <w:szCs w:val="20"/>
        </w:rPr>
      </w:pPr>
      <w:r w:rsidRPr="001F43AB">
        <w:rPr>
          <w:rFonts w:ascii="Arial" w:hAnsi="Arial" w:cs="Arial"/>
          <w:b/>
          <w:bCs/>
          <w:sz w:val="20"/>
          <w:szCs w:val="20"/>
        </w:rPr>
        <w:t>2.0</w:t>
      </w:r>
      <w:r w:rsidR="00030827" w:rsidRPr="001F43AB">
        <w:rPr>
          <w:rFonts w:ascii="Arial" w:hAnsi="Arial" w:cs="Arial"/>
          <w:b/>
          <w:bCs/>
          <w:sz w:val="20"/>
          <w:szCs w:val="20"/>
        </w:rPr>
        <w:t xml:space="preserve"> Potentials of g</w:t>
      </w:r>
      <w:r w:rsidR="00E90D2A" w:rsidRPr="001F43AB">
        <w:rPr>
          <w:rFonts w:ascii="Arial" w:hAnsi="Arial" w:cs="Arial"/>
          <w:b/>
          <w:bCs/>
          <w:sz w:val="20"/>
          <w:szCs w:val="20"/>
        </w:rPr>
        <w:t>as lifting oil wells</w:t>
      </w:r>
      <w:r w:rsidR="00030827" w:rsidRPr="001F43AB">
        <w:rPr>
          <w:rFonts w:ascii="Arial" w:hAnsi="Arial" w:cs="Arial"/>
          <w:b/>
          <w:bCs/>
          <w:sz w:val="20"/>
          <w:szCs w:val="20"/>
        </w:rPr>
        <w:t xml:space="preserve"> with hydrogen gas</w:t>
      </w:r>
    </w:p>
    <w:p w14:paraId="36AAE719" w14:textId="6048F1F5" w:rsidR="00D45890" w:rsidRPr="001F43AB" w:rsidRDefault="00605BBE" w:rsidP="001F43AB">
      <w:pPr>
        <w:spacing w:before="100" w:beforeAutospacing="1" w:after="0" w:line="240" w:lineRule="auto"/>
        <w:jc w:val="both"/>
        <w:rPr>
          <w:rFonts w:ascii="Arial" w:hAnsi="Arial" w:cs="Arial"/>
          <w:color w:val="000000" w:themeColor="text1"/>
          <w:sz w:val="20"/>
          <w:szCs w:val="20"/>
        </w:rPr>
      </w:pPr>
      <w:r w:rsidRPr="001F43AB">
        <w:rPr>
          <w:rFonts w:ascii="Arial" w:hAnsi="Arial" w:cs="Arial"/>
          <w:sz w:val="20"/>
          <w:szCs w:val="20"/>
        </w:rPr>
        <w:t xml:space="preserve">Gas lift is among the most widely used artificial lift methods to increase oil production from matured fields. </w:t>
      </w:r>
      <w:r w:rsidR="009C6622" w:rsidRPr="001F43AB">
        <w:rPr>
          <w:rFonts w:ascii="Arial" w:hAnsi="Arial" w:cs="Arial"/>
          <w:sz w:val="20"/>
          <w:szCs w:val="20"/>
        </w:rPr>
        <w:t xml:space="preserve">High pressure gas is injected into the tubing, through the annulus at a valve operating point or injection orifice, and mixes with the produced fluid from the reservoir resulting in increase in production due to reduction of the fluid mixture density and </w:t>
      </w:r>
      <w:r w:rsidR="00466F90" w:rsidRPr="001F43AB">
        <w:rPr>
          <w:rFonts w:ascii="Arial" w:hAnsi="Arial" w:cs="Arial"/>
          <w:sz w:val="20"/>
          <w:szCs w:val="20"/>
        </w:rPr>
        <w:t>hydrostatic pressure</w:t>
      </w:r>
      <w:r w:rsidR="009C6622" w:rsidRPr="001F43AB">
        <w:rPr>
          <w:rFonts w:ascii="Arial" w:hAnsi="Arial" w:cs="Arial"/>
          <w:sz w:val="20"/>
          <w:szCs w:val="20"/>
        </w:rPr>
        <w:t xml:space="preserve">. </w:t>
      </w:r>
      <w:r w:rsidR="00466F90" w:rsidRPr="001F43AB">
        <w:rPr>
          <w:rFonts w:ascii="Arial" w:hAnsi="Arial" w:cs="Arial"/>
          <w:color w:val="000000" w:themeColor="text1"/>
          <w:sz w:val="20"/>
          <w:szCs w:val="20"/>
        </w:rPr>
        <w:t>Among the gases commonly used for gas lifting are natural gas, nitrogen, and carbon dioxide. Each gas possesses distinct characteristics that influence its suitability for different reservoir conditions and production objectives. For example, in regions like the Permian Basin in Texas</w:t>
      </w:r>
      <w:r w:rsidR="00D45890" w:rsidRPr="001F43AB">
        <w:rPr>
          <w:rFonts w:ascii="Arial" w:hAnsi="Arial" w:cs="Arial"/>
          <w:color w:val="000000" w:themeColor="text1"/>
          <w:sz w:val="20"/>
          <w:szCs w:val="20"/>
        </w:rPr>
        <w:t>, Niger Delta, Middle East</w:t>
      </w:r>
      <w:r w:rsidR="00466F90" w:rsidRPr="001F43AB">
        <w:rPr>
          <w:rFonts w:ascii="Arial" w:hAnsi="Arial" w:cs="Arial"/>
          <w:color w:val="000000" w:themeColor="text1"/>
          <w:sz w:val="20"/>
          <w:szCs w:val="20"/>
        </w:rPr>
        <w:t xml:space="preserve">, where natural gas is abundant, </w:t>
      </w:r>
      <w:r w:rsidR="00D45890" w:rsidRPr="001F43AB">
        <w:rPr>
          <w:rFonts w:ascii="Arial" w:hAnsi="Arial" w:cs="Arial"/>
          <w:color w:val="000000" w:themeColor="text1"/>
          <w:sz w:val="20"/>
          <w:szCs w:val="20"/>
        </w:rPr>
        <w:t>natural</w:t>
      </w:r>
      <w:r w:rsidR="00466F90" w:rsidRPr="001F43AB">
        <w:rPr>
          <w:rFonts w:ascii="Arial" w:hAnsi="Arial" w:cs="Arial"/>
          <w:color w:val="000000" w:themeColor="text1"/>
          <w:sz w:val="20"/>
          <w:szCs w:val="20"/>
        </w:rPr>
        <w:t xml:space="preserve"> gas lift operations </w:t>
      </w:r>
      <w:r w:rsidR="00D45890" w:rsidRPr="001F43AB">
        <w:rPr>
          <w:rFonts w:ascii="Arial" w:hAnsi="Arial" w:cs="Arial"/>
          <w:color w:val="000000" w:themeColor="text1"/>
          <w:sz w:val="20"/>
          <w:szCs w:val="20"/>
        </w:rPr>
        <w:t xml:space="preserve">are commonly used </w:t>
      </w:r>
      <w:r w:rsidR="00466F90" w:rsidRPr="001F43AB">
        <w:rPr>
          <w:rFonts w:ascii="Arial" w:hAnsi="Arial" w:cs="Arial"/>
          <w:color w:val="000000" w:themeColor="text1"/>
          <w:sz w:val="20"/>
          <w:szCs w:val="20"/>
        </w:rPr>
        <w:t xml:space="preserve">due to its cost-effectiveness and operational efficiency </w:t>
      </w:r>
      <w:r w:rsidR="006C0719">
        <w:rPr>
          <w:rFonts w:ascii="Arial" w:hAnsi="Arial" w:cs="Arial"/>
          <w:color w:val="000000" w:themeColor="text1"/>
          <w:sz w:val="20"/>
          <w:szCs w:val="20"/>
        </w:rPr>
        <w:t>[23]</w:t>
      </w:r>
      <w:r w:rsidR="00D45890" w:rsidRPr="001F43AB">
        <w:rPr>
          <w:rFonts w:ascii="Arial" w:hAnsi="Arial" w:cs="Arial"/>
          <w:i/>
          <w:iCs/>
          <w:color w:val="000000" w:themeColor="text1"/>
          <w:sz w:val="20"/>
          <w:szCs w:val="20"/>
        </w:rPr>
        <w:t>;</w:t>
      </w:r>
      <w:r w:rsidR="00466F90" w:rsidRPr="001F43AB">
        <w:rPr>
          <w:rFonts w:ascii="Arial" w:hAnsi="Arial" w:cs="Arial"/>
          <w:i/>
          <w:iCs/>
          <w:color w:val="000000" w:themeColor="text1"/>
          <w:sz w:val="20"/>
          <w:szCs w:val="20"/>
        </w:rPr>
        <w:t xml:space="preserve"> </w:t>
      </w:r>
      <w:r w:rsidR="00D45890" w:rsidRPr="001F43AB">
        <w:rPr>
          <w:rFonts w:ascii="Arial" w:hAnsi="Arial" w:cs="Arial"/>
          <w:color w:val="000000" w:themeColor="text1"/>
          <w:sz w:val="20"/>
          <w:szCs w:val="20"/>
        </w:rPr>
        <w:t>i</w:t>
      </w:r>
      <w:r w:rsidR="00466F90" w:rsidRPr="001F43AB">
        <w:rPr>
          <w:rFonts w:ascii="Arial" w:hAnsi="Arial" w:cs="Arial"/>
          <w:color w:val="000000" w:themeColor="text1"/>
          <w:sz w:val="20"/>
          <w:szCs w:val="20"/>
        </w:rPr>
        <w:t xml:space="preserve">n offshore operations such as those in the North Sea, where wells encounter high GOR or have corrosive gases, nitrogen gas lift operations to mitigate corrosion risks and enhance lifting efficiency </w:t>
      </w:r>
      <w:r w:rsidR="00D45890" w:rsidRPr="001F43AB">
        <w:rPr>
          <w:rFonts w:ascii="Arial" w:hAnsi="Arial" w:cs="Arial"/>
          <w:color w:val="000000" w:themeColor="text1"/>
          <w:sz w:val="20"/>
          <w:szCs w:val="20"/>
        </w:rPr>
        <w:t xml:space="preserve">are common </w:t>
      </w:r>
      <w:r w:rsidR="006C0719">
        <w:rPr>
          <w:rFonts w:ascii="Arial" w:hAnsi="Arial" w:cs="Arial"/>
          <w:color w:val="000000" w:themeColor="text1"/>
          <w:sz w:val="20"/>
          <w:szCs w:val="20"/>
        </w:rPr>
        <w:t>[24]</w:t>
      </w:r>
      <w:r w:rsidR="00E76A57" w:rsidRPr="001F43AB">
        <w:rPr>
          <w:rFonts w:ascii="Arial" w:hAnsi="Arial" w:cs="Arial"/>
          <w:i/>
          <w:iCs/>
          <w:color w:val="000000" w:themeColor="text1"/>
          <w:sz w:val="20"/>
          <w:szCs w:val="20"/>
        </w:rPr>
        <w:t>; i</w:t>
      </w:r>
      <w:r w:rsidR="00D45890" w:rsidRPr="001F43AB">
        <w:rPr>
          <w:rFonts w:ascii="Arial" w:hAnsi="Arial" w:cs="Arial"/>
          <w:color w:val="000000" w:themeColor="text1"/>
          <w:sz w:val="20"/>
          <w:szCs w:val="20"/>
        </w:rPr>
        <w:t>n regions</w:t>
      </w:r>
      <w:r w:rsidR="00E76A57" w:rsidRPr="001F43AB">
        <w:rPr>
          <w:rFonts w:ascii="Arial" w:hAnsi="Arial" w:cs="Arial"/>
          <w:color w:val="000000" w:themeColor="text1"/>
          <w:sz w:val="20"/>
          <w:szCs w:val="20"/>
        </w:rPr>
        <w:t>,</w:t>
      </w:r>
      <w:r w:rsidR="00D45890" w:rsidRPr="001F43AB">
        <w:rPr>
          <w:rFonts w:ascii="Arial" w:hAnsi="Arial" w:cs="Arial"/>
          <w:color w:val="000000" w:themeColor="text1"/>
          <w:sz w:val="20"/>
          <w:szCs w:val="20"/>
        </w:rPr>
        <w:t xml:space="preserve"> where CO</w:t>
      </w:r>
      <w:r w:rsidR="00D45890" w:rsidRPr="001F43AB">
        <w:rPr>
          <w:rFonts w:ascii="Arial" w:hAnsi="Arial" w:cs="Arial"/>
          <w:color w:val="000000" w:themeColor="text1"/>
          <w:sz w:val="20"/>
          <w:szCs w:val="20"/>
          <w:vertAlign w:val="subscript"/>
        </w:rPr>
        <w:t>2</w:t>
      </w:r>
      <w:r w:rsidR="00D45890" w:rsidRPr="001F43AB">
        <w:rPr>
          <w:rFonts w:ascii="Arial" w:hAnsi="Arial" w:cs="Arial"/>
          <w:color w:val="000000" w:themeColor="text1"/>
          <w:sz w:val="20"/>
          <w:szCs w:val="20"/>
        </w:rPr>
        <w:t xml:space="preserve"> </w:t>
      </w:r>
      <w:r w:rsidR="00E76A57" w:rsidRPr="001F43AB">
        <w:rPr>
          <w:rFonts w:ascii="Arial" w:hAnsi="Arial" w:cs="Arial"/>
          <w:color w:val="000000" w:themeColor="text1"/>
          <w:sz w:val="20"/>
          <w:szCs w:val="20"/>
        </w:rPr>
        <w:t xml:space="preserve">(which can be sourced from industrial processes, natural reservoirs, or flue gas capture, offering potential environmental benefits </w:t>
      </w:r>
      <w:r w:rsidR="006C0719">
        <w:rPr>
          <w:rFonts w:ascii="Arial" w:hAnsi="Arial" w:cs="Arial"/>
          <w:color w:val="000000" w:themeColor="text1"/>
          <w:sz w:val="20"/>
          <w:szCs w:val="20"/>
        </w:rPr>
        <w:t>[25]</w:t>
      </w:r>
      <w:r w:rsidR="00E76A57" w:rsidRPr="001F43AB">
        <w:rPr>
          <w:rFonts w:ascii="Arial" w:hAnsi="Arial" w:cs="Arial"/>
          <w:i/>
          <w:iCs/>
          <w:color w:val="000000" w:themeColor="text1"/>
          <w:sz w:val="20"/>
          <w:szCs w:val="20"/>
        </w:rPr>
        <w:t xml:space="preserve"> </w:t>
      </w:r>
      <w:r w:rsidR="00D45890" w:rsidRPr="001F43AB">
        <w:rPr>
          <w:rFonts w:ascii="Arial" w:hAnsi="Arial" w:cs="Arial"/>
          <w:color w:val="000000" w:themeColor="text1"/>
          <w:sz w:val="20"/>
          <w:szCs w:val="20"/>
        </w:rPr>
        <w:t>injection is part of EOR strategies</w:t>
      </w:r>
      <w:r w:rsidR="00E76A57" w:rsidRPr="001F43AB">
        <w:rPr>
          <w:rFonts w:ascii="Arial" w:hAnsi="Arial" w:cs="Arial"/>
          <w:color w:val="000000" w:themeColor="text1"/>
          <w:sz w:val="20"/>
          <w:szCs w:val="20"/>
        </w:rPr>
        <w:t>, CO</w:t>
      </w:r>
      <w:r w:rsidR="00E76A57" w:rsidRPr="001F43AB">
        <w:rPr>
          <w:rFonts w:ascii="Arial" w:hAnsi="Arial" w:cs="Arial"/>
          <w:color w:val="000000" w:themeColor="text1"/>
          <w:sz w:val="20"/>
          <w:szCs w:val="20"/>
          <w:vertAlign w:val="subscript"/>
        </w:rPr>
        <w:t>2</w:t>
      </w:r>
      <w:r w:rsidR="00E76A57" w:rsidRPr="001F43AB">
        <w:rPr>
          <w:rFonts w:ascii="Arial" w:hAnsi="Arial" w:cs="Arial"/>
          <w:color w:val="000000" w:themeColor="text1"/>
          <w:sz w:val="20"/>
          <w:szCs w:val="20"/>
        </w:rPr>
        <w:t xml:space="preserve"> gas lift operations are also employed. </w:t>
      </w:r>
    </w:p>
    <w:p w14:paraId="13AF1066" w14:textId="6433385E" w:rsidR="00C35DF8" w:rsidRPr="001F43AB" w:rsidRDefault="00283B27" w:rsidP="001F43AB">
      <w:pPr>
        <w:spacing w:before="100" w:beforeAutospacing="1" w:after="0" w:line="240" w:lineRule="auto"/>
        <w:jc w:val="both"/>
        <w:rPr>
          <w:rFonts w:ascii="Arial" w:hAnsi="Arial" w:cs="Arial"/>
          <w:color w:val="000000" w:themeColor="text1"/>
          <w:sz w:val="20"/>
          <w:szCs w:val="20"/>
        </w:rPr>
      </w:pPr>
      <w:r w:rsidRPr="001F43AB">
        <w:rPr>
          <w:rFonts w:ascii="Arial" w:hAnsi="Arial" w:cs="Arial"/>
          <w:color w:val="000000" w:themeColor="text1"/>
          <w:sz w:val="20"/>
          <w:szCs w:val="20"/>
        </w:rPr>
        <w:t xml:space="preserve">All these conventional gas lift gases can be aided with chemicals to improve the productivity of wells. </w:t>
      </w:r>
      <w:r w:rsidR="003D1B5E" w:rsidRPr="001F43AB">
        <w:rPr>
          <w:rFonts w:ascii="Arial" w:hAnsi="Arial" w:cs="Arial"/>
          <w:color w:val="000000" w:themeColor="text1"/>
          <w:sz w:val="20"/>
          <w:szCs w:val="20"/>
        </w:rPr>
        <w:t xml:space="preserve">The foam (chemical) reduces the slippage between gas and liquid phases resulting in improved liquid lifting capacity of the gas lift system. Reported field trials </w:t>
      </w:r>
      <w:r w:rsidR="001E38D1">
        <w:rPr>
          <w:rFonts w:ascii="Arial" w:hAnsi="Arial" w:cs="Arial"/>
          <w:color w:val="000000" w:themeColor="text1"/>
          <w:sz w:val="20"/>
          <w:szCs w:val="20"/>
        </w:rPr>
        <w:t>[26, 27]</w:t>
      </w:r>
      <w:r w:rsidR="003D1B5E" w:rsidRPr="001F43AB">
        <w:rPr>
          <w:rFonts w:ascii="Arial" w:hAnsi="Arial" w:cs="Arial"/>
          <w:color w:val="000000" w:themeColor="text1"/>
          <w:sz w:val="20"/>
          <w:szCs w:val="20"/>
        </w:rPr>
        <w:t xml:space="preserve"> have shown improved production. </w:t>
      </w:r>
    </w:p>
    <w:p w14:paraId="0E03DF38" w14:textId="2A3CAE58" w:rsidR="00605BBE" w:rsidRPr="001F43AB" w:rsidRDefault="00630E1A" w:rsidP="001F43AB">
      <w:pPr>
        <w:pStyle w:val="TableCaption"/>
        <w:spacing w:line="240" w:lineRule="auto"/>
        <w:rPr>
          <w:sz w:val="20"/>
          <w:szCs w:val="20"/>
        </w:rPr>
      </w:pPr>
      <w:r w:rsidRPr="001F43AB">
        <w:rPr>
          <w:sz w:val="20"/>
          <w:szCs w:val="20"/>
        </w:rPr>
        <w:t>With the pressing need for the oil and gas sector to align with global sustainab</w:t>
      </w:r>
      <w:r w:rsidR="00EC5FC2" w:rsidRPr="001F43AB">
        <w:rPr>
          <w:sz w:val="20"/>
          <w:szCs w:val="20"/>
        </w:rPr>
        <w:t>le</w:t>
      </w:r>
      <w:r w:rsidRPr="001F43AB">
        <w:rPr>
          <w:sz w:val="20"/>
          <w:szCs w:val="20"/>
        </w:rPr>
        <w:t xml:space="preserve"> goals, particularly </w:t>
      </w:r>
      <w:r w:rsidR="00EC5FC2" w:rsidRPr="001F43AB">
        <w:rPr>
          <w:sz w:val="20"/>
          <w:szCs w:val="20"/>
        </w:rPr>
        <w:t xml:space="preserve">during </w:t>
      </w:r>
      <w:r w:rsidRPr="001F43AB">
        <w:rPr>
          <w:sz w:val="20"/>
          <w:szCs w:val="20"/>
        </w:rPr>
        <w:t xml:space="preserve">the transition to a net-zero carbon future, </w:t>
      </w:r>
      <w:r w:rsidR="00EC5FC2" w:rsidRPr="001F43AB">
        <w:rPr>
          <w:sz w:val="20"/>
          <w:szCs w:val="20"/>
        </w:rPr>
        <w:t xml:space="preserve">several technologies </w:t>
      </w:r>
      <w:r w:rsidR="007F28C5" w:rsidRPr="001F43AB">
        <w:rPr>
          <w:sz w:val="20"/>
          <w:szCs w:val="20"/>
        </w:rPr>
        <w:t>that are both efficient and environmentally sustainable to improve hydrocarbon productions are currently being explored and implemented.</w:t>
      </w:r>
      <w:r w:rsidR="00EC5FC2" w:rsidRPr="001F43AB">
        <w:rPr>
          <w:sz w:val="20"/>
          <w:szCs w:val="20"/>
        </w:rPr>
        <w:t xml:space="preserve"> Thus, the technical aspect of this work involves the investigation</w:t>
      </w:r>
      <w:r w:rsidRPr="001F43AB">
        <w:rPr>
          <w:sz w:val="20"/>
          <w:szCs w:val="20"/>
        </w:rPr>
        <w:t xml:space="preserve"> of </w:t>
      </w:r>
      <w:r w:rsidR="00BA1C6A" w:rsidRPr="001F43AB">
        <w:rPr>
          <w:sz w:val="20"/>
          <w:szCs w:val="20"/>
        </w:rPr>
        <w:t>the potentials of</w:t>
      </w:r>
      <w:r w:rsidRPr="001F43AB">
        <w:rPr>
          <w:sz w:val="20"/>
          <w:szCs w:val="20"/>
        </w:rPr>
        <w:t xml:space="preserve"> hydrogen gas for lifting oil wells</w:t>
      </w:r>
      <w:r w:rsidR="00BA1C6A" w:rsidRPr="001F43AB">
        <w:rPr>
          <w:sz w:val="20"/>
          <w:szCs w:val="20"/>
        </w:rPr>
        <w:t xml:space="preserve">, using a production system software. </w:t>
      </w:r>
      <w:r w:rsidR="00951D89" w:rsidRPr="001F43AB">
        <w:rPr>
          <w:sz w:val="20"/>
          <w:szCs w:val="20"/>
        </w:rPr>
        <w:t xml:space="preserve">The modeled oil well under study is located in a matured oil field in the Niger Delta region of Nigeria. </w:t>
      </w:r>
    </w:p>
    <w:p w14:paraId="41B6B943" w14:textId="77777777" w:rsidR="00650CEE" w:rsidRPr="009D1E43" w:rsidRDefault="00650CEE" w:rsidP="00EA5E53">
      <w:pPr>
        <w:rPr>
          <w:b/>
          <w:bCs/>
        </w:rPr>
      </w:pPr>
    </w:p>
    <w:p w14:paraId="5583EE99" w14:textId="543649B6" w:rsidR="008E5F27" w:rsidRPr="00650CEE" w:rsidRDefault="008E5F27" w:rsidP="00650CEE">
      <w:pPr>
        <w:spacing w:line="240" w:lineRule="auto"/>
        <w:jc w:val="both"/>
        <w:rPr>
          <w:rFonts w:ascii="Arial" w:hAnsi="Arial" w:cs="Arial"/>
          <w:b/>
          <w:bCs/>
          <w:sz w:val="20"/>
          <w:szCs w:val="20"/>
        </w:rPr>
      </w:pPr>
      <w:r w:rsidRPr="00650CEE">
        <w:rPr>
          <w:rFonts w:ascii="Arial" w:hAnsi="Arial" w:cs="Arial"/>
          <w:b/>
          <w:bCs/>
          <w:sz w:val="20"/>
          <w:szCs w:val="20"/>
        </w:rPr>
        <w:t>2.1 Description of the oil well case</w:t>
      </w:r>
    </w:p>
    <w:p w14:paraId="11A0A44D" w14:textId="14503C22" w:rsidR="000067BE" w:rsidRPr="00650CEE" w:rsidRDefault="000067BE" w:rsidP="00650CEE">
      <w:pPr>
        <w:spacing w:line="240" w:lineRule="auto"/>
        <w:jc w:val="both"/>
        <w:rPr>
          <w:rFonts w:ascii="Arial" w:hAnsi="Arial" w:cs="Arial"/>
          <w:sz w:val="20"/>
          <w:szCs w:val="20"/>
        </w:rPr>
      </w:pPr>
      <w:r w:rsidRPr="00650CEE">
        <w:rPr>
          <w:rFonts w:ascii="Arial" w:hAnsi="Arial" w:cs="Arial"/>
          <w:sz w:val="20"/>
          <w:szCs w:val="20"/>
        </w:rPr>
        <w:t>Well-X</w:t>
      </w:r>
      <w:r w:rsidR="00AC7DC5" w:rsidRPr="00650CEE">
        <w:rPr>
          <w:rFonts w:ascii="Arial" w:hAnsi="Arial" w:cs="Arial"/>
          <w:sz w:val="20"/>
          <w:szCs w:val="20"/>
        </w:rPr>
        <w:t xml:space="preserve"> with 3 ½" production tubing</w:t>
      </w:r>
      <w:r w:rsidRPr="00650CEE">
        <w:rPr>
          <w:rFonts w:ascii="Arial" w:hAnsi="Arial" w:cs="Arial"/>
          <w:sz w:val="20"/>
          <w:szCs w:val="20"/>
        </w:rPr>
        <w:t xml:space="preserve">, in </w:t>
      </w:r>
      <w:r w:rsidR="00A67855" w:rsidRPr="00650CEE">
        <w:rPr>
          <w:rFonts w:ascii="Arial" w:hAnsi="Arial" w:cs="Arial"/>
          <w:sz w:val="20"/>
          <w:szCs w:val="20"/>
        </w:rPr>
        <w:t>an onshore</w:t>
      </w:r>
      <w:r w:rsidRPr="00650CEE">
        <w:rPr>
          <w:rFonts w:ascii="Arial" w:hAnsi="Arial" w:cs="Arial"/>
          <w:sz w:val="20"/>
          <w:szCs w:val="20"/>
        </w:rPr>
        <w:t xml:space="preserve"> FENE field in the Niger Delta, has experienced natural gas lift for years</w:t>
      </w:r>
      <w:r w:rsidR="00A67855" w:rsidRPr="00650CEE">
        <w:rPr>
          <w:rFonts w:ascii="Arial" w:hAnsi="Arial" w:cs="Arial"/>
          <w:sz w:val="20"/>
          <w:szCs w:val="20"/>
        </w:rPr>
        <w:t>,</w:t>
      </w:r>
      <w:r w:rsidRPr="00650CEE">
        <w:rPr>
          <w:rFonts w:ascii="Arial" w:hAnsi="Arial" w:cs="Arial"/>
          <w:sz w:val="20"/>
          <w:szCs w:val="20"/>
        </w:rPr>
        <w:t xml:space="preserve"> and recently</w:t>
      </w:r>
      <w:r w:rsidR="00B0082E" w:rsidRPr="00650CEE">
        <w:rPr>
          <w:rFonts w:ascii="Arial" w:hAnsi="Arial" w:cs="Arial"/>
          <w:sz w:val="20"/>
          <w:szCs w:val="20"/>
        </w:rPr>
        <w:t xml:space="preserve"> a</w:t>
      </w:r>
      <w:r w:rsidRPr="00650CEE">
        <w:rPr>
          <w:rFonts w:ascii="Arial" w:hAnsi="Arial" w:cs="Arial"/>
          <w:sz w:val="20"/>
          <w:szCs w:val="20"/>
        </w:rPr>
        <w:t xml:space="preserve"> foam-assisted gas lift trial</w:t>
      </w:r>
      <w:r w:rsidR="00B0082E" w:rsidRPr="00650CEE">
        <w:rPr>
          <w:rFonts w:ascii="Arial" w:hAnsi="Arial" w:cs="Arial"/>
          <w:sz w:val="20"/>
          <w:szCs w:val="20"/>
        </w:rPr>
        <w:t xml:space="preserve"> was </w:t>
      </w:r>
      <w:r w:rsidR="00A67855" w:rsidRPr="00650CEE">
        <w:rPr>
          <w:rFonts w:ascii="Arial" w:hAnsi="Arial" w:cs="Arial"/>
          <w:sz w:val="20"/>
          <w:szCs w:val="20"/>
        </w:rPr>
        <w:t xml:space="preserve">carried out. </w:t>
      </w:r>
      <w:r w:rsidR="00B35E68" w:rsidRPr="00650CEE">
        <w:rPr>
          <w:rFonts w:ascii="Arial" w:hAnsi="Arial" w:cs="Arial"/>
          <w:sz w:val="20"/>
          <w:szCs w:val="20"/>
        </w:rPr>
        <w:t xml:space="preserve">Recent well test Pre-deployment of foam-assisted gas lift showed that the oil production is approximately 500 </w:t>
      </w:r>
      <w:proofErr w:type="spellStart"/>
      <w:r w:rsidR="00B35E68" w:rsidRPr="00650CEE">
        <w:rPr>
          <w:rFonts w:ascii="Arial" w:hAnsi="Arial" w:cs="Arial"/>
          <w:sz w:val="20"/>
          <w:szCs w:val="20"/>
        </w:rPr>
        <w:t>bopd</w:t>
      </w:r>
      <w:proofErr w:type="spellEnd"/>
      <w:r w:rsidR="00B35E68" w:rsidRPr="00650CEE">
        <w:rPr>
          <w:rFonts w:ascii="Arial" w:hAnsi="Arial" w:cs="Arial"/>
          <w:sz w:val="20"/>
          <w:szCs w:val="20"/>
        </w:rPr>
        <w:t xml:space="preserve"> and </w:t>
      </w:r>
      <w:proofErr w:type="spellStart"/>
      <w:r w:rsidR="00B35E68" w:rsidRPr="00650CEE">
        <w:rPr>
          <w:rFonts w:ascii="Arial" w:hAnsi="Arial" w:cs="Arial"/>
          <w:sz w:val="20"/>
          <w:szCs w:val="20"/>
        </w:rPr>
        <w:t>ave.</w:t>
      </w:r>
      <w:proofErr w:type="spellEnd"/>
      <w:r w:rsidR="00B35E68" w:rsidRPr="00650CEE">
        <w:rPr>
          <w:rFonts w:ascii="Arial" w:hAnsi="Arial" w:cs="Arial"/>
          <w:sz w:val="20"/>
          <w:szCs w:val="20"/>
        </w:rPr>
        <w:t xml:space="preserve"> GOR of 715 </w:t>
      </w:r>
      <w:proofErr w:type="spellStart"/>
      <w:r w:rsidR="00B35E68" w:rsidRPr="00650CEE">
        <w:rPr>
          <w:rFonts w:ascii="Arial" w:hAnsi="Arial" w:cs="Arial"/>
          <w:sz w:val="20"/>
          <w:szCs w:val="20"/>
        </w:rPr>
        <w:lastRenderedPageBreak/>
        <w:t>scf</w:t>
      </w:r>
      <w:proofErr w:type="spellEnd"/>
      <w:r w:rsidR="00B35E68" w:rsidRPr="00650CEE">
        <w:rPr>
          <w:rFonts w:ascii="Arial" w:hAnsi="Arial" w:cs="Arial"/>
          <w:sz w:val="20"/>
          <w:szCs w:val="20"/>
        </w:rPr>
        <w:t xml:space="preserve">/bbl. </w:t>
      </w:r>
      <w:r w:rsidR="009310EF" w:rsidRPr="00650CEE">
        <w:rPr>
          <w:rFonts w:ascii="Arial" w:hAnsi="Arial" w:cs="Arial"/>
          <w:sz w:val="20"/>
          <w:szCs w:val="20"/>
        </w:rPr>
        <w:t xml:space="preserve">The </w:t>
      </w:r>
      <w:r w:rsidR="00B35E68" w:rsidRPr="00650CEE">
        <w:rPr>
          <w:rFonts w:ascii="Arial" w:hAnsi="Arial" w:cs="Arial"/>
          <w:sz w:val="20"/>
          <w:szCs w:val="20"/>
        </w:rPr>
        <w:t xml:space="preserve">foam-assisted gas lift </w:t>
      </w:r>
      <w:r w:rsidR="009310EF" w:rsidRPr="00650CEE">
        <w:rPr>
          <w:rFonts w:ascii="Arial" w:hAnsi="Arial" w:cs="Arial"/>
          <w:sz w:val="20"/>
          <w:szCs w:val="20"/>
        </w:rPr>
        <w:t xml:space="preserve">field trial resulted in 280 </w:t>
      </w:r>
      <w:proofErr w:type="spellStart"/>
      <w:r w:rsidR="009310EF" w:rsidRPr="00650CEE">
        <w:rPr>
          <w:rFonts w:ascii="Arial" w:hAnsi="Arial" w:cs="Arial"/>
          <w:sz w:val="20"/>
          <w:szCs w:val="20"/>
        </w:rPr>
        <w:t>bopd</w:t>
      </w:r>
      <w:proofErr w:type="spellEnd"/>
      <w:r w:rsidR="009310EF" w:rsidRPr="00650CEE">
        <w:rPr>
          <w:rFonts w:ascii="Arial" w:hAnsi="Arial" w:cs="Arial"/>
          <w:sz w:val="20"/>
          <w:szCs w:val="20"/>
        </w:rPr>
        <w:t xml:space="preserve"> incremental net oil gain and a cumulative gain of 2510 </w:t>
      </w:r>
      <w:proofErr w:type="spellStart"/>
      <w:r w:rsidR="009310EF" w:rsidRPr="00650CEE">
        <w:rPr>
          <w:rFonts w:ascii="Arial" w:hAnsi="Arial" w:cs="Arial"/>
          <w:sz w:val="20"/>
          <w:szCs w:val="20"/>
        </w:rPr>
        <w:t>bbls</w:t>
      </w:r>
      <w:proofErr w:type="spellEnd"/>
      <w:r w:rsidR="009310EF" w:rsidRPr="00650CEE">
        <w:rPr>
          <w:rFonts w:ascii="Arial" w:hAnsi="Arial" w:cs="Arial"/>
          <w:sz w:val="20"/>
          <w:szCs w:val="20"/>
        </w:rPr>
        <w:t xml:space="preserve"> of oil over the 9-day trial period.  </w:t>
      </w:r>
      <w:r w:rsidR="00B35E68" w:rsidRPr="00650CEE">
        <w:rPr>
          <w:rFonts w:ascii="Arial" w:hAnsi="Arial" w:cs="Arial"/>
          <w:sz w:val="20"/>
          <w:szCs w:val="20"/>
        </w:rPr>
        <w:t xml:space="preserve"> Details can be found in Felix et al. </w:t>
      </w:r>
      <w:r w:rsidR="00076AF6">
        <w:rPr>
          <w:rFonts w:ascii="Arial" w:hAnsi="Arial" w:cs="Arial"/>
          <w:sz w:val="20"/>
          <w:szCs w:val="20"/>
        </w:rPr>
        <w:t>[27]</w:t>
      </w:r>
      <w:r w:rsidR="00B35E68" w:rsidRPr="00650CEE">
        <w:rPr>
          <w:rFonts w:ascii="Arial" w:hAnsi="Arial" w:cs="Arial"/>
          <w:sz w:val="20"/>
          <w:szCs w:val="20"/>
        </w:rPr>
        <w:t>. A summary of relevant data of the Well-X is presented in T</w:t>
      </w:r>
      <w:r w:rsidR="00650CEE">
        <w:rPr>
          <w:rFonts w:ascii="Arial" w:hAnsi="Arial" w:cs="Arial"/>
          <w:sz w:val="20"/>
          <w:szCs w:val="20"/>
        </w:rPr>
        <w:t>able</w:t>
      </w:r>
      <w:r w:rsidR="00B35E68" w:rsidRPr="00650CEE">
        <w:rPr>
          <w:rFonts w:ascii="Arial" w:hAnsi="Arial" w:cs="Arial"/>
          <w:sz w:val="20"/>
          <w:szCs w:val="20"/>
        </w:rPr>
        <w:t xml:space="preserve"> 1</w:t>
      </w:r>
      <w:r w:rsidR="007C632F" w:rsidRPr="00650CEE">
        <w:rPr>
          <w:rFonts w:ascii="Arial" w:hAnsi="Arial" w:cs="Arial"/>
          <w:sz w:val="20"/>
          <w:szCs w:val="20"/>
        </w:rPr>
        <w:t>.</w:t>
      </w:r>
    </w:p>
    <w:p w14:paraId="4F8548A5" w14:textId="4740CDFD" w:rsidR="00FE0375" w:rsidRPr="00650CEE" w:rsidRDefault="00BA1C6A" w:rsidP="00650CEE">
      <w:pPr>
        <w:spacing w:line="240" w:lineRule="auto"/>
        <w:jc w:val="both"/>
        <w:rPr>
          <w:rFonts w:ascii="Arial" w:hAnsi="Arial" w:cs="Arial"/>
          <w:b/>
          <w:bCs/>
          <w:sz w:val="20"/>
          <w:szCs w:val="20"/>
        </w:rPr>
      </w:pPr>
      <w:r w:rsidRPr="00650CEE">
        <w:rPr>
          <w:rFonts w:ascii="Arial" w:hAnsi="Arial" w:cs="Arial"/>
          <w:b/>
          <w:bCs/>
          <w:sz w:val="20"/>
          <w:szCs w:val="20"/>
        </w:rPr>
        <w:t xml:space="preserve">2.2 </w:t>
      </w:r>
      <w:r w:rsidR="00130F62" w:rsidRPr="00650CEE">
        <w:rPr>
          <w:rFonts w:ascii="Arial" w:hAnsi="Arial" w:cs="Arial"/>
          <w:b/>
          <w:bCs/>
          <w:sz w:val="20"/>
          <w:szCs w:val="20"/>
        </w:rPr>
        <w:t xml:space="preserve">Hydrogen – Natural Gas lift well Performance </w:t>
      </w:r>
      <w:r w:rsidRPr="00650CEE">
        <w:rPr>
          <w:rFonts w:ascii="Arial" w:hAnsi="Arial" w:cs="Arial"/>
          <w:b/>
          <w:bCs/>
          <w:sz w:val="20"/>
          <w:szCs w:val="20"/>
        </w:rPr>
        <w:t>Simulation</w:t>
      </w:r>
    </w:p>
    <w:p w14:paraId="41592856" w14:textId="6E1AD203" w:rsidR="00FE0375" w:rsidRPr="00650CEE" w:rsidRDefault="00FE0375" w:rsidP="00650CEE">
      <w:pPr>
        <w:spacing w:before="100" w:beforeAutospacing="1" w:after="0" w:line="240" w:lineRule="auto"/>
        <w:jc w:val="both"/>
        <w:rPr>
          <w:rFonts w:ascii="Arial" w:hAnsi="Arial" w:cs="Arial"/>
          <w:sz w:val="20"/>
          <w:szCs w:val="20"/>
        </w:rPr>
      </w:pPr>
      <w:r w:rsidRPr="00650CEE">
        <w:rPr>
          <w:rFonts w:ascii="Arial" w:hAnsi="Arial" w:cs="Arial"/>
          <w:sz w:val="20"/>
          <w:szCs w:val="20"/>
        </w:rPr>
        <w:t>A</w:t>
      </w:r>
      <w:r w:rsidR="004A70DF" w:rsidRPr="00650CEE">
        <w:rPr>
          <w:rFonts w:ascii="Arial" w:hAnsi="Arial" w:cs="Arial"/>
          <w:sz w:val="20"/>
          <w:szCs w:val="20"/>
        </w:rPr>
        <w:t xml:space="preserve"> </w:t>
      </w:r>
      <w:r w:rsidR="000B6867">
        <w:rPr>
          <w:rFonts w:ascii="Arial" w:hAnsi="Arial" w:cs="Arial"/>
          <w:sz w:val="20"/>
          <w:szCs w:val="20"/>
        </w:rPr>
        <w:t xml:space="preserve">commercial </w:t>
      </w:r>
      <w:r w:rsidRPr="00650CEE">
        <w:rPr>
          <w:rFonts w:ascii="Arial" w:hAnsi="Arial" w:cs="Arial"/>
          <w:sz w:val="20"/>
          <w:szCs w:val="20"/>
        </w:rPr>
        <w:t xml:space="preserve">production system simulator (through nodal analysis that considers the steady state relationship between pressure drop and flow rate) was used to model the </w:t>
      </w:r>
      <w:r w:rsidR="00A534E8" w:rsidRPr="00650CEE">
        <w:rPr>
          <w:rFonts w:ascii="Arial" w:hAnsi="Arial" w:cs="Arial"/>
          <w:sz w:val="20"/>
          <w:szCs w:val="20"/>
        </w:rPr>
        <w:t>W</w:t>
      </w:r>
      <w:r w:rsidRPr="00650CEE">
        <w:rPr>
          <w:rFonts w:ascii="Arial" w:hAnsi="Arial" w:cs="Arial"/>
          <w:sz w:val="20"/>
          <w:szCs w:val="20"/>
        </w:rPr>
        <w:t>ell</w:t>
      </w:r>
      <w:r w:rsidR="00A534E8" w:rsidRPr="00650CEE">
        <w:rPr>
          <w:rFonts w:ascii="Arial" w:hAnsi="Arial" w:cs="Arial"/>
          <w:sz w:val="20"/>
          <w:szCs w:val="20"/>
        </w:rPr>
        <w:t xml:space="preserve">-X </w:t>
      </w:r>
      <w:r w:rsidRPr="00650CEE">
        <w:rPr>
          <w:rFonts w:ascii="Arial" w:hAnsi="Arial" w:cs="Arial"/>
          <w:sz w:val="20"/>
          <w:szCs w:val="20"/>
        </w:rPr>
        <w:t xml:space="preserve">performance </w:t>
      </w:r>
      <w:r w:rsidR="00A534E8" w:rsidRPr="00650CEE">
        <w:rPr>
          <w:rFonts w:ascii="Arial" w:hAnsi="Arial" w:cs="Arial"/>
          <w:sz w:val="20"/>
          <w:szCs w:val="20"/>
        </w:rPr>
        <w:t xml:space="preserve">for </w:t>
      </w:r>
      <w:r w:rsidR="003F7BE7" w:rsidRPr="00650CEE">
        <w:rPr>
          <w:rFonts w:ascii="Arial" w:hAnsi="Arial" w:cs="Arial"/>
          <w:sz w:val="20"/>
          <w:szCs w:val="20"/>
        </w:rPr>
        <w:t>100</w:t>
      </w:r>
      <w:r w:rsidR="004C0398" w:rsidRPr="00650CEE">
        <w:rPr>
          <w:rFonts w:ascii="Arial" w:hAnsi="Arial" w:cs="Arial"/>
          <w:sz w:val="20"/>
          <w:szCs w:val="20"/>
        </w:rPr>
        <w:t xml:space="preserve"> </w:t>
      </w:r>
      <w:r w:rsidR="003F7BE7" w:rsidRPr="00650CEE">
        <w:rPr>
          <w:rFonts w:ascii="Arial" w:hAnsi="Arial" w:cs="Arial"/>
          <w:sz w:val="20"/>
          <w:szCs w:val="20"/>
        </w:rPr>
        <w:t xml:space="preserve">% </w:t>
      </w:r>
      <w:r w:rsidR="00A534E8" w:rsidRPr="00650CEE">
        <w:rPr>
          <w:rFonts w:ascii="Arial" w:hAnsi="Arial" w:cs="Arial"/>
          <w:sz w:val="20"/>
          <w:szCs w:val="20"/>
        </w:rPr>
        <w:t xml:space="preserve">natural gas lift scenario and </w:t>
      </w:r>
      <w:r w:rsidR="003F7BE7" w:rsidRPr="00650CEE">
        <w:rPr>
          <w:rFonts w:ascii="Arial" w:hAnsi="Arial" w:cs="Arial"/>
          <w:sz w:val="20"/>
          <w:szCs w:val="20"/>
        </w:rPr>
        <w:t>a range of</w:t>
      </w:r>
      <w:r w:rsidR="00A534E8" w:rsidRPr="00650CEE">
        <w:rPr>
          <w:rFonts w:ascii="Arial" w:hAnsi="Arial" w:cs="Arial"/>
          <w:sz w:val="20"/>
          <w:szCs w:val="20"/>
        </w:rPr>
        <w:t xml:space="preserve"> mixtures </w:t>
      </w:r>
      <w:r w:rsidR="003F7BE7" w:rsidRPr="00650CEE">
        <w:rPr>
          <w:rFonts w:ascii="Arial" w:hAnsi="Arial" w:cs="Arial"/>
          <w:sz w:val="20"/>
          <w:szCs w:val="20"/>
        </w:rPr>
        <w:t>(</w:t>
      </w:r>
      <w:r w:rsidR="004C0398" w:rsidRPr="00650CEE">
        <w:rPr>
          <w:rFonts w:ascii="Arial" w:hAnsi="Arial" w:cs="Arial"/>
          <w:sz w:val="20"/>
          <w:szCs w:val="20"/>
        </w:rPr>
        <w:t>10</w:t>
      </w:r>
      <w:r w:rsidR="003F7BE7" w:rsidRPr="00650CEE">
        <w:rPr>
          <w:rFonts w:ascii="Arial" w:hAnsi="Arial" w:cs="Arial"/>
          <w:sz w:val="20"/>
          <w:szCs w:val="20"/>
        </w:rPr>
        <w:t xml:space="preserve"> </w:t>
      </w:r>
      <w:r w:rsidR="004C0398" w:rsidRPr="00650CEE">
        <w:rPr>
          <w:rFonts w:ascii="Arial" w:hAnsi="Arial" w:cs="Arial"/>
          <w:sz w:val="20"/>
          <w:szCs w:val="20"/>
        </w:rPr>
        <w:t xml:space="preserve">– 90 </w:t>
      </w:r>
      <w:r w:rsidR="003F7BE7" w:rsidRPr="00650CEE">
        <w:rPr>
          <w:rFonts w:ascii="Arial" w:hAnsi="Arial" w:cs="Arial"/>
          <w:sz w:val="20"/>
          <w:szCs w:val="20"/>
        </w:rPr>
        <w:t xml:space="preserve">%) </w:t>
      </w:r>
      <w:r w:rsidR="00A534E8" w:rsidRPr="00650CEE">
        <w:rPr>
          <w:rFonts w:ascii="Arial" w:hAnsi="Arial" w:cs="Arial"/>
          <w:sz w:val="20"/>
          <w:szCs w:val="20"/>
        </w:rPr>
        <w:t xml:space="preserve">of hydrogen-natural gas lift cases. The </w:t>
      </w:r>
      <w:r w:rsidR="00796DC5" w:rsidRPr="00650CEE">
        <w:rPr>
          <w:rFonts w:ascii="Arial" w:hAnsi="Arial" w:cs="Arial"/>
          <w:sz w:val="20"/>
          <w:szCs w:val="20"/>
        </w:rPr>
        <w:t xml:space="preserve">mixture density </w:t>
      </w:r>
      <w:r w:rsidR="004C0398" w:rsidRPr="00650CEE">
        <w:rPr>
          <w:rFonts w:ascii="Arial" w:hAnsi="Arial" w:cs="Arial"/>
          <w:sz w:val="20"/>
          <w:szCs w:val="20"/>
        </w:rPr>
        <w:t xml:space="preserve">was calculated using </w:t>
      </w:r>
      <w:r w:rsidR="00C53F83" w:rsidRPr="00650CEE">
        <w:rPr>
          <w:rFonts w:ascii="Arial" w:hAnsi="Arial" w:cs="Arial"/>
          <w:sz w:val="20"/>
          <w:szCs w:val="20"/>
        </w:rPr>
        <w:t>E</w:t>
      </w:r>
      <w:r w:rsidR="004C0398" w:rsidRPr="00650CEE">
        <w:rPr>
          <w:rFonts w:ascii="Arial" w:hAnsi="Arial" w:cs="Arial"/>
          <w:sz w:val="20"/>
          <w:szCs w:val="20"/>
        </w:rPr>
        <w:t>quation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0304" w:rsidRPr="00650CEE" w14:paraId="068CC3BF" w14:textId="77777777" w:rsidTr="00261CEA">
        <w:tc>
          <w:tcPr>
            <w:tcW w:w="4675" w:type="dxa"/>
          </w:tcPr>
          <w:p w14:paraId="3D6AA106" w14:textId="1A32536C" w:rsidR="00110304" w:rsidRPr="00650CEE" w:rsidRDefault="00FF298A" w:rsidP="00650CEE">
            <w:pPr>
              <w:pStyle w:val="TableCaption"/>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λ</m:t>
                        </m:r>
                      </m:e>
                      <m: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ub>
                    </m:sSub>
                    <m:r>
                      <w:rPr>
                        <w:rFonts w:ascii="Cambria Math" w:hAnsi="Cambria Math"/>
                        <w:sz w:val="20"/>
                        <w:szCs w:val="20"/>
                      </w:rPr>
                      <m:t>ρ</m:t>
                    </m:r>
                  </m:e>
                  <m: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sub>
                </m:sSub>
                <m:sSub>
                  <m:sSubPr>
                    <m:ctrlPr>
                      <w:rPr>
                        <w:rFonts w:ascii="Cambria Math" w:hAnsi="Cambria Math"/>
                        <w:i/>
                        <w:sz w:val="20"/>
                        <w:szCs w:val="20"/>
                      </w:rPr>
                    </m:ctrlPr>
                  </m:sSubPr>
                  <m:e>
                    <m:r>
                      <w:rPr>
                        <w:rFonts w:ascii="Cambria Math" w:hAnsi="Cambria Math"/>
                        <w:sz w:val="20"/>
                        <w:szCs w:val="20"/>
                      </w:rPr>
                      <m:t>ρ</m:t>
                    </m:r>
                  </m:e>
                  <m:sub>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sub>
                </m:sSub>
              </m:oMath>
            </m:oMathPara>
          </w:p>
        </w:tc>
        <w:tc>
          <w:tcPr>
            <w:tcW w:w="4675" w:type="dxa"/>
          </w:tcPr>
          <w:p w14:paraId="3EB0251E" w14:textId="1D60E473" w:rsidR="00110304" w:rsidRPr="00650CEE" w:rsidRDefault="00110304" w:rsidP="00650CEE">
            <w:pPr>
              <w:pStyle w:val="TableCaption"/>
              <w:spacing w:line="240" w:lineRule="auto"/>
              <w:rPr>
                <w:sz w:val="20"/>
                <w:szCs w:val="20"/>
              </w:rPr>
            </w:pPr>
            <w:r w:rsidRPr="00650CEE">
              <w:rPr>
                <w:sz w:val="20"/>
                <w:szCs w:val="20"/>
              </w:rPr>
              <w:t xml:space="preserve">                                                                        </w:t>
            </w:r>
            <w:r w:rsidR="00B9230C">
              <w:rPr>
                <w:sz w:val="20"/>
                <w:szCs w:val="20"/>
              </w:rPr>
              <w:t>(</w:t>
            </w:r>
            <w:r w:rsidRPr="00650CEE">
              <w:rPr>
                <w:sz w:val="20"/>
                <w:szCs w:val="20"/>
              </w:rPr>
              <w:t>1</w:t>
            </w:r>
            <w:r w:rsidR="00B9230C">
              <w:rPr>
                <w:sz w:val="20"/>
                <w:szCs w:val="20"/>
              </w:rPr>
              <w:t>)</w:t>
            </w:r>
          </w:p>
        </w:tc>
      </w:tr>
    </w:tbl>
    <w:p w14:paraId="4D9A8EF1" w14:textId="3A1A8005" w:rsidR="00110304" w:rsidRPr="00650CEE" w:rsidRDefault="00110304" w:rsidP="00650CEE">
      <w:pPr>
        <w:spacing w:before="100" w:beforeAutospacing="1" w:after="0" w:line="240" w:lineRule="auto"/>
        <w:jc w:val="both"/>
        <w:rPr>
          <w:rFonts w:ascii="Arial" w:hAnsi="Arial" w:cs="Arial"/>
          <w:sz w:val="20"/>
          <w:szCs w:val="20"/>
        </w:rPr>
      </w:pPr>
      <w:r w:rsidRPr="00650CEE">
        <w:rPr>
          <w:rFonts w:ascii="Arial" w:hAnsi="Arial" w:cs="Arial"/>
          <w:iCs/>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m</m:t>
            </m:r>
          </m:sub>
        </m:sSub>
      </m:oMath>
      <w:r w:rsidRPr="00650CEE">
        <w:rPr>
          <w:rFonts w:ascii="Arial" w:hAnsi="Arial" w:cs="Arial"/>
          <w:sz w:val="20"/>
          <w:szCs w:val="20"/>
        </w:rPr>
        <w:t xml:space="preserve"> is the mixture density.</w:t>
      </w:r>
      <w:r w:rsidR="001D002E" w:rsidRPr="00650CEE">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λ</m:t>
            </m:r>
          </m:e>
          <m:sub>
            <m:sSub>
              <m:sSubPr>
                <m:ctrlPr>
                  <w:rPr>
                    <w:rFonts w:ascii="Cambria Math" w:hAnsi="Cambria Math" w:cs="Arial"/>
                    <w:bCs/>
                    <w:i/>
                    <w:kern w:val="0"/>
                    <w:sz w:val="20"/>
                    <w:szCs w:val="20"/>
                    <w14:ligatures w14:val="none"/>
                  </w:rPr>
                </m:ctrlPr>
              </m:sSubPr>
              <m:e>
                <m:r>
                  <w:rPr>
                    <w:rFonts w:ascii="Cambria Math" w:hAnsi="Cambria Math" w:cs="Arial"/>
                    <w:sz w:val="20"/>
                    <w:szCs w:val="20"/>
                  </w:rPr>
                  <m:t>H</m:t>
                </m:r>
              </m:e>
              <m:sub>
                <m:r>
                  <w:rPr>
                    <w:rFonts w:ascii="Cambria Math" w:hAnsi="Cambria Math" w:cs="Arial"/>
                    <w:sz w:val="20"/>
                    <w:szCs w:val="20"/>
                  </w:rPr>
                  <m:t>2</m:t>
                </m:r>
              </m:sub>
            </m:sSub>
          </m:sub>
        </m:sSub>
      </m:oMath>
      <w:r w:rsidRPr="00650CEE">
        <w:rPr>
          <w:rFonts w:ascii="Arial" w:hAnsi="Arial" w:cs="Arial"/>
          <w:sz w:val="20"/>
          <w:szCs w:val="20"/>
        </w:rPr>
        <w:t>,</w:t>
      </w:r>
      <w:r w:rsidR="001D002E" w:rsidRPr="00650CEE">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λ</m:t>
            </m:r>
          </m:e>
          <m:sub>
            <m:sSub>
              <m:sSubPr>
                <m:ctrlPr>
                  <w:rPr>
                    <w:rFonts w:ascii="Cambria Math" w:hAnsi="Cambria Math" w:cs="Arial"/>
                    <w:bCs/>
                    <w:i/>
                    <w:kern w:val="0"/>
                    <w:sz w:val="20"/>
                    <w:szCs w:val="20"/>
                    <w14:ligatures w14:val="none"/>
                  </w:rPr>
                </m:ctrlPr>
              </m:sSubPr>
              <m:e>
                <m:r>
                  <w:rPr>
                    <w:rFonts w:ascii="Cambria Math" w:hAnsi="Cambria Math" w:cs="Arial"/>
                    <w:sz w:val="20"/>
                    <w:szCs w:val="20"/>
                  </w:rPr>
                  <m:t>CH</m:t>
                </m:r>
              </m:e>
              <m:sub>
                <m:r>
                  <w:rPr>
                    <w:rFonts w:ascii="Cambria Math" w:hAnsi="Cambria Math" w:cs="Arial"/>
                    <w:sz w:val="20"/>
                    <w:szCs w:val="20"/>
                  </w:rPr>
                  <m:t>4</m:t>
                </m:r>
              </m:sub>
            </m:sSub>
          </m:sub>
        </m:sSub>
      </m:oMath>
      <w:r w:rsidRPr="00650CEE">
        <w:rPr>
          <w:rFonts w:ascii="Arial" w:hAnsi="Arial" w:cs="Arial"/>
          <w:sz w:val="20"/>
          <w:szCs w:val="20"/>
        </w:rPr>
        <w:t xml:space="preserve"> are fractions of the hydrogen and natural gases, respectively, and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Pr="00650CEE">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Pr="00650CEE">
        <w:rPr>
          <w:rFonts w:ascii="Arial" w:eastAsiaTheme="minorEastAsia" w:hAnsi="Arial" w:cs="Arial"/>
          <w:sz w:val="20"/>
          <w:szCs w:val="20"/>
        </w:rPr>
        <w:t xml:space="preserve"> are densities </w:t>
      </w:r>
      <w:r w:rsidR="00B72DEC" w:rsidRPr="00650CEE">
        <w:rPr>
          <w:rFonts w:ascii="Arial" w:eastAsiaTheme="minorEastAsia" w:hAnsi="Arial" w:cs="Arial"/>
          <w:sz w:val="20"/>
          <w:szCs w:val="20"/>
        </w:rPr>
        <w:t>(</w:t>
      </w:r>
      <w:proofErr w:type="spellStart"/>
      <w:r w:rsidR="00B72DEC" w:rsidRPr="00650CEE">
        <w:rPr>
          <w:rFonts w:ascii="Arial" w:eastAsiaTheme="minorEastAsia" w:hAnsi="Arial" w:cs="Arial"/>
          <w:sz w:val="20"/>
          <w:szCs w:val="20"/>
        </w:rPr>
        <w:t>lb</w:t>
      </w:r>
      <w:proofErr w:type="spellEnd"/>
      <w:r w:rsidR="00B72DEC" w:rsidRPr="00650CEE">
        <w:rPr>
          <w:rFonts w:ascii="Arial" w:eastAsiaTheme="minorEastAsia" w:hAnsi="Arial" w:cs="Arial"/>
          <w:sz w:val="20"/>
          <w:szCs w:val="20"/>
        </w:rPr>
        <w:t>/ft</w:t>
      </w:r>
      <w:r w:rsidR="00B72DEC" w:rsidRPr="00650CEE">
        <w:rPr>
          <w:rFonts w:ascii="Arial" w:eastAsiaTheme="minorEastAsia" w:hAnsi="Arial" w:cs="Arial"/>
          <w:sz w:val="20"/>
          <w:szCs w:val="20"/>
          <w:vertAlign w:val="superscript"/>
        </w:rPr>
        <w:t>3</w:t>
      </w:r>
      <w:r w:rsidR="00B72DEC" w:rsidRPr="00650CEE">
        <w:rPr>
          <w:rFonts w:ascii="Arial" w:eastAsiaTheme="minorEastAsia" w:hAnsi="Arial" w:cs="Arial"/>
          <w:sz w:val="20"/>
          <w:szCs w:val="20"/>
        </w:rPr>
        <w:t xml:space="preserve">) </w:t>
      </w:r>
      <w:r w:rsidRPr="00650CEE">
        <w:rPr>
          <w:rFonts w:ascii="Arial" w:eastAsiaTheme="minorEastAsia" w:hAnsi="Arial" w:cs="Arial"/>
          <w:sz w:val="20"/>
          <w:szCs w:val="20"/>
        </w:rPr>
        <w:t xml:space="preserve">of </w:t>
      </w:r>
      <w:r w:rsidRPr="00650CEE">
        <w:rPr>
          <w:rFonts w:ascii="Arial" w:hAnsi="Arial" w:cs="Arial"/>
          <w:sz w:val="20"/>
          <w:szCs w:val="20"/>
        </w:rPr>
        <w:t>the hydrogen and natural gases, respectively.</w:t>
      </w:r>
    </w:p>
    <w:p w14:paraId="798EC169" w14:textId="6CB221E0" w:rsidR="00FE0375" w:rsidRPr="00650CEE" w:rsidRDefault="00E761CE" w:rsidP="00650CEE">
      <w:pPr>
        <w:pStyle w:val="TableCaption"/>
        <w:spacing w:line="240" w:lineRule="auto"/>
        <w:rPr>
          <w:sz w:val="20"/>
          <w:szCs w:val="20"/>
        </w:rPr>
      </w:pPr>
      <w:r w:rsidRPr="00650CEE">
        <w:rPr>
          <w:sz w:val="20"/>
          <w:szCs w:val="20"/>
        </w:rPr>
        <w:t>The steps taken for the gas lift well performance simulation are as follows: the fluid w</w:t>
      </w:r>
      <w:r w:rsidR="00C83FC9" w:rsidRPr="00650CEE">
        <w:rPr>
          <w:sz w:val="20"/>
          <w:szCs w:val="20"/>
        </w:rPr>
        <w:t>as</w:t>
      </w:r>
      <w:r w:rsidRPr="00650CEE">
        <w:rPr>
          <w:sz w:val="20"/>
          <w:szCs w:val="20"/>
        </w:rPr>
        <w:t xml:space="preserve"> described using black oil </w:t>
      </w:r>
      <w:r w:rsidR="00076AF6" w:rsidRPr="0072558D">
        <w:rPr>
          <w:sz w:val="20"/>
          <w:szCs w:val="20"/>
        </w:rPr>
        <w:t>[28]</w:t>
      </w:r>
      <w:r w:rsidRPr="00650CEE">
        <w:rPr>
          <w:sz w:val="20"/>
          <w:szCs w:val="20"/>
        </w:rPr>
        <w:t>, the inflow performance relationship - IPR) and flow up the tubing to the tubing head (vertical lift performance - VLP)</w:t>
      </w:r>
      <w:r w:rsidR="00C83FC9" w:rsidRPr="00650CEE">
        <w:rPr>
          <w:sz w:val="20"/>
          <w:szCs w:val="20"/>
        </w:rPr>
        <w:t xml:space="preserve"> were modeled using Darcy inflow related equation and pressure gradient correlation</w:t>
      </w:r>
      <w:r w:rsidR="005834DD" w:rsidRPr="00650CEE">
        <w:rPr>
          <w:sz w:val="20"/>
          <w:szCs w:val="20"/>
        </w:rPr>
        <w:t>s</w:t>
      </w:r>
      <w:r w:rsidR="00C83FC9" w:rsidRPr="00650CEE">
        <w:rPr>
          <w:sz w:val="20"/>
          <w:szCs w:val="20"/>
        </w:rPr>
        <w:t xml:space="preserve"> that combines flow regime and hold predictions</w:t>
      </w:r>
      <w:r w:rsidRPr="00650CEE">
        <w:rPr>
          <w:sz w:val="20"/>
          <w:szCs w:val="20"/>
        </w:rPr>
        <w:t xml:space="preserve">. </w:t>
      </w:r>
    </w:p>
    <w:p w14:paraId="39D0BB27" w14:textId="77777777" w:rsidR="00C060ED" w:rsidRPr="00650CEE" w:rsidRDefault="00C060ED" w:rsidP="00650CEE">
      <w:pPr>
        <w:spacing w:line="240" w:lineRule="auto"/>
        <w:jc w:val="both"/>
        <w:rPr>
          <w:rFonts w:ascii="Arial" w:hAnsi="Arial" w:cs="Arial"/>
          <w:b/>
          <w:bCs/>
          <w:sz w:val="20"/>
          <w:szCs w:val="20"/>
        </w:rPr>
      </w:pPr>
    </w:p>
    <w:p w14:paraId="6C9E9D06" w14:textId="724D5582" w:rsidR="008E5F27" w:rsidRPr="00650CEE" w:rsidRDefault="008E5F27" w:rsidP="00650CEE">
      <w:pPr>
        <w:spacing w:line="240" w:lineRule="auto"/>
        <w:jc w:val="both"/>
        <w:rPr>
          <w:rFonts w:ascii="Arial" w:hAnsi="Arial" w:cs="Arial"/>
          <w:b/>
          <w:bCs/>
          <w:sz w:val="20"/>
          <w:szCs w:val="20"/>
        </w:rPr>
      </w:pPr>
      <w:r w:rsidRPr="00650CEE">
        <w:rPr>
          <w:rFonts w:ascii="Arial" w:hAnsi="Arial" w:cs="Arial"/>
          <w:b/>
          <w:bCs/>
          <w:sz w:val="20"/>
          <w:szCs w:val="20"/>
        </w:rPr>
        <w:t>2.2 Simulat</w:t>
      </w:r>
      <w:r w:rsidR="008742FD" w:rsidRPr="00650CEE">
        <w:rPr>
          <w:rFonts w:ascii="Arial" w:hAnsi="Arial" w:cs="Arial"/>
          <w:b/>
          <w:bCs/>
          <w:sz w:val="20"/>
          <w:szCs w:val="20"/>
        </w:rPr>
        <w:t>ion</w:t>
      </w:r>
      <w:r w:rsidRPr="00650CEE">
        <w:rPr>
          <w:rFonts w:ascii="Arial" w:hAnsi="Arial" w:cs="Arial"/>
          <w:b/>
          <w:bCs/>
          <w:sz w:val="20"/>
          <w:szCs w:val="20"/>
        </w:rPr>
        <w:t xml:space="preserve"> results </w:t>
      </w:r>
      <w:r w:rsidR="008742FD" w:rsidRPr="00650CEE">
        <w:rPr>
          <w:rFonts w:ascii="Arial" w:hAnsi="Arial" w:cs="Arial"/>
          <w:b/>
          <w:bCs/>
          <w:sz w:val="20"/>
          <w:szCs w:val="20"/>
        </w:rPr>
        <w:t>of the Hydrogen-Natural Gas lift</w:t>
      </w:r>
      <w:r w:rsidR="007F0775" w:rsidRPr="00650CEE">
        <w:rPr>
          <w:rFonts w:ascii="Arial" w:hAnsi="Arial" w:cs="Arial"/>
          <w:b/>
          <w:bCs/>
          <w:sz w:val="20"/>
          <w:szCs w:val="20"/>
        </w:rPr>
        <w:t xml:space="preserve"> well</w:t>
      </w:r>
    </w:p>
    <w:p w14:paraId="50BC61A7" w14:textId="62AA2AB8" w:rsidR="0025473E" w:rsidRPr="00650CEE" w:rsidRDefault="007F0775" w:rsidP="00650CEE">
      <w:pPr>
        <w:spacing w:line="240" w:lineRule="auto"/>
        <w:jc w:val="both"/>
        <w:rPr>
          <w:rFonts w:ascii="Arial" w:hAnsi="Arial" w:cs="Arial"/>
          <w:sz w:val="20"/>
          <w:szCs w:val="20"/>
        </w:rPr>
      </w:pPr>
      <w:r w:rsidRPr="00650CEE">
        <w:rPr>
          <w:rFonts w:ascii="Arial" w:hAnsi="Arial" w:cs="Arial"/>
          <w:sz w:val="20"/>
          <w:szCs w:val="20"/>
        </w:rPr>
        <w:t>The gas lifted well was modelled to match the production data from the test conducted on Well-X pre-foam assisted gas lift field trial on the well</w:t>
      </w:r>
      <w:r w:rsidR="00CF5663" w:rsidRPr="00650CEE">
        <w:rPr>
          <w:rFonts w:ascii="Arial" w:hAnsi="Arial" w:cs="Arial"/>
          <w:sz w:val="20"/>
          <w:szCs w:val="20"/>
        </w:rPr>
        <w:t>;</w:t>
      </w:r>
      <w:r w:rsidRPr="00650CEE">
        <w:rPr>
          <w:rFonts w:ascii="Arial" w:hAnsi="Arial" w:cs="Arial"/>
          <w:sz w:val="20"/>
          <w:szCs w:val="20"/>
        </w:rPr>
        <w:t xml:space="preserve"> </w:t>
      </w:r>
      <w:r w:rsidR="00CF5663" w:rsidRPr="00650CEE">
        <w:rPr>
          <w:rFonts w:ascii="Arial" w:hAnsi="Arial" w:cs="Arial"/>
          <w:sz w:val="20"/>
          <w:szCs w:val="20"/>
        </w:rPr>
        <w:t xml:space="preserve">three vertical lift correlations were investigated: </w:t>
      </w:r>
      <w:r w:rsidR="00CF5663" w:rsidRPr="009C5D13">
        <w:rPr>
          <w:rFonts w:ascii="Arial" w:hAnsi="Arial" w:cs="Arial"/>
          <w:sz w:val="20"/>
          <w:szCs w:val="20"/>
        </w:rPr>
        <w:t xml:space="preserve">Mukerjee and Brill </w:t>
      </w:r>
      <w:r w:rsidR="00076AF6" w:rsidRPr="009C5D13">
        <w:rPr>
          <w:rFonts w:ascii="Arial" w:hAnsi="Arial" w:cs="Arial"/>
          <w:sz w:val="20"/>
          <w:szCs w:val="20"/>
        </w:rPr>
        <w:t>[29]</w:t>
      </w:r>
      <w:r w:rsidR="00CF5663" w:rsidRPr="0072558D">
        <w:rPr>
          <w:rFonts w:ascii="Arial" w:hAnsi="Arial" w:cs="Arial"/>
          <w:sz w:val="20"/>
          <w:szCs w:val="20"/>
        </w:rPr>
        <w:t xml:space="preserve">; Hagedorn and Brown </w:t>
      </w:r>
      <w:r w:rsidR="00076AF6" w:rsidRPr="0072558D">
        <w:rPr>
          <w:rFonts w:ascii="Arial" w:hAnsi="Arial" w:cs="Arial"/>
          <w:sz w:val="20"/>
          <w:szCs w:val="20"/>
        </w:rPr>
        <w:t>[30]</w:t>
      </w:r>
      <w:r w:rsidR="00CF5663" w:rsidRPr="00650CEE">
        <w:rPr>
          <w:rFonts w:ascii="Arial" w:hAnsi="Arial" w:cs="Arial"/>
          <w:sz w:val="20"/>
          <w:szCs w:val="20"/>
        </w:rPr>
        <w:t xml:space="preserve">, and a recent </w:t>
      </w:r>
      <w:r w:rsidR="005E2762" w:rsidRPr="00650CEE">
        <w:rPr>
          <w:rFonts w:ascii="Arial" w:hAnsi="Arial" w:cs="Arial"/>
          <w:sz w:val="20"/>
          <w:szCs w:val="20"/>
        </w:rPr>
        <w:t xml:space="preserve">pressure gradient </w:t>
      </w:r>
      <w:r w:rsidR="00CF5663" w:rsidRPr="00650CEE">
        <w:rPr>
          <w:rFonts w:ascii="Arial" w:hAnsi="Arial" w:cs="Arial"/>
          <w:sz w:val="20"/>
          <w:szCs w:val="20"/>
        </w:rPr>
        <w:t xml:space="preserve">correlation </w:t>
      </w:r>
      <w:r w:rsidR="005E2762" w:rsidRPr="00650CEE">
        <w:rPr>
          <w:rFonts w:ascii="Arial" w:hAnsi="Arial" w:cs="Arial"/>
          <w:sz w:val="20"/>
          <w:szCs w:val="20"/>
        </w:rPr>
        <w:t>(</w:t>
      </w:r>
      <w:r w:rsidR="00811049">
        <w:rPr>
          <w:rFonts w:ascii="Arial" w:hAnsi="Arial" w:cs="Arial"/>
          <w:sz w:val="20"/>
          <w:szCs w:val="20"/>
        </w:rPr>
        <w:t xml:space="preserve">in this work, term </w:t>
      </w:r>
      <w:r w:rsidR="00811049" w:rsidRPr="00811049">
        <w:rPr>
          <w:rFonts w:ascii="Arial" w:hAnsi="Arial" w:cs="Arial"/>
          <w:sz w:val="20"/>
          <w:szCs w:val="20"/>
        </w:rPr>
        <w:t>‘</w:t>
      </w:r>
      <w:r w:rsidR="005E2762" w:rsidRPr="00811049">
        <w:rPr>
          <w:rFonts w:ascii="Arial" w:hAnsi="Arial" w:cs="Arial"/>
          <w:sz w:val="20"/>
          <w:szCs w:val="20"/>
        </w:rPr>
        <w:t>in-house</w:t>
      </w:r>
      <w:r w:rsidR="00811049" w:rsidRPr="00811049">
        <w:rPr>
          <w:rFonts w:ascii="Arial" w:hAnsi="Arial" w:cs="Arial"/>
          <w:sz w:val="20"/>
          <w:szCs w:val="20"/>
        </w:rPr>
        <w:t>’</w:t>
      </w:r>
      <w:r w:rsidR="005E2762" w:rsidRPr="00650CEE">
        <w:rPr>
          <w:rFonts w:ascii="Arial" w:hAnsi="Arial" w:cs="Arial"/>
          <w:sz w:val="20"/>
          <w:szCs w:val="20"/>
        </w:rPr>
        <w:t xml:space="preserve">) developed with </w:t>
      </w:r>
      <w:r w:rsidR="00EF5058" w:rsidRPr="00650CEE">
        <w:rPr>
          <w:rFonts w:ascii="Arial" w:hAnsi="Arial" w:cs="Arial"/>
          <w:sz w:val="20"/>
          <w:szCs w:val="20"/>
        </w:rPr>
        <w:t xml:space="preserve">multiphase flow </w:t>
      </w:r>
      <w:r w:rsidR="005E2762" w:rsidRPr="00650CEE">
        <w:rPr>
          <w:rFonts w:ascii="Arial" w:hAnsi="Arial" w:cs="Arial"/>
          <w:sz w:val="20"/>
          <w:szCs w:val="20"/>
        </w:rPr>
        <w:t xml:space="preserve">experimental data obtained from various oil densities and viscosities, and pipe sizes. Figure </w:t>
      </w:r>
      <w:r w:rsidR="00E558EA" w:rsidRPr="00650CEE">
        <w:rPr>
          <w:rFonts w:ascii="Arial" w:hAnsi="Arial" w:cs="Arial"/>
          <w:sz w:val="20"/>
          <w:szCs w:val="20"/>
        </w:rPr>
        <w:t xml:space="preserve">4 shows the predicted oil rate from the well performance analysis </w:t>
      </w:r>
      <w:r w:rsidR="00EF5058" w:rsidRPr="00650CEE">
        <w:rPr>
          <w:rFonts w:ascii="Arial" w:hAnsi="Arial" w:cs="Arial"/>
          <w:sz w:val="20"/>
          <w:szCs w:val="20"/>
        </w:rPr>
        <w:t>of both a natural gas lift (</w:t>
      </w:r>
      <w:proofErr w:type="spellStart"/>
      <w:r w:rsidR="00EF5058" w:rsidRPr="00650CEE">
        <w:rPr>
          <w:rFonts w:ascii="Arial" w:hAnsi="Arial" w:cs="Arial"/>
          <w:sz w:val="20"/>
          <w:szCs w:val="20"/>
        </w:rPr>
        <w:t>i.e</w:t>
      </w:r>
      <w:proofErr w:type="spellEnd"/>
      <w:r w:rsidR="00EF5058" w:rsidRPr="00650CEE">
        <w:rPr>
          <w:rFonts w:ascii="Arial" w:hAnsi="Arial" w:cs="Arial"/>
          <w:sz w:val="20"/>
          <w:szCs w:val="20"/>
        </w:rPr>
        <w:t xml:space="preserve"> 0 % hydrogen gas) and a 10 % hydrogen gas blend </w:t>
      </w:r>
      <w:r w:rsidR="00E558EA" w:rsidRPr="00650CEE">
        <w:rPr>
          <w:rFonts w:ascii="Arial" w:hAnsi="Arial" w:cs="Arial"/>
          <w:sz w:val="20"/>
          <w:szCs w:val="20"/>
        </w:rPr>
        <w:t xml:space="preserve">for the different vertical lift correlations considered in the study. </w:t>
      </w:r>
      <w:r w:rsidR="00C060ED" w:rsidRPr="00650CEE">
        <w:rPr>
          <w:rFonts w:ascii="Arial" w:hAnsi="Arial" w:cs="Arial"/>
          <w:sz w:val="20"/>
          <w:szCs w:val="20"/>
        </w:rPr>
        <w:t xml:space="preserve">The in-house VL model predicted the oil rate from the well test with a 1.67 % error, while Mukerjee-Brill and Hagedorn-Brown predicted the oil rate with approximate error of 17.8 % and – 11 %, respectively. Therefore, further analysis of the well performance was carried out using the in-house VL correlation.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5473E" w14:paraId="626A60F5" w14:textId="77777777" w:rsidTr="00873AD9">
        <w:tc>
          <w:tcPr>
            <w:tcW w:w="9350" w:type="dxa"/>
          </w:tcPr>
          <w:p w14:paraId="4B93066D" w14:textId="233709ED" w:rsidR="0025473E" w:rsidRDefault="0025473E" w:rsidP="0025473E">
            <w:pPr>
              <w:jc w:val="center"/>
              <w:rPr>
                <w:b/>
                <w:bCs/>
              </w:rPr>
            </w:pPr>
            <w:r>
              <w:rPr>
                <w:noProof/>
              </w:rPr>
              <w:drawing>
                <wp:inline distT="0" distB="0" distL="0" distR="0" wp14:anchorId="11848A4A" wp14:editId="24B9ED69">
                  <wp:extent cx="4572000" cy="2743200"/>
                  <wp:effectExtent l="0" t="0" r="0" b="0"/>
                  <wp:docPr id="1712762571" name="Chart 1">
                    <a:extLst xmlns:a="http://schemas.openxmlformats.org/drawingml/2006/main">
                      <a:ext uri="{FF2B5EF4-FFF2-40B4-BE49-F238E27FC236}">
                        <a16:creationId xmlns:a16="http://schemas.microsoft.com/office/drawing/2014/main" id="{D1D6D9DE-CD54-57DE-5DD8-DB677BCAA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25473E" w14:paraId="47D10AAC" w14:textId="77777777" w:rsidTr="00873AD9">
        <w:tc>
          <w:tcPr>
            <w:tcW w:w="9350" w:type="dxa"/>
          </w:tcPr>
          <w:p w14:paraId="26167D48" w14:textId="22CD34C6" w:rsidR="0025473E" w:rsidRPr="009B762B" w:rsidRDefault="00FB3A78" w:rsidP="00EA5E53">
            <w:pPr>
              <w:rPr>
                <w:rFonts w:ascii="Arial" w:hAnsi="Arial" w:cs="Arial"/>
                <w:sz w:val="20"/>
                <w:szCs w:val="20"/>
              </w:rPr>
            </w:pPr>
            <w:r w:rsidRPr="009B762B">
              <w:rPr>
                <w:rFonts w:ascii="Arial" w:hAnsi="Arial" w:cs="Arial"/>
                <w:sz w:val="20"/>
                <w:szCs w:val="20"/>
              </w:rPr>
              <w:t xml:space="preserve">Figure 4: Oil rate predictions, with the vertical lift (VL) correlations </w:t>
            </w:r>
          </w:p>
        </w:tc>
      </w:tr>
    </w:tbl>
    <w:p w14:paraId="6EE127CD" w14:textId="77777777" w:rsidR="0025473E" w:rsidRDefault="0025473E" w:rsidP="00EA5E53">
      <w:pPr>
        <w:rPr>
          <w:b/>
          <w:bCs/>
        </w:rPr>
      </w:pPr>
    </w:p>
    <w:p w14:paraId="754D8294" w14:textId="3535C011" w:rsidR="00FC58C9" w:rsidRPr="00811049" w:rsidRDefault="009E7914" w:rsidP="009B762B">
      <w:pPr>
        <w:jc w:val="both"/>
        <w:rPr>
          <w:rFonts w:ascii="Arial" w:hAnsi="Arial" w:cs="Arial"/>
          <w:sz w:val="20"/>
          <w:szCs w:val="20"/>
        </w:rPr>
      </w:pPr>
      <w:r w:rsidRPr="009B762B">
        <w:rPr>
          <w:rFonts w:ascii="Arial" w:hAnsi="Arial" w:cs="Arial"/>
          <w:sz w:val="20"/>
          <w:szCs w:val="20"/>
        </w:rPr>
        <w:t xml:space="preserve">Figure 5 presents </w:t>
      </w:r>
      <w:r w:rsidR="005E5923" w:rsidRPr="009B762B">
        <w:rPr>
          <w:rFonts w:ascii="Arial" w:hAnsi="Arial" w:cs="Arial"/>
          <w:sz w:val="20"/>
          <w:szCs w:val="20"/>
        </w:rPr>
        <w:t xml:space="preserve">the predicted oil rates (and the incremental oil rate) for various percentage of hydrogen-natural gas blends, with a gas injection rate of 0.30 </w:t>
      </w:r>
      <w:proofErr w:type="spellStart"/>
      <w:r w:rsidR="005E5923" w:rsidRPr="009B762B">
        <w:rPr>
          <w:rFonts w:ascii="Arial" w:hAnsi="Arial" w:cs="Arial"/>
          <w:sz w:val="20"/>
          <w:szCs w:val="20"/>
        </w:rPr>
        <w:t>MMscf</w:t>
      </w:r>
      <w:proofErr w:type="spellEnd"/>
      <w:r w:rsidR="005E5923" w:rsidRPr="009B762B">
        <w:rPr>
          <w:rFonts w:ascii="Arial" w:hAnsi="Arial" w:cs="Arial"/>
          <w:sz w:val="20"/>
          <w:szCs w:val="20"/>
        </w:rPr>
        <w:t>/d. There was increase in oil production rate</w:t>
      </w:r>
      <w:r w:rsidR="00790D8F" w:rsidRPr="009B762B">
        <w:rPr>
          <w:rFonts w:ascii="Arial" w:hAnsi="Arial" w:cs="Arial"/>
          <w:sz w:val="20"/>
          <w:szCs w:val="20"/>
        </w:rPr>
        <w:t xml:space="preserve">, as the amount of hydrogen gas in the blend increases. The injected hydrogen-natural gas blend has a reduced </w:t>
      </w:r>
      <w:r w:rsidR="00790D8F" w:rsidRPr="009B762B">
        <w:rPr>
          <w:rFonts w:ascii="Arial" w:hAnsi="Arial" w:cs="Arial"/>
          <w:sz w:val="20"/>
          <w:szCs w:val="20"/>
        </w:rPr>
        <w:lastRenderedPageBreak/>
        <w:t xml:space="preserve">density and lightens the fluid column more than </w:t>
      </w:r>
      <w:r w:rsidR="00872B55" w:rsidRPr="009B762B">
        <w:rPr>
          <w:rFonts w:ascii="Arial" w:hAnsi="Arial" w:cs="Arial"/>
          <w:sz w:val="20"/>
          <w:szCs w:val="20"/>
        </w:rPr>
        <w:t xml:space="preserve">that of </w:t>
      </w:r>
      <w:r w:rsidR="00790D8F" w:rsidRPr="009B762B">
        <w:rPr>
          <w:rFonts w:ascii="Arial" w:hAnsi="Arial" w:cs="Arial"/>
          <w:sz w:val="20"/>
          <w:szCs w:val="20"/>
        </w:rPr>
        <w:t xml:space="preserve">a 100% natural gas. However, the </w:t>
      </w:r>
      <w:r w:rsidR="00E91042" w:rsidRPr="009B762B">
        <w:rPr>
          <w:rFonts w:ascii="Arial" w:hAnsi="Arial" w:cs="Arial"/>
          <w:sz w:val="20"/>
          <w:szCs w:val="20"/>
        </w:rPr>
        <w:t xml:space="preserve">oil rate increment is quite small, between 10 and 22 </w:t>
      </w:r>
      <w:proofErr w:type="spellStart"/>
      <w:r w:rsidR="00E91042" w:rsidRPr="009B762B">
        <w:rPr>
          <w:rFonts w:ascii="Arial" w:hAnsi="Arial" w:cs="Arial"/>
          <w:sz w:val="20"/>
          <w:szCs w:val="20"/>
        </w:rPr>
        <w:t>stb</w:t>
      </w:r>
      <w:proofErr w:type="spellEnd"/>
      <w:r w:rsidR="00E91042" w:rsidRPr="009B762B">
        <w:rPr>
          <w:rFonts w:ascii="Arial" w:hAnsi="Arial" w:cs="Arial"/>
          <w:sz w:val="20"/>
          <w:szCs w:val="20"/>
        </w:rPr>
        <w:t>/d</w:t>
      </w:r>
      <w:r w:rsidR="00F24A06" w:rsidRPr="009B762B">
        <w:rPr>
          <w:rFonts w:ascii="Arial" w:hAnsi="Arial" w:cs="Arial"/>
          <w:sz w:val="20"/>
          <w:szCs w:val="20"/>
        </w:rPr>
        <w:t>, when compared to</w:t>
      </w:r>
      <w:r w:rsidR="00E91042" w:rsidRPr="009B762B">
        <w:rPr>
          <w:rFonts w:ascii="Arial" w:hAnsi="Arial" w:cs="Arial"/>
          <w:sz w:val="20"/>
          <w:szCs w:val="20"/>
        </w:rPr>
        <w:t xml:space="preserve"> </w:t>
      </w:r>
      <w:r w:rsidR="00F24A06" w:rsidRPr="009B762B">
        <w:rPr>
          <w:rFonts w:ascii="Arial" w:hAnsi="Arial" w:cs="Arial"/>
          <w:sz w:val="20"/>
          <w:szCs w:val="20"/>
        </w:rPr>
        <w:t>t</w:t>
      </w:r>
      <w:r w:rsidR="00CE60E5" w:rsidRPr="009B762B">
        <w:rPr>
          <w:rFonts w:ascii="Arial" w:hAnsi="Arial" w:cs="Arial"/>
          <w:sz w:val="20"/>
          <w:szCs w:val="20"/>
        </w:rPr>
        <w:t xml:space="preserve">he </w:t>
      </w:r>
      <w:r w:rsidR="00F24A06" w:rsidRPr="009B762B">
        <w:rPr>
          <w:rFonts w:ascii="Arial" w:hAnsi="Arial" w:cs="Arial"/>
          <w:sz w:val="20"/>
          <w:szCs w:val="20"/>
        </w:rPr>
        <w:t xml:space="preserve">reported 280 </w:t>
      </w:r>
      <w:proofErr w:type="spellStart"/>
      <w:r w:rsidR="00F24A06" w:rsidRPr="009B762B">
        <w:rPr>
          <w:rFonts w:ascii="Arial" w:hAnsi="Arial" w:cs="Arial"/>
          <w:sz w:val="20"/>
          <w:szCs w:val="20"/>
        </w:rPr>
        <w:t>bbls</w:t>
      </w:r>
      <w:proofErr w:type="spellEnd"/>
      <w:r w:rsidR="00F24A06" w:rsidRPr="009B762B">
        <w:rPr>
          <w:rFonts w:ascii="Arial" w:hAnsi="Arial" w:cs="Arial"/>
          <w:sz w:val="20"/>
          <w:szCs w:val="20"/>
        </w:rPr>
        <w:t xml:space="preserve">/d </w:t>
      </w:r>
      <w:r w:rsidR="00E8557F" w:rsidRPr="009B762B">
        <w:rPr>
          <w:rFonts w:ascii="Arial" w:hAnsi="Arial" w:cs="Arial"/>
          <w:sz w:val="20"/>
          <w:szCs w:val="20"/>
        </w:rPr>
        <w:t xml:space="preserve">oil rate </w:t>
      </w:r>
      <w:r w:rsidR="00F24A06" w:rsidRPr="009B762B">
        <w:rPr>
          <w:rFonts w:ascii="Arial" w:hAnsi="Arial" w:cs="Arial"/>
          <w:sz w:val="20"/>
          <w:szCs w:val="20"/>
        </w:rPr>
        <w:t>increment</w:t>
      </w:r>
      <w:r w:rsidR="00E8557F" w:rsidRPr="009B762B">
        <w:rPr>
          <w:rFonts w:ascii="Arial" w:hAnsi="Arial" w:cs="Arial"/>
          <w:sz w:val="20"/>
          <w:szCs w:val="20"/>
        </w:rPr>
        <w:t xml:space="preserve"> </w:t>
      </w:r>
      <w:r w:rsidR="00CE60E5" w:rsidRPr="009B762B">
        <w:rPr>
          <w:rFonts w:ascii="Arial" w:hAnsi="Arial" w:cs="Arial"/>
          <w:sz w:val="20"/>
          <w:szCs w:val="20"/>
        </w:rPr>
        <w:t xml:space="preserve">of the foam-assisted gas lift </w:t>
      </w:r>
      <w:r w:rsidR="00E8557F" w:rsidRPr="009B762B">
        <w:rPr>
          <w:rFonts w:ascii="Arial" w:hAnsi="Arial" w:cs="Arial"/>
          <w:sz w:val="20"/>
          <w:szCs w:val="20"/>
        </w:rPr>
        <w:t>field trial</w:t>
      </w:r>
      <w:r w:rsidR="00CE60E5" w:rsidRPr="009B762B">
        <w:rPr>
          <w:rFonts w:ascii="Arial" w:hAnsi="Arial" w:cs="Arial"/>
          <w:sz w:val="20"/>
          <w:szCs w:val="20"/>
        </w:rPr>
        <w:t>.</w:t>
      </w:r>
      <w:r w:rsidR="00872B55" w:rsidRPr="009B762B">
        <w:rPr>
          <w:rFonts w:ascii="Arial" w:hAnsi="Arial" w:cs="Arial"/>
          <w:sz w:val="20"/>
          <w:szCs w:val="20"/>
        </w:rPr>
        <w:t xml:space="preserve"> The foam-assisted gas lift performs dual functions – lightening the fluid column and reducing water production.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412F0" w14:paraId="7CF3CF36" w14:textId="77777777" w:rsidTr="00873AD9">
        <w:tc>
          <w:tcPr>
            <w:tcW w:w="9350" w:type="dxa"/>
          </w:tcPr>
          <w:p w14:paraId="455F8811" w14:textId="1E4C0E44" w:rsidR="008412F0" w:rsidRDefault="00082C22" w:rsidP="00672925">
            <w:pPr>
              <w:jc w:val="center"/>
              <w:rPr>
                <w:b/>
                <w:bCs/>
              </w:rPr>
            </w:pPr>
            <w:r>
              <w:rPr>
                <w:noProof/>
              </w:rPr>
              <w:drawing>
                <wp:inline distT="0" distB="0" distL="0" distR="0" wp14:anchorId="66CBFA2D" wp14:editId="3D770DB1">
                  <wp:extent cx="4572000" cy="2362200"/>
                  <wp:effectExtent l="0" t="0" r="0" b="0"/>
                  <wp:docPr id="1421069386" name="Chart 1">
                    <a:extLst xmlns:a="http://schemas.openxmlformats.org/drawingml/2006/main">
                      <a:ext uri="{FF2B5EF4-FFF2-40B4-BE49-F238E27FC236}">
                        <a16:creationId xmlns:a16="http://schemas.microsoft.com/office/drawing/2014/main" id="{9A4A7C22-EA0A-639E-D281-7064DCAED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412F0" w14:paraId="1DBCE06B" w14:textId="77777777" w:rsidTr="00873AD9">
        <w:tc>
          <w:tcPr>
            <w:tcW w:w="9350" w:type="dxa"/>
          </w:tcPr>
          <w:p w14:paraId="30613F0F" w14:textId="7890590C" w:rsidR="008412F0" w:rsidRPr="009B762B" w:rsidRDefault="005E5923" w:rsidP="00EA5E53">
            <w:r w:rsidRPr="009B762B">
              <w:t xml:space="preserve">Figure 5: </w:t>
            </w:r>
            <w:r w:rsidR="009B762B" w:rsidRPr="009B762B">
              <w:t>O</w:t>
            </w:r>
            <w:r w:rsidR="009B762B" w:rsidRPr="009B762B">
              <w:rPr>
                <w:rFonts w:ascii="Arial" w:hAnsi="Arial" w:cs="Arial"/>
                <w:sz w:val="20"/>
                <w:szCs w:val="20"/>
              </w:rPr>
              <w:t xml:space="preserve">il rates (and the incremental oil rate) for varying hydrogen-natural gas blends, with a gas injection rate of 0.30 </w:t>
            </w:r>
            <w:proofErr w:type="spellStart"/>
            <w:r w:rsidR="009B762B" w:rsidRPr="009B762B">
              <w:rPr>
                <w:rFonts w:ascii="Arial" w:hAnsi="Arial" w:cs="Arial"/>
                <w:sz w:val="20"/>
                <w:szCs w:val="20"/>
              </w:rPr>
              <w:t>MMscf</w:t>
            </w:r>
            <w:proofErr w:type="spellEnd"/>
            <w:r w:rsidR="009B762B" w:rsidRPr="009B762B">
              <w:rPr>
                <w:rFonts w:ascii="Arial" w:hAnsi="Arial" w:cs="Arial"/>
                <w:sz w:val="20"/>
                <w:szCs w:val="20"/>
              </w:rPr>
              <w:t>/d.</w:t>
            </w:r>
          </w:p>
        </w:tc>
      </w:tr>
    </w:tbl>
    <w:p w14:paraId="4162BF41" w14:textId="77777777" w:rsidR="009B762B" w:rsidRDefault="009B762B" w:rsidP="00EA5E53"/>
    <w:p w14:paraId="2EF301D3" w14:textId="55A6C818" w:rsidR="00A073A9" w:rsidRPr="009B762B" w:rsidRDefault="00672925" w:rsidP="009B762B">
      <w:pPr>
        <w:jc w:val="both"/>
        <w:rPr>
          <w:rFonts w:ascii="Arial" w:hAnsi="Arial" w:cs="Arial"/>
          <w:sz w:val="20"/>
          <w:szCs w:val="20"/>
        </w:rPr>
      </w:pPr>
      <w:r w:rsidRPr="009B762B">
        <w:rPr>
          <w:rFonts w:ascii="Arial" w:hAnsi="Arial" w:cs="Arial"/>
          <w:sz w:val="20"/>
          <w:szCs w:val="20"/>
        </w:rPr>
        <w:t>Further simulations on injection rates, under various gas-oil (GOR) ratio and hydrogen-natural gas blends, show that oil rate increment can be improved when the high-pressure injection gas can be at the optimum level. From Fig</w:t>
      </w:r>
      <w:r w:rsidR="00FC58C9">
        <w:rPr>
          <w:rFonts w:ascii="Arial" w:hAnsi="Arial" w:cs="Arial"/>
          <w:sz w:val="20"/>
          <w:szCs w:val="20"/>
        </w:rPr>
        <w:t>.</w:t>
      </w:r>
      <w:r w:rsidRPr="009B762B">
        <w:rPr>
          <w:rFonts w:ascii="Arial" w:hAnsi="Arial" w:cs="Arial"/>
          <w:sz w:val="20"/>
          <w:szCs w:val="20"/>
        </w:rPr>
        <w:t xml:space="preserve"> 6, </w:t>
      </w:r>
      <w:r w:rsidR="00F3772E" w:rsidRPr="009B762B">
        <w:rPr>
          <w:rFonts w:ascii="Arial" w:hAnsi="Arial" w:cs="Arial"/>
          <w:sz w:val="20"/>
          <w:szCs w:val="20"/>
        </w:rPr>
        <w:t xml:space="preserve">for 0 – 10 % hydrogen gas blends and GOR of 600 – 700 </w:t>
      </w:r>
      <w:proofErr w:type="spellStart"/>
      <w:r w:rsidR="00F3772E" w:rsidRPr="009B762B">
        <w:rPr>
          <w:rFonts w:ascii="Arial" w:hAnsi="Arial" w:cs="Arial"/>
          <w:sz w:val="20"/>
          <w:szCs w:val="20"/>
        </w:rPr>
        <w:t>scf</w:t>
      </w:r>
      <w:proofErr w:type="spellEnd"/>
      <w:r w:rsidR="00F3772E" w:rsidRPr="009B762B">
        <w:rPr>
          <w:rFonts w:ascii="Arial" w:hAnsi="Arial" w:cs="Arial"/>
          <w:sz w:val="20"/>
          <w:szCs w:val="20"/>
        </w:rPr>
        <w:t>/</w:t>
      </w:r>
      <w:proofErr w:type="spellStart"/>
      <w:r w:rsidR="00F3772E" w:rsidRPr="009B762B">
        <w:rPr>
          <w:rFonts w:ascii="Arial" w:hAnsi="Arial" w:cs="Arial"/>
          <w:sz w:val="20"/>
          <w:szCs w:val="20"/>
        </w:rPr>
        <w:t>bbl</w:t>
      </w:r>
      <w:proofErr w:type="spellEnd"/>
      <w:r w:rsidR="00F3772E" w:rsidRPr="009B762B">
        <w:rPr>
          <w:rFonts w:ascii="Arial" w:hAnsi="Arial" w:cs="Arial"/>
          <w:sz w:val="20"/>
          <w:szCs w:val="20"/>
        </w:rPr>
        <w:t xml:space="preserve"> considering a 76.4 % water cut, the </w:t>
      </w:r>
      <w:r w:rsidR="006331A4" w:rsidRPr="009B762B">
        <w:rPr>
          <w:rFonts w:ascii="Arial" w:hAnsi="Arial" w:cs="Arial"/>
          <w:sz w:val="20"/>
          <w:szCs w:val="20"/>
        </w:rPr>
        <w:t>oil</w:t>
      </w:r>
      <w:r w:rsidR="00F3772E" w:rsidRPr="009B762B">
        <w:rPr>
          <w:rFonts w:ascii="Arial" w:hAnsi="Arial" w:cs="Arial"/>
          <w:sz w:val="20"/>
          <w:szCs w:val="20"/>
        </w:rPr>
        <w:t xml:space="preserve"> rate increment is quite significant </w:t>
      </w:r>
      <w:r w:rsidR="00A5547D" w:rsidRPr="009B762B">
        <w:rPr>
          <w:rFonts w:ascii="Arial" w:hAnsi="Arial" w:cs="Arial"/>
          <w:sz w:val="20"/>
          <w:szCs w:val="20"/>
        </w:rPr>
        <w:t>(</w:t>
      </w:r>
      <w:r w:rsidR="006331A4" w:rsidRPr="009B762B">
        <w:rPr>
          <w:rFonts w:ascii="Arial" w:hAnsi="Arial" w:cs="Arial"/>
          <w:sz w:val="20"/>
          <w:szCs w:val="20"/>
        </w:rPr>
        <w:t xml:space="preserve">from less than 11 </w:t>
      </w:r>
      <w:proofErr w:type="spellStart"/>
      <w:r w:rsidR="006331A4" w:rsidRPr="009B762B">
        <w:rPr>
          <w:rFonts w:ascii="Arial" w:hAnsi="Arial" w:cs="Arial"/>
          <w:sz w:val="20"/>
          <w:szCs w:val="20"/>
        </w:rPr>
        <w:t>stb</w:t>
      </w:r>
      <w:proofErr w:type="spellEnd"/>
      <w:r w:rsidR="006331A4" w:rsidRPr="009B762B">
        <w:rPr>
          <w:rFonts w:ascii="Arial" w:hAnsi="Arial" w:cs="Arial"/>
          <w:sz w:val="20"/>
          <w:szCs w:val="20"/>
        </w:rPr>
        <w:t xml:space="preserve">/d of the base case to as high as 220 </w:t>
      </w:r>
      <w:proofErr w:type="spellStart"/>
      <w:r w:rsidR="006331A4" w:rsidRPr="009B762B">
        <w:rPr>
          <w:rFonts w:ascii="Arial" w:hAnsi="Arial" w:cs="Arial"/>
          <w:sz w:val="20"/>
          <w:szCs w:val="20"/>
        </w:rPr>
        <w:t>stb</w:t>
      </w:r>
      <w:proofErr w:type="spellEnd"/>
      <w:r w:rsidR="006331A4" w:rsidRPr="009B762B">
        <w:rPr>
          <w:rFonts w:ascii="Arial" w:hAnsi="Arial" w:cs="Arial"/>
          <w:sz w:val="20"/>
          <w:szCs w:val="20"/>
        </w:rPr>
        <w:t xml:space="preserve">/d for the 0.35 </w:t>
      </w:r>
      <w:proofErr w:type="spellStart"/>
      <w:r w:rsidR="006331A4" w:rsidRPr="009B762B">
        <w:rPr>
          <w:rFonts w:ascii="Arial" w:hAnsi="Arial" w:cs="Arial"/>
          <w:sz w:val="20"/>
          <w:szCs w:val="20"/>
        </w:rPr>
        <w:t>MMscf</w:t>
      </w:r>
      <w:proofErr w:type="spellEnd"/>
      <w:r w:rsidR="006331A4" w:rsidRPr="009B762B">
        <w:rPr>
          <w:rFonts w:ascii="Arial" w:hAnsi="Arial" w:cs="Arial"/>
          <w:sz w:val="20"/>
          <w:szCs w:val="20"/>
        </w:rPr>
        <w:t>/d of injected gas</w:t>
      </w:r>
      <w:r w:rsidR="00A5547D" w:rsidRPr="009B762B">
        <w:rPr>
          <w:rFonts w:ascii="Arial" w:hAnsi="Arial" w:cs="Arial"/>
          <w:sz w:val="20"/>
          <w:szCs w:val="20"/>
        </w:rPr>
        <w:t xml:space="preserve">) </w:t>
      </w:r>
      <w:r w:rsidR="00F3772E" w:rsidRPr="009B762B">
        <w:rPr>
          <w:rFonts w:ascii="Arial" w:hAnsi="Arial" w:cs="Arial"/>
          <w:sz w:val="20"/>
          <w:szCs w:val="20"/>
        </w:rPr>
        <w:t xml:space="preserve">as the injection rate increases toward the optimum level. </w:t>
      </w:r>
      <w:r w:rsidR="00B24C0D" w:rsidRPr="009B762B">
        <w:rPr>
          <w:rFonts w:ascii="Arial" w:hAnsi="Arial" w:cs="Arial"/>
          <w:sz w:val="20"/>
          <w:szCs w:val="20"/>
        </w:rPr>
        <w:t xml:space="preserve">However, </w:t>
      </w:r>
      <w:r w:rsidR="00584E5F" w:rsidRPr="009B762B">
        <w:rPr>
          <w:rFonts w:ascii="Arial" w:hAnsi="Arial" w:cs="Arial"/>
          <w:sz w:val="20"/>
          <w:szCs w:val="20"/>
        </w:rPr>
        <w:t xml:space="preserve">thorough analysis of the results shows that, </w:t>
      </w:r>
      <w:r w:rsidR="00A47B4C" w:rsidRPr="009B762B">
        <w:rPr>
          <w:rFonts w:ascii="Arial" w:hAnsi="Arial" w:cs="Arial"/>
          <w:sz w:val="20"/>
          <w:szCs w:val="20"/>
        </w:rPr>
        <w:t xml:space="preserve">there </w:t>
      </w:r>
      <w:r w:rsidR="008242BC">
        <w:rPr>
          <w:rFonts w:ascii="Arial" w:hAnsi="Arial" w:cs="Arial"/>
          <w:sz w:val="20"/>
          <w:szCs w:val="20"/>
        </w:rPr>
        <w:t>i</w:t>
      </w:r>
      <w:r w:rsidR="00A47B4C" w:rsidRPr="009B762B">
        <w:rPr>
          <w:rFonts w:ascii="Arial" w:hAnsi="Arial" w:cs="Arial"/>
          <w:sz w:val="20"/>
          <w:szCs w:val="20"/>
        </w:rPr>
        <w:t xml:space="preserve">s still no more increase in oil rate beyond the 10 to 22 </w:t>
      </w:r>
      <w:proofErr w:type="spellStart"/>
      <w:r w:rsidR="00A47B4C" w:rsidRPr="009B762B">
        <w:rPr>
          <w:rFonts w:ascii="Arial" w:hAnsi="Arial" w:cs="Arial"/>
          <w:sz w:val="20"/>
          <w:szCs w:val="20"/>
        </w:rPr>
        <w:t>stb</w:t>
      </w:r>
      <w:proofErr w:type="spellEnd"/>
      <w:r w:rsidR="00A47B4C" w:rsidRPr="009B762B">
        <w:rPr>
          <w:rFonts w:ascii="Arial" w:hAnsi="Arial" w:cs="Arial"/>
          <w:sz w:val="20"/>
          <w:szCs w:val="20"/>
        </w:rPr>
        <w:t xml:space="preserve">/d mark, observed with the 0.3 </w:t>
      </w:r>
      <w:proofErr w:type="spellStart"/>
      <w:r w:rsidR="00A47B4C" w:rsidRPr="009B762B">
        <w:rPr>
          <w:rFonts w:ascii="Arial" w:hAnsi="Arial" w:cs="Arial"/>
          <w:sz w:val="20"/>
          <w:szCs w:val="20"/>
        </w:rPr>
        <w:t>MMscf</w:t>
      </w:r>
      <w:proofErr w:type="spellEnd"/>
      <w:r w:rsidR="00A47B4C" w:rsidRPr="009B762B">
        <w:rPr>
          <w:rFonts w:ascii="Arial" w:hAnsi="Arial" w:cs="Arial"/>
          <w:sz w:val="20"/>
          <w:szCs w:val="20"/>
        </w:rPr>
        <w:t>/d gas injected, for various</w:t>
      </w:r>
      <w:r w:rsidR="00B24C0D" w:rsidRPr="009B762B">
        <w:rPr>
          <w:rFonts w:ascii="Arial" w:hAnsi="Arial" w:cs="Arial"/>
          <w:sz w:val="20"/>
          <w:szCs w:val="20"/>
        </w:rPr>
        <w:t xml:space="preserve"> hydrogen-natural blends</w:t>
      </w:r>
      <w:r w:rsidR="00A47B4C" w:rsidRPr="009B762B">
        <w:rPr>
          <w:rFonts w:ascii="Arial" w:hAnsi="Arial" w:cs="Arial"/>
          <w:sz w:val="20"/>
          <w:szCs w:val="20"/>
        </w:rPr>
        <w:t>.</w:t>
      </w:r>
      <w:r w:rsidR="00EF535D" w:rsidRPr="009B762B">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73A9" w14:paraId="14649107" w14:textId="77777777" w:rsidTr="00873AD9">
        <w:tc>
          <w:tcPr>
            <w:tcW w:w="9350" w:type="dxa"/>
          </w:tcPr>
          <w:p w14:paraId="330CFD77" w14:textId="1441386F" w:rsidR="00A073A9" w:rsidRDefault="006331A4" w:rsidP="00EA5E53">
            <w:r>
              <w:rPr>
                <w:noProof/>
              </w:rPr>
              <w:drawing>
                <wp:inline distT="0" distB="0" distL="0" distR="0" wp14:anchorId="251EA6AF" wp14:editId="70DBF574">
                  <wp:extent cx="5410200" cy="3181350"/>
                  <wp:effectExtent l="0" t="0" r="0" b="0"/>
                  <wp:docPr id="383732808" name="Chart 1">
                    <a:extLst xmlns:a="http://schemas.openxmlformats.org/drawingml/2006/main">
                      <a:ext uri="{FF2B5EF4-FFF2-40B4-BE49-F238E27FC236}">
                        <a16:creationId xmlns:a16="http://schemas.microsoft.com/office/drawing/2014/main" id="{BA52E621-E905-403C-F096-71E7ED6E4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073A9" w14:paraId="6EA85B48" w14:textId="77777777" w:rsidTr="00873AD9">
        <w:tc>
          <w:tcPr>
            <w:tcW w:w="9350" w:type="dxa"/>
          </w:tcPr>
          <w:p w14:paraId="711C885D" w14:textId="496D5F27" w:rsidR="00A073A9" w:rsidRDefault="00AD05A7" w:rsidP="00EA5E53">
            <w:r>
              <w:t xml:space="preserve">Figure 6: </w:t>
            </w:r>
            <w:r w:rsidR="009B762B">
              <w:t>O</w:t>
            </w:r>
            <w:r w:rsidR="009B762B" w:rsidRPr="009B762B">
              <w:rPr>
                <w:rFonts w:ascii="Arial" w:hAnsi="Arial" w:cs="Arial"/>
                <w:sz w:val="20"/>
                <w:szCs w:val="20"/>
              </w:rPr>
              <w:t>il rate increment</w:t>
            </w:r>
            <w:r w:rsidR="009B762B">
              <w:rPr>
                <w:rFonts w:ascii="Arial" w:hAnsi="Arial" w:cs="Arial"/>
                <w:sz w:val="20"/>
                <w:szCs w:val="20"/>
              </w:rPr>
              <w:t xml:space="preserve"> for varying GOR and hydrogen-natural gas blends, with gas injection rate of 0.4 </w:t>
            </w:r>
            <w:proofErr w:type="spellStart"/>
            <w:r w:rsidR="009B762B">
              <w:rPr>
                <w:rFonts w:ascii="Arial" w:hAnsi="Arial" w:cs="Arial"/>
                <w:sz w:val="20"/>
                <w:szCs w:val="20"/>
              </w:rPr>
              <w:t>MMscf</w:t>
            </w:r>
            <w:proofErr w:type="spellEnd"/>
            <w:r w:rsidR="009B762B">
              <w:rPr>
                <w:rFonts w:ascii="Arial" w:hAnsi="Arial" w:cs="Arial"/>
                <w:sz w:val="20"/>
                <w:szCs w:val="20"/>
              </w:rPr>
              <w:t xml:space="preserve">/d </w:t>
            </w:r>
          </w:p>
        </w:tc>
      </w:tr>
    </w:tbl>
    <w:p w14:paraId="756C16D6" w14:textId="77777777" w:rsidR="003C38E6" w:rsidRDefault="003C38E6" w:rsidP="00EA5E53">
      <w:pPr>
        <w:rPr>
          <w:b/>
          <w:bCs/>
        </w:rPr>
      </w:pPr>
    </w:p>
    <w:p w14:paraId="7BDC9373" w14:textId="6C4E1843" w:rsidR="00672925" w:rsidRPr="0069015D" w:rsidRDefault="00494A8A" w:rsidP="00EA5E53">
      <w:pPr>
        <w:rPr>
          <w:rFonts w:ascii="Arial" w:hAnsi="Arial" w:cs="Arial"/>
          <w:b/>
          <w:bCs/>
          <w:sz w:val="20"/>
          <w:szCs w:val="20"/>
        </w:rPr>
      </w:pPr>
      <w:r w:rsidRPr="0069015D">
        <w:rPr>
          <w:rFonts w:ascii="Arial" w:hAnsi="Arial" w:cs="Arial"/>
          <w:b/>
          <w:bCs/>
          <w:sz w:val="20"/>
          <w:szCs w:val="20"/>
        </w:rPr>
        <w:t>2.3 Economics of Hydrogen-</w:t>
      </w:r>
      <w:r w:rsidR="007D354E" w:rsidRPr="0069015D">
        <w:rPr>
          <w:rFonts w:ascii="Arial" w:hAnsi="Arial" w:cs="Arial"/>
          <w:b/>
          <w:bCs/>
          <w:sz w:val="20"/>
          <w:szCs w:val="20"/>
        </w:rPr>
        <w:t>N</w:t>
      </w:r>
      <w:r w:rsidRPr="0069015D">
        <w:rPr>
          <w:rFonts w:ascii="Arial" w:hAnsi="Arial" w:cs="Arial"/>
          <w:b/>
          <w:bCs/>
          <w:sz w:val="20"/>
          <w:szCs w:val="20"/>
        </w:rPr>
        <w:t>atural gas lift scenario</w:t>
      </w:r>
    </w:p>
    <w:p w14:paraId="23FEC8B8" w14:textId="7CDB0040" w:rsidR="003D38B9" w:rsidRPr="003D38B9" w:rsidRDefault="003D38B9" w:rsidP="003D38B9">
      <w:pPr>
        <w:jc w:val="both"/>
        <w:rPr>
          <w:rFonts w:ascii="Arial" w:hAnsi="Arial" w:cs="Arial"/>
          <w:sz w:val="20"/>
          <w:szCs w:val="20"/>
        </w:rPr>
      </w:pPr>
      <w:r w:rsidRPr="0069015D">
        <w:rPr>
          <w:rFonts w:ascii="Arial" w:hAnsi="Arial" w:cs="Arial"/>
          <w:sz w:val="20"/>
          <w:szCs w:val="20"/>
        </w:rPr>
        <w:t>A simplified economic evaluation was carried out to assess the investment of using hydrogen-natural gas lift to increase oil production. Costs such as (green) hydrogen gas production from water electrolysis and cost of gas injected are considered. But primary operational costs (</w:t>
      </w:r>
      <w:proofErr w:type="spellStart"/>
      <w:r w:rsidRPr="0069015D">
        <w:rPr>
          <w:rFonts w:ascii="Arial" w:hAnsi="Arial" w:cs="Arial"/>
          <w:sz w:val="20"/>
          <w:szCs w:val="20"/>
        </w:rPr>
        <w:t>e.g</w:t>
      </w:r>
      <w:proofErr w:type="spellEnd"/>
      <w:r w:rsidRPr="0069015D">
        <w:rPr>
          <w:rFonts w:ascii="Arial" w:hAnsi="Arial" w:cs="Arial"/>
          <w:sz w:val="20"/>
          <w:szCs w:val="20"/>
        </w:rPr>
        <w:t xml:space="preserve"> compression cost and deblending cost) are excluded. The cost of hydrogen gas and natural gas injected are estimated using Equation 2 and 3, respectively.</w:t>
      </w:r>
      <w:r w:rsidRPr="003D38B9">
        <w:rPr>
          <w:rFonts w:ascii="Arial" w:hAnsi="Arial" w:cs="Arial"/>
          <w:sz w:val="20"/>
          <w:szCs w:val="20"/>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276"/>
      </w:tblGrid>
      <w:tr w:rsidR="003D38B9" w:rsidRPr="003D38B9" w14:paraId="056FF65D" w14:textId="77777777" w:rsidTr="00873AD9">
        <w:tc>
          <w:tcPr>
            <w:tcW w:w="7933" w:type="dxa"/>
          </w:tcPr>
          <w:p w14:paraId="006700C2" w14:textId="149B3039" w:rsidR="003D38B9" w:rsidRPr="003D38B9" w:rsidRDefault="00FF298A" w:rsidP="003D38B9">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lb</m:t>
                        </m:r>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t>
                    </m:r>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lb</m:t>
                    </m:r>
                  </m:num>
                  <m:den>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den>
                </m:f>
                <m:r>
                  <w:rPr>
                    <w:rFonts w:ascii="Cambria Math" w:hAnsi="Cambria Math" w:cs="Arial"/>
                    <w:sz w:val="20"/>
                    <w:szCs w:val="20"/>
                  </w:rPr>
                  <m:t>)</m:t>
                </m:r>
              </m:oMath>
            </m:oMathPara>
          </w:p>
        </w:tc>
        <w:tc>
          <w:tcPr>
            <w:tcW w:w="1276" w:type="dxa"/>
          </w:tcPr>
          <w:p w14:paraId="0A94B1A6" w14:textId="6CC561AB" w:rsidR="003D38B9" w:rsidRPr="003D38B9" w:rsidRDefault="00873AD9" w:rsidP="003D38B9">
            <w:pPr>
              <w:jc w:val="both"/>
              <w:rPr>
                <w:rFonts w:ascii="Arial" w:hAnsi="Arial" w:cs="Arial"/>
                <w:sz w:val="20"/>
                <w:szCs w:val="20"/>
              </w:rPr>
            </w:pPr>
            <w:r>
              <w:rPr>
                <w:rFonts w:ascii="Arial" w:hAnsi="Arial" w:cs="Arial"/>
                <w:sz w:val="20"/>
                <w:szCs w:val="20"/>
              </w:rPr>
              <w:t xml:space="preserve">   </w:t>
            </w:r>
            <w:r w:rsidR="00B9230C">
              <w:rPr>
                <w:rFonts w:ascii="Arial" w:hAnsi="Arial" w:cs="Arial"/>
                <w:sz w:val="20"/>
                <w:szCs w:val="20"/>
              </w:rPr>
              <w:t>(</w:t>
            </w:r>
            <w:r w:rsidR="003D38B9" w:rsidRPr="003D38B9">
              <w:rPr>
                <w:rFonts w:ascii="Arial" w:hAnsi="Arial" w:cs="Arial"/>
                <w:sz w:val="20"/>
                <w:szCs w:val="20"/>
              </w:rPr>
              <w:t>2</w:t>
            </w:r>
            <w:r w:rsidR="00B9230C">
              <w:rPr>
                <w:rFonts w:ascii="Arial" w:hAnsi="Arial" w:cs="Arial"/>
                <w:sz w:val="20"/>
                <w:szCs w:val="20"/>
              </w:rPr>
              <w:t>)</w:t>
            </w:r>
          </w:p>
        </w:tc>
      </w:tr>
    </w:tbl>
    <w:p w14:paraId="334B1376" w14:textId="77777777" w:rsidR="003D38B9" w:rsidRPr="003D38B9" w:rsidRDefault="003D38B9" w:rsidP="003D38B9">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132"/>
      </w:tblGrid>
      <w:tr w:rsidR="003D38B9" w:rsidRPr="003D38B9" w14:paraId="6EE08D23" w14:textId="77777777" w:rsidTr="00873AD9">
        <w:tc>
          <w:tcPr>
            <w:tcW w:w="8075" w:type="dxa"/>
          </w:tcPr>
          <w:p w14:paraId="62365D9A" w14:textId="7A0E162B" w:rsidR="003D38B9" w:rsidRPr="003D38B9" w:rsidRDefault="00FF298A" w:rsidP="003D38B9">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scf</m:t>
                    </m:r>
                  </m:den>
                </m:f>
                <m:r>
                  <w:rPr>
                    <w:rFonts w:ascii="Cambria Math" w:hAnsi="Cambria Math" w:cs="Arial"/>
                    <w:sz w:val="20"/>
                    <w:szCs w:val="20"/>
                  </w:rPr>
                  <m:t>)</m:t>
                </m:r>
              </m:oMath>
            </m:oMathPara>
          </w:p>
        </w:tc>
        <w:tc>
          <w:tcPr>
            <w:tcW w:w="1132" w:type="dxa"/>
          </w:tcPr>
          <w:p w14:paraId="5AB1B7AF" w14:textId="304FA3BB" w:rsidR="003D38B9" w:rsidRPr="003D38B9" w:rsidRDefault="00B9230C" w:rsidP="003D38B9">
            <w:pPr>
              <w:jc w:val="both"/>
              <w:rPr>
                <w:rFonts w:ascii="Arial" w:hAnsi="Arial" w:cs="Arial"/>
                <w:sz w:val="20"/>
                <w:szCs w:val="20"/>
              </w:rPr>
            </w:pPr>
            <w:r>
              <w:rPr>
                <w:rFonts w:ascii="Arial" w:hAnsi="Arial" w:cs="Arial"/>
                <w:sz w:val="20"/>
                <w:szCs w:val="20"/>
              </w:rPr>
              <w:t>(</w:t>
            </w:r>
            <w:r w:rsidR="003D38B9" w:rsidRPr="003D38B9">
              <w:rPr>
                <w:rFonts w:ascii="Arial" w:hAnsi="Arial" w:cs="Arial"/>
                <w:sz w:val="20"/>
                <w:szCs w:val="20"/>
              </w:rPr>
              <w:t>3</w:t>
            </w:r>
            <w:r>
              <w:rPr>
                <w:rFonts w:ascii="Arial" w:hAnsi="Arial" w:cs="Arial"/>
                <w:sz w:val="20"/>
                <w:szCs w:val="20"/>
              </w:rPr>
              <w:t>)</w:t>
            </w:r>
          </w:p>
        </w:tc>
      </w:tr>
    </w:tbl>
    <w:p w14:paraId="37936C61" w14:textId="77777777" w:rsidR="003D38B9" w:rsidRPr="003D38B9" w:rsidRDefault="003D38B9" w:rsidP="003D38B9">
      <w:pPr>
        <w:jc w:val="both"/>
        <w:rPr>
          <w:rFonts w:ascii="Arial" w:hAnsi="Arial" w:cs="Arial"/>
          <w:sz w:val="20"/>
          <w:szCs w:val="20"/>
        </w:rPr>
      </w:pPr>
    </w:p>
    <w:p w14:paraId="2B984168" w14:textId="53F3D199" w:rsidR="009C5D13" w:rsidRDefault="009C5D13" w:rsidP="003D38B9">
      <w:pPr>
        <w:jc w:val="both"/>
        <w:rPr>
          <w:rFonts w:ascii="Arial" w:hAnsi="Arial" w:cs="Arial"/>
          <w:sz w:val="20"/>
          <w:szCs w:val="20"/>
        </w:rPr>
      </w:pPr>
      <w:r>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Pr>
          <w:rFonts w:ascii="Arial" w:eastAsiaTheme="minorEastAsia" w:hAnsi="Arial" w:cs="Arial"/>
          <w:sz w:val="20"/>
          <w:szCs w:val="20"/>
        </w:rPr>
        <w:t xml:space="preserve">, are estimated cost of Hydrogen gas and natural gas injected, $, respectively;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oMath>
      <w:r w:rsidR="00AD4011">
        <w:rPr>
          <w:rFonts w:ascii="Arial" w:eastAsiaTheme="minorEastAsia" w:hAnsi="Arial" w:cs="Arial"/>
          <w:sz w:val="20"/>
          <w:szCs w:val="20"/>
        </w:rPr>
        <w:t xml:space="preserve">, injected gas rate, </w:t>
      </w:r>
      <m:oMath>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hydrogen gas production cost, </w:t>
      </w:r>
      <m:oMath>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lb</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00AD4011">
        <w:rPr>
          <w:rFonts w:ascii="Arial" w:eastAsiaTheme="minorEastAsia" w:hAnsi="Arial" w:cs="Arial"/>
          <w:sz w:val="20"/>
          <w:szCs w:val="20"/>
        </w:rPr>
        <w:t xml:space="preserve">, price of natural gas, </w:t>
      </w:r>
      <m:oMath>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scf</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hydrogen gas density, </w:t>
      </w:r>
      <m:oMath>
        <m:f>
          <m:fPr>
            <m:ctrlPr>
              <w:rPr>
                <w:rFonts w:ascii="Cambria Math" w:hAnsi="Cambria Math" w:cs="Arial"/>
                <w:i/>
                <w:sz w:val="20"/>
                <w:szCs w:val="20"/>
              </w:rPr>
            </m:ctrlPr>
          </m:fPr>
          <m:num>
            <m:r>
              <w:rPr>
                <w:rFonts w:ascii="Cambria Math" w:hAnsi="Cambria Math" w:cs="Arial"/>
                <w:sz w:val="20"/>
                <w:szCs w:val="20"/>
              </w:rPr>
              <m:t>lb</m:t>
            </m:r>
          </m:num>
          <m:den>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00AD4011">
        <w:rPr>
          <w:rFonts w:ascii="Arial" w:eastAsiaTheme="minorEastAsia" w:hAnsi="Arial" w:cs="Arial"/>
          <w:sz w:val="20"/>
          <w:szCs w:val="20"/>
        </w:rPr>
        <w:t xml:space="preserve"> are input fractions of hydrogen and natural gas injected.</w:t>
      </w:r>
    </w:p>
    <w:p w14:paraId="11226019" w14:textId="651F925B" w:rsidR="003D38B9" w:rsidRDefault="003D38B9" w:rsidP="003D38B9">
      <w:pPr>
        <w:jc w:val="both"/>
        <w:rPr>
          <w:rFonts w:ascii="Arial" w:hAnsi="Arial" w:cs="Arial"/>
          <w:sz w:val="20"/>
          <w:szCs w:val="20"/>
        </w:rPr>
      </w:pPr>
      <w:r w:rsidRPr="00B77BD2">
        <w:rPr>
          <w:rFonts w:ascii="Arial" w:hAnsi="Arial" w:cs="Arial"/>
          <w:sz w:val="20"/>
          <w:szCs w:val="20"/>
        </w:rPr>
        <w:t>The revenue</w:t>
      </w:r>
      <w:r w:rsidR="00337AC1">
        <w:rPr>
          <w:rFonts w:ascii="Arial" w:hAnsi="Arial" w:cs="Arial"/>
          <w:sz w:val="20"/>
          <w:szCs w:val="20"/>
        </w:rPr>
        <w:t xml:space="preserve"> was</w:t>
      </w:r>
      <w:r w:rsidRPr="00B77BD2">
        <w:rPr>
          <w:rFonts w:ascii="Arial" w:hAnsi="Arial" w:cs="Arial"/>
          <w:sz w:val="20"/>
          <w:szCs w:val="20"/>
        </w:rPr>
        <w:t xml:space="preserve"> calculated using the incremental oil production rate, and considering </w:t>
      </w:r>
      <w:r w:rsidR="00D765E9" w:rsidRPr="00B77BD2">
        <w:rPr>
          <w:rFonts w:ascii="Arial" w:hAnsi="Arial" w:cs="Arial"/>
          <w:sz w:val="20"/>
          <w:szCs w:val="20"/>
        </w:rPr>
        <w:t>current</w:t>
      </w:r>
      <w:r w:rsidRPr="00B77BD2">
        <w:rPr>
          <w:rFonts w:ascii="Arial" w:hAnsi="Arial" w:cs="Arial"/>
          <w:sz w:val="20"/>
          <w:szCs w:val="20"/>
        </w:rPr>
        <w:t xml:space="preserve"> oil price of $78.62/barrel</w:t>
      </w:r>
      <w:r w:rsidR="00D765E9" w:rsidRPr="00B77BD2">
        <w:rPr>
          <w:rFonts w:ascii="Arial" w:hAnsi="Arial" w:cs="Arial"/>
          <w:sz w:val="20"/>
          <w:szCs w:val="20"/>
        </w:rPr>
        <w:t xml:space="preserve"> for Bonny light (oilprice.com)</w:t>
      </w:r>
      <w:r w:rsidRPr="00B77BD2">
        <w:rPr>
          <w:rFonts w:ascii="Arial" w:hAnsi="Arial" w:cs="Arial"/>
          <w:sz w:val="20"/>
          <w:szCs w:val="20"/>
        </w:rPr>
        <w:t xml:space="preserve">, but revenue from sale of the produced gas is not included in the analysis. Table 2 provides an overview of the assumptions, together with information sources and comments, adopted in the economic analysis.  A </w:t>
      </w:r>
      <w:r w:rsidR="00453CE8" w:rsidRPr="00B77BD2">
        <w:rPr>
          <w:rFonts w:ascii="Arial" w:hAnsi="Arial" w:cs="Arial"/>
          <w:sz w:val="20"/>
          <w:szCs w:val="20"/>
        </w:rPr>
        <w:t>gas lift</w:t>
      </w:r>
      <w:r w:rsidRPr="00B77BD2">
        <w:rPr>
          <w:rFonts w:ascii="Arial" w:hAnsi="Arial" w:cs="Arial"/>
          <w:sz w:val="20"/>
          <w:szCs w:val="20"/>
        </w:rPr>
        <w:t xml:space="preserve"> system lifetime of </w:t>
      </w:r>
      <w:r w:rsidR="00453CE8" w:rsidRPr="00B77BD2">
        <w:rPr>
          <w:rFonts w:ascii="Arial" w:hAnsi="Arial" w:cs="Arial"/>
          <w:sz w:val="20"/>
          <w:szCs w:val="20"/>
        </w:rPr>
        <w:t>1</w:t>
      </w:r>
      <w:r w:rsidRPr="00B77BD2">
        <w:rPr>
          <w:rFonts w:ascii="Arial" w:hAnsi="Arial" w:cs="Arial"/>
          <w:sz w:val="20"/>
          <w:szCs w:val="20"/>
        </w:rPr>
        <w:t xml:space="preserve"> years has been assumed. Since discount rates of hydrogen production systems usually in the range of 5 to 8%</w:t>
      </w:r>
      <w:r w:rsidR="00453CE8" w:rsidRPr="00B77BD2">
        <w:rPr>
          <w:rFonts w:ascii="Arial" w:hAnsi="Arial" w:cs="Arial"/>
          <w:sz w:val="20"/>
          <w:szCs w:val="20"/>
        </w:rPr>
        <w:t xml:space="preserve"> </w:t>
      </w:r>
      <w:r w:rsidR="00076AF6">
        <w:rPr>
          <w:rFonts w:ascii="Arial" w:hAnsi="Arial" w:cs="Arial"/>
          <w:sz w:val="20"/>
          <w:szCs w:val="20"/>
        </w:rPr>
        <w:t>[31]</w:t>
      </w:r>
      <w:r w:rsidR="00453CE8" w:rsidRPr="00B77BD2">
        <w:rPr>
          <w:rFonts w:ascii="Arial" w:hAnsi="Arial" w:cs="Arial"/>
          <w:sz w:val="20"/>
          <w:szCs w:val="20"/>
        </w:rPr>
        <w:t xml:space="preserve">, </w:t>
      </w:r>
      <w:r w:rsidRPr="00B77BD2">
        <w:rPr>
          <w:rFonts w:ascii="Arial" w:hAnsi="Arial" w:cs="Arial"/>
          <w:sz w:val="20"/>
          <w:szCs w:val="20"/>
        </w:rPr>
        <w:t xml:space="preserve">and the discount rate typically used in the oil and gas industry, most especially by local producers, is 10 %, we have performed a discounted cash flow analysis between 5 and </w:t>
      </w:r>
      <w:r w:rsidR="00453CE8" w:rsidRPr="00B77BD2">
        <w:rPr>
          <w:rFonts w:ascii="Arial" w:hAnsi="Arial" w:cs="Arial"/>
          <w:sz w:val="20"/>
          <w:szCs w:val="20"/>
        </w:rPr>
        <w:t>2</w:t>
      </w:r>
      <w:r w:rsidRPr="00B77BD2">
        <w:rPr>
          <w:rFonts w:ascii="Arial" w:hAnsi="Arial" w:cs="Arial"/>
          <w:sz w:val="20"/>
          <w:szCs w:val="20"/>
        </w:rPr>
        <w:t xml:space="preserve">5%. </w:t>
      </w:r>
    </w:p>
    <w:p w14:paraId="3DF5B57E" w14:textId="77777777" w:rsidR="00337AC1" w:rsidRPr="00337AC1" w:rsidRDefault="00337AC1" w:rsidP="003D38B9">
      <w:pPr>
        <w:jc w:val="both"/>
        <w:rPr>
          <w:rFonts w:ascii="Arial" w:hAnsi="Arial" w:cs="Arial"/>
          <w:sz w:val="20"/>
          <w:szCs w:val="20"/>
        </w:rPr>
      </w:pPr>
    </w:p>
    <w:p w14:paraId="6D2D3B3F" w14:textId="46088925" w:rsidR="007D4E07" w:rsidRPr="00B77BD2" w:rsidRDefault="007D4E07" w:rsidP="00B77BD2">
      <w:pPr>
        <w:jc w:val="both"/>
        <w:rPr>
          <w:rFonts w:ascii="Arial" w:hAnsi="Arial" w:cs="Arial"/>
          <w:b/>
          <w:bCs/>
          <w:sz w:val="20"/>
          <w:szCs w:val="20"/>
        </w:rPr>
      </w:pPr>
      <w:r w:rsidRPr="00B77BD2">
        <w:rPr>
          <w:rFonts w:ascii="Arial" w:hAnsi="Arial" w:cs="Arial"/>
          <w:b/>
          <w:bCs/>
          <w:sz w:val="20"/>
          <w:szCs w:val="20"/>
        </w:rPr>
        <w:t>2.3.1 Economic results</w:t>
      </w:r>
    </w:p>
    <w:p w14:paraId="6B8DC40E" w14:textId="45E352F8" w:rsidR="00D81F51" w:rsidRPr="00B77BD2" w:rsidRDefault="00D81F51" w:rsidP="00B77BD2">
      <w:pPr>
        <w:jc w:val="both"/>
        <w:rPr>
          <w:rFonts w:ascii="Arial" w:hAnsi="Arial" w:cs="Arial"/>
          <w:sz w:val="20"/>
          <w:szCs w:val="20"/>
        </w:rPr>
      </w:pPr>
      <w:r w:rsidRPr="00B77BD2">
        <w:rPr>
          <w:rFonts w:ascii="Arial" w:hAnsi="Arial" w:cs="Arial"/>
          <w:sz w:val="20"/>
          <w:szCs w:val="20"/>
        </w:rPr>
        <w:t xml:space="preserve">Figure 7 shows the net present value (NPV) of the hydrogen-natural gas lift cases studied for injection rates of 0.3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(base case) and 0.4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with gas mixture ratios of 10 %, 20 %, and 30 %. The secondary y-axis represents negative NPV values (in thousands of dollars) of all cases for gas injection rate of 0.3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Under this gas injection rate, the gas lift approach, irrespective of the mixture ratio, is not profitable. The figure also shows positive NPV values for the </w:t>
      </w:r>
      <w:r w:rsidR="00337AC1">
        <w:rPr>
          <w:rFonts w:ascii="Arial" w:hAnsi="Arial" w:cs="Arial"/>
          <w:sz w:val="20"/>
          <w:szCs w:val="20"/>
        </w:rPr>
        <w:t>0</w:t>
      </w:r>
      <w:r w:rsidRPr="00B77BD2">
        <w:rPr>
          <w:rFonts w:ascii="Arial" w:hAnsi="Arial" w:cs="Arial"/>
          <w:sz w:val="20"/>
          <w:szCs w:val="20"/>
        </w:rPr>
        <w:t xml:space="preserve">.4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with varying gas mixture ratios. All cases give NPV values above $ 6 </w:t>
      </w:r>
      <w:proofErr w:type="spellStart"/>
      <w:r w:rsidRPr="00B77BD2">
        <w:rPr>
          <w:rFonts w:ascii="Arial" w:hAnsi="Arial" w:cs="Arial"/>
          <w:sz w:val="20"/>
          <w:szCs w:val="20"/>
        </w:rPr>
        <w:t>Millions</w:t>
      </w:r>
      <w:proofErr w:type="spellEnd"/>
      <w:r w:rsidRPr="00B77BD2">
        <w:rPr>
          <w:rFonts w:ascii="Arial" w:hAnsi="Arial" w:cs="Arial"/>
          <w:sz w:val="20"/>
          <w:szCs w:val="20"/>
        </w:rPr>
        <w:t xml:space="preserve"> at 10 % discount rate; indicating a tremendous profit for a year. This also show</w:t>
      </w:r>
      <w:r w:rsidR="00337AC1">
        <w:rPr>
          <w:rFonts w:ascii="Arial" w:hAnsi="Arial" w:cs="Arial"/>
          <w:sz w:val="20"/>
          <w:szCs w:val="20"/>
        </w:rPr>
        <w:t>s</w:t>
      </w:r>
      <w:r w:rsidRPr="00B77BD2">
        <w:rPr>
          <w:rFonts w:ascii="Arial" w:hAnsi="Arial" w:cs="Arial"/>
          <w:sz w:val="20"/>
          <w:szCs w:val="20"/>
        </w:rPr>
        <w:t xml:space="preserve"> how a gas lift injection rate variation of 0.05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can change an unprofitable gas lift system to a rewarding production strategy. However, the 30 % hydrogen-natural gas lift case has the least positive NPV values due to the high electrolytic hydrogen production costs of $1.11 per kg considered. Once, there is material efficiency in PEM </w:t>
      </w:r>
      <w:proofErr w:type="spellStart"/>
      <w:r w:rsidRPr="00B77BD2">
        <w:rPr>
          <w:rFonts w:ascii="Arial" w:hAnsi="Arial" w:cs="Arial"/>
          <w:sz w:val="20"/>
          <w:szCs w:val="20"/>
        </w:rPr>
        <w:t>electrolysers</w:t>
      </w:r>
      <w:proofErr w:type="spellEnd"/>
      <w:r w:rsidRPr="00B77BD2">
        <w:rPr>
          <w:rFonts w:ascii="Arial" w:hAnsi="Arial" w:cs="Arial"/>
          <w:sz w:val="20"/>
          <w:szCs w:val="20"/>
        </w:rPr>
        <w:t xml:space="preserve"> to reduce green hydrogen gas production, gas-lifting with hydrogen-natural gas strategies may be lucrative. </w:t>
      </w:r>
    </w:p>
    <w:p w14:paraId="4C40D1E5" w14:textId="77777777" w:rsidR="00277BBD" w:rsidRPr="00B77BD2" w:rsidRDefault="00277BBD" w:rsidP="00B77BD2">
      <w:pPr>
        <w:jc w:val="both"/>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77BBD" w14:paraId="586674B5" w14:textId="77777777" w:rsidTr="00873AD9">
        <w:tc>
          <w:tcPr>
            <w:tcW w:w="9350" w:type="dxa"/>
          </w:tcPr>
          <w:p w14:paraId="6397FA33" w14:textId="7C92AB3D" w:rsidR="00277BBD" w:rsidRDefault="00277BBD" w:rsidP="003D38B9">
            <w:pPr>
              <w:jc w:val="both"/>
              <w:rPr>
                <w:rFonts w:ascii="Arial" w:hAnsi="Arial" w:cs="Arial"/>
                <w:b/>
                <w:bCs/>
                <w:sz w:val="20"/>
                <w:szCs w:val="20"/>
              </w:rPr>
            </w:pPr>
            <w:r>
              <w:rPr>
                <w:noProof/>
              </w:rPr>
              <w:lastRenderedPageBreak/>
              <w:drawing>
                <wp:inline distT="0" distB="0" distL="0" distR="0" wp14:anchorId="21C04C0E" wp14:editId="69328987">
                  <wp:extent cx="5495925" cy="2984500"/>
                  <wp:effectExtent l="0" t="0" r="0" b="6350"/>
                  <wp:docPr id="1102200767" name="Chart 1">
                    <a:extLst xmlns:a="http://schemas.openxmlformats.org/drawingml/2006/main">
                      <a:ext uri="{FF2B5EF4-FFF2-40B4-BE49-F238E27FC236}">
                        <a16:creationId xmlns:a16="http://schemas.microsoft.com/office/drawing/2014/main" id="{86041742-F2E0-DD62-D830-7B2B7AE6E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77BBD" w14:paraId="7F07A9A6" w14:textId="77777777" w:rsidTr="00873AD9">
        <w:tc>
          <w:tcPr>
            <w:tcW w:w="9350" w:type="dxa"/>
          </w:tcPr>
          <w:p w14:paraId="6D981918" w14:textId="351366FE" w:rsidR="00277BBD" w:rsidRDefault="00333033" w:rsidP="003D38B9">
            <w:pPr>
              <w:jc w:val="both"/>
              <w:rPr>
                <w:rFonts w:ascii="Arial" w:hAnsi="Arial" w:cs="Arial"/>
                <w:b/>
                <w:bCs/>
                <w:sz w:val="20"/>
                <w:szCs w:val="20"/>
              </w:rPr>
            </w:pPr>
            <w:r w:rsidRPr="00B77BD2">
              <w:rPr>
                <w:rFonts w:ascii="Arial" w:hAnsi="Arial" w:cs="Arial"/>
                <w:sz w:val="20"/>
                <w:szCs w:val="20"/>
              </w:rPr>
              <w:t>Figure 7</w:t>
            </w:r>
            <w:r>
              <w:rPr>
                <w:rFonts w:ascii="Arial" w:hAnsi="Arial" w:cs="Arial"/>
                <w:sz w:val="20"/>
                <w:szCs w:val="20"/>
              </w:rPr>
              <w:t>:</w:t>
            </w:r>
            <w:r w:rsidRPr="00B77BD2">
              <w:rPr>
                <w:rFonts w:ascii="Arial" w:hAnsi="Arial" w:cs="Arial"/>
                <w:sz w:val="20"/>
                <w:szCs w:val="20"/>
              </w:rPr>
              <w:t xml:space="preserve"> </w:t>
            </w:r>
            <w:r>
              <w:rPr>
                <w:rFonts w:ascii="Arial" w:hAnsi="Arial" w:cs="Arial"/>
                <w:sz w:val="20"/>
                <w:szCs w:val="20"/>
              </w:rPr>
              <w:t>N</w:t>
            </w:r>
            <w:r w:rsidRPr="00B77BD2">
              <w:rPr>
                <w:rFonts w:ascii="Arial" w:hAnsi="Arial" w:cs="Arial"/>
                <w:sz w:val="20"/>
                <w:szCs w:val="20"/>
              </w:rPr>
              <w:t>et present value (NPV) of the hydrogen-natural gas lift cases studied</w:t>
            </w:r>
          </w:p>
        </w:tc>
      </w:tr>
    </w:tbl>
    <w:p w14:paraId="2450963E" w14:textId="77777777" w:rsidR="00277BBD" w:rsidRPr="007D4E07" w:rsidRDefault="00277BBD" w:rsidP="003D38B9">
      <w:pPr>
        <w:jc w:val="both"/>
        <w:rPr>
          <w:rFonts w:ascii="Arial" w:hAnsi="Arial" w:cs="Arial"/>
          <w:b/>
          <w:bCs/>
          <w:sz w:val="20"/>
          <w:szCs w:val="20"/>
        </w:rPr>
      </w:pPr>
    </w:p>
    <w:p w14:paraId="40CA17C5" w14:textId="373EB58D" w:rsidR="003D38B9" w:rsidRPr="00076AF6" w:rsidRDefault="002D7DBA" w:rsidP="00333033">
      <w:pPr>
        <w:jc w:val="both"/>
        <w:rPr>
          <w:rFonts w:ascii="Arial" w:hAnsi="Arial" w:cs="Arial"/>
          <w:b/>
          <w:bCs/>
          <w:sz w:val="20"/>
          <w:szCs w:val="20"/>
        </w:rPr>
      </w:pPr>
      <w:r w:rsidRPr="00076AF6">
        <w:rPr>
          <w:rFonts w:ascii="Arial" w:hAnsi="Arial" w:cs="Arial"/>
          <w:b/>
          <w:bCs/>
          <w:sz w:val="20"/>
          <w:szCs w:val="20"/>
        </w:rPr>
        <w:t>3. CONCLUSION</w:t>
      </w:r>
    </w:p>
    <w:p w14:paraId="26DBC9FC" w14:textId="68413AB9" w:rsidR="00732C28" w:rsidRPr="00B41F37" w:rsidRDefault="00A03A61" w:rsidP="00333033">
      <w:pPr>
        <w:jc w:val="both"/>
        <w:rPr>
          <w:rFonts w:ascii="Arial" w:hAnsi="Arial" w:cs="Arial"/>
          <w:sz w:val="20"/>
          <w:szCs w:val="20"/>
        </w:rPr>
      </w:pPr>
      <w:r w:rsidRPr="00333033">
        <w:rPr>
          <w:rFonts w:ascii="Arial" w:hAnsi="Arial" w:cs="Arial"/>
          <w:sz w:val="20"/>
          <w:szCs w:val="20"/>
        </w:rPr>
        <w:t xml:space="preserve">This paper </w:t>
      </w:r>
      <w:r w:rsidR="005A7808">
        <w:rPr>
          <w:rFonts w:ascii="Arial" w:hAnsi="Arial" w:cs="Arial"/>
          <w:sz w:val="20"/>
          <w:szCs w:val="20"/>
        </w:rPr>
        <w:t>discussed briefly the</w:t>
      </w:r>
      <w:r w:rsidRPr="00333033">
        <w:rPr>
          <w:rFonts w:ascii="Arial" w:hAnsi="Arial" w:cs="Arial"/>
          <w:sz w:val="20"/>
          <w:szCs w:val="20"/>
        </w:rPr>
        <w:t xml:space="preserve"> production, transportation, compression, storage, deblending and usage</w:t>
      </w:r>
      <w:r w:rsidR="008A5C02">
        <w:rPr>
          <w:rFonts w:ascii="Arial" w:hAnsi="Arial" w:cs="Arial"/>
          <w:sz w:val="20"/>
          <w:szCs w:val="20"/>
        </w:rPr>
        <w:t xml:space="preserve"> of hydrogen gas</w:t>
      </w:r>
      <w:r w:rsidRPr="00333033">
        <w:rPr>
          <w:rFonts w:ascii="Arial" w:hAnsi="Arial" w:cs="Arial"/>
          <w:sz w:val="20"/>
          <w:szCs w:val="20"/>
        </w:rPr>
        <w:t xml:space="preserve">. It also </w:t>
      </w:r>
      <w:r w:rsidR="008A5C02">
        <w:rPr>
          <w:rFonts w:ascii="Arial" w:hAnsi="Arial" w:cs="Arial"/>
          <w:sz w:val="20"/>
          <w:szCs w:val="20"/>
        </w:rPr>
        <w:t>presented simplified well performance evaluation on</w:t>
      </w:r>
      <w:r w:rsidRPr="00333033">
        <w:rPr>
          <w:rFonts w:ascii="Arial" w:hAnsi="Arial" w:cs="Arial"/>
          <w:sz w:val="20"/>
          <w:szCs w:val="20"/>
        </w:rPr>
        <w:t xml:space="preserve"> the potential of applying hydrogen gas for gas lifting oil wells, considering WELL-X data in the Niger Delta.</w:t>
      </w:r>
      <w:r w:rsidR="008A5C02">
        <w:rPr>
          <w:rFonts w:ascii="Arial" w:hAnsi="Arial" w:cs="Arial"/>
          <w:sz w:val="20"/>
          <w:szCs w:val="20"/>
        </w:rPr>
        <w:t xml:space="preserve"> </w:t>
      </w:r>
      <w:r w:rsidR="008A5C02" w:rsidRPr="00650CEE">
        <w:rPr>
          <w:rFonts w:ascii="Arial" w:hAnsi="Arial" w:cs="Arial"/>
          <w:sz w:val="20"/>
          <w:szCs w:val="20"/>
        </w:rPr>
        <w:t xml:space="preserve">A </w:t>
      </w:r>
      <w:r w:rsidR="008A5C02">
        <w:rPr>
          <w:rFonts w:ascii="Arial" w:hAnsi="Arial" w:cs="Arial"/>
          <w:sz w:val="20"/>
          <w:szCs w:val="20"/>
        </w:rPr>
        <w:t xml:space="preserve">commercial </w:t>
      </w:r>
      <w:r w:rsidR="008A5C02" w:rsidRPr="00650CEE">
        <w:rPr>
          <w:rFonts w:ascii="Arial" w:hAnsi="Arial" w:cs="Arial"/>
          <w:sz w:val="20"/>
          <w:szCs w:val="20"/>
        </w:rPr>
        <w:t>production system simulator (through nodal analysis that considers the steady state relationship between pressure drop and flow rate) was used to model the Well-X performance for 100 % natural gas lift scenario and a range of mixtures (10 – 90 %) of hydrogen-natural gas lift cases.</w:t>
      </w:r>
      <w:r w:rsidR="008A5C02">
        <w:rPr>
          <w:rFonts w:ascii="Arial" w:hAnsi="Arial" w:cs="Arial"/>
          <w:sz w:val="20"/>
          <w:szCs w:val="20"/>
        </w:rPr>
        <w:t xml:space="preserve"> </w:t>
      </w:r>
      <w:r w:rsidR="00B41F37" w:rsidRPr="00333033">
        <w:rPr>
          <w:rFonts w:ascii="Arial" w:hAnsi="Arial" w:cs="Arial"/>
          <w:sz w:val="20"/>
          <w:szCs w:val="20"/>
        </w:rPr>
        <w:t xml:space="preserve">For a gas injection rate of 0.3 </w:t>
      </w:r>
      <w:proofErr w:type="spellStart"/>
      <w:r w:rsidR="00B41F37" w:rsidRPr="00333033">
        <w:rPr>
          <w:rFonts w:ascii="Arial" w:hAnsi="Arial" w:cs="Arial"/>
          <w:sz w:val="20"/>
          <w:szCs w:val="20"/>
        </w:rPr>
        <w:t>MMscf</w:t>
      </w:r>
      <w:proofErr w:type="spellEnd"/>
      <w:r w:rsidR="00B41F37" w:rsidRPr="00333033">
        <w:rPr>
          <w:rFonts w:ascii="Arial" w:hAnsi="Arial" w:cs="Arial"/>
          <w:sz w:val="20"/>
          <w:szCs w:val="20"/>
        </w:rPr>
        <w:t xml:space="preserve">/d, the oil rate increment between 10 and 22 </w:t>
      </w:r>
      <w:proofErr w:type="spellStart"/>
      <w:r w:rsidR="00B41F37" w:rsidRPr="00333033">
        <w:rPr>
          <w:rFonts w:ascii="Arial" w:hAnsi="Arial" w:cs="Arial"/>
          <w:sz w:val="20"/>
          <w:szCs w:val="20"/>
        </w:rPr>
        <w:t>stb</w:t>
      </w:r>
      <w:proofErr w:type="spellEnd"/>
      <w:r w:rsidR="00B41F37" w:rsidRPr="00333033">
        <w:rPr>
          <w:rFonts w:ascii="Arial" w:hAnsi="Arial" w:cs="Arial"/>
          <w:sz w:val="20"/>
          <w:szCs w:val="20"/>
        </w:rPr>
        <w:t>/d</w:t>
      </w:r>
      <w:r w:rsidR="00B41F37">
        <w:rPr>
          <w:rFonts w:ascii="Arial" w:hAnsi="Arial" w:cs="Arial"/>
          <w:sz w:val="20"/>
          <w:szCs w:val="20"/>
        </w:rPr>
        <w:t xml:space="preserve"> was</w:t>
      </w:r>
      <w:r w:rsidR="00B41F37" w:rsidRPr="00333033">
        <w:rPr>
          <w:rFonts w:ascii="Arial" w:hAnsi="Arial" w:cs="Arial"/>
          <w:sz w:val="20"/>
          <w:szCs w:val="20"/>
        </w:rPr>
        <w:t xml:space="preserve"> obtained</w:t>
      </w:r>
      <w:r w:rsidR="00B41F37">
        <w:rPr>
          <w:rFonts w:ascii="Arial" w:hAnsi="Arial" w:cs="Arial"/>
          <w:sz w:val="20"/>
          <w:szCs w:val="20"/>
        </w:rPr>
        <w:t xml:space="preserve"> </w:t>
      </w:r>
      <w:r w:rsidR="00B41F37" w:rsidRPr="00333033">
        <w:rPr>
          <w:rFonts w:ascii="Arial" w:hAnsi="Arial" w:cs="Arial"/>
          <w:sz w:val="20"/>
          <w:szCs w:val="20"/>
        </w:rPr>
        <w:t xml:space="preserve">for various hydrogen-natural blends., which </w:t>
      </w:r>
      <w:r w:rsidR="00B41F37">
        <w:rPr>
          <w:rFonts w:ascii="Arial" w:hAnsi="Arial" w:cs="Arial"/>
          <w:sz w:val="20"/>
          <w:szCs w:val="20"/>
        </w:rPr>
        <w:t>wa</w:t>
      </w:r>
      <w:r w:rsidR="00B41F37" w:rsidRPr="00333033">
        <w:rPr>
          <w:rFonts w:ascii="Arial" w:hAnsi="Arial" w:cs="Arial"/>
          <w:sz w:val="20"/>
          <w:szCs w:val="20"/>
        </w:rPr>
        <w:t xml:space="preserve">s insignificant when compared to the reported 280 </w:t>
      </w:r>
      <w:proofErr w:type="spellStart"/>
      <w:r w:rsidR="00B41F37" w:rsidRPr="00333033">
        <w:rPr>
          <w:rFonts w:ascii="Arial" w:hAnsi="Arial" w:cs="Arial"/>
          <w:sz w:val="20"/>
          <w:szCs w:val="20"/>
        </w:rPr>
        <w:t>bbls</w:t>
      </w:r>
      <w:proofErr w:type="spellEnd"/>
      <w:r w:rsidR="00B41F37" w:rsidRPr="00333033">
        <w:rPr>
          <w:rFonts w:ascii="Arial" w:hAnsi="Arial" w:cs="Arial"/>
          <w:sz w:val="20"/>
          <w:szCs w:val="20"/>
        </w:rPr>
        <w:t>/d oil rate increment of the foam-assisted gas lift field trial.</w:t>
      </w:r>
      <w:r w:rsidR="00B41F37">
        <w:rPr>
          <w:rFonts w:ascii="Arial" w:hAnsi="Arial" w:cs="Arial"/>
          <w:sz w:val="20"/>
          <w:szCs w:val="20"/>
        </w:rPr>
        <w:t xml:space="preserve"> </w:t>
      </w:r>
      <w:r w:rsidR="00B41F37" w:rsidRPr="009B762B">
        <w:rPr>
          <w:rFonts w:ascii="Arial" w:hAnsi="Arial" w:cs="Arial"/>
          <w:sz w:val="20"/>
          <w:szCs w:val="20"/>
        </w:rPr>
        <w:t>Further simulations on injection rates, under various gas-oil (GOR) ratio and hydrogen-natural gas blends, show</w:t>
      </w:r>
      <w:r w:rsidR="00B41F37">
        <w:rPr>
          <w:rFonts w:ascii="Arial" w:hAnsi="Arial" w:cs="Arial"/>
          <w:sz w:val="20"/>
          <w:szCs w:val="20"/>
        </w:rPr>
        <w:t>ed</w:t>
      </w:r>
      <w:r w:rsidR="00B41F37" w:rsidRPr="009B762B">
        <w:rPr>
          <w:rFonts w:ascii="Arial" w:hAnsi="Arial" w:cs="Arial"/>
          <w:sz w:val="20"/>
          <w:szCs w:val="20"/>
        </w:rPr>
        <w:t xml:space="preserve"> that oil rate increment can be improved when the high-pressure injection gas can be at the optimum level.</w:t>
      </w:r>
      <w:r w:rsidR="00B41F37">
        <w:rPr>
          <w:rFonts w:ascii="Arial" w:hAnsi="Arial" w:cs="Arial"/>
          <w:sz w:val="20"/>
          <w:szCs w:val="20"/>
        </w:rPr>
        <w:t xml:space="preserve"> In summary, t</w:t>
      </w:r>
      <w:r w:rsidR="00732C28" w:rsidRPr="00333033">
        <w:rPr>
          <w:rFonts w:ascii="Arial" w:hAnsi="Arial" w:cs="Arial"/>
          <w:sz w:val="20"/>
          <w:szCs w:val="20"/>
        </w:rPr>
        <w:t>he results show</w:t>
      </w:r>
      <w:r w:rsidR="00B41F37">
        <w:rPr>
          <w:rFonts w:ascii="Arial" w:hAnsi="Arial" w:cs="Arial"/>
          <w:sz w:val="20"/>
          <w:szCs w:val="20"/>
        </w:rPr>
        <w:t>ed</w:t>
      </w:r>
      <w:r w:rsidR="00732C28" w:rsidRPr="00333033">
        <w:rPr>
          <w:rFonts w:ascii="Arial" w:hAnsi="Arial" w:cs="Arial"/>
          <w:sz w:val="20"/>
          <w:szCs w:val="20"/>
        </w:rPr>
        <w:t xml:space="preserve"> that gas injection rate, irrespective of the hydrogen-natural gas mixture, </w:t>
      </w:r>
      <w:r w:rsidR="00B41F37">
        <w:rPr>
          <w:rFonts w:ascii="Arial" w:hAnsi="Arial" w:cs="Arial"/>
          <w:sz w:val="20"/>
          <w:szCs w:val="20"/>
        </w:rPr>
        <w:t>greatly</w:t>
      </w:r>
      <w:r w:rsidR="00732C28" w:rsidRPr="00333033">
        <w:rPr>
          <w:rFonts w:ascii="Arial" w:hAnsi="Arial" w:cs="Arial"/>
          <w:sz w:val="20"/>
          <w:szCs w:val="20"/>
        </w:rPr>
        <w:t xml:space="preserve"> influence the profitability of the production strategy. </w:t>
      </w:r>
    </w:p>
    <w:p w14:paraId="48A7F98B" w14:textId="143F5FA4" w:rsidR="00CC2ACE" w:rsidRDefault="00CC2ACE" w:rsidP="00333033">
      <w:pPr>
        <w:jc w:val="both"/>
        <w:rPr>
          <w:rFonts w:ascii="Arial" w:hAnsi="Arial" w:cs="Arial"/>
          <w:sz w:val="20"/>
          <w:szCs w:val="20"/>
        </w:rPr>
      </w:pPr>
      <w:r w:rsidRPr="00333033">
        <w:rPr>
          <w:rFonts w:ascii="Arial" w:hAnsi="Arial" w:cs="Arial"/>
          <w:sz w:val="20"/>
          <w:szCs w:val="20"/>
        </w:rPr>
        <w:t>The simplified economic analysis carried out show</w:t>
      </w:r>
      <w:r w:rsidR="00B41F37">
        <w:rPr>
          <w:rFonts w:ascii="Arial" w:hAnsi="Arial" w:cs="Arial"/>
          <w:sz w:val="20"/>
          <w:szCs w:val="20"/>
        </w:rPr>
        <w:t>ed</w:t>
      </w:r>
      <w:r w:rsidRPr="00333033">
        <w:rPr>
          <w:rFonts w:ascii="Arial" w:hAnsi="Arial" w:cs="Arial"/>
          <w:sz w:val="20"/>
          <w:szCs w:val="20"/>
        </w:rPr>
        <w:t xml:space="preserve"> that, under the 0.3 </w:t>
      </w:r>
      <w:proofErr w:type="spellStart"/>
      <w:r w:rsidRPr="00333033">
        <w:rPr>
          <w:rFonts w:ascii="Arial" w:hAnsi="Arial" w:cs="Arial"/>
          <w:sz w:val="20"/>
          <w:szCs w:val="20"/>
        </w:rPr>
        <w:t>MMscf</w:t>
      </w:r>
      <w:proofErr w:type="spellEnd"/>
      <w:r w:rsidRPr="00333033">
        <w:rPr>
          <w:rFonts w:ascii="Arial" w:hAnsi="Arial" w:cs="Arial"/>
          <w:sz w:val="20"/>
          <w:szCs w:val="20"/>
        </w:rPr>
        <w:t xml:space="preserve">/d injection rate, the gas-lift project is unprofitable, a negative NPV values running into thousands of dollars. While, with the injection rate of 0.4 </w:t>
      </w:r>
      <w:proofErr w:type="spellStart"/>
      <w:r w:rsidRPr="00333033">
        <w:rPr>
          <w:rFonts w:ascii="Arial" w:hAnsi="Arial" w:cs="Arial"/>
          <w:sz w:val="20"/>
          <w:szCs w:val="20"/>
        </w:rPr>
        <w:t>MMscf</w:t>
      </w:r>
      <w:proofErr w:type="spellEnd"/>
      <w:r w:rsidRPr="00333033">
        <w:rPr>
          <w:rFonts w:ascii="Arial" w:hAnsi="Arial" w:cs="Arial"/>
          <w:sz w:val="20"/>
          <w:szCs w:val="20"/>
        </w:rPr>
        <w:t xml:space="preserve">/d, the NPV value </w:t>
      </w:r>
      <w:r w:rsidR="00B41F37">
        <w:rPr>
          <w:rFonts w:ascii="Arial" w:hAnsi="Arial" w:cs="Arial"/>
          <w:sz w:val="20"/>
          <w:szCs w:val="20"/>
        </w:rPr>
        <w:t>wa</w:t>
      </w:r>
      <w:r w:rsidRPr="00333033">
        <w:rPr>
          <w:rFonts w:ascii="Arial" w:hAnsi="Arial" w:cs="Arial"/>
          <w:sz w:val="20"/>
          <w:szCs w:val="20"/>
        </w:rPr>
        <w:t xml:space="preserve">s over $ 6 </w:t>
      </w:r>
      <w:proofErr w:type="spellStart"/>
      <w:r w:rsidRPr="00333033">
        <w:rPr>
          <w:rFonts w:ascii="Arial" w:hAnsi="Arial" w:cs="Arial"/>
          <w:sz w:val="20"/>
          <w:szCs w:val="20"/>
        </w:rPr>
        <w:t>Millions</w:t>
      </w:r>
      <w:proofErr w:type="spellEnd"/>
      <w:r w:rsidRPr="00333033">
        <w:rPr>
          <w:rFonts w:ascii="Arial" w:hAnsi="Arial" w:cs="Arial"/>
          <w:sz w:val="20"/>
          <w:szCs w:val="20"/>
        </w:rPr>
        <w:t xml:space="preserve"> considering discount rate of 10 %. The hydrogen-natural gas blends did not improve the profitability of the gas lift project due to the current high electrolytic hydrogen production.</w:t>
      </w:r>
    </w:p>
    <w:p w14:paraId="2527BC4F" w14:textId="77777777" w:rsidR="006A36FB" w:rsidRDefault="006A36FB" w:rsidP="00333033">
      <w:pPr>
        <w:jc w:val="both"/>
        <w:rPr>
          <w:rFonts w:ascii="Arial" w:hAnsi="Arial" w:cs="Arial"/>
          <w:sz w:val="20"/>
          <w:szCs w:val="20"/>
        </w:rPr>
      </w:pPr>
    </w:p>
    <w:p w14:paraId="2068CDFE" w14:textId="77777777" w:rsidR="00A22BD9" w:rsidRPr="00A22BD9" w:rsidRDefault="00A22BD9" w:rsidP="00A22BD9">
      <w:pPr>
        <w:jc w:val="both"/>
        <w:rPr>
          <w:rFonts w:ascii="Arial" w:hAnsi="Arial" w:cs="Arial"/>
          <w:sz w:val="20"/>
          <w:szCs w:val="20"/>
        </w:rPr>
      </w:pPr>
      <w:bookmarkStart w:id="0" w:name="_GoBack"/>
      <w:bookmarkEnd w:id="0"/>
      <w:r w:rsidRPr="00A22BD9">
        <w:rPr>
          <w:rFonts w:ascii="Arial" w:hAnsi="Arial" w:cs="Arial"/>
          <w:sz w:val="20"/>
          <w:szCs w:val="20"/>
        </w:rPr>
        <w:t>COMPETING INTERESTS DISCLAIMER:</w:t>
      </w:r>
    </w:p>
    <w:p w14:paraId="444EF9F2" w14:textId="6FB34823" w:rsidR="00811049" w:rsidRDefault="00A22BD9" w:rsidP="00A22BD9">
      <w:pPr>
        <w:jc w:val="both"/>
        <w:rPr>
          <w:rFonts w:ascii="Arial" w:hAnsi="Arial" w:cs="Arial"/>
          <w:sz w:val="20"/>
          <w:szCs w:val="20"/>
        </w:rPr>
      </w:pPr>
      <w:r w:rsidRPr="00A22BD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CF20A1C" w14:textId="77777777" w:rsidR="00811049" w:rsidRDefault="00811049" w:rsidP="00333033">
      <w:pPr>
        <w:jc w:val="both"/>
        <w:rPr>
          <w:rFonts w:ascii="Arial" w:hAnsi="Arial" w:cs="Arial"/>
          <w:sz w:val="20"/>
          <w:szCs w:val="20"/>
        </w:rPr>
      </w:pPr>
    </w:p>
    <w:p w14:paraId="3EBF3DCC" w14:textId="77777777" w:rsidR="00811049" w:rsidRDefault="00811049" w:rsidP="00333033">
      <w:pPr>
        <w:jc w:val="both"/>
        <w:rPr>
          <w:rFonts w:ascii="Arial" w:hAnsi="Arial" w:cs="Arial"/>
          <w:sz w:val="20"/>
          <w:szCs w:val="20"/>
        </w:rPr>
      </w:pPr>
    </w:p>
    <w:p w14:paraId="5FFB2320" w14:textId="77777777" w:rsidR="00811049" w:rsidRPr="00811049" w:rsidRDefault="00811049" w:rsidP="00333033">
      <w:pPr>
        <w:jc w:val="both"/>
        <w:rPr>
          <w:rFonts w:ascii="Arial" w:hAnsi="Arial" w:cs="Arial"/>
          <w:sz w:val="20"/>
          <w:szCs w:val="20"/>
        </w:rPr>
      </w:pPr>
    </w:p>
    <w:p w14:paraId="75A3EC01" w14:textId="77777777" w:rsidR="00333033" w:rsidRPr="00FC22C1" w:rsidRDefault="00333033" w:rsidP="00333033">
      <w:pPr>
        <w:rPr>
          <w:rFonts w:ascii="Arial" w:hAnsi="Arial" w:cs="Arial"/>
          <w:b/>
          <w:bCs/>
          <w:sz w:val="20"/>
          <w:szCs w:val="20"/>
        </w:rPr>
      </w:pPr>
      <w:r w:rsidRPr="00FC22C1">
        <w:rPr>
          <w:rFonts w:ascii="Arial" w:hAnsi="Arial" w:cs="Arial"/>
          <w:b/>
          <w:bCs/>
          <w:sz w:val="20"/>
          <w:szCs w:val="20"/>
        </w:rPr>
        <w:t>REFERENCE</w:t>
      </w:r>
    </w:p>
    <w:p w14:paraId="572BFE73" w14:textId="318AB0C9" w:rsidR="00EF0021" w:rsidRDefault="00EF0021" w:rsidP="006A36FB">
      <w:pPr>
        <w:jc w:val="both"/>
        <w:rPr>
          <w:rFonts w:ascii="Arial" w:hAnsi="Arial" w:cs="Arial"/>
          <w:sz w:val="20"/>
          <w:szCs w:val="20"/>
        </w:rPr>
      </w:pPr>
      <w:r w:rsidRPr="00B376F8">
        <w:rPr>
          <w:rFonts w:ascii="Arial" w:hAnsi="Arial" w:cs="Arial"/>
          <w:sz w:val="20"/>
          <w:szCs w:val="20"/>
        </w:rPr>
        <w:lastRenderedPageBreak/>
        <w:t xml:space="preserve">[1] </w:t>
      </w:r>
      <w:proofErr w:type="spellStart"/>
      <w:r w:rsidRPr="00B376F8">
        <w:rPr>
          <w:rFonts w:ascii="Arial" w:hAnsi="Arial" w:cs="Arial"/>
          <w:sz w:val="20"/>
          <w:szCs w:val="20"/>
        </w:rPr>
        <w:t>Züettel</w:t>
      </w:r>
      <w:proofErr w:type="spellEnd"/>
      <w:r w:rsidRPr="00B376F8">
        <w:rPr>
          <w:rFonts w:ascii="Arial" w:hAnsi="Arial" w:cs="Arial"/>
          <w:sz w:val="20"/>
          <w:szCs w:val="20"/>
        </w:rPr>
        <w:t xml:space="preserve">, A. Hydrogen storage methods. </w:t>
      </w:r>
      <w:proofErr w:type="spellStart"/>
      <w:r w:rsidRPr="00B376F8">
        <w:rPr>
          <w:rFonts w:ascii="Arial" w:hAnsi="Arial" w:cs="Arial"/>
          <w:sz w:val="20"/>
          <w:szCs w:val="20"/>
        </w:rPr>
        <w:t>Naturwissenschaften</w:t>
      </w:r>
      <w:proofErr w:type="spellEnd"/>
      <w:r w:rsidRPr="00B376F8">
        <w:rPr>
          <w:rFonts w:ascii="Arial" w:hAnsi="Arial" w:cs="Arial"/>
          <w:sz w:val="20"/>
          <w:szCs w:val="20"/>
        </w:rPr>
        <w:t xml:space="preserve"> 91, 157–172</w:t>
      </w:r>
      <w:r w:rsidR="00BD6559">
        <w:rPr>
          <w:rFonts w:ascii="Arial" w:hAnsi="Arial" w:cs="Arial"/>
          <w:sz w:val="20"/>
          <w:szCs w:val="20"/>
        </w:rPr>
        <w:t xml:space="preserve">, </w:t>
      </w:r>
      <w:r w:rsidR="00BD6559" w:rsidRPr="00B376F8">
        <w:rPr>
          <w:rFonts w:ascii="Arial" w:hAnsi="Arial" w:cs="Arial"/>
          <w:sz w:val="20"/>
          <w:szCs w:val="20"/>
        </w:rPr>
        <w:t>(2004)</w:t>
      </w:r>
      <w:r w:rsidR="00BD6559">
        <w:rPr>
          <w:rFonts w:ascii="Arial" w:hAnsi="Arial" w:cs="Arial"/>
          <w:sz w:val="20"/>
          <w:szCs w:val="20"/>
        </w:rPr>
        <w:t>.</w:t>
      </w:r>
    </w:p>
    <w:p w14:paraId="7690730F" w14:textId="34043C2F" w:rsidR="00EF0021" w:rsidRDefault="00EF0021" w:rsidP="006A36FB">
      <w:pPr>
        <w:jc w:val="both"/>
        <w:rPr>
          <w:rFonts w:ascii="Arial" w:hAnsi="Arial" w:cs="Arial"/>
          <w:sz w:val="20"/>
          <w:szCs w:val="20"/>
        </w:rPr>
      </w:pPr>
      <w:r w:rsidRPr="00B376F8">
        <w:rPr>
          <w:rFonts w:ascii="Arial" w:hAnsi="Arial" w:cs="Arial"/>
          <w:sz w:val="20"/>
          <w:szCs w:val="20"/>
        </w:rPr>
        <w:t xml:space="preserve">[2] </w:t>
      </w:r>
      <w:proofErr w:type="spellStart"/>
      <w:r w:rsidRPr="00B376F8">
        <w:rPr>
          <w:rFonts w:ascii="Arial" w:hAnsi="Arial" w:cs="Arial"/>
          <w:sz w:val="20"/>
          <w:szCs w:val="20"/>
        </w:rPr>
        <w:t>Messaoudani</w:t>
      </w:r>
      <w:proofErr w:type="spellEnd"/>
      <w:r w:rsidRPr="00B376F8">
        <w:rPr>
          <w:rFonts w:ascii="Arial" w:hAnsi="Arial" w:cs="Arial"/>
          <w:sz w:val="20"/>
          <w:szCs w:val="20"/>
        </w:rPr>
        <w:t xml:space="preserve">, Z.I., </w:t>
      </w:r>
      <w:proofErr w:type="spellStart"/>
      <w:r w:rsidRPr="00B376F8">
        <w:rPr>
          <w:rFonts w:ascii="Arial" w:hAnsi="Arial" w:cs="Arial"/>
          <w:sz w:val="20"/>
          <w:szCs w:val="20"/>
        </w:rPr>
        <w:t>Rigas</w:t>
      </w:r>
      <w:proofErr w:type="spellEnd"/>
      <w:r w:rsidRPr="00B376F8">
        <w:rPr>
          <w:rFonts w:ascii="Arial" w:hAnsi="Arial" w:cs="Arial"/>
          <w:sz w:val="20"/>
          <w:szCs w:val="20"/>
        </w:rPr>
        <w:t xml:space="preserve">, F., Binti Hamid, M.D., Che Hassan, C.R. Hazards, safety and knowledge gaps on hydrogen transmission via natural gas grid: a critical review, Int. J. Hydrogen Energy 41 (2016) 17511–17525. </w:t>
      </w:r>
    </w:p>
    <w:p w14:paraId="1F9AFBF7" w14:textId="1CA8E376" w:rsidR="00EF0021" w:rsidRDefault="00EF0021" w:rsidP="006A36FB">
      <w:pPr>
        <w:jc w:val="both"/>
        <w:rPr>
          <w:rFonts w:ascii="Arial" w:hAnsi="Arial" w:cs="Arial"/>
          <w:sz w:val="20"/>
          <w:szCs w:val="20"/>
        </w:rPr>
      </w:pPr>
      <w:r w:rsidRPr="00B376F8">
        <w:rPr>
          <w:rFonts w:ascii="Arial" w:hAnsi="Arial" w:cs="Arial"/>
          <w:sz w:val="20"/>
          <w:szCs w:val="20"/>
        </w:rPr>
        <w:t xml:space="preserve">[3] </w:t>
      </w:r>
      <w:proofErr w:type="spellStart"/>
      <w:r w:rsidRPr="00B376F8">
        <w:rPr>
          <w:rFonts w:ascii="Arial" w:hAnsi="Arial" w:cs="Arial"/>
          <w:sz w:val="20"/>
          <w:szCs w:val="20"/>
        </w:rPr>
        <w:t>Godula</w:t>
      </w:r>
      <w:proofErr w:type="spellEnd"/>
      <w:r w:rsidRPr="00B376F8">
        <w:rPr>
          <w:rFonts w:ascii="Arial" w:hAnsi="Arial" w:cs="Arial"/>
          <w:sz w:val="20"/>
          <w:szCs w:val="20"/>
        </w:rPr>
        <w:t xml:space="preserve">-Jopek, A. Hydrogen production: by electrolysis. Ed. 1. Wiley-VCH Verlag GmbH &amp; Co. </w:t>
      </w:r>
      <w:proofErr w:type="spellStart"/>
      <w:r w:rsidRPr="00B376F8">
        <w:rPr>
          <w:rFonts w:ascii="Arial" w:hAnsi="Arial" w:cs="Arial"/>
          <w:sz w:val="20"/>
          <w:szCs w:val="20"/>
        </w:rPr>
        <w:t>KgaA</w:t>
      </w:r>
      <w:proofErr w:type="spellEnd"/>
      <w:r w:rsidRPr="00B376F8">
        <w:rPr>
          <w:rFonts w:ascii="Arial" w:hAnsi="Arial" w:cs="Arial"/>
          <w:sz w:val="20"/>
          <w:szCs w:val="20"/>
        </w:rPr>
        <w:t>, Germany</w:t>
      </w:r>
      <w:r w:rsidR="00BD6559">
        <w:rPr>
          <w:rFonts w:ascii="Arial" w:hAnsi="Arial" w:cs="Arial"/>
          <w:sz w:val="20"/>
          <w:szCs w:val="20"/>
        </w:rPr>
        <w:t xml:space="preserve"> </w:t>
      </w:r>
      <w:r w:rsidR="00BD6559" w:rsidRPr="00B376F8">
        <w:rPr>
          <w:rFonts w:ascii="Arial" w:hAnsi="Arial" w:cs="Arial"/>
          <w:sz w:val="20"/>
          <w:szCs w:val="20"/>
        </w:rPr>
        <w:t>(2015)</w:t>
      </w:r>
      <w:r w:rsidR="00BD6559">
        <w:rPr>
          <w:rFonts w:ascii="Arial" w:hAnsi="Arial" w:cs="Arial"/>
          <w:sz w:val="20"/>
          <w:szCs w:val="20"/>
        </w:rPr>
        <w:t>.</w:t>
      </w:r>
      <w:r w:rsidRPr="00B376F8">
        <w:rPr>
          <w:rFonts w:ascii="Arial" w:hAnsi="Arial" w:cs="Arial"/>
          <w:sz w:val="20"/>
          <w:szCs w:val="20"/>
        </w:rPr>
        <w:t xml:space="preserve"> </w:t>
      </w:r>
    </w:p>
    <w:p w14:paraId="55D59A5A" w14:textId="0396089F" w:rsidR="0026006D" w:rsidRDefault="0026006D" w:rsidP="006A36FB">
      <w:pPr>
        <w:jc w:val="both"/>
        <w:rPr>
          <w:rFonts w:ascii="Arial" w:hAnsi="Arial" w:cs="Arial"/>
          <w:sz w:val="20"/>
          <w:szCs w:val="20"/>
        </w:rPr>
      </w:pPr>
      <w:r w:rsidRPr="00B376F8">
        <w:rPr>
          <w:rFonts w:ascii="Arial" w:hAnsi="Arial" w:cs="Arial"/>
          <w:sz w:val="20"/>
          <w:szCs w:val="20"/>
        </w:rPr>
        <w:t>[4</w:t>
      </w:r>
      <w:r>
        <w:rPr>
          <w:rFonts w:ascii="Arial" w:hAnsi="Arial" w:cs="Arial"/>
          <w:sz w:val="20"/>
          <w:szCs w:val="20"/>
        </w:rPr>
        <w:t>]</w:t>
      </w:r>
      <w:r w:rsidRPr="00B376F8">
        <w:rPr>
          <w:rFonts w:ascii="Arial" w:hAnsi="Arial" w:cs="Arial"/>
          <w:sz w:val="20"/>
          <w:szCs w:val="20"/>
        </w:rPr>
        <w:t xml:space="preserve"> Hydrogen Fuel Cell Engines and Related Technologies: Rev 0, December 200</w:t>
      </w:r>
      <w:r w:rsidR="00BD6559">
        <w:rPr>
          <w:rFonts w:ascii="Arial" w:hAnsi="Arial" w:cs="Arial"/>
          <w:sz w:val="20"/>
          <w:szCs w:val="20"/>
        </w:rPr>
        <w:t>1.</w:t>
      </w:r>
    </w:p>
    <w:p w14:paraId="315CF378" w14:textId="6E11003D" w:rsidR="0026006D" w:rsidRDefault="0026006D" w:rsidP="006A36FB">
      <w:pPr>
        <w:jc w:val="both"/>
        <w:rPr>
          <w:rFonts w:ascii="Arial" w:hAnsi="Arial" w:cs="Arial"/>
          <w:sz w:val="20"/>
          <w:szCs w:val="20"/>
        </w:rPr>
      </w:pPr>
      <w:r w:rsidRPr="00B376F8">
        <w:rPr>
          <w:rFonts w:ascii="Arial" w:hAnsi="Arial" w:cs="Arial"/>
          <w:sz w:val="20"/>
          <w:szCs w:val="20"/>
        </w:rPr>
        <w:t xml:space="preserve">[5] Rissman, J., Bataille, C., </w:t>
      </w:r>
      <w:proofErr w:type="spellStart"/>
      <w:r w:rsidRPr="00B376F8">
        <w:rPr>
          <w:rFonts w:ascii="Arial" w:hAnsi="Arial" w:cs="Arial"/>
          <w:sz w:val="20"/>
          <w:szCs w:val="20"/>
        </w:rPr>
        <w:t>Masanet</w:t>
      </w:r>
      <w:proofErr w:type="spellEnd"/>
      <w:r w:rsidRPr="00B376F8">
        <w:rPr>
          <w:rFonts w:ascii="Arial" w:hAnsi="Arial" w:cs="Arial"/>
          <w:sz w:val="20"/>
          <w:szCs w:val="20"/>
        </w:rPr>
        <w:t>, E., Aden, N., Morrow III, W.R., Zhou, N., Elliott, N., Dell, R., Heeren, N. and B. Huckestein, B. et al</w:t>
      </w:r>
      <w:r w:rsidR="009866C7">
        <w:rPr>
          <w:rFonts w:ascii="Arial" w:hAnsi="Arial" w:cs="Arial"/>
          <w:sz w:val="20"/>
          <w:szCs w:val="20"/>
        </w:rPr>
        <w:t xml:space="preserve">. (2020). Technologies and policies to </w:t>
      </w:r>
      <w:proofErr w:type="spellStart"/>
      <w:r w:rsidR="009866C7">
        <w:rPr>
          <w:rFonts w:ascii="Arial" w:hAnsi="Arial" w:cs="Arial"/>
          <w:sz w:val="20"/>
          <w:szCs w:val="20"/>
        </w:rPr>
        <w:t>decarbonise</w:t>
      </w:r>
      <w:proofErr w:type="spellEnd"/>
      <w:r w:rsidR="009866C7">
        <w:rPr>
          <w:rFonts w:ascii="Arial" w:hAnsi="Arial" w:cs="Arial"/>
          <w:sz w:val="20"/>
          <w:szCs w:val="20"/>
        </w:rPr>
        <w:t xml:space="preserve"> global industry: Review and assessment of mitigation drivers through 2070. </w:t>
      </w:r>
      <w:r w:rsidRPr="00B376F8">
        <w:rPr>
          <w:rFonts w:ascii="Arial" w:hAnsi="Arial" w:cs="Arial"/>
          <w:sz w:val="20"/>
          <w:szCs w:val="20"/>
        </w:rPr>
        <w:t xml:space="preserve">Appl. Energy, </w:t>
      </w:r>
      <w:r w:rsidR="00BD6559">
        <w:rPr>
          <w:rFonts w:ascii="Arial" w:hAnsi="Arial" w:cs="Arial"/>
          <w:sz w:val="20"/>
          <w:szCs w:val="20"/>
        </w:rPr>
        <w:t>(</w:t>
      </w:r>
      <w:r w:rsidRPr="00B376F8">
        <w:rPr>
          <w:rFonts w:ascii="Arial" w:hAnsi="Arial" w:cs="Arial"/>
          <w:sz w:val="20"/>
          <w:szCs w:val="20"/>
        </w:rPr>
        <w:t>2020</w:t>
      </w:r>
      <w:r w:rsidR="00BD6559">
        <w:rPr>
          <w:rFonts w:ascii="Arial" w:hAnsi="Arial" w:cs="Arial"/>
          <w:sz w:val="20"/>
          <w:szCs w:val="20"/>
        </w:rPr>
        <w:t>)</w:t>
      </w:r>
      <w:r w:rsidRPr="00B376F8">
        <w:rPr>
          <w:rFonts w:ascii="Arial" w:hAnsi="Arial" w:cs="Arial"/>
          <w:sz w:val="20"/>
          <w:szCs w:val="20"/>
        </w:rPr>
        <w:t>, 266, 114848.</w:t>
      </w:r>
    </w:p>
    <w:p w14:paraId="106C5DF2" w14:textId="30925B18" w:rsidR="0026006D" w:rsidRDefault="0026006D" w:rsidP="006A36FB">
      <w:pPr>
        <w:jc w:val="both"/>
        <w:rPr>
          <w:rFonts w:ascii="Arial" w:hAnsi="Arial" w:cs="Arial"/>
          <w:sz w:val="20"/>
          <w:szCs w:val="20"/>
        </w:rPr>
      </w:pPr>
      <w:r w:rsidRPr="00B376F8">
        <w:rPr>
          <w:rFonts w:ascii="Arial" w:hAnsi="Arial" w:cs="Arial"/>
          <w:sz w:val="20"/>
          <w:szCs w:val="20"/>
        </w:rPr>
        <w:t xml:space="preserve">[6] Bauer, C., Heck, T., Schneider, S., Sanjaykumar, H., Terlouw, T., Treyer K., and Zhang, X., Electricity storage and hydrogen: Technologies, costs and environmental burdens, PSI, Paul Scherrer </w:t>
      </w:r>
      <w:proofErr w:type="spellStart"/>
      <w:r w:rsidRPr="00B376F8">
        <w:rPr>
          <w:rFonts w:ascii="Arial" w:hAnsi="Arial" w:cs="Arial"/>
          <w:sz w:val="20"/>
          <w:szCs w:val="20"/>
        </w:rPr>
        <w:t>Institut</w:t>
      </w:r>
      <w:proofErr w:type="spellEnd"/>
      <w:r w:rsidRPr="00B376F8">
        <w:rPr>
          <w:rFonts w:ascii="Arial" w:hAnsi="Arial" w:cs="Arial"/>
          <w:sz w:val="20"/>
          <w:szCs w:val="20"/>
        </w:rPr>
        <w:t xml:space="preserve"> technical report, </w:t>
      </w:r>
      <w:r w:rsidR="00BD6559">
        <w:rPr>
          <w:rFonts w:ascii="Arial" w:hAnsi="Arial" w:cs="Arial"/>
          <w:sz w:val="20"/>
          <w:szCs w:val="20"/>
        </w:rPr>
        <w:t>(</w:t>
      </w:r>
      <w:r w:rsidRPr="00B376F8">
        <w:rPr>
          <w:rFonts w:ascii="Arial" w:hAnsi="Arial" w:cs="Arial"/>
          <w:sz w:val="20"/>
          <w:szCs w:val="20"/>
        </w:rPr>
        <w:t>2021</w:t>
      </w:r>
      <w:r w:rsidR="00BD6559">
        <w:rPr>
          <w:rFonts w:ascii="Arial" w:hAnsi="Arial" w:cs="Arial"/>
          <w:sz w:val="20"/>
          <w:szCs w:val="20"/>
        </w:rPr>
        <w:t>)</w:t>
      </w:r>
      <w:r w:rsidRPr="00B376F8">
        <w:rPr>
          <w:rFonts w:ascii="Arial" w:hAnsi="Arial" w:cs="Arial"/>
          <w:sz w:val="20"/>
          <w:szCs w:val="20"/>
        </w:rPr>
        <w:t>.</w:t>
      </w:r>
    </w:p>
    <w:p w14:paraId="2FDAB088" w14:textId="2AEEE561" w:rsidR="0026006D" w:rsidRDefault="0026006D" w:rsidP="006A36FB">
      <w:pPr>
        <w:jc w:val="both"/>
        <w:rPr>
          <w:rFonts w:ascii="Arial" w:hAnsi="Arial" w:cs="Arial"/>
          <w:sz w:val="20"/>
          <w:szCs w:val="20"/>
        </w:rPr>
      </w:pPr>
      <w:r w:rsidRPr="00B376F8">
        <w:rPr>
          <w:rFonts w:ascii="Arial" w:hAnsi="Arial" w:cs="Arial"/>
          <w:sz w:val="20"/>
          <w:szCs w:val="20"/>
        </w:rPr>
        <w:t>[7] Collins, L. Green hydrogen cheaper than unabated fossil-fuel H</w:t>
      </w:r>
      <w:r w:rsidRPr="00B376F8">
        <w:rPr>
          <w:rFonts w:ascii="Arial" w:hAnsi="Arial" w:cs="Arial"/>
          <w:sz w:val="20"/>
          <w:szCs w:val="20"/>
          <w:vertAlign w:val="subscript"/>
        </w:rPr>
        <w:t>2</w:t>
      </w:r>
      <w:r w:rsidRPr="00B376F8">
        <w:rPr>
          <w:rFonts w:ascii="Arial" w:hAnsi="Arial" w:cs="Arial"/>
          <w:sz w:val="20"/>
          <w:szCs w:val="20"/>
        </w:rPr>
        <w:t xml:space="preserve"> by 2030: hydrogen council. Recharge. London, UK</w:t>
      </w:r>
      <w:r w:rsidR="00BD6559">
        <w:rPr>
          <w:rFonts w:ascii="Arial" w:hAnsi="Arial" w:cs="Arial"/>
          <w:sz w:val="20"/>
          <w:szCs w:val="20"/>
        </w:rPr>
        <w:t xml:space="preserve"> </w:t>
      </w:r>
      <w:r w:rsidR="00BD6559" w:rsidRPr="00B376F8">
        <w:rPr>
          <w:rFonts w:ascii="Arial" w:hAnsi="Arial" w:cs="Arial"/>
          <w:sz w:val="20"/>
          <w:szCs w:val="20"/>
        </w:rPr>
        <w:t>(2020).</w:t>
      </w:r>
    </w:p>
    <w:p w14:paraId="30A3C171" w14:textId="4EE02EBA" w:rsidR="0026006D" w:rsidRDefault="0026006D" w:rsidP="006A36FB">
      <w:pPr>
        <w:jc w:val="both"/>
        <w:rPr>
          <w:rFonts w:ascii="Arial" w:hAnsi="Arial" w:cs="Arial"/>
          <w:sz w:val="20"/>
          <w:szCs w:val="20"/>
        </w:rPr>
      </w:pPr>
      <w:r w:rsidRPr="00B376F8">
        <w:rPr>
          <w:rFonts w:ascii="Arial" w:hAnsi="Arial" w:cs="Arial"/>
          <w:sz w:val="20"/>
          <w:szCs w:val="20"/>
        </w:rPr>
        <w:t xml:space="preserve">[8] Terlouw, T., Bauer, C., McKenna R. and Marco Mazzotti M. Large-scale hydrogen production via water electrolysis: a techno-economic and environmental assessment, Energy Environ. Sci., </w:t>
      </w:r>
      <w:r w:rsidR="00BD6559">
        <w:rPr>
          <w:rFonts w:ascii="Arial" w:hAnsi="Arial" w:cs="Arial"/>
          <w:sz w:val="20"/>
          <w:szCs w:val="20"/>
        </w:rPr>
        <w:t>(</w:t>
      </w:r>
      <w:r w:rsidRPr="00B376F8">
        <w:rPr>
          <w:rFonts w:ascii="Arial" w:hAnsi="Arial" w:cs="Arial"/>
          <w:sz w:val="20"/>
          <w:szCs w:val="20"/>
        </w:rPr>
        <w:t>2022</w:t>
      </w:r>
      <w:r w:rsidR="00BD6559">
        <w:rPr>
          <w:rFonts w:ascii="Arial" w:hAnsi="Arial" w:cs="Arial"/>
          <w:sz w:val="20"/>
          <w:szCs w:val="20"/>
        </w:rPr>
        <w:t>)</w:t>
      </w:r>
      <w:r w:rsidRPr="00B376F8">
        <w:rPr>
          <w:rFonts w:ascii="Arial" w:hAnsi="Arial" w:cs="Arial"/>
          <w:sz w:val="20"/>
          <w:szCs w:val="20"/>
        </w:rPr>
        <w:t>, 15, 3583:</w:t>
      </w:r>
    </w:p>
    <w:p w14:paraId="5FD615E4" w14:textId="430A8698"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[9] Akhtar, M. S. Selection and optimization of centrifugal compressors for oil and gas applications </w:t>
      </w:r>
      <w:r w:rsidR="00BD6559" w:rsidRPr="00B376F8">
        <w:rPr>
          <w:rFonts w:ascii="Arial" w:hAnsi="Arial" w:cs="Arial"/>
          <w:sz w:val="20"/>
          <w:szCs w:val="20"/>
        </w:rPr>
        <w:t>(2002)</w:t>
      </w:r>
      <w:r w:rsidR="00BD6559">
        <w:rPr>
          <w:rFonts w:ascii="Arial" w:hAnsi="Arial" w:cs="Arial"/>
          <w:sz w:val="20"/>
          <w:szCs w:val="20"/>
        </w:rPr>
        <w:t xml:space="preserve"> </w:t>
      </w:r>
      <w:r w:rsidRPr="00B376F8">
        <w:rPr>
          <w:rFonts w:ascii="Arial" w:hAnsi="Arial" w:cs="Arial"/>
          <w:sz w:val="20"/>
          <w:szCs w:val="20"/>
        </w:rPr>
        <w:t>GPA Europe Spring Meeting; Bergen, Norway</w:t>
      </w:r>
    </w:p>
    <w:p w14:paraId="2D34DB84" w14:textId="14AF56F0" w:rsidR="0026006D" w:rsidRDefault="0026006D" w:rsidP="006A36FB">
      <w:pPr>
        <w:jc w:val="both"/>
        <w:rPr>
          <w:rFonts w:ascii="Arial" w:hAnsi="Arial" w:cs="Arial"/>
          <w:sz w:val="20"/>
          <w:szCs w:val="20"/>
        </w:rPr>
      </w:pPr>
      <w:r w:rsidRPr="00B376F8">
        <w:rPr>
          <w:rFonts w:ascii="Arial" w:hAnsi="Arial" w:cs="Arial"/>
          <w:sz w:val="20"/>
          <w:szCs w:val="20"/>
        </w:rPr>
        <w:t xml:space="preserve">[10] </w:t>
      </w:r>
      <w:r w:rsidR="008231A3">
        <w:rPr>
          <w:rFonts w:ascii="Arial" w:hAnsi="Arial" w:cs="Arial"/>
          <w:sz w:val="20"/>
          <w:szCs w:val="20"/>
        </w:rPr>
        <w:t>H</w:t>
      </w:r>
      <w:r w:rsidRPr="00B376F8">
        <w:rPr>
          <w:rFonts w:ascii="Arial" w:hAnsi="Arial" w:cs="Arial"/>
          <w:sz w:val="20"/>
          <w:szCs w:val="20"/>
        </w:rPr>
        <w:t>ydrogen applications (EFRC, 2022)</w:t>
      </w:r>
    </w:p>
    <w:p w14:paraId="7861A3DD" w14:textId="19D80D6A" w:rsidR="0026006D" w:rsidRPr="009866C7" w:rsidRDefault="0026006D" w:rsidP="006A36FB">
      <w:pPr>
        <w:jc w:val="both"/>
        <w:rPr>
          <w:rFonts w:ascii="Arial" w:hAnsi="Arial" w:cs="Arial"/>
          <w:sz w:val="20"/>
          <w:szCs w:val="20"/>
        </w:rPr>
      </w:pPr>
      <w:r w:rsidRPr="009866C7">
        <w:rPr>
          <w:rFonts w:ascii="Arial" w:hAnsi="Arial" w:cs="Arial"/>
          <w:sz w:val="20"/>
          <w:szCs w:val="20"/>
        </w:rPr>
        <w:t xml:space="preserve">[11] </w:t>
      </w:r>
      <w:proofErr w:type="spellStart"/>
      <w:r w:rsidRPr="009866C7">
        <w:rPr>
          <w:rFonts w:ascii="Arial" w:hAnsi="Arial" w:cs="Arial"/>
          <w:sz w:val="20"/>
          <w:szCs w:val="20"/>
        </w:rPr>
        <w:t>Zabrzeski</w:t>
      </w:r>
      <w:proofErr w:type="spellEnd"/>
      <w:r w:rsidRPr="009866C7">
        <w:rPr>
          <w:rFonts w:ascii="Arial" w:hAnsi="Arial" w:cs="Arial"/>
          <w:sz w:val="20"/>
          <w:szCs w:val="20"/>
        </w:rPr>
        <w:t xml:space="preserve"> </w:t>
      </w:r>
      <w:r w:rsidR="009866C7" w:rsidRPr="009866C7">
        <w:rPr>
          <w:rFonts w:ascii="Arial" w:hAnsi="Arial" w:cs="Arial"/>
          <w:sz w:val="20"/>
          <w:szCs w:val="20"/>
        </w:rPr>
        <w:t xml:space="preserve">L., Janusz, P., Liszka, K., </w:t>
      </w:r>
      <w:proofErr w:type="spellStart"/>
      <w:r w:rsidR="009866C7" w:rsidRPr="009866C7">
        <w:rPr>
          <w:rFonts w:ascii="Arial" w:hAnsi="Arial" w:cs="Arial"/>
          <w:sz w:val="20"/>
          <w:szCs w:val="20"/>
        </w:rPr>
        <w:t>Laciak</w:t>
      </w:r>
      <w:proofErr w:type="spellEnd"/>
      <w:r w:rsidR="009866C7" w:rsidRPr="009866C7">
        <w:rPr>
          <w:rFonts w:ascii="Arial" w:hAnsi="Arial" w:cs="Arial"/>
          <w:sz w:val="20"/>
          <w:szCs w:val="20"/>
        </w:rPr>
        <w:t xml:space="preserve">, M. and </w:t>
      </w:r>
      <w:proofErr w:type="spellStart"/>
      <w:r w:rsidR="009866C7" w:rsidRPr="009866C7">
        <w:rPr>
          <w:rFonts w:ascii="Arial" w:hAnsi="Arial" w:cs="Arial"/>
          <w:sz w:val="20"/>
          <w:szCs w:val="20"/>
        </w:rPr>
        <w:t>Szurlej</w:t>
      </w:r>
      <w:proofErr w:type="spellEnd"/>
      <w:r w:rsidR="009866C7" w:rsidRPr="009866C7">
        <w:rPr>
          <w:rFonts w:ascii="Arial" w:hAnsi="Arial" w:cs="Arial"/>
          <w:sz w:val="20"/>
          <w:szCs w:val="20"/>
        </w:rPr>
        <w:t>, A.</w:t>
      </w:r>
      <w:r w:rsidRPr="009866C7">
        <w:rPr>
          <w:rFonts w:ascii="Arial" w:hAnsi="Arial" w:cs="Arial"/>
          <w:sz w:val="20"/>
          <w:szCs w:val="20"/>
        </w:rPr>
        <w:t xml:space="preserve"> </w:t>
      </w:r>
      <w:r w:rsidR="009866C7" w:rsidRPr="009866C7">
        <w:rPr>
          <w:rFonts w:ascii="Arial" w:hAnsi="Arial" w:cs="Arial"/>
          <w:sz w:val="20"/>
          <w:szCs w:val="20"/>
        </w:rPr>
        <w:t>H</w:t>
      </w:r>
      <w:r w:rsidRPr="009866C7">
        <w:rPr>
          <w:rFonts w:ascii="Arial" w:hAnsi="Arial" w:cs="Arial"/>
          <w:sz w:val="20"/>
          <w:szCs w:val="20"/>
        </w:rPr>
        <w:t>ydrogen-natural gas mixture compression transporting through high pressure gas pipelines; IOP Conf. Ser.: Earth Environ. Sci. 214 012137</w:t>
      </w:r>
      <w:r w:rsidR="00BD6559">
        <w:rPr>
          <w:rFonts w:ascii="Arial" w:hAnsi="Arial" w:cs="Arial"/>
          <w:sz w:val="20"/>
          <w:szCs w:val="20"/>
        </w:rPr>
        <w:t xml:space="preserve"> </w:t>
      </w:r>
      <w:r w:rsidR="00BD6559" w:rsidRPr="009866C7">
        <w:rPr>
          <w:rFonts w:ascii="Arial" w:hAnsi="Arial" w:cs="Arial"/>
          <w:sz w:val="20"/>
          <w:szCs w:val="20"/>
        </w:rPr>
        <w:t>(2019)</w:t>
      </w:r>
      <w:r w:rsidRPr="009866C7">
        <w:rPr>
          <w:rFonts w:ascii="Arial" w:hAnsi="Arial" w:cs="Arial"/>
          <w:sz w:val="20"/>
          <w:szCs w:val="20"/>
        </w:rPr>
        <w:t xml:space="preserve">. </w:t>
      </w:r>
    </w:p>
    <w:p w14:paraId="0106AE84" w14:textId="353A7FB0" w:rsidR="0026006D" w:rsidRDefault="0026006D" w:rsidP="006A36FB">
      <w:pPr>
        <w:jc w:val="both"/>
        <w:rPr>
          <w:rFonts w:ascii="Arial" w:hAnsi="Arial" w:cs="Arial"/>
          <w:sz w:val="20"/>
          <w:szCs w:val="20"/>
        </w:rPr>
      </w:pPr>
      <w:r w:rsidRPr="00B376F8">
        <w:rPr>
          <w:rFonts w:ascii="Arial" w:hAnsi="Arial" w:cs="Arial"/>
          <w:sz w:val="20"/>
          <w:szCs w:val="20"/>
        </w:rPr>
        <w:t xml:space="preserve">[12] </w:t>
      </w:r>
      <w:proofErr w:type="spellStart"/>
      <w:r w:rsidRPr="00B376F8">
        <w:rPr>
          <w:rFonts w:ascii="Arial" w:hAnsi="Arial" w:cs="Arial"/>
          <w:sz w:val="20"/>
          <w:szCs w:val="20"/>
        </w:rPr>
        <w:t>Sdanghi</w:t>
      </w:r>
      <w:proofErr w:type="spellEnd"/>
      <w:r w:rsidRPr="00B376F8">
        <w:rPr>
          <w:rFonts w:ascii="Arial" w:hAnsi="Arial" w:cs="Arial"/>
          <w:sz w:val="20"/>
          <w:szCs w:val="20"/>
        </w:rPr>
        <w:t xml:space="preserve">, G., </w:t>
      </w:r>
      <w:proofErr w:type="spellStart"/>
      <w:r w:rsidRPr="00B376F8">
        <w:rPr>
          <w:rFonts w:ascii="Arial" w:hAnsi="Arial" w:cs="Arial"/>
          <w:sz w:val="20"/>
          <w:szCs w:val="20"/>
        </w:rPr>
        <w:t>Maranzana</w:t>
      </w:r>
      <w:proofErr w:type="spellEnd"/>
      <w:r w:rsidRPr="00B376F8">
        <w:rPr>
          <w:rFonts w:ascii="Arial" w:hAnsi="Arial" w:cs="Arial"/>
          <w:sz w:val="20"/>
          <w:szCs w:val="20"/>
        </w:rPr>
        <w:t xml:space="preserve">, G., </w:t>
      </w:r>
      <w:proofErr w:type="spellStart"/>
      <w:r w:rsidRPr="00B376F8">
        <w:rPr>
          <w:rFonts w:ascii="Arial" w:hAnsi="Arial" w:cs="Arial"/>
          <w:sz w:val="20"/>
          <w:szCs w:val="20"/>
        </w:rPr>
        <w:t>Celzard</w:t>
      </w:r>
      <w:proofErr w:type="spellEnd"/>
      <w:r w:rsidRPr="00B376F8">
        <w:rPr>
          <w:rFonts w:ascii="Arial" w:hAnsi="Arial" w:cs="Arial"/>
          <w:sz w:val="20"/>
          <w:szCs w:val="20"/>
        </w:rPr>
        <w:t>, A., and Fierro V. Towards Non-Mechanical Hybrid Hydrogen Compression for Decentralized Hydrogen Facilities. Energies, 13 (12)</w:t>
      </w:r>
      <w:r w:rsidR="00BD6559">
        <w:rPr>
          <w:rFonts w:ascii="Arial" w:hAnsi="Arial" w:cs="Arial"/>
          <w:sz w:val="20"/>
          <w:szCs w:val="20"/>
        </w:rPr>
        <w:t xml:space="preserve"> </w:t>
      </w:r>
      <w:r w:rsidR="00BD6559" w:rsidRPr="00B376F8">
        <w:rPr>
          <w:rFonts w:ascii="Arial" w:hAnsi="Arial" w:cs="Arial"/>
          <w:sz w:val="20"/>
          <w:szCs w:val="20"/>
        </w:rPr>
        <w:t>(2020)</w:t>
      </w:r>
      <w:r w:rsidR="00BD6559">
        <w:rPr>
          <w:rFonts w:ascii="Arial" w:hAnsi="Arial" w:cs="Arial"/>
          <w:sz w:val="20"/>
          <w:szCs w:val="20"/>
        </w:rPr>
        <w:t>.</w:t>
      </w:r>
    </w:p>
    <w:p w14:paraId="6077F04E" w14:textId="298493A6" w:rsidR="0026006D" w:rsidRPr="00B376F8" w:rsidRDefault="0026006D" w:rsidP="006A36FB">
      <w:pPr>
        <w:jc w:val="both"/>
        <w:rPr>
          <w:rFonts w:ascii="Arial" w:hAnsi="Arial" w:cs="Arial"/>
          <w:sz w:val="20"/>
          <w:szCs w:val="20"/>
        </w:rPr>
      </w:pPr>
      <w:r w:rsidRPr="00B376F8">
        <w:rPr>
          <w:rFonts w:ascii="Arial" w:hAnsi="Arial" w:cs="Arial"/>
          <w:sz w:val="20"/>
          <w:szCs w:val="20"/>
        </w:rPr>
        <w:t>[13] ASME B31.12–2019</w:t>
      </w:r>
      <w:r>
        <w:rPr>
          <w:rFonts w:ascii="Arial" w:hAnsi="Arial" w:cs="Arial"/>
          <w:sz w:val="20"/>
          <w:szCs w:val="20"/>
        </w:rPr>
        <w:t>. Hydrogen Piping and Pipelines. American Society of Mechanical Engineers</w:t>
      </w:r>
      <w:r w:rsidR="00BD6559">
        <w:rPr>
          <w:rFonts w:ascii="Arial" w:hAnsi="Arial" w:cs="Arial"/>
          <w:sz w:val="20"/>
          <w:szCs w:val="20"/>
        </w:rPr>
        <w:t xml:space="preserve"> (2019)</w:t>
      </w:r>
      <w:r>
        <w:rPr>
          <w:rFonts w:ascii="Arial" w:hAnsi="Arial" w:cs="Arial"/>
          <w:sz w:val="20"/>
          <w:szCs w:val="20"/>
        </w:rPr>
        <w:t xml:space="preserve">. </w:t>
      </w:r>
    </w:p>
    <w:p w14:paraId="744AD37F" w14:textId="297F2C5C" w:rsidR="0026006D" w:rsidRPr="00B376F8" w:rsidRDefault="0026006D" w:rsidP="006A36FB">
      <w:pPr>
        <w:jc w:val="both"/>
        <w:rPr>
          <w:rFonts w:ascii="Arial" w:hAnsi="Arial" w:cs="Arial"/>
          <w:sz w:val="20"/>
          <w:szCs w:val="20"/>
        </w:rPr>
      </w:pPr>
      <w:r w:rsidRPr="00B376F8">
        <w:rPr>
          <w:rFonts w:ascii="Arial" w:hAnsi="Arial" w:cs="Arial"/>
          <w:sz w:val="20"/>
          <w:szCs w:val="20"/>
        </w:rPr>
        <w:t>[14] CGAG-5.6-2005</w:t>
      </w:r>
      <w:r>
        <w:rPr>
          <w:rFonts w:ascii="Arial" w:hAnsi="Arial" w:cs="Arial"/>
          <w:sz w:val="20"/>
          <w:szCs w:val="20"/>
        </w:rPr>
        <w:t>. Hydrogen Pipeline Systems. Revised</w:t>
      </w:r>
      <w:r w:rsidRPr="00B376F8">
        <w:rPr>
          <w:rFonts w:ascii="Arial" w:hAnsi="Arial" w:cs="Arial"/>
          <w:sz w:val="20"/>
          <w:szCs w:val="20"/>
        </w:rPr>
        <w:t xml:space="preserve"> </w:t>
      </w:r>
      <w:r>
        <w:rPr>
          <w:rFonts w:ascii="Arial" w:hAnsi="Arial" w:cs="Arial"/>
          <w:sz w:val="20"/>
          <w:szCs w:val="20"/>
        </w:rPr>
        <w:t>(</w:t>
      </w:r>
      <w:r w:rsidRPr="00B376F8">
        <w:rPr>
          <w:rFonts w:ascii="Arial" w:hAnsi="Arial" w:cs="Arial"/>
          <w:sz w:val="20"/>
          <w:szCs w:val="20"/>
        </w:rPr>
        <w:t>2013</w:t>
      </w:r>
      <w:r>
        <w:rPr>
          <w:rFonts w:ascii="Arial" w:hAnsi="Arial" w:cs="Arial"/>
          <w:sz w:val="20"/>
          <w:szCs w:val="20"/>
        </w:rPr>
        <w:t>). Compressed Gas Association, Inc</w:t>
      </w:r>
      <w:r w:rsidR="00BD6559">
        <w:rPr>
          <w:rFonts w:ascii="Arial" w:hAnsi="Arial" w:cs="Arial"/>
          <w:sz w:val="20"/>
          <w:szCs w:val="20"/>
        </w:rPr>
        <w:t>. (2005).</w:t>
      </w:r>
      <w:r>
        <w:rPr>
          <w:rFonts w:ascii="Arial" w:hAnsi="Arial" w:cs="Arial"/>
          <w:sz w:val="20"/>
          <w:szCs w:val="20"/>
        </w:rPr>
        <w:t xml:space="preserve"> </w:t>
      </w:r>
    </w:p>
    <w:p w14:paraId="7889FB3B" w14:textId="36AF8BCB" w:rsidR="0026006D" w:rsidRDefault="0026006D" w:rsidP="006A36FB">
      <w:pPr>
        <w:jc w:val="both"/>
        <w:rPr>
          <w:rFonts w:ascii="Arial" w:hAnsi="Arial" w:cs="Arial"/>
          <w:sz w:val="20"/>
          <w:szCs w:val="20"/>
        </w:rPr>
      </w:pPr>
      <w:r w:rsidRPr="00B376F8">
        <w:rPr>
          <w:rFonts w:ascii="Arial" w:hAnsi="Arial" w:cs="Arial"/>
          <w:sz w:val="20"/>
          <w:szCs w:val="20"/>
        </w:rPr>
        <w:t>[15] AIGA 033/06</w:t>
      </w:r>
      <w:r>
        <w:rPr>
          <w:rFonts w:ascii="Arial" w:hAnsi="Arial" w:cs="Arial"/>
          <w:sz w:val="20"/>
          <w:szCs w:val="20"/>
        </w:rPr>
        <w:t>. Hydrogen Pipeline Systems. Asia Industrial Gases Association</w:t>
      </w:r>
      <w:r w:rsidR="00BD6559">
        <w:rPr>
          <w:rFonts w:ascii="Arial" w:hAnsi="Arial" w:cs="Arial"/>
          <w:sz w:val="20"/>
          <w:szCs w:val="20"/>
        </w:rPr>
        <w:t xml:space="preserve"> (2014)</w:t>
      </w:r>
      <w:r>
        <w:rPr>
          <w:rFonts w:ascii="Arial" w:hAnsi="Arial" w:cs="Arial"/>
          <w:sz w:val="20"/>
          <w:szCs w:val="20"/>
        </w:rPr>
        <w:t>.</w:t>
      </w:r>
    </w:p>
    <w:p w14:paraId="58D12E2E" w14:textId="5C46598C" w:rsidR="00333033" w:rsidRPr="00B376F8" w:rsidRDefault="00333033" w:rsidP="006A36FB">
      <w:pPr>
        <w:jc w:val="both"/>
        <w:rPr>
          <w:rFonts w:ascii="Arial" w:hAnsi="Arial" w:cs="Arial"/>
          <w:sz w:val="20"/>
          <w:szCs w:val="20"/>
        </w:rPr>
      </w:pPr>
      <w:r w:rsidRPr="00B376F8">
        <w:rPr>
          <w:rFonts w:ascii="Arial" w:hAnsi="Arial" w:cs="Arial"/>
          <w:sz w:val="20"/>
          <w:szCs w:val="20"/>
        </w:rPr>
        <w:t>[</w:t>
      </w:r>
      <w:r w:rsidR="005B78CD" w:rsidRPr="00B376F8">
        <w:rPr>
          <w:rFonts w:ascii="Arial" w:hAnsi="Arial" w:cs="Arial"/>
          <w:sz w:val="20"/>
          <w:szCs w:val="20"/>
        </w:rPr>
        <w:t>1</w:t>
      </w:r>
      <w:r w:rsidRPr="00B376F8">
        <w:rPr>
          <w:rFonts w:ascii="Arial" w:hAnsi="Arial" w:cs="Arial"/>
          <w:sz w:val="20"/>
          <w:szCs w:val="20"/>
        </w:rPr>
        <w:t>6</w:t>
      </w:r>
      <w:r w:rsidR="005B78CD" w:rsidRPr="00B376F8">
        <w:rPr>
          <w:rFonts w:ascii="Arial" w:hAnsi="Arial" w:cs="Arial"/>
          <w:sz w:val="20"/>
          <w:szCs w:val="20"/>
        </w:rPr>
        <w:t>]</w:t>
      </w:r>
      <w:r w:rsidRPr="00B376F8">
        <w:rPr>
          <w:rFonts w:ascii="Arial" w:hAnsi="Arial" w:cs="Arial"/>
          <w:sz w:val="20"/>
          <w:szCs w:val="20"/>
        </w:rPr>
        <w:t xml:space="preserve"> </w:t>
      </w:r>
      <w:proofErr w:type="spellStart"/>
      <w:r w:rsidRPr="00B376F8">
        <w:rPr>
          <w:rFonts w:ascii="Arial" w:hAnsi="Arial" w:cs="Arial"/>
          <w:sz w:val="20"/>
          <w:szCs w:val="20"/>
        </w:rPr>
        <w:t>Dodds</w:t>
      </w:r>
      <w:proofErr w:type="spellEnd"/>
      <w:r w:rsidRPr="00B376F8">
        <w:rPr>
          <w:rFonts w:ascii="Arial" w:hAnsi="Arial" w:cs="Arial"/>
          <w:sz w:val="20"/>
          <w:szCs w:val="20"/>
        </w:rPr>
        <w:t xml:space="preserve"> P</w:t>
      </w:r>
      <w:r w:rsidR="008E0D3C" w:rsidRPr="00B376F8">
        <w:rPr>
          <w:rFonts w:ascii="Arial" w:hAnsi="Arial" w:cs="Arial"/>
          <w:sz w:val="20"/>
          <w:szCs w:val="20"/>
        </w:rPr>
        <w:t>.</w:t>
      </w:r>
      <w:r w:rsidRPr="00B376F8">
        <w:rPr>
          <w:rFonts w:ascii="Arial" w:hAnsi="Arial" w:cs="Arial"/>
          <w:sz w:val="20"/>
          <w:szCs w:val="20"/>
        </w:rPr>
        <w:t>E</w:t>
      </w:r>
      <w:r w:rsidR="008E0D3C" w:rsidRPr="00B376F8">
        <w:rPr>
          <w:rFonts w:ascii="Arial" w:hAnsi="Arial" w:cs="Arial"/>
          <w:sz w:val="20"/>
          <w:szCs w:val="20"/>
        </w:rPr>
        <w:t>.,</w:t>
      </w:r>
      <w:r w:rsidRPr="00B376F8">
        <w:rPr>
          <w:rFonts w:ascii="Arial" w:hAnsi="Arial" w:cs="Arial"/>
          <w:sz w:val="20"/>
          <w:szCs w:val="20"/>
        </w:rPr>
        <w:t xml:space="preserve"> and </w:t>
      </w:r>
      <w:proofErr w:type="spellStart"/>
      <w:r w:rsidRPr="00B376F8">
        <w:rPr>
          <w:rFonts w:ascii="Arial" w:hAnsi="Arial" w:cs="Arial"/>
          <w:sz w:val="20"/>
          <w:szCs w:val="20"/>
        </w:rPr>
        <w:t>Demoullin</w:t>
      </w:r>
      <w:proofErr w:type="spellEnd"/>
      <w:r w:rsidRPr="00B376F8">
        <w:rPr>
          <w:rFonts w:ascii="Arial" w:hAnsi="Arial" w:cs="Arial"/>
          <w:sz w:val="20"/>
          <w:szCs w:val="20"/>
        </w:rPr>
        <w:t xml:space="preserve"> S</w:t>
      </w:r>
      <w:r w:rsidR="008E0D3C" w:rsidRPr="00B376F8">
        <w:rPr>
          <w:rFonts w:ascii="Arial" w:hAnsi="Arial" w:cs="Arial"/>
          <w:sz w:val="20"/>
          <w:szCs w:val="20"/>
        </w:rPr>
        <w:t>.</w:t>
      </w:r>
      <w:r w:rsidRPr="00B376F8">
        <w:rPr>
          <w:rFonts w:ascii="Arial" w:hAnsi="Arial" w:cs="Arial"/>
          <w:sz w:val="20"/>
          <w:szCs w:val="20"/>
        </w:rPr>
        <w:t xml:space="preserve"> Conversion of the UK gas system to transport hydrogen International Journal of Hydrogen Energy</w:t>
      </w:r>
      <w:r w:rsidR="00BD6559">
        <w:rPr>
          <w:rFonts w:ascii="Arial" w:hAnsi="Arial" w:cs="Arial"/>
          <w:sz w:val="20"/>
          <w:szCs w:val="20"/>
        </w:rPr>
        <w:t xml:space="preserve"> </w:t>
      </w:r>
      <w:r w:rsidR="00BD6559" w:rsidRPr="00B376F8">
        <w:rPr>
          <w:rFonts w:ascii="Arial" w:hAnsi="Arial" w:cs="Arial"/>
          <w:sz w:val="20"/>
          <w:szCs w:val="20"/>
        </w:rPr>
        <w:t>(2013)</w:t>
      </w:r>
      <w:r w:rsidR="008E0D3C" w:rsidRPr="00B376F8">
        <w:rPr>
          <w:rFonts w:ascii="Arial" w:hAnsi="Arial" w:cs="Arial"/>
          <w:sz w:val="20"/>
          <w:szCs w:val="20"/>
        </w:rPr>
        <w:t>,</w:t>
      </w:r>
      <w:r w:rsidRPr="00B376F8">
        <w:rPr>
          <w:rFonts w:ascii="Arial" w:hAnsi="Arial" w:cs="Arial"/>
          <w:sz w:val="20"/>
          <w:szCs w:val="20"/>
        </w:rPr>
        <w:t xml:space="preserve"> 38</w:t>
      </w:r>
      <w:r w:rsidR="008E0D3C" w:rsidRPr="00B376F8">
        <w:rPr>
          <w:rFonts w:ascii="Arial" w:hAnsi="Arial" w:cs="Arial"/>
          <w:sz w:val="20"/>
          <w:szCs w:val="20"/>
        </w:rPr>
        <w:t>,</w:t>
      </w:r>
      <w:r w:rsidRPr="00B376F8">
        <w:rPr>
          <w:rFonts w:ascii="Arial" w:hAnsi="Arial" w:cs="Arial"/>
          <w:sz w:val="20"/>
          <w:szCs w:val="20"/>
        </w:rPr>
        <w:t xml:space="preserve"> 7</w:t>
      </w:r>
      <w:r w:rsidR="008E0D3C" w:rsidRPr="00B376F8">
        <w:rPr>
          <w:rFonts w:ascii="Arial" w:hAnsi="Arial" w:cs="Arial"/>
          <w:sz w:val="20"/>
          <w:szCs w:val="20"/>
        </w:rPr>
        <w:t xml:space="preserve">, </w:t>
      </w:r>
      <w:r w:rsidRPr="00B376F8">
        <w:rPr>
          <w:rFonts w:ascii="Arial" w:hAnsi="Arial" w:cs="Arial"/>
          <w:sz w:val="20"/>
          <w:szCs w:val="20"/>
        </w:rPr>
        <w:t>189-200</w:t>
      </w:r>
      <w:r w:rsidR="008E0D3C" w:rsidRPr="00B376F8">
        <w:rPr>
          <w:rFonts w:ascii="Arial" w:hAnsi="Arial" w:cs="Arial"/>
          <w:sz w:val="20"/>
          <w:szCs w:val="20"/>
        </w:rPr>
        <w:t>.</w:t>
      </w:r>
    </w:p>
    <w:p w14:paraId="603E8E28" w14:textId="0A64F743" w:rsidR="00333033" w:rsidRDefault="005B78CD" w:rsidP="006A36FB">
      <w:pPr>
        <w:jc w:val="both"/>
        <w:rPr>
          <w:rFonts w:ascii="Arial" w:hAnsi="Arial" w:cs="Arial"/>
          <w:sz w:val="20"/>
          <w:szCs w:val="20"/>
        </w:rPr>
      </w:pPr>
      <w:r w:rsidRPr="00B376F8">
        <w:rPr>
          <w:rFonts w:ascii="Arial" w:hAnsi="Arial" w:cs="Arial"/>
          <w:sz w:val="20"/>
          <w:szCs w:val="20"/>
        </w:rPr>
        <w:t>[17]</w:t>
      </w:r>
      <w:r w:rsidR="00333033" w:rsidRPr="00B376F8">
        <w:rPr>
          <w:rFonts w:ascii="Arial" w:hAnsi="Arial" w:cs="Arial"/>
          <w:sz w:val="20"/>
          <w:szCs w:val="20"/>
        </w:rPr>
        <w:t xml:space="preserve"> Klaus</w:t>
      </w:r>
      <w:r w:rsidR="00757AA8" w:rsidRPr="00B376F8">
        <w:rPr>
          <w:rFonts w:ascii="Arial" w:hAnsi="Arial" w:cs="Arial"/>
          <w:sz w:val="20"/>
          <w:szCs w:val="20"/>
        </w:rPr>
        <w:t>,</w:t>
      </w:r>
      <w:r w:rsidR="00333033" w:rsidRPr="00B376F8">
        <w:rPr>
          <w:rFonts w:ascii="Arial" w:hAnsi="Arial" w:cs="Arial"/>
          <w:sz w:val="20"/>
          <w:szCs w:val="20"/>
        </w:rPr>
        <w:t xml:space="preserve"> A</w:t>
      </w:r>
      <w:r w:rsidR="00757AA8" w:rsidRPr="00B376F8">
        <w:rPr>
          <w:rFonts w:ascii="Arial" w:hAnsi="Arial" w:cs="Arial"/>
          <w:sz w:val="20"/>
          <w:szCs w:val="20"/>
        </w:rPr>
        <w:t>.</w:t>
      </w:r>
      <w:r w:rsidR="00333033" w:rsidRPr="00B376F8">
        <w:rPr>
          <w:rFonts w:ascii="Arial" w:hAnsi="Arial" w:cs="Arial"/>
          <w:sz w:val="20"/>
          <w:szCs w:val="20"/>
        </w:rPr>
        <w:t xml:space="preserve"> and Pinchbeck</w:t>
      </w:r>
      <w:r w:rsidR="00757AA8" w:rsidRPr="00B376F8">
        <w:rPr>
          <w:rFonts w:ascii="Arial" w:hAnsi="Arial" w:cs="Arial"/>
          <w:sz w:val="20"/>
          <w:szCs w:val="20"/>
        </w:rPr>
        <w:t>,</w:t>
      </w:r>
      <w:r w:rsidR="00333033" w:rsidRPr="00B376F8">
        <w:rPr>
          <w:rFonts w:ascii="Arial" w:hAnsi="Arial" w:cs="Arial"/>
          <w:sz w:val="20"/>
          <w:szCs w:val="20"/>
        </w:rPr>
        <w:t xml:space="preserve"> D</w:t>
      </w:r>
      <w:r w:rsidR="00757AA8" w:rsidRPr="00B376F8">
        <w:rPr>
          <w:rFonts w:ascii="Arial" w:hAnsi="Arial" w:cs="Arial"/>
          <w:sz w:val="20"/>
          <w:szCs w:val="20"/>
        </w:rPr>
        <w:t>.</w:t>
      </w:r>
      <w:r w:rsidR="00333033" w:rsidRPr="00B376F8">
        <w:rPr>
          <w:rFonts w:ascii="Arial" w:hAnsi="Arial" w:cs="Arial"/>
          <w:sz w:val="20"/>
          <w:szCs w:val="20"/>
        </w:rPr>
        <w:t xml:space="preserve"> Admissible hydrogen concentrations in natural gas systems Gas for energy</w:t>
      </w:r>
      <w:r w:rsidR="00BD6559">
        <w:rPr>
          <w:rFonts w:ascii="Arial" w:hAnsi="Arial" w:cs="Arial"/>
          <w:sz w:val="20"/>
          <w:szCs w:val="20"/>
        </w:rPr>
        <w:t xml:space="preserve"> </w:t>
      </w:r>
      <w:r w:rsidR="00BD6559" w:rsidRPr="00B376F8">
        <w:rPr>
          <w:rFonts w:ascii="Arial" w:hAnsi="Arial" w:cs="Arial"/>
          <w:sz w:val="20"/>
          <w:szCs w:val="20"/>
        </w:rPr>
        <w:t>(2013)</w:t>
      </w:r>
      <w:r w:rsidR="00BD6559">
        <w:rPr>
          <w:rFonts w:ascii="Arial" w:hAnsi="Arial" w:cs="Arial"/>
          <w:sz w:val="20"/>
          <w:szCs w:val="20"/>
        </w:rPr>
        <w:t xml:space="preserve"> </w:t>
      </w:r>
      <w:r w:rsidR="00333033" w:rsidRPr="00B376F8">
        <w:rPr>
          <w:rFonts w:ascii="Arial" w:hAnsi="Arial" w:cs="Arial"/>
          <w:sz w:val="20"/>
          <w:szCs w:val="20"/>
        </w:rPr>
        <w:t>3</w:t>
      </w:r>
      <w:r w:rsidR="00757AA8" w:rsidRPr="00B376F8">
        <w:rPr>
          <w:rFonts w:ascii="Arial" w:hAnsi="Arial" w:cs="Arial"/>
          <w:sz w:val="20"/>
          <w:szCs w:val="20"/>
        </w:rPr>
        <w:t>.</w:t>
      </w:r>
    </w:p>
    <w:p w14:paraId="64241CEE" w14:textId="3493E4E8"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[18] Kippers, M. J., de Laat, J. C. and </w:t>
      </w:r>
      <w:proofErr w:type="spellStart"/>
      <w:r w:rsidRPr="00B376F8">
        <w:rPr>
          <w:rFonts w:ascii="Arial" w:hAnsi="Arial" w:cs="Arial"/>
          <w:sz w:val="20"/>
          <w:szCs w:val="20"/>
        </w:rPr>
        <w:t>Hermkens</w:t>
      </w:r>
      <w:proofErr w:type="spellEnd"/>
      <w:r w:rsidRPr="00B376F8">
        <w:rPr>
          <w:rFonts w:ascii="Arial" w:hAnsi="Arial" w:cs="Arial"/>
          <w:sz w:val="20"/>
          <w:szCs w:val="20"/>
        </w:rPr>
        <w:t>, R. J. M. Pilot project on hydrogen injection in natural gas on Island of Ameland in the Netherlands</w:t>
      </w:r>
      <w:r w:rsidR="00BD6559">
        <w:rPr>
          <w:rFonts w:ascii="Arial" w:hAnsi="Arial" w:cs="Arial"/>
          <w:sz w:val="20"/>
          <w:szCs w:val="20"/>
        </w:rPr>
        <w:t>,</w:t>
      </w:r>
      <w:r w:rsidRPr="00B376F8">
        <w:rPr>
          <w:rFonts w:ascii="Arial" w:hAnsi="Arial" w:cs="Arial"/>
          <w:sz w:val="20"/>
          <w:szCs w:val="20"/>
        </w:rPr>
        <w:t xml:space="preserve"> International Gas Union Research Conference, Seoul</w:t>
      </w:r>
      <w:r w:rsidR="00BD6559">
        <w:rPr>
          <w:rFonts w:ascii="Arial" w:hAnsi="Arial" w:cs="Arial"/>
          <w:sz w:val="20"/>
          <w:szCs w:val="20"/>
        </w:rPr>
        <w:t xml:space="preserve"> </w:t>
      </w:r>
      <w:r w:rsidR="00BD6559" w:rsidRPr="00B376F8">
        <w:rPr>
          <w:rFonts w:ascii="Arial" w:hAnsi="Arial" w:cs="Arial"/>
          <w:sz w:val="20"/>
          <w:szCs w:val="20"/>
        </w:rPr>
        <w:t>(2011)</w:t>
      </w:r>
      <w:r w:rsidR="00BD6559">
        <w:rPr>
          <w:rFonts w:ascii="Arial" w:hAnsi="Arial" w:cs="Arial"/>
          <w:sz w:val="20"/>
          <w:szCs w:val="20"/>
        </w:rPr>
        <w:t>.</w:t>
      </w:r>
    </w:p>
    <w:p w14:paraId="5AE07437" w14:textId="364DECF8" w:rsidR="00333033" w:rsidRPr="00B376F8" w:rsidRDefault="00213B02" w:rsidP="006A36FB">
      <w:pPr>
        <w:jc w:val="both"/>
        <w:rPr>
          <w:rFonts w:ascii="Arial" w:hAnsi="Arial" w:cs="Arial"/>
          <w:sz w:val="20"/>
          <w:szCs w:val="20"/>
        </w:rPr>
      </w:pPr>
      <w:r w:rsidRPr="00B376F8">
        <w:rPr>
          <w:rFonts w:ascii="Arial" w:hAnsi="Arial" w:cs="Arial"/>
          <w:sz w:val="20"/>
          <w:szCs w:val="20"/>
        </w:rPr>
        <w:t>[19]</w:t>
      </w:r>
      <w:r w:rsidR="00333033" w:rsidRPr="00B376F8">
        <w:rPr>
          <w:rFonts w:ascii="Arial" w:hAnsi="Arial" w:cs="Arial"/>
          <w:sz w:val="20"/>
          <w:szCs w:val="20"/>
        </w:rPr>
        <w:t xml:space="preserve"> International Energy Agency</w:t>
      </w:r>
      <w:r w:rsidR="00BD6559">
        <w:rPr>
          <w:rFonts w:ascii="Arial" w:hAnsi="Arial" w:cs="Arial"/>
          <w:sz w:val="20"/>
          <w:szCs w:val="20"/>
        </w:rPr>
        <w:t>.</w:t>
      </w:r>
      <w:r w:rsidR="00333033" w:rsidRPr="00B376F8">
        <w:rPr>
          <w:rFonts w:ascii="Arial" w:hAnsi="Arial" w:cs="Arial"/>
          <w:sz w:val="20"/>
          <w:szCs w:val="20"/>
        </w:rPr>
        <w:t xml:space="preserve"> PH4/24: Reduction of CO</w:t>
      </w:r>
      <w:r w:rsidR="00333033" w:rsidRPr="00B376F8">
        <w:rPr>
          <w:rFonts w:ascii="Arial" w:hAnsi="Arial" w:cs="Arial"/>
          <w:sz w:val="20"/>
          <w:szCs w:val="20"/>
          <w:vertAlign w:val="subscript"/>
        </w:rPr>
        <w:t>2</w:t>
      </w:r>
      <w:r w:rsidR="00333033" w:rsidRPr="00B376F8">
        <w:rPr>
          <w:rFonts w:ascii="Arial" w:hAnsi="Arial" w:cs="Arial"/>
          <w:sz w:val="20"/>
          <w:szCs w:val="20"/>
        </w:rPr>
        <w:t xml:space="preserve"> emissions by adding hydrogen to natural gas</w:t>
      </w:r>
      <w:r w:rsidR="00BD6559">
        <w:rPr>
          <w:rFonts w:ascii="Arial" w:hAnsi="Arial" w:cs="Arial"/>
          <w:sz w:val="20"/>
          <w:szCs w:val="20"/>
        </w:rPr>
        <w:t xml:space="preserve"> </w:t>
      </w:r>
      <w:r w:rsidR="00BD6559" w:rsidRPr="00B376F8">
        <w:rPr>
          <w:rFonts w:ascii="Arial" w:hAnsi="Arial" w:cs="Arial"/>
          <w:sz w:val="20"/>
          <w:szCs w:val="20"/>
        </w:rPr>
        <w:t>(2003)</w:t>
      </w:r>
      <w:r w:rsidR="00757AA8" w:rsidRPr="00B376F8">
        <w:rPr>
          <w:rFonts w:ascii="Arial" w:hAnsi="Arial" w:cs="Arial"/>
          <w:sz w:val="20"/>
          <w:szCs w:val="20"/>
        </w:rPr>
        <w:t>.</w:t>
      </w:r>
    </w:p>
    <w:p w14:paraId="6FD73A18" w14:textId="1CB190B7" w:rsidR="00333033" w:rsidRDefault="00AF01D7" w:rsidP="006A36FB">
      <w:pPr>
        <w:jc w:val="both"/>
        <w:rPr>
          <w:rFonts w:ascii="Arial" w:hAnsi="Arial" w:cs="Arial"/>
          <w:sz w:val="20"/>
          <w:szCs w:val="20"/>
        </w:rPr>
      </w:pPr>
      <w:r w:rsidRPr="00B376F8">
        <w:rPr>
          <w:rFonts w:ascii="Arial" w:hAnsi="Arial" w:cs="Arial"/>
          <w:sz w:val="20"/>
          <w:szCs w:val="20"/>
        </w:rPr>
        <w:t>[20]</w:t>
      </w:r>
      <w:r w:rsidR="00333033" w:rsidRPr="00B376F8">
        <w:rPr>
          <w:rFonts w:ascii="Arial" w:hAnsi="Arial" w:cs="Arial"/>
          <w:sz w:val="20"/>
          <w:szCs w:val="20"/>
        </w:rPr>
        <w:t xml:space="preserve"> De Vries</w:t>
      </w:r>
      <w:r w:rsidR="00757AA8" w:rsidRPr="00B376F8">
        <w:rPr>
          <w:rFonts w:ascii="Arial" w:hAnsi="Arial" w:cs="Arial"/>
          <w:sz w:val="20"/>
          <w:szCs w:val="20"/>
        </w:rPr>
        <w:t>,</w:t>
      </w:r>
      <w:r w:rsidR="00333033" w:rsidRPr="00B376F8">
        <w:rPr>
          <w:rFonts w:ascii="Arial" w:hAnsi="Arial" w:cs="Arial"/>
          <w:sz w:val="20"/>
          <w:szCs w:val="20"/>
        </w:rPr>
        <w:t xml:space="preserve"> H</w:t>
      </w:r>
      <w:r w:rsidR="00757AA8" w:rsidRPr="00B376F8">
        <w:rPr>
          <w:rFonts w:ascii="Arial" w:hAnsi="Arial" w:cs="Arial"/>
          <w:sz w:val="20"/>
          <w:szCs w:val="20"/>
        </w:rPr>
        <w:t>.</w:t>
      </w:r>
      <w:r w:rsidR="00333033" w:rsidRPr="00B376F8">
        <w:rPr>
          <w:rFonts w:ascii="Arial" w:hAnsi="Arial" w:cs="Arial"/>
          <w:sz w:val="20"/>
          <w:szCs w:val="20"/>
        </w:rPr>
        <w:t xml:space="preserve">, </w:t>
      </w:r>
      <w:proofErr w:type="spellStart"/>
      <w:r w:rsidR="00333033" w:rsidRPr="00B376F8">
        <w:rPr>
          <w:rFonts w:ascii="Arial" w:hAnsi="Arial" w:cs="Arial"/>
          <w:sz w:val="20"/>
          <w:szCs w:val="20"/>
        </w:rPr>
        <w:t>Florisson</w:t>
      </w:r>
      <w:proofErr w:type="spellEnd"/>
      <w:r w:rsidR="00757AA8" w:rsidRPr="00B376F8">
        <w:rPr>
          <w:rFonts w:ascii="Arial" w:hAnsi="Arial" w:cs="Arial"/>
          <w:sz w:val="20"/>
          <w:szCs w:val="20"/>
        </w:rPr>
        <w:t>,</w:t>
      </w:r>
      <w:r w:rsidR="00333033" w:rsidRPr="00B376F8">
        <w:rPr>
          <w:rFonts w:ascii="Arial" w:hAnsi="Arial" w:cs="Arial"/>
          <w:sz w:val="20"/>
          <w:szCs w:val="20"/>
        </w:rPr>
        <w:t xml:space="preserve"> O</w:t>
      </w:r>
      <w:r w:rsidR="00757AA8" w:rsidRPr="00B376F8">
        <w:rPr>
          <w:rFonts w:ascii="Arial" w:hAnsi="Arial" w:cs="Arial"/>
          <w:sz w:val="20"/>
          <w:szCs w:val="20"/>
        </w:rPr>
        <w:t>.</w:t>
      </w:r>
      <w:r w:rsidR="00333033" w:rsidRPr="00B376F8">
        <w:rPr>
          <w:rFonts w:ascii="Arial" w:hAnsi="Arial" w:cs="Arial"/>
          <w:sz w:val="20"/>
          <w:szCs w:val="20"/>
        </w:rPr>
        <w:t xml:space="preserve"> and </w:t>
      </w:r>
      <w:proofErr w:type="spellStart"/>
      <w:r w:rsidR="00333033" w:rsidRPr="00B376F8">
        <w:rPr>
          <w:rFonts w:ascii="Arial" w:hAnsi="Arial" w:cs="Arial"/>
          <w:sz w:val="20"/>
          <w:szCs w:val="20"/>
        </w:rPr>
        <w:t>Tiekstra</w:t>
      </w:r>
      <w:proofErr w:type="spellEnd"/>
      <w:r w:rsidR="00757AA8" w:rsidRPr="00B376F8">
        <w:rPr>
          <w:rFonts w:ascii="Arial" w:hAnsi="Arial" w:cs="Arial"/>
          <w:sz w:val="20"/>
          <w:szCs w:val="20"/>
        </w:rPr>
        <w:t>,</w:t>
      </w:r>
      <w:r w:rsidR="00333033" w:rsidRPr="00B376F8">
        <w:rPr>
          <w:rFonts w:ascii="Arial" w:hAnsi="Arial" w:cs="Arial"/>
          <w:sz w:val="20"/>
          <w:szCs w:val="20"/>
        </w:rPr>
        <w:t xml:space="preserve"> G</w:t>
      </w:r>
      <w:r w:rsidR="00757AA8" w:rsidRPr="00B376F8">
        <w:rPr>
          <w:rFonts w:ascii="Arial" w:hAnsi="Arial" w:cs="Arial"/>
          <w:sz w:val="20"/>
          <w:szCs w:val="20"/>
        </w:rPr>
        <w:t>.</w:t>
      </w:r>
      <w:r w:rsidR="00333033" w:rsidRPr="00B376F8">
        <w:rPr>
          <w:rFonts w:ascii="Arial" w:hAnsi="Arial" w:cs="Arial"/>
          <w:sz w:val="20"/>
          <w:szCs w:val="20"/>
        </w:rPr>
        <w:t xml:space="preserve"> C</w:t>
      </w:r>
      <w:r w:rsidR="008231A3">
        <w:rPr>
          <w:rFonts w:ascii="Arial" w:hAnsi="Arial" w:cs="Arial"/>
          <w:sz w:val="20"/>
          <w:szCs w:val="20"/>
        </w:rPr>
        <w:t>.</w:t>
      </w:r>
      <w:r w:rsidR="00333033" w:rsidRPr="00B376F8">
        <w:rPr>
          <w:rFonts w:ascii="Arial" w:hAnsi="Arial" w:cs="Arial"/>
          <w:sz w:val="20"/>
          <w:szCs w:val="20"/>
        </w:rPr>
        <w:t xml:space="preserve"> Safe operation of natural gas appliances fueled with hydrogen/natural gas </w:t>
      </w:r>
      <w:proofErr w:type="spellStart"/>
      <w:r w:rsidR="00333033" w:rsidRPr="00B376F8">
        <w:rPr>
          <w:rFonts w:ascii="Arial" w:hAnsi="Arial" w:cs="Arial"/>
          <w:sz w:val="20"/>
          <w:szCs w:val="20"/>
        </w:rPr>
        <w:t>mictures</w:t>
      </w:r>
      <w:proofErr w:type="spellEnd"/>
      <w:r w:rsidR="00333033" w:rsidRPr="00B376F8">
        <w:rPr>
          <w:rFonts w:ascii="Arial" w:hAnsi="Arial" w:cs="Arial"/>
          <w:sz w:val="20"/>
          <w:szCs w:val="20"/>
        </w:rPr>
        <w:t xml:space="preserve"> (progress obtained in the NATURLHY-project) International Conference on Hydrogen Safety</w:t>
      </w:r>
      <w:r w:rsidR="00BD6559">
        <w:rPr>
          <w:rFonts w:ascii="Arial" w:hAnsi="Arial" w:cs="Arial"/>
          <w:sz w:val="20"/>
          <w:szCs w:val="20"/>
        </w:rPr>
        <w:t xml:space="preserve"> </w:t>
      </w:r>
      <w:r w:rsidR="00BD6559" w:rsidRPr="00B376F8">
        <w:rPr>
          <w:rFonts w:ascii="Arial" w:hAnsi="Arial" w:cs="Arial"/>
          <w:sz w:val="20"/>
          <w:szCs w:val="20"/>
        </w:rPr>
        <w:t>(2007)</w:t>
      </w:r>
      <w:r w:rsidR="00CC0684" w:rsidRPr="00B376F8">
        <w:rPr>
          <w:rFonts w:ascii="Arial" w:hAnsi="Arial" w:cs="Arial"/>
          <w:sz w:val="20"/>
          <w:szCs w:val="20"/>
        </w:rPr>
        <w:t>.</w:t>
      </w:r>
    </w:p>
    <w:p w14:paraId="473666A9" w14:textId="51AE870F" w:rsidR="0026006D" w:rsidRDefault="0026006D" w:rsidP="006A36FB">
      <w:pPr>
        <w:jc w:val="both"/>
        <w:rPr>
          <w:rFonts w:ascii="Arial" w:hAnsi="Arial" w:cs="Arial"/>
          <w:sz w:val="20"/>
          <w:szCs w:val="20"/>
        </w:rPr>
      </w:pPr>
      <w:r w:rsidRPr="00B376F8">
        <w:rPr>
          <w:rFonts w:ascii="Arial" w:hAnsi="Arial" w:cs="Arial"/>
          <w:sz w:val="20"/>
          <w:szCs w:val="20"/>
        </w:rPr>
        <w:lastRenderedPageBreak/>
        <w:t>[21] Gas Infrastructure Europe (2021). How to transport and store Hydrogen - facts and figure.</w:t>
      </w:r>
    </w:p>
    <w:p w14:paraId="1E08145D" w14:textId="52B6CC6C" w:rsidR="0026006D" w:rsidRPr="00B376F8" w:rsidRDefault="0026006D" w:rsidP="006A36FB">
      <w:pPr>
        <w:jc w:val="both"/>
        <w:rPr>
          <w:rFonts w:ascii="Arial" w:hAnsi="Arial" w:cs="Arial"/>
          <w:sz w:val="20"/>
          <w:szCs w:val="20"/>
        </w:rPr>
      </w:pPr>
      <w:r w:rsidRPr="00B376F8">
        <w:rPr>
          <w:rFonts w:ascii="Arial" w:hAnsi="Arial" w:cs="Arial"/>
          <w:sz w:val="20"/>
          <w:szCs w:val="20"/>
        </w:rPr>
        <w:t>[22]</w:t>
      </w:r>
      <w:r w:rsidR="00E90013">
        <w:rPr>
          <w:rFonts w:ascii="Arial" w:hAnsi="Arial" w:cs="Arial"/>
          <w:sz w:val="20"/>
          <w:szCs w:val="20"/>
        </w:rPr>
        <w:t xml:space="preserve"> </w:t>
      </w:r>
      <w:r w:rsidR="00E90013" w:rsidRPr="00E90013">
        <w:rPr>
          <w:rFonts w:ascii="Arial" w:hAnsi="Arial" w:cs="Arial"/>
          <w:sz w:val="20"/>
          <w:szCs w:val="20"/>
        </w:rPr>
        <w:t>Sakthivel, S. Hydrogen economy offers low-emissions fuel to combat air pollution. Gulf Energy,</w:t>
      </w:r>
      <w:r w:rsidR="00BD6559" w:rsidRPr="00BD6559">
        <w:rPr>
          <w:rFonts w:ascii="Arial" w:hAnsi="Arial" w:cs="Arial"/>
          <w:sz w:val="20"/>
          <w:szCs w:val="20"/>
        </w:rPr>
        <w:t xml:space="preserve"> </w:t>
      </w:r>
      <w:r w:rsidR="00BD6559">
        <w:rPr>
          <w:rFonts w:ascii="Arial" w:hAnsi="Arial" w:cs="Arial"/>
          <w:sz w:val="20"/>
          <w:szCs w:val="20"/>
        </w:rPr>
        <w:t>(</w:t>
      </w:r>
      <w:r w:rsidR="00BD6559" w:rsidRPr="00E90013">
        <w:rPr>
          <w:rFonts w:ascii="Arial" w:hAnsi="Arial" w:cs="Arial"/>
          <w:sz w:val="20"/>
          <w:szCs w:val="20"/>
        </w:rPr>
        <w:t>2021</w:t>
      </w:r>
      <w:r w:rsidR="00BD6559">
        <w:rPr>
          <w:rFonts w:ascii="Arial" w:hAnsi="Arial" w:cs="Arial"/>
          <w:sz w:val="20"/>
          <w:szCs w:val="20"/>
        </w:rPr>
        <w:t>)</w:t>
      </w:r>
      <w:r w:rsidR="00E90013" w:rsidRPr="00E90013">
        <w:rPr>
          <w:rFonts w:ascii="Arial" w:hAnsi="Arial" w:cs="Arial"/>
          <w:sz w:val="20"/>
          <w:szCs w:val="20"/>
        </w:rPr>
        <w:t xml:space="preserve"> Houston, TX, US.</w:t>
      </w:r>
    </w:p>
    <w:p w14:paraId="150852C0" w14:textId="77777777" w:rsidR="008231A3" w:rsidRDefault="002602DC" w:rsidP="008231A3">
      <w:pPr>
        <w:spacing w:before="100" w:beforeAutospacing="1" w:after="0" w:line="480" w:lineRule="auto"/>
        <w:jc w:val="both"/>
        <w:rPr>
          <w:rFonts w:ascii="Arial" w:hAnsi="Arial" w:cs="Arial"/>
          <w:color w:val="000000" w:themeColor="text1"/>
          <w:sz w:val="20"/>
          <w:szCs w:val="20"/>
        </w:rPr>
      </w:pPr>
      <w:r w:rsidRPr="00B376F8">
        <w:rPr>
          <w:rFonts w:ascii="Arial" w:hAnsi="Arial" w:cs="Arial"/>
          <w:color w:val="000000" w:themeColor="text1"/>
          <w:sz w:val="20"/>
          <w:szCs w:val="20"/>
        </w:rPr>
        <w:t xml:space="preserve">[23] </w:t>
      </w:r>
      <w:r w:rsidR="00333033" w:rsidRPr="00B376F8">
        <w:rPr>
          <w:rFonts w:ascii="Arial" w:hAnsi="Arial" w:cs="Arial"/>
          <w:color w:val="000000" w:themeColor="text1"/>
          <w:sz w:val="20"/>
          <w:szCs w:val="20"/>
        </w:rPr>
        <w:t xml:space="preserve">Johnson, B. (2020). Gas Lift in the Permian Basin. </w:t>
      </w:r>
    </w:p>
    <w:p w14:paraId="702F1478" w14:textId="569AA1F5" w:rsidR="0026006D" w:rsidRPr="0080676B" w:rsidRDefault="008231A3" w:rsidP="0080676B">
      <w:pPr>
        <w:pStyle w:val="NoSpacing"/>
        <w:rPr>
          <w:rFonts w:ascii="Arial" w:hAnsi="Arial" w:cs="Arial"/>
          <w:sz w:val="20"/>
          <w:szCs w:val="20"/>
        </w:rPr>
      </w:pPr>
      <w:r w:rsidRPr="0080676B">
        <w:rPr>
          <w:rFonts w:ascii="Arial" w:hAnsi="Arial" w:cs="Arial"/>
          <w:sz w:val="20"/>
          <w:szCs w:val="20"/>
        </w:rPr>
        <w:t xml:space="preserve">[24] Davies, P., Osman, H., and Vasquez, </w:t>
      </w:r>
      <w:proofErr w:type="gramStart"/>
      <w:r w:rsidRPr="0080676B">
        <w:rPr>
          <w:rFonts w:ascii="Arial" w:hAnsi="Arial" w:cs="Arial"/>
          <w:sz w:val="20"/>
          <w:szCs w:val="20"/>
        </w:rPr>
        <w:t>F..</w:t>
      </w:r>
      <w:proofErr w:type="gramEnd"/>
      <w:r w:rsidRPr="0080676B">
        <w:rPr>
          <w:rFonts w:ascii="Arial" w:hAnsi="Arial" w:cs="Arial"/>
          <w:sz w:val="20"/>
          <w:szCs w:val="20"/>
        </w:rPr>
        <w:t xml:space="preserve"> Managing the impact of high GOR gas lift in mature North Sea wells. Offshore Europe Conference &amp; Exhibition. SPE-181632-MS</w:t>
      </w:r>
      <w:r w:rsidR="00BD6559">
        <w:rPr>
          <w:rFonts w:ascii="Arial" w:hAnsi="Arial" w:cs="Arial"/>
          <w:sz w:val="20"/>
          <w:szCs w:val="20"/>
        </w:rPr>
        <w:t xml:space="preserve">, </w:t>
      </w:r>
      <w:r w:rsidR="00BD6559" w:rsidRPr="0080676B">
        <w:rPr>
          <w:rFonts w:ascii="Arial" w:hAnsi="Arial" w:cs="Arial"/>
          <w:sz w:val="20"/>
          <w:szCs w:val="20"/>
        </w:rPr>
        <w:t>(2016)</w:t>
      </w:r>
      <w:r w:rsidR="00BD6559">
        <w:rPr>
          <w:rFonts w:ascii="Arial" w:hAnsi="Arial" w:cs="Arial"/>
          <w:sz w:val="20"/>
          <w:szCs w:val="20"/>
        </w:rPr>
        <w:t>.</w:t>
      </w:r>
      <w:r w:rsidRPr="0080676B">
        <w:rPr>
          <w:rFonts w:ascii="Arial" w:hAnsi="Arial" w:cs="Arial"/>
          <w:sz w:val="20"/>
          <w:szCs w:val="20"/>
        </w:rPr>
        <w:t xml:space="preserve">   </w:t>
      </w:r>
    </w:p>
    <w:p w14:paraId="211C14DE" w14:textId="515DD0C1" w:rsidR="008231A3" w:rsidRDefault="002602DC" w:rsidP="008231A3">
      <w:pPr>
        <w:spacing w:before="100" w:beforeAutospacing="1" w:after="0" w:line="240" w:lineRule="auto"/>
        <w:ind w:left="720" w:hanging="720"/>
        <w:jc w:val="both"/>
        <w:rPr>
          <w:rFonts w:ascii="Arial" w:hAnsi="Arial" w:cs="Arial"/>
          <w:color w:val="000000" w:themeColor="text1"/>
          <w:sz w:val="20"/>
          <w:szCs w:val="20"/>
        </w:rPr>
      </w:pPr>
      <w:r w:rsidRPr="00B376F8">
        <w:rPr>
          <w:rFonts w:ascii="Arial" w:hAnsi="Arial" w:cs="Arial"/>
          <w:color w:val="000000" w:themeColor="text1"/>
          <w:sz w:val="20"/>
          <w:szCs w:val="20"/>
        </w:rPr>
        <w:t xml:space="preserve">[25] </w:t>
      </w:r>
      <w:r w:rsidR="00333033" w:rsidRPr="00B376F8">
        <w:rPr>
          <w:rFonts w:ascii="Arial" w:hAnsi="Arial" w:cs="Arial"/>
          <w:color w:val="000000" w:themeColor="text1"/>
          <w:sz w:val="20"/>
          <w:szCs w:val="20"/>
        </w:rPr>
        <w:t xml:space="preserve">Brown, A., </w:t>
      </w:r>
      <w:r w:rsidRPr="00B376F8">
        <w:rPr>
          <w:rFonts w:ascii="Arial" w:hAnsi="Arial" w:cs="Arial"/>
          <w:color w:val="000000" w:themeColor="text1"/>
          <w:sz w:val="20"/>
          <w:szCs w:val="20"/>
        </w:rPr>
        <w:t>and</w:t>
      </w:r>
      <w:r w:rsidR="00333033" w:rsidRPr="00B376F8">
        <w:rPr>
          <w:rFonts w:ascii="Arial" w:hAnsi="Arial" w:cs="Arial"/>
          <w:color w:val="000000" w:themeColor="text1"/>
          <w:sz w:val="20"/>
          <w:szCs w:val="20"/>
        </w:rPr>
        <w:t xml:space="preserve"> White, B. Carbon Dioxide (CO</w:t>
      </w:r>
      <w:r w:rsidR="00333033" w:rsidRPr="00B376F8">
        <w:rPr>
          <w:rFonts w:ascii="Arial" w:hAnsi="Arial" w:cs="Arial"/>
          <w:color w:val="000000" w:themeColor="text1"/>
          <w:sz w:val="20"/>
          <w:szCs w:val="20"/>
          <w:vertAlign w:val="subscript"/>
        </w:rPr>
        <w:t>2</w:t>
      </w:r>
      <w:r w:rsidR="00333033" w:rsidRPr="00B376F8">
        <w:rPr>
          <w:rFonts w:ascii="Arial" w:hAnsi="Arial" w:cs="Arial"/>
          <w:color w:val="000000" w:themeColor="text1"/>
          <w:sz w:val="20"/>
          <w:szCs w:val="20"/>
        </w:rPr>
        <w:t xml:space="preserve">) Enhanced Oil Recovery (EOR) </w:t>
      </w:r>
      <w:r w:rsidR="00BD6559" w:rsidRPr="00B376F8">
        <w:rPr>
          <w:rFonts w:ascii="Arial" w:hAnsi="Arial" w:cs="Arial"/>
          <w:color w:val="000000" w:themeColor="text1"/>
          <w:sz w:val="20"/>
          <w:szCs w:val="20"/>
        </w:rPr>
        <w:t xml:space="preserve">(2019) </w:t>
      </w:r>
      <w:r w:rsidR="00333033" w:rsidRPr="00B376F8">
        <w:rPr>
          <w:rFonts w:ascii="Arial" w:hAnsi="Arial" w:cs="Arial"/>
          <w:color w:val="000000" w:themeColor="text1"/>
          <w:sz w:val="20"/>
          <w:szCs w:val="20"/>
        </w:rPr>
        <w:t>(Vol. 1). Elsevier.</w:t>
      </w:r>
    </w:p>
    <w:p w14:paraId="09263238" w14:textId="77777777" w:rsidR="008231A3" w:rsidRDefault="008231A3" w:rsidP="008231A3">
      <w:pPr>
        <w:pStyle w:val="NoSpacing"/>
      </w:pPr>
    </w:p>
    <w:p w14:paraId="296AA4BF" w14:textId="68AD5E1C" w:rsidR="008231A3" w:rsidRPr="008231A3" w:rsidRDefault="0026006D" w:rsidP="008231A3">
      <w:pPr>
        <w:pStyle w:val="NoSpacing"/>
        <w:rPr>
          <w:rFonts w:ascii="Arial" w:hAnsi="Arial" w:cs="Arial"/>
          <w:sz w:val="20"/>
          <w:szCs w:val="20"/>
        </w:rPr>
      </w:pPr>
      <w:r w:rsidRPr="008231A3">
        <w:rPr>
          <w:rFonts w:ascii="Arial" w:hAnsi="Arial" w:cs="Arial"/>
          <w:sz w:val="20"/>
          <w:szCs w:val="20"/>
        </w:rPr>
        <w:t xml:space="preserve">[26] Farag A. and Robertson, T., </w:t>
      </w:r>
      <w:proofErr w:type="spellStart"/>
      <w:r w:rsidRPr="008231A3">
        <w:rPr>
          <w:rFonts w:ascii="Arial" w:hAnsi="Arial" w:cs="Arial"/>
          <w:sz w:val="20"/>
          <w:szCs w:val="20"/>
        </w:rPr>
        <w:t>Nederlandse</w:t>
      </w:r>
      <w:proofErr w:type="spellEnd"/>
      <w:r w:rsidRPr="008231A3">
        <w:rPr>
          <w:rFonts w:ascii="Arial" w:hAnsi="Arial" w:cs="Arial"/>
          <w:sz w:val="20"/>
          <w:szCs w:val="20"/>
        </w:rPr>
        <w:t xml:space="preserve"> </w:t>
      </w:r>
      <w:proofErr w:type="spellStart"/>
      <w:r w:rsidRPr="008231A3">
        <w:rPr>
          <w:rFonts w:ascii="Arial" w:hAnsi="Arial" w:cs="Arial"/>
          <w:sz w:val="20"/>
          <w:szCs w:val="20"/>
        </w:rPr>
        <w:t>Aardolie</w:t>
      </w:r>
      <w:proofErr w:type="spellEnd"/>
      <w:r w:rsidRPr="008231A3">
        <w:rPr>
          <w:rFonts w:ascii="Arial" w:hAnsi="Arial" w:cs="Arial"/>
          <w:sz w:val="20"/>
          <w:szCs w:val="20"/>
        </w:rPr>
        <w:t xml:space="preserve"> </w:t>
      </w:r>
      <w:proofErr w:type="spellStart"/>
      <w:r w:rsidRPr="008231A3">
        <w:rPr>
          <w:rFonts w:ascii="Arial" w:hAnsi="Arial" w:cs="Arial"/>
          <w:sz w:val="20"/>
          <w:szCs w:val="20"/>
        </w:rPr>
        <w:t>Maatschappij</w:t>
      </w:r>
      <w:proofErr w:type="spellEnd"/>
      <w:r w:rsidRPr="008231A3">
        <w:rPr>
          <w:rFonts w:ascii="Arial" w:hAnsi="Arial" w:cs="Arial"/>
          <w:sz w:val="20"/>
          <w:szCs w:val="20"/>
        </w:rPr>
        <w:t xml:space="preserve"> B.V; M. Kerem, M. Foam Assist </w:t>
      </w:r>
      <w:r w:rsidR="008231A3" w:rsidRPr="008231A3">
        <w:rPr>
          <w:rFonts w:ascii="Arial" w:hAnsi="Arial" w:cs="Arial"/>
          <w:sz w:val="20"/>
          <w:szCs w:val="20"/>
        </w:rPr>
        <w:t>in a Gas-Lifted Oil Well, Paper SPE-184217- MS, presented at the SPE Middle East Artificial Lift Conference and Exhibition held in Manama, Kingdom of Bahrain, 30 Nov</w:t>
      </w:r>
      <w:r w:rsidR="008231A3">
        <w:rPr>
          <w:rFonts w:ascii="Arial" w:hAnsi="Arial" w:cs="Arial"/>
          <w:sz w:val="20"/>
          <w:szCs w:val="20"/>
        </w:rPr>
        <w:t>.</w:t>
      </w:r>
      <w:r w:rsidR="008231A3" w:rsidRPr="008231A3">
        <w:rPr>
          <w:rFonts w:ascii="Arial" w:hAnsi="Arial" w:cs="Arial"/>
          <w:sz w:val="20"/>
          <w:szCs w:val="20"/>
        </w:rPr>
        <w:t>-1 Dec</w:t>
      </w:r>
      <w:r w:rsidR="008231A3">
        <w:rPr>
          <w:rFonts w:ascii="Arial" w:hAnsi="Arial" w:cs="Arial"/>
          <w:sz w:val="20"/>
          <w:szCs w:val="20"/>
        </w:rPr>
        <w:t>.</w:t>
      </w:r>
      <w:r w:rsidR="008231A3" w:rsidRPr="008231A3">
        <w:rPr>
          <w:rFonts w:ascii="Arial" w:hAnsi="Arial" w:cs="Arial"/>
          <w:sz w:val="20"/>
          <w:szCs w:val="20"/>
        </w:rPr>
        <w:t xml:space="preserve"> 2016.</w:t>
      </w:r>
    </w:p>
    <w:p w14:paraId="7C465C92" w14:textId="77777777" w:rsidR="008231A3" w:rsidRDefault="008231A3" w:rsidP="008231A3">
      <w:pPr>
        <w:pStyle w:val="NoSpacing"/>
        <w:rPr>
          <w:rFonts w:ascii="Arial" w:hAnsi="Arial" w:cs="Arial"/>
          <w:sz w:val="20"/>
          <w:szCs w:val="20"/>
        </w:rPr>
      </w:pPr>
    </w:p>
    <w:p w14:paraId="104C54C0" w14:textId="37CA55B6" w:rsidR="008231A3" w:rsidRPr="008231A3" w:rsidRDefault="001E38D1" w:rsidP="008231A3">
      <w:pPr>
        <w:pStyle w:val="NoSpacing"/>
        <w:rPr>
          <w:rFonts w:ascii="Arial" w:hAnsi="Arial" w:cs="Arial"/>
          <w:sz w:val="20"/>
          <w:szCs w:val="20"/>
        </w:rPr>
      </w:pPr>
      <w:r w:rsidRPr="008231A3">
        <w:rPr>
          <w:rFonts w:ascii="Arial" w:hAnsi="Arial" w:cs="Arial"/>
          <w:sz w:val="20"/>
          <w:szCs w:val="20"/>
        </w:rPr>
        <w:t xml:space="preserve">[27] </w:t>
      </w:r>
      <w:r w:rsidR="009C6AD5" w:rsidRPr="008231A3">
        <w:rPr>
          <w:rFonts w:ascii="Arial" w:hAnsi="Arial" w:cs="Arial"/>
          <w:sz w:val="20"/>
          <w:szCs w:val="20"/>
        </w:rPr>
        <w:t xml:space="preserve">Okoro, F., Arochukwu, E., Abuah, N., Marcus, I., Nnanna, E., Onuigbo-Nweze, C., and </w:t>
      </w:r>
      <w:proofErr w:type="spellStart"/>
      <w:r w:rsidR="009C6AD5" w:rsidRPr="008231A3">
        <w:rPr>
          <w:rFonts w:ascii="Arial" w:hAnsi="Arial" w:cs="Arial"/>
          <w:sz w:val="20"/>
          <w:szCs w:val="20"/>
        </w:rPr>
        <w:t>Iheanyi</w:t>
      </w:r>
      <w:proofErr w:type="spellEnd"/>
      <w:r w:rsidR="009C6AD5" w:rsidRPr="008231A3">
        <w:rPr>
          <w:rFonts w:ascii="Arial" w:hAnsi="Arial" w:cs="Arial"/>
          <w:sz w:val="20"/>
          <w:szCs w:val="20"/>
        </w:rPr>
        <w:t xml:space="preserve"> Eke I</w:t>
      </w:r>
      <w:r w:rsidR="008231A3" w:rsidRPr="008231A3">
        <w:rPr>
          <w:rFonts w:ascii="Arial" w:hAnsi="Arial" w:cs="Arial"/>
          <w:sz w:val="20"/>
          <w:szCs w:val="20"/>
        </w:rPr>
        <w:t>. A Successful Foam Assisted Gas Lift Trial in a Matured Niger Delta Field; SPE-217208-MS Paper presented at the SPE Nigeria Annual International Conference and Exhibition held in Lagos, Nigeria 31 Jul. - 2 Aug. 2023.</w:t>
      </w:r>
    </w:p>
    <w:p w14:paraId="4D69143C" w14:textId="77777777" w:rsidR="008231A3" w:rsidRDefault="008231A3" w:rsidP="006A36FB">
      <w:pPr>
        <w:jc w:val="both"/>
        <w:rPr>
          <w:rFonts w:ascii="Arial" w:hAnsi="Arial" w:cs="Arial"/>
          <w:sz w:val="20"/>
          <w:szCs w:val="20"/>
        </w:rPr>
      </w:pPr>
    </w:p>
    <w:p w14:paraId="215798A7" w14:textId="7B3E84C7"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[28] Whitson, C.H. and Brulé, M.R. Phase Behavior. SPE Monograph Series 20. </w:t>
      </w:r>
      <w:r w:rsidR="00EF049E">
        <w:rPr>
          <w:rFonts w:ascii="Arial" w:hAnsi="Arial" w:cs="Arial"/>
          <w:sz w:val="20"/>
          <w:szCs w:val="20"/>
        </w:rPr>
        <w:t>(</w:t>
      </w:r>
      <w:r w:rsidR="00EF049E" w:rsidRPr="00B376F8">
        <w:rPr>
          <w:rFonts w:ascii="Arial" w:hAnsi="Arial" w:cs="Arial"/>
          <w:sz w:val="20"/>
          <w:szCs w:val="20"/>
        </w:rPr>
        <w:t>2000</w:t>
      </w:r>
      <w:r w:rsidR="00EF049E">
        <w:rPr>
          <w:rFonts w:ascii="Arial" w:hAnsi="Arial" w:cs="Arial"/>
          <w:sz w:val="20"/>
          <w:szCs w:val="20"/>
        </w:rPr>
        <w:t xml:space="preserve">) </w:t>
      </w:r>
      <w:r w:rsidRPr="00B376F8">
        <w:rPr>
          <w:rFonts w:ascii="Arial" w:hAnsi="Arial" w:cs="Arial"/>
          <w:sz w:val="20"/>
          <w:szCs w:val="20"/>
        </w:rPr>
        <w:t>Richardson, TX: SPE</w:t>
      </w:r>
    </w:p>
    <w:p w14:paraId="38880686" w14:textId="5938C228" w:rsidR="0026006D" w:rsidRPr="00B376F8" w:rsidRDefault="0026006D" w:rsidP="006A36FB">
      <w:pPr>
        <w:jc w:val="both"/>
        <w:rPr>
          <w:rFonts w:ascii="Arial" w:hAnsi="Arial" w:cs="Arial"/>
          <w:sz w:val="20"/>
          <w:szCs w:val="20"/>
        </w:rPr>
      </w:pPr>
      <w:r w:rsidRPr="00B376F8">
        <w:rPr>
          <w:rFonts w:ascii="Arial" w:hAnsi="Arial" w:cs="Arial"/>
          <w:sz w:val="20"/>
          <w:szCs w:val="20"/>
        </w:rPr>
        <w:t>[29]</w:t>
      </w:r>
      <w:r>
        <w:rPr>
          <w:rFonts w:ascii="Arial" w:hAnsi="Arial" w:cs="Arial"/>
          <w:sz w:val="20"/>
          <w:szCs w:val="20"/>
        </w:rPr>
        <w:t xml:space="preserve"> Mukherjee, H. And Brill, J.P. Pressure Drop Correlations for Inclined Two-Phase Flow. ASME Journal of Energy Resources Technology</w:t>
      </w:r>
      <w:r w:rsidR="00EF049E">
        <w:rPr>
          <w:rFonts w:ascii="Arial" w:hAnsi="Arial" w:cs="Arial"/>
          <w:sz w:val="20"/>
          <w:szCs w:val="20"/>
        </w:rPr>
        <w:t xml:space="preserve"> (1985b)</w:t>
      </w:r>
      <w:r>
        <w:rPr>
          <w:rFonts w:ascii="Arial" w:hAnsi="Arial" w:cs="Arial"/>
          <w:sz w:val="20"/>
          <w:szCs w:val="20"/>
        </w:rPr>
        <w:t xml:space="preserve"> 107 (4): 549-554.</w:t>
      </w:r>
    </w:p>
    <w:p w14:paraId="329BE2C6" w14:textId="270C5258" w:rsidR="0026006D" w:rsidRPr="0026006D" w:rsidRDefault="0026006D" w:rsidP="006A36FB">
      <w:pPr>
        <w:jc w:val="both"/>
        <w:rPr>
          <w:rFonts w:ascii="Arial" w:hAnsi="Arial" w:cs="Arial"/>
          <w:sz w:val="20"/>
          <w:szCs w:val="20"/>
        </w:rPr>
      </w:pPr>
      <w:r w:rsidRPr="00B376F8">
        <w:rPr>
          <w:rFonts w:ascii="Arial" w:hAnsi="Arial" w:cs="Arial"/>
          <w:sz w:val="20"/>
          <w:szCs w:val="20"/>
        </w:rPr>
        <w:t>[30] Hagedorn, A.R. and Brown, K.E.</w:t>
      </w:r>
      <w:r w:rsidR="00EF049E">
        <w:rPr>
          <w:rFonts w:ascii="Arial" w:hAnsi="Arial" w:cs="Arial"/>
          <w:sz w:val="20"/>
          <w:szCs w:val="20"/>
        </w:rPr>
        <w:t xml:space="preserve"> </w:t>
      </w:r>
      <w:r w:rsidRPr="00B376F8">
        <w:rPr>
          <w:rFonts w:ascii="Arial" w:hAnsi="Arial" w:cs="Arial"/>
          <w:sz w:val="20"/>
          <w:szCs w:val="20"/>
        </w:rPr>
        <w:t xml:space="preserve">Experimental Study of Pressure Gradients </w:t>
      </w:r>
      <w:proofErr w:type="spellStart"/>
      <w:r w:rsidRPr="00B376F8">
        <w:rPr>
          <w:rFonts w:ascii="Arial" w:hAnsi="Arial" w:cs="Arial"/>
          <w:sz w:val="20"/>
          <w:szCs w:val="20"/>
        </w:rPr>
        <w:t>occuring</w:t>
      </w:r>
      <w:proofErr w:type="spellEnd"/>
      <w:r w:rsidRPr="00B376F8">
        <w:rPr>
          <w:rFonts w:ascii="Arial" w:hAnsi="Arial" w:cs="Arial"/>
          <w:sz w:val="20"/>
          <w:szCs w:val="20"/>
        </w:rPr>
        <w:t xml:space="preserve"> during Continuous Two-Phase Flow in Small Diameter Vertical Conduits. J Pet Technol: </w:t>
      </w:r>
      <w:r w:rsidR="00EF049E">
        <w:rPr>
          <w:rFonts w:ascii="Arial" w:hAnsi="Arial" w:cs="Arial"/>
          <w:sz w:val="20"/>
          <w:szCs w:val="20"/>
        </w:rPr>
        <w:t>(</w:t>
      </w:r>
      <w:r w:rsidR="00EF049E" w:rsidRPr="00B376F8">
        <w:rPr>
          <w:rFonts w:ascii="Arial" w:hAnsi="Arial" w:cs="Arial"/>
          <w:sz w:val="20"/>
          <w:szCs w:val="20"/>
        </w:rPr>
        <w:t>1965</w:t>
      </w:r>
      <w:r w:rsidR="00EF049E">
        <w:rPr>
          <w:rFonts w:ascii="Arial" w:hAnsi="Arial" w:cs="Arial"/>
          <w:sz w:val="20"/>
          <w:szCs w:val="20"/>
        </w:rPr>
        <w:t xml:space="preserve">) </w:t>
      </w:r>
      <w:r w:rsidRPr="00B376F8">
        <w:rPr>
          <w:rFonts w:ascii="Arial" w:hAnsi="Arial" w:cs="Arial"/>
          <w:sz w:val="20"/>
          <w:szCs w:val="20"/>
        </w:rPr>
        <w:t>475-484. SPE 940-PA.</w:t>
      </w:r>
    </w:p>
    <w:p w14:paraId="77ADEAD6" w14:textId="2FC8EED8" w:rsidR="00333033" w:rsidRPr="00B376F8" w:rsidRDefault="00076AF6" w:rsidP="006A36FB">
      <w:pPr>
        <w:jc w:val="both"/>
        <w:rPr>
          <w:rFonts w:ascii="Arial" w:hAnsi="Arial" w:cs="Arial"/>
          <w:sz w:val="20"/>
          <w:szCs w:val="20"/>
        </w:rPr>
      </w:pPr>
      <w:r w:rsidRPr="00B376F8">
        <w:rPr>
          <w:rFonts w:ascii="Arial" w:hAnsi="Arial" w:cs="Arial"/>
          <w:sz w:val="20"/>
          <w:szCs w:val="20"/>
        </w:rPr>
        <w:t>[31]</w:t>
      </w:r>
      <w:r w:rsidR="00333033" w:rsidRPr="00B376F8">
        <w:rPr>
          <w:rFonts w:ascii="Arial" w:hAnsi="Arial" w:cs="Arial"/>
          <w:sz w:val="20"/>
          <w:szCs w:val="20"/>
        </w:rPr>
        <w:t xml:space="preserve"> Christensen, </w:t>
      </w:r>
      <w:r w:rsidR="009C6AD5" w:rsidRPr="00B376F8">
        <w:rPr>
          <w:rFonts w:ascii="Arial" w:hAnsi="Arial" w:cs="Arial"/>
          <w:sz w:val="20"/>
          <w:szCs w:val="20"/>
        </w:rPr>
        <w:t xml:space="preserve">A. </w:t>
      </w:r>
      <w:r w:rsidR="00333033" w:rsidRPr="00B376F8">
        <w:rPr>
          <w:rFonts w:ascii="Arial" w:hAnsi="Arial" w:cs="Arial"/>
          <w:sz w:val="20"/>
          <w:szCs w:val="20"/>
        </w:rPr>
        <w:t>International Council on Clean Transportation, Washington, DC, USA, 2020, pp. 1–73.</w:t>
      </w:r>
    </w:p>
    <w:p w14:paraId="2ECF4E63" w14:textId="5D8997AA" w:rsidR="00B15001" w:rsidRPr="00B376F8" w:rsidRDefault="00B15001" w:rsidP="006A36FB">
      <w:pPr>
        <w:jc w:val="both"/>
        <w:rPr>
          <w:rFonts w:ascii="Arial" w:hAnsi="Arial" w:cs="Arial"/>
          <w:sz w:val="20"/>
          <w:szCs w:val="20"/>
        </w:rPr>
      </w:pPr>
      <w:r w:rsidRPr="00B376F8">
        <w:rPr>
          <w:rFonts w:ascii="Arial" w:hAnsi="Arial" w:cs="Arial"/>
          <w:sz w:val="20"/>
          <w:szCs w:val="20"/>
        </w:rPr>
        <w:t xml:space="preserve">[32] </w:t>
      </w:r>
      <w:proofErr w:type="spellStart"/>
      <w:r w:rsidRPr="00B376F8">
        <w:rPr>
          <w:rFonts w:ascii="Arial" w:hAnsi="Arial" w:cs="Arial"/>
          <w:sz w:val="20"/>
          <w:szCs w:val="20"/>
        </w:rPr>
        <w:t>HenryHub</w:t>
      </w:r>
      <w:proofErr w:type="spellEnd"/>
      <w:r w:rsidRPr="00B376F8">
        <w:rPr>
          <w:rFonts w:ascii="Arial" w:hAnsi="Arial" w:cs="Arial"/>
          <w:sz w:val="20"/>
          <w:szCs w:val="20"/>
        </w:rPr>
        <w:t>, 29/08/24)</w:t>
      </w:r>
      <w:r w:rsidR="005A7019">
        <w:rPr>
          <w:rFonts w:ascii="Arial" w:hAnsi="Arial" w:cs="Arial"/>
          <w:sz w:val="20"/>
          <w:szCs w:val="20"/>
        </w:rPr>
        <w:t>, www.eia.gov</w:t>
      </w:r>
    </w:p>
    <w:p w14:paraId="26A55276" w14:textId="12AEB55D" w:rsidR="00B15001" w:rsidRPr="00B376F8" w:rsidRDefault="00B15001" w:rsidP="006A36FB">
      <w:pPr>
        <w:jc w:val="both"/>
        <w:rPr>
          <w:rFonts w:ascii="Arial" w:hAnsi="Arial" w:cs="Arial"/>
          <w:sz w:val="20"/>
          <w:szCs w:val="20"/>
        </w:rPr>
      </w:pPr>
      <w:r w:rsidRPr="00B376F8">
        <w:rPr>
          <w:rFonts w:ascii="Arial" w:hAnsi="Arial" w:cs="Arial"/>
          <w:sz w:val="20"/>
          <w:szCs w:val="20"/>
        </w:rPr>
        <w:t>[33] Oilprice.com</w:t>
      </w:r>
      <w:r w:rsidR="00C400FE">
        <w:rPr>
          <w:rFonts w:ascii="Arial" w:hAnsi="Arial" w:cs="Arial"/>
          <w:sz w:val="20"/>
          <w:szCs w:val="20"/>
        </w:rPr>
        <w:t>; www.oilprice.com</w:t>
      </w:r>
    </w:p>
    <w:p w14:paraId="7DA5A8C9" w14:textId="77777777" w:rsidR="00531B14" w:rsidRDefault="00531B14" w:rsidP="00EA5E53"/>
    <w:p w14:paraId="2DA004EC" w14:textId="77777777" w:rsidR="00531B14" w:rsidRDefault="00531B14" w:rsidP="00EA5E53"/>
    <w:p w14:paraId="6E52DDE8" w14:textId="77777777" w:rsidR="00811049" w:rsidRPr="00811049" w:rsidRDefault="00811049" w:rsidP="00EA5E53"/>
    <w:p w14:paraId="11B15D4C" w14:textId="7E840732" w:rsidR="00DD23EE" w:rsidRPr="00DD23EE" w:rsidRDefault="00DD23EE" w:rsidP="00755BD3">
      <w:pPr>
        <w:rPr>
          <w:b/>
          <w:bCs/>
        </w:rPr>
      </w:pPr>
    </w:p>
    <w:p w14:paraId="2EAD6CBB" w14:textId="073E9B22" w:rsidR="00144E8E" w:rsidRPr="00B132A4" w:rsidRDefault="001D5FF9" w:rsidP="00A3483A">
      <w:pPr>
        <w:jc w:val="center"/>
        <w:rPr>
          <w:rFonts w:ascii="Arial" w:hAnsi="Arial" w:cs="Arial"/>
          <w:b/>
          <w:bCs/>
          <w:sz w:val="20"/>
          <w:szCs w:val="20"/>
        </w:rPr>
      </w:pPr>
      <w:r w:rsidRPr="00B132A4">
        <w:rPr>
          <w:rFonts w:ascii="Arial" w:hAnsi="Arial" w:cs="Arial"/>
          <w:b/>
          <w:bCs/>
          <w:sz w:val="20"/>
          <w:szCs w:val="20"/>
        </w:rPr>
        <w:t>TABLE 1: SUMMARY OF DATA FOR WELL-X</w:t>
      </w:r>
    </w:p>
    <w:tbl>
      <w:tblPr>
        <w:tblStyle w:val="TableGrid"/>
        <w:tblW w:w="0" w:type="auto"/>
        <w:jc w:val="center"/>
        <w:tblLook w:val="04A0" w:firstRow="1" w:lastRow="0" w:firstColumn="1" w:lastColumn="0" w:noHBand="0" w:noVBand="1"/>
      </w:tblPr>
      <w:tblGrid>
        <w:gridCol w:w="4675"/>
        <w:gridCol w:w="4675"/>
      </w:tblGrid>
      <w:tr w:rsidR="001D5FF9" w14:paraId="59560703" w14:textId="77777777" w:rsidTr="00CB718A">
        <w:trPr>
          <w:jc w:val="center"/>
        </w:trPr>
        <w:tc>
          <w:tcPr>
            <w:tcW w:w="4675" w:type="dxa"/>
            <w:tcBorders>
              <w:left w:val="nil"/>
              <w:bottom w:val="single" w:sz="4" w:space="0" w:color="auto"/>
              <w:right w:val="nil"/>
            </w:tcBorders>
          </w:tcPr>
          <w:p w14:paraId="3DBB0CC8" w14:textId="01072110" w:rsidR="001D5FF9" w:rsidRPr="00CB718A" w:rsidRDefault="001D5FF9" w:rsidP="00CB718A">
            <w:pPr>
              <w:jc w:val="center"/>
              <w:rPr>
                <w:rFonts w:ascii="Arial" w:hAnsi="Arial" w:cs="Arial"/>
                <w:b/>
                <w:bCs/>
                <w:sz w:val="20"/>
                <w:szCs w:val="20"/>
              </w:rPr>
            </w:pPr>
            <w:r w:rsidRPr="00CB718A">
              <w:rPr>
                <w:rFonts w:ascii="Arial" w:hAnsi="Arial" w:cs="Arial"/>
                <w:b/>
                <w:bCs/>
                <w:sz w:val="20"/>
                <w:szCs w:val="20"/>
              </w:rPr>
              <w:t>Properties</w:t>
            </w:r>
          </w:p>
        </w:tc>
        <w:tc>
          <w:tcPr>
            <w:tcW w:w="4675" w:type="dxa"/>
            <w:tcBorders>
              <w:left w:val="nil"/>
              <w:bottom w:val="single" w:sz="4" w:space="0" w:color="auto"/>
              <w:right w:val="nil"/>
            </w:tcBorders>
          </w:tcPr>
          <w:p w14:paraId="4BE63397" w14:textId="77777777" w:rsidR="001D5FF9" w:rsidRPr="00CB718A" w:rsidRDefault="001D5FF9" w:rsidP="00CB718A">
            <w:pPr>
              <w:jc w:val="center"/>
              <w:rPr>
                <w:rFonts w:ascii="Arial" w:hAnsi="Arial" w:cs="Arial"/>
                <w:b/>
                <w:bCs/>
                <w:sz w:val="20"/>
                <w:szCs w:val="20"/>
              </w:rPr>
            </w:pPr>
            <w:r w:rsidRPr="00CB718A">
              <w:rPr>
                <w:rFonts w:ascii="Arial" w:hAnsi="Arial" w:cs="Arial"/>
                <w:b/>
                <w:bCs/>
                <w:sz w:val="20"/>
                <w:szCs w:val="20"/>
              </w:rPr>
              <w:t>Values</w:t>
            </w:r>
          </w:p>
        </w:tc>
      </w:tr>
      <w:tr w:rsidR="001D5FF9" w14:paraId="6E0E9278" w14:textId="77777777" w:rsidTr="00CB718A">
        <w:trPr>
          <w:jc w:val="center"/>
        </w:trPr>
        <w:tc>
          <w:tcPr>
            <w:tcW w:w="4675" w:type="dxa"/>
            <w:tcBorders>
              <w:left w:val="nil"/>
              <w:bottom w:val="nil"/>
              <w:right w:val="nil"/>
            </w:tcBorders>
          </w:tcPr>
          <w:p w14:paraId="5457F227"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Injection depth (ft)</w:t>
            </w:r>
          </w:p>
        </w:tc>
        <w:tc>
          <w:tcPr>
            <w:tcW w:w="4675" w:type="dxa"/>
            <w:tcBorders>
              <w:left w:val="nil"/>
              <w:bottom w:val="nil"/>
              <w:right w:val="nil"/>
            </w:tcBorders>
          </w:tcPr>
          <w:p w14:paraId="4CF1A9DE"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3013</w:t>
            </w:r>
          </w:p>
        </w:tc>
      </w:tr>
      <w:tr w:rsidR="001D5FF9" w14:paraId="22DADD57" w14:textId="77777777" w:rsidTr="00CB718A">
        <w:trPr>
          <w:jc w:val="center"/>
        </w:trPr>
        <w:tc>
          <w:tcPr>
            <w:tcW w:w="4675" w:type="dxa"/>
            <w:tcBorders>
              <w:top w:val="nil"/>
              <w:left w:val="nil"/>
              <w:bottom w:val="nil"/>
              <w:right w:val="nil"/>
            </w:tcBorders>
          </w:tcPr>
          <w:p w14:paraId="40160A38"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Tubing diameter (inches) and depth(ft)</w:t>
            </w:r>
          </w:p>
        </w:tc>
        <w:tc>
          <w:tcPr>
            <w:tcW w:w="4675" w:type="dxa"/>
            <w:tcBorders>
              <w:top w:val="nil"/>
              <w:left w:val="nil"/>
              <w:bottom w:val="nil"/>
              <w:right w:val="nil"/>
            </w:tcBorders>
          </w:tcPr>
          <w:p w14:paraId="2892CD4D"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3.5 and 5484</w:t>
            </w:r>
          </w:p>
        </w:tc>
      </w:tr>
      <w:tr w:rsidR="001D5FF9" w14:paraId="577C3D15" w14:textId="77777777" w:rsidTr="00CB718A">
        <w:trPr>
          <w:jc w:val="center"/>
        </w:trPr>
        <w:tc>
          <w:tcPr>
            <w:tcW w:w="4675" w:type="dxa"/>
            <w:tcBorders>
              <w:top w:val="nil"/>
              <w:left w:val="nil"/>
              <w:bottom w:val="nil"/>
              <w:right w:val="nil"/>
            </w:tcBorders>
          </w:tcPr>
          <w:p w14:paraId="416A0854"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Tubing diameter (inches) and depth (ft)</w:t>
            </w:r>
          </w:p>
        </w:tc>
        <w:tc>
          <w:tcPr>
            <w:tcW w:w="4675" w:type="dxa"/>
            <w:tcBorders>
              <w:top w:val="nil"/>
              <w:left w:val="nil"/>
              <w:bottom w:val="nil"/>
              <w:right w:val="nil"/>
            </w:tcBorders>
          </w:tcPr>
          <w:p w14:paraId="1BCE616C"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2 7/8 and 5491-5571</w:t>
            </w:r>
          </w:p>
        </w:tc>
      </w:tr>
      <w:tr w:rsidR="001D5FF9" w14:paraId="3C3CD9A4" w14:textId="77777777" w:rsidTr="00CB718A">
        <w:trPr>
          <w:jc w:val="center"/>
        </w:trPr>
        <w:tc>
          <w:tcPr>
            <w:tcW w:w="4675" w:type="dxa"/>
            <w:tcBorders>
              <w:top w:val="nil"/>
              <w:left w:val="nil"/>
              <w:bottom w:val="nil"/>
              <w:right w:val="nil"/>
            </w:tcBorders>
          </w:tcPr>
          <w:p w14:paraId="54402818"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Sand control</w:t>
            </w:r>
          </w:p>
        </w:tc>
        <w:tc>
          <w:tcPr>
            <w:tcW w:w="4675" w:type="dxa"/>
            <w:tcBorders>
              <w:top w:val="nil"/>
              <w:left w:val="nil"/>
              <w:bottom w:val="nil"/>
              <w:right w:val="nil"/>
            </w:tcBorders>
          </w:tcPr>
          <w:p w14:paraId="3C4EF5E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Internal gravel pack</w:t>
            </w:r>
          </w:p>
        </w:tc>
      </w:tr>
      <w:tr w:rsidR="001D5FF9" w14:paraId="0A0A3D92" w14:textId="77777777" w:rsidTr="00CB718A">
        <w:trPr>
          <w:jc w:val="center"/>
        </w:trPr>
        <w:tc>
          <w:tcPr>
            <w:tcW w:w="4675" w:type="dxa"/>
            <w:tcBorders>
              <w:top w:val="nil"/>
              <w:left w:val="nil"/>
              <w:bottom w:val="nil"/>
              <w:right w:val="nil"/>
            </w:tcBorders>
          </w:tcPr>
          <w:p w14:paraId="057634EF"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Average water cut</w:t>
            </w:r>
          </w:p>
        </w:tc>
        <w:tc>
          <w:tcPr>
            <w:tcW w:w="4675" w:type="dxa"/>
            <w:tcBorders>
              <w:top w:val="nil"/>
              <w:left w:val="nil"/>
              <w:bottom w:val="nil"/>
              <w:right w:val="nil"/>
            </w:tcBorders>
          </w:tcPr>
          <w:p w14:paraId="22D96BD3"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76.4%</w:t>
            </w:r>
          </w:p>
        </w:tc>
      </w:tr>
      <w:tr w:rsidR="001D5FF9" w14:paraId="2C70FAE8" w14:textId="77777777" w:rsidTr="00CB718A">
        <w:trPr>
          <w:jc w:val="center"/>
        </w:trPr>
        <w:tc>
          <w:tcPr>
            <w:tcW w:w="4675" w:type="dxa"/>
            <w:tcBorders>
              <w:top w:val="nil"/>
              <w:left w:val="nil"/>
              <w:bottom w:val="nil"/>
              <w:right w:val="nil"/>
            </w:tcBorders>
          </w:tcPr>
          <w:p w14:paraId="45E8BB31"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Liquid rate before foam-gas injection from well test (b/d)</w:t>
            </w:r>
          </w:p>
        </w:tc>
        <w:tc>
          <w:tcPr>
            <w:tcW w:w="4675" w:type="dxa"/>
            <w:tcBorders>
              <w:top w:val="nil"/>
              <w:left w:val="nil"/>
              <w:bottom w:val="nil"/>
              <w:right w:val="nil"/>
            </w:tcBorders>
          </w:tcPr>
          <w:p w14:paraId="0C6226A3"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2544</w:t>
            </w:r>
          </w:p>
        </w:tc>
      </w:tr>
      <w:tr w:rsidR="001D5FF9" w14:paraId="10563E1D" w14:textId="77777777" w:rsidTr="00CB718A">
        <w:trPr>
          <w:jc w:val="center"/>
        </w:trPr>
        <w:tc>
          <w:tcPr>
            <w:tcW w:w="4675" w:type="dxa"/>
            <w:tcBorders>
              <w:top w:val="nil"/>
              <w:left w:val="nil"/>
              <w:bottom w:val="nil"/>
              <w:right w:val="nil"/>
            </w:tcBorders>
          </w:tcPr>
          <w:p w14:paraId="055658E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Net oil (</w:t>
            </w:r>
            <w:proofErr w:type="spellStart"/>
            <w:r w:rsidRPr="00CB718A">
              <w:rPr>
                <w:rFonts w:ascii="Arial" w:hAnsi="Arial" w:cs="Arial"/>
                <w:sz w:val="20"/>
                <w:szCs w:val="20"/>
              </w:rPr>
              <w:t>bopd</w:t>
            </w:r>
            <w:proofErr w:type="spellEnd"/>
            <w:r w:rsidRPr="00CB718A">
              <w:rPr>
                <w:rFonts w:ascii="Arial" w:hAnsi="Arial" w:cs="Arial"/>
                <w:sz w:val="20"/>
                <w:szCs w:val="20"/>
              </w:rPr>
              <w:t>)</w:t>
            </w:r>
          </w:p>
        </w:tc>
        <w:tc>
          <w:tcPr>
            <w:tcW w:w="4675" w:type="dxa"/>
            <w:tcBorders>
              <w:top w:val="nil"/>
              <w:left w:val="nil"/>
              <w:bottom w:val="nil"/>
              <w:right w:val="nil"/>
            </w:tcBorders>
          </w:tcPr>
          <w:p w14:paraId="5C9D0F06"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597</w:t>
            </w:r>
          </w:p>
        </w:tc>
      </w:tr>
      <w:tr w:rsidR="001D5FF9" w14:paraId="30F580B5" w14:textId="77777777" w:rsidTr="00CB718A">
        <w:trPr>
          <w:jc w:val="center"/>
        </w:trPr>
        <w:tc>
          <w:tcPr>
            <w:tcW w:w="4675" w:type="dxa"/>
            <w:tcBorders>
              <w:top w:val="nil"/>
              <w:left w:val="nil"/>
              <w:bottom w:val="nil"/>
              <w:right w:val="nil"/>
            </w:tcBorders>
          </w:tcPr>
          <w:p w14:paraId="57998559"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GOR (SCF/BBL)</w:t>
            </w:r>
          </w:p>
        </w:tc>
        <w:tc>
          <w:tcPr>
            <w:tcW w:w="4675" w:type="dxa"/>
            <w:tcBorders>
              <w:top w:val="nil"/>
              <w:left w:val="nil"/>
              <w:bottom w:val="nil"/>
              <w:right w:val="nil"/>
            </w:tcBorders>
          </w:tcPr>
          <w:p w14:paraId="379D849E" w14:textId="098C007D" w:rsidR="001D5FF9" w:rsidRPr="00CB718A" w:rsidRDefault="001D5FF9" w:rsidP="00CB718A">
            <w:pPr>
              <w:jc w:val="center"/>
              <w:rPr>
                <w:rFonts w:ascii="Arial" w:hAnsi="Arial" w:cs="Arial"/>
                <w:sz w:val="20"/>
                <w:szCs w:val="20"/>
              </w:rPr>
            </w:pPr>
            <w:r w:rsidRPr="00A3483A">
              <w:rPr>
                <w:rFonts w:ascii="Arial" w:hAnsi="Arial" w:cs="Arial"/>
                <w:sz w:val="20"/>
                <w:szCs w:val="20"/>
              </w:rPr>
              <w:t>715</w:t>
            </w:r>
          </w:p>
        </w:tc>
      </w:tr>
      <w:tr w:rsidR="001D5FF9" w14:paraId="734A2A97" w14:textId="77777777" w:rsidTr="00CB718A">
        <w:trPr>
          <w:jc w:val="center"/>
        </w:trPr>
        <w:tc>
          <w:tcPr>
            <w:tcW w:w="4675" w:type="dxa"/>
            <w:tcBorders>
              <w:top w:val="nil"/>
              <w:left w:val="nil"/>
              <w:bottom w:val="nil"/>
              <w:right w:val="nil"/>
            </w:tcBorders>
          </w:tcPr>
          <w:p w14:paraId="55577B64"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Flowing tubing head pressure (</w:t>
            </w:r>
            <w:proofErr w:type="spellStart"/>
            <w:r w:rsidRPr="00CB718A">
              <w:rPr>
                <w:rFonts w:ascii="Arial" w:hAnsi="Arial" w:cs="Arial"/>
                <w:sz w:val="20"/>
                <w:szCs w:val="20"/>
              </w:rPr>
              <w:t>psig</w:t>
            </w:r>
            <w:proofErr w:type="spellEnd"/>
            <w:r w:rsidRPr="00CB718A">
              <w:rPr>
                <w:rFonts w:ascii="Arial" w:hAnsi="Arial" w:cs="Arial"/>
                <w:sz w:val="20"/>
                <w:szCs w:val="20"/>
              </w:rPr>
              <w:t>)</w:t>
            </w:r>
          </w:p>
        </w:tc>
        <w:tc>
          <w:tcPr>
            <w:tcW w:w="4675" w:type="dxa"/>
            <w:tcBorders>
              <w:top w:val="nil"/>
              <w:left w:val="nil"/>
              <w:bottom w:val="nil"/>
              <w:right w:val="nil"/>
            </w:tcBorders>
          </w:tcPr>
          <w:p w14:paraId="18258AC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105</w:t>
            </w:r>
          </w:p>
        </w:tc>
      </w:tr>
      <w:tr w:rsidR="001D5FF9" w14:paraId="23896C8E" w14:textId="77777777" w:rsidTr="00CB718A">
        <w:trPr>
          <w:jc w:val="center"/>
        </w:trPr>
        <w:tc>
          <w:tcPr>
            <w:tcW w:w="4675" w:type="dxa"/>
            <w:tcBorders>
              <w:top w:val="nil"/>
              <w:left w:val="nil"/>
              <w:bottom w:val="nil"/>
              <w:right w:val="nil"/>
            </w:tcBorders>
          </w:tcPr>
          <w:p w14:paraId="7F50E06F"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lastRenderedPageBreak/>
              <w:t>Gas lift rate (</w:t>
            </w:r>
            <w:proofErr w:type="spellStart"/>
            <w:r w:rsidRPr="00CB718A">
              <w:rPr>
                <w:rFonts w:ascii="Arial" w:hAnsi="Arial" w:cs="Arial"/>
                <w:sz w:val="20"/>
                <w:szCs w:val="20"/>
              </w:rPr>
              <w:t>MMscf</w:t>
            </w:r>
            <w:proofErr w:type="spellEnd"/>
            <w:r w:rsidRPr="00CB718A">
              <w:rPr>
                <w:rFonts w:ascii="Arial" w:hAnsi="Arial" w:cs="Arial"/>
                <w:sz w:val="20"/>
                <w:szCs w:val="20"/>
              </w:rPr>
              <w:t>/d)</w:t>
            </w:r>
          </w:p>
        </w:tc>
        <w:tc>
          <w:tcPr>
            <w:tcW w:w="4675" w:type="dxa"/>
            <w:tcBorders>
              <w:top w:val="nil"/>
              <w:left w:val="nil"/>
              <w:bottom w:val="nil"/>
              <w:right w:val="nil"/>
            </w:tcBorders>
          </w:tcPr>
          <w:p w14:paraId="5CBEECA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0.302</w:t>
            </w:r>
          </w:p>
        </w:tc>
      </w:tr>
      <w:tr w:rsidR="001D5FF9" w14:paraId="4DB43EB6" w14:textId="77777777" w:rsidTr="00CB718A">
        <w:trPr>
          <w:jc w:val="center"/>
        </w:trPr>
        <w:tc>
          <w:tcPr>
            <w:tcW w:w="4675" w:type="dxa"/>
            <w:tcBorders>
              <w:top w:val="nil"/>
              <w:left w:val="nil"/>
              <w:bottom w:val="nil"/>
              <w:right w:val="nil"/>
            </w:tcBorders>
          </w:tcPr>
          <w:p w14:paraId="273D24E6"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THP (</w:t>
            </w:r>
            <w:proofErr w:type="spellStart"/>
            <w:r w:rsidRPr="00CB718A">
              <w:rPr>
                <w:rFonts w:ascii="Arial" w:hAnsi="Arial" w:cs="Arial"/>
                <w:sz w:val="20"/>
                <w:szCs w:val="20"/>
              </w:rPr>
              <w:t>psig</w:t>
            </w:r>
            <w:proofErr w:type="spellEnd"/>
            <w:r w:rsidRPr="00CB718A">
              <w:rPr>
                <w:rFonts w:ascii="Arial" w:hAnsi="Arial" w:cs="Arial"/>
                <w:sz w:val="20"/>
                <w:szCs w:val="20"/>
              </w:rPr>
              <w:t>)</w:t>
            </w:r>
          </w:p>
        </w:tc>
        <w:tc>
          <w:tcPr>
            <w:tcW w:w="4675" w:type="dxa"/>
            <w:tcBorders>
              <w:top w:val="nil"/>
              <w:left w:val="nil"/>
              <w:bottom w:val="nil"/>
              <w:right w:val="nil"/>
            </w:tcBorders>
          </w:tcPr>
          <w:p w14:paraId="6FBD56B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105</w:t>
            </w:r>
          </w:p>
        </w:tc>
      </w:tr>
      <w:tr w:rsidR="001D5FF9" w14:paraId="2E47A89D" w14:textId="77777777" w:rsidTr="00CB718A">
        <w:trPr>
          <w:jc w:val="center"/>
        </w:trPr>
        <w:tc>
          <w:tcPr>
            <w:tcW w:w="4675" w:type="dxa"/>
            <w:tcBorders>
              <w:top w:val="nil"/>
              <w:left w:val="nil"/>
              <w:bottom w:val="nil"/>
              <w:right w:val="nil"/>
            </w:tcBorders>
          </w:tcPr>
          <w:p w14:paraId="16D6A7C2" w14:textId="7A725C4A" w:rsidR="001D5FF9" w:rsidRPr="00CB718A" w:rsidRDefault="001D5FF9" w:rsidP="00CB718A">
            <w:pPr>
              <w:jc w:val="center"/>
              <w:rPr>
                <w:rFonts w:ascii="Arial" w:hAnsi="Arial" w:cs="Arial"/>
                <w:sz w:val="20"/>
                <w:szCs w:val="20"/>
              </w:rPr>
            </w:pPr>
            <w:r w:rsidRPr="00CB718A">
              <w:rPr>
                <w:rFonts w:ascii="Arial" w:hAnsi="Arial" w:cs="Arial"/>
                <w:sz w:val="20"/>
                <w:szCs w:val="20"/>
              </w:rPr>
              <w:t>Casing size</w:t>
            </w:r>
          </w:p>
        </w:tc>
        <w:tc>
          <w:tcPr>
            <w:tcW w:w="4675" w:type="dxa"/>
            <w:tcBorders>
              <w:top w:val="nil"/>
              <w:left w:val="nil"/>
              <w:bottom w:val="nil"/>
              <w:right w:val="nil"/>
            </w:tcBorders>
          </w:tcPr>
          <w:p w14:paraId="43EE7692"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7-inches</w:t>
            </w:r>
          </w:p>
        </w:tc>
      </w:tr>
      <w:tr w:rsidR="001D5FF9" w14:paraId="6F0FCA93" w14:textId="77777777" w:rsidTr="00CB718A">
        <w:trPr>
          <w:jc w:val="center"/>
        </w:trPr>
        <w:tc>
          <w:tcPr>
            <w:tcW w:w="4675" w:type="dxa"/>
            <w:tcBorders>
              <w:top w:val="nil"/>
              <w:left w:val="nil"/>
              <w:bottom w:val="nil"/>
              <w:right w:val="nil"/>
            </w:tcBorders>
          </w:tcPr>
          <w:p w14:paraId="0E1C6641"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Casing depth (ft)</w:t>
            </w:r>
          </w:p>
        </w:tc>
        <w:tc>
          <w:tcPr>
            <w:tcW w:w="4675" w:type="dxa"/>
            <w:tcBorders>
              <w:top w:val="nil"/>
              <w:left w:val="nil"/>
              <w:bottom w:val="nil"/>
              <w:right w:val="nil"/>
            </w:tcBorders>
          </w:tcPr>
          <w:p w14:paraId="728B8F92"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5760</w:t>
            </w:r>
          </w:p>
        </w:tc>
      </w:tr>
      <w:tr w:rsidR="001D5FF9" w14:paraId="69821A4E" w14:textId="77777777" w:rsidTr="00CB718A">
        <w:trPr>
          <w:jc w:val="center"/>
        </w:trPr>
        <w:tc>
          <w:tcPr>
            <w:tcW w:w="4675" w:type="dxa"/>
            <w:tcBorders>
              <w:top w:val="nil"/>
              <w:left w:val="nil"/>
              <w:bottom w:val="nil"/>
              <w:right w:val="nil"/>
            </w:tcBorders>
          </w:tcPr>
          <w:p w14:paraId="4BDB5107"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Packer depth (ft)</w:t>
            </w:r>
          </w:p>
        </w:tc>
        <w:tc>
          <w:tcPr>
            <w:tcW w:w="4675" w:type="dxa"/>
            <w:tcBorders>
              <w:top w:val="nil"/>
              <w:left w:val="nil"/>
              <w:bottom w:val="nil"/>
              <w:right w:val="nil"/>
            </w:tcBorders>
          </w:tcPr>
          <w:p w14:paraId="37C05B7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5484</w:t>
            </w:r>
          </w:p>
        </w:tc>
      </w:tr>
      <w:tr w:rsidR="001D5FF9" w14:paraId="1EFFAB8F" w14:textId="77777777" w:rsidTr="00CB718A">
        <w:trPr>
          <w:jc w:val="center"/>
        </w:trPr>
        <w:tc>
          <w:tcPr>
            <w:tcW w:w="4675" w:type="dxa"/>
            <w:tcBorders>
              <w:top w:val="nil"/>
              <w:left w:val="nil"/>
              <w:bottom w:val="nil"/>
              <w:right w:val="nil"/>
            </w:tcBorders>
          </w:tcPr>
          <w:p w14:paraId="3F380B03" w14:textId="1502BA3B" w:rsidR="001D5FF9" w:rsidRPr="00CB718A" w:rsidRDefault="001D5FF9" w:rsidP="00CB718A">
            <w:pPr>
              <w:jc w:val="center"/>
              <w:rPr>
                <w:rFonts w:ascii="Arial" w:hAnsi="Arial" w:cs="Arial"/>
                <w:sz w:val="20"/>
                <w:szCs w:val="20"/>
              </w:rPr>
            </w:pPr>
            <w:r w:rsidRPr="00CB718A">
              <w:rPr>
                <w:rFonts w:ascii="Arial" w:hAnsi="Arial" w:cs="Arial"/>
                <w:sz w:val="20"/>
                <w:szCs w:val="20"/>
              </w:rPr>
              <w:t xml:space="preserve">Reservoir Temp. </w:t>
            </w:r>
            <w:proofErr w:type="spellStart"/>
            <w:r w:rsidRPr="00CB718A">
              <w:rPr>
                <w:rFonts w:ascii="Arial" w:hAnsi="Arial" w:cs="Arial"/>
                <w:sz w:val="20"/>
                <w:szCs w:val="20"/>
              </w:rPr>
              <w:t>o</w:t>
            </w:r>
            <w:r w:rsidR="00815B0E" w:rsidRPr="00CB718A">
              <w:rPr>
                <w:rFonts w:ascii="Arial" w:hAnsi="Arial" w:cs="Arial"/>
                <w:sz w:val="20"/>
                <w:szCs w:val="20"/>
              </w:rPr>
              <w:t>F</w:t>
            </w:r>
            <w:proofErr w:type="spellEnd"/>
          </w:p>
        </w:tc>
        <w:tc>
          <w:tcPr>
            <w:tcW w:w="4675" w:type="dxa"/>
            <w:tcBorders>
              <w:top w:val="nil"/>
              <w:left w:val="nil"/>
              <w:bottom w:val="nil"/>
              <w:right w:val="nil"/>
            </w:tcBorders>
          </w:tcPr>
          <w:p w14:paraId="640B4269" w14:textId="104B8C28" w:rsidR="001D5FF9" w:rsidRPr="00CB718A" w:rsidRDefault="00815B0E" w:rsidP="00CB718A">
            <w:pPr>
              <w:jc w:val="center"/>
              <w:rPr>
                <w:rFonts w:ascii="Arial" w:hAnsi="Arial" w:cs="Arial"/>
                <w:sz w:val="20"/>
                <w:szCs w:val="20"/>
              </w:rPr>
            </w:pPr>
            <w:r w:rsidRPr="00CB718A">
              <w:rPr>
                <w:rFonts w:ascii="Arial" w:hAnsi="Arial" w:cs="Arial"/>
                <w:sz w:val="20"/>
                <w:szCs w:val="20"/>
              </w:rPr>
              <w:t>145</w:t>
            </w:r>
          </w:p>
        </w:tc>
      </w:tr>
      <w:tr w:rsidR="001D5FF9" w14:paraId="540F3624" w14:textId="77777777" w:rsidTr="00CB718A">
        <w:trPr>
          <w:jc w:val="center"/>
        </w:trPr>
        <w:tc>
          <w:tcPr>
            <w:tcW w:w="4675" w:type="dxa"/>
            <w:tcBorders>
              <w:top w:val="nil"/>
              <w:left w:val="nil"/>
              <w:bottom w:val="nil"/>
              <w:right w:val="nil"/>
            </w:tcBorders>
          </w:tcPr>
          <w:p w14:paraId="516558A0"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Reservoir thickness ft</w:t>
            </w:r>
          </w:p>
        </w:tc>
        <w:tc>
          <w:tcPr>
            <w:tcW w:w="4675" w:type="dxa"/>
            <w:tcBorders>
              <w:top w:val="nil"/>
              <w:left w:val="nil"/>
              <w:bottom w:val="nil"/>
              <w:right w:val="nil"/>
            </w:tcBorders>
          </w:tcPr>
          <w:p w14:paraId="3805DD80" w14:textId="663D03B3" w:rsidR="001D5FF9" w:rsidRPr="00CB718A" w:rsidRDefault="00494564" w:rsidP="00CB718A">
            <w:pPr>
              <w:jc w:val="center"/>
              <w:rPr>
                <w:rFonts w:ascii="Arial" w:hAnsi="Arial" w:cs="Arial"/>
                <w:sz w:val="20"/>
                <w:szCs w:val="20"/>
              </w:rPr>
            </w:pPr>
            <w:r w:rsidRPr="00CB718A">
              <w:rPr>
                <w:rFonts w:ascii="Arial" w:hAnsi="Arial" w:cs="Arial"/>
                <w:sz w:val="20"/>
                <w:szCs w:val="20"/>
              </w:rPr>
              <w:t>28</w:t>
            </w:r>
          </w:p>
        </w:tc>
      </w:tr>
      <w:tr w:rsidR="001D5FF9" w14:paraId="638510B1" w14:textId="77777777" w:rsidTr="00CB718A">
        <w:trPr>
          <w:jc w:val="center"/>
        </w:trPr>
        <w:tc>
          <w:tcPr>
            <w:tcW w:w="4675" w:type="dxa"/>
            <w:tcBorders>
              <w:top w:val="nil"/>
              <w:left w:val="nil"/>
              <w:bottom w:val="nil"/>
              <w:right w:val="nil"/>
            </w:tcBorders>
          </w:tcPr>
          <w:p w14:paraId="669CD738" w14:textId="3D4C8504" w:rsidR="001D5FF9" w:rsidRPr="00CB718A" w:rsidRDefault="001D5FF9" w:rsidP="00CB718A">
            <w:pPr>
              <w:jc w:val="center"/>
              <w:rPr>
                <w:rFonts w:ascii="Arial" w:hAnsi="Arial" w:cs="Arial"/>
                <w:sz w:val="20"/>
                <w:szCs w:val="20"/>
              </w:rPr>
            </w:pPr>
            <w:r w:rsidRPr="00CB718A">
              <w:rPr>
                <w:rFonts w:ascii="Arial" w:hAnsi="Arial" w:cs="Arial"/>
                <w:sz w:val="20"/>
                <w:szCs w:val="20"/>
              </w:rPr>
              <w:t>Reservoir porosity</w:t>
            </w:r>
          </w:p>
        </w:tc>
        <w:tc>
          <w:tcPr>
            <w:tcW w:w="4675" w:type="dxa"/>
            <w:tcBorders>
              <w:top w:val="nil"/>
              <w:left w:val="nil"/>
              <w:bottom w:val="nil"/>
              <w:right w:val="nil"/>
            </w:tcBorders>
          </w:tcPr>
          <w:p w14:paraId="29F97EE0" w14:textId="71D8AC69" w:rsidR="001D5FF9" w:rsidRPr="00CB718A" w:rsidRDefault="00494564" w:rsidP="00CB718A">
            <w:pPr>
              <w:jc w:val="center"/>
              <w:rPr>
                <w:rFonts w:ascii="Arial" w:hAnsi="Arial" w:cs="Arial"/>
                <w:sz w:val="20"/>
                <w:szCs w:val="20"/>
              </w:rPr>
            </w:pPr>
            <w:r w:rsidRPr="00CB718A">
              <w:rPr>
                <w:rFonts w:ascii="Arial" w:hAnsi="Arial" w:cs="Arial"/>
                <w:sz w:val="20"/>
                <w:szCs w:val="20"/>
              </w:rPr>
              <w:t>0.23</w:t>
            </w:r>
          </w:p>
        </w:tc>
      </w:tr>
      <w:tr w:rsidR="00494564" w14:paraId="632F31AD" w14:textId="77777777" w:rsidTr="00CB718A">
        <w:trPr>
          <w:jc w:val="center"/>
        </w:trPr>
        <w:tc>
          <w:tcPr>
            <w:tcW w:w="4675" w:type="dxa"/>
            <w:tcBorders>
              <w:top w:val="nil"/>
              <w:left w:val="nil"/>
              <w:bottom w:val="nil"/>
              <w:right w:val="nil"/>
            </w:tcBorders>
          </w:tcPr>
          <w:p w14:paraId="02DE54C9" w14:textId="42B63DD3" w:rsidR="00494564" w:rsidRPr="00CB718A" w:rsidRDefault="00494564" w:rsidP="00CB718A">
            <w:pPr>
              <w:jc w:val="center"/>
              <w:rPr>
                <w:rFonts w:ascii="Arial" w:hAnsi="Arial" w:cs="Arial"/>
                <w:sz w:val="20"/>
                <w:szCs w:val="20"/>
              </w:rPr>
            </w:pPr>
            <w:r w:rsidRPr="00CB718A">
              <w:rPr>
                <w:rFonts w:ascii="Arial" w:hAnsi="Arial" w:cs="Arial"/>
                <w:sz w:val="20"/>
                <w:szCs w:val="20"/>
              </w:rPr>
              <w:t xml:space="preserve">Reservoir Permeability </w:t>
            </w:r>
            <w:proofErr w:type="spellStart"/>
            <w:r w:rsidRPr="00CB718A">
              <w:rPr>
                <w:rFonts w:ascii="Arial" w:hAnsi="Arial" w:cs="Arial"/>
                <w:sz w:val="20"/>
                <w:szCs w:val="20"/>
              </w:rPr>
              <w:t>mD</w:t>
            </w:r>
            <w:proofErr w:type="spellEnd"/>
          </w:p>
        </w:tc>
        <w:tc>
          <w:tcPr>
            <w:tcW w:w="4675" w:type="dxa"/>
            <w:tcBorders>
              <w:top w:val="nil"/>
              <w:left w:val="nil"/>
              <w:bottom w:val="nil"/>
              <w:right w:val="nil"/>
            </w:tcBorders>
          </w:tcPr>
          <w:p w14:paraId="26674783" w14:textId="3B97C3EB" w:rsidR="00494564" w:rsidRPr="00CB718A" w:rsidRDefault="00494564" w:rsidP="00CB718A">
            <w:pPr>
              <w:jc w:val="center"/>
              <w:rPr>
                <w:rFonts w:ascii="Arial" w:hAnsi="Arial" w:cs="Arial"/>
                <w:sz w:val="20"/>
                <w:szCs w:val="20"/>
              </w:rPr>
            </w:pPr>
            <w:r w:rsidRPr="00CB718A">
              <w:rPr>
                <w:rFonts w:ascii="Arial" w:hAnsi="Arial" w:cs="Arial"/>
                <w:sz w:val="20"/>
                <w:szCs w:val="20"/>
              </w:rPr>
              <w:t>896</w:t>
            </w:r>
          </w:p>
        </w:tc>
      </w:tr>
      <w:tr w:rsidR="00494564" w14:paraId="56F15B6C" w14:textId="77777777" w:rsidTr="00CB718A">
        <w:trPr>
          <w:jc w:val="center"/>
        </w:trPr>
        <w:tc>
          <w:tcPr>
            <w:tcW w:w="4675" w:type="dxa"/>
            <w:tcBorders>
              <w:top w:val="nil"/>
              <w:left w:val="nil"/>
              <w:bottom w:val="nil"/>
              <w:right w:val="nil"/>
            </w:tcBorders>
          </w:tcPr>
          <w:p w14:paraId="34F6A5BC" w14:textId="7C42B80E" w:rsidR="00494564" w:rsidRPr="00CB718A" w:rsidRDefault="00494564" w:rsidP="00CB718A">
            <w:pPr>
              <w:jc w:val="center"/>
              <w:rPr>
                <w:rFonts w:ascii="Arial" w:hAnsi="Arial" w:cs="Arial"/>
                <w:sz w:val="20"/>
                <w:szCs w:val="20"/>
              </w:rPr>
            </w:pPr>
            <w:r w:rsidRPr="00CB718A">
              <w:rPr>
                <w:rFonts w:ascii="Arial" w:hAnsi="Arial" w:cs="Arial"/>
                <w:sz w:val="20"/>
                <w:szCs w:val="20"/>
              </w:rPr>
              <w:t>Oil gravity API</w:t>
            </w:r>
          </w:p>
        </w:tc>
        <w:tc>
          <w:tcPr>
            <w:tcW w:w="4675" w:type="dxa"/>
            <w:tcBorders>
              <w:top w:val="nil"/>
              <w:left w:val="nil"/>
              <w:bottom w:val="nil"/>
              <w:right w:val="nil"/>
            </w:tcBorders>
          </w:tcPr>
          <w:p w14:paraId="7540EDD8" w14:textId="4805CFBC" w:rsidR="00494564" w:rsidRPr="00CB718A" w:rsidRDefault="00494564" w:rsidP="00CB718A">
            <w:pPr>
              <w:jc w:val="center"/>
              <w:rPr>
                <w:rFonts w:ascii="Arial" w:hAnsi="Arial" w:cs="Arial"/>
                <w:sz w:val="20"/>
                <w:szCs w:val="20"/>
              </w:rPr>
            </w:pPr>
            <w:r w:rsidRPr="00CB718A">
              <w:rPr>
                <w:rFonts w:ascii="Arial" w:hAnsi="Arial" w:cs="Arial"/>
                <w:sz w:val="20"/>
                <w:szCs w:val="20"/>
              </w:rPr>
              <w:t>25</w:t>
            </w:r>
          </w:p>
        </w:tc>
      </w:tr>
      <w:tr w:rsidR="00494564" w14:paraId="76E21784" w14:textId="77777777" w:rsidTr="00CB718A">
        <w:trPr>
          <w:jc w:val="center"/>
        </w:trPr>
        <w:tc>
          <w:tcPr>
            <w:tcW w:w="4675" w:type="dxa"/>
            <w:tcBorders>
              <w:top w:val="nil"/>
              <w:left w:val="nil"/>
              <w:bottom w:val="nil"/>
              <w:right w:val="nil"/>
            </w:tcBorders>
          </w:tcPr>
          <w:p w14:paraId="17CDE03B" w14:textId="04FA9957" w:rsidR="00494564" w:rsidRPr="00CB718A" w:rsidRDefault="00494564" w:rsidP="00CB718A">
            <w:pPr>
              <w:jc w:val="center"/>
              <w:rPr>
                <w:rFonts w:ascii="Arial" w:hAnsi="Arial" w:cs="Arial"/>
                <w:sz w:val="20"/>
                <w:szCs w:val="20"/>
              </w:rPr>
            </w:pPr>
            <w:r w:rsidRPr="00CB718A">
              <w:rPr>
                <w:rFonts w:ascii="Arial" w:hAnsi="Arial" w:cs="Arial"/>
                <w:sz w:val="20"/>
                <w:szCs w:val="20"/>
              </w:rPr>
              <w:t>Oil FVF Bo</w:t>
            </w:r>
          </w:p>
        </w:tc>
        <w:tc>
          <w:tcPr>
            <w:tcW w:w="4675" w:type="dxa"/>
            <w:tcBorders>
              <w:top w:val="nil"/>
              <w:left w:val="nil"/>
              <w:bottom w:val="nil"/>
              <w:right w:val="nil"/>
            </w:tcBorders>
          </w:tcPr>
          <w:p w14:paraId="50200163" w14:textId="3CD80734" w:rsidR="00494564" w:rsidRPr="00CB718A" w:rsidRDefault="00494564" w:rsidP="00CB718A">
            <w:pPr>
              <w:jc w:val="center"/>
              <w:rPr>
                <w:rFonts w:ascii="Arial" w:hAnsi="Arial" w:cs="Arial"/>
                <w:sz w:val="20"/>
                <w:szCs w:val="20"/>
              </w:rPr>
            </w:pPr>
            <w:r w:rsidRPr="00CB718A">
              <w:rPr>
                <w:rFonts w:ascii="Arial" w:hAnsi="Arial" w:cs="Arial"/>
                <w:sz w:val="20"/>
                <w:szCs w:val="20"/>
              </w:rPr>
              <w:t>1.15</w:t>
            </w:r>
          </w:p>
        </w:tc>
      </w:tr>
      <w:tr w:rsidR="00494564" w14:paraId="752A125C" w14:textId="77777777" w:rsidTr="00CB718A">
        <w:trPr>
          <w:jc w:val="center"/>
        </w:trPr>
        <w:tc>
          <w:tcPr>
            <w:tcW w:w="4675" w:type="dxa"/>
            <w:tcBorders>
              <w:top w:val="nil"/>
              <w:left w:val="nil"/>
              <w:bottom w:val="nil"/>
              <w:right w:val="nil"/>
            </w:tcBorders>
          </w:tcPr>
          <w:p w14:paraId="0ABB979E" w14:textId="7829374E" w:rsidR="00494564" w:rsidRPr="00CB718A" w:rsidRDefault="00494564" w:rsidP="00CB718A">
            <w:pPr>
              <w:jc w:val="center"/>
              <w:rPr>
                <w:rFonts w:ascii="Arial" w:hAnsi="Arial" w:cs="Arial"/>
                <w:sz w:val="20"/>
                <w:szCs w:val="20"/>
              </w:rPr>
            </w:pPr>
            <w:r w:rsidRPr="00CB718A">
              <w:rPr>
                <w:rFonts w:ascii="Arial" w:hAnsi="Arial" w:cs="Arial"/>
                <w:sz w:val="20"/>
                <w:szCs w:val="20"/>
              </w:rPr>
              <w:t xml:space="preserve">Oil viscosity </w:t>
            </w:r>
            <w:proofErr w:type="spellStart"/>
            <w:r w:rsidRPr="00CB718A">
              <w:rPr>
                <w:rFonts w:ascii="Arial" w:hAnsi="Arial" w:cs="Arial"/>
                <w:sz w:val="20"/>
                <w:szCs w:val="20"/>
              </w:rPr>
              <w:t>cP</w:t>
            </w:r>
            <w:proofErr w:type="spellEnd"/>
          </w:p>
        </w:tc>
        <w:tc>
          <w:tcPr>
            <w:tcW w:w="4675" w:type="dxa"/>
            <w:tcBorders>
              <w:top w:val="nil"/>
              <w:left w:val="nil"/>
              <w:bottom w:val="nil"/>
              <w:right w:val="nil"/>
            </w:tcBorders>
          </w:tcPr>
          <w:p w14:paraId="59B44E3B" w14:textId="204BFE19" w:rsidR="00494564" w:rsidRPr="00CB718A" w:rsidRDefault="00494564" w:rsidP="00CB718A">
            <w:pPr>
              <w:jc w:val="center"/>
              <w:rPr>
                <w:rFonts w:ascii="Arial" w:hAnsi="Arial" w:cs="Arial"/>
                <w:sz w:val="20"/>
                <w:szCs w:val="20"/>
              </w:rPr>
            </w:pPr>
            <w:r w:rsidRPr="00CB718A">
              <w:rPr>
                <w:rFonts w:ascii="Arial" w:hAnsi="Arial" w:cs="Arial"/>
                <w:sz w:val="20"/>
                <w:szCs w:val="20"/>
              </w:rPr>
              <w:t>1.2</w:t>
            </w:r>
          </w:p>
        </w:tc>
      </w:tr>
      <w:tr w:rsidR="00494564" w14:paraId="366541D0" w14:textId="77777777" w:rsidTr="00A3483A">
        <w:trPr>
          <w:jc w:val="center"/>
        </w:trPr>
        <w:tc>
          <w:tcPr>
            <w:tcW w:w="4675" w:type="dxa"/>
            <w:tcBorders>
              <w:top w:val="nil"/>
              <w:left w:val="nil"/>
              <w:bottom w:val="nil"/>
              <w:right w:val="nil"/>
            </w:tcBorders>
          </w:tcPr>
          <w:p w14:paraId="1C2E6AAE" w14:textId="40F8DB98" w:rsidR="00494564" w:rsidRPr="00CB718A" w:rsidRDefault="00494564" w:rsidP="00CB718A">
            <w:pPr>
              <w:jc w:val="center"/>
              <w:rPr>
                <w:rFonts w:ascii="Arial" w:hAnsi="Arial" w:cs="Arial"/>
                <w:sz w:val="20"/>
                <w:szCs w:val="20"/>
              </w:rPr>
            </w:pPr>
            <w:proofErr w:type="spellStart"/>
            <w:r w:rsidRPr="00CB718A">
              <w:rPr>
                <w:rFonts w:ascii="Arial" w:hAnsi="Arial" w:cs="Arial"/>
                <w:sz w:val="20"/>
                <w:szCs w:val="20"/>
              </w:rPr>
              <w:t>Inj</w:t>
            </w:r>
            <w:proofErr w:type="spellEnd"/>
            <w:r w:rsidRPr="00CB718A">
              <w:rPr>
                <w:rFonts w:ascii="Arial" w:hAnsi="Arial" w:cs="Arial"/>
                <w:sz w:val="20"/>
                <w:szCs w:val="20"/>
              </w:rPr>
              <w:t xml:space="preserve"> gas specific gravity</w:t>
            </w:r>
          </w:p>
        </w:tc>
        <w:tc>
          <w:tcPr>
            <w:tcW w:w="4675" w:type="dxa"/>
            <w:tcBorders>
              <w:top w:val="nil"/>
              <w:left w:val="nil"/>
              <w:bottom w:val="nil"/>
              <w:right w:val="nil"/>
            </w:tcBorders>
          </w:tcPr>
          <w:p w14:paraId="3BBF5679" w14:textId="6205EF79" w:rsidR="00494564" w:rsidRPr="00CB718A" w:rsidRDefault="00494564" w:rsidP="00CB718A">
            <w:pPr>
              <w:jc w:val="center"/>
              <w:rPr>
                <w:rFonts w:ascii="Arial" w:hAnsi="Arial" w:cs="Arial"/>
                <w:sz w:val="20"/>
                <w:szCs w:val="20"/>
              </w:rPr>
            </w:pPr>
            <w:r w:rsidRPr="00CB718A">
              <w:rPr>
                <w:rFonts w:ascii="Arial" w:hAnsi="Arial" w:cs="Arial"/>
                <w:sz w:val="20"/>
                <w:szCs w:val="20"/>
              </w:rPr>
              <w:t>0.7</w:t>
            </w:r>
          </w:p>
        </w:tc>
      </w:tr>
      <w:tr w:rsidR="00A3483A" w14:paraId="218032E8" w14:textId="77777777" w:rsidTr="00A3483A">
        <w:trPr>
          <w:jc w:val="center"/>
        </w:trPr>
        <w:tc>
          <w:tcPr>
            <w:tcW w:w="4675" w:type="dxa"/>
            <w:tcBorders>
              <w:top w:val="nil"/>
              <w:left w:val="nil"/>
              <w:bottom w:val="nil"/>
              <w:right w:val="nil"/>
            </w:tcBorders>
          </w:tcPr>
          <w:p w14:paraId="2781250F" w14:textId="3B632102" w:rsidR="00A3483A" w:rsidRPr="00CB718A" w:rsidRDefault="00A3483A" w:rsidP="00A3483A">
            <w:pPr>
              <w:jc w:val="center"/>
              <w:rPr>
                <w:rFonts w:ascii="Arial" w:hAnsi="Arial" w:cs="Arial"/>
                <w:sz w:val="20"/>
                <w:szCs w:val="20"/>
              </w:rPr>
            </w:pPr>
            <w:r w:rsidRPr="00CB718A">
              <w:rPr>
                <w:rFonts w:ascii="Arial" w:hAnsi="Arial" w:cs="Arial"/>
                <w:b/>
                <w:bCs/>
                <w:sz w:val="20"/>
                <w:szCs w:val="20"/>
              </w:rPr>
              <w:t>Post - Foam assisted</w:t>
            </w:r>
          </w:p>
        </w:tc>
        <w:tc>
          <w:tcPr>
            <w:tcW w:w="4675" w:type="dxa"/>
            <w:tcBorders>
              <w:top w:val="nil"/>
              <w:left w:val="nil"/>
              <w:bottom w:val="nil"/>
              <w:right w:val="nil"/>
            </w:tcBorders>
          </w:tcPr>
          <w:p w14:paraId="207772EA" w14:textId="64F6206B" w:rsidR="00A3483A" w:rsidRPr="00CB718A" w:rsidRDefault="00A3483A" w:rsidP="00A3483A">
            <w:pPr>
              <w:jc w:val="center"/>
              <w:rPr>
                <w:rFonts w:ascii="Arial" w:hAnsi="Arial" w:cs="Arial"/>
                <w:sz w:val="20"/>
                <w:szCs w:val="20"/>
              </w:rPr>
            </w:pPr>
            <w:r w:rsidRPr="00A3483A">
              <w:rPr>
                <w:rFonts w:ascii="Arial" w:hAnsi="Arial" w:cs="Arial"/>
                <w:b/>
                <w:bCs/>
                <w:sz w:val="20"/>
                <w:szCs w:val="20"/>
              </w:rPr>
              <w:t>Results</w:t>
            </w:r>
          </w:p>
        </w:tc>
      </w:tr>
      <w:tr w:rsidR="00A3483A" w14:paraId="47037948" w14:textId="77777777" w:rsidTr="00A3483A">
        <w:trPr>
          <w:jc w:val="center"/>
        </w:trPr>
        <w:tc>
          <w:tcPr>
            <w:tcW w:w="4675" w:type="dxa"/>
            <w:tcBorders>
              <w:top w:val="nil"/>
              <w:left w:val="nil"/>
              <w:bottom w:val="nil"/>
              <w:right w:val="nil"/>
            </w:tcBorders>
          </w:tcPr>
          <w:p w14:paraId="04C97FFD" w14:textId="514688C7" w:rsidR="00A3483A" w:rsidRPr="00CB718A" w:rsidRDefault="00A3483A" w:rsidP="00A3483A">
            <w:pPr>
              <w:jc w:val="center"/>
              <w:rPr>
                <w:rFonts w:ascii="Arial" w:hAnsi="Arial" w:cs="Arial"/>
                <w:sz w:val="20"/>
                <w:szCs w:val="20"/>
              </w:rPr>
            </w:pPr>
            <w:r w:rsidRPr="00CB718A">
              <w:rPr>
                <w:rFonts w:ascii="Arial" w:hAnsi="Arial" w:cs="Arial"/>
                <w:sz w:val="20"/>
                <w:szCs w:val="20"/>
              </w:rPr>
              <w:t>Foam dosage (l/d)</w:t>
            </w:r>
          </w:p>
        </w:tc>
        <w:tc>
          <w:tcPr>
            <w:tcW w:w="4675" w:type="dxa"/>
            <w:tcBorders>
              <w:top w:val="nil"/>
              <w:left w:val="nil"/>
              <w:bottom w:val="nil"/>
              <w:right w:val="nil"/>
            </w:tcBorders>
          </w:tcPr>
          <w:p w14:paraId="413FC8B4" w14:textId="19FA2751" w:rsidR="00A3483A" w:rsidRPr="00CB718A" w:rsidRDefault="00A3483A" w:rsidP="00A3483A">
            <w:pPr>
              <w:jc w:val="center"/>
              <w:rPr>
                <w:rFonts w:ascii="Arial" w:hAnsi="Arial" w:cs="Arial"/>
                <w:sz w:val="20"/>
                <w:szCs w:val="20"/>
              </w:rPr>
            </w:pPr>
            <w:r w:rsidRPr="00CB718A">
              <w:rPr>
                <w:rFonts w:ascii="Arial" w:hAnsi="Arial" w:cs="Arial"/>
                <w:sz w:val="20"/>
                <w:szCs w:val="20"/>
              </w:rPr>
              <w:t>805</w:t>
            </w:r>
          </w:p>
        </w:tc>
      </w:tr>
      <w:tr w:rsidR="00A3483A" w14:paraId="7B11FD18" w14:textId="77777777" w:rsidTr="00A3483A">
        <w:trPr>
          <w:jc w:val="center"/>
        </w:trPr>
        <w:tc>
          <w:tcPr>
            <w:tcW w:w="4675" w:type="dxa"/>
            <w:tcBorders>
              <w:top w:val="nil"/>
              <w:left w:val="nil"/>
              <w:bottom w:val="nil"/>
              <w:right w:val="nil"/>
            </w:tcBorders>
          </w:tcPr>
          <w:p w14:paraId="7165968E" w14:textId="2CC30CEB" w:rsidR="00A3483A" w:rsidRPr="00CB718A" w:rsidRDefault="00A3483A" w:rsidP="00A3483A">
            <w:pPr>
              <w:jc w:val="center"/>
              <w:rPr>
                <w:rFonts w:ascii="Arial" w:hAnsi="Arial" w:cs="Arial"/>
                <w:sz w:val="20"/>
                <w:szCs w:val="20"/>
              </w:rPr>
            </w:pPr>
            <w:r w:rsidRPr="00CB718A">
              <w:rPr>
                <w:rFonts w:ascii="Arial" w:hAnsi="Arial" w:cs="Arial"/>
                <w:sz w:val="20"/>
                <w:szCs w:val="20"/>
              </w:rPr>
              <w:t>Foam dosage (ppm)</w:t>
            </w:r>
          </w:p>
        </w:tc>
        <w:tc>
          <w:tcPr>
            <w:tcW w:w="4675" w:type="dxa"/>
            <w:tcBorders>
              <w:top w:val="nil"/>
              <w:left w:val="nil"/>
              <w:bottom w:val="nil"/>
              <w:right w:val="nil"/>
            </w:tcBorders>
          </w:tcPr>
          <w:p w14:paraId="614DA724" w14:textId="51D35994" w:rsidR="00A3483A" w:rsidRPr="00CB718A" w:rsidRDefault="00A3483A" w:rsidP="00A3483A">
            <w:pPr>
              <w:jc w:val="center"/>
              <w:rPr>
                <w:rFonts w:ascii="Arial" w:hAnsi="Arial" w:cs="Arial"/>
                <w:sz w:val="20"/>
                <w:szCs w:val="20"/>
              </w:rPr>
            </w:pPr>
            <w:r w:rsidRPr="00CB718A">
              <w:rPr>
                <w:rFonts w:ascii="Arial" w:hAnsi="Arial" w:cs="Arial"/>
                <w:sz w:val="20"/>
                <w:szCs w:val="20"/>
              </w:rPr>
              <w:t>2000</w:t>
            </w:r>
          </w:p>
        </w:tc>
      </w:tr>
      <w:tr w:rsidR="00A3483A" w14:paraId="789609E8" w14:textId="77777777" w:rsidTr="00A3483A">
        <w:trPr>
          <w:jc w:val="center"/>
        </w:trPr>
        <w:tc>
          <w:tcPr>
            <w:tcW w:w="4675" w:type="dxa"/>
            <w:tcBorders>
              <w:top w:val="nil"/>
              <w:left w:val="nil"/>
              <w:bottom w:val="nil"/>
              <w:right w:val="nil"/>
            </w:tcBorders>
          </w:tcPr>
          <w:p w14:paraId="594D58EA" w14:textId="3420642C" w:rsidR="00A3483A" w:rsidRPr="00CB718A" w:rsidRDefault="00A3483A" w:rsidP="00A3483A">
            <w:pPr>
              <w:jc w:val="center"/>
              <w:rPr>
                <w:rFonts w:ascii="Arial" w:hAnsi="Arial" w:cs="Arial"/>
                <w:sz w:val="20"/>
                <w:szCs w:val="20"/>
              </w:rPr>
            </w:pPr>
            <w:r w:rsidRPr="00CB718A">
              <w:rPr>
                <w:rFonts w:ascii="Arial" w:hAnsi="Arial" w:cs="Arial"/>
                <w:sz w:val="20"/>
                <w:szCs w:val="20"/>
              </w:rPr>
              <w:t>BS&amp;W</w:t>
            </w:r>
          </w:p>
        </w:tc>
        <w:tc>
          <w:tcPr>
            <w:tcW w:w="4675" w:type="dxa"/>
            <w:tcBorders>
              <w:top w:val="nil"/>
              <w:left w:val="nil"/>
              <w:bottom w:val="nil"/>
              <w:right w:val="nil"/>
            </w:tcBorders>
          </w:tcPr>
          <w:p w14:paraId="0758E6AC" w14:textId="59AFCAEB" w:rsidR="00A3483A" w:rsidRPr="00CB718A" w:rsidRDefault="00A3483A" w:rsidP="00A3483A">
            <w:pPr>
              <w:jc w:val="center"/>
              <w:rPr>
                <w:rFonts w:ascii="Arial" w:hAnsi="Arial" w:cs="Arial"/>
                <w:sz w:val="20"/>
                <w:szCs w:val="20"/>
              </w:rPr>
            </w:pPr>
            <w:r w:rsidRPr="00CB718A">
              <w:rPr>
                <w:rFonts w:ascii="Arial" w:hAnsi="Arial" w:cs="Arial"/>
                <w:sz w:val="20"/>
                <w:szCs w:val="20"/>
              </w:rPr>
              <w:t>67%</w:t>
            </w:r>
          </w:p>
        </w:tc>
      </w:tr>
      <w:tr w:rsidR="00A3483A" w14:paraId="67B0C750" w14:textId="77777777" w:rsidTr="00A3483A">
        <w:trPr>
          <w:jc w:val="center"/>
        </w:trPr>
        <w:tc>
          <w:tcPr>
            <w:tcW w:w="4675" w:type="dxa"/>
            <w:tcBorders>
              <w:top w:val="nil"/>
              <w:left w:val="nil"/>
              <w:bottom w:val="nil"/>
              <w:right w:val="nil"/>
            </w:tcBorders>
          </w:tcPr>
          <w:p w14:paraId="54D5B8AD" w14:textId="48087888" w:rsidR="00A3483A" w:rsidRPr="00CB718A" w:rsidRDefault="00A3483A" w:rsidP="00A3483A">
            <w:pPr>
              <w:jc w:val="center"/>
              <w:rPr>
                <w:rFonts w:ascii="Arial" w:hAnsi="Arial" w:cs="Arial"/>
                <w:sz w:val="20"/>
                <w:szCs w:val="20"/>
              </w:rPr>
            </w:pPr>
            <w:r w:rsidRPr="00CB718A">
              <w:rPr>
                <w:rFonts w:ascii="Arial" w:hAnsi="Arial" w:cs="Arial"/>
                <w:sz w:val="20"/>
                <w:szCs w:val="20"/>
              </w:rPr>
              <w:t>Net Oil (</w:t>
            </w:r>
            <w:proofErr w:type="spellStart"/>
            <w:r w:rsidRPr="00CB718A">
              <w:rPr>
                <w:rFonts w:ascii="Arial" w:hAnsi="Arial" w:cs="Arial"/>
                <w:sz w:val="20"/>
                <w:szCs w:val="20"/>
              </w:rPr>
              <w:t>bopd</w:t>
            </w:r>
            <w:proofErr w:type="spellEnd"/>
            <w:r w:rsidRPr="00CB718A">
              <w:rPr>
                <w:rFonts w:ascii="Arial" w:hAnsi="Arial" w:cs="Arial"/>
                <w:sz w:val="20"/>
                <w:szCs w:val="20"/>
              </w:rPr>
              <w:t>)</w:t>
            </w:r>
          </w:p>
        </w:tc>
        <w:tc>
          <w:tcPr>
            <w:tcW w:w="4675" w:type="dxa"/>
            <w:tcBorders>
              <w:top w:val="nil"/>
              <w:left w:val="nil"/>
              <w:bottom w:val="nil"/>
              <w:right w:val="nil"/>
            </w:tcBorders>
          </w:tcPr>
          <w:p w14:paraId="261AA821" w14:textId="0804C71C" w:rsidR="00A3483A" w:rsidRPr="00CB718A" w:rsidRDefault="00A3483A" w:rsidP="00A3483A">
            <w:pPr>
              <w:jc w:val="center"/>
              <w:rPr>
                <w:rFonts w:ascii="Arial" w:hAnsi="Arial" w:cs="Arial"/>
                <w:sz w:val="20"/>
                <w:szCs w:val="20"/>
              </w:rPr>
            </w:pPr>
            <w:r w:rsidRPr="00CB718A">
              <w:rPr>
                <w:rFonts w:ascii="Arial" w:hAnsi="Arial" w:cs="Arial"/>
                <w:sz w:val="20"/>
                <w:szCs w:val="20"/>
              </w:rPr>
              <w:t>815</w:t>
            </w:r>
          </w:p>
        </w:tc>
      </w:tr>
      <w:tr w:rsidR="00A3483A" w14:paraId="4B021AE5" w14:textId="77777777" w:rsidTr="00CB718A">
        <w:trPr>
          <w:jc w:val="center"/>
        </w:trPr>
        <w:tc>
          <w:tcPr>
            <w:tcW w:w="4675" w:type="dxa"/>
            <w:tcBorders>
              <w:top w:val="nil"/>
              <w:left w:val="nil"/>
              <w:right w:val="nil"/>
            </w:tcBorders>
          </w:tcPr>
          <w:p w14:paraId="6312ACE1" w14:textId="3A573E83" w:rsidR="00A3483A" w:rsidRPr="00CB718A" w:rsidRDefault="00A3483A" w:rsidP="00A3483A">
            <w:pPr>
              <w:jc w:val="center"/>
              <w:rPr>
                <w:rFonts w:ascii="Arial" w:hAnsi="Arial" w:cs="Arial"/>
                <w:sz w:val="20"/>
                <w:szCs w:val="20"/>
              </w:rPr>
            </w:pPr>
            <w:r w:rsidRPr="00CB718A">
              <w:rPr>
                <w:rFonts w:ascii="Arial" w:hAnsi="Arial" w:cs="Arial"/>
                <w:sz w:val="20"/>
                <w:szCs w:val="20"/>
              </w:rPr>
              <w:t>Gross rate (b/d)</w:t>
            </w:r>
          </w:p>
        </w:tc>
        <w:tc>
          <w:tcPr>
            <w:tcW w:w="4675" w:type="dxa"/>
            <w:tcBorders>
              <w:top w:val="nil"/>
              <w:left w:val="nil"/>
              <w:right w:val="nil"/>
            </w:tcBorders>
          </w:tcPr>
          <w:p w14:paraId="5E7F0C27" w14:textId="4005EA0D" w:rsidR="00A3483A" w:rsidRPr="00CB718A" w:rsidRDefault="00A3483A" w:rsidP="00A3483A">
            <w:pPr>
              <w:jc w:val="center"/>
              <w:rPr>
                <w:rFonts w:ascii="Arial" w:hAnsi="Arial" w:cs="Arial"/>
                <w:sz w:val="20"/>
                <w:szCs w:val="20"/>
              </w:rPr>
            </w:pPr>
            <w:r w:rsidRPr="00CB718A">
              <w:rPr>
                <w:rFonts w:ascii="Arial" w:hAnsi="Arial" w:cs="Arial"/>
                <w:sz w:val="20"/>
                <w:szCs w:val="20"/>
              </w:rPr>
              <w:t>2528</w:t>
            </w:r>
          </w:p>
        </w:tc>
      </w:tr>
    </w:tbl>
    <w:p w14:paraId="6CECFE9F" w14:textId="77777777" w:rsidR="001923EB" w:rsidRDefault="001923EB"/>
    <w:p w14:paraId="6F1EE33C" w14:textId="77777777" w:rsidR="001923EB" w:rsidRDefault="001923EB"/>
    <w:p w14:paraId="1AB8AAD3" w14:textId="77777777" w:rsidR="001923EB" w:rsidRDefault="001923EB"/>
    <w:p w14:paraId="3410B096" w14:textId="77777777" w:rsidR="001923EB" w:rsidRDefault="001923EB"/>
    <w:p w14:paraId="34FECA41" w14:textId="77777777" w:rsidR="001923EB" w:rsidRDefault="001923EB"/>
    <w:p w14:paraId="39BDAAE2" w14:textId="77777777" w:rsidR="001923EB" w:rsidRDefault="001923EB"/>
    <w:p w14:paraId="1B10B7A0" w14:textId="77777777" w:rsidR="001923EB" w:rsidRDefault="001923EB"/>
    <w:p w14:paraId="09F4E6E5" w14:textId="77777777" w:rsidR="001923EB" w:rsidRDefault="001923EB"/>
    <w:p w14:paraId="313F60E5" w14:textId="77777777" w:rsidR="001923EB" w:rsidRDefault="001923EB"/>
    <w:p w14:paraId="0E29DB1E" w14:textId="77777777" w:rsidR="001923EB" w:rsidRDefault="001923EB"/>
    <w:p w14:paraId="4C401431" w14:textId="77777777" w:rsidR="00C5741D" w:rsidRDefault="00C5741D">
      <w:pPr>
        <w:sectPr w:rsidR="00C5741D" w:rsidSect="009C5D13">
          <w:headerReference w:type="even" r:id="rId14"/>
          <w:headerReference w:type="default" r:id="rId15"/>
          <w:footerReference w:type="even" r:id="rId16"/>
          <w:footerReference w:type="default" r:id="rId17"/>
          <w:headerReference w:type="first" r:id="rId18"/>
          <w:footerReference w:type="first" r:id="rId19"/>
          <w:pgSz w:w="12240" w:h="15840"/>
          <w:pgMar w:top="993" w:right="1440" w:bottom="1440" w:left="1440" w:header="708" w:footer="708" w:gutter="0"/>
          <w:cols w:space="708"/>
          <w:docGrid w:linePitch="360"/>
        </w:sectPr>
      </w:pPr>
    </w:p>
    <w:p w14:paraId="08BD10BB" w14:textId="07D21450" w:rsidR="00C5741D" w:rsidRPr="00B132A4" w:rsidRDefault="00C5741D" w:rsidP="00EF376D">
      <w:pPr>
        <w:jc w:val="center"/>
        <w:rPr>
          <w:rFonts w:ascii="Arial" w:hAnsi="Arial" w:cs="Arial"/>
          <w:b/>
          <w:bCs/>
          <w:sz w:val="20"/>
          <w:szCs w:val="20"/>
        </w:rPr>
      </w:pPr>
      <w:r w:rsidRPr="00B132A4">
        <w:rPr>
          <w:rFonts w:ascii="Arial" w:hAnsi="Arial" w:cs="Arial"/>
          <w:b/>
          <w:bCs/>
          <w:sz w:val="20"/>
          <w:szCs w:val="20"/>
        </w:rPr>
        <w:lastRenderedPageBreak/>
        <w:t xml:space="preserve">Table </w:t>
      </w:r>
      <w:r w:rsidR="004923E7" w:rsidRPr="00B132A4">
        <w:rPr>
          <w:rFonts w:ascii="Arial" w:hAnsi="Arial" w:cs="Arial"/>
          <w:b/>
          <w:bCs/>
          <w:sz w:val="20"/>
          <w:szCs w:val="20"/>
        </w:rPr>
        <w:t>2</w:t>
      </w:r>
      <w:r w:rsidRPr="00B132A4">
        <w:rPr>
          <w:rFonts w:ascii="Arial" w:hAnsi="Arial" w:cs="Arial"/>
          <w:b/>
          <w:bCs/>
          <w:sz w:val="20"/>
          <w:szCs w:val="20"/>
        </w:rPr>
        <w:t xml:space="preserve">: Summary of </w:t>
      </w:r>
      <w:r w:rsidR="00C46667" w:rsidRPr="00B132A4">
        <w:rPr>
          <w:rFonts w:ascii="Arial" w:hAnsi="Arial" w:cs="Arial"/>
          <w:b/>
          <w:bCs/>
          <w:sz w:val="20"/>
          <w:szCs w:val="20"/>
        </w:rPr>
        <w:t xml:space="preserve">information </w:t>
      </w:r>
      <w:r w:rsidRPr="00B132A4">
        <w:rPr>
          <w:rFonts w:ascii="Arial" w:hAnsi="Arial" w:cs="Arial"/>
          <w:b/>
          <w:bCs/>
          <w:sz w:val="20"/>
          <w:szCs w:val="20"/>
        </w:rPr>
        <w:t xml:space="preserve">economic </w:t>
      </w:r>
      <w:r w:rsidR="00EF376D" w:rsidRPr="00B132A4">
        <w:rPr>
          <w:rFonts w:ascii="Arial" w:hAnsi="Arial" w:cs="Arial"/>
          <w:b/>
          <w:bCs/>
          <w:sz w:val="20"/>
          <w:szCs w:val="20"/>
        </w:rPr>
        <w:t xml:space="preserve">variables and values, </w:t>
      </w:r>
      <w:r w:rsidRPr="00B132A4">
        <w:rPr>
          <w:rFonts w:ascii="Arial" w:hAnsi="Arial" w:cs="Arial"/>
          <w:b/>
          <w:bCs/>
          <w:sz w:val="20"/>
          <w:szCs w:val="20"/>
        </w:rPr>
        <w:t>assumptions</w:t>
      </w:r>
      <w:r w:rsidR="00EF376D" w:rsidRPr="00B132A4">
        <w:rPr>
          <w:rFonts w:ascii="Arial" w:hAnsi="Arial" w:cs="Arial"/>
          <w:b/>
          <w:bCs/>
          <w:sz w:val="20"/>
          <w:szCs w:val="20"/>
        </w:rPr>
        <w:t xml:space="preserve"> and </w:t>
      </w:r>
      <w:r w:rsidR="00C46667" w:rsidRPr="00B132A4">
        <w:rPr>
          <w:rFonts w:ascii="Arial" w:hAnsi="Arial" w:cs="Arial"/>
          <w:b/>
          <w:bCs/>
          <w:sz w:val="20"/>
          <w:szCs w:val="20"/>
        </w:rPr>
        <w:t>sources</w:t>
      </w:r>
    </w:p>
    <w:tbl>
      <w:tblPr>
        <w:tblStyle w:val="ListTable2-Accent5"/>
        <w:tblW w:w="12960" w:type="dxa"/>
        <w:tblLayout w:type="fixed"/>
        <w:tblLook w:val="04A0" w:firstRow="1" w:lastRow="0" w:firstColumn="1" w:lastColumn="0" w:noHBand="0" w:noVBand="1"/>
      </w:tblPr>
      <w:tblGrid>
        <w:gridCol w:w="1795"/>
        <w:gridCol w:w="1404"/>
        <w:gridCol w:w="1238"/>
        <w:gridCol w:w="1306"/>
        <w:gridCol w:w="1237"/>
        <w:gridCol w:w="1237"/>
        <w:gridCol w:w="1237"/>
        <w:gridCol w:w="3506"/>
      </w:tblGrid>
      <w:tr w:rsidR="0096272A" w:rsidRPr="00D95A5D" w14:paraId="666A9DB8" w14:textId="77777777" w:rsidTr="0028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CFFA00B" w14:textId="77777777" w:rsidR="0096272A" w:rsidRPr="002832C3" w:rsidRDefault="0096272A" w:rsidP="00547D4C">
            <w:pPr>
              <w:jc w:val="center"/>
              <w:rPr>
                <w:rFonts w:ascii="Arial" w:hAnsi="Arial" w:cs="Arial"/>
                <w:sz w:val="20"/>
                <w:szCs w:val="20"/>
              </w:rPr>
            </w:pPr>
            <w:r w:rsidRPr="002832C3">
              <w:rPr>
                <w:rFonts w:ascii="Arial" w:hAnsi="Arial" w:cs="Arial"/>
                <w:sz w:val="20"/>
                <w:szCs w:val="20"/>
              </w:rPr>
              <w:t>Variables</w:t>
            </w:r>
          </w:p>
        </w:tc>
        <w:tc>
          <w:tcPr>
            <w:tcW w:w="7659" w:type="dxa"/>
            <w:gridSpan w:val="6"/>
          </w:tcPr>
          <w:p w14:paraId="35AB939F" w14:textId="77777777" w:rsidR="0096272A" w:rsidRPr="002832C3" w:rsidRDefault="0096272A" w:rsidP="00547D4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832C3">
              <w:rPr>
                <w:rFonts w:ascii="Arial" w:hAnsi="Arial" w:cs="Arial"/>
                <w:sz w:val="20"/>
                <w:szCs w:val="20"/>
              </w:rPr>
              <w:t>Values</w:t>
            </w:r>
          </w:p>
        </w:tc>
        <w:tc>
          <w:tcPr>
            <w:tcW w:w="3506" w:type="dxa"/>
          </w:tcPr>
          <w:p w14:paraId="124B1B7F" w14:textId="77777777" w:rsidR="0096272A" w:rsidRPr="002832C3" w:rsidRDefault="0096272A" w:rsidP="00547D4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832C3">
              <w:rPr>
                <w:rFonts w:ascii="Arial" w:hAnsi="Arial" w:cs="Arial"/>
                <w:sz w:val="20"/>
                <w:szCs w:val="20"/>
              </w:rPr>
              <w:t>Source/comments</w:t>
            </w:r>
          </w:p>
        </w:tc>
      </w:tr>
      <w:tr w:rsidR="0096272A" w:rsidRPr="00D95A5D" w14:paraId="1D5C39A6" w14:textId="77777777" w:rsidTr="002832C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95" w:type="dxa"/>
          </w:tcPr>
          <w:p w14:paraId="233179BB" w14:textId="77777777" w:rsidR="0096272A" w:rsidRPr="009E3896" w:rsidRDefault="0096272A" w:rsidP="00547D4C">
            <w:pPr>
              <w:jc w:val="center"/>
              <w:rPr>
                <w:rFonts w:ascii="Arial" w:hAnsi="Arial" w:cs="Arial"/>
                <w:sz w:val="20"/>
                <w:szCs w:val="20"/>
              </w:rPr>
            </w:pPr>
          </w:p>
        </w:tc>
        <w:tc>
          <w:tcPr>
            <w:tcW w:w="3948" w:type="dxa"/>
            <w:gridSpan w:val="3"/>
          </w:tcPr>
          <w:p w14:paraId="3C17C543" w14:textId="77777777" w:rsidR="0096272A" w:rsidRPr="008B114C"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114C">
              <w:rPr>
                <w:rFonts w:ascii="Arial" w:hAnsi="Arial" w:cs="Arial"/>
                <w:b/>
                <w:bCs/>
                <w:sz w:val="20"/>
                <w:szCs w:val="20"/>
              </w:rPr>
              <w:t>Base Case</w:t>
            </w:r>
          </w:p>
        </w:tc>
        <w:tc>
          <w:tcPr>
            <w:tcW w:w="3711" w:type="dxa"/>
            <w:gridSpan w:val="3"/>
          </w:tcPr>
          <w:p w14:paraId="76F77C5E" w14:textId="77777777" w:rsidR="0096272A" w:rsidRPr="008B114C"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114C">
              <w:rPr>
                <w:rFonts w:ascii="Arial" w:hAnsi="Arial" w:cs="Arial"/>
                <w:b/>
                <w:bCs/>
                <w:sz w:val="20"/>
                <w:szCs w:val="20"/>
              </w:rPr>
              <w:t>Case 1</w:t>
            </w:r>
          </w:p>
        </w:tc>
        <w:tc>
          <w:tcPr>
            <w:tcW w:w="3506" w:type="dxa"/>
          </w:tcPr>
          <w:p w14:paraId="0F6B2AF9" w14:textId="77777777" w:rsidR="0096272A"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272A" w:rsidRPr="00D95A5D" w14:paraId="5AE7D2E3" w14:textId="77777777" w:rsidTr="002832C3">
        <w:trPr>
          <w:trHeight w:hRule="exact" w:val="454"/>
        </w:trPr>
        <w:tc>
          <w:tcPr>
            <w:cnfStyle w:val="001000000000" w:firstRow="0" w:lastRow="0" w:firstColumn="1" w:lastColumn="0" w:oddVBand="0" w:evenVBand="0" w:oddHBand="0" w:evenHBand="0" w:firstRowFirstColumn="0" w:firstRowLastColumn="0" w:lastRowFirstColumn="0" w:lastRowLastColumn="0"/>
            <w:tcW w:w="1795" w:type="dxa"/>
          </w:tcPr>
          <w:p w14:paraId="761C48B4"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Gas Injection Rate (</w:t>
            </w:r>
            <w:proofErr w:type="spellStart"/>
            <w:r w:rsidRPr="009E3896">
              <w:rPr>
                <w:rFonts w:ascii="Arial" w:hAnsi="Arial" w:cs="Arial"/>
                <w:b w:val="0"/>
                <w:bCs w:val="0"/>
                <w:sz w:val="20"/>
                <w:szCs w:val="20"/>
              </w:rPr>
              <w:t>MMscf</w:t>
            </w:r>
            <w:proofErr w:type="spellEnd"/>
            <w:r w:rsidRPr="009E3896">
              <w:rPr>
                <w:rFonts w:ascii="Arial" w:hAnsi="Arial" w:cs="Arial"/>
                <w:b w:val="0"/>
                <w:bCs w:val="0"/>
                <w:sz w:val="20"/>
                <w:szCs w:val="20"/>
              </w:rPr>
              <w:t>/d)</w:t>
            </w:r>
          </w:p>
        </w:tc>
        <w:tc>
          <w:tcPr>
            <w:tcW w:w="1404" w:type="dxa"/>
          </w:tcPr>
          <w:p w14:paraId="361E127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238" w:type="dxa"/>
          </w:tcPr>
          <w:p w14:paraId="3AB6F01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306" w:type="dxa"/>
          </w:tcPr>
          <w:p w14:paraId="1725772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237" w:type="dxa"/>
          </w:tcPr>
          <w:p w14:paraId="1359C48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1237" w:type="dxa"/>
          </w:tcPr>
          <w:p w14:paraId="75D4437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1237" w:type="dxa"/>
          </w:tcPr>
          <w:p w14:paraId="6B2CBAF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3506" w:type="dxa"/>
          </w:tcPr>
          <w:p w14:paraId="2E0E73DF"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Simulated conditions</w:t>
            </w:r>
          </w:p>
          <w:p w14:paraId="7B80048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39C88A"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CF43C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67131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531F6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272A" w:rsidRPr="00D95A5D" w14:paraId="3C8984AC" w14:textId="77777777" w:rsidTr="002832C3">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795" w:type="dxa"/>
          </w:tcPr>
          <w:p w14:paraId="0A92289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Hydrogen -natural gas blend (%)</w:t>
            </w:r>
          </w:p>
        </w:tc>
        <w:tc>
          <w:tcPr>
            <w:tcW w:w="1404" w:type="dxa"/>
          </w:tcPr>
          <w:p w14:paraId="242C897E"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w:t>
            </w:r>
          </w:p>
        </w:tc>
        <w:tc>
          <w:tcPr>
            <w:tcW w:w="1238" w:type="dxa"/>
          </w:tcPr>
          <w:p w14:paraId="5BA36FA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20</w:t>
            </w:r>
          </w:p>
        </w:tc>
        <w:tc>
          <w:tcPr>
            <w:tcW w:w="1306" w:type="dxa"/>
          </w:tcPr>
          <w:p w14:paraId="280035F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30</w:t>
            </w:r>
          </w:p>
        </w:tc>
        <w:tc>
          <w:tcPr>
            <w:tcW w:w="1237" w:type="dxa"/>
          </w:tcPr>
          <w:p w14:paraId="2B21F5D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w:t>
            </w:r>
          </w:p>
        </w:tc>
        <w:tc>
          <w:tcPr>
            <w:tcW w:w="1237" w:type="dxa"/>
          </w:tcPr>
          <w:p w14:paraId="50E198D7"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20</w:t>
            </w:r>
          </w:p>
        </w:tc>
        <w:tc>
          <w:tcPr>
            <w:tcW w:w="1237" w:type="dxa"/>
          </w:tcPr>
          <w:p w14:paraId="79B1587A"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30</w:t>
            </w:r>
          </w:p>
        </w:tc>
        <w:tc>
          <w:tcPr>
            <w:tcW w:w="3506" w:type="dxa"/>
          </w:tcPr>
          <w:p w14:paraId="239C418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Simulated conditions</w:t>
            </w:r>
          </w:p>
        </w:tc>
      </w:tr>
      <w:tr w:rsidR="0096272A" w:rsidRPr="00D95A5D" w14:paraId="32C6B528"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02B384A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Hydrogen gas production ($/</w:t>
            </w:r>
            <w:proofErr w:type="spellStart"/>
            <w:r w:rsidRPr="009E3896">
              <w:rPr>
                <w:rFonts w:ascii="Arial" w:hAnsi="Arial" w:cs="Arial"/>
                <w:b w:val="0"/>
                <w:bCs w:val="0"/>
                <w:sz w:val="20"/>
                <w:szCs w:val="20"/>
              </w:rPr>
              <w:t>lb</w:t>
            </w:r>
            <w:proofErr w:type="spellEnd"/>
            <w:r w:rsidRPr="009E3896">
              <w:rPr>
                <w:rFonts w:ascii="Arial" w:hAnsi="Arial" w:cs="Arial"/>
                <w:b w:val="0"/>
                <w:bCs w:val="0"/>
                <w:sz w:val="20"/>
                <w:szCs w:val="20"/>
              </w:rPr>
              <w:t>)</w:t>
            </w:r>
          </w:p>
        </w:tc>
        <w:tc>
          <w:tcPr>
            <w:tcW w:w="1404" w:type="dxa"/>
          </w:tcPr>
          <w:p w14:paraId="3BF540D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8" w:type="dxa"/>
          </w:tcPr>
          <w:p w14:paraId="4AC5D5E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306" w:type="dxa"/>
          </w:tcPr>
          <w:p w14:paraId="22AB95D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2BA06FA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44E796D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0392425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3506" w:type="dxa"/>
          </w:tcPr>
          <w:p w14:paraId="1D070E92" w14:textId="7ACF4C85"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 xml:space="preserve">Source: </w:t>
            </w:r>
            <w:r w:rsidR="00B15001">
              <w:rPr>
                <w:rFonts w:ascii="Arial" w:hAnsi="Arial" w:cs="Arial"/>
                <w:sz w:val="20"/>
                <w:szCs w:val="20"/>
              </w:rPr>
              <w:t xml:space="preserve">[8] </w:t>
            </w:r>
            <w:r w:rsidRPr="00556341">
              <w:t>Tom</w:t>
            </w:r>
            <w:r w:rsidRPr="00D95A5D">
              <w:rPr>
                <w:rFonts w:ascii="Arial" w:hAnsi="Arial" w:cs="Arial"/>
                <w:sz w:val="20"/>
                <w:szCs w:val="20"/>
              </w:rPr>
              <w:t xml:space="preserve"> </w:t>
            </w:r>
            <w:r>
              <w:rPr>
                <w:rFonts w:ascii="Arial" w:hAnsi="Arial" w:cs="Arial"/>
                <w:sz w:val="20"/>
                <w:szCs w:val="20"/>
              </w:rPr>
              <w:t xml:space="preserve">et al. </w:t>
            </w:r>
            <w:r w:rsidR="003A0272">
              <w:rPr>
                <w:rFonts w:ascii="Arial" w:hAnsi="Arial" w:cs="Arial"/>
                <w:sz w:val="20"/>
                <w:szCs w:val="20"/>
              </w:rPr>
              <w:t>(</w:t>
            </w:r>
            <w:r>
              <w:rPr>
                <w:rFonts w:ascii="Arial" w:hAnsi="Arial" w:cs="Arial"/>
                <w:sz w:val="20"/>
                <w:szCs w:val="20"/>
              </w:rPr>
              <w:t>2022</w:t>
            </w:r>
            <w:r w:rsidR="003A0272">
              <w:rPr>
                <w:rFonts w:ascii="Arial" w:hAnsi="Arial" w:cs="Arial"/>
                <w:sz w:val="20"/>
                <w:szCs w:val="20"/>
              </w:rPr>
              <w:t>)</w:t>
            </w:r>
            <w:r>
              <w:rPr>
                <w:rFonts w:ascii="Arial" w:hAnsi="Arial" w:cs="Arial"/>
                <w:sz w:val="20"/>
                <w:szCs w:val="20"/>
              </w:rPr>
              <w:t xml:space="preserve"> </w:t>
            </w:r>
            <w:r w:rsidRPr="00D95A5D">
              <w:rPr>
                <w:rFonts w:ascii="Arial" w:hAnsi="Arial" w:cs="Arial"/>
                <w:sz w:val="20"/>
                <w:szCs w:val="20"/>
              </w:rPr>
              <w:t>(3.7 Euro per kg ($1.11/kg==$0.503/</w:t>
            </w:r>
            <w:proofErr w:type="spellStart"/>
            <w:r w:rsidRPr="00D95A5D">
              <w:rPr>
                <w:rFonts w:ascii="Arial" w:hAnsi="Arial" w:cs="Arial"/>
                <w:sz w:val="20"/>
                <w:szCs w:val="20"/>
              </w:rPr>
              <w:t>lb</w:t>
            </w:r>
            <w:proofErr w:type="spellEnd"/>
            <w:r w:rsidRPr="00D95A5D">
              <w:rPr>
                <w:rFonts w:ascii="Arial" w:hAnsi="Arial" w:cs="Arial"/>
                <w:sz w:val="20"/>
                <w:szCs w:val="20"/>
              </w:rPr>
              <w:t>))</w:t>
            </w:r>
          </w:p>
        </w:tc>
      </w:tr>
      <w:tr w:rsidR="0096272A" w:rsidRPr="00D95A5D" w14:paraId="6CF562A3"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C208944"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Hydrogen gas injected per day ($)</w:t>
            </w:r>
          </w:p>
        </w:tc>
        <w:tc>
          <w:tcPr>
            <w:tcW w:w="1404" w:type="dxa"/>
          </w:tcPr>
          <w:p w14:paraId="573E9EF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950.67</w:t>
            </w:r>
          </w:p>
        </w:tc>
        <w:tc>
          <w:tcPr>
            <w:tcW w:w="1238" w:type="dxa"/>
          </w:tcPr>
          <w:p w14:paraId="18662CF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1901.34</w:t>
            </w:r>
          </w:p>
        </w:tc>
        <w:tc>
          <w:tcPr>
            <w:tcW w:w="1306" w:type="dxa"/>
          </w:tcPr>
          <w:p w14:paraId="22D816D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2852.01</w:t>
            </w:r>
          </w:p>
        </w:tc>
        <w:tc>
          <w:tcPr>
            <w:tcW w:w="1237" w:type="dxa"/>
          </w:tcPr>
          <w:p w14:paraId="56F1DDE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1267.56</w:t>
            </w:r>
          </w:p>
        </w:tc>
        <w:tc>
          <w:tcPr>
            <w:tcW w:w="1237" w:type="dxa"/>
          </w:tcPr>
          <w:p w14:paraId="17DB851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2535.12</w:t>
            </w:r>
          </w:p>
        </w:tc>
        <w:tc>
          <w:tcPr>
            <w:tcW w:w="1237" w:type="dxa"/>
          </w:tcPr>
          <w:p w14:paraId="5B8CD15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3802.68</w:t>
            </w:r>
          </w:p>
        </w:tc>
        <w:tc>
          <w:tcPr>
            <w:tcW w:w="3506" w:type="dxa"/>
          </w:tcPr>
          <w:p w14:paraId="4446D8B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Equation 2</w:t>
            </w:r>
          </w:p>
        </w:tc>
      </w:tr>
      <w:tr w:rsidR="0096272A" w:rsidRPr="00D95A5D" w14:paraId="58983E36"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1CD5E5DA"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natural gas injected per day ($)</w:t>
            </w:r>
          </w:p>
        </w:tc>
        <w:tc>
          <w:tcPr>
            <w:tcW w:w="1404" w:type="dxa"/>
          </w:tcPr>
          <w:p w14:paraId="54DF9F8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731.7000</w:t>
            </w:r>
          </w:p>
        </w:tc>
        <w:tc>
          <w:tcPr>
            <w:tcW w:w="1238" w:type="dxa"/>
          </w:tcPr>
          <w:p w14:paraId="21F8EFB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650.4</w:t>
            </w:r>
          </w:p>
        </w:tc>
        <w:tc>
          <w:tcPr>
            <w:tcW w:w="1306" w:type="dxa"/>
          </w:tcPr>
          <w:p w14:paraId="661207B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569.1</w:t>
            </w:r>
          </w:p>
        </w:tc>
        <w:tc>
          <w:tcPr>
            <w:tcW w:w="1237" w:type="dxa"/>
          </w:tcPr>
          <w:p w14:paraId="5CBFD4F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975.6</w:t>
            </w:r>
          </w:p>
        </w:tc>
        <w:tc>
          <w:tcPr>
            <w:tcW w:w="1237" w:type="dxa"/>
          </w:tcPr>
          <w:p w14:paraId="4659285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867.2</w:t>
            </w:r>
          </w:p>
        </w:tc>
        <w:tc>
          <w:tcPr>
            <w:tcW w:w="1237" w:type="dxa"/>
          </w:tcPr>
          <w:p w14:paraId="656DAF6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758.8</w:t>
            </w:r>
          </w:p>
        </w:tc>
        <w:tc>
          <w:tcPr>
            <w:tcW w:w="3506" w:type="dxa"/>
          </w:tcPr>
          <w:p w14:paraId="3BEEF0CA" w14:textId="69918B3B"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 xml:space="preserve">Equation 3; </w:t>
            </w:r>
            <w:r>
              <w:rPr>
                <w:rFonts w:ascii="Arial" w:hAnsi="Arial" w:cs="Arial"/>
                <w:sz w:val="20"/>
                <w:szCs w:val="20"/>
              </w:rPr>
              <w:t>(using</w:t>
            </w:r>
            <w:r w:rsidRPr="00D95A5D">
              <w:rPr>
                <w:rFonts w:ascii="Arial" w:hAnsi="Arial" w:cs="Arial"/>
                <w:sz w:val="20"/>
                <w:szCs w:val="20"/>
              </w:rPr>
              <w:t xml:space="preserve"> Natural </w:t>
            </w:r>
            <w:proofErr w:type="gramStart"/>
            <w:r w:rsidRPr="00D95A5D">
              <w:rPr>
                <w:rFonts w:ascii="Arial" w:hAnsi="Arial" w:cs="Arial"/>
                <w:sz w:val="20"/>
                <w:szCs w:val="20"/>
              </w:rPr>
              <w:t>gas  price</w:t>
            </w:r>
            <w:proofErr w:type="gramEnd"/>
            <w:r w:rsidRPr="00D95A5D">
              <w:rPr>
                <w:rFonts w:ascii="Arial" w:hAnsi="Arial" w:cs="Arial"/>
                <w:sz w:val="20"/>
                <w:szCs w:val="20"/>
              </w:rPr>
              <w:t xml:space="preserve"> of $2.17/MMBTU==$2.17/1000 </w:t>
            </w:r>
            <w:proofErr w:type="spellStart"/>
            <w:r w:rsidRPr="00D95A5D">
              <w:rPr>
                <w:rFonts w:ascii="Arial" w:hAnsi="Arial" w:cs="Arial"/>
                <w:sz w:val="20"/>
                <w:szCs w:val="20"/>
              </w:rPr>
              <w:t>scf</w:t>
            </w:r>
            <w:proofErr w:type="spellEnd"/>
            <w:r>
              <w:rPr>
                <w:rFonts w:ascii="Arial" w:hAnsi="Arial" w:cs="Arial"/>
                <w:sz w:val="20"/>
                <w:szCs w:val="20"/>
              </w:rPr>
              <w:t>)</w:t>
            </w:r>
            <w:r w:rsidRPr="00D95A5D">
              <w:rPr>
                <w:rFonts w:ascii="Arial" w:hAnsi="Arial" w:cs="Arial"/>
                <w:sz w:val="20"/>
                <w:szCs w:val="20"/>
              </w:rPr>
              <w:t xml:space="preserve"> </w:t>
            </w:r>
            <w:r w:rsidR="00B15001">
              <w:rPr>
                <w:rFonts w:ascii="Arial" w:hAnsi="Arial" w:cs="Arial"/>
                <w:sz w:val="20"/>
                <w:szCs w:val="20"/>
              </w:rPr>
              <w:t xml:space="preserve">[32] </w:t>
            </w:r>
            <w:r>
              <w:rPr>
                <w:rFonts w:ascii="Arial" w:hAnsi="Arial" w:cs="Arial"/>
                <w:sz w:val="20"/>
                <w:szCs w:val="20"/>
              </w:rPr>
              <w:t xml:space="preserve">Source: </w:t>
            </w:r>
            <w:proofErr w:type="spellStart"/>
            <w:r w:rsidRPr="00D95A5D">
              <w:rPr>
                <w:rFonts w:ascii="Arial" w:hAnsi="Arial" w:cs="Arial"/>
                <w:sz w:val="20"/>
                <w:szCs w:val="20"/>
              </w:rPr>
              <w:t>HenryHub</w:t>
            </w:r>
            <w:proofErr w:type="spellEnd"/>
            <w:r w:rsidRPr="00D95A5D">
              <w:rPr>
                <w:rFonts w:ascii="Arial" w:hAnsi="Arial" w:cs="Arial"/>
                <w:sz w:val="20"/>
                <w:szCs w:val="20"/>
              </w:rPr>
              <w:t>, 29/08/24)</w:t>
            </w:r>
          </w:p>
        </w:tc>
      </w:tr>
      <w:tr w:rsidR="0096272A" w:rsidRPr="00D95A5D" w14:paraId="16D38B98"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3978CBC"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Total cost of the injected gas per day ($)</w:t>
            </w:r>
          </w:p>
        </w:tc>
        <w:tc>
          <w:tcPr>
            <w:tcW w:w="1404" w:type="dxa"/>
          </w:tcPr>
          <w:p w14:paraId="47FEF07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1682.37</w:t>
            </w:r>
          </w:p>
        </w:tc>
        <w:tc>
          <w:tcPr>
            <w:tcW w:w="1238" w:type="dxa"/>
          </w:tcPr>
          <w:p w14:paraId="1A5B31B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2551.74</w:t>
            </w:r>
          </w:p>
        </w:tc>
        <w:tc>
          <w:tcPr>
            <w:tcW w:w="1306" w:type="dxa"/>
          </w:tcPr>
          <w:p w14:paraId="378DF27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3421.11</w:t>
            </w:r>
          </w:p>
        </w:tc>
        <w:tc>
          <w:tcPr>
            <w:tcW w:w="1237" w:type="dxa"/>
          </w:tcPr>
          <w:p w14:paraId="5B9BD503"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2243.16</w:t>
            </w:r>
          </w:p>
        </w:tc>
        <w:tc>
          <w:tcPr>
            <w:tcW w:w="1237" w:type="dxa"/>
          </w:tcPr>
          <w:p w14:paraId="0447B1C1"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3402.32</w:t>
            </w:r>
          </w:p>
        </w:tc>
        <w:tc>
          <w:tcPr>
            <w:tcW w:w="1237" w:type="dxa"/>
          </w:tcPr>
          <w:p w14:paraId="4D7AEE8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4561.48</w:t>
            </w:r>
          </w:p>
        </w:tc>
        <w:tc>
          <w:tcPr>
            <w:tcW w:w="3506" w:type="dxa"/>
          </w:tcPr>
          <w:p w14:paraId="001DEB2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Summation of results from Equation 2 and 3</w:t>
            </w:r>
          </w:p>
        </w:tc>
      </w:tr>
      <w:tr w:rsidR="0096272A" w:rsidRPr="00D95A5D" w14:paraId="3792D2AC"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C9EF7D3"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Total cost of the injected gas per year ($)</w:t>
            </w:r>
          </w:p>
        </w:tc>
        <w:tc>
          <w:tcPr>
            <w:tcW w:w="1404" w:type="dxa"/>
          </w:tcPr>
          <w:p w14:paraId="099624F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614065.05</w:t>
            </w:r>
          </w:p>
        </w:tc>
        <w:tc>
          <w:tcPr>
            <w:tcW w:w="1238" w:type="dxa"/>
          </w:tcPr>
          <w:p w14:paraId="6013DB9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931385.1</w:t>
            </w:r>
          </w:p>
        </w:tc>
        <w:tc>
          <w:tcPr>
            <w:tcW w:w="1306" w:type="dxa"/>
          </w:tcPr>
          <w:p w14:paraId="74DBDF8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1248705.15</w:t>
            </w:r>
          </w:p>
        </w:tc>
        <w:tc>
          <w:tcPr>
            <w:tcW w:w="1237" w:type="dxa"/>
          </w:tcPr>
          <w:p w14:paraId="321A6C2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818753.4</w:t>
            </w:r>
          </w:p>
        </w:tc>
        <w:tc>
          <w:tcPr>
            <w:tcW w:w="1237" w:type="dxa"/>
          </w:tcPr>
          <w:p w14:paraId="3AB3B34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1241846.8</w:t>
            </w:r>
          </w:p>
        </w:tc>
        <w:tc>
          <w:tcPr>
            <w:tcW w:w="1237" w:type="dxa"/>
          </w:tcPr>
          <w:p w14:paraId="1AF0F9C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1664940.2</w:t>
            </w:r>
          </w:p>
        </w:tc>
        <w:tc>
          <w:tcPr>
            <w:tcW w:w="3506" w:type="dxa"/>
          </w:tcPr>
          <w:p w14:paraId="29AB9C2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Calculated</w:t>
            </w:r>
          </w:p>
        </w:tc>
      </w:tr>
      <w:tr w:rsidR="0096272A" w:rsidRPr="00D95A5D" w14:paraId="4DD00BDE"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6A8DB0A"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Operational cost (</w:t>
            </w:r>
            <w:proofErr w:type="spellStart"/>
            <w:r w:rsidRPr="009E3896">
              <w:rPr>
                <w:rFonts w:ascii="Arial" w:hAnsi="Arial" w:cs="Arial"/>
                <w:b w:val="0"/>
                <w:bCs w:val="0"/>
                <w:sz w:val="20"/>
                <w:szCs w:val="20"/>
              </w:rPr>
              <w:t>e.g</w:t>
            </w:r>
            <w:proofErr w:type="spellEnd"/>
            <w:r w:rsidRPr="009E3896">
              <w:rPr>
                <w:rFonts w:ascii="Arial" w:hAnsi="Arial" w:cs="Arial"/>
                <w:b w:val="0"/>
                <w:bCs w:val="0"/>
                <w:sz w:val="20"/>
                <w:szCs w:val="20"/>
              </w:rPr>
              <w:t xml:space="preserve"> compression cost, deblending cost)</w:t>
            </w:r>
          </w:p>
        </w:tc>
        <w:tc>
          <w:tcPr>
            <w:tcW w:w="1404" w:type="dxa"/>
          </w:tcPr>
          <w:p w14:paraId="66E7DE34"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8" w:type="dxa"/>
          </w:tcPr>
          <w:p w14:paraId="68446D58"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306" w:type="dxa"/>
          </w:tcPr>
          <w:p w14:paraId="2423BDD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0A37623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09BE86E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6D4B3AD7"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3506" w:type="dxa"/>
          </w:tcPr>
          <w:p w14:paraId="7A1D36E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r>
      <w:tr w:rsidR="0096272A" w:rsidRPr="00D95A5D" w14:paraId="2D2CBB0C"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164164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Incremental produced oil per day (</w:t>
            </w:r>
            <w:proofErr w:type="spellStart"/>
            <w:r w:rsidRPr="009E3896">
              <w:rPr>
                <w:rFonts w:ascii="Arial" w:hAnsi="Arial" w:cs="Arial"/>
                <w:b w:val="0"/>
                <w:bCs w:val="0"/>
                <w:sz w:val="20"/>
                <w:szCs w:val="20"/>
              </w:rPr>
              <w:t>stb</w:t>
            </w:r>
            <w:proofErr w:type="spellEnd"/>
            <w:r w:rsidRPr="009E3896">
              <w:rPr>
                <w:rFonts w:ascii="Arial" w:hAnsi="Arial" w:cs="Arial"/>
                <w:b w:val="0"/>
                <w:bCs w:val="0"/>
                <w:sz w:val="20"/>
                <w:szCs w:val="20"/>
              </w:rPr>
              <w:t>/d)</w:t>
            </w:r>
          </w:p>
        </w:tc>
        <w:tc>
          <w:tcPr>
            <w:tcW w:w="1404" w:type="dxa"/>
          </w:tcPr>
          <w:p w14:paraId="37B82280"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11.2664</w:t>
            </w:r>
          </w:p>
          <w:p w14:paraId="2E10478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tcPr>
          <w:p w14:paraId="4194639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12.6352</w:t>
            </w:r>
          </w:p>
          <w:p w14:paraId="74BCE95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6" w:type="dxa"/>
          </w:tcPr>
          <w:p w14:paraId="0E4FF6B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13.9332</w:t>
            </w:r>
          </w:p>
          <w:p w14:paraId="2CB86AC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39E512C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294.8676</w:t>
            </w:r>
          </w:p>
        </w:tc>
        <w:tc>
          <w:tcPr>
            <w:tcW w:w="1237" w:type="dxa"/>
          </w:tcPr>
          <w:p w14:paraId="240E6F3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294.018</w:t>
            </w:r>
          </w:p>
          <w:p w14:paraId="58CDE57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E9584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BEB94C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292.1536</w:t>
            </w:r>
          </w:p>
          <w:p w14:paraId="07B73DC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06" w:type="dxa"/>
          </w:tcPr>
          <w:p w14:paraId="1BC9F0EF"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Simulated results</w:t>
            </w:r>
          </w:p>
        </w:tc>
      </w:tr>
      <w:tr w:rsidR="0096272A" w:rsidRPr="00D95A5D" w14:paraId="0154F911"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107402" w14:textId="77777777" w:rsidR="0096272A" w:rsidRPr="009E3896" w:rsidRDefault="0096272A" w:rsidP="00547D4C">
            <w:pPr>
              <w:jc w:val="center"/>
              <w:rPr>
                <w:rFonts w:ascii="Arial" w:hAnsi="Arial" w:cs="Arial"/>
                <w:b w:val="0"/>
                <w:bCs w:val="0"/>
                <w:sz w:val="20"/>
                <w:szCs w:val="20"/>
              </w:rPr>
            </w:pPr>
            <w:r>
              <w:rPr>
                <w:rFonts w:ascii="Arial" w:hAnsi="Arial" w:cs="Arial"/>
                <w:b w:val="0"/>
                <w:bCs w:val="0"/>
                <w:sz w:val="20"/>
                <w:szCs w:val="20"/>
              </w:rPr>
              <w:t>I</w:t>
            </w:r>
            <w:r w:rsidRPr="009E3896">
              <w:rPr>
                <w:rFonts w:ascii="Arial" w:hAnsi="Arial" w:cs="Arial"/>
                <w:b w:val="0"/>
                <w:bCs w:val="0"/>
                <w:sz w:val="20"/>
                <w:szCs w:val="20"/>
              </w:rPr>
              <w:t xml:space="preserve">ncremental produced oil </w:t>
            </w:r>
            <w:r>
              <w:rPr>
                <w:rFonts w:ascii="Arial" w:hAnsi="Arial" w:cs="Arial"/>
                <w:b w:val="0"/>
                <w:bCs w:val="0"/>
                <w:sz w:val="20"/>
                <w:szCs w:val="20"/>
              </w:rPr>
              <w:t>s</w:t>
            </w:r>
            <w:r w:rsidRPr="009E3896">
              <w:rPr>
                <w:rFonts w:ascii="Arial" w:hAnsi="Arial" w:cs="Arial"/>
                <w:b w:val="0"/>
                <w:bCs w:val="0"/>
                <w:sz w:val="20"/>
                <w:szCs w:val="20"/>
              </w:rPr>
              <w:t>ale per day ($)</w:t>
            </w:r>
          </w:p>
        </w:tc>
        <w:tc>
          <w:tcPr>
            <w:tcW w:w="1404" w:type="dxa"/>
          </w:tcPr>
          <w:p w14:paraId="1A3F307E"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885.764368</w:t>
            </w:r>
          </w:p>
        </w:tc>
        <w:tc>
          <w:tcPr>
            <w:tcW w:w="1238" w:type="dxa"/>
          </w:tcPr>
          <w:p w14:paraId="05341B5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993.3794</w:t>
            </w:r>
          </w:p>
        </w:tc>
        <w:tc>
          <w:tcPr>
            <w:tcW w:w="1306" w:type="dxa"/>
          </w:tcPr>
          <w:p w14:paraId="3B0A33C5"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1095.428</w:t>
            </w:r>
          </w:p>
        </w:tc>
        <w:tc>
          <w:tcPr>
            <w:tcW w:w="1237" w:type="dxa"/>
          </w:tcPr>
          <w:p w14:paraId="1170F1D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23182.49</w:t>
            </w:r>
          </w:p>
        </w:tc>
        <w:tc>
          <w:tcPr>
            <w:tcW w:w="1237" w:type="dxa"/>
          </w:tcPr>
          <w:p w14:paraId="34FBC1A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23115.7</w:t>
            </w:r>
          </w:p>
        </w:tc>
        <w:tc>
          <w:tcPr>
            <w:tcW w:w="1237" w:type="dxa"/>
          </w:tcPr>
          <w:p w14:paraId="394185C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22969.12</w:t>
            </w:r>
          </w:p>
        </w:tc>
        <w:tc>
          <w:tcPr>
            <w:tcW w:w="3506" w:type="dxa"/>
          </w:tcPr>
          <w:p w14:paraId="21B6EAA8" w14:textId="0AE4A982" w:rsidR="0096272A" w:rsidRPr="00D95A5D" w:rsidRDefault="00B15001"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[33] </w:t>
            </w:r>
            <w:r w:rsidR="0096272A" w:rsidRPr="00D95A5D">
              <w:rPr>
                <w:rFonts w:ascii="Arial" w:hAnsi="Arial" w:cs="Arial"/>
                <w:sz w:val="20"/>
                <w:szCs w:val="20"/>
              </w:rPr>
              <w:t>Oilprice.com; Bonny light ($78.62/</w:t>
            </w:r>
            <w:proofErr w:type="spellStart"/>
            <w:r w:rsidR="0096272A" w:rsidRPr="00D95A5D">
              <w:rPr>
                <w:rFonts w:ascii="Arial" w:hAnsi="Arial" w:cs="Arial"/>
                <w:sz w:val="20"/>
                <w:szCs w:val="20"/>
              </w:rPr>
              <w:t>bbl</w:t>
            </w:r>
            <w:proofErr w:type="spellEnd"/>
            <w:r w:rsidR="0096272A" w:rsidRPr="00D95A5D">
              <w:rPr>
                <w:rFonts w:ascii="Arial" w:hAnsi="Arial" w:cs="Arial"/>
                <w:sz w:val="20"/>
                <w:szCs w:val="20"/>
              </w:rPr>
              <w:t>)</w:t>
            </w:r>
          </w:p>
        </w:tc>
      </w:tr>
      <w:tr w:rsidR="0096272A" w:rsidRPr="00D95A5D" w14:paraId="6804329D"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33E39FF9"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Gas lift System lifetime</w:t>
            </w:r>
            <w:r>
              <w:rPr>
                <w:rFonts w:ascii="Arial" w:hAnsi="Arial" w:cs="Arial"/>
                <w:b w:val="0"/>
                <w:bCs w:val="0"/>
                <w:sz w:val="20"/>
                <w:szCs w:val="20"/>
              </w:rPr>
              <w:t xml:space="preserve"> (year)</w:t>
            </w:r>
          </w:p>
        </w:tc>
        <w:tc>
          <w:tcPr>
            <w:tcW w:w="1404" w:type="dxa"/>
          </w:tcPr>
          <w:p w14:paraId="3E7CE00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8" w:type="dxa"/>
          </w:tcPr>
          <w:p w14:paraId="57AB90AC"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306" w:type="dxa"/>
          </w:tcPr>
          <w:p w14:paraId="6BD9FF1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251BB85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337C019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37555D0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3506" w:type="dxa"/>
          </w:tcPr>
          <w:p w14:paraId="60DF0D0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Economic assumption</w:t>
            </w:r>
          </w:p>
        </w:tc>
      </w:tr>
      <w:tr w:rsidR="0096272A" w:rsidRPr="00D95A5D" w14:paraId="6062F422"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416A627" w14:textId="77777777" w:rsidR="0096272A" w:rsidRPr="009E3896" w:rsidRDefault="0096272A" w:rsidP="00547D4C">
            <w:pPr>
              <w:jc w:val="center"/>
              <w:rPr>
                <w:rFonts w:ascii="Arial" w:hAnsi="Arial" w:cs="Arial"/>
                <w:b w:val="0"/>
                <w:bCs w:val="0"/>
                <w:sz w:val="20"/>
                <w:szCs w:val="20"/>
              </w:rPr>
            </w:pPr>
            <w:r>
              <w:rPr>
                <w:rFonts w:ascii="Arial" w:hAnsi="Arial" w:cs="Arial"/>
                <w:b w:val="0"/>
                <w:bCs w:val="0"/>
                <w:sz w:val="20"/>
                <w:szCs w:val="20"/>
              </w:rPr>
              <w:t xml:space="preserve">Oil </w:t>
            </w:r>
            <w:r w:rsidRPr="009E3896">
              <w:rPr>
                <w:rFonts w:ascii="Arial" w:hAnsi="Arial" w:cs="Arial"/>
                <w:b w:val="0"/>
                <w:bCs w:val="0"/>
                <w:sz w:val="20"/>
                <w:szCs w:val="20"/>
              </w:rPr>
              <w:t>cumulative Sale</w:t>
            </w:r>
            <w:r>
              <w:rPr>
                <w:rFonts w:ascii="Arial" w:hAnsi="Arial" w:cs="Arial"/>
                <w:b w:val="0"/>
                <w:bCs w:val="0"/>
                <w:sz w:val="20"/>
                <w:szCs w:val="20"/>
              </w:rPr>
              <w:t xml:space="preserve"> per year</w:t>
            </w:r>
            <w:r w:rsidRPr="009E3896">
              <w:rPr>
                <w:rFonts w:ascii="Arial" w:hAnsi="Arial" w:cs="Arial"/>
                <w:b w:val="0"/>
                <w:bCs w:val="0"/>
                <w:sz w:val="20"/>
                <w:szCs w:val="20"/>
              </w:rPr>
              <w:t xml:space="preserve"> </w:t>
            </w:r>
            <w:r>
              <w:rPr>
                <w:rFonts w:ascii="Arial" w:hAnsi="Arial" w:cs="Arial"/>
                <w:b w:val="0"/>
                <w:bCs w:val="0"/>
                <w:sz w:val="20"/>
                <w:szCs w:val="20"/>
              </w:rPr>
              <w:t xml:space="preserve">($) </w:t>
            </w:r>
            <w:r w:rsidRPr="009E3896">
              <w:rPr>
                <w:rFonts w:ascii="Arial" w:hAnsi="Arial" w:cs="Arial"/>
                <w:b w:val="0"/>
                <w:bCs w:val="0"/>
                <w:sz w:val="20"/>
                <w:szCs w:val="20"/>
              </w:rPr>
              <w:t xml:space="preserve"> </w:t>
            </w:r>
          </w:p>
        </w:tc>
        <w:tc>
          <w:tcPr>
            <w:tcW w:w="1404" w:type="dxa"/>
          </w:tcPr>
          <w:p w14:paraId="73F0D5F8"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323303.9943</w:t>
            </w:r>
          </w:p>
        </w:tc>
        <w:tc>
          <w:tcPr>
            <w:tcW w:w="1238" w:type="dxa"/>
          </w:tcPr>
          <w:p w14:paraId="794D86F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362583.48</w:t>
            </w:r>
          </w:p>
        </w:tc>
        <w:tc>
          <w:tcPr>
            <w:tcW w:w="1306" w:type="dxa"/>
          </w:tcPr>
          <w:p w14:paraId="2E3EFBD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399831.22</w:t>
            </w:r>
          </w:p>
        </w:tc>
        <w:tc>
          <w:tcPr>
            <w:tcW w:w="1237" w:type="dxa"/>
          </w:tcPr>
          <w:p w14:paraId="4150E9D5"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8461608.9</w:t>
            </w:r>
          </w:p>
        </w:tc>
        <w:tc>
          <w:tcPr>
            <w:tcW w:w="1237" w:type="dxa"/>
          </w:tcPr>
          <w:p w14:paraId="5827721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8437231</w:t>
            </w:r>
          </w:p>
        </w:tc>
        <w:tc>
          <w:tcPr>
            <w:tcW w:w="1237" w:type="dxa"/>
          </w:tcPr>
          <w:p w14:paraId="7C508A6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8383729</w:t>
            </w:r>
          </w:p>
        </w:tc>
        <w:tc>
          <w:tcPr>
            <w:tcW w:w="3506" w:type="dxa"/>
          </w:tcPr>
          <w:p w14:paraId="38DBB95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Calculated</w:t>
            </w:r>
          </w:p>
        </w:tc>
      </w:tr>
      <w:tr w:rsidR="0096272A" w:rsidRPr="00D95A5D" w14:paraId="724FD63E"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F3CA3E7"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Sale of natural gas (Revenue)</w:t>
            </w:r>
          </w:p>
        </w:tc>
        <w:tc>
          <w:tcPr>
            <w:tcW w:w="1404" w:type="dxa"/>
          </w:tcPr>
          <w:p w14:paraId="6468AFC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8" w:type="dxa"/>
          </w:tcPr>
          <w:p w14:paraId="1F2D585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306" w:type="dxa"/>
          </w:tcPr>
          <w:p w14:paraId="29A2C7A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64D2983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7E26D03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320FDF4C"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3506" w:type="dxa"/>
          </w:tcPr>
          <w:p w14:paraId="25F63B5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r>
      <w:tr w:rsidR="0096272A" w:rsidRPr="00D95A5D" w14:paraId="0399ABAB"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BDAED99"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Discount rate (%)</w:t>
            </w:r>
          </w:p>
        </w:tc>
        <w:tc>
          <w:tcPr>
            <w:tcW w:w="1404" w:type="dxa"/>
          </w:tcPr>
          <w:p w14:paraId="18DA0823"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8" w:type="dxa"/>
          </w:tcPr>
          <w:p w14:paraId="7F76DC6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306" w:type="dxa"/>
          </w:tcPr>
          <w:p w14:paraId="0DF3979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550B7311"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334A2CA4"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3F9F64C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3506" w:type="dxa"/>
          </w:tcPr>
          <w:p w14:paraId="60E9C78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Economic assumption</w:t>
            </w:r>
          </w:p>
        </w:tc>
      </w:tr>
      <w:tr w:rsidR="0096272A" w:rsidRPr="00D95A5D" w14:paraId="6EC48908"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395B761F"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NPV</w:t>
            </w:r>
          </w:p>
        </w:tc>
        <w:tc>
          <w:tcPr>
            <w:tcW w:w="1404" w:type="dxa"/>
          </w:tcPr>
          <w:p w14:paraId="04CF432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tcPr>
          <w:p w14:paraId="1E50ECD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6" w:type="dxa"/>
          </w:tcPr>
          <w:p w14:paraId="219BBA1F"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6E3FF6F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6F1B14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129D08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06" w:type="dxa"/>
          </w:tcPr>
          <w:p w14:paraId="5C316A3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8ABA75A" w14:textId="77777777" w:rsidR="001923EB" w:rsidRPr="00811049" w:rsidRDefault="001923EB"/>
    <w:sectPr w:rsidR="001923EB" w:rsidRPr="00811049" w:rsidSect="0097718B">
      <w:pgSz w:w="15840" w:h="12240" w:orient="landscape"/>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64D1" w14:textId="77777777" w:rsidR="00FF298A" w:rsidRDefault="00FF298A" w:rsidP="0097718B">
      <w:pPr>
        <w:spacing w:after="0" w:line="240" w:lineRule="auto"/>
      </w:pPr>
      <w:r>
        <w:separator/>
      </w:r>
    </w:p>
  </w:endnote>
  <w:endnote w:type="continuationSeparator" w:id="0">
    <w:p w14:paraId="6040AB15" w14:textId="77777777" w:rsidR="00FF298A" w:rsidRDefault="00FF298A" w:rsidP="0097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E714" w14:textId="77777777" w:rsidR="00C16E83" w:rsidRDefault="00C16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54229"/>
      <w:docPartObj>
        <w:docPartGallery w:val="Page Numbers (Bottom of Page)"/>
        <w:docPartUnique/>
      </w:docPartObj>
    </w:sdtPr>
    <w:sdtEndPr>
      <w:rPr>
        <w:noProof/>
      </w:rPr>
    </w:sdtEndPr>
    <w:sdtContent>
      <w:p w14:paraId="12D0D1D7" w14:textId="6CCA867A" w:rsidR="0097718B" w:rsidRDefault="009771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99461" w14:textId="77777777" w:rsidR="0097718B" w:rsidRDefault="00977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EB30" w14:textId="77777777" w:rsidR="00C16E83" w:rsidRDefault="00C16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78B0" w14:textId="77777777" w:rsidR="00FF298A" w:rsidRDefault="00FF298A" w:rsidP="0097718B">
      <w:pPr>
        <w:spacing w:after="0" w:line="240" w:lineRule="auto"/>
      </w:pPr>
      <w:r>
        <w:separator/>
      </w:r>
    </w:p>
  </w:footnote>
  <w:footnote w:type="continuationSeparator" w:id="0">
    <w:p w14:paraId="25488173" w14:textId="77777777" w:rsidR="00FF298A" w:rsidRDefault="00FF298A" w:rsidP="0097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C677" w14:textId="07513C74" w:rsidR="00C16E83" w:rsidRDefault="00C16E83">
    <w:pPr>
      <w:pStyle w:val="Header"/>
    </w:pPr>
    <w:r>
      <w:rPr>
        <w:noProof/>
      </w:rPr>
      <w:pict w14:anchorId="1D3B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AE81" w14:textId="4A2EA0D5" w:rsidR="00C16E83" w:rsidRDefault="00C16E83">
    <w:pPr>
      <w:pStyle w:val="Header"/>
    </w:pPr>
    <w:r>
      <w:rPr>
        <w:noProof/>
      </w:rPr>
      <w:pict w14:anchorId="28F49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668C" w14:textId="4B7FA433" w:rsidR="00C16E83" w:rsidRDefault="00C16E83">
    <w:pPr>
      <w:pStyle w:val="Header"/>
    </w:pPr>
    <w:r>
      <w:rPr>
        <w:noProof/>
      </w:rPr>
      <w:pict w14:anchorId="53B11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0CF3"/>
    <w:multiLevelType w:val="hybridMultilevel"/>
    <w:tmpl w:val="41E0AFE6"/>
    <w:lvl w:ilvl="0" w:tplc="56AEC342">
      <w:start w:val="1"/>
      <w:numFmt w:val="bullet"/>
      <w:lvlText w:val=""/>
      <w:lvlJc w:val="left"/>
      <w:pPr>
        <w:ind w:left="720" w:hanging="360"/>
      </w:pPr>
      <w:rPr>
        <w:rFonts w:ascii="Symbol" w:eastAsiaTheme="minorHAnsi"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7A37DD"/>
    <w:multiLevelType w:val="hybridMultilevel"/>
    <w:tmpl w:val="565C8A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FB"/>
    <w:rsid w:val="000067BE"/>
    <w:rsid w:val="0002453C"/>
    <w:rsid w:val="00024817"/>
    <w:rsid w:val="00025FE9"/>
    <w:rsid w:val="000304D8"/>
    <w:rsid w:val="00030827"/>
    <w:rsid w:val="00031B9C"/>
    <w:rsid w:val="0004390F"/>
    <w:rsid w:val="000672D9"/>
    <w:rsid w:val="00076AF6"/>
    <w:rsid w:val="00076BF5"/>
    <w:rsid w:val="00082C22"/>
    <w:rsid w:val="0008585B"/>
    <w:rsid w:val="000863FB"/>
    <w:rsid w:val="00093B55"/>
    <w:rsid w:val="000A7779"/>
    <w:rsid w:val="000B6867"/>
    <w:rsid w:val="000D340C"/>
    <w:rsid w:val="000D4428"/>
    <w:rsid w:val="000E760A"/>
    <w:rsid w:val="00110304"/>
    <w:rsid w:val="00111507"/>
    <w:rsid w:val="0011284C"/>
    <w:rsid w:val="00116D52"/>
    <w:rsid w:val="00121B85"/>
    <w:rsid w:val="00123B4F"/>
    <w:rsid w:val="001241E4"/>
    <w:rsid w:val="00130F62"/>
    <w:rsid w:val="00144E8E"/>
    <w:rsid w:val="00145007"/>
    <w:rsid w:val="0017468C"/>
    <w:rsid w:val="00177688"/>
    <w:rsid w:val="00187562"/>
    <w:rsid w:val="001902D8"/>
    <w:rsid w:val="001923EB"/>
    <w:rsid w:val="001978D5"/>
    <w:rsid w:val="001A3629"/>
    <w:rsid w:val="001B1512"/>
    <w:rsid w:val="001B1AEF"/>
    <w:rsid w:val="001C12C3"/>
    <w:rsid w:val="001C5369"/>
    <w:rsid w:val="001C73A7"/>
    <w:rsid w:val="001D002E"/>
    <w:rsid w:val="001D5FF9"/>
    <w:rsid w:val="001E1F7E"/>
    <w:rsid w:val="001E38D1"/>
    <w:rsid w:val="001E786D"/>
    <w:rsid w:val="001F17DF"/>
    <w:rsid w:val="001F43AB"/>
    <w:rsid w:val="00213B02"/>
    <w:rsid w:val="00251EC9"/>
    <w:rsid w:val="0025473E"/>
    <w:rsid w:val="00255F35"/>
    <w:rsid w:val="0026006D"/>
    <w:rsid w:val="002602DC"/>
    <w:rsid w:val="00277BBD"/>
    <w:rsid w:val="002832C3"/>
    <w:rsid w:val="00283B27"/>
    <w:rsid w:val="002A0B1B"/>
    <w:rsid w:val="002A0D54"/>
    <w:rsid w:val="002A7DDF"/>
    <w:rsid w:val="002C034F"/>
    <w:rsid w:val="002D4D80"/>
    <w:rsid w:val="002D7DBA"/>
    <w:rsid w:val="002E1086"/>
    <w:rsid w:val="002F0388"/>
    <w:rsid w:val="00333033"/>
    <w:rsid w:val="00335B24"/>
    <w:rsid w:val="00337AC1"/>
    <w:rsid w:val="00340097"/>
    <w:rsid w:val="00346B0B"/>
    <w:rsid w:val="00372923"/>
    <w:rsid w:val="003742A8"/>
    <w:rsid w:val="00374E39"/>
    <w:rsid w:val="00376737"/>
    <w:rsid w:val="00376813"/>
    <w:rsid w:val="0038005C"/>
    <w:rsid w:val="00382241"/>
    <w:rsid w:val="003974C2"/>
    <w:rsid w:val="003A0272"/>
    <w:rsid w:val="003A2547"/>
    <w:rsid w:val="003A751B"/>
    <w:rsid w:val="003C38E6"/>
    <w:rsid w:val="003D1B5E"/>
    <w:rsid w:val="003D1D72"/>
    <w:rsid w:val="003D38B9"/>
    <w:rsid w:val="003E18DB"/>
    <w:rsid w:val="003E47CC"/>
    <w:rsid w:val="003F1EFB"/>
    <w:rsid w:val="003F58AB"/>
    <w:rsid w:val="003F6F8B"/>
    <w:rsid w:val="003F7BE7"/>
    <w:rsid w:val="00403D53"/>
    <w:rsid w:val="0040579D"/>
    <w:rsid w:val="0040773E"/>
    <w:rsid w:val="00412A16"/>
    <w:rsid w:val="00425468"/>
    <w:rsid w:val="00443241"/>
    <w:rsid w:val="004436A1"/>
    <w:rsid w:val="00445CA0"/>
    <w:rsid w:val="00450081"/>
    <w:rsid w:val="00450BD9"/>
    <w:rsid w:val="00453CE8"/>
    <w:rsid w:val="0045412C"/>
    <w:rsid w:val="0046149F"/>
    <w:rsid w:val="00466F90"/>
    <w:rsid w:val="00471B18"/>
    <w:rsid w:val="004737E3"/>
    <w:rsid w:val="00475F98"/>
    <w:rsid w:val="00482977"/>
    <w:rsid w:val="00486B97"/>
    <w:rsid w:val="004923E7"/>
    <w:rsid w:val="00494564"/>
    <w:rsid w:val="00494A8A"/>
    <w:rsid w:val="00496ED4"/>
    <w:rsid w:val="004A70DF"/>
    <w:rsid w:val="004B2588"/>
    <w:rsid w:val="004B430A"/>
    <w:rsid w:val="004C0398"/>
    <w:rsid w:val="004C5E6D"/>
    <w:rsid w:val="004E71C2"/>
    <w:rsid w:val="005201D6"/>
    <w:rsid w:val="00524657"/>
    <w:rsid w:val="00531B14"/>
    <w:rsid w:val="00536FC7"/>
    <w:rsid w:val="0053789C"/>
    <w:rsid w:val="0054121E"/>
    <w:rsid w:val="00552701"/>
    <w:rsid w:val="00564F6D"/>
    <w:rsid w:val="00575069"/>
    <w:rsid w:val="00581899"/>
    <w:rsid w:val="005834DD"/>
    <w:rsid w:val="00584E5F"/>
    <w:rsid w:val="00587E1C"/>
    <w:rsid w:val="005A234F"/>
    <w:rsid w:val="005A6D86"/>
    <w:rsid w:val="005A7019"/>
    <w:rsid w:val="005A7808"/>
    <w:rsid w:val="005B78CD"/>
    <w:rsid w:val="005D37CF"/>
    <w:rsid w:val="005E2762"/>
    <w:rsid w:val="005E5923"/>
    <w:rsid w:val="005F2A57"/>
    <w:rsid w:val="005F7221"/>
    <w:rsid w:val="00605BBE"/>
    <w:rsid w:val="0061249F"/>
    <w:rsid w:val="00624223"/>
    <w:rsid w:val="00630E1A"/>
    <w:rsid w:val="006331A4"/>
    <w:rsid w:val="00635678"/>
    <w:rsid w:val="00636307"/>
    <w:rsid w:val="00650CEE"/>
    <w:rsid w:val="0066074C"/>
    <w:rsid w:val="00672925"/>
    <w:rsid w:val="00680376"/>
    <w:rsid w:val="006865D4"/>
    <w:rsid w:val="0069015D"/>
    <w:rsid w:val="006A36FB"/>
    <w:rsid w:val="006C018F"/>
    <w:rsid w:val="006C0719"/>
    <w:rsid w:val="006D3CA3"/>
    <w:rsid w:val="006E38C1"/>
    <w:rsid w:val="006E4799"/>
    <w:rsid w:val="006F5A9F"/>
    <w:rsid w:val="00700BE6"/>
    <w:rsid w:val="0072558D"/>
    <w:rsid w:val="00726E5A"/>
    <w:rsid w:val="00732C28"/>
    <w:rsid w:val="00741AD1"/>
    <w:rsid w:val="00755BD3"/>
    <w:rsid w:val="00757AA8"/>
    <w:rsid w:val="007603BA"/>
    <w:rsid w:val="007730FB"/>
    <w:rsid w:val="00776883"/>
    <w:rsid w:val="00783F04"/>
    <w:rsid w:val="00790D8F"/>
    <w:rsid w:val="00796DC5"/>
    <w:rsid w:val="007A4B77"/>
    <w:rsid w:val="007C632F"/>
    <w:rsid w:val="007D1C7A"/>
    <w:rsid w:val="007D2D26"/>
    <w:rsid w:val="007D354E"/>
    <w:rsid w:val="007D4E07"/>
    <w:rsid w:val="007D50D8"/>
    <w:rsid w:val="007E1F3B"/>
    <w:rsid w:val="007F0775"/>
    <w:rsid w:val="007F28C5"/>
    <w:rsid w:val="007F7E75"/>
    <w:rsid w:val="0080676B"/>
    <w:rsid w:val="008109D1"/>
    <w:rsid w:val="00811049"/>
    <w:rsid w:val="00815B0E"/>
    <w:rsid w:val="008231A3"/>
    <w:rsid w:val="008242BC"/>
    <w:rsid w:val="00834F64"/>
    <w:rsid w:val="008412F0"/>
    <w:rsid w:val="0084194F"/>
    <w:rsid w:val="008445A3"/>
    <w:rsid w:val="008513F0"/>
    <w:rsid w:val="008605F2"/>
    <w:rsid w:val="008610EB"/>
    <w:rsid w:val="00872B55"/>
    <w:rsid w:val="00873AD9"/>
    <w:rsid w:val="008742FD"/>
    <w:rsid w:val="008927DF"/>
    <w:rsid w:val="008A38B5"/>
    <w:rsid w:val="008A5C02"/>
    <w:rsid w:val="008B114C"/>
    <w:rsid w:val="008D5B71"/>
    <w:rsid w:val="008E0D3C"/>
    <w:rsid w:val="008E5F27"/>
    <w:rsid w:val="00927958"/>
    <w:rsid w:val="009310EF"/>
    <w:rsid w:val="00933471"/>
    <w:rsid w:val="0093413D"/>
    <w:rsid w:val="00951D89"/>
    <w:rsid w:val="0096272A"/>
    <w:rsid w:val="0097718B"/>
    <w:rsid w:val="009774B1"/>
    <w:rsid w:val="00981062"/>
    <w:rsid w:val="00982BC7"/>
    <w:rsid w:val="009866C7"/>
    <w:rsid w:val="009874FC"/>
    <w:rsid w:val="009A6DA7"/>
    <w:rsid w:val="009B762B"/>
    <w:rsid w:val="009C1B39"/>
    <w:rsid w:val="009C5D13"/>
    <w:rsid w:val="009C6622"/>
    <w:rsid w:val="009C6AD5"/>
    <w:rsid w:val="009D1E43"/>
    <w:rsid w:val="009E74B0"/>
    <w:rsid w:val="009E7914"/>
    <w:rsid w:val="009E7A2F"/>
    <w:rsid w:val="00A03A61"/>
    <w:rsid w:val="00A04794"/>
    <w:rsid w:val="00A04B66"/>
    <w:rsid w:val="00A04E9C"/>
    <w:rsid w:val="00A073A9"/>
    <w:rsid w:val="00A21923"/>
    <w:rsid w:val="00A22BD9"/>
    <w:rsid w:val="00A268AE"/>
    <w:rsid w:val="00A3483A"/>
    <w:rsid w:val="00A44C8B"/>
    <w:rsid w:val="00A45EA5"/>
    <w:rsid w:val="00A47B4C"/>
    <w:rsid w:val="00A534E8"/>
    <w:rsid w:val="00A54438"/>
    <w:rsid w:val="00A5547D"/>
    <w:rsid w:val="00A6191A"/>
    <w:rsid w:val="00A67855"/>
    <w:rsid w:val="00A8639D"/>
    <w:rsid w:val="00A97E52"/>
    <w:rsid w:val="00AC7DC5"/>
    <w:rsid w:val="00AD05A7"/>
    <w:rsid w:val="00AD4011"/>
    <w:rsid w:val="00AE151B"/>
    <w:rsid w:val="00AE5076"/>
    <w:rsid w:val="00AF01D7"/>
    <w:rsid w:val="00B0082E"/>
    <w:rsid w:val="00B10482"/>
    <w:rsid w:val="00B132A4"/>
    <w:rsid w:val="00B14D11"/>
    <w:rsid w:val="00B15001"/>
    <w:rsid w:val="00B235C0"/>
    <w:rsid w:val="00B246E8"/>
    <w:rsid w:val="00B24C0D"/>
    <w:rsid w:val="00B27420"/>
    <w:rsid w:val="00B35E68"/>
    <w:rsid w:val="00B35EC3"/>
    <w:rsid w:val="00B36E71"/>
    <w:rsid w:val="00B376F8"/>
    <w:rsid w:val="00B41F37"/>
    <w:rsid w:val="00B618AA"/>
    <w:rsid w:val="00B72DEC"/>
    <w:rsid w:val="00B74401"/>
    <w:rsid w:val="00B77BD2"/>
    <w:rsid w:val="00B9230C"/>
    <w:rsid w:val="00B9332D"/>
    <w:rsid w:val="00B97DC6"/>
    <w:rsid w:val="00BA1C6A"/>
    <w:rsid w:val="00BB1E58"/>
    <w:rsid w:val="00BC191C"/>
    <w:rsid w:val="00BC1B38"/>
    <w:rsid w:val="00BD3F04"/>
    <w:rsid w:val="00BD6140"/>
    <w:rsid w:val="00BD6559"/>
    <w:rsid w:val="00BF3939"/>
    <w:rsid w:val="00BF4619"/>
    <w:rsid w:val="00C060ED"/>
    <w:rsid w:val="00C16E83"/>
    <w:rsid w:val="00C231DD"/>
    <w:rsid w:val="00C24CD0"/>
    <w:rsid w:val="00C256C7"/>
    <w:rsid w:val="00C257C8"/>
    <w:rsid w:val="00C35DF8"/>
    <w:rsid w:val="00C400FE"/>
    <w:rsid w:val="00C46667"/>
    <w:rsid w:val="00C5133D"/>
    <w:rsid w:val="00C5160F"/>
    <w:rsid w:val="00C53F83"/>
    <w:rsid w:val="00C5741D"/>
    <w:rsid w:val="00C64F10"/>
    <w:rsid w:val="00C83FC9"/>
    <w:rsid w:val="00C9562D"/>
    <w:rsid w:val="00CA3C47"/>
    <w:rsid w:val="00CA6127"/>
    <w:rsid w:val="00CB718A"/>
    <w:rsid w:val="00CC0684"/>
    <w:rsid w:val="00CC2ACE"/>
    <w:rsid w:val="00CC40E3"/>
    <w:rsid w:val="00CC66E2"/>
    <w:rsid w:val="00CC77EC"/>
    <w:rsid w:val="00CD34C7"/>
    <w:rsid w:val="00CD6E3B"/>
    <w:rsid w:val="00CE2EA4"/>
    <w:rsid w:val="00CE60E5"/>
    <w:rsid w:val="00CF5663"/>
    <w:rsid w:val="00D00681"/>
    <w:rsid w:val="00D17C28"/>
    <w:rsid w:val="00D260D0"/>
    <w:rsid w:val="00D41C0D"/>
    <w:rsid w:val="00D45890"/>
    <w:rsid w:val="00D726BE"/>
    <w:rsid w:val="00D765E9"/>
    <w:rsid w:val="00D81F51"/>
    <w:rsid w:val="00D84315"/>
    <w:rsid w:val="00D95612"/>
    <w:rsid w:val="00DB39FF"/>
    <w:rsid w:val="00DB6FF2"/>
    <w:rsid w:val="00DC2558"/>
    <w:rsid w:val="00DC5A67"/>
    <w:rsid w:val="00DD23EE"/>
    <w:rsid w:val="00DE7E53"/>
    <w:rsid w:val="00E177D2"/>
    <w:rsid w:val="00E55314"/>
    <w:rsid w:val="00E558EA"/>
    <w:rsid w:val="00E62C61"/>
    <w:rsid w:val="00E751A4"/>
    <w:rsid w:val="00E761CE"/>
    <w:rsid w:val="00E76A57"/>
    <w:rsid w:val="00E8557F"/>
    <w:rsid w:val="00E868DE"/>
    <w:rsid w:val="00E90013"/>
    <w:rsid w:val="00E90D2A"/>
    <w:rsid w:val="00E91042"/>
    <w:rsid w:val="00EA5E53"/>
    <w:rsid w:val="00EA7E93"/>
    <w:rsid w:val="00EB0110"/>
    <w:rsid w:val="00EC27C6"/>
    <w:rsid w:val="00EC5FC2"/>
    <w:rsid w:val="00EF0021"/>
    <w:rsid w:val="00EF049E"/>
    <w:rsid w:val="00EF376D"/>
    <w:rsid w:val="00EF5058"/>
    <w:rsid w:val="00EF535D"/>
    <w:rsid w:val="00F01F0B"/>
    <w:rsid w:val="00F01F2B"/>
    <w:rsid w:val="00F24A06"/>
    <w:rsid w:val="00F268E4"/>
    <w:rsid w:val="00F3772E"/>
    <w:rsid w:val="00F40D46"/>
    <w:rsid w:val="00F41A19"/>
    <w:rsid w:val="00F532E0"/>
    <w:rsid w:val="00F742ED"/>
    <w:rsid w:val="00F85BA3"/>
    <w:rsid w:val="00F92C14"/>
    <w:rsid w:val="00F97500"/>
    <w:rsid w:val="00FA2D2B"/>
    <w:rsid w:val="00FB3A78"/>
    <w:rsid w:val="00FC008B"/>
    <w:rsid w:val="00FC048A"/>
    <w:rsid w:val="00FC22C1"/>
    <w:rsid w:val="00FC58C9"/>
    <w:rsid w:val="00FE0375"/>
    <w:rsid w:val="00FE5948"/>
    <w:rsid w:val="00FF298A"/>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58F60"/>
  <w15:chartTrackingRefBased/>
  <w15:docId w15:val="{FC8C0D09-D1C3-4356-92F2-F894F0A3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qFormat/>
    <w:rsid w:val="00F40D46"/>
    <w:pPr>
      <w:spacing w:after="0" w:line="360" w:lineRule="auto"/>
      <w:jc w:val="both"/>
    </w:pPr>
    <w:rPr>
      <w:rFonts w:ascii="Arial" w:hAnsi="Arial" w:cs="Arial"/>
      <w:bCs/>
      <w:kern w:val="0"/>
      <w:sz w:val="16"/>
      <w:szCs w:val="16"/>
      <w14:ligatures w14:val="none"/>
    </w:rPr>
  </w:style>
  <w:style w:type="table" w:styleId="ListTable2-Accent5">
    <w:name w:val="List Table 2 Accent 5"/>
    <w:basedOn w:val="TableNormal"/>
    <w:uiPriority w:val="47"/>
    <w:rsid w:val="00C5741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A44C8B"/>
    <w:pPr>
      <w:ind w:left="720"/>
      <w:contextualSpacing/>
    </w:pPr>
  </w:style>
  <w:style w:type="character" w:styleId="Hyperlink">
    <w:name w:val="Hyperlink"/>
    <w:basedOn w:val="DefaultParagraphFont"/>
    <w:uiPriority w:val="99"/>
    <w:unhideWhenUsed/>
    <w:rsid w:val="00346B0B"/>
    <w:rPr>
      <w:color w:val="0563C1" w:themeColor="hyperlink"/>
      <w:u w:val="single"/>
    </w:rPr>
  </w:style>
  <w:style w:type="character" w:styleId="UnresolvedMention">
    <w:name w:val="Unresolved Mention"/>
    <w:basedOn w:val="DefaultParagraphFont"/>
    <w:uiPriority w:val="99"/>
    <w:semiHidden/>
    <w:unhideWhenUsed/>
    <w:rsid w:val="00346B0B"/>
    <w:rPr>
      <w:color w:val="605E5C"/>
      <w:shd w:val="clear" w:color="auto" w:fill="E1DFDD"/>
    </w:rPr>
  </w:style>
  <w:style w:type="paragraph" w:styleId="Header">
    <w:name w:val="header"/>
    <w:basedOn w:val="Normal"/>
    <w:link w:val="HeaderChar"/>
    <w:uiPriority w:val="99"/>
    <w:unhideWhenUsed/>
    <w:rsid w:val="0097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8B"/>
  </w:style>
  <w:style w:type="paragraph" w:styleId="Footer">
    <w:name w:val="footer"/>
    <w:basedOn w:val="Normal"/>
    <w:link w:val="FooterChar"/>
    <w:uiPriority w:val="99"/>
    <w:unhideWhenUsed/>
    <w:rsid w:val="0097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8B"/>
  </w:style>
  <w:style w:type="paragraph" w:styleId="NoSpacing">
    <w:name w:val="No Spacing"/>
    <w:uiPriority w:val="1"/>
    <w:qFormat/>
    <w:rsid w:val="00823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S\Desktop\GAS_INJECTION\gasLiftFeneXwe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Extracted data (Hydrogen) </c:v>
          </c:tx>
          <c:spPr>
            <a:ln w="9525" cap="rnd">
              <a:solidFill>
                <a:schemeClr val="accent1"/>
              </a:solidFill>
              <a:round/>
            </a:ln>
            <a:effectLst/>
          </c:spPr>
          <c:marker>
            <c:symbol val="none"/>
          </c:marker>
          <c:xVal>
            <c:numRef>
              <c:f>Sheet1!$B$4:$B$8</c:f>
              <c:numCache>
                <c:formatCode>General</c:formatCode>
                <c:ptCount val="5"/>
                <c:pt idx="0">
                  <c:v>2900</c:v>
                </c:pt>
                <c:pt idx="1">
                  <c:v>5800</c:v>
                </c:pt>
                <c:pt idx="2">
                  <c:v>8700</c:v>
                </c:pt>
                <c:pt idx="3">
                  <c:v>11600</c:v>
                </c:pt>
                <c:pt idx="4">
                  <c:v>14500</c:v>
                </c:pt>
              </c:numCache>
            </c:numRef>
          </c:xVal>
          <c:yVal>
            <c:numRef>
              <c:f>Sheet1!$E$4:$E$8</c:f>
              <c:numCache>
                <c:formatCode>General</c:formatCode>
                <c:ptCount val="5"/>
                <c:pt idx="0">
                  <c:v>0.88</c:v>
                </c:pt>
                <c:pt idx="1">
                  <c:v>1.54</c:v>
                </c:pt>
                <c:pt idx="2">
                  <c:v>2.02</c:v>
                </c:pt>
                <c:pt idx="3">
                  <c:v>2.38</c:v>
                </c:pt>
                <c:pt idx="4">
                  <c:v>2.68</c:v>
                </c:pt>
              </c:numCache>
            </c:numRef>
          </c:yVal>
          <c:smooth val="1"/>
          <c:extLst>
            <c:ext xmlns:c16="http://schemas.microsoft.com/office/drawing/2014/chart" uri="{C3380CC4-5D6E-409C-BE32-E72D297353CC}">
              <c16:uniqueId val="{00000000-19CC-4B47-9202-ACC086C69AD8}"/>
            </c:ext>
          </c:extLst>
        </c:ser>
        <c:ser>
          <c:idx val="1"/>
          <c:order val="1"/>
          <c:tx>
            <c:v>Extracted data (Methane)</c:v>
          </c:tx>
          <c:spPr>
            <a:ln w="9525" cap="rnd">
              <a:solidFill>
                <a:schemeClr val="accent2"/>
              </a:solidFill>
              <a:round/>
            </a:ln>
            <a:effectLst/>
          </c:spPr>
          <c:marker>
            <c:symbol val="none"/>
          </c:marker>
          <c:xVal>
            <c:numRef>
              <c:f>Sheet1!$B$4:$B$8</c:f>
              <c:numCache>
                <c:formatCode>General</c:formatCode>
                <c:ptCount val="5"/>
                <c:pt idx="0">
                  <c:v>2900</c:v>
                </c:pt>
                <c:pt idx="1">
                  <c:v>5800</c:v>
                </c:pt>
                <c:pt idx="2">
                  <c:v>8700</c:v>
                </c:pt>
                <c:pt idx="3">
                  <c:v>11600</c:v>
                </c:pt>
                <c:pt idx="4">
                  <c:v>14500</c:v>
                </c:pt>
              </c:numCache>
            </c:numRef>
          </c:xVal>
          <c:yVal>
            <c:numRef>
              <c:f>Sheet1!$F$4:$F$8</c:f>
              <c:numCache>
                <c:formatCode>General</c:formatCode>
                <c:ptCount val="5"/>
                <c:pt idx="0">
                  <c:v>0.74</c:v>
                </c:pt>
                <c:pt idx="1">
                  <c:v>1.36</c:v>
                </c:pt>
                <c:pt idx="2">
                  <c:v>1.72</c:v>
                </c:pt>
                <c:pt idx="3">
                  <c:v>2.14</c:v>
                </c:pt>
                <c:pt idx="4">
                  <c:v>2.37</c:v>
                </c:pt>
              </c:numCache>
            </c:numRef>
          </c:yVal>
          <c:smooth val="1"/>
          <c:extLst>
            <c:ext xmlns:c16="http://schemas.microsoft.com/office/drawing/2014/chart" uri="{C3380CC4-5D6E-409C-BE32-E72D297353CC}">
              <c16:uniqueId val="{00000001-19CC-4B47-9202-ACC086C69AD8}"/>
            </c:ext>
          </c:extLst>
        </c:ser>
        <c:dLbls>
          <c:showLegendKey val="0"/>
          <c:showVal val="0"/>
          <c:showCatName val="0"/>
          <c:showSerName val="0"/>
          <c:showPercent val="0"/>
          <c:showBubbleSize val="0"/>
        </c:dLbls>
        <c:axId val="1716240447"/>
        <c:axId val="1718296095"/>
      </c:scatterChart>
      <c:valAx>
        <c:axId val="171624044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Pressure,</a:t>
                </a:r>
                <a:r>
                  <a:rPr lang="en-US" sz="900" baseline="0">
                    <a:solidFill>
                      <a:sysClr val="windowText" lastClr="000000"/>
                    </a:solidFill>
                    <a:latin typeface="Arial" panose="020B0604020202020204" pitchFamily="34" charset="0"/>
                    <a:cs typeface="Arial" panose="020B0604020202020204" pitchFamily="34" charset="0"/>
                  </a:rPr>
                  <a:t> psia</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8296095"/>
        <c:crosses val="autoZero"/>
        <c:crossBetween val="midCat"/>
      </c:valAx>
      <c:valAx>
        <c:axId val="171829609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Density,</a:t>
                </a:r>
                <a:r>
                  <a:rPr lang="en-US" sz="900" baseline="0">
                    <a:latin typeface="Arial" panose="020B0604020202020204" pitchFamily="34" charset="0"/>
                    <a:cs typeface="Arial" panose="020B0604020202020204" pitchFamily="34" charset="0"/>
                  </a:rPr>
                  <a:t> lb/ft</a:t>
                </a:r>
                <a:r>
                  <a:rPr lang="en-US" sz="900" baseline="30000">
                    <a:latin typeface="Arial" panose="020B0604020202020204" pitchFamily="34" charset="0"/>
                    <a:cs typeface="Arial" panose="020B0604020202020204" pitchFamily="34" charset="0"/>
                  </a:rPr>
                  <a:t>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62404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In-house VLP model</c:v>
          </c:tx>
          <c:spPr>
            <a:solidFill>
              <a:schemeClr val="accent1"/>
            </a:solidFill>
            <a:ln>
              <a:noFill/>
            </a:ln>
            <a:effectLst/>
          </c:spPr>
          <c:invertIfNegative val="0"/>
          <c:cat>
            <c:numRef>
              <c:f>REPRES2100!$O$4:$O$5</c:f>
              <c:numCache>
                <c:formatCode>General</c:formatCode>
                <c:ptCount val="2"/>
                <c:pt idx="0">
                  <c:v>0</c:v>
                </c:pt>
                <c:pt idx="1">
                  <c:v>10</c:v>
                </c:pt>
              </c:numCache>
              <c:extLst/>
            </c:numRef>
          </c:cat>
          <c:val>
            <c:numRef>
              <c:f>REPRES2100!$S$4:$S$5</c:f>
              <c:numCache>
                <c:formatCode>General</c:formatCode>
                <c:ptCount val="2"/>
                <c:pt idx="0">
                  <c:v>606.77959999999996</c:v>
                </c:pt>
                <c:pt idx="1">
                  <c:v>608.26639999999998</c:v>
                </c:pt>
              </c:numCache>
              <c:extLst/>
            </c:numRef>
          </c:val>
          <c:extLst>
            <c:ext xmlns:c16="http://schemas.microsoft.com/office/drawing/2014/chart" uri="{C3380CC4-5D6E-409C-BE32-E72D297353CC}">
              <c16:uniqueId val="{00000000-9B29-4B69-87CD-C06888D80736}"/>
            </c:ext>
          </c:extLst>
        </c:ser>
        <c:ser>
          <c:idx val="1"/>
          <c:order val="1"/>
          <c:tx>
            <c:v>Mukerjee-Brill model </c:v>
          </c:tx>
          <c:spPr>
            <a:solidFill>
              <a:schemeClr val="accent2"/>
            </a:solidFill>
            <a:ln>
              <a:noFill/>
            </a:ln>
            <a:effectLst/>
          </c:spPr>
          <c:invertIfNegative val="0"/>
          <c:cat>
            <c:numRef>
              <c:f>REPRES2100!$O$4:$O$5</c:f>
              <c:numCache>
                <c:formatCode>General</c:formatCode>
                <c:ptCount val="2"/>
                <c:pt idx="0">
                  <c:v>0</c:v>
                </c:pt>
                <c:pt idx="1">
                  <c:v>10</c:v>
                </c:pt>
              </c:numCache>
              <c:extLst/>
            </c:numRef>
          </c:cat>
          <c:val>
            <c:numRef>
              <c:f>REPRES2100!$Z$4:$Z$5</c:f>
              <c:numCache>
                <c:formatCode>General</c:formatCode>
                <c:ptCount val="2"/>
                <c:pt idx="0">
                  <c:v>490.5</c:v>
                </c:pt>
                <c:pt idx="1">
                  <c:v>492.4</c:v>
                </c:pt>
              </c:numCache>
              <c:extLst/>
            </c:numRef>
          </c:val>
          <c:extLst>
            <c:ext xmlns:c16="http://schemas.microsoft.com/office/drawing/2014/chart" uri="{C3380CC4-5D6E-409C-BE32-E72D297353CC}">
              <c16:uniqueId val="{00000001-9B29-4B69-87CD-C06888D80736}"/>
            </c:ext>
          </c:extLst>
        </c:ser>
        <c:ser>
          <c:idx val="2"/>
          <c:order val="2"/>
          <c:tx>
            <c:v>Hagedorn-Brown model</c:v>
          </c:tx>
          <c:spPr>
            <a:solidFill>
              <a:schemeClr val="accent3"/>
            </a:solidFill>
            <a:ln>
              <a:noFill/>
            </a:ln>
            <a:effectLst/>
          </c:spPr>
          <c:invertIfNegative val="0"/>
          <c:cat>
            <c:numRef>
              <c:f>REPRES2100!$O$4:$O$5</c:f>
              <c:numCache>
                <c:formatCode>General</c:formatCode>
                <c:ptCount val="2"/>
                <c:pt idx="0">
                  <c:v>0</c:v>
                </c:pt>
                <c:pt idx="1">
                  <c:v>10</c:v>
                </c:pt>
              </c:numCache>
              <c:extLst/>
            </c:numRef>
          </c:cat>
          <c:val>
            <c:numRef>
              <c:f>REPRES2100!$AB$4:$AB$5</c:f>
              <c:numCache>
                <c:formatCode>General</c:formatCode>
                <c:ptCount val="2"/>
                <c:pt idx="0">
                  <c:v>662.7</c:v>
                </c:pt>
                <c:pt idx="1">
                  <c:v>664</c:v>
                </c:pt>
              </c:numCache>
              <c:extLst/>
            </c:numRef>
          </c:val>
          <c:extLst>
            <c:ext xmlns:c16="http://schemas.microsoft.com/office/drawing/2014/chart" uri="{C3380CC4-5D6E-409C-BE32-E72D297353CC}">
              <c16:uniqueId val="{00000002-9B29-4B69-87CD-C06888D80736}"/>
            </c:ext>
          </c:extLst>
        </c:ser>
        <c:dLbls>
          <c:showLegendKey val="0"/>
          <c:showVal val="0"/>
          <c:showCatName val="0"/>
          <c:showSerName val="0"/>
          <c:showPercent val="0"/>
          <c:showBubbleSize val="0"/>
        </c:dLbls>
        <c:gapWidth val="150"/>
        <c:axId val="640851264"/>
        <c:axId val="640852224"/>
      </c:barChart>
      <c:lineChart>
        <c:grouping val="standard"/>
        <c:varyColors val="0"/>
        <c:ser>
          <c:idx val="3"/>
          <c:order val="3"/>
          <c:tx>
            <c:v>Well test</c:v>
          </c:tx>
          <c:spPr>
            <a:ln w="19050" cap="rnd">
              <a:solidFill>
                <a:schemeClr val="accent4"/>
              </a:solidFill>
              <a:round/>
            </a:ln>
            <a:effectLst/>
          </c:spPr>
          <c:marker>
            <c:symbol val="x"/>
            <c:size val="6"/>
            <c:spPr>
              <a:solidFill>
                <a:srgbClr val="FF0000"/>
              </a:solidFill>
              <a:ln w="9525">
                <a:solidFill>
                  <a:srgbClr val="FF0000"/>
                </a:solidFill>
              </a:ln>
              <a:effectLst/>
            </c:spPr>
          </c:marker>
          <c:cat>
            <c:numRef>
              <c:f>REPRES2100!$O$4</c:f>
              <c:numCache>
                <c:formatCode>General</c:formatCode>
                <c:ptCount val="1"/>
                <c:pt idx="0">
                  <c:v>0</c:v>
                </c:pt>
              </c:numCache>
              <c:extLst/>
            </c:numRef>
          </c:cat>
          <c:val>
            <c:numRef>
              <c:f>REPRES2100!$D$1</c:f>
              <c:numCache>
                <c:formatCode>General</c:formatCode>
                <c:ptCount val="1"/>
                <c:pt idx="0">
                  <c:v>597</c:v>
                </c:pt>
              </c:numCache>
              <c:extLst/>
            </c:numRef>
          </c:val>
          <c:smooth val="0"/>
          <c:extLst>
            <c:ext xmlns:c16="http://schemas.microsoft.com/office/drawing/2014/chart" uri="{C3380CC4-5D6E-409C-BE32-E72D297353CC}">
              <c16:uniqueId val="{00000003-9B29-4B69-87CD-C06888D80736}"/>
            </c:ext>
          </c:extLst>
        </c:ser>
        <c:dLbls>
          <c:showLegendKey val="0"/>
          <c:showVal val="0"/>
          <c:showCatName val="0"/>
          <c:showSerName val="0"/>
          <c:showPercent val="0"/>
          <c:showBubbleSize val="0"/>
        </c:dLbls>
        <c:marker val="1"/>
        <c:smooth val="0"/>
        <c:axId val="640851264"/>
        <c:axId val="640852224"/>
      </c:lineChart>
      <c:catAx>
        <c:axId val="640851264"/>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a:t>
                </a:r>
                <a:r>
                  <a:rPr lang="en-US" sz="900" baseline="0">
                    <a:solidFill>
                      <a:sysClr val="windowText" lastClr="000000"/>
                    </a:solidFill>
                    <a:latin typeface="Arial" panose="020B0604020202020204" pitchFamily="34" charset="0"/>
                    <a:cs typeface="Arial" panose="020B0604020202020204" pitchFamily="34" charset="0"/>
                  </a:rPr>
                  <a:t> Hydrogen gas</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852224"/>
        <c:crosses val="autoZero"/>
        <c:auto val="1"/>
        <c:lblAlgn val="ctr"/>
        <c:lblOffset val="100"/>
        <c:noMultiLvlLbl val="1"/>
      </c:catAx>
      <c:valAx>
        <c:axId val="6408522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Oil</a:t>
                </a:r>
                <a:r>
                  <a:rPr lang="en-US" sz="900" baseline="0">
                    <a:solidFill>
                      <a:sysClr val="windowText" lastClr="000000"/>
                    </a:solidFill>
                    <a:latin typeface="Arial" panose="020B0604020202020204" pitchFamily="34" charset="0"/>
                    <a:cs typeface="Arial" panose="020B0604020202020204" pitchFamily="34" charset="0"/>
                  </a:rPr>
                  <a:t>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851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Simulated case Oil rate (stb/d)</c:v>
          </c:tx>
          <c:spPr>
            <a:noFill/>
            <a:ln>
              <a:solidFill>
                <a:schemeClr val="accent1"/>
              </a:solidFill>
            </a:ln>
            <a:effectLst/>
          </c:spPr>
          <c:invertIfNegative val="0"/>
          <c:cat>
            <c:numRef>
              <c:f>REPRES2100!$O$4:$O$12</c:f>
              <c:numCache>
                <c:formatCode>General</c:formatCode>
                <c:ptCount val="9"/>
                <c:pt idx="0">
                  <c:v>0</c:v>
                </c:pt>
                <c:pt idx="1">
                  <c:v>10</c:v>
                </c:pt>
                <c:pt idx="2">
                  <c:v>20</c:v>
                </c:pt>
                <c:pt idx="3">
                  <c:v>30</c:v>
                </c:pt>
                <c:pt idx="4">
                  <c:v>40</c:v>
                </c:pt>
                <c:pt idx="5">
                  <c:v>50</c:v>
                </c:pt>
                <c:pt idx="6">
                  <c:v>60</c:v>
                </c:pt>
                <c:pt idx="7">
                  <c:v>80</c:v>
                </c:pt>
                <c:pt idx="8">
                  <c:v>90</c:v>
                </c:pt>
              </c:numCache>
            </c:numRef>
          </c:cat>
          <c:val>
            <c:numRef>
              <c:f>REPRES2100!$S$4:$S$12</c:f>
              <c:numCache>
                <c:formatCode>General</c:formatCode>
                <c:ptCount val="9"/>
                <c:pt idx="0">
                  <c:v>606.77959999999996</c:v>
                </c:pt>
                <c:pt idx="1">
                  <c:v>608.26639999999998</c:v>
                </c:pt>
                <c:pt idx="2">
                  <c:v>609.63519999999994</c:v>
                </c:pt>
                <c:pt idx="3">
                  <c:v>610.93319999999994</c:v>
                </c:pt>
                <c:pt idx="4">
                  <c:v>612.16039999999998</c:v>
                </c:pt>
                <c:pt idx="5">
                  <c:v>613.29319999999996</c:v>
                </c:pt>
                <c:pt idx="6">
                  <c:v>614.35519999999997</c:v>
                </c:pt>
                <c:pt idx="7">
                  <c:v>616.29039999999998</c:v>
                </c:pt>
                <c:pt idx="8">
                  <c:v>617.18719999999996</c:v>
                </c:pt>
              </c:numCache>
            </c:numRef>
          </c:val>
          <c:extLst>
            <c:ext xmlns:c16="http://schemas.microsoft.com/office/drawing/2014/chart" uri="{C3380CC4-5D6E-409C-BE32-E72D297353CC}">
              <c16:uniqueId val="{00000000-BA68-4446-B956-EB14D288D8F2}"/>
            </c:ext>
          </c:extLst>
        </c:ser>
        <c:dLbls>
          <c:showLegendKey val="0"/>
          <c:showVal val="0"/>
          <c:showCatName val="0"/>
          <c:showSerName val="0"/>
          <c:showPercent val="0"/>
          <c:showBubbleSize val="0"/>
        </c:dLbls>
        <c:gapWidth val="150"/>
        <c:axId val="1315677007"/>
        <c:axId val="1315673647"/>
      </c:barChart>
      <c:lineChart>
        <c:grouping val="standard"/>
        <c:varyColors val="0"/>
        <c:ser>
          <c:idx val="1"/>
          <c:order val="1"/>
          <c:tx>
            <c:v>Field case Oil rate (stb/d)</c:v>
          </c:tx>
          <c:spPr>
            <a:ln w="19050" cap="rnd">
              <a:solidFill>
                <a:schemeClr val="accent2"/>
              </a:solidFill>
              <a:round/>
            </a:ln>
            <a:effectLst/>
          </c:spPr>
          <c:marker>
            <c:symbol val="x"/>
            <c:size val="6"/>
            <c:spPr>
              <a:solidFill>
                <a:srgbClr val="FF0000"/>
              </a:solidFill>
              <a:ln w="9525">
                <a:solidFill>
                  <a:srgbClr val="FF0000"/>
                </a:solidFill>
              </a:ln>
              <a:effectLst/>
            </c:spPr>
          </c:marker>
          <c:cat>
            <c:numRef>
              <c:f>REPRES2100!$O$4</c:f>
              <c:numCache>
                <c:formatCode>General</c:formatCode>
                <c:ptCount val="1"/>
                <c:pt idx="0">
                  <c:v>0</c:v>
                </c:pt>
              </c:numCache>
            </c:numRef>
          </c:cat>
          <c:val>
            <c:numRef>
              <c:f>REPRES2100!$D$1</c:f>
              <c:numCache>
                <c:formatCode>General</c:formatCode>
                <c:ptCount val="1"/>
                <c:pt idx="0">
                  <c:v>597</c:v>
                </c:pt>
              </c:numCache>
            </c:numRef>
          </c:val>
          <c:smooth val="0"/>
          <c:extLst>
            <c:ext xmlns:c16="http://schemas.microsoft.com/office/drawing/2014/chart" uri="{C3380CC4-5D6E-409C-BE32-E72D297353CC}">
              <c16:uniqueId val="{00000001-BA68-4446-B956-EB14D288D8F2}"/>
            </c:ext>
          </c:extLst>
        </c:ser>
        <c:dLbls>
          <c:showLegendKey val="0"/>
          <c:showVal val="0"/>
          <c:showCatName val="0"/>
          <c:showSerName val="0"/>
          <c:showPercent val="0"/>
          <c:showBubbleSize val="0"/>
        </c:dLbls>
        <c:marker val="1"/>
        <c:smooth val="0"/>
        <c:axId val="1315677007"/>
        <c:axId val="1315673647"/>
      </c:lineChart>
      <c:lineChart>
        <c:grouping val="standard"/>
        <c:varyColors val="0"/>
        <c:ser>
          <c:idx val="2"/>
          <c:order val="2"/>
          <c:tx>
            <c:v>Inc. Oil rate (stb/d)</c:v>
          </c:tx>
          <c:spPr>
            <a:ln w="9525" cap="rnd">
              <a:solidFill>
                <a:schemeClr val="tx1"/>
              </a:solidFill>
              <a:round/>
            </a:ln>
            <a:effectLst/>
          </c:spPr>
          <c:marker>
            <c:symbol val="diamond"/>
            <c:size val="5"/>
            <c:spPr>
              <a:solidFill>
                <a:schemeClr val="tx1"/>
              </a:solidFill>
              <a:ln w="9525">
                <a:solidFill>
                  <a:schemeClr val="tx1"/>
                </a:solidFill>
              </a:ln>
              <a:effectLst/>
            </c:spPr>
          </c:marker>
          <c:cat>
            <c:numRef>
              <c:f>REPRES2100!$O$4:$O$12</c:f>
              <c:numCache>
                <c:formatCode>General</c:formatCode>
                <c:ptCount val="9"/>
                <c:pt idx="0">
                  <c:v>0</c:v>
                </c:pt>
                <c:pt idx="1">
                  <c:v>10</c:v>
                </c:pt>
                <c:pt idx="2">
                  <c:v>20</c:v>
                </c:pt>
                <c:pt idx="3">
                  <c:v>30</c:v>
                </c:pt>
                <c:pt idx="4">
                  <c:v>40</c:v>
                </c:pt>
                <c:pt idx="5">
                  <c:v>50</c:v>
                </c:pt>
                <c:pt idx="6">
                  <c:v>60</c:v>
                </c:pt>
                <c:pt idx="7">
                  <c:v>80</c:v>
                </c:pt>
                <c:pt idx="8">
                  <c:v>90</c:v>
                </c:pt>
              </c:numCache>
            </c:numRef>
          </c:cat>
          <c:val>
            <c:numRef>
              <c:f>REPRES2100!$T$4:$T$12</c:f>
              <c:numCache>
                <c:formatCode>General</c:formatCode>
                <c:ptCount val="9"/>
                <c:pt idx="0">
                  <c:v>9.7795999999999594</c:v>
                </c:pt>
                <c:pt idx="1">
                  <c:v>11.266399999999976</c:v>
                </c:pt>
                <c:pt idx="2">
                  <c:v>12.635199999999941</c:v>
                </c:pt>
                <c:pt idx="3">
                  <c:v>13.933199999999943</c:v>
                </c:pt>
                <c:pt idx="4">
                  <c:v>15.160399999999981</c:v>
                </c:pt>
                <c:pt idx="5">
                  <c:v>16.293199999999956</c:v>
                </c:pt>
                <c:pt idx="6">
                  <c:v>17.355199999999968</c:v>
                </c:pt>
                <c:pt idx="7">
                  <c:v>19.290399999999977</c:v>
                </c:pt>
                <c:pt idx="8">
                  <c:v>20.187199999999962</c:v>
                </c:pt>
              </c:numCache>
            </c:numRef>
          </c:val>
          <c:smooth val="0"/>
          <c:extLst>
            <c:ext xmlns:c16="http://schemas.microsoft.com/office/drawing/2014/chart" uri="{C3380CC4-5D6E-409C-BE32-E72D297353CC}">
              <c16:uniqueId val="{00000002-BA68-4446-B956-EB14D288D8F2}"/>
            </c:ext>
          </c:extLst>
        </c:ser>
        <c:dLbls>
          <c:showLegendKey val="0"/>
          <c:showVal val="0"/>
          <c:showCatName val="0"/>
          <c:showSerName val="0"/>
          <c:showPercent val="0"/>
          <c:showBubbleSize val="0"/>
        </c:dLbls>
        <c:marker val="1"/>
        <c:smooth val="0"/>
        <c:axId val="1905341696"/>
        <c:axId val="1905342176"/>
      </c:lineChart>
      <c:catAx>
        <c:axId val="13156770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Hydrogen</a:t>
                </a:r>
                <a:r>
                  <a:rPr lang="en-US" sz="900" baseline="0">
                    <a:solidFill>
                      <a:sysClr val="windowText" lastClr="000000"/>
                    </a:solidFill>
                    <a:latin typeface="Arial" panose="020B0604020202020204" pitchFamily="34" charset="0"/>
                    <a:cs typeface="Arial" panose="020B0604020202020204" pitchFamily="34" charset="0"/>
                  </a:rPr>
                  <a:t> gas (%)</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673647"/>
        <c:crosses val="autoZero"/>
        <c:auto val="1"/>
        <c:lblAlgn val="ctr"/>
        <c:lblOffset val="100"/>
        <c:noMultiLvlLbl val="1"/>
      </c:catAx>
      <c:valAx>
        <c:axId val="131567364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Simulated</a:t>
                </a:r>
                <a:r>
                  <a:rPr lang="en-US" sz="900" baseline="0">
                    <a:solidFill>
                      <a:sysClr val="windowText" lastClr="000000"/>
                    </a:solidFill>
                    <a:latin typeface="Arial" panose="020B0604020202020204" pitchFamily="34" charset="0"/>
                    <a:cs typeface="Arial" panose="020B0604020202020204" pitchFamily="34" charset="0"/>
                  </a:rPr>
                  <a:t> oil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677007"/>
        <c:crosses val="autoZero"/>
        <c:crossBetween val="between"/>
      </c:valAx>
      <c:valAx>
        <c:axId val="19053421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Incremental oil</a:t>
                </a:r>
                <a:r>
                  <a:rPr lang="en-US" sz="900" baseline="0">
                    <a:solidFill>
                      <a:sysClr val="windowText" lastClr="000000"/>
                    </a:solidFill>
                    <a:latin typeface="Arial" panose="020B0604020202020204" pitchFamily="34" charset="0"/>
                    <a:cs typeface="Arial" panose="020B0604020202020204" pitchFamily="34" charset="0"/>
                  </a:rPr>
                  <a:t>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5341696"/>
        <c:crosses val="max"/>
        <c:crossBetween val="between"/>
      </c:valAx>
      <c:catAx>
        <c:axId val="1905341696"/>
        <c:scaling>
          <c:orientation val="minMax"/>
        </c:scaling>
        <c:delete val="1"/>
        <c:axPos val="b"/>
        <c:numFmt formatCode="General" sourceLinked="1"/>
        <c:majorTickMark val="out"/>
        <c:minorTickMark val="none"/>
        <c:tickLblPos val="nextTo"/>
        <c:crossAx val="1905342176"/>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0% HydrogenGas; GOR=600 scf/stb</c:v>
          </c:tx>
          <c:spPr>
            <a:ln w="9525" cap="rnd">
              <a:solidFill>
                <a:schemeClr val="accent1"/>
              </a:solidFill>
              <a:round/>
            </a:ln>
            <a:effectLst/>
          </c:spPr>
          <c:marker>
            <c:symbol val="circle"/>
            <c:size val="5"/>
            <c:spPr>
              <a:solidFill>
                <a:srgbClr val="00B050"/>
              </a:solidFill>
              <a:ln w="9525">
                <a:solidFill>
                  <a:schemeClr val="accent1"/>
                </a:solidFill>
              </a:ln>
              <a:effectLst/>
            </c:spPr>
          </c:marker>
          <c:xVal>
            <c:numRef>
              <c:f>'Inj-G-ANA'!$E$5:$E$11</c:f>
              <c:numCache>
                <c:formatCode>General</c:formatCode>
                <c:ptCount val="7"/>
                <c:pt idx="0">
                  <c:v>0.35</c:v>
                </c:pt>
                <c:pt idx="1">
                  <c:v>0.4</c:v>
                </c:pt>
                <c:pt idx="2">
                  <c:v>0.45</c:v>
                </c:pt>
                <c:pt idx="3">
                  <c:v>0.5</c:v>
                </c:pt>
                <c:pt idx="4">
                  <c:v>0.55000000000000004</c:v>
                </c:pt>
                <c:pt idx="5">
                  <c:v>0.6</c:v>
                </c:pt>
                <c:pt idx="6">
                  <c:v>0.65</c:v>
                </c:pt>
              </c:numCache>
            </c:numRef>
          </c:xVal>
          <c:yVal>
            <c:numRef>
              <c:f>'Inj-G-ANA'!$G$5:$G$11</c:f>
              <c:numCache>
                <c:formatCode>General</c:formatCode>
                <c:ptCount val="7"/>
                <c:pt idx="0">
                  <c:v>228.85839999999996</c:v>
                </c:pt>
                <c:pt idx="1">
                  <c:v>240.72919999999988</c:v>
                </c:pt>
                <c:pt idx="2">
                  <c:v>250.6884</c:v>
                </c:pt>
                <c:pt idx="3">
                  <c:v>260.34079999999994</c:v>
                </c:pt>
                <c:pt idx="4">
                  <c:v>268.81319999999994</c:v>
                </c:pt>
                <c:pt idx="5">
                  <c:v>275.35039999999992</c:v>
                </c:pt>
                <c:pt idx="6">
                  <c:v>282.05280000000005</c:v>
                </c:pt>
              </c:numCache>
            </c:numRef>
          </c:yVal>
          <c:smooth val="1"/>
          <c:extLst>
            <c:ext xmlns:c16="http://schemas.microsoft.com/office/drawing/2014/chart" uri="{C3380CC4-5D6E-409C-BE32-E72D297353CC}">
              <c16:uniqueId val="{00000000-C6B8-432D-8252-8B404B7B0E25}"/>
            </c:ext>
          </c:extLst>
        </c:ser>
        <c:ser>
          <c:idx val="1"/>
          <c:order val="1"/>
          <c:tx>
            <c:v>10%HydrogenGas; GOR= 600 scf/stb</c:v>
          </c:tx>
          <c:spPr>
            <a:ln w="9525" cap="rnd">
              <a:solidFill>
                <a:schemeClr val="accent2"/>
              </a:solidFill>
              <a:round/>
            </a:ln>
            <a:effectLst/>
          </c:spPr>
          <c:marker>
            <c:symbol val="circle"/>
            <c:size val="5"/>
            <c:spPr>
              <a:solidFill>
                <a:schemeClr val="accent2"/>
              </a:solidFill>
              <a:ln w="9525">
                <a:solidFill>
                  <a:schemeClr val="accent2"/>
                </a:solidFill>
              </a:ln>
              <a:effectLst/>
            </c:spPr>
          </c:marker>
          <c:xVal>
            <c:numRef>
              <c:f>'Inj-G-ANA'!$E$5:$E$11</c:f>
              <c:numCache>
                <c:formatCode>General</c:formatCode>
                <c:ptCount val="7"/>
                <c:pt idx="0">
                  <c:v>0.35</c:v>
                </c:pt>
                <c:pt idx="1">
                  <c:v>0.4</c:v>
                </c:pt>
                <c:pt idx="2">
                  <c:v>0.45</c:v>
                </c:pt>
                <c:pt idx="3">
                  <c:v>0.5</c:v>
                </c:pt>
                <c:pt idx="4">
                  <c:v>0.55000000000000004</c:v>
                </c:pt>
                <c:pt idx="5">
                  <c:v>0.6</c:v>
                </c:pt>
                <c:pt idx="6">
                  <c:v>0.65</c:v>
                </c:pt>
              </c:numCache>
            </c:numRef>
          </c:xVal>
          <c:yVal>
            <c:numRef>
              <c:f>'Inj-G-ANA'!$I$5:$I$11</c:f>
              <c:numCache>
                <c:formatCode>General</c:formatCode>
                <c:ptCount val="7"/>
                <c:pt idx="0">
                  <c:v>240.13919999999996</c:v>
                </c:pt>
                <c:pt idx="1">
                  <c:v>252.8359999999999</c:v>
                </c:pt>
                <c:pt idx="2">
                  <c:v>263.95159999999998</c:v>
                </c:pt>
                <c:pt idx="3">
                  <c:v>272.5655999999999</c:v>
                </c:pt>
                <c:pt idx="4">
                  <c:v>281.13239999999996</c:v>
                </c:pt>
                <c:pt idx="5">
                  <c:v>288.63719999999989</c:v>
                </c:pt>
                <c:pt idx="6">
                  <c:v>294.37199999999996</c:v>
                </c:pt>
              </c:numCache>
            </c:numRef>
          </c:yVal>
          <c:smooth val="1"/>
          <c:extLst>
            <c:ext xmlns:c16="http://schemas.microsoft.com/office/drawing/2014/chart" uri="{C3380CC4-5D6E-409C-BE32-E72D297353CC}">
              <c16:uniqueId val="{00000001-C6B8-432D-8252-8B404B7B0E25}"/>
            </c:ext>
          </c:extLst>
        </c:ser>
        <c:ser>
          <c:idx val="9"/>
          <c:order val="9"/>
          <c:tx>
            <c:v>0%HydrogenGas; GOR=700 scf/stb</c:v>
          </c:tx>
          <c:spPr>
            <a:ln w="952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f>'Inj-G-ANA'!$E$18:$E$24</c:f>
              <c:numCache>
                <c:formatCode>General</c:formatCode>
                <c:ptCount val="7"/>
                <c:pt idx="0">
                  <c:v>0.35</c:v>
                </c:pt>
                <c:pt idx="1">
                  <c:v>0.4</c:v>
                </c:pt>
                <c:pt idx="2">
                  <c:v>0.45</c:v>
                </c:pt>
                <c:pt idx="3">
                  <c:v>0.5</c:v>
                </c:pt>
                <c:pt idx="4">
                  <c:v>0.55000000000000004</c:v>
                </c:pt>
                <c:pt idx="5">
                  <c:v>0.6</c:v>
                </c:pt>
                <c:pt idx="6">
                  <c:v>0.65</c:v>
                </c:pt>
              </c:numCache>
            </c:numRef>
          </c:xVal>
          <c:yVal>
            <c:numRef>
              <c:f>'Inj-G-ANA'!$G$18:$G$24</c:f>
              <c:numCache>
                <c:formatCode>General</c:formatCode>
                <c:ptCount val="7"/>
                <c:pt idx="0">
                  <c:v>274.78399999999999</c:v>
                </c:pt>
                <c:pt idx="1">
                  <c:v>284.64880000000005</c:v>
                </c:pt>
                <c:pt idx="2">
                  <c:v>292.76719999999989</c:v>
                </c:pt>
                <c:pt idx="3">
                  <c:v>300.34280000000001</c:v>
                </c:pt>
                <c:pt idx="4">
                  <c:v>307.54079999999999</c:v>
                </c:pt>
                <c:pt idx="5">
                  <c:v>312.80359999999996</c:v>
                </c:pt>
                <c:pt idx="6">
                  <c:v>318.65639999999996</c:v>
                </c:pt>
              </c:numCache>
            </c:numRef>
          </c:yVal>
          <c:smooth val="1"/>
          <c:extLst>
            <c:ext xmlns:c16="http://schemas.microsoft.com/office/drawing/2014/chart" uri="{C3380CC4-5D6E-409C-BE32-E72D297353CC}">
              <c16:uniqueId val="{00000002-C6B8-432D-8252-8B404B7B0E25}"/>
            </c:ext>
          </c:extLst>
        </c:ser>
        <c:ser>
          <c:idx val="10"/>
          <c:order val="10"/>
          <c:tx>
            <c:v>10%HydrogenGas; GOR=700 scf/stb</c:v>
          </c:tx>
          <c:spPr>
            <a:ln w="952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'Inj-G-ANA'!$E$18:$E$24</c:f>
              <c:numCache>
                <c:formatCode>General</c:formatCode>
                <c:ptCount val="7"/>
                <c:pt idx="0">
                  <c:v>0.35</c:v>
                </c:pt>
                <c:pt idx="1">
                  <c:v>0.4</c:v>
                </c:pt>
                <c:pt idx="2">
                  <c:v>0.45</c:v>
                </c:pt>
                <c:pt idx="3">
                  <c:v>0.5</c:v>
                </c:pt>
                <c:pt idx="4">
                  <c:v>0.55000000000000004</c:v>
                </c:pt>
                <c:pt idx="5">
                  <c:v>0.6</c:v>
                </c:pt>
                <c:pt idx="6">
                  <c:v>0.65</c:v>
                </c:pt>
              </c:numCache>
            </c:numRef>
          </c:xVal>
          <c:yVal>
            <c:numRef>
              <c:f>'Inj-G-ANA'!$I$18:$I$24</c:f>
              <c:numCache>
                <c:formatCode>General</c:formatCode>
                <c:ptCount val="7"/>
                <c:pt idx="0">
                  <c:v>285.47479999999996</c:v>
                </c:pt>
                <c:pt idx="1">
                  <c:v>294.86759999999992</c:v>
                </c:pt>
                <c:pt idx="2">
                  <c:v>303.97719999999993</c:v>
                </c:pt>
                <c:pt idx="3">
                  <c:v>311.69439999999997</c:v>
                </c:pt>
                <c:pt idx="4">
                  <c:v>318.39679999999998</c:v>
                </c:pt>
                <c:pt idx="5">
                  <c:v>324.93399999999997</c:v>
                </c:pt>
                <c:pt idx="6">
                  <c:v>329.72479999999996</c:v>
                </c:pt>
              </c:numCache>
            </c:numRef>
          </c:yVal>
          <c:smooth val="1"/>
          <c:extLst>
            <c:ext xmlns:c16="http://schemas.microsoft.com/office/drawing/2014/chart" uri="{C3380CC4-5D6E-409C-BE32-E72D297353CC}">
              <c16:uniqueId val="{00000003-C6B8-432D-8252-8B404B7B0E25}"/>
            </c:ext>
          </c:extLst>
        </c:ser>
        <c:ser>
          <c:idx val="11"/>
          <c:order val="11"/>
          <c:tx>
            <c:v>Base case (0 % Hydrogen gas)</c:v>
          </c:tx>
          <c:spPr>
            <a:ln w="19050" cap="rnd">
              <a:solidFill>
                <a:schemeClr val="accent6">
                  <a:lumMod val="60000"/>
                </a:schemeClr>
              </a:solidFill>
              <a:round/>
            </a:ln>
            <a:effectLst/>
          </c:spPr>
          <c:marker>
            <c:symbol val="square"/>
            <c:size val="7"/>
            <c:spPr>
              <a:solidFill>
                <a:srgbClr val="FF0000"/>
              </a:solidFill>
              <a:ln w="9525">
                <a:solidFill>
                  <a:srgbClr val="FF0000"/>
                </a:solidFill>
              </a:ln>
              <a:effectLst/>
            </c:spPr>
          </c:marker>
          <c:xVal>
            <c:numRef>
              <c:f>'Inj-G-ANA'!$D$5</c:f>
              <c:numCache>
                <c:formatCode>General</c:formatCode>
                <c:ptCount val="1"/>
                <c:pt idx="0">
                  <c:v>0.3</c:v>
                </c:pt>
              </c:numCache>
            </c:numRef>
          </c:xVal>
          <c:yVal>
            <c:numRef>
              <c:f>'Inj-G-ANA'!$B$4</c:f>
              <c:numCache>
                <c:formatCode>General</c:formatCode>
                <c:ptCount val="1"/>
                <c:pt idx="0">
                  <c:v>9.7795999999999594</c:v>
                </c:pt>
              </c:numCache>
            </c:numRef>
          </c:yVal>
          <c:smooth val="1"/>
          <c:extLst>
            <c:ext xmlns:c16="http://schemas.microsoft.com/office/drawing/2014/chart" uri="{C3380CC4-5D6E-409C-BE32-E72D297353CC}">
              <c16:uniqueId val="{00000004-C6B8-432D-8252-8B404B7B0E25}"/>
            </c:ext>
          </c:extLst>
        </c:ser>
        <c:ser>
          <c:idx val="12"/>
          <c:order val="12"/>
          <c:tx>
            <c:v>Base case (10 % Hydrogen gas)</c:v>
          </c:tx>
          <c:spPr>
            <a:ln w="19050"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numRef>
              <c:f>'Inj-G-ANA'!$D$5</c:f>
              <c:numCache>
                <c:formatCode>General</c:formatCode>
                <c:ptCount val="1"/>
                <c:pt idx="0">
                  <c:v>0.3</c:v>
                </c:pt>
              </c:numCache>
            </c:numRef>
          </c:xVal>
          <c:yVal>
            <c:numRef>
              <c:f>'Inj-G-ANA'!$B$5</c:f>
              <c:numCache>
                <c:formatCode>General</c:formatCode>
                <c:ptCount val="1"/>
                <c:pt idx="0">
                  <c:v>11.266399999999976</c:v>
                </c:pt>
              </c:numCache>
            </c:numRef>
          </c:yVal>
          <c:smooth val="1"/>
          <c:extLst>
            <c:ext xmlns:c16="http://schemas.microsoft.com/office/drawing/2014/chart" uri="{C3380CC4-5D6E-409C-BE32-E72D297353CC}">
              <c16:uniqueId val="{00000005-C6B8-432D-8252-8B404B7B0E25}"/>
            </c:ext>
          </c:extLst>
        </c:ser>
        <c:dLbls>
          <c:showLegendKey val="0"/>
          <c:showVal val="0"/>
          <c:showCatName val="0"/>
          <c:showSerName val="0"/>
          <c:showPercent val="0"/>
          <c:showBubbleSize val="0"/>
        </c:dLbls>
        <c:axId val="651468512"/>
        <c:axId val="651469952"/>
        <c:extLst>
          <c:ext xmlns:c15="http://schemas.microsoft.com/office/drawing/2012/chart" uri="{02D57815-91ED-43cb-92C2-25804820EDAC}">
            <c15:filteredScatterSeries>
              <c15:ser>
                <c:idx val="2"/>
                <c:order val="2"/>
                <c:tx>
                  <c:v>20%HydrogenGas</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c:ex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c:ext uri="{02D57815-91ED-43cb-92C2-25804820EDAC}">
                        <c15:formulaRef>
                          <c15:sqref>'Inj-G-ANA'!$J$5:$J$11</c15:sqref>
                        </c15:formulaRef>
                      </c:ext>
                    </c:extLst>
                    <c:numCache>
                      <c:formatCode>General</c:formatCode>
                      <c:ptCount val="7"/>
                      <c:pt idx="0">
                        <c:v>3543.2</c:v>
                      </c:pt>
                      <c:pt idx="1">
                        <c:v>3596.9</c:v>
                      </c:pt>
                      <c:pt idx="2">
                        <c:v>3643.7</c:v>
                      </c:pt>
                      <c:pt idx="3">
                        <c:v>3680.2</c:v>
                      </c:pt>
                      <c:pt idx="4">
                        <c:v>3716.4</c:v>
                      </c:pt>
                      <c:pt idx="5">
                        <c:v>3748.2</c:v>
                      </c:pt>
                      <c:pt idx="6">
                        <c:v>3772.5</c:v>
                      </c:pt>
                    </c:numCache>
                  </c:numRef>
                </c:yVal>
                <c:smooth val="1"/>
                <c:extLst>
                  <c:ext xmlns:c16="http://schemas.microsoft.com/office/drawing/2014/chart" uri="{C3380CC4-5D6E-409C-BE32-E72D297353CC}">
                    <c16:uniqueId val="{00000006-C6B8-432D-8252-8B404B7B0E25}"/>
                  </c:ext>
                </c:extLst>
              </c15:ser>
            </c15:filteredScatterSeries>
            <c15:filteredScatterSeries>
              <c15:ser>
                <c:idx val="3"/>
                <c:order val="3"/>
                <c:tx>
                  <c:v>30%HydgnGas</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'Inj-G-ANA'!$L$5:$L$11</c15:sqref>
                        </c15:formulaRef>
                      </c:ext>
                    </c:extLst>
                    <c:numCache>
                      <c:formatCode>General</c:formatCode>
                      <c:ptCount val="7"/>
                      <c:pt idx="0">
                        <c:v>3534.4</c:v>
                      </c:pt>
                      <c:pt idx="1">
                        <c:v>3588</c:v>
                      </c:pt>
                      <c:pt idx="2">
                        <c:v>3634.2</c:v>
                      </c:pt>
                      <c:pt idx="3">
                        <c:v>3670.6</c:v>
                      </c:pt>
                      <c:pt idx="4">
                        <c:v>3706.5</c:v>
                      </c:pt>
                      <c:pt idx="5">
                        <c:v>3738.6</c:v>
                      </c:pt>
                      <c:pt idx="6">
                        <c:v>3762.8</c:v>
                      </c:pt>
                    </c:numCache>
                  </c:numRef>
                </c:yVal>
                <c:smooth val="1"/>
                <c:extLst xmlns:c15="http://schemas.microsoft.com/office/drawing/2012/chart">
                  <c:ext xmlns:c16="http://schemas.microsoft.com/office/drawing/2014/chart" uri="{C3380CC4-5D6E-409C-BE32-E72D297353CC}">
                    <c16:uniqueId val="{00000007-C6B8-432D-8252-8B404B7B0E25}"/>
                  </c:ext>
                </c:extLst>
              </c15:ser>
            </c15:filteredScatterSeries>
            <c15:filteredScatterSeries>
              <c15:ser>
                <c:idx val="4"/>
                <c:order val="4"/>
                <c:tx>
                  <c:v>40%HydgnGas</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'Inj-G-ANA'!$N$5:$N$11</c15:sqref>
                        </c15:formulaRef>
                      </c:ext>
                    </c:extLst>
                    <c:numCache>
                      <c:formatCode>General</c:formatCode>
                      <c:ptCount val="7"/>
                      <c:pt idx="0">
                        <c:v>3529.6</c:v>
                      </c:pt>
                      <c:pt idx="1">
                        <c:v>3583</c:v>
                      </c:pt>
                      <c:pt idx="2">
                        <c:v>3628.9</c:v>
                      </c:pt>
                      <c:pt idx="3">
                        <c:v>3665.5</c:v>
                      </c:pt>
                      <c:pt idx="4">
                        <c:v>3701.2</c:v>
                      </c:pt>
                      <c:pt idx="5">
                        <c:v>3733.3</c:v>
                      </c:pt>
                      <c:pt idx="6">
                        <c:v>3757.4</c:v>
                      </c:pt>
                    </c:numCache>
                  </c:numRef>
                </c:yVal>
                <c:smooth val="1"/>
                <c:extLst xmlns:c15="http://schemas.microsoft.com/office/drawing/2012/chart">
                  <c:ext xmlns:c16="http://schemas.microsoft.com/office/drawing/2014/chart" uri="{C3380CC4-5D6E-409C-BE32-E72D297353CC}">
                    <c16:uniqueId val="{00000008-C6B8-432D-8252-8B404B7B0E25}"/>
                  </c:ext>
                </c:extLst>
              </c15:ser>
            </c15:filteredScatterSeries>
            <c15:filteredScatterSeries>
              <c15:ser>
                <c:idx val="5"/>
                <c:order val="5"/>
                <c:tx>
                  <c:v>50%HydgnGas</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'Inj-G-ANA'!$P$5:$P$11</c15:sqref>
                        </c15:formulaRef>
                      </c:ext>
                    </c:extLst>
                    <c:numCache>
                      <c:formatCode>General</c:formatCode>
                      <c:ptCount val="7"/>
                      <c:pt idx="0">
                        <c:v>3524.4</c:v>
                      </c:pt>
                      <c:pt idx="1">
                        <c:v>3577.5</c:v>
                      </c:pt>
                      <c:pt idx="2">
                        <c:v>3623</c:v>
                      </c:pt>
                      <c:pt idx="3">
                        <c:v>3660.1</c:v>
                      </c:pt>
                      <c:pt idx="4">
                        <c:v>3695.5</c:v>
                      </c:pt>
                      <c:pt idx="5">
                        <c:v>3723.2</c:v>
                      </c:pt>
                      <c:pt idx="6">
                        <c:v>3751.7</c:v>
                      </c:pt>
                    </c:numCache>
                  </c:numRef>
                </c:yVal>
                <c:smooth val="1"/>
                <c:extLst xmlns:c15="http://schemas.microsoft.com/office/drawing/2012/chart">
                  <c:ext xmlns:c16="http://schemas.microsoft.com/office/drawing/2014/chart" uri="{C3380CC4-5D6E-409C-BE32-E72D297353CC}">
                    <c16:uniqueId val="{00000009-C6B8-432D-8252-8B404B7B0E25}"/>
                  </c:ext>
                </c:extLst>
              </c15:ser>
            </c15:filteredScatterSeries>
            <c15:filteredScatterSeries>
              <c15:ser>
                <c:idx val="6"/>
                <c:order val="6"/>
                <c:tx>
                  <c:v>60%HydrogenGas</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'Inj-G-ANA'!$R$5:$R$11</c15:sqref>
                        </c15:formulaRef>
                      </c:ext>
                    </c:extLst>
                    <c:numCache>
                      <c:formatCode>General</c:formatCode>
                      <c:ptCount val="7"/>
                      <c:pt idx="0">
                        <c:v>3518.9</c:v>
                      </c:pt>
                      <c:pt idx="1">
                        <c:v>3571.6</c:v>
                      </c:pt>
                      <c:pt idx="2">
                        <c:v>3617</c:v>
                      </c:pt>
                      <c:pt idx="3">
                        <c:v>3654.3</c:v>
                      </c:pt>
                      <c:pt idx="4">
                        <c:v>3689.5</c:v>
                      </c:pt>
                      <c:pt idx="5">
                        <c:v>3717.3</c:v>
                      </c:pt>
                      <c:pt idx="6">
                        <c:v>3745.6</c:v>
                      </c:pt>
                    </c:numCache>
                  </c:numRef>
                </c:yVal>
                <c:smooth val="1"/>
                <c:extLst xmlns:c15="http://schemas.microsoft.com/office/drawing/2012/chart">
                  <c:ext xmlns:c16="http://schemas.microsoft.com/office/drawing/2014/chart" uri="{C3380CC4-5D6E-409C-BE32-E72D297353CC}">
                    <c16:uniqueId val="{0000000A-C6B8-432D-8252-8B404B7B0E25}"/>
                  </c:ext>
                </c:extLst>
              </c15:ser>
            </c15:filteredScatterSeries>
            <c15:filteredScatterSeries>
              <c15:ser>
                <c:idx val="7"/>
                <c:order val="7"/>
                <c:tx>
                  <c:v>80%HydrogenGas</c:v>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'Inj-G-ANA'!$T$5:$T$11</c15:sqref>
                        </c15:formulaRef>
                      </c:ext>
                    </c:extLst>
                    <c:numCache>
                      <c:formatCode>General</c:formatCode>
                      <c:ptCount val="7"/>
                      <c:pt idx="0">
                        <c:v>3512.9</c:v>
                      </c:pt>
                      <c:pt idx="1">
                        <c:v>3565.2</c:v>
                      </c:pt>
                      <c:pt idx="2">
                        <c:v>3606.1</c:v>
                      </c:pt>
                      <c:pt idx="3">
                        <c:v>3647.6</c:v>
                      </c:pt>
                      <c:pt idx="4">
                        <c:v>3683</c:v>
                      </c:pt>
                      <c:pt idx="5">
                        <c:v>3711.1</c:v>
                      </c:pt>
                      <c:pt idx="6">
                        <c:v>3739.1</c:v>
                      </c:pt>
                    </c:numCache>
                  </c:numRef>
                </c:yVal>
                <c:smooth val="1"/>
                <c:extLst xmlns:c15="http://schemas.microsoft.com/office/drawing/2012/chart">
                  <c:ext xmlns:c16="http://schemas.microsoft.com/office/drawing/2014/chart" uri="{C3380CC4-5D6E-409C-BE32-E72D297353CC}">
                    <c16:uniqueId val="{0000000B-C6B8-432D-8252-8B404B7B0E25}"/>
                  </c:ext>
                </c:extLst>
              </c15:ser>
            </c15:filteredScatterSeries>
            <c15:filteredScatterSeries>
              <c15:ser>
                <c:idx val="8"/>
                <c:order val="8"/>
                <c:tx>
                  <c:v>90%HydogenGas</c:v>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'Inj-G-ANA'!$V$5:$V$11</c15:sqref>
                        </c15:formulaRef>
                      </c:ext>
                    </c:extLst>
                    <c:numCache>
                      <c:formatCode>General</c:formatCode>
                      <c:ptCount val="7"/>
                      <c:pt idx="0">
                        <c:v>3506.4</c:v>
                      </c:pt>
                      <c:pt idx="1">
                        <c:v>3558.3</c:v>
                      </c:pt>
                      <c:pt idx="2">
                        <c:v>3599.3</c:v>
                      </c:pt>
                      <c:pt idx="3">
                        <c:v>3640.5</c:v>
                      </c:pt>
                      <c:pt idx="4">
                        <c:v>3676.1</c:v>
                      </c:pt>
                      <c:pt idx="5">
                        <c:v>3704</c:v>
                      </c:pt>
                      <c:pt idx="6">
                        <c:v>3732.2</c:v>
                      </c:pt>
                    </c:numCache>
                  </c:numRef>
                </c:yVal>
                <c:smooth val="1"/>
                <c:extLst xmlns:c15="http://schemas.microsoft.com/office/drawing/2012/chart">
                  <c:ext xmlns:c16="http://schemas.microsoft.com/office/drawing/2014/chart" uri="{C3380CC4-5D6E-409C-BE32-E72D297353CC}">
                    <c16:uniqueId val="{0000000C-C6B8-432D-8252-8B404B7B0E25}"/>
                  </c:ext>
                </c:extLst>
              </c15:ser>
            </c15:filteredScatterSeries>
          </c:ext>
        </c:extLst>
      </c:scatterChart>
      <c:valAx>
        <c:axId val="651468512"/>
        <c:scaling>
          <c:orientation val="minMax"/>
          <c:min val="0.30000000000000004"/>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Gas</a:t>
                </a:r>
                <a:r>
                  <a:rPr lang="en-US" sz="900" baseline="0">
                    <a:solidFill>
                      <a:sysClr val="windowText" lastClr="000000"/>
                    </a:solidFill>
                    <a:latin typeface="Arial" panose="020B0604020202020204" pitchFamily="34" charset="0"/>
                    <a:cs typeface="Arial" panose="020B0604020202020204" pitchFamily="34" charset="0"/>
                  </a:rPr>
                  <a:t> injection rate, MMscf/d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1469952"/>
        <c:crosses val="autoZero"/>
        <c:crossBetween val="midCat"/>
      </c:valAx>
      <c:valAx>
        <c:axId val="65146995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aseline="0">
                    <a:solidFill>
                      <a:sysClr val="windowText" lastClr="000000"/>
                    </a:solidFill>
                    <a:latin typeface="Arial" panose="020B0604020202020204" pitchFamily="34" charset="0"/>
                    <a:cs typeface="Arial" panose="020B0604020202020204" pitchFamily="34" charset="0"/>
                  </a:rPr>
                  <a:t>Incremental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1468512"/>
        <c:crosses val="autoZero"/>
        <c:crossBetween val="midCat"/>
      </c:valAx>
      <c:spPr>
        <a:noFill/>
        <a:ln>
          <a:noFill/>
        </a:ln>
        <a:effectLst/>
      </c:spPr>
    </c:plotArea>
    <c:legend>
      <c:legendPos val="t"/>
      <c:layout>
        <c:manualLayout>
          <c:xMode val="edge"/>
          <c:yMode val="edge"/>
          <c:x val="6.4182780431134623E-2"/>
          <c:y val="2.6200865208054525E-2"/>
          <c:w val="0.8270192848844713"/>
          <c:h val="0.1701058168124241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3"/>
          <c:tx>
            <c:v>0.4 MMscf/d; 0 % Hydrogen gas</c:v>
          </c:tx>
          <c:spPr>
            <a:ln w="9525" cap="rnd">
              <a:solidFill>
                <a:schemeClr val="accent4"/>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Sheet4!$F$29:$J$29</c:f>
              <c:numCache>
                <c:formatCode>General</c:formatCode>
                <c:ptCount val="5"/>
                <c:pt idx="0">
                  <c:v>7278910</c:v>
                </c:pt>
                <c:pt idx="1">
                  <c:v>6948050.4545454541</c:v>
                </c:pt>
                <c:pt idx="2">
                  <c:v>6645961.3043478271</c:v>
                </c:pt>
                <c:pt idx="3">
                  <c:v>6369046.25</c:v>
                </c:pt>
                <c:pt idx="4">
                  <c:v>6114284.4000000004</c:v>
                </c:pt>
              </c:numCache>
            </c:numRef>
          </c:val>
          <c:smooth val="0"/>
          <c:extLst>
            <c:ext xmlns:c16="http://schemas.microsoft.com/office/drawing/2014/chart" uri="{C3380CC4-5D6E-409C-BE32-E72D297353CC}">
              <c16:uniqueId val="{00000000-EBD2-4774-9D39-FEF0117446DB}"/>
            </c:ext>
          </c:extLst>
        </c:ser>
        <c:ser>
          <c:idx val="4"/>
          <c:order val="4"/>
          <c:tx>
            <c:v>0.4 MMscf/d; 10% Hydrogen gas</c:v>
          </c:tx>
          <c:spPr>
            <a:ln w="9525" cap="rnd">
              <a:solidFill>
                <a:schemeClr val="accent5"/>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Sheet4!$P$29:$T$29</c:f>
              <c:numCache>
                <c:formatCode>General</c:formatCode>
                <c:ptCount val="5"/>
                <c:pt idx="0">
                  <c:v>6852746.8571428573</c:v>
                </c:pt>
                <c:pt idx="1">
                  <c:v>6541258.3636363633</c:v>
                </c:pt>
                <c:pt idx="2">
                  <c:v>6256855.826086957</c:v>
                </c:pt>
                <c:pt idx="3">
                  <c:v>5996153.5</c:v>
                </c:pt>
                <c:pt idx="4">
                  <c:v>5756307.3600000003</c:v>
                </c:pt>
              </c:numCache>
            </c:numRef>
          </c:val>
          <c:smooth val="0"/>
          <c:extLst>
            <c:ext xmlns:c16="http://schemas.microsoft.com/office/drawing/2014/chart" uri="{C3380CC4-5D6E-409C-BE32-E72D297353CC}">
              <c16:uniqueId val="{00000001-EBD2-4774-9D39-FEF0117446DB}"/>
            </c:ext>
          </c:extLst>
        </c:ser>
        <c:ser>
          <c:idx val="5"/>
          <c:order val="5"/>
          <c:tx>
            <c:v>0.4 MMscf/d; 20% Hydrogen gas</c:v>
          </c:tx>
          <c:spPr>
            <a:ln w="9525" cap="rnd">
              <a:solidFill>
                <a:schemeClr val="accent6"/>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Sheet4!$Y$29:$AC$29</c:f>
              <c:numCache>
                <c:formatCode>General</c:formatCode>
                <c:ptCount val="5"/>
                <c:pt idx="0">
                  <c:v>6398846.4761904757</c:v>
                </c:pt>
                <c:pt idx="1">
                  <c:v>6107989.8181818174</c:v>
                </c:pt>
                <c:pt idx="2">
                  <c:v>5842425.0434782617</c:v>
                </c:pt>
                <c:pt idx="3">
                  <c:v>5598990.666666667</c:v>
                </c:pt>
                <c:pt idx="4">
                  <c:v>5375031.04</c:v>
                </c:pt>
              </c:numCache>
            </c:numRef>
          </c:val>
          <c:smooth val="0"/>
          <c:extLst>
            <c:ext xmlns:c16="http://schemas.microsoft.com/office/drawing/2014/chart" uri="{C3380CC4-5D6E-409C-BE32-E72D297353CC}">
              <c16:uniqueId val="{00000002-EBD2-4774-9D39-FEF0117446DB}"/>
            </c:ext>
          </c:extLst>
        </c:ser>
        <c:dLbls>
          <c:showLegendKey val="0"/>
          <c:showVal val="0"/>
          <c:showCatName val="0"/>
          <c:showSerName val="0"/>
          <c:showPercent val="0"/>
          <c:showBubbleSize val="0"/>
        </c:dLbls>
        <c:marker val="1"/>
        <c:smooth val="0"/>
        <c:axId val="246920048"/>
        <c:axId val="246924368"/>
      </c:lineChart>
      <c:lineChart>
        <c:grouping val="standard"/>
        <c:varyColors val="0"/>
        <c:ser>
          <c:idx val="0"/>
          <c:order val="0"/>
          <c:tx>
            <c:v>0.3 MMscf/d; 0 %</c:v>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Sheet4!$F$1:$J$1</c:f>
              <c:numCache>
                <c:formatCode>General</c:formatCode>
                <c:ptCount val="5"/>
                <c:pt idx="0">
                  <c:v>5</c:v>
                </c:pt>
                <c:pt idx="1">
                  <c:v>10</c:v>
                </c:pt>
                <c:pt idx="2">
                  <c:v>15</c:v>
                </c:pt>
                <c:pt idx="3">
                  <c:v>20</c:v>
                </c:pt>
                <c:pt idx="4">
                  <c:v>25</c:v>
                </c:pt>
              </c:numCache>
            </c:numRef>
          </c:cat>
          <c:val>
            <c:numRef>
              <c:f>Sheet4!$F$16:$J$16</c:f>
              <c:numCache>
                <c:formatCode>General</c:formatCode>
                <c:ptCount val="5"/>
                <c:pt idx="0">
                  <c:v>-276915.29114285717</c:v>
                </c:pt>
                <c:pt idx="1">
                  <c:v>-264328.23245454545</c:v>
                </c:pt>
                <c:pt idx="2">
                  <c:v>-252835.70060869571</c:v>
                </c:pt>
                <c:pt idx="3">
                  <c:v>-242300.87975000002</c:v>
                </c:pt>
                <c:pt idx="4">
                  <c:v>-232608.84456000003</c:v>
                </c:pt>
              </c:numCache>
            </c:numRef>
          </c:val>
          <c:smooth val="0"/>
          <c:extLst>
            <c:ext xmlns:c16="http://schemas.microsoft.com/office/drawing/2014/chart" uri="{C3380CC4-5D6E-409C-BE32-E72D297353CC}">
              <c16:uniqueId val="{00000003-EBD2-4774-9D39-FEF0117446DB}"/>
            </c:ext>
          </c:extLst>
        </c:ser>
        <c:ser>
          <c:idx val="1"/>
          <c:order val="1"/>
          <c:tx>
            <c:v>0.3 MMscf/d; 10%</c:v>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Sheet4!$F$1:$J$1</c:f>
              <c:numCache>
                <c:formatCode>General</c:formatCode>
                <c:ptCount val="5"/>
                <c:pt idx="0">
                  <c:v>5</c:v>
                </c:pt>
                <c:pt idx="1">
                  <c:v>10</c:v>
                </c:pt>
                <c:pt idx="2">
                  <c:v>15</c:v>
                </c:pt>
                <c:pt idx="3">
                  <c:v>20</c:v>
                </c:pt>
                <c:pt idx="4">
                  <c:v>25</c:v>
                </c:pt>
              </c:numCache>
            </c:numRef>
          </c:cat>
          <c:val>
            <c:numRef>
              <c:f>Sheet4!$P$16:$T$16</c:f>
              <c:numCache>
                <c:formatCode>General</c:formatCode>
                <c:ptCount val="5"/>
                <c:pt idx="0">
                  <c:v>-541715.82857142854</c:v>
                </c:pt>
                <c:pt idx="1">
                  <c:v>-517092.38181818178</c:v>
                </c:pt>
                <c:pt idx="2">
                  <c:v>-494610.10434782616</c:v>
                </c:pt>
                <c:pt idx="3">
                  <c:v>-474001.35000000003</c:v>
                </c:pt>
                <c:pt idx="4">
                  <c:v>-455041.29600000003</c:v>
                </c:pt>
              </c:numCache>
            </c:numRef>
          </c:val>
          <c:smooth val="0"/>
          <c:extLst>
            <c:ext xmlns:c16="http://schemas.microsoft.com/office/drawing/2014/chart" uri="{C3380CC4-5D6E-409C-BE32-E72D297353CC}">
              <c16:uniqueId val="{00000004-EBD2-4774-9D39-FEF0117446DB}"/>
            </c:ext>
          </c:extLst>
        </c:ser>
        <c:ser>
          <c:idx val="2"/>
          <c:order val="2"/>
          <c:tx>
            <c:v>0.3 MMscf/d; 30 % Hydrogen gas</c:v>
          </c:tx>
          <c:spPr>
            <a:ln w="9525" cap="rnd">
              <a:solidFill>
                <a:schemeClr val="accent3"/>
              </a:solidFill>
              <a:round/>
            </a:ln>
            <a:effectLst/>
          </c:spPr>
          <c:marker>
            <c:symbol val="circle"/>
            <c:size val="5"/>
            <c:spPr>
              <a:solidFill>
                <a:schemeClr val="accent3"/>
              </a:solidFill>
              <a:ln w="9525">
                <a:solidFill>
                  <a:schemeClr val="accent3"/>
                </a:solidFill>
              </a:ln>
              <a:effectLst/>
            </c:spPr>
          </c:marker>
          <c:cat>
            <c:numRef>
              <c:f>Sheet4!$F$1:$J$1</c:f>
              <c:numCache>
                <c:formatCode>General</c:formatCode>
                <c:ptCount val="5"/>
                <c:pt idx="0">
                  <c:v>5</c:v>
                </c:pt>
                <c:pt idx="1">
                  <c:v>10</c:v>
                </c:pt>
                <c:pt idx="2">
                  <c:v>15</c:v>
                </c:pt>
                <c:pt idx="3">
                  <c:v>20</c:v>
                </c:pt>
                <c:pt idx="4">
                  <c:v>25</c:v>
                </c:pt>
              </c:numCache>
            </c:numRef>
          </c:cat>
          <c:val>
            <c:numRef>
              <c:f>Sheet4!$Y$16:$AC$16</c:f>
              <c:numCache>
                <c:formatCode>General</c:formatCode>
                <c:ptCount val="5"/>
                <c:pt idx="0">
                  <c:v>-808451.36190476175</c:v>
                </c:pt>
                <c:pt idx="1">
                  <c:v>-771703.57272727264</c:v>
                </c:pt>
                <c:pt idx="2">
                  <c:v>-738151.24347826093</c:v>
                </c:pt>
                <c:pt idx="3">
                  <c:v>-707394.94166666665</c:v>
                </c:pt>
                <c:pt idx="4">
                  <c:v>-679099.14399999997</c:v>
                </c:pt>
              </c:numCache>
            </c:numRef>
          </c:val>
          <c:smooth val="0"/>
          <c:extLst>
            <c:ext xmlns:c16="http://schemas.microsoft.com/office/drawing/2014/chart" uri="{C3380CC4-5D6E-409C-BE32-E72D297353CC}">
              <c16:uniqueId val="{00000005-EBD2-4774-9D39-FEF0117446DB}"/>
            </c:ext>
          </c:extLst>
        </c:ser>
        <c:dLbls>
          <c:showLegendKey val="0"/>
          <c:showVal val="0"/>
          <c:showCatName val="0"/>
          <c:showSerName val="0"/>
          <c:showPercent val="0"/>
          <c:showBubbleSize val="0"/>
        </c:dLbls>
        <c:marker val="1"/>
        <c:smooth val="0"/>
        <c:axId val="258707424"/>
        <c:axId val="258714144"/>
      </c:lineChart>
      <c:catAx>
        <c:axId val="24692004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Discount</a:t>
                </a:r>
                <a:r>
                  <a:rPr lang="en-US" sz="900" baseline="0">
                    <a:solidFill>
                      <a:sysClr val="windowText" lastClr="000000"/>
                    </a:solidFill>
                    <a:latin typeface="Arial" panose="020B0604020202020204" pitchFamily="34" charset="0"/>
                    <a:cs typeface="Arial" panose="020B0604020202020204" pitchFamily="34" charset="0"/>
                  </a:rPr>
                  <a:t> rate, %</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924368"/>
        <c:crosses val="autoZero"/>
        <c:auto val="1"/>
        <c:lblAlgn val="ctr"/>
        <c:lblOffset val="100"/>
        <c:tickMarkSkip val="1"/>
        <c:noMultiLvlLbl val="0"/>
      </c:catAx>
      <c:valAx>
        <c:axId val="246924368"/>
        <c:scaling>
          <c:orientation val="minMax"/>
          <c:min val="50000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NPV,</a:t>
                </a:r>
                <a:r>
                  <a:rPr lang="en-US" sz="900" baseline="0">
                    <a:solidFill>
                      <a:sysClr val="windowText" lastClr="000000"/>
                    </a:solidFill>
                    <a:latin typeface="Arial" panose="020B0604020202020204" pitchFamily="34" charset="0"/>
                    <a:cs typeface="Arial" panose="020B0604020202020204" pitchFamily="34" charset="0"/>
                  </a:rPr>
                  <a:t> $ Millions</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920048"/>
        <c:crosses val="autoZero"/>
        <c:crossBetween val="between"/>
        <c:majorUnit val="500000"/>
        <c:dispUnits>
          <c:builtInUnit val="millions"/>
        </c:dispUnits>
      </c:valAx>
      <c:valAx>
        <c:axId val="25871414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NPV,</a:t>
                </a:r>
                <a:r>
                  <a:rPr lang="en-US" sz="900" baseline="0">
                    <a:solidFill>
                      <a:sysClr val="windowText" lastClr="000000"/>
                    </a:solidFill>
                    <a:latin typeface="Arial" panose="020B0604020202020204" pitchFamily="34" charset="0"/>
                    <a:cs typeface="Arial" panose="020B0604020202020204" pitchFamily="34" charset="0"/>
                  </a:rPr>
                  <a:t> $ Thousands</a:t>
                </a:r>
                <a:endParaRPr lang="en-US" sz="9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95466786755641675"/>
              <c:y val="0.352762271737309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8707424"/>
        <c:crosses val="max"/>
        <c:crossBetween val="between"/>
        <c:dispUnits>
          <c:builtInUnit val="thousands"/>
        </c:dispUnits>
      </c:valAx>
      <c:catAx>
        <c:axId val="258707424"/>
        <c:scaling>
          <c:orientation val="minMax"/>
        </c:scaling>
        <c:delete val="1"/>
        <c:axPos val="b"/>
        <c:numFmt formatCode="General" sourceLinked="1"/>
        <c:majorTickMark val="out"/>
        <c:minorTickMark val="none"/>
        <c:tickLblPos val="nextTo"/>
        <c:crossAx val="258714144"/>
        <c:crosses val="autoZero"/>
        <c:auto val="1"/>
        <c:lblAlgn val="ctr"/>
        <c:lblOffset val="100"/>
        <c:noMultiLvlLbl val="0"/>
      </c:catAx>
      <c:spPr>
        <a:noFill/>
        <a:ln>
          <a:noFill/>
        </a:ln>
        <a:effectLst/>
      </c:spPr>
    </c:plotArea>
    <c:legend>
      <c:legendPos val="t"/>
      <c:layout>
        <c:manualLayout>
          <c:xMode val="edge"/>
          <c:yMode val="edge"/>
          <c:x val="0.10022953369996861"/>
          <c:y val="2.553191489361702E-2"/>
          <c:w val="0.84575681072794839"/>
          <c:h val="0.209044060981738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13</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SDI 1084</cp:lastModifiedBy>
  <cp:revision>311</cp:revision>
  <dcterms:created xsi:type="dcterms:W3CDTF">2024-08-23T22:00:00Z</dcterms:created>
  <dcterms:modified xsi:type="dcterms:W3CDTF">2025-09-09T06:21:00Z</dcterms:modified>
</cp:coreProperties>
</file>