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4642DA" w14:textId="77777777" w:rsidR="00CC4D0B" w:rsidRPr="00FB3DF6" w:rsidRDefault="00992325" w:rsidP="00FB3DF6">
      <w:pPr>
        <w:pStyle w:val="Heading1"/>
        <w:jc w:val="both"/>
      </w:pPr>
      <w:r w:rsidRPr="00FB3DF6">
        <w:t>OCCUPATIONAL SAFETY OF COAL MINERS IN INDIA: A STUDY</w:t>
      </w:r>
    </w:p>
    <w:p w14:paraId="17D4079D" w14:textId="77777777" w:rsidR="00FB3DF6" w:rsidRDefault="00FB3DF6" w:rsidP="00FB3DF6">
      <w:pPr>
        <w:pStyle w:val="Heading2"/>
        <w:spacing w:before="0"/>
        <w:jc w:val="both"/>
      </w:pPr>
    </w:p>
    <w:p w14:paraId="3C34D732" w14:textId="77777777" w:rsidR="00CC4D0B" w:rsidRPr="00FB3DF6" w:rsidRDefault="00992325" w:rsidP="00FB3DF6">
      <w:pPr>
        <w:pStyle w:val="Heading2"/>
        <w:spacing w:before="0"/>
        <w:jc w:val="both"/>
      </w:pPr>
      <w:r w:rsidRPr="00FB3DF6">
        <w:t>ABSTRACT</w:t>
      </w:r>
    </w:p>
    <w:p w14:paraId="523065BD" w14:textId="77777777" w:rsidR="00CC4D0B" w:rsidRPr="00FB3DF6" w:rsidRDefault="00992325" w:rsidP="00FB3DF6">
      <w:pPr>
        <w:pBdr>
          <w:top w:val="nil"/>
          <w:left w:val="nil"/>
          <w:bottom w:val="nil"/>
          <w:right w:val="nil"/>
          <w:between w:val="nil"/>
        </w:pBdr>
        <w:jc w:val="both"/>
      </w:pPr>
      <w:r w:rsidRPr="00FB3DF6">
        <w:rPr>
          <w:b/>
        </w:rPr>
        <w:t>Aims:</w:t>
      </w:r>
      <w:r w:rsidRPr="00FB3DF6">
        <w:t xml:space="preserve"> The research aims to examine the occupational health-related challenges faced by coal mine workers in India through a comprehensive review of the institutional frameworks, legal provisions, and safety practices, along with a quantitative analysis of accident trends between 2013 and 2022. The study assesses the interrelationship between accidents and evaluates the influence of workforce size and production intensity on safety outcomes.</w:t>
      </w:r>
    </w:p>
    <w:p w14:paraId="25BBF5ED" w14:textId="77777777" w:rsidR="00CC4D0B" w:rsidRPr="00FB3DF6" w:rsidRDefault="00CC4D0B" w:rsidP="00FB3DF6">
      <w:pPr>
        <w:pBdr>
          <w:top w:val="nil"/>
          <w:left w:val="nil"/>
          <w:bottom w:val="nil"/>
          <w:right w:val="nil"/>
          <w:between w:val="nil"/>
        </w:pBdr>
        <w:jc w:val="both"/>
        <w:rPr>
          <w:b/>
        </w:rPr>
      </w:pPr>
    </w:p>
    <w:p w14:paraId="36D65F03" w14:textId="77777777" w:rsidR="00CC4D0B" w:rsidRPr="00FB3DF6" w:rsidRDefault="00992325" w:rsidP="00FB3DF6">
      <w:pPr>
        <w:pBdr>
          <w:top w:val="nil"/>
          <w:left w:val="nil"/>
          <w:bottom w:val="nil"/>
          <w:right w:val="nil"/>
          <w:between w:val="nil"/>
        </w:pBdr>
        <w:jc w:val="both"/>
      </w:pPr>
      <w:r w:rsidRPr="00FB3DF6">
        <w:rPr>
          <w:b/>
        </w:rPr>
        <w:t>Study design:</w:t>
      </w:r>
      <w:r w:rsidRPr="00FB3DF6">
        <w:t xml:space="preserve"> This study employed a secondary, analytical, and explanatory longitudinal design, utilizing a two-faceted approach. This included a qualitative comparison of institutional structure, legal interventions, and policy initiatives, paired with a quantitative analysis of accident and health statistics covering the period 2013–2022. The objective was to identify causality connections between operational dynamics and health hazards.</w:t>
      </w:r>
    </w:p>
    <w:p w14:paraId="5907CEBB" w14:textId="77777777" w:rsidR="00CC4D0B" w:rsidRPr="00FB3DF6" w:rsidRDefault="00CC4D0B" w:rsidP="00FB3DF6">
      <w:pPr>
        <w:pBdr>
          <w:top w:val="nil"/>
          <w:left w:val="nil"/>
          <w:bottom w:val="nil"/>
          <w:right w:val="nil"/>
          <w:between w:val="nil"/>
        </w:pBdr>
        <w:jc w:val="both"/>
        <w:rPr>
          <w:b/>
        </w:rPr>
      </w:pPr>
      <w:bookmarkStart w:id="0" w:name="_GoBack"/>
      <w:bookmarkEnd w:id="0"/>
    </w:p>
    <w:p w14:paraId="1B92B134" w14:textId="77777777" w:rsidR="00CC4D0B" w:rsidRPr="00FB3DF6" w:rsidRDefault="00992325" w:rsidP="00FB3DF6">
      <w:pPr>
        <w:pBdr>
          <w:top w:val="nil"/>
          <w:left w:val="nil"/>
          <w:bottom w:val="nil"/>
          <w:right w:val="nil"/>
          <w:between w:val="nil"/>
        </w:pBdr>
        <w:jc w:val="both"/>
      </w:pPr>
      <w:r w:rsidRPr="00FB3DF6">
        <w:rPr>
          <w:b/>
        </w:rPr>
        <w:t>Place and Duration of Study:</w:t>
      </w:r>
      <w:r w:rsidRPr="00FB3DF6">
        <w:t xml:space="preserve"> This was a national-level review and statistical analysis focusing on the Indian coal mining sector, covering the longitudinal period from 2013 to 2022.</w:t>
      </w:r>
    </w:p>
    <w:p w14:paraId="65A4E67D" w14:textId="77777777" w:rsidR="00CC4D0B" w:rsidRPr="00FB3DF6" w:rsidRDefault="00CC4D0B" w:rsidP="00FB3DF6">
      <w:pPr>
        <w:pBdr>
          <w:top w:val="nil"/>
          <w:left w:val="nil"/>
          <w:bottom w:val="nil"/>
          <w:right w:val="nil"/>
          <w:between w:val="nil"/>
        </w:pBdr>
        <w:jc w:val="both"/>
        <w:rPr>
          <w:b/>
        </w:rPr>
      </w:pPr>
    </w:p>
    <w:p w14:paraId="022B3802" w14:textId="77777777" w:rsidR="00CC4D0B" w:rsidRPr="00FB3DF6" w:rsidRDefault="00992325" w:rsidP="00FB3DF6">
      <w:pPr>
        <w:pBdr>
          <w:top w:val="nil"/>
          <w:left w:val="nil"/>
          <w:bottom w:val="nil"/>
          <w:right w:val="nil"/>
          <w:between w:val="nil"/>
        </w:pBdr>
        <w:jc w:val="both"/>
      </w:pPr>
      <w:r w:rsidRPr="00FB3DF6">
        <w:rPr>
          <w:b/>
        </w:rPr>
        <w:t>Methodology:</w:t>
      </w:r>
      <w:r w:rsidRPr="00FB3DF6">
        <w:t xml:space="preserve"> Data relied solely upon secondary sources, including Directorate General of Mines Safety (DGMS) reports, Ministry of Coal updates, National Institute of Miners’ Health (NIMH) and National Institute of Occupational Health (NIOH) publications, and peer-reviewed articles. Analytical tools included descriptive statistics, a Chi-Square test to investigate the association between fatal and serious accidents, and Time Series Regression to model fatal accidents as a function of coal output and workforce size.</w:t>
      </w:r>
    </w:p>
    <w:p w14:paraId="4F105C19" w14:textId="77777777" w:rsidR="00CC4D0B" w:rsidRPr="00FB3DF6" w:rsidRDefault="00CC4D0B" w:rsidP="00FB3DF6">
      <w:pPr>
        <w:pBdr>
          <w:top w:val="nil"/>
          <w:left w:val="nil"/>
          <w:bottom w:val="nil"/>
          <w:right w:val="nil"/>
          <w:between w:val="nil"/>
        </w:pBdr>
        <w:jc w:val="both"/>
        <w:rPr>
          <w:b/>
        </w:rPr>
      </w:pPr>
    </w:p>
    <w:p w14:paraId="41AA0DD7" w14:textId="77777777" w:rsidR="00CC4D0B" w:rsidRPr="00FB3DF6" w:rsidRDefault="00992325" w:rsidP="00FB3DF6">
      <w:pPr>
        <w:pBdr>
          <w:top w:val="nil"/>
          <w:left w:val="nil"/>
          <w:bottom w:val="nil"/>
          <w:right w:val="nil"/>
          <w:between w:val="nil"/>
        </w:pBdr>
        <w:jc w:val="both"/>
      </w:pPr>
      <w:r w:rsidRPr="00FB3DF6">
        <w:rPr>
          <w:b/>
        </w:rPr>
        <w:t>Results:</w:t>
      </w:r>
      <w:r w:rsidRPr="00FB3DF6">
        <w:t xml:space="preserve"> Descriptive analysis revealed marked reductions in acute risks between 2013 and 2022, with fatal accidents decreasing by almost 70% and serious accidents by nearly 60%. The Chi-Square test established a statistically significant systemic association between fatal and serious accidents (Chi-square value = 10.52, P =.032). Time series regression showed the overall model was highly significant (R square= 0.78, P &lt;.001). Increased Coal Output correlated positively with fatal accidents (</w:t>
      </w:r>
      <w:r w:rsidR="00FB3DF6">
        <w:t>β</w:t>
      </w:r>
      <w:r w:rsidRPr="00FB3DF6">
        <w:t>= 0.0021, P =.014), while increased Workforce Size significantly reduced them (</w:t>
      </w:r>
      <w:r w:rsidR="00FB3DF6">
        <w:t>β</w:t>
      </w:r>
      <w:r w:rsidRPr="00FB3DF6">
        <w:t xml:space="preserve"> = -0.31, P =.016). However, chronic respiratory disorders, such as silicosis and pneumoconiosis, persist due to long-duration dust exposure.</w:t>
      </w:r>
    </w:p>
    <w:p w14:paraId="33E1CB05" w14:textId="77777777" w:rsidR="00FB3DF6" w:rsidRDefault="00FB3DF6" w:rsidP="00FB3DF6">
      <w:pPr>
        <w:pBdr>
          <w:top w:val="nil"/>
          <w:left w:val="nil"/>
          <w:bottom w:val="nil"/>
          <w:right w:val="nil"/>
          <w:between w:val="nil"/>
        </w:pBdr>
        <w:spacing w:after="225"/>
        <w:jc w:val="both"/>
        <w:rPr>
          <w:b/>
        </w:rPr>
      </w:pPr>
    </w:p>
    <w:p w14:paraId="78365774" w14:textId="77777777" w:rsidR="00CC4D0B" w:rsidRPr="00FB3DF6" w:rsidRDefault="00992325" w:rsidP="00FB3DF6">
      <w:pPr>
        <w:pBdr>
          <w:top w:val="nil"/>
          <w:left w:val="nil"/>
          <w:bottom w:val="nil"/>
          <w:right w:val="nil"/>
          <w:between w:val="nil"/>
        </w:pBdr>
        <w:spacing w:after="225"/>
        <w:jc w:val="both"/>
      </w:pPr>
      <w:r w:rsidRPr="00FB3DF6">
        <w:rPr>
          <w:b/>
        </w:rPr>
        <w:t>Conclusion:</w:t>
      </w:r>
      <w:r w:rsidRPr="00FB3DF6">
        <w:t xml:space="preserve"> Acute safety performance has improved due to regulatory compliance and mechanization, but significant gaps remain in controlling chronic occupational health hazards. The systemic nature of risk demands enhanced enforcement, particularly in small and private mines, complemented by strategic technological investment in dust suppression and comprehensive medical surveillance programs.</w:t>
      </w:r>
    </w:p>
    <w:p w14:paraId="57C5F8C5" w14:textId="77777777" w:rsidR="00CC4D0B" w:rsidRPr="00FB3DF6" w:rsidRDefault="00992325" w:rsidP="00FB3DF6">
      <w:pPr>
        <w:pStyle w:val="Heading2"/>
        <w:spacing w:before="0"/>
        <w:jc w:val="both"/>
      </w:pPr>
      <w:r w:rsidRPr="00FB3DF6">
        <w:t>Keywords</w:t>
      </w:r>
    </w:p>
    <w:p w14:paraId="60E592AD" w14:textId="77777777" w:rsidR="00CC4D0B" w:rsidRPr="00FB3DF6" w:rsidRDefault="00992325" w:rsidP="00FB3DF6">
      <w:pPr>
        <w:pBdr>
          <w:top w:val="nil"/>
          <w:left w:val="nil"/>
          <w:bottom w:val="nil"/>
          <w:right w:val="nil"/>
          <w:between w:val="nil"/>
        </w:pBdr>
        <w:spacing w:after="225"/>
        <w:jc w:val="both"/>
        <w:rPr>
          <w:i/>
        </w:rPr>
      </w:pPr>
      <w:r w:rsidRPr="00FB3DF6">
        <w:rPr>
          <w:i/>
        </w:rPr>
        <w:lastRenderedPageBreak/>
        <w:t>Occupational Health, Coal Mines, Safety in Mines, Respiratory Disorders, India.</w:t>
      </w:r>
    </w:p>
    <w:p w14:paraId="6238F360" w14:textId="77777777" w:rsidR="00FB3DF6" w:rsidRDefault="00FB3DF6" w:rsidP="00FB3DF6">
      <w:pPr>
        <w:pStyle w:val="Heading2"/>
        <w:spacing w:before="0" w:after="240"/>
        <w:jc w:val="both"/>
      </w:pPr>
    </w:p>
    <w:p w14:paraId="3DDDA5BB" w14:textId="77777777" w:rsidR="00FB3DF6" w:rsidRDefault="00FB3DF6" w:rsidP="00FB3DF6">
      <w:pPr>
        <w:pStyle w:val="Heading2"/>
        <w:spacing w:before="0" w:after="240"/>
        <w:jc w:val="both"/>
      </w:pPr>
    </w:p>
    <w:p w14:paraId="7B2BDA6F" w14:textId="77777777" w:rsidR="00FB3DF6" w:rsidRDefault="00FB3DF6" w:rsidP="00FB3DF6">
      <w:pPr>
        <w:pStyle w:val="Heading2"/>
        <w:spacing w:before="0" w:after="240"/>
        <w:jc w:val="both"/>
      </w:pPr>
    </w:p>
    <w:p w14:paraId="5C67DCEB" w14:textId="77777777" w:rsidR="00CC4D0B" w:rsidRPr="00FB3DF6" w:rsidRDefault="00992325" w:rsidP="00FB3DF6">
      <w:pPr>
        <w:pStyle w:val="Heading2"/>
        <w:spacing w:before="0" w:after="240"/>
        <w:jc w:val="both"/>
      </w:pPr>
      <w:r w:rsidRPr="00FB3DF6">
        <w:t>1. INTRODUCTION</w:t>
      </w:r>
    </w:p>
    <w:p w14:paraId="1793024F" w14:textId="77777777" w:rsidR="00CC4D0B" w:rsidRPr="00FB3DF6" w:rsidRDefault="00992325" w:rsidP="00FB3DF6">
      <w:pPr>
        <w:pStyle w:val="Heading3"/>
        <w:spacing w:before="0"/>
        <w:jc w:val="both"/>
      </w:pPr>
      <w:r w:rsidRPr="00FB3DF6">
        <w:t>Background and Context of Occupational Risk</w:t>
      </w:r>
    </w:p>
    <w:p w14:paraId="7DCC497E" w14:textId="77777777" w:rsidR="00CC4D0B" w:rsidRPr="00FB3DF6" w:rsidRDefault="00992325" w:rsidP="00FB3DF6">
      <w:pPr>
        <w:pBdr>
          <w:top w:val="nil"/>
          <w:left w:val="nil"/>
          <w:bottom w:val="nil"/>
          <w:right w:val="nil"/>
          <w:between w:val="nil"/>
        </w:pBdr>
        <w:jc w:val="both"/>
      </w:pPr>
      <w:r w:rsidRPr="00FB3DF6">
        <w:t>Coal mining constitutes the backbone of India’s energy matrix, sustaining production that exceeded 1 billion tons in the financial year 2024–25 and supporting approximately 5 lakh mine workers across more than 350 operational mines. This sector is inherently one of the most hazardous, exposing its workforce to a wide spectrum of health risks. Acute risks involve physical injuries stemming from the use of heavy equipment, explosives, and transportation vehicles. Chronic, long-term health issues generated primarily from the inhalation of coal dust include silicosis, black lung disease (coal workers’ pneumoconiosis, CWP), and chronic obstructive pulmonary disease (COPD) due to particulate matter deposition in the lungs. Furthermore, chemical exposure leads to skin disorders, and exposure to heavy machinery noise contributes to hearing loss.</w:t>
      </w:r>
    </w:p>
    <w:p w14:paraId="212C5AD7" w14:textId="77777777" w:rsidR="00CC4D0B" w:rsidRPr="00FB3DF6" w:rsidRDefault="00992325" w:rsidP="00FB3DF6">
      <w:pPr>
        <w:pBdr>
          <w:top w:val="nil"/>
          <w:left w:val="nil"/>
          <w:bottom w:val="nil"/>
          <w:right w:val="nil"/>
          <w:between w:val="nil"/>
        </w:pBdr>
        <w:spacing w:after="240"/>
        <w:jc w:val="both"/>
      </w:pPr>
      <w:r w:rsidRPr="00FB3DF6">
        <w:t>The management of these inherent risk factors is formally governed by comprehensive legislation, notably the Mines Act, 1952, and the successor Coal Mines Regulations, 2017. These regulations mandate essential safety practices, including safety audits, medical check-ups, and dust monitoring, with enforcement resting under the authority of the Director General of Mines Safety (DGMS), operating under the Ministry of Labor and Employment. However, despite the comprehensive nature of the statutory framework, challenges persist in the practical implementation and consistent adherence across the industry.</w:t>
      </w:r>
    </w:p>
    <w:p w14:paraId="3DA5AB85" w14:textId="77777777" w:rsidR="00CC4D0B" w:rsidRPr="00FB3DF6" w:rsidRDefault="00992325" w:rsidP="00FB3DF6">
      <w:pPr>
        <w:pStyle w:val="Heading3"/>
        <w:spacing w:before="0"/>
        <w:jc w:val="both"/>
      </w:pPr>
      <w:r w:rsidRPr="00FB3DF6">
        <w:t>Institutional and Legislative Architecture</w:t>
      </w:r>
    </w:p>
    <w:p w14:paraId="17B1D6C0" w14:textId="77777777" w:rsidR="00CC4D0B" w:rsidRPr="00FB3DF6" w:rsidRDefault="00992325" w:rsidP="00FB3DF6">
      <w:pPr>
        <w:pBdr>
          <w:top w:val="nil"/>
          <w:left w:val="nil"/>
          <w:bottom w:val="nil"/>
          <w:right w:val="nil"/>
          <w:between w:val="nil"/>
        </w:pBdr>
        <w:jc w:val="both"/>
      </w:pPr>
      <w:r w:rsidRPr="00FB3DF6">
        <w:t>The Indian coal sector features a diverse structure, encompassing state-run entities like Coal India Limited (CIL) and numerous state and private mines spread across key states such as Jharkhand, West Bengal, and Odisha. The institutional framework dedicated to occupational health is multi-layered. The DGMS is the primary regulatory body responsible for administering safety laws and collating accident statistics. Specialized research and technical support are provided by the National Institute of Miners’ Health (NIMH) and the National Institute of Occupational Health (NIOH), respectively. These efforts are guided by the National Policy on Safety, Health and Environment at Workplaces, implemented in 2009, which seeks commitment from all involved stakeholders.</w:t>
      </w:r>
    </w:p>
    <w:p w14:paraId="1C883787" w14:textId="77777777" w:rsidR="00CC4D0B" w:rsidRPr="00FB3DF6" w:rsidRDefault="00992325" w:rsidP="00FB3DF6">
      <w:pPr>
        <w:pBdr>
          <w:top w:val="nil"/>
          <w:left w:val="nil"/>
          <w:bottom w:val="nil"/>
          <w:right w:val="nil"/>
          <w:between w:val="nil"/>
        </w:pBdr>
        <w:spacing w:after="240"/>
        <w:jc w:val="both"/>
      </w:pPr>
      <w:r w:rsidRPr="00FB3DF6">
        <w:t xml:space="preserve">The legislative structure is built upon foundational acts, including the Mines Act, 1952, and the Mine Rules, 1955, which cover crucial aspects such as ventilation, dust control, and accident avoidance. The Factories Act, 1948, provides secondary coverage related to hazardous work conditions. More recently, the Occupational Safety, Health and Working Condition Code, 2020, attempts to unify different labor laws to elevate worker security. International standards, such as ISO 45001, are also recognized as offering guidelines for continual improvement in occupational health and safety management systems. While this robust legal framework exists, the challenge </w:t>
      </w:r>
      <w:r w:rsidRPr="00FB3DF6">
        <w:lastRenderedPageBreak/>
        <w:t>highlighted by external estimates, such as the International Labor Organization (ILO) noting 562 occupational disease cases during 2011–2016, suggests systemic difficulties in surveillance and compliance.</w:t>
      </w:r>
    </w:p>
    <w:p w14:paraId="30C6FD3A" w14:textId="77777777" w:rsidR="004E3190" w:rsidRDefault="004E3190" w:rsidP="00FB3DF6">
      <w:pPr>
        <w:pStyle w:val="Heading3"/>
        <w:spacing w:before="0"/>
        <w:jc w:val="both"/>
      </w:pPr>
    </w:p>
    <w:p w14:paraId="5CED62F9" w14:textId="77777777" w:rsidR="004E3190" w:rsidRDefault="004E3190" w:rsidP="00FB3DF6">
      <w:pPr>
        <w:pStyle w:val="Heading3"/>
        <w:spacing w:before="0"/>
        <w:jc w:val="both"/>
      </w:pPr>
    </w:p>
    <w:p w14:paraId="19FAE08C" w14:textId="77777777" w:rsidR="00CC4D0B" w:rsidRPr="00FB3DF6" w:rsidRDefault="00992325" w:rsidP="00FB3DF6">
      <w:pPr>
        <w:pStyle w:val="Heading3"/>
        <w:spacing w:before="0"/>
        <w:jc w:val="both"/>
      </w:pPr>
      <w:r w:rsidRPr="00FB3DF6">
        <w:t>Critical Review of Prior Research and Identified Gaps</w:t>
      </w:r>
    </w:p>
    <w:p w14:paraId="48851886" w14:textId="77777777" w:rsidR="00CC4D0B" w:rsidRPr="00FB3DF6" w:rsidRDefault="00992325" w:rsidP="00FB3DF6">
      <w:pPr>
        <w:pBdr>
          <w:top w:val="nil"/>
          <w:left w:val="nil"/>
          <w:bottom w:val="nil"/>
          <w:right w:val="nil"/>
          <w:between w:val="nil"/>
        </w:pBdr>
        <w:jc w:val="both"/>
      </w:pPr>
      <w:r w:rsidRPr="00FB3DF6">
        <w:t>Research over the last decade consistently confirms the persistence of occupational health challenges, with a primary focus on respiratory illnesses, musculoskeletal disorders, and acute injuries. Epidemiological studies have established a strong link between prolonged dust exposure and high prevalence rates of CWP, COPD, and silicosis. Furthermore, accident causation studies indicate that systemic failures—such as poor regulatory compliance, inadequate hazard identification, and machine faults—are underlying drivers of risk. While time-series assessments suggest a favorable declining trend in accident rates, significant vulnerability remains in smaller and private mines, where consistent implementation of safety standards is often lacking.</w:t>
      </w:r>
    </w:p>
    <w:p w14:paraId="350AB954" w14:textId="77777777" w:rsidR="004E3190" w:rsidRDefault="004E3190" w:rsidP="00FB3DF6">
      <w:pPr>
        <w:pBdr>
          <w:top w:val="nil"/>
          <w:left w:val="nil"/>
          <w:bottom w:val="nil"/>
          <w:right w:val="nil"/>
          <w:between w:val="nil"/>
        </w:pBdr>
        <w:spacing w:after="240"/>
        <w:jc w:val="both"/>
      </w:pPr>
    </w:p>
    <w:p w14:paraId="77748D86" w14:textId="77777777" w:rsidR="00CC4D0B" w:rsidRPr="00FB3DF6" w:rsidRDefault="00992325" w:rsidP="00FB3DF6">
      <w:pPr>
        <w:pBdr>
          <w:top w:val="nil"/>
          <w:left w:val="nil"/>
          <w:bottom w:val="nil"/>
          <w:right w:val="nil"/>
          <w:between w:val="nil"/>
        </w:pBdr>
        <w:spacing w:after="240"/>
        <w:jc w:val="both"/>
      </w:pPr>
      <w:r w:rsidRPr="00FB3DF6">
        <w:t>Despite this extensive body of knowledge, critical research gaps limit the efficacy of interventions. Much existing evidence relies on cross-sectional surveys, which inherently restricts the understanding of long-term disease progression and the exposure–response relationship necessary for chronic disease management. Official reporting often underestimates the true burden of diseases like pneumoconiosis and silicosis, a deficiency confirmed by active surveillance studies revealing significantly higher prevalence rates than formally reported. Moreover, small-scale and privately operated mines, which are structurally prone to poor compliance, remain critically understudied. A comprehensive, integrated perspective—combining respiratory, ergonomic, and psychosocial risk factors—is scarce, further hindering the development of holistic strategies. This deficiency restricts pathways for developing rigorous, intervention-based, and predictive studies necessary for sustainable improvements.</w:t>
      </w:r>
    </w:p>
    <w:p w14:paraId="4D664EDB" w14:textId="77777777" w:rsidR="00CC4D0B" w:rsidRPr="00FB3DF6" w:rsidRDefault="00992325" w:rsidP="00FB3DF6">
      <w:pPr>
        <w:pStyle w:val="Heading3"/>
        <w:spacing w:before="0"/>
        <w:jc w:val="both"/>
      </w:pPr>
      <w:r w:rsidRPr="00FB3DF6">
        <w:t>Objectives of the Study</w:t>
      </w:r>
    </w:p>
    <w:p w14:paraId="68EC0717" w14:textId="77777777" w:rsidR="00CC4D0B" w:rsidRPr="00FB3DF6" w:rsidRDefault="00992325" w:rsidP="00FB3DF6">
      <w:pPr>
        <w:pBdr>
          <w:top w:val="nil"/>
          <w:left w:val="nil"/>
          <w:bottom w:val="nil"/>
          <w:right w:val="nil"/>
          <w:between w:val="nil"/>
        </w:pBdr>
        <w:jc w:val="both"/>
      </w:pPr>
      <w:r w:rsidRPr="00FB3DF6">
        <w:t>The primary objective of this research is to comprehensively examine the occupational health challenges faced by coal mine workers in India by reviewing the existing institutional frameworks, legal provisions, and safety practices. Specifically, the study aims:</w:t>
      </w:r>
    </w:p>
    <w:p w14:paraId="41D8EDE6" w14:textId="77777777" w:rsidR="00CC4D0B" w:rsidRPr="00FB3DF6" w:rsidRDefault="00992325" w:rsidP="00FB3DF6">
      <w:pPr>
        <w:numPr>
          <w:ilvl w:val="0"/>
          <w:numId w:val="1"/>
        </w:numPr>
        <w:pBdr>
          <w:top w:val="nil"/>
          <w:left w:val="nil"/>
          <w:bottom w:val="nil"/>
          <w:right w:val="nil"/>
          <w:between w:val="nil"/>
        </w:pBdr>
        <w:jc w:val="both"/>
      </w:pPr>
      <w:r w:rsidRPr="00FB3DF6">
        <w:t>To quantitatively analyze the frequency and severity of fatal and serious accidents over the decade spanning 2013 to 2022.</w:t>
      </w:r>
    </w:p>
    <w:p w14:paraId="3A2B63A7" w14:textId="77777777" w:rsidR="00CC4D0B" w:rsidRPr="00FB3DF6" w:rsidRDefault="00992325" w:rsidP="00FB3DF6">
      <w:pPr>
        <w:numPr>
          <w:ilvl w:val="0"/>
          <w:numId w:val="1"/>
        </w:numPr>
        <w:pBdr>
          <w:top w:val="nil"/>
          <w:left w:val="nil"/>
          <w:bottom w:val="nil"/>
          <w:right w:val="nil"/>
          <w:between w:val="nil"/>
        </w:pBdr>
        <w:jc w:val="both"/>
      </w:pPr>
      <w:r w:rsidRPr="00FB3DF6">
        <w:t>To assess the interrelationship between fatal and serious accidents to determine if common systemic causative factors are at play.</w:t>
      </w:r>
    </w:p>
    <w:p w14:paraId="2D9AC201" w14:textId="77777777" w:rsidR="00CC4D0B" w:rsidRPr="00FB3DF6" w:rsidRDefault="00992325" w:rsidP="00FB3DF6">
      <w:pPr>
        <w:numPr>
          <w:ilvl w:val="0"/>
          <w:numId w:val="1"/>
        </w:numPr>
        <w:pBdr>
          <w:top w:val="nil"/>
          <w:left w:val="nil"/>
          <w:bottom w:val="nil"/>
          <w:right w:val="nil"/>
          <w:between w:val="nil"/>
        </w:pBdr>
        <w:jc w:val="both"/>
      </w:pPr>
      <w:r w:rsidRPr="00FB3DF6">
        <w:t>To evaluate the influence of key operational factors, specifically workforce size and production intensity (coal output), on accident rates.</w:t>
      </w:r>
    </w:p>
    <w:p w14:paraId="25116D04" w14:textId="77777777" w:rsidR="00CC4D0B" w:rsidRPr="00FB3DF6" w:rsidRDefault="00992325" w:rsidP="00FB3DF6">
      <w:pPr>
        <w:numPr>
          <w:ilvl w:val="0"/>
          <w:numId w:val="1"/>
        </w:numPr>
        <w:pBdr>
          <w:top w:val="nil"/>
          <w:left w:val="nil"/>
          <w:bottom w:val="nil"/>
          <w:right w:val="nil"/>
          <w:between w:val="nil"/>
        </w:pBdr>
        <w:jc w:val="both"/>
      </w:pPr>
      <w:r w:rsidRPr="00FB3DF6">
        <w:t>To integrate these quantitative findings with a government policy review to identify systemic gaps and propose appropriate strategies for sustainable occupational health management in the Indian coal mining sector.</w:t>
      </w:r>
    </w:p>
    <w:p w14:paraId="28900553" w14:textId="77777777" w:rsidR="00CC4D0B" w:rsidRPr="00FB3DF6" w:rsidRDefault="00992325" w:rsidP="00FB3DF6">
      <w:pPr>
        <w:pStyle w:val="Heading2"/>
        <w:spacing w:after="240"/>
        <w:jc w:val="both"/>
      </w:pPr>
      <w:r w:rsidRPr="00FB3DF6">
        <w:t xml:space="preserve">2. </w:t>
      </w:r>
      <w:r w:rsidR="004E3190">
        <w:t xml:space="preserve">RESEARCH </w:t>
      </w:r>
      <w:r w:rsidRPr="00FB3DF6">
        <w:t>METHODOLOGY</w:t>
      </w:r>
    </w:p>
    <w:p w14:paraId="382916F2" w14:textId="77777777" w:rsidR="00CC4D0B" w:rsidRPr="00FB3DF6" w:rsidRDefault="00992325" w:rsidP="00FB3DF6">
      <w:pPr>
        <w:pStyle w:val="Heading3"/>
        <w:spacing w:before="0"/>
        <w:jc w:val="both"/>
      </w:pPr>
      <w:r w:rsidRPr="00FB3DF6">
        <w:lastRenderedPageBreak/>
        <w:t>2.1 Research Design</w:t>
      </w:r>
    </w:p>
    <w:p w14:paraId="1B621AEE" w14:textId="77777777" w:rsidR="00CC4D0B" w:rsidRPr="00FB3DF6" w:rsidRDefault="00992325" w:rsidP="00FB3DF6">
      <w:pPr>
        <w:pBdr>
          <w:top w:val="nil"/>
          <w:left w:val="nil"/>
          <w:bottom w:val="nil"/>
          <w:right w:val="nil"/>
          <w:between w:val="nil"/>
        </w:pBdr>
        <w:spacing w:after="240"/>
        <w:jc w:val="both"/>
      </w:pPr>
      <w:r w:rsidRPr="00FB3DF6">
        <w:t>The research employed a secondary, analytical, and explanatory research design focused on occupational health issues within Indian coal mines. The study adopted a two-faceted approach to ensure comprehensive coverage. The first facet involved a qualitative comparison of the institutional structure, legal interventions, and policy initiatives, addressing structure-driven determinants such as regulatory responses and institutional setting. The second facet comprised a quantitative comparison of accident and health statistics, focusing on operational dynamics like accident frequency and health indicators. The research utilized a longitudinal study design spanning the years 2013 to 2022. This duration was chosen specifically to allow for the observation of time-related shifts in safety performance and accident rates following regulatory and technological changes. The design is explanatory in nature, seeking not merely to describe occupational health deficiencies but also to establish causality connections between health hazards and the specific activities inherent in coal mining operations.</w:t>
      </w:r>
    </w:p>
    <w:p w14:paraId="1DAFEE36" w14:textId="77777777" w:rsidR="00CC4D0B" w:rsidRPr="00FB3DF6" w:rsidRDefault="00992325" w:rsidP="00FB3DF6">
      <w:pPr>
        <w:pStyle w:val="Heading3"/>
        <w:spacing w:before="0"/>
        <w:jc w:val="both"/>
      </w:pPr>
      <w:r w:rsidRPr="00FB3DF6">
        <w:t>2.2 Data Sources</w:t>
      </w:r>
    </w:p>
    <w:p w14:paraId="0152479E" w14:textId="77777777" w:rsidR="00CC4D0B" w:rsidRPr="00FB3DF6" w:rsidRDefault="00992325" w:rsidP="00FB3DF6">
      <w:pPr>
        <w:pBdr>
          <w:top w:val="nil"/>
          <w:left w:val="nil"/>
          <w:bottom w:val="nil"/>
          <w:right w:val="nil"/>
          <w:between w:val="nil"/>
        </w:pBdr>
        <w:jc w:val="both"/>
      </w:pPr>
      <w:r w:rsidRPr="00FB3DF6">
        <w:t>The study relied exclusively upon secondary data sources to maintain academic integrity and facilitate a national-level scope. The main data sources utilized for the quantitative and qualitative analyses were:</w:t>
      </w:r>
    </w:p>
    <w:p w14:paraId="4C921C24" w14:textId="77777777" w:rsidR="00CC4D0B" w:rsidRPr="00FB3DF6" w:rsidRDefault="00992325" w:rsidP="00FB3DF6">
      <w:pPr>
        <w:numPr>
          <w:ilvl w:val="0"/>
          <w:numId w:val="2"/>
        </w:numPr>
        <w:pBdr>
          <w:top w:val="nil"/>
          <w:left w:val="nil"/>
          <w:bottom w:val="nil"/>
          <w:right w:val="nil"/>
          <w:between w:val="nil"/>
        </w:pBdr>
        <w:jc w:val="both"/>
      </w:pPr>
      <w:r w:rsidRPr="00FB3DF6">
        <w:t>Directorate General of Mines Safety (DGMS) reports, specifically the Sanket Reports covering the period 2016–2022.</w:t>
      </w:r>
    </w:p>
    <w:p w14:paraId="1C4E5D35" w14:textId="77777777" w:rsidR="00CC4D0B" w:rsidRPr="00FB3DF6" w:rsidRDefault="00992325" w:rsidP="00FB3DF6">
      <w:pPr>
        <w:numPr>
          <w:ilvl w:val="0"/>
          <w:numId w:val="2"/>
        </w:numPr>
        <w:pBdr>
          <w:top w:val="nil"/>
          <w:left w:val="nil"/>
          <w:bottom w:val="nil"/>
          <w:right w:val="nil"/>
          <w:between w:val="nil"/>
        </w:pBdr>
        <w:jc w:val="both"/>
      </w:pPr>
      <w:r w:rsidRPr="00FB3DF6">
        <w:t>Official output and employee updates released by the Ministry of Coal and the Press Information Bureau (PIB).</w:t>
      </w:r>
    </w:p>
    <w:p w14:paraId="055A8E2D" w14:textId="77777777" w:rsidR="00CC4D0B" w:rsidRPr="00FB3DF6" w:rsidRDefault="00992325" w:rsidP="00FB3DF6">
      <w:pPr>
        <w:numPr>
          <w:ilvl w:val="0"/>
          <w:numId w:val="2"/>
        </w:numPr>
        <w:pBdr>
          <w:top w:val="nil"/>
          <w:left w:val="nil"/>
          <w:bottom w:val="nil"/>
          <w:right w:val="nil"/>
          <w:between w:val="nil"/>
        </w:pBdr>
        <w:jc w:val="both"/>
      </w:pPr>
      <w:r w:rsidRPr="00FB3DF6">
        <w:t>Publications from specialized national research institutions, including the National Institute of Miners’ Health (NIMH) and the National Institute of Occupational Health (NIOH).</w:t>
      </w:r>
    </w:p>
    <w:p w14:paraId="7E0D189B" w14:textId="77777777" w:rsidR="00CC4D0B" w:rsidRPr="00FB3DF6" w:rsidRDefault="00992325" w:rsidP="00FB3DF6">
      <w:pPr>
        <w:numPr>
          <w:ilvl w:val="0"/>
          <w:numId w:val="2"/>
        </w:numPr>
        <w:pBdr>
          <w:top w:val="nil"/>
          <w:left w:val="nil"/>
          <w:bottom w:val="nil"/>
          <w:right w:val="nil"/>
          <w:between w:val="nil"/>
        </w:pBdr>
        <w:jc w:val="both"/>
      </w:pPr>
      <w:r w:rsidRPr="00FB3DF6">
        <w:t>Peer-reviewed articles, indexed in Google Scholar (2016–2025), focusing on mine safety, occupational health, and epidemiological issues.</w:t>
      </w:r>
    </w:p>
    <w:p w14:paraId="5775DE5B" w14:textId="77777777" w:rsidR="00CC4D0B" w:rsidRPr="00FB3DF6" w:rsidRDefault="00992325" w:rsidP="00FB3DF6">
      <w:pPr>
        <w:numPr>
          <w:ilvl w:val="0"/>
          <w:numId w:val="2"/>
        </w:numPr>
        <w:pBdr>
          <w:top w:val="nil"/>
          <w:left w:val="nil"/>
          <w:bottom w:val="nil"/>
          <w:right w:val="nil"/>
          <w:between w:val="nil"/>
        </w:pBdr>
        <w:jc w:val="both"/>
      </w:pPr>
      <w:r w:rsidRPr="00FB3DF6">
        <w:t xml:space="preserve">Reports and technical series from international institutions, such as the International </w:t>
      </w:r>
      <w:proofErr w:type="spellStart"/>
      <w:r w:rsidRPr="00FB3DF6">
        <w:t>Labour</w:t>
      </w:r>
      <w:proofErr w:type="spellEnd"/>
      <w:r w:rsidRPr="00FB3DF6">
        <w:t xml:space="preserve"> Organization (ILO) and the World Health Organization (WHO), used for comparative context.</w:t>
      </w:r>
    </w:p>
    <w:p w14:paraId="5FE02033" w14:textId="77777777" w:rsidR="004E3190" w:rsidRDefault="004E3190" w:rsidP="00FB3DF6">
      <w:pPr>
        <w:pBdr>
          <w:top w:val="nil"/>
          <w:left w:val="nil"/>
          <w:bottom w:val="nil"/>
          <w:right w:val="nil"/>
          <w:between w:val="nil"/>
        </w:pBdr>
        <w:spacing w:after="240"/>
        <w:jc w:val="both"/>
      </w:pPr>
    </w:p>
    <w:p w14:paraId="344027E2" w14:textId="77777777" w:rsidR="00CC4D0B" w:rsidRPr="00FB3DF6" w:rsidRDefault="00992325" w:rsidP="00FB3DF6">
      <w:pPr>
        <w:pBdr>
          <w:top w:val="nil"/>
          <w:left w:val="nil"/>
          <w:bottom w:val="nil"/>
          <w:right w:val="nil"/>
          <w:between w:val="nil"/>
        </w:pBdr>
        <w:spacing w:after="240"/>
        <w:jc w:val="both"/>
      </w:pPr>
      <w:r w:rsidRPr="00FB3DF6">
        <w:t>The deliberate inclusion of these varied sources enabled the triangulation of data, synthesizing official statistics, scientific evidence, and policy documentation to provide a robust and multi-dimensional review.</w:t>
      </w:r>
    </w:p>
    <w:p w14:paraId="1C46DD66" w14:textId="77777777" w:rsidR="00CC4D0B" w:rsidRPr="00FB3DF6" w:rsidRDefault="00992325" w:rsidP="00FB3DF6">
      <w:pPr>
        <w:pStyle w:val="Heading3"/>
        <w:spacing w:before="0"/>
        <w:jc w:val="both"/>
      </w:pPr>
      <w:r w:rsidRPr="00FB3DF6">
        <w:t>2.3 Analytical Tools</w:t>
      </w:r>
    </w:p>
    <w:p w14:paraId="65A852CA" w14:textId="77777777" w:rsidR="00CC4D0B" w:rsidRPr="00FB3DF6" w:rsidRDefault="00992325" w:rsidP="00FB3DF6">
      <w:pPr>
        <w:pBdr>
          <w:top w:val="nil"/>
          <w:left w:val="nil"/>
          <w:bottom w:val="nil"/>
          <w:right w:val="nil"/>
          <w:between w:val="nil"/>
        </w:pBdr>
        <w:spacing w:after="255"/>
        <w:jc w:val="both"/>
      </w:pPr>
      <w:r w:rsidRPr="00FB3DF6">
        <w:t>The quantitative analysis incorporated a combination of descriptive statistics, inferential statistics, and regression modeling for the detailed interpretation of accident data and work-related health outcomes.</w:t>
      </w:r>
    </w:p>
    <w:p w14:paraId="057D0D31" w14:textId="77777777" w:rsidR="00CC4D0B" w:rsidRPr="00FB3DF6" w:rsidRDefault="00992325" w:rsidP="00FB3DF6">
      <w:pPr>
        <w:pStyle w:val="Heading4"/>
        <w:spacing w:before="0"/>
        <w:jc w:val="both"/>
      </w:pPr>
      <w:r w:rsidRPr="00FB3DF6">
        <w:t>2.3.1 Quantitative Methods</w:t>
      </w:r>
    </w:p>
    <w:p w14:paraId="296FC34E" w14:textId="77777777" w:rsidR="00CC4D0B" w:rsidRPr="00FB3DF6" w:rsidRDefault="00992325" w:rsidP="00FB3DF6">
      <w:pPr>
        <w:pBdr>
          <w:top w:val="nil"/>
          <w:left w:val="nil"/>
          <w:bottom w:val="nil"/>
          <w:right w:val="nil"/>
          <w:between w:val="nil"/>
        </w:pBdr>
        <w:jc w:val="both"/>
      </w:pPr>
      <w:r w:rsidRPr="00FB3DF6">
        <w:rPr>
          <w:b/>
        </w:rPr>
        <w:t>Descriptive Analysis:</w:t>
      </w:r>
      <w:r w:rsidRPr="00FB3DF6">
        <w:t xml:space="preserve"> Basic descriptive statistics, including mean, median, minimum, maximum, and standard deviation, were computed to summarize the overall trends and volatility of fatal and serious accidents across the longitudinal period. These statistics established the foundation for understanding aggregate accident tendencies and volatility in safety performance.</w:t>
      </w:r>
    </w:p>
    <w:p w14:paraId="3FA44B25" w14:textId="77777777" w:rsidR="004E3190" w:rsidRDefault="004E3190" w:rsidP="00FB3DF6">
      <w:pPr>
        <w:pBdr>
          <w:top w:val="nil"/>
          <w:left w:val="nil"/>
          <w:bottom w:val="nil"/>
          <w:right w:val="nil"/>
          <w:between w:val="nil"/>
        </w:pBdr>
        <w:jc w:val="both"/>
        <w:rPr>
          <w:b/>
        </w:rPr>
      </w:pPr>
    </w:p>
    <w:p w14:paraId="1CE3B30B" w14:textId="77777777" w:rsidR="00CC4D0B" w:rsidRPr="00FB3DF6" w:rsidRDefault="00992325" w:rsidP="00FB3DF6">
      <w:pPr>
        <w:pBdr>
          <w:top w:val="nil"/>
          <w:left w:val="nil"/>
          <w:bottom w:val="nil"/>
          <w:right w:val="nil"/>
          <w:between w:val="nil"/>
        </w:pBdr>
        <w:jc w:val="both"/>
      </w:pPr>
      <w:r w:rsidRPr="00FB3DF6">
        <w:rPr>
          <w:b/>
        </w:rPr>
        <w:t>Inferential Analysis (Chi-Square Test):</w:t>
      </w:r>
      <w:r w:rsidRPr="00FB3DF6">
        <w:t xml:space="preserve"> The Chi-Square test was applied to categorical counts of fatal and serious accidents to investigate their statistical association. Accidents were categorized as low, medium, or high to allow for a statistically meaningful comparison of frequencies, thereby determining if systemic risks link the occurrence of both fatal and serious incidents.</w:t>
      </w:r>
    </w:p>
    <w:p w14:paraId="66587659" w14:textId="77777777" w:rsidR="004E3190" w:rsidRDefault="004E3190" w:rsidP="00FB3DF6">
      <w:pPr>
        <w:pBdr>
          <w:top w:val="nil"/>
          <w:left w:val="nil"/>
          <w:bottom w:val="nil"/>
          <w:right w:val="nil"/>
          <w:between w:val="nil"/>
        </w:pBdr>
        <w:spacing w:after="255"/>
        <w:jc w:val="both"/>
        <w:rPr>
          <w:b/>
        </w:rPr>
      </w:pPr>
    </w:p>
    <w:p w14:paraId="6AC12DDD" w14:textId="77777777" w:rsidR="00CC4D0B" w:rsidRPr="00FB3DF6" w:rsidRDefault="00992325" w:rsidP="00FB3DF6">
      <w:pPr>
        <w:pBdr>
          <w:top w:val="nil"/>
          <w:left w:val="nil"/>
          <w:bottom w:val="nil"/>
          <w:right w:val="nil"/>
          <w:between w:val="nil"/>
        </w:pBdr>
        <w:spacing w:after="255"/>
        <w:jc w:val="both"/>
      </w:pPr>
      <w:r w:rsidRPr="00FB3DF6">
        <w:rPr>
          <w:b/>
        </w:rPr>
        <w:t>Time Series Regression Analysis:</w:t>
      </w:r>
      <w:r w:rsidRPr="00FB3DF6">
        <w:t xml:space="preserve"> A multiple regression model was estimated to explore the explanatory relationships between operational factors and acute safety outcomes. Fatal Accidents served as the dependent variable, while Coal Output (representing production intensity) and Workforce Size (representing labor dynamics) were utilized as independent predictors. This model assessed the extent to which changes in labor supply and production intensity explained variations in fatal accident rates over time.</w:t>
      </w:r>
    </w:p>
    <w:p w14:paraId="100968F4" w14:textId="77777777" w:rsidR="00CC4D0B" w:rsidRPr="00FB3DF6" w:rsidRDefault="00992325" w:rsidP="00FB3DF6">
      <w:pPr>
        <w:pStyle w:val="Heading4"/>
        <w:spacing w:before="0"/>
        <w:jc w:val="both"/>
      </w:pPr>
      <w:r w:rsidRPr="00FB3DF6">
        <w:t>2.3.2 Qualitative Methods</w:t>
      </w:r>
    </w:p>
    <w:p w14:paraId="540C212C" w14:textId="77777777" w:rsidR="00CC4D0B" w:rsidRPr="00FB3DF6" w:rsidRDefault="00992325" w:rsidP="00FB3DF6">
      <w:pPr>
        <w:pBdr>
          <w:top w:val="nil"/>
          <w:left w:val="nil"/>
          <w:bottom w:val="nil"/>
          <w:right w:val="nil"/>
          <w:between w:val="nil"/>
        </w:pBdr>
        <w:jc w:val="both"/>
      </w:pPr>
      <w:r w:rsidRPr="00FB3DF6">
        <w:rPr>
          <w:b/>
        </w:rPr>
        <w:t>Narrative Synthesis:</w:t>
      </w:r>
      <w:r w:rsidRPr="00FB3DF6">
        <w:t xml:space="preserve"> This approach was used in conjunction with the quantitative findings to contextualize results within the existing policy, institutional, and regulatory environment. The narrative synthesis incorporated information from health surveys and policy texts, defining the specific implementation gaps identified in the sector.</w:t>
      </w:r>
    </w:p>
    <w:p w14:paraId="7061683A" w14:textId="77777777" w:rsidR="004E3190" w:rsidRDefault="004E3190" w:rsidP="00FB3DF6">
      <w:pPr>
        <w:pBdr>
          <w:top w:val="nil"/>
          <w:left w:val="nil"/>
          <w:bottom w:val="nil"/>
          <w:right w:val="nil"/>
          <w:between w:val="nil"/>
        </w:pBdr>
        <w:spacing w:after="225"/>
        <w:jc w:val="both"/>
        <w:rPr>
          <w:b/>
        </w:rPr>
      </w:pPr>
    </w:p>
    <w:p w14:paraId="63E871B4" w14:textId="77777777" w:rsidR="00CC4D0B" w:rsidRPr="00FB3DF6" w:rsidRDefault="00992325" w:rsidP="00FB3DF6">
      <w:pPr>
        <w:pBdr>
          <w:top w:val="nil"/>
          <w:left w:val="nil"/>
          <w:bottom w:val="nil"/>
          <w:right w:val="nil"/>
          <w:between w:val="nil"/>
        </w:pBdr>
        <w:spacing w:after="225"/>
        <w:jc w:val="both"/>
      </w:pPr>
      <w:r w:rsidRPr="00FB3DF6">
        <w:rPr>
          <w:b/>
        </w:rPr>
        <w:t>Software:</w:t>
      </w:r>
      <w:r w:rsidRPr="00FB3DF6">
        <w:t xml:space="preserve"> Data analysis and visualization were executed using Python 3.12.8. Microsoft Excel 2010 was used for the tabulation of collected data, and Microsoft Word 2010 was used for documentation.</w:t>
      </w:r>
    </w:p>
    <w:p w14:paraId="675EF150" w14:textId="77777777" w:rsidR="00CC4D0B" w:rsidRPr="00FB3DF6" w:rsidRDefault="00992325" w:rsidP="00FB3DF6">
      <w:pPr>
        <w:pStyle w:val="Heading2"/>
        <w:spacing w:before="0" w:after="240"/>
        <w:jc w:val="both"/>
      </w:pPr>
      <w:r w:rsidRPr="00FB3DF6">
        <w:t>3. RESULTS AND DISCUSSION</w:t>
      </w:r>
    </w:p>
    <w:p w14:paraId="405C6B9F" w14:textId="77777777" w:rsidR="00CC4D0B" w:rsidRPr="00FB3DF6" w:rsidRDefault="00992325" w:rsidP="00FB3DF6">
      <w:pPr>
        <w:pStyle w:val="Heading3"/>
        <w:spacing w:before="0"/>
        <w:jc w:val="both"/>
      </w:pPr>
      <w:r w:rsidRPr="00FB3DF6">
        <w:t>3.1 Descriptive Analysis of Acute Accident Trends</w:t>
      </w:r>
    </w:p>
    <w:p w14:paraId="34997945" w14:textId="77777777" w:rsidR="00CC4D0B" w:rsidRPr="00FB3DF6" w:rsidRDefault="00992325" w:rsidP="00FB3DF6">
      <w:pPr>
        <w:pBdr>
          <w:top w:val="nil"/>
          <w:left w:val="nil"/>
          <w:bottom w:val="nil"/>
          <w:right w:val="nil"/>
          <w:between w:val="nil"/>
        </w:pBdr>
        <w:jc w:val="both"/>
      </w:pPr>
      <w:r w:rsidRPr="00FB3DF6">
        <w:t>The descriptive analysis provides a summary profile of accident tendencies in the Indian coal mining sector between 2013 and 2022, quantifying the scale of occupational risk and its volatility over time.</w:t>
      </w:r>
    </w:p>
    <w:p w14:paraId="7ECE22FB" w14:textId="77777777" w:rsidR="00FB3DF6" w:rsidRDefault="00FB3DF6" w:rsidP="00FB3DF6">
      <w:pPr>
        <w:pBdr>
          <w:top w:val="nil"/>
          <w:left w:val="nil"/>
          <w:bottom w:val="nil"/>
          <w:right w:val="nil"/>
          <w:between w:val="nil"/>
        </w:pBdr>
        <w:jc w:val="both"/>
      </w:pPr>
    </w:p>
    <w:p w14:paraId="4520EBFF" w14:textId="77777777" w:rsidR="00CC4D0B" w:rsidRDefault="00992325" w:rsidP="00FB3DF6">
      <w:pPr>
        <w:pBdr>
          <w:top w:val="nil"/>
          <w:left w:val="nil"/>
          <w:bottom w:val="nil"/>
          <w:right w:val="nil"/>
          <w:between w:val="nil"/>
        </w:pBdr>
        <w:jc w:val="both"/>
      </w:pPr>
      <w:r w:rsidRPr="00FB3DF6">
        <w:t>Table 1. Descriptive Statistics of Fatal and Serious Accidents (2013-2022)</w:t>
      </w:r>
    </w:p>
    <w:p w14:paraId="1B0A765F" w14:textId="77777777" w:rsidR="004E3190" w:rsidRPr="00FB3DF6" w:rsidRDefault="004E3190" w:rsidP="00FB3DF6">
      <w:pPr>
        <w:pBdr>
          <w:top w:val="nil"/>
          <w:left w:val="nil"/>
          <w:bottom w:val="nil"/>
          <w:right w:val="nil"/>
          <w:between w:val="nil"/>
        </w:pBdr>
        <w:jc w:val="both"/>
      </w:pPr>
    </w:p>
    <w:tbl>
      <w:tblPr>
        <w:tblStyle w:val="a"/>
        <w:tblW w:w="936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60"/>
        <w:gridCol w:w="1560"/>
        <w:gridCol w:w="1560"/>
        <w:gridCol w:w="1560"/>
        <w:gridCol w:w="1560"/>
        <w:gridCol w:w="1560"/>
      </w:tblGrid>
      <w:tr w:rsidR="00CC4D0B" w:rsidRPr="00FB3DF6" w14:paraId="14C144EA" w14:textId="77777777">
        <w:trPr>
          <w:tblHeader/>
        </w:trPr>
        <w:tc>
          <w:tcPr>
            <w:tcW w:w="1560" w:type="dxa"/>
            <w:tcMar>
              <w:top w:w="0" w:type="dxa"/>
              <w:left w:w="0" w:type="dxa"/>
              <w:bottom w:w="0" w:type="dxa"/>
              <w:right w:w="0" w:type="dxa"/>
            </w:tcMar>
          </w:tcPr>
          <w:p w14:paraId="7B6BE117" w14:textId="77777777" w:rsidR="00CC4D0B" w:rsidRPr="00FB3DF6" w:rsidRDefault="00992325" w:rsidP="00FB3DF6">
            <w:pPr>
              <w:pBdr>
                <w:top w:val="nil"/>
                <w:left w:val="nil"/>
                <w:bottom w:val="nil"/>
                <w:right w:val="nil"/>
                <w:between w:val="nil"/>
              </w:pBdr>
              <w:jc w:val="both"/>
              <w:rPr>
                <w:b/>
              </w:rPr>
            </w:pPr>
            <w:r w:rsidRPr="00FB3DF6">
              <w:rPr>
                <w:b/>
              </w:rPr>
              <w:t>Variable</w:t>
            </w:r>
          </w:p>
        </w:tc>
        <w:tc>
          <w:tcPr>
            <w:tcW w:w="1560" w:type="dxa"/>
            <w:tcMar>
              <w:top w:w="0" w:type="dxa"/>
              <w:left w:w="0" w:type="dxa"/>
              <w:bottom w:w="0" w:type="dxa"/>
              <w:right w:w="0" w:type="dxa"/>
            </w:tcMar>
          </w:tcPr>
          <w:p w14:paraId="74A7339A" w14:textId="77777777" w:rsidR="00CC4D0B" w:rsidRPr="00FB3DF6" w:rsidRDefault="00992325" w:rsidP="00FB3DF6">
            <w:pPr>
              <w:pBdr>
                <w:top w:val="nil"/>
                <w:left w:val="nil"/>
                <w:bottom w:val="nil"/>
                <w:right w:val="nil"/>
                <w:between w:val="nil"/>
              </w:pBdr>
              <w:jc w:val="both"/>
              <w:rPr>
                <w:b/>
              </w:rPr>
            </w:pPr>
            <w:r w:rsidRPr="00FB3DF6">
              <w:rPr>
                <w:b/>
              </w:rPr>
              <w:t>Mean</w:t>
            </w:r>
          </w:p>
        </w:tc>
        <w:tc>
          <w:tcPr>
            <w:tcW w:w="1560" w:type="dxa"/>
            <w:tcMar>
              <w:top w:w="0" w:type="dxa"/>
              <w:left w:w="0" w:type="dxa"/>
              <w:bottom w:w="0" w:type="dxa"/>
              <w:right w:w="0" w:type="dxa"/>
            </w:tcMar>
          </w:tcPr>
          <w:p w14:paraId="4D738BB6" w14:textId="77777777" w:rsidR="00CC4D0B" w:rsidRPr="00FB3DF6" w:rsidRDefault="00992325" w:rsidP="00FB3DF6">
            <w:pPr>
              <w:pBdr>
                <w:top w:val="nil"/>
                <w:left w:val="nil"/>
                <w:bottom w:val="nil"/>
                <w:right w:val="nil"/>
                <w:between w:val="nil"/>
              </w:pBdr>
              <w:jc w:val="both"/>
              <w:rPr>
                <w:b/>
              </w:rPr>
            </w:pPr>
            <w:r w:rsidRPr="00FB3DF6">
              <w:rPr>
                <w:b/>
              </w:rPr>
              <w:t>Median</w:t>
            </w:r>
          </w:p>
        </w:tc>
        <w:tc>
          <w:tcPr>
            <w:tcW w:w="1560" w:type="dxa"/>
            <w:tcMar>
              <w:top w:w="0" w:type="dxa"/>
              <w:left w:w="0" w:type="dxa"/>
              <w:bottom w:w="0" w:type="dxa"/>
              <w:right w:w="0" w:type="dxa"/>
            </w:tcMar>
          </w:tcPr>
          <w:p w14:paraId="64C3AD31" w14:textId="77777777" w:rsidR="00CC4D0B" w:rsidRPr="00FB3DF6" w:rsidRDefault="00992325" w:rsidP="00FB3DF6">
            <w:pPr>
              <w:pBdr>
                <w:top w:val="nil"/>
                <w:left w:val="nil"/>
                <w:bottom w:val="nil"/>
                <w:right w:val="nil"/>
                <w:between w:val="nil"/>
              </w:pBdr>
              <w:jc w:val="both"/>
              <w:rPr>
                <w:b/>
              </w:rPr>
            </w:pPr>
            <w:r w:rsidRPr="00FB3DF6">
              <w:rPr>
                <w:b/>
              </w:rPr>
              <w:t>Min</w:t>
            </w:r>
          </w:p>
        </w:tc>
        <w:tc>
          <w:tcPr>
            <w:tcW w:w="1560" w:type="dxa"/>
            <w:tcMar>
              <w:top w:w="0" w:type="dxa"/>
              <w:left w:w="0" w:type="dxa"/>
              <w:bottom w:w="0" w:type="dxa"/>
              <w:right w:w="0" w:type="dxa"/>
            </w:tcMar>
          </w:tcPr>
          <w:p w14:paraId="41D8161B" w14:textId="77777777" w:rsidR="00CC4D0B" w:rsidRPr="00FB3DF6" w:rsidRDefault="00992325" w:rsidP="00FB3DF6">
            <w:pPr>
              <w:pBdr>
                <w:top w:val="nil"/>
                <w:left w:val="nil"/>
                <w:bottom w:val="nil"/>
                <w:right w:val="nil"/>
                <w:between w:val="nil"/>
              </w:pBdr>
              <w:jc w:val="both"/>
              <w:rPr>
                <w:b/>
              </w:rPr>
            </w:pPr>
            <w:r w:rsidRPr="00FB3DF6">
              <w:rPr>
                <w:b/>
              </w:rPr>
              <w:t>Max</w:t>
            </w:r>
          </w:p>
        </w:tc>
        <w:tc>
          <w:tcPr>
            <w:tcW w:w="1560" w:type="dxa"/>
            <w:tcMar>
              <w:top w:w="0" w:type="dxa"/>
              <w:left w:w="0" w:type="dxa"/>
              <w:bottom w:w="0" w:type="dxa"/>
              <w:right w:w="0" w:type="dxa"/>
            </w:tcMar>
          </w:tcPr>
          <w:p w14:paraId="19D4D377" w14:textId="77777777" w:rsidR="00CC4D0B" w:rsidRPr="00FB3DF6" w:rsidRDefault="00992325" w:rsidP="00FB3DF6">
            <w:pPr>
              <w:pBdr>
                <w:top w:val="nil"/>
                <w:left w:val="nil"/>
                <w:bottom w:val="nil"/>
                <w:right w:val="nil"/>
                <w:between w:val="nil"/>
              </w:pBdr>
              <w:jc w:val="both"/>
              <w:rPr>
                <w:b/>
              </w:rPr>
            </w:pPr>
            <w:r w:rsidRPr="00FB3DF6">
              <w:rPr>
                <w:b/>
              </w:rPr>
              <w:t>Standard Deviation</w:t>
            </w:r>
          </w:p>
        </w:tc>
      </w:tr>
      <w:tr w:rsidR="00CC4D0B" w:rsidRPr="00FB3DF6" w14:paraId="7D561B7D" w14:textId="77777777">
        <w:tc>
          <w:tcPr>
            <w:tcW w:w="1560" w:type="dxa"/>
            <w:tcMar>
              <w:top w:w="0" w:type="dxa"/>
              <w:left w:w="0" w:type="dxa"/>
              <w:bottom w:w="0" w:type="dxa"/>
              <w:right w:w="0" w:type="dxa"/>
            </w:tcMar>
          </w:tcPr>
          <w:p w14:paraId="557D7FD3" w14:textId="77777777" w:rsidR="00CC4D0B" w:rsidRPr="00FB3DF6" w:rsidRDefault="00992325" w:rsidP="00FB3DF6">
            <w:pPr>
              <w:pBdr>
                <w:top w:val="nil"/>
                <w:left w:val="nil"/>
                <w:bottom w:val="nil"/>
                <w:right w:val="nil"/>
                <w:between w:val="nil"/>
              </w:pBdr>
              <w:jc w:val="both"/>
            </w:pPr>
            <w:r w:rsidRPr="00FB3DF6">
              <w:t>Fatal Accidents</w:t>
            </w:r>
          </w:p>
        </w:tc>
        <w:tc>
          <w:tcPr>
            <w:tcW w:w="1560" w:type="dxa"/>
            <w:tcMar>
              <w:top w:w="0" w:type="dxa"/>
              <w:left w:w="0" w:type="dxa"/>
              <w:bottom w:w="0" w:type="dxa"/>
              <w:right w:w="0" w:type="dxa"/>
            </w:tcMar>
          </w:tcPr>
          <w:p w14:paraId="4A9DB20B" w14:textId="77777777" w:rsidR="00CC4D0B" w:rsidRPr="00FB3DF6" w:rsidRDefault="00992325" w:rsidP="00FB3DF6">
            <w:pPr>
              <w:pBdr>
                <w:top w:val="nil"/>
                <w:left w:val="nil"/>
                <w:bottom w:val="nil"/>
                <w:right w:val="nil"/>
                <w:between w:val="nil"/>
              </w:pBdr>
              <w:jc w:val="both"/>
            </w:pPr>
            <w:r w:rsidRPr="00FB3DF6">
              <w:t>52.8</w:t>
            </w:r>
          </w:p>
        </w:tc>
        <w:tc>
          <w:tcPr>
            <w:tcW w:w="1560" w:type="dxa"/>
            <w:tcMar>
              <w:top w:w="0" w:type="dxa"/>
              <w:left w:w="0" w:type="dxa"/>
              <w:bottom w:w="0" w:type="dxa"/>
              <w:right w:w="0" w:type="dxa"/>
            </w:tcMar>
          </w:tcPr>
          <w:p w14:paraId="1EC43B85" w14:textId="77777777" w:rsidR="00CC4D0B" w:rsidRPr="00FB3DF6" w:rsidRDefault="00992325" w:rsidP="00FB3DF6">
            <w:pPr>
              <w:pBdr>
                <w:top w:val="nil"/>
                <w:left w:val="nil"/>
                <w:bottom w:val="nil"/>
                <w:right w:val="nil"/>
                <w:between w:val="nil"/>
              </w:pBdr>
              <w:jc w:val="both"/>
            </w:pPr>
            <w:r w:rsidRPr="00FB3DF6">
              <w:t>52.5</w:t>
            </w:r>
          </w:p>
        </w:tc>
        <w:tc>
          <w:tcPr>
            <w:tcW w:w="1560" w:type="dxa"/>
            <w:tcMar>
              <w:top w:w="0" w:type="dxa"/>
              <w:left w:w="0" w:type="dxa"/>
              <w:bottom w:w="0" w:type="dxa"/>
              <w:right w:w="0" w:type="dxa"/>
            </w:tcMar>
          </w:tcPr>
          <w:p w14:paraId="692C29E4" w14:textId="77777777" w:rsidR="00CC4D0B" w:rsidRPr="00FB3DF6" w:rsidRDefault="00992325" w:rsidP="00FB3DF6">
            <w:pPr>
              <w:pBdr>
                <w:top w:val="nil"/>
                <w:left w:val="nil"/>
                <w:bottom w:val="nil"/>
                <w:right w:val="nil"/>
                <w:between w:val="nil"/>
              </w:pBdr>
              <w:jc w:val="both"/>
            </w:pPr>
            <w:r w:rsidRPr="00FB3DF6">
              <w:t>24</w:t>
            </w:r>
          </w:p>
        </w:tc>
        <w:tc>
          <w:tcPr>
            <w:tcW w:w="1560" w:type="dxa"/>
            <w:tcMar>
              <w:top w:w="0" w:type="dxa"/>
              <w:left w:w="0" w:type="dxa"/>
              <w:bottom w:w="0" w:type="dxa"/>
              <w:right w:w="0" w:type="dxa"/>
            </w:tcMar>
          </w:tcPr>
          <w:p w14:paraId="5E500218" w14:textId="77777777" w:rsidR="00CC4D0B" w:rsidRPr="00FB3DF6" w:rsidRDefault="00992325" w:rsidP="00FB3DF6">
            <w:pPr>
              <w:pBdr>
                <w:top w:val="nil"/>
                <w:left w:val="nil"/>
                <w:bottom w:val="nil"/>
                <w:right w:val="nil"/>
                <w:between w:val="nil"/>
              </w:pBdr>
              <w:jc w:val="both"/>
            </w:pPr>
            <w:r w:rsidRPr="00FB3DF6">
              <w:t>77</w:t>
            </w:r>
          </w:p>
        </w:tc>
        <w:tc>
          <w:tcPr>
            <w:tcW w:w="1560" w:type="dxa"/>
            <w:tcMar>
              <w:top w:w="0" w:type="dxa"/>
              <w:left w:w="0" w:type="dxa"/>
              <w:bottom w:w="0" w:type="dxa"/>
              <w:right w:w="0" w:type="dxa"/>
            </w:tcMar>
          </w:tcPr>
          <w:p w14:paraId="3E6D2CA2" w14:textId="77777777" w:rsidR="00CC4D0B" w:rsidRPr="00FB3DF6" w:rsidRDefault="00992325" w:rsidP="00FB3DF6">
            <w:pPr>
              <w:pBdr>
                <w:top w:val="nil"/>
                <w:left w:val="nil"/>
                <w:bottom w:val="nil"/>
                <w:right w:val="nil"/>
                <w:between w:val="nil"/>
              </w:pBdr>
              <w:jc w:val="both"/>
            </w:pPr>
            <w:r w:rsidRPr="00FB3DF6">
              <w:t>14.8</w:t>
            </w:r>
          </w:p>
        </w:tc>
      </w:tr>
      <w:tr w:rsidR="00CC4D0B" w:rsidRPr="00FB3DF6" w14:paraId="4CCDB557" w14:textId="77777777">
        <w:tc>
          <w:tcPr>
            <w:tcW w:w="1560" w:type="dxa"/>
            <w:tcMar>
              <w:top w:w="0" w:type="dxa"/>
              <w:left w:w="0" w:type="dxa"/>
              <w:bottom w:w="0" w:type="dxa"/>
              <w:right w:w="0" w:type="dxa"/>
            </w:tcMar>
          </w:tcPr>
          <w:p w14:paraId="6B69860A" w14:textId="77777777" w:rsidR="00CC4D0B" w:rsidRPr="00FB3DF6" w:rsidRDefault="00992325" w:rsidP="00FB3DF6">
            <w:pPr>
              <w:pBdr>
                <w:top w:val="nil"/>
                <w:left w:val="nil"/>
                <w:bottom w:val="nil"/>
                <w:right w:val="nil"/>
                <w:between w:val="nil"/>
              </w:pBdr>
              <w:jc w:val="both"/>
            </w:pPr>
            <w:r w:rsidRPr="00FB3DF6">
              <w:t>Serious Accidents</w:t>
            </w:r>
          </w:p>
        </w:tc>
        <w:tc>
          <w:tcPr>
            <w:tcW w:w="1560" w:type="dxa"/>
            <w:tcMar>
              <w:top w:w="0" w:type="dxa"/>
              <w:left w:w="0" w:type="dxa"/>
              <w:bottom w:w="0" w:type="dxa"/>
              <w:right w:w="0" w:type="dxa"/>
            </w:tcMar>
          </w:tcPr>
          <w:p w14:paraId="4A4822BF" w14:textId="77777777" w:rsidR="00CC4D0B" w:rsidRPr="00FB3DF6" w:rsidRDefault="00992325" w:rsidP="00FB3DF6">
            <w:pPr>
              <w:pBdr>
                <w:top w:val="nil"/>
                <w:left w:val="nil"/>
                <w:bottom w:val="nil"/>
                <w:right w:val="nil"/>
                <w:between w:val="nil"/>
              </w:pBdr>
              <w:jc w:val="both"/>
            </w:pPr>
            <w:r w:rsidRPr="00FB3DF6">
              <w:t>266.3</w:t>
            </w:r>
          </w:p>
        </w:tc>
        <w:tc>
          <w:tcPr>
            <w:tcW w:w="1560" w:type="dxa"/>
            <w:tcMar>
              <w:top w:w="0" w:type="dxa"/>
              <w:left w:w="0" w:type="dxa"/>
              <w:bottom w:w="0" w:type="dxa"/>
              <w:right w:w="0" w:type="dxa"/>
            </w:tcMar>
          </w:tcPr>
          <w:p w14:paraId="4C69CFA1" w14:textId="77777777" w:rsidR="00CC4D0B" w:rsidRPr="00FB3DF6" w:rsidRDefault="00992325" w:rsidP="00FB3DF6">
            <w:pPr>
              <w:pBdr>
                <w:top w:val="nil"/>
                <w:left w:val="nil"/>
                <w:bottom w:val="nil"/>
                <w:right w:val="nil"/>
                <w:between w:val="nil"/>
              </w:pBdr>
              <w:jc w:val="both"/>
            </w:pPr>
            <w:r w:rsidRPr="00FB3DF6">
              <w:t>265.5</w:t>
            </w:r>
          </w:p>
        </w:tc>
        <w:tc>
          <w:tcPr>
            <w:tcW w:w="1560" w:type="dxa"/>
            <w:tcMar>
              <w:top w:w="0" w:type="dxa"/>
              <w:left w:w="0" w:type="dxa"/>
              <w:bottom w:w="0" w:type="dxa"/>
              <w:right w:w="0" w:type="dxa"/>
            </w:tcMar>
          </w:tcPr>
          <w:p w14:paraId="124F2FF4" w14:textId="77777777" w:rsidR="00CC4D0B" w:rsidRPr="00FB3DF6" w:rsidRDefault="00992325" w:rsidP="00FB3DF6">
            <w:pPr>
              <w:pBdr>
                <w:top w:val="nil"/>
                <w:left w:val="nil"/>
                <w:bottom w:val="nil"/>
                <w:right w:val="nil"/>
                <w:between w:val="nil"/>
              </w:pBdr>
              <w:jc w:val="both"/>
            </w:pPr>
            <w:r w:rsidRPr="00FB3DF6">
              <w:t>117</w:t>
            </w:r>
          </w:p>
        </w:tc>
        <w:tc>
          <w:tcPr>
            <w:tcW w:w="1560" w:type="dxa"/>
            <w:tcMar>
              <w:top w:w="0" w:type="dxa"/>
              <w:left w:w="0" w:type="dxa"/>
              <w:bottom w:w="0" w:type="dxa"/>
              <w:right w:w="0" w:type="dxa"/>
            </w:tcMar>
          </w:tcPr>
          <w:p w14:paraId="02EF5CAA" w14:textId="77777777" w:rsidR="00CC4D0B" w:rsidRPr="00FB3DF6" w:rsidRDefault="00992325" w:rsidP="00FB3DF6">
            <w:pPr>
              <w:pBdr>
                <w:top w:val="nil"/>
                <w:left w:val="nil"/>
                <w:bottom w:val="nil"/>
                <w:right w:val="nil"/>
                <w:between w:val="nil"/>
              </w:pBdr>
              <w:jc w:val="both"/>
            </w:pPr>
            <w:r w:rsidRPr="00FB3DF6">
              <w:t>456</w:t>
            </w:r>
          </w:p>
        </w:tc>
        <w:tc>
          <w:tcPr>
            <w:tcW w:w="1560" w:type="dxa"/>
            <w:tcMar>
              <w:top w:w="0" w:type="dxa"/>
              <w:left w:w="0" w:type="dxa"/>
              <w:bottom w:w="0" w:type="dxa"/>
              <w:right w:w="0" w:type="dxa"/>
            </w:tcMar>
          </w:tcPr>
          <w:p w14:paraId="33C2A200" w14:textId="77777777" w:rsidR="00CC4D0B" w:rsidRPr="00FB3DF6" w:rsidRDefault="00992325" w:rsidP="00FB3DF6">
            <w:pPr>
              <w:pBdr>
                <w:top w:val="nil"/>
                <w:left w:val="nil"/>
                <w:bottom w:val="nil"/>
                <w:right w:val="nil"/>
                <w:between w:val="nil"/>
              </w:pBdr>
              <w:jc w:val="both"/>
            </w:pPr>
            <w:r w:rsidRPr="00FB3DF6">
              <w:t>94.5</w:t>
            </w:r>
          </w:p>
        </w:tc>
      </w:tr>
    </w:tbl>
    <w:p w14:paraId="0AB2A533" w14:textId="77777777" w:rsidR="004E3190" w:rsidRDefault="004E3190" w:rsidP="00FB3DF6">
      <w:pPr>
        <w:pBdr>
          <w:top w:val="nil"/>
          <w:left w:val="nil"/>
          <w:bottom w:val="nil"/>
          <w:right w:val="nil"/>
          <w:between w:val="nil"/>
        </w:pBdr>
        <w:jc w:val="both"/>
      </w:pPr>
    </w:p>
    <w:p w14:paraId="027839CC" w14:textId="77777777" w:rsidR="00CC4D0B" w:rsidRPr="00FB3DF6" w:rsidRDefault="00992325" w:rsidP="00FB3DF6">
      <w:pPr>
        <w:pBdr>
          <w:top w:val="nil"/>
          <w:left w:val="nil"/>
          <w:bottom w:val="nil"/>
          <w:right w:val="nil"/>
          <w:between w:val="nil"/>
        </w:pBdr>
        <w:jc w:val="both"/>
      </w:pPr>
      <w:r w:rsidRPr="00FB3DF6">
        <w:t>The data presented in Table 1, supported by visual representation (Figure 1 in the original study), demonstrates an obvious descending trend in both fatal and serious accidents throughout the period 2013–2022, indicating positive strides in occupational health and safety standards. The initial recorded peak occurred in 2013, with 77 fatal accidents and 456 serious accidents, underscoring the severity of mining hazards at the start of the study period.</w:t>
      </w:r>
    </w:p>
    <w:p w14:paraId="594DF749" w14:textId="77777777" w:rsidR="004E3190" w:rsidRDefault="004E3190" w:rsidP="00FB3DF6">
      <w:pPr>
        <w:pBdr>
          <w:top w:val="nil"/>
          <w:left w:val="nil"/>
          <w:bottom w:val="nil"/>
          <w:right w:val="nil"/>
          <w:between w:val="nil"/>
        </w:pBdr>
        <w:jc w:val="both"/>
      </w:pPr>
    </w:p>
    <w:p w14:paraId="647E6290" w14:textId="77777777" w:rsidR="007352EC" w:rsidRDefault="007352EC" w:rsidP="00FB3DF6">
      <w:pPr>
        <w:pBdr>
          <w:top w:val="nil"/>
          <w:left w:val="nil"/>
          <w:bottom w:val="nil"/>
          <w:right w:val="nil"/>
          <w:between w:val="nil"/>
        </w:pBdr>
        <w:jc w:val="both"/>
      </w:pPr>
    </w:p>
    <w:p w14:paraId="694391E5" w14:textId="77777777" w:rsidR="007352EC" w:rsidRDefault="007352EC" w:rsidP="00FB3DF6">
      <w:pPr>
        <w:pBdr>
          <w:top w:val="nil"/>
          <w:left w:val="nil"/>
          <w:bottom w:val="nil"/>
          <w:right w:val="nil"/>
          <w:between w:val="nil"/>
        </w:pBdr>
        <w:jc w:val="both"/>
      </w:pPr>
    </w:p>
    <w:p w14:paraId="354A3E72" w14:textId="77777777" w:rsidR="007352EC" w:rsidRDefault="007352EC" w:rsidP="00FB3DF6">
      <w:pPr>
        <w:pBdr>
          <w:top w:val="nil"/>
          <w:left w:val="nil"/>
          <w:bottom w:val="nil"/>
          <w:right w:val="nil"/>
          <w:between w:val="nil"/>
        </w:pBdr>
        <w:jc w:val="both"/>
      </w:pPr>
    </w:p>
    <w:p w14:paraId="4F44B300" w14:textId="77777777" w:rsidR="007352EC" w:rsidRDefault="007352EC" w:rsidP="00FB3DF6">
      <w:pPr>
        <w:pBdr>
          <w:top w:val="nil"/>
          <w:left w:val="nil"/>
          <w:bottom w:val="nil"/>
          <w:right w:val="nil"/>
          <w:between w:val="nil"/>
        </w:pBdr>
        <w:jc w:val="both"/>
      </w:pPr>
    </w:p>
    <w:p w14:paraId="5A8F997B" w14:textId="77777777" w:rsidR="007352EC" w:rsidRDefault="007352EC" w:rsidP="00FB3DF6">
      <w:pPr>
        <w:pBdr>
          <w:top w:val="nil"/>
          <w:left w:val="nil"/>
          <w:bottom w:val="nil"/>
          <w:right w:val="nil"/>
          <w:between w:val="nil"/>
        </w:pBdr>
        <w:jc w:val="both"/>
      </w:pPr>
    </w:p>
    <w:p w14:paraId="627D1159" w14:textId="77777777" w:rsidR="007352EC" w:rsidRDefault="007352EC" w:rsidP="00FB3DF6">
      <w:pPr>
        <w:pBdr>
          <w:top w:val="nil"/>
          <w:left w:val="nil"/>
          <w:bottom w:val="nil"/>
          <w:right w:val="nil"/>
          <w:between w:val="nil"/>
        </w:pBdr>
        <w:jc w:val="both"/>
      </w:pPr>
    </w:p>
    <w:p w14:paraId="2FD7EE43" w14:textId="77777777" w:rsidR="007352EC" w:rsidRDefault="007352EC" w:rsidP="00FB3DF6">
      <w:pPr>
        <w:pBdr>
          <w:top w:val="nil"/>
          <w:left w:val="nil"/>
          <w:bottom w:val="nil"/>
          <w:right w:val="nil"/>
          <w:between w:val="nil"/>
        </w:pBdr>
        <w:jc w:val="both"/>
      </w:pPr>
    </w:p>
    <w:p w14:paraId="61AB145A" w14:textId="77777777" w:rsidR="007352EC" w:rsidRDefault="007352EC" w:rsidP="00FB3DF6">
      <w:pPr>
        <w:pBdr>
          <w:top w:val="nil"/>
          <w:left w:val="nil"/>
          <w:bottom w:val="nil"/>
          <w:right w:val="nil"/>
          <w:between w:val="nil"/>
        </w:pBdr>
        <w:jc w:val="both"/>
      </w:pPr>
    </w:p>
    <w:p w14:paraId="487E698F" w14:textId="77777777" w:rsidR="007352EC" w:rsidRDefault="007352EC" w:rsidP="00FB3DF6">
      <w:pPr>
        <w:pBdr>
          <w:top w:val="nil"/>
          <w:left w:val="nil"/>
          <w:bottom w:val="nil"/>
          <w:right w:val="nil"/>
          <w:between w:val="nil"/>
        </w:pBdr>
        <w:jc w:val="both"/>
      </w:pPr>
    </w:p>
    <w:p w14:paraId="22085D67" w14:textId="0281248E" w:rsidR="007352EC" w:rsidRDefault="007352EC" w:rsidP="00FB3DF6">
      <w:pPr>
        <w:pBdr>
          <w:top w:val="nil"/>
          <w:left w:val="nil"/>
          <w:bottom w:val="nil"/>
          <w:right w:val="nil"/>
          <w:between w:val="nil"/>
        </w:pBdr>
        <w:jc w:val="both"/>
      </w:pPr>
      <w:r>
        <w:t xml:space="preserve">Fig .1 </w:t>
      </w:r>
    </w:p>
    <w:p w14:paraId="1F14A3DC" w14:textId="77777777" w:rsidR="00992325" w:rsidRDefault="00992325" w:rsidP="00992325">
      <w:pPr>
        <w:pBdr>
          <w:top w:val="nil"/>
          <w:left w:val="nil"/>
          <w:bottom w:val="nil"/>
          <w:right w:val="nil"/>
          <w:between w:val="nil"/>
        </w:pBdr>
        <w:jc w:val="center"/>
      </w:pPr>
      <w:r w:rsidRPr="00992325">
        <w:rPr>
          <w:rFonts w:ascii="Times New Roman" w:eastAsia="Calibri" w:hAnsi="Times New Roman" w:cs="Times New Roman"/>
          <w:b/>
          <w:noProof/>
          <w:sz w:val="24"/>
          <w:szCs w:val="24"/>
        </w:rPr>
        <w:drawing>
          <wp:inline distT="0" distB="0" distL="0" distR="0" wp14:anchorId="20603923" wp14:editId="267CB4FB">
            <wp:extent cx="4269393" cy="199326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70177" cy="1993626"/>
                    </a:xfrm>
                    <a:prstGeom prst="rect">
                      <a:avLst/>
                    </a:prstGeom>
                    <a:noFill/>
                    <a:ln>
                      <a:noFill/>
                    </a:ln>
                  </pic:spPr>
                </pic:pic>
              </a:graphicData>
            </a:graphic>
          </wp:inline>
        </w:drawing>
      </w:r>
    </w:p>
    <w:p w14:paraId="75DEEE75" w14:textId="77777777" w:rsidR="00992325" w:rsidRDefault="00992325" w:rsidP="00FB3DF6">
      <w:pPr>
        <w:pBdr>
          <w:top w:val="nil"/>
          <w:left w:val="nil"/>
          <w:bottom w:val="nil"/>
          <w:right w:val="nil"/>
          <w:between w:val="nil"/>
        </w:pBdr>
        <w:jc w:val="both"/>
      </w:pPr>
    </w:p>
    <w:p w14:paraId="046EFFE9" w14:textId="77777777" w:rsidR="00992325" w:rsidRDefault="00992325" w:rsidP="00FB3DF6">
      <w:pPr>
        <w:pBdr>
          <w:top w:val="nil"/>
          <w:left w:val="nil"/>
          <w:bottom w:val="nil"/>
          <w:right w:val="nil"/>
          <w:between w:val="nil"/>
        </w:pBdr>
        <w:jc w:val="both"/>
      </w:pPr>
    </w:p>
    <w:p w14:paraId="315C356F" w14:textId="77777777" w:rsidR="00CC4D0B" w:rsidRPr="00FB3DF6" w:rsidRDefault="00992325" w:rsidP="00FB3DF6">
      <w:pPr>
        <w:pBdr>
          <w:top w:val="nil"/>
          <w:left w:val="nil"/>
          <w:bottom w:val="nil"/>
          <w:right w:val="nil"/>
          <w:between w:val="nil"/>
        </w:pBdr>
        <w:jc w:val="both"/>
      </w:pPr>
      <w:r w:rsidRPr="00FB3DF6">
        <w:t xml:space="preserve">Subsequently, both accident categories showed substantial reduction. Serious accidents declined by nearly 60%, falling from over 450 in 2013 to 181 in 2022. Fatal accidents, despite their lower numerical frequency, demonstrated an even more significant reduction of almost 70%, decreasing from 77 in 2013 to 24 in 2022. This concomitant decline in both types of accidents provides strong evidence that industry-wide safety initiatives, including stricter regulatory enforcement, improved safety training, greater adoption of mechanization, and enhanced emergency planning, have worked </w:t>
      </w:r>
      <w:proofErr w:type="spellStart"/>
      <w:r w:rsidRPr="00FB3DF6">
        <w:t>integratively</w:t>
      </w:r>
      <w:proofErr w:type="spellEnd"/>
      <w:r w:rsidRPr="00FB3DF6">
        <w:t xml:space="preserve"> to reduce acute accident risk over time.</w:t>
      </w:r>
    </w:p>
    <w:p w14:paraId="397AA81C" w14:textId="77777777" w:rsidR="004E3190" w:rsidRDefault="004E3190" w:rsidP="00FB3DF6">
      <w:pPr>
        <w:pBdr>
          <w:top w:val="nil"/>
          <w:left w:val="nil"/>
          <w:bottom w:val="nil"/>
          <w:right w:val="nil"/>
          <w:between w:val="nil"/>
        </w:pBdr>
        <w:spacing w:after="240"/>
        <w:jc w:val="both"/>
      </w:pPr>
    </w:p>
    <w:p w14:paraId="31900A45" w14:textId="77777777" w:rsidR="00CC4D0B" w:rsidRPr="00FB3DF6" w:rsidRDefault="00992325" w:rsidP="00FB3DF6">
      <w:pPr>
        <w:pBdr>
          <w:top w:val="nil"/>
          <w:left w:val="nil"/>
          <w:bottom w:val="nil"/>
          <w:right w:val="nil"/>
          <w:between w:val="nil"/>
        </w:pBdr>
        <w:spacing w:after="240"/>
        <w:jc w:val="both"/>
      </w:pPr>
      <w:r w:rsidRPr="00FB3DF6">
        <w:t>It is important to note the value recorded for serious accidents in 2020 (117), which represents the minimum recorded for the period. While indicative of improved safety, this sharp drop is likely influenced by external factors, specifically the potential interruptions and overall dwindled industrial production during the COVID-19 era, suggesting that reduced operational intensity inherently contributes to lower accident rates, irrespective of specific safety reforms.</w:t>
      </w:r>
    </w:p>
    <w:p w14:paraId="7DE6D992" w14:textId="77777777" w:rsidR="00CC4D0B" w:rsidRPr="00FB3DF6" w:rsidRDefault="00992325" w:rsidP="00FB3DF6">
      <w:pPr>
        <w:pStyle w:val="Heading3"/>
        <w:spacing w:before="0"/>
        <w:jc w:val="both"/>
      </w:pPr>
      <w:r w:rsidRPr="00FB3DF6">
        <w:t>3.2 Correlation between Fatal and Serious Accidents</w:t>
      </w:r>
    </w:p>
    <w:p w14:paraId="1C35B472" w14:textId="77777777" w:rsidR="00FB3DF6" w:rsidRDefault="00992325" w:rsidP="00FB3DF6">
      <w:pPr>
        <w:pBdr>
          <w:top w:val="nil"/>
          <w:left w:val="nil"/>
          <w:bottom w:val="nil"/>
          <w:right w:val="nil"/>
          <w:between w:val="nil"/>
        </w:pBdr>
        <w:jc w:val="both"/>
      </w:pPr>
      <w:r w:rsidRPr="00FB3DF6">
        <w:t>The analysis of the association between fatal and serious accidents is essential for determining if a common, systemic causation underlies acute safety risks within mines. The correlation study seeks to confirm whether facilities experiencing higher grievous accidents also record higher frequencies of fatal accidents.</w:t>
      </w:r>
    </w:p>
    <w:p w14:paraId="53583D60" w14:textId="77777777" w:rsidR="00FB3DF6" w:rsidRPr="00FB3DF6" w:rsidRDefault="00FB3DF6" w:rsidP="00FB3DF6">
      <w:pPr>
        <w:pBdr>
          <w:top w:val="nil"/>
          <w:left w:val="nil"/>
          <w:bottom w:val="nil"/>
          <w:right w:val="nil"/>
          <w:between w:val="nil"/>
        </w:pBdr>
        <w:jc w:val="both"/>
      </w:pPr>
    </w:p>
    <w:p w14:paraId="7B375C0C" w14:textId="77777777" w:rsidR="00CC4D0B" w:rsidRPr="00FB3DF6" w:rsidRDefault="00992325" w:rsidP="00FB3DF6">
      <w:pPr>
        <w:pBdr>
          <w:top w:val="nil"/>
          <w:left w:val="nil"/>
          <w:bottom w:val="nil"/>
          <w:right w:val="nil"/>
          <w:between w:val="nil"/>
        </w:pBdr>
        <w:jc w:val="center"/>
      </w:pPr>
      <w:r w:rsidRPr="00FB3DF6">
        <w:t>Table 2. Contingency Table of Fatal Accidents vs. Serious Accidents</w:t>
      </w:r>
      <w:r w:rsidR="00FB3DF6">
        <w:t>ββ</w:t>
      </w:r>
    </w:p>
    <w:tbl>
      <w:tblPr>
        <w:tblStyle w:val="a0"/>
        <w:tblW w:w="936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72"/>
        <w:gridCol w:w="1872"/>
        <w:gridCol w:w="1872"/>
        <w:gridCol w:w="1872"/>
        <w:gridCol w:w="1872"/>
      </w:tblGrid>
      <w:tr w:rsidR="00CC4D0B" w:rsidRPr="00FB3DF6" w14:paraId="641FAA8F" w14:textId="77777777">
        <w:trPr>
          <w:tblHeader/>
        </w:trPr>
        <w:tc>
          <w:tcPr>
            <w:tcW w:w="1872" w:type="dxa"/>
            <w:tcMar>
              <w:top w:w="0" w:type="dxa"/>
              <w:left w:w="0" w:type="dxa"/>
              <w:bottom w:w="0" w:type="dxa"/>
              <w:right w:w="0" w:type="dxa"/>
            </w:tcMar>
          </w:tcPr>
          <w:p w14:paraId="15D31FD7" w14:textId="77777777" w:rsidR="00CC4D0B" w:rsidRPr="00FB3DF6" w:rsidRDefault="00992325" w:rsidP="00FB3DF6">
            <w:pPr>
              <w:pBdr>
                <w:top w:val="nil"/>
                <w:left w:val="nil"/>
                <w:bottom w:val="nil"/>
                <w:right w:val="nil"/>
                <w:between w:val="nil"/>
              </w:pBdr>
              <w:jc w:val="both"/>
              <w:rPr>
                <w:b/>
              </w:rPr>
            </w:pPr>
            <w:r w:rsidRPr="00FB3DF6">
              <w:rPr>
                <w:b/>
              </w:rPr>
              <w:t>Fatal Accidents / Serious Accidents</w:t>
            </w:r>
          </w:p>
        </w:tc>
        <w:tc>
          <w:tcPr>
            <w:tcW w:w="1872" w:type="dxa"/>
            <w:tcMar>
              <w:top w:w="0" w:type="dxa"/>
              <w:left w:w="0" w:type="dxa"/>
              <w:bottom w:w="0" w:type="dxa"/>
              <w:right w:w="0" w:type="dxa"/>
            </w:tcMar>
          </w:tcPr>
          <w:p w14:paraId="5F7928BC" w14:textId="77777777" w:rsidR="00CC4D0B" w:rsidRPr="00FB3DF6" w:rsidRDefault="00992325" w:rsidP="00FB3DF6">
            <w:pPr>
              <w:pBdr>
                <w:top w:val="nil"/>
                <w:left w:val="nil"/>
                <w:bottom w:val="nil"/>
                <w:right w:val="nil"/>
                <w:between w:val="nil"/>
              </w:pBdr>
              <w:jc w:val="both"/>
              <w:rPr>
                <w:b/>
              </w:rPr>
            </w:pPr>
            <w:r w:rsidRPr="00FB3DF6">
              <w:rPr>
                <w:b/>
              </w:rPr>
              <w:t>Low</w:t>
            </w:r>
          </w:p>
        </w:tc>
        <w:tc>
          <w:tcPr>
            <w:tcW w:w="1872" w:type="dxa"/>
            <w:tcMar>
              <w:top w:w="0" w:type="dxa"/>
              <w:left w:w="0" w:type="dxa"/>
              <w:bottom w:w="0" w:type="dxa"/>
              <w:right w:w="0" w:type="dxa"/>
            </w:tcMar>
          </w:tcPr>
          <w:p w14:paraId="461CA5E3" w14:textId="77777777" w:rsidR="00CC4D0B" w:rsidRPr="00FB3DF6" w:rsidRDefault="00992325" w:rsidP="00FB3DF6">
            <w:pPr>
              <w:pBdr>
                <w:top w:val="nil"/>
                <w:left w:val="nil"/>
                <w:bottom w:val="nil"/>
                <w:right w:val="nil"/>
                <w:between w:val="nil"/>
              </w:pBdr>
              <w:jc w:val="both"/>
              <w:rPr>
                <w:b/>
              </w:rPr>
            </w:pPr>
            <w:r w:rsidRPr="00FB3DF6">
              <w:rPr>
                <w:b/>
              </w:rPr>
              <w:t>Medium</w:t>
            </w:r>
          </w:p>
        </w:tc>
        <w:tc>
          <w:tcPr>
            <w:tcW w:w="1872" w:type="dxa"/>
            <w:tcMar>
              <w:top w:w="0" w:type="dxa"/>
              <w:left w:w="0" w:type="dxa"/>
              <w:bottom w:w="0" w:type="dxa"/>
              <w:right w:w="0" w:type="dxa"/>
            </w:tcMar>
          </w:tcPr>
          <w:p w14:paraId="5414DD64" w14:textId="77777777" w:rsidR="00CC4D0B" w:rsidRPr="00FB3DF6" w:rsidRDefault="00992325" w:rsidP="00FB3DF6">
            <w:pPr>
              <w:pBdr>
                <w:top w:val="nil"/>
                <w:left w:val="nil"/>
                <w:bottom w:val="nil"/>
                <w:right w:val="nil"/>
                <w:between w:val="nil"/>
              </w:pBdr>
              <w:jc w:val="both"/>
              <w:rPr>
                <w:b/>
              </w:rPr>
            </w:pPr>
            <w:r w:rsidRPr="00FB3DF6">
              <w:rPr>
                <w:b/>
              </w:rPr>
              <w:t>High</w:t>
            </w:r>
          </w:p>
        </w:tc>
        <w:tc>
          <w:tcPr>
            <w:tcW w:w="1872" w:type="dxa"/>
            <w:tcMar>
              <w:top w:w="0" w:type="dxa"/>
              <w:left w:w="0" w:type="dxa"/>
              <w:bottom w:w="0" w:type="dxa"/>
              <w:right w:w="0" w:type="dxa"/>
            </w:tcMar>
          </w:tcPr>
          <w:p w14:paraId="3F7E1CB2" w14:textId="77777777" w:rsidR="00CC4D0B" w:rsidRPr="00FB3DF6" w:rsidRDefault="00992325" w:rsidP="00FB3DF6">
            <w:pPr>
              <w:pBdr>
                <w:top w:val="nil"/>
                <w:left w:val="nil"/>
                <w:bottom w:val="nil"/>
                <w:right w:val="nil"/>
                <w:between w:val="nil"/>
              </w:pBdr>
              <w:jc w:val="both"/>
              <w:rPr>
                <w:b/>
              </w:rPr>
            </w:pPr>
            <w:r w:rsidRPr="00FB3DF6">
              <w:rPr>
                <w:b/>
              </w:rPr>
              <w:t>Total</w:t>
            </w:r>
          </w:p>
        </w:tc>
      </w:tr>
      <w:tr w:rsidR="00CC4D0B" w:rsidRPr="00FB3DF6" w14:paraId="4661B679" w14:textId="77777777">
        <w:tc>
          <w:tcPr>
            <w:tcW w:w="1872" w:type="dxa"/>
            <w:tcMar>
              <w:top w:w="0" w:type="dxa"/>
              <w:left w:w="0" w:type="dxa"/>
              <w:bottom w:w="0" w:type="dxa"/>
              <w:right w:w="0" w:type="dxa"/>
            </w:tcMar>
          </w:tcPr>
          <w:p w14:paraId="2DDF1E3F" w14:textId="77777777" w:rsidR="00CC4D0B" w:rsidRPr="00FB3DF6" w:rsidRDefault="00992325" w:rsidP="00FB3DF6">
            <w:pPr>
              <w:pBdr>
                <w:top w:val="nil"/>
                <w:left w:val="nil"/>
                <w:bottom w:val="nil"/>
                <w:right w:val="nil"/>
                <w:between w:val="nil"/>
              </w:pBdr>
              <w:jc w:val="both"/>
            </w:pPr>
            <w:r w:rsidRPr="00FB3DF6">
              <w:lastRenderedPageBreak/>
              <w:t>Low</w:t>
            </w:r>
          </w:p>
        </w:tc>
        <w:tc>
          <w:tcPr>
            <w:tcW w:w="1872" w:type="dxa"/>
            <w:tcMar>
              <w:top w:w="0" w:type="dxa"/>
              <w:left w:w="0" w:type="dxa"/>
              <w:bottom w:w="0" w:type="dxa"/>
              <w:right w:w="0" w:type="dxa"/>
            </w:tcMar>
          </w:tcPr>
          <w:p w14:paraId="639818BF" w14:textId="77777777" w:rsidR="00CC4D0B" w:rsidRPr="00FB3DF6" w:rsidRDefault="00992325" w:rsidP="00FB3DF6">
            <w:pPr>
              <w:pBdr>
                <w:top w:val="nil"/>
                <w:left w:val="nil"/>
                <w:bottom w:val="nil"/>
                <w:right w:val="nil"/>
                <w:between w:val="nil"/>
              </w:pBdr>
              <w:jc w:val="both"/>
            </w:pPr>
            <w:r w:rsidRPr="00FB3DF6">
              <w:t>12</w:t>
            </w:r>
          </w:p>
        </w:tc>
        <w:tc>
          <w:tcPr>
            <w:tcW w:w="1872" w:type="dxa"/>
            <w:tcMar>
              <w:top w:w="0" w:type="dxa"/>
              <w:left w:w="0" w:type="dxa"/>
              <w:bottom w:w="0" w:type="dxa"/>
              <w:right w:w="0" w:type="dxa"/>
            </w:tcMar>
          </w:tcPr>
          <w:p w14:paraId="5CFA4AA0" w14:textId="77777777" w:rsidR="00CC4D0B" w:rsidRPr="00FB3DF6" w:rsidRDefault="00992325" w:rsidP="00FB3DF6">
            <w:pPr>
              <w:pBdr>
                <w:top w:val="nil"/>
                <w:left w:val="nil"/>
                <w:bottom w:val="nil"/>
                <w:right w:val="nil"/>
                <w:between w:val="nil"/>
              </w:pBdr>
              <w:jc w:val="both"/>
            </w:pPr>
            <w:r w:rsidRPr="00FB3DF6">
              <w:t>8</w:t>
            </w:r>
          </w:p>
        </w:tc>
        <w:tc>
          <w:tcPr>
            <w:tcW w:w="1872" w:type="dxa"/>
            <w:tcMar>
              <w:top w:w="0" w:type="dxa"/>
              <w:left w:w="0" w:type="dxa"/>
              <w:bottom w:w="0" w:type="dxa"/>
              <w:right w:w="0" w:type="dxa"/>
            </w:tcMar>
          </w:tcPr>
          <w:p w14:paraId="090DC3E8" w14:textId="77777777" w:rsidR="00CC4D0B" w:rsidRPr="00FB3DF6" w:rsidRDefault="00992325" w:rsidP="00FB3DF6">
            <w:pPr>
              <w:pBdr>
                <w:top w:val="nil"/>
                <w:left w:val="nil"/>
                <w:bottom w:val="nil"/>
                <w:right w:val="nil"/>
                <w:between w:val="nil"/>
              </w:pBdr>
              <w:jc w:val="both"/>
            </w:pPr>
            <w:r w:rsidRPr="00FB3DF6">
              <w:t>5</w:t>
            </w:r>
          </w:p>
        </w:tc>
        <w:tc>
          <w:tcPr>
            <w:tcW w:w="1872" w:type="dxa"/>
            <w:tcMar>
              <w:top w:w="0" w:type="dxa"/>
              <w:left w:w="0" w:type="dxa"/>
              <w:bottom w:w="0" w:type="dxa"/>
              <w:right w:w="0" w:type="dxa"/>
            </w:tcMar>
          </w:tcPr>
          <w:p w14:paraId="70213E58" w14:textId="77777777" w:rsidR="00CC4D0B" w:rsidRPr="00FB3DF6" w:rsidRDefault="00992325" w:rsidP="00FB3DF6">
            <w:pPr>
              <w:pBdr>
                <w:top w:val="nil"/>
                <w:left w:val="nil"/>
                <w:bottom w:val="nil"/>
                <w:right w:val="nil"/>
                <w:between w:val="nil"/>
              </w:pBdr>
              <w:jc w:val="both"/>
            </w:pPr>
            <w:r w:rsidRPr="00FB3DF6">
              <w:t>25</w:t>
            </w:r>
          </w:p>
        </w:tc>
      </w:tr>
      <w:tr w:rsidR="00CC4D0B" w:rsidRPr="00FB3DF6" w14:paraId="58F6D624" w14:textId="77777777">
        <w:tc>
          <w:tcPr>
            <w:tcW w:w="1872" w:type="dxa"/>
            <w:tcMar>
              <w:top w:w="0" w:type="dxa"/>
              <w:left w:w="0" w:type="dxa"/>
              <w:bottom w:w="0" w:type="dxa"/>
              <w:right w:w="0" w:type="dxa"/>
            </w:tcMar>
          </w:tcPr>
          <w:p w14:paraId="2DA20737" w14:textId="77777777" w:rsidR="00CC4D0B" w:rsidRPr="00FB3DF6" w:rsidRDefault="00992325" w:rsidP="00FB3DF6">
            <w:pPr>
              <w:pBdr>
                <w:top w:val="nil"/>
                <w:left w:val="nil"/>
                <w:bottom w:val="nil"/>
                <w:right w:val="nil"/>
                <w:between w:val="nil"/>
              </w:pBdr>
              <w:jc w:val="both"/>
            </w:pPr>
            <w:r w:rsidRPr="00FB3DF6">
              <w:t>Medium</w:t>
            </w:r>
          </w:p>
        </w:tc>
        <w:tc>
          <w:tcPr>
            <w:tcW w:w="1872" w:type="dxa"/>
            <w:tcMar>
              <w:top w:w="0" w:type="dxa"/>
              <w:left w:w="0" w:type="dxa"/>
              <w:bottom w:w="0" w:type="dxa"/>
              <w:right w:w="0" w:type="dxa"/>
            </w:tcMar>
          </w:tcPr>
          <w:p w14:paraId="3BFB98DB" w14:textId="77777777" w:rsidR="00CC4D0B" w:rsidRPr="00FB3DF6" w:rsidRDefault="00992325" w:rsidP="00FB3DF6">
            <w:pPr>
              <w:pBdr>
                <w:top w:val="nil"/>
                <w:left w:val="nil"/>
                <w:bottom w:val="nil"/>
                <w:right w:val="nil"/>
                <w:between w:val="nil"/>
              </w:pBdr>
              <w:jc w:val="both"/>
            </w:pPr>
            <w:r w:rsidRPr="00FB3DF6">
              <w:t>7</w:t>
            </w:r>
          </w:p>
        </w:tc>
        <w:tc>
          <w:tcPr>
            <w:tcW w:w="1872" w:type="dxa"/>
            <w:tcMar>
              <w:top w:w="0" w:type="dxa"/>
              <w:left w:w="0" w:type="dxa"/>
              <w:bottom w:w="0" w:type="dxa"/>
              <w:right w:w="0" w:type="dxa"/>
            </w:tcMar>
          </w:tcPr>
          <w:p w14:paraId="3E23D529" w14:textId="77777777" w:rsidR="00CC4D0B" w:rsidRPr="00FB3DF6" w:rsidRDefault="00992325" w:rsidP="00FB3DF6">
            <w:pPr>
              <w:pBdr>
                <w:top w:val="nil"/>
                <w:left w:val="nil"/>
                <w:bottom w:val="nil"/>
                <w:right w:val="nil"/>
                <w:between w:val="nil"/>
              </w:pBdr>
              <w:jc w:val="both"/>
            </w:pPr>
            <w:r w:rsidRPr="00FB3DF6">
              <w:t>15</w:t>
            </w:r>
          </w:p>
        </w:tc>
        <w:tc>
          <w:tcPr>
            <w:tcW w:w="1872" w:type="dxa"/>
            <w:tcMar>
              <w:top w:w="0" w:type="dxa"/>
              <w:left w:w="0" w:type="dxa"/>
              <w:bottom w:w="0" w:type="dxa"/>
              <w:right w:w="0" w:type="dxa"/>
            </w:tcMar>
          </w:tcPr>
          <w:p w14:paraId="7FB56A4B" w14:textId="77777777" w:rsidR="00CC4D0B" w:rsidRPr="00FB3DF6" w:rsidRDefault="00992325" w:rsidP="00FB3DF6">
            <w:pPr>
              <w:pBdr>
                <w:top w:val="nil"/>
                <w:left w:val="nil"/>
                <w:bottom w:val="nil"/>
                <w:right w:val="nil"/>
                <w:between w:val="nil"/>
              </w:pBdr>
              <w:jc w:val="both"/>
            </w:pPr>
            <w:r w:rsidRPr="00FB3DF6">
              <w:t>10</w:t>
            </w:r>
          </w:p>
        </w:tc>
        <w:tc>
          <w:tcPr>
            <w:tcW w:w="1872" w:type="dxa"/>
            <w:tcMar>
              <w:top w:w="0" w:type="dxa"/>
              <w:left w:w="0" w:type="dxa"/>
              <w:bottom w:w="0" w:type="dxa"/>
              <w:right w:w="0" w:type="dxa"/>
            </w:tcMar>
          </w:tcPr>
          <w:p w14:paraId="6DBBCEBB" w14:textId="77777777" w:rsidR="00CC4D0B" w:rsidRPr="00FB3DF6" w:rsidRDefault="00992325" w:rsidP="00FB3DF6">
            <w:pPr>
              <w:pBdr>
                <w:top w:val="nil"/>
                <w:left w:val="nil"/>
                <w:bottom w:val="nil"/>
                <w:right w:val="nil"/>
                <w:between w:val="nil"/>
              </w:pBdr>
              <w:jc w:val="both"/>
            </w:pPr>
            <w:r w:rsidRPr="00FB3DF6">
              <w:t>32</w:t>
            </w:r>
          </w:p>
        </w:tc>
      </w:tr>
      <w:tr w:rsidR="00CC4D0B" w:rsidRPr="00FB3DF6" w14:paraId="02E42E38" w14:textId="77777777">
        <w:tc>
          <w:tcPr>
            <w:tcW w:w="1872" w:type="dxa"/>
            <w:tcMar>
              <w:top w:w="0" w:type="dxa"/>
              <w:left w:w="0" w:type="dxa"/>
              <w:bottom w:w="0" w:type="dxa"/>
              <w:right w:w="0" w:type="dxa"/>
            </w:tcMar>
          </w:tcPr>
          <w:p w14:paraId="108206D0" w14:textId="77777777" w:rsidR="00CC4D0B" w:rsidRPr="00FB3DF6" w:rsidRDefault="00992325" w:rsidP="00FB3DF6">
            <w:pPr>
              <w:pBdr>
                <w:top w:val="nil"/>
                <w:left w:val="nil"/>
                <w:bottom w:val="nil"/>
                <w:right w:val="nil"/>
                <w:between w:val="nil"/>
              </w:pBdr>
              <w:jc w:val="both"/>
            </w:pPr>
            <w:r w:rsidRPr="00FB3DF6">
              <w:t>High</w:t>
            </w:r>
          </w:p>
        </w:tc>
        <w:tc>
          <w:tcPr>
            <w:tcW w:w="1872" w:type="dxa"/>
            <w:tcMar>
              <w:top w:w="0" w:type="dxa"/>
              <w:left w:w="0" w:type="dxa"/>
              <w:bottom w:w="0" w:type="dxa"/>
              <w:right w:w="0" w:type="dxa"/>
            </w:tcMar>
          </w:tcPr>
          <w:p w14:paraId="674C03F8" w14:textId="77777777" w:rsidR="00CC4D0B" w:rsidRPr="00FB3DF6" w:rsidRDefault="00992325" w:rsidP="00FB3DF6">
            <w:pPr>
              <w:pBdr>
                <w:top w:val="nil"/>
                <w:left w:val="nil"/>
                <w:bottom w:val="nil"/>
                <w:right w:val="nil"/>
                <w:between w:val="nil"/>
              </w:pBdr>
              <w:jc w:val="both"/>
            </w:pPr>
            <w:r w:rsidRPr="00FB3DF6">
              <w:t>3</w:t>
            </w:r>
          </w:p>
        </w:tc>
        <w:tc>
          <w:tcPr>
            <w:tcW w:w="1872" w:type="dxa"/>
            <w:tcMar>
              <w:top w:w="0" w:type="dxa"/>
              <w:left w:w="0" w:type="dxa"/>
              <w:bottom w:w="0" w:type="dxa"/>
              <w:right w:w="0" w:type="dxa"/>
            </w:tcMar>
          </w:tcPr>
          <w:p w14:paraId="6A4139F3" w14:textId="77777777" w:rsidR="00CC4D0B" w:rsidRPr="00FB3DF6" w:rsidRDefault="00992325" w:rsidP="00FB3DF6">
            <w:pPr>
              <w:pBdr>
                <w:top w:val="nil"/>
                <w:left w:val="nil"/>
                <w:bottom w:val="nil"/>
                <w:right w:val="nil"/>
                <w:between w:val="nil"/>
              </w:pBdr>
              <w:jc w:val="both"/>
            </w:pPr>
            <w:r w:rsidRPr="00FB3DF6">
              <w:t>6</w:t>
            </w:r>
          </w:p>
        </w:tc>
        <w:tc>
          <w:tcPr>
            <w:tcW w:w="1872" w:type="dxa"/>
            <w:tcMar>
              <w:top w:w="0" w:type="dxa"/>
              <w:left w:w="0" w:type="dxa"/>
              <w:bottom w:w="0" w:type="dxa"/>
              <w:right w:w="0" w:type="dxa"/>
            </w:tcMar>
          </w:tcPr>
          <w:p w14:paraId="63591EF4" w14:textId="77777777" w:rsidR="00CC4D0B" w:rsidRPr="00FB3DF6" w:rsidRDefault="00992325" w:rsidP="00FB3DF6">
            <w:pPr>
              <w:pBdr>
                <w:top w:val="nil"/>
                <w:left w:val="nil"/>
                <w:bottom w:val="nil"/>
                <w:right w:val="nil"/>
                <w:between w:val="nil"/>
              </w:pBdr>
              <w:jc w:val="both"/>
            </w:pPr>
            <w:r w:rsidRPr="00FB3DF6">
              <w:t>14</w:t>
            </w:r>
          </w:p>
        </w:tc>
        <w:tc>
          <w:tcPr>
            <w:tcW w:w="1872" w:type="dxa"/>
            <w:tcMar>
              <w:top w:w="0" w:type="dxa"/>
              <w:left w:w="0" w:type="dxa"/>
              <w:bottom w:w="0" w:type="dxa"/>
              <w:right w:w="0" w:type="dxa"/>
            </w:tcMar>
          </w:tcPr>
          <w:p w14:paraId="6D056442" w14:textId="77777777" w:rsidR="00CC4D0B" w:rsidRPr="00FB3DF6" w:rsidRDefault="00992325" w:rsidP="00FB3DF6">
            <w:pPr>
              <w:pBdr>
                <w:top w:val="nil"/>
                <w:left w:val="nil"/>
                <w:bottom w:val="nil"/>
                <w:right w:val="nil"/>
                <w:between w:val="nil"/>
              </w:pBdr>
              <w:jc w:val="both"/>
            </w:pPr>
            <w:r w:rsidRPr="00FB3DF6">
              <w:t>23</w:t>
            </w:r>
          </w:p>
        </w:tc>
      </w:tr>
      <w:tr w:rsidR="00CC4D0B" w:rsidRPr="00FB3DF6" w14:paraId="0A8E9789" w14:textId="77777777">
        <w:tc>
          <w:tcPr>
            <w:tcW w:w="1872" w:type="dxa"/>
            <w:tcMar>
              <w:top w:w="0" w:type="dxa"/>
              <w:left w:w="0" w:type="dxa"/>
              <w:bottom w:w="0" w:type="dxa"/>
              <w:right w:w="0" w:type="dxa"/>
            </w:tcMar>
          </w:tcPr>
          <w:p w14:paraId="06CDBFBD" w14:textId="77777777" w:rsidR="00CC4D0B" w:rsidRPr="00FB3DF6" w:rsidRDefault="00992325" w:rsidP="00FB3DF6">
            <w:pPr>
              <w:pBdr>
                <w:top w:val="nil"/>
                <w:left w:val="nil"/>
                <w:bottom w:val="nil"/>
                <w:right w:val="nil"/>
                <w:between w:val="nil"/>
              </w:pBdr>
              <w:jc w:val="both"/>
              <w:rPr>
                <w:b/>
              </w:rPr>
            </w:pPr>
            <w:r w:rsidRPr="00FB3DF6">
              <w:rPr>
                <w:b/>
              </w:rPr>
              <w:t>Total</w:t>
            </w:r>
          </w:p>
        </w:tc>
        <w:tc>
          <w:tcPr>
            <w:tcW w:w="1872" w:type="dxa"/>
            <w:tcMar>
              <w:top w:w="0" w:type="dxa"/>
              <w:left w:w="0" w:type="dxa"/>
              <w:bottom w:w="0" w:type="dxa"/>
              <w:right w:w="0" w:type="dxa"/>
            </w:tcMar>
          </w:tcPr>
          <w:p w14:paraId="1E415B47" w14:textId="77777777" w:rsidR="00CC4D0B" w:rsidRPr="00FB3DF6" w:rsidRDefault="00992325" w:rsidP="00FB3DF6">
            <w:pPr>
              <w:pBdr>
                <w:top w:val="nil"/>
                <w:left w:val="nil"/>
                <w:bottom w:val="nil"/>
                <w:right w:val="nil"/>
                <w:between w:val="nil"/>
              </w:pBdr>
              <w:jc w:val="both"/>
              <w:rPr>
                <w:b/>
              </w:rPr>
            </w:pPr>
            <w:r w:rsidRPr="00FB3DF6">
              <w:rPr>
                <w:b/>
              </w:rPr>
              <w:t>22</w:t>
            </w:r>
          </w:p>
        </w:tc>
        <w:tc>
          <w:tcPr>
            <w:tcW w:w="1872" w:type="dxa"/>
            <w:tcMar>
              <w:top w:w="0" w:type="dxa"/>
              <w:left w:w="0" w:type="dxa"/>
              <w:bottom w:w="0" w:type="dxa"/>
              <w:right w:w="0" w:type="dxa"/>
            </w:tcMar>
          </w:tcPr>
          <w:p w14:paraId="4C57844E" w14:textId="77777777" w:rsidR="00CC4D0B" w:rsidRPr="00FB3DF6" w:rsidRDefault="00992325" w:rsidP="00FB3DF6">
            <w:pPr>
              <w:pBdr>
                <w:top w:val="nil"/>
                <w:left w:val="nil"/>
                <w:bottom w:val="nil"/>
                <w:right w:val="nil"/>
                <w:between w:val="nil"/>
              </w:pBdr>
              <w:jc w:val="both"/>
              <w:rPr>
                <w:b/>
              </w:rPr>
            </w:pPr>
            <w:r w:rsidRPr="00FB3DF6">
              <w:rPr>
                <w:b/>
              </w:rPr>
              <w:t>29</w:t>
            </w:r>
          </w:p>
        </w:tc>
        <w:tc>
          <w:tcPr>
            <w:tcW w:w="1872" w:type="dxa"/>
            <w:tcMar>
              <w:top w:w="0" w:type="dxa"/>
              <w:left w:w="0" w:type="dxa"/>
              <w:bottom w:w="0" w:type="dxa"/>
              <w:right w:w="0" w:type="dxa"/>
            </w:tcMar>
          </w:tcPr>
          <w:p w14:paraId="547B86E7" w14:textId="77777777" w:rsidR="00CC4D0B" w:rsidRPr="00FB3DF6" w:rsidRDefault="00992325" w:rsidP="00FB3DF6">
            <w:pPr>
              <w:pBdr>
                <w:top w:val="nil"/>
                <w:left w:val="nil"/>
                <w:bottom w:val="nil"/>
                <w:right w:val="nil"/>
                <w:between w:val="nil"/>
              </w:pBdr>
              <w:jc w:val="both"/>
              <w:rPr>
                <w:b/>
              </w:rPr>
            </w:pPr>
            <w:r w:rsidRPr="00FB3DF6">
              <w:rPr>
                <w:b/>
              </w:rPr>
              <w:t>29</w:t>
            </w:r>
          </w:p>
        </w:tc>
        <w:tc>
          <w:tcPr>
            <w:tcW w:w="1872" w:type="dxa"/>
            <w:tcMar>
              <w:top w:w="0" w:type="dxa"/>
              <w:left w:w="0" w:type="dxa"/>
              <w:bottom w:w="0" w:type="dxa"/>
              <w:right w:w="0" w:type="dxa"/>
            </w:tcMar>
          </w:tcPr>
          <w:p w14:paraId="21F336EB" w14:textId="77777777" w:rsidR="00CC4D0B" w:rsidRPr="00FB3DF6" w:rsidRDefault="00992325" w:rsidP="00FB3DF6">
            <w:pPr>
              <w:pBdr>
                <w:top w:val="nil"/>
                <w:left w:val="nil"/>
                <w:bottom w:val="nil"/>
                <w:right w:val="nil"/>
                <w:between w:val="nil"/>
              </w:pBdr>
              <w:jc w:val="both"/>
              <w:rPr>
                <w:b/>
              </w:rPr>
            </w:pPr>
            <w:r w:rsidRPr="00FB3DF6">
              <w:rPr>
                <w:b/>
              </w:rPr>
              <w:t>80</w:t>
            </w:r>
          </w:p>
        </w:tc>
      </w:tr>
    </w:tbl>
    <w:p w14:paraId="1B582529" w14:textId="77777777" w:rsidR="00FB3DF6" w:rsidRDefault="00FB3DF6" w:rsidP="00FB3DF6">
      <w:pPr>
        <w:pBdr>
          <w:top w:val="nil"/>
          <w:left w:val="nil"/>
          <w:bottom w:val="nil"/>
          <w:right w:val="nil"/>
          <w:between w:val="nil"/>
        </w:pBdr>
        <w:jc w:val="both"/>
      </w:pPr>
    </w:p>
    <w:p w14:paraId="1F9646D3" w14:textId="77777777" w:rsidR="00CC4D0B" w:rsidRPr="00FB3DF6" w:rsidRDefault="00992325" w:rsidP="00FB3DF6">
      <w:pPr>
        <w:pBdr>
          <w:top w:val="nil"/>
          <w:left w:val="nil"/>
          <w:bottom w:val="nil"/>
          <w:right w:val="nil"/>
          <w:between w:val="nil"/>
        </w:pBdr>
        <w:jc w:val="center"/>
      </w:pPr>
      <w:r w:rsidRPr="00FB3DF6">
        <w:t>Table 3. Chi-Square Test Results for Accident Association</w:t>
      </w:r>
    </w:p>
    <w:tbl>
      <w:tblPr>
        <w:tblStyle w:val="a1"/>
        <w:tblW w:w="936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40"/>
        <w:gridCol w:w="2340"/>
        <w:gridCol w:w="2340"/>
        <w:gridCol w:w="2340"/>
      </w:tblGrid>
      <w:tr w:rsidR="00CC4D0B" w:rsidRPr="00FB3DF6" w14:paraId="595CC322" w14:textId="77777777">
        <w:trPr>
          <w:tblHeader/>
        </w:trPr>
        <w:tc>
          <w:tcPr>
            <w:tcW w:w="2340" w:type="dxa"/>
            <w:tcMar>
              <w:top w:w="0" w:type="dxa"/>
              <w:left w:w="0" w:type="dxa"/>
              <w:bottom w:w="0" w:type="dxa"/>
              <w:right w:w="0" w:type="dxa"/>
            </w:tcMar>
          </w:tcPr>
          <w:p w14:paraId="6327D794" w14:textId="77777777" w:rsidR="00CC4D0B" w:rsidRPr="00FB3DF6" w:rsidRDefault="00992325" w:rsidP="00FB3DF6">
            <w:pPr>
              <w:pBdr>
                <w:top w:val="nil"/>
                <w:left w:val="nil"/>
                <w:bottom w:val="nil"/>
                <w:right w:val="nil"/>
                <w:between w:val="nil"/>
              </w:pBdr>
              <w:jc w:val="both"/>
              <w:rPr>
                <w:b/>
              </w:rPr>
            </w:pPr>
            <w:r w:rsidRPr="00FB3DF6">
              <w:rPr>
                <w:b/>
              </w:rPr>
              <w:t>Test Statistic (\chi^2)</w:t>
            </w:r>
          </w:p>
        </w:tc>
        <w:tc>
          <w:tcPr>
            <w:tcW w:w="2340" w:type="dxa"/>
            <w:tcMar>
              <w:top w:w="0" w:type="dxa"/>
              <w:left w:w="0" w:type="dxa"/>
              <w:bottom w:w="0" w:type="dxa"/>
              <w:right w:w="0" w:type="dxa"/>
            </w:tcMar>
          </w:tcPr>
          <w:p w14:paraId="0A863B2F" w14:textId="77777777" w:rsidR="00CC4D0B" w:rsidRPr="00FB3DF6" w:rsidRDefault="00992325" w:rsidP="00FB3DF6">
            <w:pPr>
              <w:pBdr>
                <w:top w:val="nil"/>
                <w:left w:val="nil"/>
                <w:bottom w:val="nil"/>
                <w:right w:val="nil"/>
                <w:between w:val="nil"/>
              </w:pBdr>
              <w:jc w:val="both"/>
              <w:rPr>
                <w:b/>
              </w:rPr>
            </w:pPr>
            <w:r w:rsidRPr="00FB3DF6">
              <w:rPr>
                <w:b/>
              </w:rPr>
              <w:t>Degrees of Freedom (df)</w:t>
            </w:r>
          </w:p>
        </w:tc>
        <w:tc>
          <w:tcPr>
            <w:tcW w:w="2340" w:type="dxa"/>
            <w:tcMar>
              <w:top w:w="0" w:type="dxa"/>
              <w:left w:w="0" w:type="dxa"/>
              <w:bottom w:w="0" w:type="dxa"/>
              <w:right w:w="0" w:type="dxa"/>
            </w:tcMar>
          </w:tcPr>
          <w:p w14:paraId="5A993B8F" w14:textId="77777777" w:rsidR="00CC4D0B" w:rsidRPr="00FB3DF6" w:rsidRDefault="00992325" w:rsidP="00FB3DF6">
            <w:pPr>
              <w:pBdr>
                <w:top w:val="nil"/>
                <w:left w:val="nil"/>
                <w:bottom w:val="nil"/>
                <w:right w:val="nil"/>
                <w:between w:val="nil"/>
              </w:pBdr>
              <w:jc w:val="both"/>
              <w:rPr>
                <w:b/>
              </w:rPr>
            </w:pPr>
            <w:r w:rsidRPr="00FB3DF6">
              <w:rPr>
                <w:b/>
              </w:rPr>
              <w:t>p-value</w:t>
            </w:r>
          </w:p>
        </w:tc>
        <w:tc>
          <w:tcPr>
            <w:tcW w:w="2340" w:type="dxa"/>
            <w:tcMar>
              <w:top w:w="0" w:type="dxa"/>
              <w:left w:w="0" w:type="dxa"/>
              <w:bottom w:w="0" w:type="dxa"/>
              <w:right w:w="0" w:type="dxa"/>
            </w:tcMar>
          </w:tcPr>
          <w:p w14:paraId="438ED3B6" w14:textId="77777777" w:rsidR="00CC4D0B" w:rsidRPr="00FB3DF6" w:rsidRDefault="00992325" w:rsidP="00FB3DF6">
            <w:pPr>
              <w:pBdr>
                <w:top w:val="nil"/>
                <w:left w:val="nil"/>
                <w:bottom w:val="nil"/>
                <w:right w:val="nil"/>
                <w:between w:val="nil"/>
              </w:pBdr>
              <w:jc w:val="both"/>
              <w:rPr>
                <w:b/>
              </w:rPr>
            </w:pPr>
            <w:r w:rsidRPr="00FB3DF6">
              <w:rPr>
                <w:b/>
              </w:rPr>
              <w:t>Interpretation</w:t>
            </w:r>
          </w:p>
        </w:tc>
      </w:tr>
      <w:tr w:rsidR="00CC4D0B" w:rsidRPr="00FB3DF6" w14:paraId="3D82BD98" w14:textId="77777777">
        <w:tc>
          <w:tcPr>
            <w:tcW w:w="2340" w:type="dxa"/>
            <w:tcMar>
              <w:top w:w="0" w:type="dxa"/>
              <w:left w:w="0" w:type="dxa"/>
              <w:bottom w:w="0" w:type="dxa"/>
              <w:right w:w="0" w:type="dxa"/>
            </w:tcMar>
          </w:tcPr>
          <w:p w14:paraId="56B6DD45" w14:textId="77777777" w:rsidR="00CC4D0B" w:rsidRPr="00FB3DF6" w:rsidRDefault="00992325" w:rsidP="00FB3DF6">
            <w:pPr>
              <w:pBdr>
                <w:top w:val="nil"/>
                <w:left w:val="nil"/>
                <w:bottom w:val="nil"/>
                <w:right w:val="nil"/>
                <w:between w:val="nil"/>
              </w:pBdr>
              <w:jc w:val="both"/>
            </w:pPr>
            <w:r w:rsidRPr="00FB3DF6">
              <w:t>10.52</w:t>
            </w:r>
          </w:p>
        </w:tc>
        <w:tc>
          <w:tcPr>
            <w:tcW w:w="2340" w:type="dxa"/>
            <w:tcMar>
              <w:top w:w="0" w:type="dxa"/>
              <w:left w:w="0" w:type="dxa"/>
              <w:bottom w:w="0" w:type="dxa"/>
              <w:right w:w="0" w:type="dxa"/>
            </w:tcMar>
          </w:tcPr>
          <w:p w14:paraId="40538BD0" w14:textId="77777777" w:rsidR="00CC4D0B" w:rsidRPr="00FB3DF6" w:rsidRDefault="00992325" w:rsidP="00FB3DF6">
            <w:pPr>
              <w:pBdr>
                <w:top w:val="nil"/>
                <w:left w:val="nil"/>
                <w:bottom w:val="nil"/>
                <w:right w:val="nil"/>
                <w:between w:val="nil"/>
              </w:pBdr>
              <w:jc w:val="both"/>
            </w:pPr>
            <w:r w:rsidRPr="00FB3DF6">
              <w:t>4</w:t>
            </w:r>
          </w:p>
        </w:tc>
        <w:tc>
          <w:tcPr>
            <w:tcW w:w="2340" w:type="dxa"/>
            <w:tcMar>
              <w:top w:w="0" w:type="dxa"/>
              <w:left w:w="0" w:type="dxa"/>
              <w:bottom w:w="0" w:type="dxa"/>
              <w:right w:w="0" w:type="dxa"/>
            </w:tcMar>
          </w:tcPr>
          <w:p w14:paraId="60278C0B" w14:textId="77777777" w:rsidR="00CC4D0B" w:rsidRPr="00FB3DF6" w:rsidRDefault="00992325" w:rsidP="00FB3DF6">
            <w:pPr>
              <w:pBdr>
                <w:top w:val="nil"/>
                <w:left w:val="nil"/>
                <w:bottom w:val="nil"/>
                <w:right w:val="nil"/>
                <w:between w:val="nil"/>
              </w:pBdr>
              <w:jc w:val="both"/>
            </w:pPr>
            <w:r w:rsidRPr="00FB3DF6">
              <w:t>0.032</w:t>
            </w:r>
          </w:p>
        </w:tc>
        <w:tc>
          <w:tcPr>
            <w:tcW w:w="2340" w:type="dxa"/>
            <w:tcMar>
              <w:top w:w="0" w:type="dxa"/>
              <w:left w:w="0" w:type="dxa"/>
              <w:bottom w:w="0" w:type="dxa"/>
              <w:right w:w="0" w:type="dxa"/>
            </w:tcMar>
          </w:tcPr>
          <w:p w14:paraId="683467E5" w14:textId="77777777" w:rsidR="00CC4D0B" w:rsidRPr="00FB3DF6" w:rsidRDefault="00992325" w:rsidP="00FB3DF6">
            <w:pPr>
              <w:pBdr>
                <w:top w:val="nil"/>
                <w:left w:val="nil"/>
                <w:bottom w:val="nil"/>
                <w:right w:val="nil"/>
                <w:between w:val="nil"/>
              </w:pBdr>
              <w:jc w:val="both"/>
            </w:pPr>
            <w:r w:rsidRPr="00FB3DF6">
              <w:t>Significant (P &lt;.05)</w:t>
            </w:r>
          </w:p>
        </w:tc>
      </w:tr>
    </w:tbl>
    <w:p w14:paraId="5BB03E4B" w14:textId="77777777" w:rsidR="004E3190" w:rsidRDefault="004E3190" w:rsidP="00FB3DF6">
      <w:pPr>
        <w:pBdr>
          <w:top w:val="nil"/>
          <w:left w:val="nil"/>
          <w:bottom w:val="nil"/>
          <w:right w:val="nil"/>
          <w:between w:val="nil"/>
        </w:pBdr>
        <w:spacing w:after="240"/>
        <w:jc w:val="both"/>
      </w:pPr>
    </w:p>
    <w:p w14:paraId="1352A76E" w14:textId="77777777" w:rsidR="00CC4D0B" w:rsidRPr="00FB3DF6" w:rsidRDefault="00992325" w:rsidP="00FB3DF6">
      <w:pPr>
        <w:pBdr>
          <w:top w:val="nil"/>
          <w:left w:val="nil"/>
          <w:bottom w:val="nil"/>
          <w:right w:val="nil"/>
          <w:between w:val="nil"/>
        </w:pBdr>
        <w:spacing w:after="240"/>
        <w:jc w:val="both"/>
      </w:pPr>
      <w:r w:rsidRPr="00FB3DF6">
        <w:t>The Chi-Square test was utilized on the categorical counts of accidents (Table 2), establishing a statistically significant association between fatal and serious accidents (\chi^2 = 10.52, P =.032). Since the statistical significance threshold was met, the finding implies that mines experiencing increased numbers of fatal accidents also tend to experience increased numbers of serious accidents. This inference confirms that the root causes of acute safety failure are systemic in nature, suggesting common factors such as poor occupational practices, unsafe work environment conditions, or machinery malfunctioning are driving both types of events. This confirmation validates that safety policy interventions must target these systemic root causes (e.g., through enhanced safety culture and robust audit trails) to reduce both types of accidents simultaneously, rather than focusing on mitigating isolated incident types.</w:t>
      </w:r>
    </w:p>
    <w:p w14:paraId="64EDD4D1" w14:textId="77777777" w:rsidR="00CC4D0B" w:rsidRPr="00FB3DF6" w:rsidRDefault="00992325" w:rsidP="00FB3DF6">
      <w:pPr>
        <w:pStyle w:val="Heading3"/>
        <w:spacing w:before="0"/>
        <w:jc w:val="both"/>
      </w:pPr>
      <w:r w:rsidRPr="00FB3DF6">
        <w:t>3.3 Time Series Regression Analysis</w:t>
      </w:r>
    </w:p>
    <w:p w14:paraId="130A3610" w14:textId="77777777" w:rsidR="00CC4D0B" w:rsidRPr="00FB3DF6" w:rsidRDefault="00992325" w:rsidP="00FB3DF6">
      <w:pPr>
        <w:pBdr>
          <w:top w:val="nil"/>
          <w:left w:val="nil"/>
          <w:bottom w:val="nil"/>
          <w:right w:val="nil"/>
          <w:between w:val="nil"/>
        </w:pBdr>
        <w:jc w:val="both"/>
      </w:pPr>
      <w:r w:rsidRPr="00FB3DF6">
        <w:t>Time series regression was employed to provide an explanatory model for fatal accident rates, linking them to key operational predictors: coal output (production intensity) and workforce size (labor dynamics).</w:t>
      </w:r>
    </w:p>
    <w:p w14:paraId="09C8B904" w14:textId="77777777" w:rsidR="004E3190" w:rsidRDefault="004E3190" w:rsidP="00FB3DF6">
      <w:pPr>
        <w:pBdr>
          <w:top w:val="nil"/>
          <w:left w:val="nil"/>
          <w:bottom w:val="nil"/>
          <w:right w:val="nil"/>
          <w:between w:val="nil"/>
        </w:pBdr>
        <w:jc w:val="both"/>
      </w:pPr>
    </w:p>
    <w:p w14:paraId="746E8094" w14:textId="77777777" w:rsidR="004E3190" w:rsidRDefault="004E3190" w:rsidP="00FB3DF6">
      <w:pPr>
        <w:pBdr>
          <w:top w:val="nil"/>
          <w:left w:val="nil"/>
          <w:bottom w:val="nil"/>
          <w:right w:val="nil"/>
          <w:between w:val="nil"/>
        </w:pBdr>
        <w:jc w:val="both"/>
      </w:pPr>
    </w:p>
    <w:p w14:paraId="4E479B76" w14:textId="77777777" w:rsidR="004E3190" w:rsidRDefault="004E3190" w:rsidP="00FB3DF6">
      <w:pPr>
        <w:pBdr>
          <w:top w:val="nil"/>
          <w:left w:val="nil"/>
          <w:bottom w:val="nil"/>
          <w:right w:val="nil"/>
          <w:between w:val="nil"/>
        </w:pBdr>
        <w:jc w:val="both"/>
      </w:pPr>
    </w:p>
    <w:p w14:paraId="2C23D4B6" w14:textId="77777777" w:rsidR="004E3190" w:rsidRDefault="004E3190" w:rsidP="00FB3DF6">
      <w:pPr>
        <w:pBdr>
          <w:top w:val="nil"/>
          <w:left w:val="nil"/>
          <w:bottom w:val="nil"/>
          <w:right w:val="nil"/>
          <w:between w:val="nil"/>
        </w:pBdr>
        <w:jc w:val="both"/>
      </w:pPr>
    </w:p>
    <w:p w14:paraId="75A41199" w14:textId="77777777" w:rsidR="004E3190" w:rsidRDefault="004E3190" w:rsidP="00FB3DF6">
      <w:pPr>
        <w:pBdr>
          <w:top w:val="nil"/>
          <w:left w:val="nil"/>
          <w:bottom w:val="nil"/>
          <w:right w:val="nil"/>
          <w:between w:val="nil"/>
        </w:pBdr>
        <w:jc w:val="both"/>
      </w:pPr>
    </w:p>
    <w:p w14:paraId="3243FF5D" w14:textId="77777777" w:rsidR="004E3190" w:rsidRDefault="004E3190" w:rsidP="00FB3DF6">
      <w:pPr>
        <w:pBdr>
          <w:top w:val="nil"/>
          <w:left w:val="nil"/>
          <w:bottom w:val="nil"/>
          <w:right w:val="nil"/>
          <w:between w:val="nil"/>
        </w:pBdr>
        <w:jc w:val="both"/>
      </w:pPr>
    </w:p>
    <w:p w14:paraId="75A85219" w14:textId="77777777" w:rsidR="00CC4D0B" w:rsidRDefault="00992325" w:rsidP="00FB3DF6">
      <w:pPr>
        <w:pBdr>
          <w:top w:val="nil"/>
          <w:left w:val="nil"/>
          <w:bottom w:val="nil"/>
          <w:right w:val="nil"/>
          <w:between w:val="nil"/>
        </w:pBdr>
        <w:jc w:val="both"/>
      </w:pPr>
      <w:r w:rsidRPr="00FB3DF6">
        <w:t>Table 4. Time Series Regression Analysis Results (Dependent Variable: Fatal Accidents)</w:t>
      </w:r>
    </w:p>
    <w:p w14:paraId="55627594" w14:textId="77777777" w:rsidR="004E3190" w:rsidRPr="00FB3DF6" w:rsidRDefault="004E3190" w:rsidP="00FB3DF6">
      <w:pPr>
        <w:pBdr>
          <w:top w:val="nil"/>
          <w:left w:val="nil"/>
          <w:bottom w:val="nil"/>
          <w:right w:val="nil"/>
          <w:between w:val="nil"/>
        </w:pBdr>
        <w:jc w:val="both"/>
      </w:pPr>
    </w:p>
    <w:tbl>
      <w:tblPr>
        <w:tblStyle w:val="a2"/>
        <w:tblW w:w="936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60"/>
        <w:gridCol w:w="1560"/>
        <w:gridCol w:w="1560"/>
        <w:gridCol w:w="1560"/>
        <w:gridCol w:w="1560"/>
        <w:gridCol w:w="1560"/>
      </w:tblGrid>
      <w:tr w:rsidR="00CC4D0B" w:rsidRPr="00FB3DF6" w14:paraId="7BC8509D" w14:textId="77777777">
        <w:trPr>
          <w:tblHeader/>
        </w:trPr>
        <w:tc>
          <w:tcPr>
            <w:tcW w:w="1560" w:type="dxa"/>
            <w:tcMar>
              <w:top w:w="0" w:type="dxa"/>
              <w:left w:w="0" w:type="dxa"/>
              <w:bottom w:w="0" w:type="dxa"/>
              <w:right w:w="0" w:type="dxa"/>
            </w:tcMar>
          </w:tcPr>
          <w:p w14:paraId="3D458934" w14:textId="77777777" w:rsidR="00CC4D0B" w:rsidRPr="00FB3DF6" w:rsidRDefault="00992325" w:rsidP="00FB3DF6">
            <w:pPr>
              <w:pBdr>
                <w:top w:val="nil"/>
                <w:left w:val="nil"/>
                <w:bottom w:val="nil"/>
                <w:right w:val="nil"/>
                <w:between w:val="nil"/>
              </w:pBdr>
              <w:jc w:val="both"/>
              <w:rPr>
                <w:b/>
              </w:rPr>
            </w:pPr>
            <w:r w:rsidRPr="00FB3DF6">
              <w:rPr>
                <w:b/>
              </w:rPr>
              <w:t>Variable</w:t>
            </w:r>
          </w:p>
        </w:tc>
        <w:tc>
          <w:tcPr>
            <w:tcW w:w="1560" w:type="dxa"/>
            <w:tcMar>
              <w:top w:w="0" w:type="dxa"/>
              <w:left w:w="0" w:type="dxa"/>
              <w:bottom w:w="0" w:type="dxa"/>
              <w:right w:w="0" w:type="dxa"/>
            </w:tcMar>
          </w:tcPr>
          <w:p w14:paraId="2FAD72F2" w14:textId="77777777" w:rsidR="00CC4D0B" w:rsidRPr="00FB3DF6" w:rsidRDefault="00992325" w:rsidP="00FB3DF6">
            <w:pPr>
              <w:pBdr>
                <w:top w:val="nil"/>
                <w:left w:val="nil"/>
                <w:bottom w:val="nil"/>
                <w:right w:val="nil"/>
                <w:between w:val="nil"/>
              </w:pBdr>
              <w:jc w:val="both"/>
              <w:rPr>
                <w:b/>
              </w:rPr>
            </w:pPr>
            <w:r w:rsidRPr="00FB3DF6">
              <w:rPr>
                <w:b/>
              </w:rPr>
              <w:t>Coefficient (\</w:t>
            </w:r>
            <w:r w:rsidR="00FB3DF6">
              <w:rPr>
                <w:b/>
              </w:rPr>
              <w:t>β</w:t>
            </w:r>
            <w:r w:rsidRPr="00FB3DF6">
              <w:rPr>
                <w:b/>
              </w:rPr>
              <w:t>)</w:t>
            </w:r>
          </w:p>
        </w:tc>
        <w:tc>
          <w:tcPr>
            <w:tcW w:w="1560" w:type="dxa"/>
            <w:tcMar>
              <w:top w:w="0" w:type="dxa"/>
              <w:left w:w="0" w:type="dxa"/>
              <w:bottom w:w="0" w:type="dxa"/>
              <w:right w:w="0" w:type="dxa"/>
            </w:tcMar>
          </w:tcPr>
          <w:p w14:paraId="2C1F8CB3" w14:textId="77777777" w:rsidR="00CC4D0B" w:rsidRPr="00FB3DF6" w:rsidRDefault="00992325" w:rsidP="00FB3DF6">
            <w:pPr>
              <w:pBdr>
                <w:top w:val="nil"/>
                <w:left w:val="nil"/>
                <w:bottom w:val="nil"/>
                <w:right w:val="nil"/>
                <w:between w:val="nil"/>
              </w:pBdr>
              <w:jc w:val="both"/>
              <w:rPr>
                <w:b/>
              </w:rPr>
            </w:pPr>
            <w:r w:rsidRPr="00FB3DF6">
              <w:rPr>
                <w:b/>
              </w:rPr>
              <w:t>Std. Error</w:t>
            </w:r>
          </w:p>
        </w:tc>
        <w:tc>
          <w:tcPr>
            <w:tcW w:w="1560" w:type="dxa"/>
            <w:tcMar>
              <w:top w:w="0" w:type="dxa"/>
              <w:left w:w="0" w:type="dxa"/>
              <w:bottom w:w="0" w:type="dxa"/>
              <w:right w:w="0" w:type="dxa"/>
            </w:tcMar>
          </w:tcPr>
          <w:p w14:paraId="51658040" w14:textId="77777777" w:rsidR="00CC4D0B" w:rsidRPr="00FB3DF6" w:rsidRDefault="00992325" w:rsidP="00FB3DF6">
            <w:pPr>
              <w:pBdr>
                <w:top w:val="nil"/>
                <w:left w:val="nil"/>
                <w:bottom w:val="nil"/>
                <w:right w:val="nil"/>
                <w:between w:val="nil"/>
              </w:pBdr>
              <w:jc w:val="both"/>
              <w:rPr>
                <w:b/>
              </w:rPr>
            </w:pPr>
            <w:r w:rsidRPr="00FB3DF6">
              <w:rPr>
                <w:b/>
              </w:rPr>
              <w:t>t-Statistic</w:t>
            </w:r>
          </w:p>
        </w:tc>
        <w:tc>
          <w:tcPr>
            <w:tcW w:w="1560" w:type="dxa"/>
            <w:tcMar>
              <w:top w:w="0" w:type="dxa"/>
              <w:left w:w="0" w:type="dxa"/>
              <w:bottom w:w="0" w:type="dxa"/>
              <w:right w:w="0" w:type="dxa"/>
            </w:tcMar>
          </w:tcPr>
          <w:p w14:paraId="3DF5ED31" w14:textId="77777777" w:rsidR="00CC4D0B" w:rsidRPr="00FB3DF6" w:rsidRDefault="00992325" w:rsidP="00FB3DF6">
            <w:pPr>
              <w:pBdr>
                <w:top w:val="nil"/>
                <w:left w:val="nil"/>
                <w:bottom w:val="nil"/>
                <w:right w:val="nil"/>
                <w:between w:val="nil"/>
              </w:pBdr>
              <w:jc w:val="both"/>
              <w:rPr>
                <w:b/>
              </w:rPr>
            </w:pPr>
            <w:r w:rsidRPr="00FB3DF6">
              <w:rPr>
                <w:b/>
              </w:rPr>
              <w:t>p-value</w:t>
            </w:r>
          </w:p>
        </w:tc>
        <w:tc>
          <w:tcPr>
            <w:tcW w:w="1560" w:type="dxa"/>
            <w:tcMar>
              <w:top w:w="0" w:type="dxa"/>
              <w:left w:w="0" w:type="dxa"/>
              <w:bottom w:w="0" w:type="dxa"/>
              <w:right w:w="0" w:type="dxa"/>
            </w:tcMar>
          </w:tcPr>
          <w:p w14:paraId="1E9957C1" w14:textId="77777777" w:rsidR="00CC4D0B" w:rsidRPr="00FB3DF6" w:rsidRDefault="00992325" w:rsidP="00FB3DF6">
            <w:pPr>
              <w:pBdr>
                <w:top w:val="nil"/>
                <w:left w:val="nil"/>
                <w:bottom w:val="nil"/>
                <w:right w:val="nil"/>
                <w:between w:val="nil"/>
              </w:pBdr>
              <w:jc w:val="both"/>
              <w:rPr>
                <w:b/>
              </w:rPr>
            </w:pPr>
            <w:r w:rsidRPr="00FB3DF6">
              <w:rPr>
                <w:b/>
              </w:rPr>
              <w:t>Significance</w:t>
            </w:r>
          </w:p>
        </w:tc>
      </w:tr>
      <w:tr w:rsidR="00CC4D0B" w:rsidRPr="00FB3DF6" w14:paraId="79F22C2F" w14:textId="77777777">
        <w:tc>
          <w:tcPr>
            <w:tcW w:w="1560" w:type="dxa"/>
            <w:tcMar>
              <w:top w:w="0" w:type="dxa"/>
              <w:left w:w="0" w:type="dxa"/>
              <w:bottom w:w="0" w:type="dxa"/>
              <w:right w:w="0" w:type="dxa"/>
            </w:tcMar>
          </w:tcPr>
          <w:p w14:paraId="4EC99E81" w14:textId="77777777" w:rsidR="00CC4D0B" w:rsidRPr="00FB3DF6" w:rsidRDefault="00992325" w:rsidP="00FB3DF6">
            <w:pPr>
              <w:pBdr>
                <w:top w:val="nil"/>
                <w:left w:val="nil"/>
                <w:bottom w:val="nil"/>
                <w:right w:val="nil"/>
                <w:between w:val="nil"/>
              </w:pBdr>
              <w:jc w:val="both"/>
            </w:pPr>
            <w:r w:rsidRPr="00FB3DF6">
              <w:t>Constant (Intercept)</w:t>
            </w:r>
          </w:p>
        </w:tc>
        <w:tc>
          <w:tcPr>
            <w:tcW w:w="1560" w:type="dxa"/>
            <w:tcMar>
              <w:top w:w="0" w:type="dxa"/>
              <w:left w:w="0" w:type="dxa"/>
              <w:bottom w:w="0" w:type="dxa"/>
              <w:right w:w="0" w:type="dxa"/>
            </w:tcMar>
          </w:tcPr>
          <w:p w14:paraId="27D2A44A" w14:textId="77777777" w:rsidR="00CC4D0B" w:rsidRPr="00FB3DF6" w:rsidRDefault="00992325" w:rsidP="00FB3DF6">
            <w:pPr>
              <w:pBdr>
                <w:top w:val="nil"/>
                <w:left w:val="nil"/>
                <w:bottom w:val="nil"/>
                <w:right w:val="nil"/>
                <w:between w:val="nil"/>
              </w:pBdr>
              <w:jc w:val="both"/>
            </w:pPr>
            <w:r w:rsidRPr="00FB3DF6">
              <w:t>12.54</w:t>
            </w:r>
          </w:p>
        </w:tc>
        <w:tc>
          <w:tcPr>
            <w:tcW w:w="1560" w:type="dxa"/>
            <w:tcMar>
              <w:top w:w="0" w:type="dxa"/>
              <w:left w:w="0" w:type="dxa"/>
              <w:bottom w:w="0" w:type="dxa"/>
              <w:right w:w="0" w:type="dxa"/>
            </w:tcMar>
          </w:tcPr>
          <w:p w14:paraId="56F57429" w14:textId="77777777" w:rsidR="00CC4D0B" w:rsidRPr="00FB3DF6" w:rsidRDefault="00992325" w:rsidP="00FB3DF6">
            <w:pPr>
              <w:pBdr>
                <w:top w:val="nil"/>
                <w:left w:val="nil"/>
                <w:bottom w:val="nil"/>
                <w:right w:val="nil"/>
                <w:between w:val="nil"/>
              </w:pBdr>
              <w:jc w:val="both"/>
            </w:pPr>
            <w:r w:rsidRPr="00FB3DF6">
              <w:t>3.21</w:t>
            </w:r>
          </w:p>
        </w:tc>
        <w:tc>
          <w:tcPr>
            <w:tcW w:w="1560" w:type="dxa"/>
            <w:tcMar>
              <w:top w:w="0" w:type="dxa"/>
              <w:left w:w="0" w:type="dxa"/>
              <w:bottom w:w="0" w:type="dxa"/>
              <w:right w:w="0" w:type="dxa"/>
            </w:tcMar>
          </w:tcPr>
          <w:p w14:paraId="21763B76" w14:textId="77777777" w:rsidR="00CC4D0B" w:rsidRPr="00FB3DF6" w:rsidRDefault="00992325" w:rsidP="00FB3DF6">
            <w:pPr>
              <w:pBdr>
                <w:top w:val="nil"/>
                <w:left w:val="nil"/>
                <w:bottom w:val="nil"/>
                <w:right w:val="nil"/>
                <w:between w:val="nil"/>
              </w:pBdr>
              <w:jc w:val="both"/>
            </w:pPr>
            <w:r w:rsidRPr="00FB3DF6">
              <w:t>3.91</w:t>
            </w:r>
          </w:p>
        </w:tc>
        <w:tc>
          <w:tcPr>
            <w:tcW w:w="1560" w:type="dxa"/>
            <w:tcMar>
              <w:top w:w="0" w:type="dxa"/>
              <w:left w:w="0" w:type="dxa"/>
              <w:bottom w:w="0" w:type="dxa"/>
              <w:right w:w="0" w:type="dxa"/>
            </w:tcMar>
          </w:tcPr>
          <w:p w14:paraId="4FD3ED4A" w14:textId="77777777" w:rsidR="00CC4D0B" w:rsidRPr="00FB3DF6" w:rsidRDefault="00992325" w:rsidP="00FB3DF6">
            <w:pPr>
              <w:pBdr>
                <w:top w:val="nil"/>
                <w:left w:val="nil"/>
                <w:bottom w:val="nil"/>
                <w:right w:val="nil"/>
                <w:between w:val="nil"/>
              </w:pBdr>
              <w:jc w:val="both"/>
            </w:pPr>
            <w:r w:rsidRPr="00FB3DF6">
              <w:t>0.001</w:t>
            </w:r>
          </w:p>
        </w:tc>
        <w:tc>
          <w:tcPr>
            <w:tcW w:w="1560" w:type="dxa"/>
            <w:tcMar>
              <w:top w:w="0" w:type="dxa"/>
              <w:left w:w="0" w:type="dxa"/>
              <w:bottom w:w="0" w:type="dxa"/>
              <w:right w:w="0" w:type="dxa"/>
            </w:tcMar>
          </w:tcPr>
          <w:p w14:paraId="10431E68" w14:textId="77777777" w:rsidR="00CC4D0B" w:rsidRPr="00FB3DF6" w:rsidRDefault="00992325" w:rsidP="00FB3DF6">
            <w:pPr>
              <w:pBdr>
                <w:top w:val="nil"/>
                <w:left w:val="nil"/>
                <w:bottom w:val="nil"/>
                <w:right w:val="nil"/>
                <w:between w:val="nil"/>
              </w:pBdr>
              <w:jc w:val="both"/>
            </w:pPr>
            <w:r w:rsidRPr="00FB3DF6">
              <w:t>Significant</w:t>
            </w:r>
          </w:p>
        </w:tc>
      </w:tr>
      <w:tr w:rsidR="00CC4D0B" w:rsidRPr="00FB3DF6" w14:paraId="7B8D66C4" w14:textId="77777777">
        <w:tc>
          <w:tcPr>
            <w:tcW w:w="1560" w:type="dxa"/>
            <w:tcMar>
              <w:top w:w="0" w:type="dxa"/>
              <w:left w:w="0" w:type="dxa"/>
              <w:bottom w:w="0" w:type="dxa"/>
              <w:right w:w="0" w:type="dxa"/>
            </w:tcMar>
          </w:tcPr>
          <w:p w14:paraId="5A95EDF3" w14:textId="77777777" w:rsidR="00CC4D0B" w:rsidRPr="00FB3DF6" w:rsidRDefault="00992325" w:rsidP="00FB3DF6">
            <w:pPr>
              <w:pBdr>
                <w:top w:val="nil"/>
                <w:left w:val="nil"/>
                <w:bottom w:val="nil"/>
                <w:right w:val="nil"/>
                <w:between w:val="nil"/>
              </w:pBdr>
              <w:jc w:val="both"/>
            </w:pPr>
            <w:r w:rsidRPr="00FB3DF6">
              <w:t>Coal Output</w:t>
            </w:r>
          </w:p>
        </w:tc>
        <w:tc>
          <w:tcPr>
            <w:tcW w:w="1560" w:type="dxa"/>
            <w:tcMar>
              <w:top w:w="0" w:type="dxa"/>
              <w:left w:w="0" w:type="dxa"/>
              <w:bottom w:w="0" w:type="dxa"/>
              <w:right w:w="0" w:type="dxa"/>
            </w:tcMar>
          </w:tcPr>
          <w:p w14:paraId="44D66C40" w14:textId="77777777" w:rsidR="00CC4D0B" w:rsidRPr="00FB3DF6" w:rsidRDefault="00992325" w:rsidP="00FB3DF6">
            <w:pPr>
              <w:pBdr>
                <w:top w:val="nil"/>
                <w:left w:val="nil"/>
                <w:bottom w:val="nil"/>
                <w:right w:val="nil"/>
                <w:between w:val="nil"/>
              </w:pBdr>
              <w:jc w:val="both"/>
            </w:pPr>
            <w:r w:rsidRPr="00FB3DF6">
              <w:t>0.0021</w:t>
            </w:r>
          </w:p>
        </w:tc>
        <w:tc>
          <w:tcPr>
            <w:tcW w:w="1560" w:type="dxa"/>
            <w:tcMar>
              <w:top w:w="0" w:type="dxa"/>
              <w:left w:w="0" w:type="dxa"/>
              <w:bottom w:w="0" w:type="dxa"/>
              <w:right w:w="0" w:type="dxa"/>
            </w:tcMar>
          </w:tcPr>
          <w:p w14:paraId="7103BF72" w14:textId="77777777" w:rsidR="00CC4D0B" w:rsidRPr="00FB3DF6" w:rsidRDefault="00992325" w:rsidP="00FB3DF6">
            <w:pPr>
              <w:pBdr>
                <w:top w:val="nil"/>
                <w:left w:val="nil"/>
                <w:bottom w:val="nil"/>
                <w:right w:val="nil"/>
                <w:between w:val="nil"/>
              </w:pBdr>
              <w:jc w:val="both"/>
            </w:pPr>
            <w:r w:rsidRPr="00FB3DF6">
              <w:t>0.0008</w:t>
            </w:r>
          </w:p>
        </w:tc>
        <w:tc>
          <w:tcPr>
            <w:tcW w:w="1560" w:type="dxa"/>
            <w:tcMar>
              <w:top w:w="0" w:type="dxa"/>
              <w:left w:w="0" w:type="dxa"/>
              <w:bottom w:w="0" w:type="dxa"/>
              <w:right w:w="0" w:type="dxa"/>
            </w:tcMar>
          </w:tcPr>
          <w:p w14:paraId="37D45D58" w14:textId="77777777" w:rsidR="00CC4D0B" w:rsidRPr="00FB3DF6" w:rsidRDefault="00992325" w:rsidP="00FB3DF6">
            <w:pPr>
              <w:pBdr>
                <w:top w:val="nil"/>
                <w:left w:val="nil"/>
                <w:bottom w:val="nil"/>
                <w:right w:val="nil"/>
                <w:between w:val="nil"/>
              </w:pBdr>
              <w:jc w:val="both"/>
            </w:pPr>
            <w:r w:rsidRPr="00FB3DF6">
              <w:t>2.63</w:t>
            </w:r>
          </w:p>
        </w:tc>
        <w:tc>
          <w:tcPr>
            <w:tcW w:w="1560" w:type="dxa"/>
            <w:tcMar>
              <w:top w:w="0" w:type="dxa"/>
              <w:left w:w="0" w:type="dxa"/>
              <w:bottom w:w="0" w:type="dxa"/>
              <w:right w:w="0" w:type="dxa"/>
            </w:tcMar>
          </w:tcPr>
          <w:p w14:paraId="690DC638" w14:textId="77777777" w:rsidR="00CC4D0B" w:rsidRPr="00FB3DF6" w:rsidRDefault="00992325" w:rsidP="00FB3DF6">
            <w:pPr>
              <w:pBdr>
                <w:top w:val="nil"/>
                <w:left w:val="nil"/>
                <w:bottom w:val="nil"/>
                <w:right w:val="nil"/>
                <w:between w:val="nil"/>
              </w:pBdr>
              <w:jc w:val="both"/>
            </w:pPr>
            <w:r w:rsidRPr="00FB3DF6">
              <w:t>0.014</w:t>
            </w:r>
          </w:p>
        </w:tc>
        <w:tc>
          <w:tcPr>
            <w:tcW w:w="1560" w:type="dxa"/>
            <w:tcMar>
              <w:top w:w="0" w:type="dxa"/>
              <w:left w:w="0" w:type="dxa"/>
              <w:bottom w:w="0" w:type="dxa"/>
              <w:right w:w="0" w:type="dxa"/>
            </w:tcMar>
          </w:tcPr>
          <w:p w14:paraId="507A3699" w14:textId="77777777" w:rsidR="00CC4D0B" w:rsidRPr="00FB3DF6" w:rsidRDefault="00992325" w:rsidP="00FB3DF6">
            <w:pPr>
              <w:pBdr>
                <w:top w:val="nil"/>
                <w:left w:val="nil"/>
                <w:bottom w:val="nil"/>
                <w:right w:val="nil"/>
                <w:between w:val="nil"/>
              </w:pBdr>
              <w:jc w:val="both"/>
            </w:pPr>
            <w:r w:rsidRPr="00FB3DF6">
              <w:t>Significant</w:t>
            </w:r>
          </w:p>
        </w:tc>
      </w:tr>
      <w:tr w:rsidR="00CC4D0B" w:rsidRPr="00FB3DF6" w14:paraId="6E90D33F" w14:textId="77777777">
        <w:tc>
          <w:tcPr>
            <w:tcW w:w="1560" w:type="dxa"/>
            <w:tcMar>
              <w:top w:w="0" w:type="dxa"/>
              <w:left w:w="0" w:type="dxa"/>
              <w:bottom w:w="0" w:type="dxa"/>
              <w:right w:w="0" w:type="dxa"/>
            </w:tcMar>
          </w:tcPr>
          <w:p w14:paraId="7AAC6F93" w14:textId="77777777" w:rsidR="00CC4D0B" w:rsidRPr="00FB3DF6" w:rsidRDefault="00992325" w:rsidP="00FB3DF6">
            <w:pPr>
              <w:pBdr>
                <w:top w:val="nil"/>
                <w:left w:val="nil"/>
                <w:bottom w:val="nil"/>
                <w:right w:val="nil"/>
                <w:between w:val="nil"/>
              </w:pBdr>
              <w:jc w:val="both"/>
            </w:pPr>
            <w:r w:rsidRPr="00FB3DF6">
              <w:t>Workforce Size</w:t>
            </w:r>
          </w:p>
        </w:tc>
        <w:tc>
          <w:tcPr>
            <w:tcW w:w="1560" w:type="dxa"/>
            <w:tcMar>
              <w:top w:w="0" w:type="dxa"/>
              <w:left w:w="0" w:type="dxa"/>
              <w:bottom w:w="0" w:type="dxa"/>
              <w:right w:w="0" w:type="dxa"/>
            </w:tcMar>
          </w:tcPr>
          <w:p w14:paraId="44415CB4" w14:textId="77777777" w:rsidR="00CC4D0B" w:rsidRPr="00FB3DF6" w:rsidRDefault="00992325" w:rsidP="00FB3DF6">
            <w:pPr>
              <w:pBdr>
                <w:top w:val="nil"/>
                <w:left w:val="nil"/>
                <w:bottom w:val="nil"/>
                <w:right w:val="nil"/>
                <w:between w:val="nil"/>
              </w:pBdr>
              <w:jc w:val="both"/>
            </w:pPr>
            <w:r w:rsidRPr="00FB3DF6">
              <w:t>-0.31</w:t>
            </w:r>
          </w:p>
        </w:tc>
        <w:tc>
          <w:tcPr>
            <w:tcW w:w="1560" w:type="dxa"/>
            <w:tcMar>
              <w:top w:w="0" w:type="dxa"/>
              <w:left w:w="0" w:type="dxa"/>
              <w:bottom w:w="0" w:type="dxa"/>
              <w:right w:w="0" w:type="dxa"/>
            </w:tcMar>
          </w:tcPr>
          <w:p w14:paraId="1A8E3A70" w14:textId="77777777" w:rsidR="00CC4D0B" w:rsidRPr="00FB3DF6" w:rsidRDefault="00992325" w:rsidP="00FB3DF6">
            <w:pPr>
              <w:pBdr>
                <w:top w:val="nil"/>
                <w:left w:val="nil"/>
                <w:bottom w:val="nil"/>
                <w:right w:val="nil"/>
                <w:between w:val="nil"/>
              </w:pBdr>
              <w:jc w:val="both"/>
            </w:pPr>
            <w:r w:rsidRPr="00FB3DF6">
              <w:t>0.12</w:t>
            </w:r>
          </w:p>
        </w:tc>
        <w:tc>
          <w:tcPr>
            <w:tcW w:w="1560" w:type="dxa"/>
            <w:tcMar>
              <w:top w:w="0" w:type="dxa"/>
              <w:left w:w="0" w:type="dxa"/>
              <w:bottom w:w="0" w:type="dxa"/>
              <w:right w:w="0" w:type="dxa"/>
            </w:tcMar>
          </w:tcPr>
          <w:p w14:paraId="5D649461" w14:textId="77777777" w:rsidR="00CC4D0B" w:rsidRPr="00FB3DF6" w:rsidRDefault="00992325" w:rsidP="00FB3DF6">
            <w:pPr>
              <w:pBdr>
                <w:top w:val="nil"/>
                <w:left w:val="nil"/>
                <w:bottom w:val="nil"/>
                <w:right w:val="nil"/>
                <w:between w:val="nil"/>
              </w:pBdr>
              <w:jc w:val="both"/>
            </w:pPr>
            <w:r w:rsidRPr="00FB3DF6">
              <w:t>-2.58</w:t>
            </w:r>
          </w:p>
        </w:tc>
        <w:tc>
          <w:tcPr>
            <w:tcW w:w="1560" w:type="dxa"/>
            <w:tcMar>
              <w:top w:w="0" w:type="dxa"/>
              <w:left w:w="0" w:type="dxa"/>
              <w:bottom w:w="0" w:type="dxa"/>
              <w:right w:w="0" w:type="dxa"/>
            </w:tcMar>
          </w:tcPr>
          <w:p w14:paraId="769D4831" w14:textId="77777777" w:rsidR="00CC4D0B" w:rsidRPr="00FB3DF6" w:rsidRDefault="00992325" w:rsidP="00FB3DF6">
            <w:pPr>
              <w:pBdr>
                <w:top w:val="nil"/>
                <w:left w:val="nil"/>
                <w:bottom w:val="nil"/>
                <w:right w:val="nil"/>
                <w:between w:val="nil"/>
              </w:pBdr>
              <w:jc w:val="both"/>
            </w:pPr>
            <w:r w:rsidRPr="00FB3DF6">
              <w:t>0.016</w:t>
            </w:r>
          </w:p>
        </w:tc>
        <w:tc>
          <w:tcPr>
            <w:tcW w:w="1560" w:type="dxa"/>
            <w:tcMar>
              <w:top w:w="0" w:type="dxa"/>
              <w:left w:w="0" w:type="dxa"/>
              <w:bottom w:w="0" w:type="dxa"/>
              <w:right w:w="0" w:type="dxa"/>
            </w:tcMar>
          </w:tcPr>
          <w:p w14:paraId="0AE782C7" w14:textId="77777777" w:rsidR="00CC4D0B" w:rsidRPr="00FB3DF6" w:rsidRDefault="00992325" w:rsidP="00FB3DF6">
            <w:pPr>
              <w:pBdr>
                <w:top w:val="nil"/>
                <w:left w:val="nil"/>
                <w:bottom w:val="nil"/>
                <w:right w:val="nil"/>
                <w:between w:val="nil"/>
              </w:pBdr>
              <w:jc w:val="both"/>
            </w:pPr>
            <w:r w:rsidRPr="00FB3DF6">
              <w:t>Significant</w:t>
            </w:r>
          </w:p>
        </w:tc>
      </w:tr>
    </w:tbl>
    <w:p w14:paraId="4505189D" w14:textId="77777777" w:rsidR="004E3190" w:rsidRDefault="004E3190" w:rsidP="00FB3DF6">
      <w:pPr>
        <w:pBdr>
          <w:top w:val="nil"/>
          <w:left w:val="nil"/>
          <w:bottom w:val="nil"/>
          <w:right w:val="nil"/>
          <w:between w:val="nil"/>
        </w:pBdr>
        <w:jc w:val="both"/>
      </w:pPr>
    </w:p>
    <w:p w14:paraId="6F8E1B45" w14:textId="77777777" w:rsidR="00CC4D0B" w:rsidRPr="00FB3DF6" w:rsidRDefault="00992325" w:rsidP="00FB3DF6">
      <w:pPr>
        <w:pBdr>
          <w:top w:val="nil"/>
          <w:left w:val="nil"/>
          <w:bottom w:val="nil"/>
          <w:right w:val="nil"/>
          <w:between w:val="nil"/>
        </w:pBdr>
        <w:jc w:val="both"/>
      </w:pPr>
      <w:r w:rsidRPr="00FB3DF6">
        <w:t>The multiple regression model was found to be statistically significant (F-statistic = 23.5, P &lt;.001), explaining a substantial portion of the v</w:t>
      </w:r>
      <w:r w:rsidR="004E3190">
        <w:t>ariation in fatal accidents (R Square</w:t>
      </w:r>
      <w:r w:rsidRPr="00FB3DF6">
        <w:t xml:space="preserve"> = 0.78). This indicates that 78% of the variance in fatal accidents can be attributed to the predictors included in the model.</w:t>
      </w:r>
    </w:p>
    <w:p w14:paraId="39B916E9" w14:textId="77777777" w:rsidR="004E3190" w:rsidRDefault="004E3190" w:rsidP="00FB3DF6">
      <w:pPr>
        <w:pBdr>
          <w:top w:val="nil"/>
          <w:left w:val="nil"/>
          <w:bottom w:val="nil"/>
          <w:right w:val="nil"/>
          <w:between w:val="nil"/>
        </w:pBdr>
        <w:jc w:val="both"/>
      </w:pPr>
    </w:p>
    <w:p w14:paraId="0CB0B167" w14:textId="77777777" w:rsidR="00CC4D0B" w:rsidRPr="00FB3DF6" w:rsidRDefault="00992325" w:rsidP="00FB3DF6">
      <w:pPr>
        <w:pBdr>
          <w:top w:val="nil"/>
          <w:left w:val="nil"/>
          <w:bottom w:val="nil"/>
          <w:right w:val="nil"/>
          <w:between w:val="nil"/>
        </w:pBdr>
        <w:jc w:val="both"/>
      </w:pPr>
      <w:r w:rsidRPr="00FB3DF6">
        <w:t xml:space="preserve">The analysis yielded two significant and opposing effects related to the operational variables. </w:t>
      </w:r>
      <w:r w:rsidRPr="00FB3DF6">
        <w:lastRenderedPageBreak/>
        <w:t xml:space="preserve">Coal Output </w:t>
      </w:r>
      <w:r w:rsidR="00FB3DF6">
        <w:t>showed a positive correlation (β</w:t>
      </w:r>
      <w:r w:rsidRPr="00FB3DF6">
        <w:t xml:space="preserve"> = 0.0021, P =.014), indicating that increasing production volumes leads to a proportional increase in fatal accidents. This suggests that the pressure for high output results in heightened exposure to hazardous situations due to an intensified operational tempo. Conversely, Workforce Size demonstrated a negativ</w:t>
      </w:r>
      <w:r w:rsidR="00FB3DF6">
        <w:t>e and significant correlation (β</w:t>
      </w:r>
      <w:r w:rsidRPr="00FB3DF6">
        <w:t xml:space="preserve"> = -0.31, P =.016). This finding implies that increased deployment of the workforce reduces the incidence of fatal accidents.</w:t>
      </w:r>
    </w:p>
    <w:p w14:paraId="71927E34" w14:textId="77777777" w:rsidR="004E3190" w:rsidRDefault="004E3190" w:rsidP="00FB3DF6">
      <w:pPr>
        <w:pBdr>
          <w:top w:val="nil"/>
          <w:left w:val="nil"/>
          <w:bottom w:val="nil"/>
          <w:right w:val="nil"/>
          <w:between w:val="nil"/>
        </w:pBdr>
        <w:spacing w:after="240"/>
        <w:jc w:val="both"/>
      </w:pPr>
    </w:p>
    <w:p w14:paraId="1C007D2A" w14:textId="77777777" w:rsidR="00CC4D0B" w:rsidRPr="00FB3DF6" w:rsidRDefault="00992325" w:rsidP="00FB3DF6">
      <w:pPr>
        <w:pBdr>
          <w:top w:val="nil"/>
          <w:left w:val="nil"/>
          <w:bottom w:val="nil"/>
          <w:right w:val="nil"/>
          <w:between w:val="nil"/>
        </w:pBdr>
        <w:spacing w:after="240"/>
        <w:jc w:val="both"/>
      </w:pPr>
      <w:r w:rsidRPr="00FB3DF6">
        <w:t>The negative correlation of workforce size is a critical managerial finding. It demonstrates that adequate staffing acts as a mitigating factor, potentially diluting risk by improving supervision, managing worker fatigue, and enabling better adherence to safety protocols. Policymakers and managers must therefore recognize manpower planning not merely as a variable cost but as an essential operational control variable that directly functions as a safety input, especially vital in sectors where economic pressure for output may compromise safety. The constant term (In</w:t>
      </w:r>
      <w:r w:rsidR="00FB3DF6">
        <w:t>tercept) was also significant (β</w:t>
      </w:r>
      <w:r w:rsidRPr="00FB3DF6">
        <w:t xml:space="preserve"> = 12.54, P =.001), representing the average number of accidents that occurred regardless of the specific values of Coal Output and Workforce Size in the model.</w:t>
      </w:r>
      <w:r w:rsidR="00FB3DF6">
        <w:t xml:space="preserve"> </w:t>
      </w:r>
    </w:p>
    <w:p w14:paraId="59CE79DD" w14:textId="77777777" w:rsidR="00CC4D0B" w:rsidRPr="00FB3DF6" w:rsidRDefault="00992325" w:rsidP="00FB3DF6">
      <w:pPr>
        <w:pStyle w:val="Heading3"/>
        <w:spacing w:before="0"/>
        <w:jc w:val="both"/>
      </w:pPr>
      <w:r w:rsidRPr="00FB3DF6">
        <w:t>3.4 Integrated Discussion: Persistent Chronic Risks and Policy Implementation Gaps</w:t>
      </w:r>
    </w:p>
    <w:p w14:paraId="612609AC" w14:textId="77777777" w:rsidR="00CC4D0B" w:rsidRPr="00FB3DF6" w:rsidRDefault="00992325" w:rsidP="00FB3DF6">
      <w:pPr>
        <w:pBdr>
          <w:top w:val="nil"/>
          <w:left w:val="nil"/>
          <w:bottom w:val="nil"/>
          <w:right w:val="nil"/>
          <w:between w:val="nil"/>
        </w:pBdr>
        <w:jc w:val="both"/>
      </w:pPr>
      <w:r w:rsidRPr="00FB3DF6">
        <w:t>Despite the significant quantitative progress in reducing acute accident risks, a dual reality exists within the Indian coal mining sector: the problem of chronic occupational health hazards remains severe. The qualitative review confirms that coal mine workers continue to be highly vulnerable to chronic respiratory occupational diseases, including pneumoconiosis, silicosis, and COPD, resulting from long-duration exposure to coal dust.</w:t>
      </w:r>
    </w:p>
    <w:p w14:paraId="0B4DE507" w14:textId="77777777" w:rsidR="00FB3DF6" w:rsidRDefault="00FB3DF6" w:rsidP="00FB3DF6">
      <w:pPr>
        <w:pBdr>
          <w:top w:val="nil"/>
          <w:left w:val="nil"/>
          <w:bottom w:val="nil"/>
          <w:right w:val="nil"/>
          <w:between w:val="nil"/>
        </w:pBdr>
        <w:jc w:val="both"/>
      </w:pPr>
    </w:p>
    <w:p w14:paraId="4657F357" w14:textId="77777777" w:rsidR="00CC4D0B" w:rsidRPr="00FB3DF6" w:rsidRDefault="00992325" w:rsidP="00FB3DF6">
      <w:pPr>
        <w:pBdr>
          <w:top w:val="nil"/>
          <w:left w:val="nil"/>
          <w:bottom w:val="nil"/>
          <w:right w:val="nil"/>
          <w:between w:val="nil"/>
        </w:pBdr>
        <w:jc w:val="both"/>
      </w:pPr>
      <w:r w:rsidRPr="00FB3DF6">
        <w:t>The persistence of these debilitating illnesses underscores fundamental gaps in hazard control and health surveillance. Specifically, there are pervasive deficiencies in the deployment of effective dust suppression technologies, inconsistent use of personal protective gear, and inadequate health surveillance systems that are not robust enough to monitor latent disease progression. The literature review noted that official government reports often substantially underestimate the actual burden of these diseases, a structural weakness that requires proactive, advanced modeling and active surveillance to rectify.</w:t>
      </w:r>
    </w:p>
    <w:p w14:paraId="371F3A7B" w14:textId="77777777" w:rsidR="00FB3DF6" w:rsidRDefault="00FB3DF6" w:rsidP="00FB3DF6">
      <w:pPr>
        <w:pBdr>
          <w:top w:val="nil"/>
          <w:left w:val="nil"/>
          <w:bottom w:val="nil"/>
          <w:right w:val="nil"/>
          <w:between w:val="nil"/>
        </w:pBdr>
        <w:jc w:val="both"/>
      </w:pPr>
    </w:p>
    <w:p w14:paraId="44134D69" w14:textId="77777777" w:rsidR="004E3190" w:rsidRDefault="004E3190" w:rsidP="00FB3DF6">
      <w:pPr>
        <w:pBdr>
          <w:top w:val="nil"/>
          <w:left w:val="nil"/>
          <w:bottom w:val="nil"/>
          <w:right w:val="nil"/>
          <w:between w:val="nil"/>
        </w:pBdr>
        <w:jc w:val="both"/>
      </w:pPr>
    </w:p>
    <w:p w14:paraId="338D8EFC" w14:textId="77777777" w:rsidR="00CC4D0B" w:rsidRPr="00FB3DF6" w:rsidRDefault="00992325" w:rsidP="00FB3DF6">
      <w:pPr>
        <w:pBdr>
          <w:top w:val="nil"/>
          <w:left w:val="nil"/>
          <w:bottom w:val="nil"/>
          <w:right w:val="nil"/>
          <w:between w:val="nil"/>
        </w:pBdr>
        <w:jc w:val="both"/>
      </w:pPr>
      <w:r w:rsidRPr="00FB3DF6">
        <w:t>Furthermore, the analysis of the regulatory framework reveals a crucial implementation deficit. While the legal provisions (Mines Act, 1952; Coal Mines Regulations, 2017) are comprehensive, enforcement is inconsistent. The most pronounced gap is observed in smaller and private mines, which often demonstrate poor compliance regarding mandatory medical check-ups and safety monitoring parameters. Institutionally, core bodies such as DGMS, NIMH, and NIOH play essential roles, yet their effectiveness is hampered by meager inter-agency integrations and poor coordination with industry stakeholders. The absence of a high-deterrence enforcement loop, characterized by stricter and better-monitored punishment and penalty regimes, contributes significantly to laxity in field behaviors, preventing the closing of the critical implementation gap between policy intent and operational reality.</w:t>
      </w:r>
    </w:p>
    <w:p w14:paraId="58B32B38" w14:textId="77777777" w:rsidR="00FB3DF6" w:rsidRDefault="00FB3DF6" w:rsidP="00FB3DF6">
      <w:pPr>
        <w:pBdr>
          <w:top w:val="nil"/>
          <w:left w:val="nil"/>
          <w:bottom w:val="nil"/>
          <w:right w:val="nil"/>
          <w:between w:val="nil"/>
        </w:pBdr>
        <w:spacing w:after="225"/>
        <w:jc w:val="both"/>
      </w:pPr>
    </w:p>
    <w:p w14:paraId="6C8DDCBB" w14:textId="77777777" w:rsidR="00CC4D0B" w:rsidRPr="00FB3DF6" w:rsidRDefault="00992325" w:rsidP="00FB3DF6">
      <w:pPr>
        <w:pBdr>
          <w:top w:val="nil"/>
          <w:left w:val="nil"/>
          <w:bottom w:val="nil"/>
          <w:right w:val="nil"/>
          <w:between w:val="nil"/>
        </w:pBdr>
        <w:spacing w:after="225"/>
        <w:jc w:val="both"/>
      </w:pPr>
      <w:r w:rsidRPr="00FB3DF6">
        <w:t xml:space="preserve">This disparity between quantitative acute safety gains and qualitative chronic health failure signifies a shifting risk profile. As acute safety measures improve through technology and </w:t>
      </w:r>
      <w:r w:rsidRPr="00FB3DF6">
        <w:lastRenderedPageBreak/>
        <w:t>regulation, the primary occupational hazard transitions from instantaneous trauma to slow, debilitating environmental exposure. This necessitates a fundamental reorientation of regulatory focus from event-based monitoring (accidents) to long-term exposure management and proactive medical diagnostics. Failure to invest in controlling dust exposure now represents a deferred liability, ensuring a massive future social and financial burden that will ultimately outweigh the cost of proactive technological investment.</w:t>
      </w:r>
    </w:p>
    <w:p w14:paraId="1959E686" w14:textId="77777777" w:rsidR="00FB3DF6" w:rsidRDefault="00FB3DF6" w:rsidP="00FB3DF6">
      <w:pPr>
        <w:pStyle w:val="Heading2"/>
        <w:spacing w:before="0"/>
        <w:jc w:val="both"/>
      </w:pPr>
    </w:p>
    <w:p w14:paraId="28ED6E6F" w14:textId="77777777" w:rsidR="00CC4D0B" w:rsidRPr="00FB3DF6" w:rsidRDefault="00992325" w:rsidP="00FB3DF6">
      <w:pPr>
        <w:pStyle w:val="Heading2"/>
        <w:spacing w:before="0"/>
        <w:jc w:val="both"/>
      </w:pPr>
      <w:r w:rsidRPr="00FB3DF6">
        <w:t>4. CONCLUSION</w:t>
      </w:r>
    </w:p>
    <w:p w14:paraId="37B2644D" w14:textId="77777777" w:rsidR="00CC4D0B" w:rsidRPr="00FB3DF6" w:rsidRDefault="00992325" w:rsidP="00FB3DF6">
      <w:pPr>
        <w:pBdr>
          <w:top w:val="nil"/>
          <w:left w:val="nil"/>
          <w:bottom w:val="nil"/>
          <w:right w:val="nil"/>
          <w:between w:val="nil"/>
        </w:pBdr>
        <w:jc w:val="both"/>
      </w:pPr>
      <w:r w:rsidRPr="00FB3DF6">
        <w:t>The present study offers a nuanced assessment of occupational health and safety in India’s coal mines, indicating significant, measurable success in mitigating acute accident risks alongside persistent, systemic failure in managing chronic occupational diseases. The quantitative analysis of accident statistics from 2013 to 2022 confirms a notable decline in both fatal (nearly 70%) and serious (nearly 60%) accidents, validating the positive impact of regulatory reforms, technological upgrades, and the evolving safety culture within the sector.</w:t>
      </w:r>
    </w:p>
    <w:p w14:paraId="51BEBEDB" w14:textId="77777777" w:rsidR="00CC4D0B" w:rsidRPr="00FB3DF6" w:rsidRDefault="00992325" w:rsidP="00FB3DF6">
      <w:pPr>
        <w:pBdr>
          <w:top w:val="nil"/>
          <w:left w:val="nil"/>
          <w:bottom w:val="nil"/>
          <w:right w:val="nil"/>
          <w:between w:val="nil"/>
        </w:pBdr>
        <w:jc w:val="both"/>
      </w:pPr>
      <w:r w:rsidRPr="00FB3DF6">
        <w:t>The statistical modeling reinforces the understanding that accident behaviors are systemic. The Chi-square analysis demonstrated a significant systemic association between fatal and serious incidents, confirming shared root causes. Moreover, the time series regression established a critical link between operational intensity and safety outcomes: increased coal production volumes elevate acute risk, whereas adequate workforce deployment serves as a crucial mitigating factor, acting as a primary safety input.</w:t>
      </w:r>
    </w:p>
    <w:p w14:paraId="1DACAC15" w14:textId="77777777" w:rsidR="00FB3DF6" w:rsidRDefault="00FB3DF6" w:rsidP="00FB3DF6">
      <w:pPr>
        <w:pBdr>
          <w:top w:val="nil"/>
          <w:left w:val="nil"/>
          <w:bottom w:val="nil"/>
          <w:right w:val="nil"/>
          <w:between w:val="nil"/>
        </w:pBdr>
        <w:jc w:val="both"/>
      </w:pPr>
    </w:p>
    <w:p w14:paraId="045250EA" w14:textId="77777777" w:rsidR="00CC4D0B" w:rsidRPr="00FB3DF6" w:rsidRDefault="00992325" w:rsidP="00FB3DF6">
      <w:pPr>
        <w:pBdr>
          <w:top w:val="nil"/>
          <w:left w:val="nil"/>
          <w:bottom w:val="nil"/>
          <w:right w:val="nil"/>
          <w:between w:val="nil"/>
        </w:pBdr>
        <w:jc w:val="both"/>
      </w:pPr>
      <w:r w:rsidRPr="00FB3DF6">
        <w:t>Despite these advances in acute risk management, vulnerability to chronic respiratory diseases—specifically pneumoconiosis, silicosis, and COPD—remains an area of singular importance. This persistence confirms wide implementation gaps in dust suppression technologies, personal protective equipment usage, and ineffective health surveillance systems. The legislative framework, including the Occupational Safety, Health and Working Conditions Code, 2020, and the voluntary adoption of standards like ISO 45001, provides a foundational structure for improvement, but is insufficient without corresponding rigorous enforcement. Lapses in regulatory monitoring, particularly among smaller and private mining operations, are compounded by weak institutional coordination and the lack of sufficiently punitive penalty regimes.</w:t>
      </w:r>
    </w:p>
    <w:p w14:paraId="64F6C5B9" w14:textId="77777777" w:rsidR="00FB3DF6" w:rsidRDefault="00FB3DF6" w:rsidP="00FB3DF6">
      <w:pPr>
        <w:pBdr>
          <w:top w:val="nil"/>
          <w:left w:val="nil"/>
          <w:bottom w:val="nil"/>
          <w:right w:val="nil"/>
          <w:between w:val="nil"/>
        </w:pBdr>
        <w:jc w:val="both"/>
      </w:pPr>
    </w:p>
    <w:p w14:paraId="6ED571C5" w14:textId="77777777" w:rsidR="00CC4D0B" w:rsidRPr="00FB3DF6" w:rsidRDefault="00992325" w:rsidP="00FB3DF6">
      <w:pPr>
        <w:pBdr>
          <w:top w:val="nil"/>
          <w:left w:val="nil"/>
          <w:bottom w:val="nil"/>
          <w:right w:val="nil"/>
          <w:between w:val="nil"/>
        </w:pBdr>
        <w:jc w:val="both"/>
      </w:pPr>
      <w:r w:rsidRPr="00FB3DF6">
        <w:t>Closing these implementation deficits and bolstering sustainable occupational health outcomes requires a multi-pronged strategy:</w:t>
      </w:r>
    </w:p>
    <w:p w14:paraId="0D7A8A15" w14:textId="77777777" w:rsidR="00CC4D0B" w:rsidRPr="00FB3DF6" w:rsidRDefault="00992325" w:rsidP="00FB3DF6">
      <w:pPr>
        <w:numPr>
          <w:ilvl w:val="0"/>
          <w:numId w:val="3"/>
        </w:numPr>
        <w:pBdr>
          <w:top w:val="nil"/>
          <w:left w:val="nil"/>
          <w:bottom w:val="nil"/>
          <w:right w:val="nil"/>
          <w:between w:val="nil"/>
        </w:pBdr>
        <w:jc w:val="both"/>
      </w:pPr>
      <w:r w:rsidRPr="00FB3DF6">
        <w:rPr>
          <w:b/>
        </w:rPr>
        <w:t>Strategic Technological Investment:</w:t>
      </w:r>
      <w:r w:rsidRPr="00FB3DF6">
        <w:t xml:space="preserve"> Prioritizing investment in advanced, best-in-class dust suppression technologies and developing digital surveillance systems capable of predictive analytics to effectively manage chronic exposure risks.</w:t>
      </w:r>
    </w:p>
    <w:p w14:paraId="310FF051" w14:textId="77777777" w:rsidR="00CC4D0B" w:rsidRPr="00FB3DF6" w:rsidRDefault="00992325" w:rsidP="00FB3DF6">
      <w:pPr>
        <w:numPr>
          <w:ilvl w:val="0"/>
          <w:numId w:val="3"/>
        </w:numPr>
        <w:pBdr>
          <w:top w:val="nil"/>
          <w:left w:val="nil"/>
          <w:bottom w:val="nil"/>
          <w:right w:val="nil"/>
          <w:between w:val="nil"/>
        </w:pBdr>
        <w:jc w:val="both"/>
      </w:pPr>
      <w:r w:rsidRPr="00FB3DF6">
        <w:rPr>
          <w:b/>
        </w:rPr>
        <w:t>Comprehensive Health Infrastructure:</w:t>
      </w:r>
      <w:r w:rsidRPr="00FB3DF6">
        <w:t xml:space="preserve"> Establishing complete medical surveillance programs and strengthening health infrastructure in mining regions to facilitate early detection and management of long-duration health offenses.</w:t>
      </w:r>
    </w:p>
    <w:p w14:paraId="4B831F1A" w14:textId="77777777" w:rsidR="00CC4D0B" w:rsidRPr="00FB3DF6" w:rsidRDefault="00992325" w:rsidP="00FB3DF6">
      <w:pPr>
        <w:numPr>
          <w:ilvl w:val="0"/>
          <w:numId w:val="3"/>
        </w:numPr>
        <w:pBdr>
          <w:top w:val="nil"/>
          <w:left w:val="nil"/>
          <w:bottom w:val="nil"/>
          <w:right w:val="nil"/>
          <w:between w:val="nil"/>
        </w:pBdr>
        <w:jc w:val="both"/>
      </w:pPr>
      <w:r w:rsidRPr="00FB3DF6">
        <w:rPr>
          <w:b/>
        </w:rPr>
        <w:t>Enhanced Enforcement and Deterrence:</w:t>
      </w:r>
      <w:r w:rsidRPr="00FB3DF6">
        <w:t xml:space="preserve"> Strengthening regulatory oversight, especially for private mines, and implementing stricter, better-monitored punishment and penalty regimes to enforce full compliance with statutory safety and health monitoring parameters.</w:t>
      </w:r>
    </w:p>
    <w:p w14:paraId="004D13D2" w14:textId="77777777" w:rsidR="00CC4D0B" w:rsidRPr="00FB3DF6" w:rsidRDefault="00992325" w:rsidP="00FB3DF6">
      <w:pPr>
        <w:numPr>
          <w:ilvl w:val="0"/>
          <w:numId w:val="3"/>
        </w:numPr>
        <w:pBdr>
          <w:top w:val="nil"/>
          <w:left w:val="nil"/>
          <w:bottom w:val="nil"/>
          <w:right w:val="nil"/>
          <w:between w:val="nil"/>
        </w:pBdr>
        <w:jc w:val="both"/>
      </w:pPr>
      <w:r w:rsidRPr="00FB3DF6">
        <w:rPr>
          <w:b/>
        </w:rPr>
        <w:t>Worker Participation and Training:</w:t>
      </w:r>
      <w:r w:rsidRPr="00FB3DF6">
        <w:t xml:space="preserve"> Promoting awareness, providing robust training, and fostering active worker participation through safety committees to cultivate a strong sense of ownership in safety behaviors and regulatory compliance across all levels of the organization.</w:t>
      </w:r>
    </w:p>
    <w:p w14:paraId="1B545C73" w14:textId="306F3C63" w:rsidR="00CC4D0B" w:rsidRPr="00FB3DF6" w:rsidRDefault="00992325" w:rsidP="00FB3DF6">
      <w:pPr>
        <w:pBdr>
          <w:top w:val="nil"/>
          <w:left w:val="nil"/>
          <w:bottom w:val="nil"/>
          <w:right w:val="nil"/>
          <w:between w:val="nil"/>
        </w:pBdr>
        <w:spacing w:after="225"/>
        <w:jc w:val="both"/>
      </w:pPr>
      <w:r w:rsidRPr="00FB3DF6">
        <w:lastRenderedPageBreak/>
        <w:t>.</w:t>
      </w:r>
    </w:p>
    <w:p w14:paraId="0E6B7B40" w14:textId="77777777" w:rsidR="00CC4D0B" w:rsidRPr="00FB3DF6" w:rsidRDefault="00992325" w:rsidP="00FB3DF6">
      <w:pPr>
        <w:pStyle w:val="Heading2"/>
        <w:spacing w:before="0"/>
        <w:jc w:val="both"/>
      </w:pPr>
      <w:r w:rsidRPr="00FB3DF6">
        <w:t xml:space="preserve">CONSENT </w:t>
      </w:r>
    </w:p>
    <w:p w14:paraId="4C640710" w14:textId="77777777" w:rsidR="00CC4D0B" w:rsidRPr="00FB3DF6" w:rsidRDefault="00992325" w:rsidP="00FB3DF6">
      <w:pPr>
        <w:pBdr>
          <w:top w:val="nil"/>
          <w:left w:val="nil"/>
          <w:bottom w:val="nil"/>
          <w:right w:val="nil"/>
          <w:between w:val="nil"/>
        </w:pBdr>
        <w:spacing w:after="225"/>
        <w:jc w:val="both"/>
      </w:pPr>
      <w:r w:rsidRPr="00FB3DF6">
        <w:t>This study involved the secondary analysis of publicly available aggregated statistics and non-patient-specific institutional reports. Individual patient consent for publication is therefore not applicable.</w:t>
      </w:r>
    </w:p>
    <w:p w14:paraId="346FCF39" w14:textId="77777777" w:rsidR="00CC4D0B" w:rsidRPr="00FB3DF6" w:rsidRDefault="00992325" w:rsidP="00FB3DF6">
      <w:pPr>
        <w:pStyle w:val="Heading2"/>
        <w:spacing w:before="0"/>
        <w:jc w:val="both"/>
      </w:pPr>
      <w:r w:rsidRPr="00FB3DF6">
        <w:t xml:space="preserve">ETHICAL APPROVAL </w:t>
      </w:r>
    </w:p>
    <w:p w14:paraId="406D9274" w14:textId="77777777" w:rsidR="00CC4D0B" w:rsidRPr="00FB3DF6" w:rsidRDefault="00992325" w:rsidP="00FB3DF6">
      <w:pPr>
        <w:pBdr>
          <w:top w:val="nil"/>
          <w:left w:val="nil"/>
          <w:bottom w:val="nil"/>
          <w:right w:val="nil"/>
          <w:between w:val="nil"/>
        </w:pBdr>
        <w:spacing w:after="225"/>
        <w:jc w:val="both"/>
      </w:pPr>
      <w:r w:rsidRPr="00FB3DF6">
        <w:t>All authors hereby declare that this research involved the analysis of publicly available aggregated data and secondary policy documents from official governmental sources. No human or animal subjects were directly involved in primary data collection, and all data processing adhered to established ethical standards for secondary data analysis.</w:t>
      </w:r>
    </w:p>
    <w:p w14:paraId="46983053" w14:textId="77777777" w:rsidR="00FB3DF6" w:rsidRDefault="00FB3DF6" w:rsidP="00FB3DF6">
      <w:pPr>
        <w:pStyle w:val="Heading2"/>
        <w:spacing w:before="0"/>
        <w:jc w:val="both"/>
      </w:pPr>
    </w:p>
    <w:p w14:paraId="5782C53B" w14:textId="77777777" w:rsidR="00992325" w:rsidRDefault="00992325" w:rsidP="00FB3DF6">
      <w:pPr>
        <w:pStyle w:val="Heading2"/>
        <w:spacing w:before="0"/>
        <w:jc w:val="both"/>
      </w:pPr>
    </w:p>
    <w:p w14:paraId="4ED5438C" w14:textId="77777777" w:rsidR="00CC4D0B" w:rsidRPr="00FB3DF6" w:rsidRDefault="00992325" w:rsidP="00FB3DF6">
      <w:pPr>
        <w:pStyle w:val="Heading2"/>
        <w:spacing w:before="0"/>
        <w:jc w:val="both"/>
      </w:pPr>
      <w:r w:rsidRPr="00FB3DF6">
        <w:t>REFERENCES</w:t>
      </w:r>
    </w:p>
    <w:p w14:paraId="668D26E7" w14:textId="77777777" w:rsidR="00CC4D0B" w:rsidRPr="00FB3DF6" w:rsidRDefault="00992325" w:rsidP="00FB3DF6">
      <w:pPr>
        <w:numPr>
          <w:ilvl w:val="0"/>
          <w:numId w:val="4"/>
        </w:numPr>
        <w:pBdr>
          <w:top w:val="nil"/>
          <w:left w:val="nil"/>
          <w:bottom w:val="nil"/>
          <w:right w:val="nil"/>
          <w:between w:val="nil"/>
        </w:pBdr>
        <w:jc w:val="both"/>
      </w:pPr>
      <w:r w:rsidRPr="00FB3DF6">
        <w:t xml:space="preserve">Bhattacharya, P., &amp; Singh, R. (2019). Occupational health risks among coal miners in India: A systematic review. Indian J </w:t>
      </w:r>
      <w:proofErr w:type="spellStart"/>
      <w:r w:rsidRPr="00FB3DF6">
        <w:t>Occup</w:t>
      </w:r>
      <w:proofErr w:type="spellEnd"/>
      <w:r w:rsidRPr="00FB3DF6">
        <w:t xml:space="preserve"> Environ Med, 23(2), 65–72. </w:t>
      </w:r>
      <w:hyperlink r:id="rId9">
        <w:r w:rsidRPr="00FB3DF6">
          <w:rPr>
            <w:color w:val="0000EE"/>
            <w:u w:val="single"/>
          </w:rPr>
          <w:t>https://doi.org/10.4103/ijoem.ijoem</w:t>
        </w:r>
      </w:hyperlink>
      <w:r w:rsidRPr="00FB3DF6">
        <w:t>_56_19</w:t>
      </w:r>
    </w:p>
    <w:p w14:paraId="501A4BFA" w14:textId="77777777" w:rsidR="00CC4D0B" w:rsidRPr="00FB3DF6" w:rsidRDefault="00992325" w:rsidP="00FB3DF6">
      <w:pPr>
        <w:numPr>
          <w:ilvl w:val="0"/>
          <w:numId w:val="4"/>
        </w:numPr>
        <w:pBdr>
          <w:top w:val="nil"/>
          <w:left w:val="nil"/>
          <w:bottom w:val="nil"/>
          <w:right w:val="nil"/>
          <w:between w:val="nil"/>
        </w:pBdr>
        <w:jc w:val="both"/>
      </w:pPr>
      <w:r w:rsidRPr="00FB3DF6">
        <w:t xml:space="preserve">Chauhan, R., &amp; Sharma, A. (2018). Occupational safety in Indian coal mines: An analysis of accidents. Int J Min Sci Technol, 28(5), 781–789. </w:t>
      </w:r>
      <w:hyperlink r:id="rId10">
        <w:r w:rsidRPr="00FB3DF6">
          <w:rPr>
            <w:color w:val="0000EE"/>
            <w:u w:val="single"/>
          </w:rPr>
          <w:t>https://doi.org/10.1016/j.ijmst.2018.05.010</w:t>
        </w:r>
      </w:hyperlink>
    </w:p>
    <w:p w14:paraId="1BE18A6B" w14:textId="77777777" w:rsidR="00CC4D0B" w:rsidRPr="00FB3DF6" w:rsidRDefault="00992325" w:rsidP="00FB3DF6">
      <w:pPr>
        <w:numPr>
          <w:ilvl w:val="0"/>
          <w:numId w:val="4"/>
        </w:numPr>
        <w:pBdr>
          <w:top w:val="nil"/>
          <w:left w:val="nil"/>
          <w:bottom w:val="nil"/>
          <w:right w:val="nil"/>
          <w:between w:val="nil"/>
        </w:pBdr>
        <w:jc w:val="both"/>
      </w:pPr>
      <w:r w:rsidRPr="00FB3DF6">
        <w:t xml:space="preserve">Choudhury, S., &amp; Banerjee, A. (2017). Respiratory diseases in coal mining workers of India: Epidemiological insights. Lung India, 34(6), 544–550. </w:t>
      </w:r>
      <w:hyperlink r:id="rId11">
        <w:r w:rsidRPr="00FB3DF6">
          <w:rPr>
            <w:color w:val="0000EE"/>
            <w:u w:val="single"/>
          </w:rPr>
          <w:t>https://doi.org/10.4103/lungindia.lungindia</w:t>
        </w:r>
      </w:hyperlink>
      <w:r w:rsidRPr="00FB3DF6">
        <w:t>_289_17</w:t>
      </w:r>
    </w:p>
    <w:p w14:paraId="3687E11F" w14:textId="77777777" w:rsidR="00CC4D0B" w:rsidRPr="00FB3DF6" w:rsidRDefault="00992325" w:rsidP="00FB3DF6">
      <w:pPr>
        <w:numPr>
          <w:ilvl w:val="0"/>
          <w:numId w:val="4"/>
        </w:numPr>
        <w:pBdr>
          <w:top w:val="nil"/>
          <w:left w:val="nil"/>
          <w:bottom w:val="nil"/>
          <w:right w:val="nil"/>
          <w:between w:val="nil"/>
        </w:pBdr>
        <w:jc w:val="both"/>
      </w:pPr>
      <w:r w:rsidRPr="00FB3DF6">
        <w:t xml:space="preserve">Directorate General of Mines Safety. (2022). Sanket report on occupational health and accidents in mines (2016–2022). Ministry of </w:t>
      </w:r>
      <w:proofErr w:type="spellStart"/>
      <w:r w:rsidRPr="00FB3DF6">
        <w:t>Labour</w:t>
      </w:r>
      <w:proofErr w:type="spellEnd"/>
      <w:r w:rsidRPr="00FB3DF6">
        <w:t xml:space="preserve"> and Employment, Government of India.</w:t>
      </w:r>
    </w:p>
    <w:p w14:paraId="15D42939" w14:textId="77777777" w:rsidR="00CC4D0B" w:rsidRPr="00FB3DF6" w:rsidRDefault="00992325" w:rsidP="00FB3DF6">
      <w:pPr>
        <w:numPr>
          <w:ilvl w:val="0"/>
          <w:numId w:val="4"/>
        </w:numPr>
        <w:pBdr>
          <w:top w:val="nil"/>
          <w:left w:val="nil"/>
          <w:bottom w:val="nil"/>
          <w:right w:val="nil"/>
          <w:between w:val="nil"/>
        </w:pBdr>
        <w:jc w:val="both"/>
      </w:pPr>
      <w:r w:rsidRPr="00FB3DF6">
        <w:t xml:space="preserve">Ghosh, R., &amp; Majumdar, S. (2021). Occupational hazards in Indian coal mining: Policy implications. Econ Polit </w:t>
      </w:r>
      <w:proofErr w:type="spellStart"/>
      <w:r w:rsidRPr="00FB3DF6">
        <w:t>Wkly</w:t>
      </w:r>
      <w:proofErr w:type="spellEnd"/>
      <w:r w:rsidRPr="00FB3DF6">
        <w:t>, 56(34), 49–57.</w:t>
      </w:r>
    </w:p>
    <w:p w14:paraId="073E23B6" w14:textId="77777777" w:rsidR="00CC4D0B" w:rsidRPr="00FB3DF6" w:rsidRDefault="00992325" w:rsidP="00FB3DF6">
      <w:pPr>
        <w:numPr>
          <w:ilvl w:val="0"/>
          <w:numId w:val="4"/>
        </w:numPr>
        <w:pBdr>
          <w:top w:val="nil"/>
          <w:left w:val="nil"/>
          <w:bottom w:val="nil"/>
          <w:right w:val="nil"/>
          <w:between w:val="nil"/>
        </w:pBdr>
        <w:jc w:val="both"/>
      </w:pPr>
      <w:r w:rsidRPr="00FB3DF6">
        <w:t xml:space="preserve">Gupta, N., &amp; Mehta, R. (2016). Chronic obstructive pulmonary disease among Indian coal miners: A health survey. Int J </w:t>
      </w:r>
      <w:proofErr w:type="spellStart"/>
      <w:r w:rsidRPr="00FB3DF6">
        <w:t>Occup</w:t>
      </w:r>
      <w:proofErr w:type="spellEnd"/>
      <w:r w:rsidRPr="00FB3DF6">
        <w:t xml:space="preserve"> Med Environ Health, 29(3), 485–493. </w:t>
      </w:r>
      <w:hyperlink r:id="rId12">
        <w:r w:rsidRPr="00FB3DF6">
          <w:rPr>
            <w:color w:val="0000EE"/>
            <w:u w:val="single"/>
          </w:rPr>
          <w:t>https://doi.org/10.13075/ijomeh.1896.00654</w:t>
        </w:r>
      </w:hyperlink>
    </w:p>
    <w:p w14:paraId="75ECB2D6" w14:textId="77777777" w:rsidR="00CC4D0B" w:rsidRPr="00FB3DF6" w:rsidRDefault="00992325" w:rsidP="00FB3DF6">
      <w:pPr>
        <w:numPr>
          <w:ilvl w:val="0"/>
          <w:numId w:val="4"/>
        </w:numPr>
        <w:pBdr>
          <w:top w:val="nil"/>
          <w:left w:val="nil"/>
          <w:bottom w:val="nil"/>
          <w:right w:val="nil"/>
          <w:between w:val="nil"/>
        </w:pBdr>
        <w:jc w:val="both"/>
      </w:pPr>
      <w:r w:rsidRPr="00FB3DF6">
        <w:t xml:space="preserve">ILO. (2018). Occupational health and safety in mining: Global trends and policy lessons. International </w:t>
      </w:r>
      <w:proofErr w:type="spellStart"/>
      <w:r w:rsidRPr="00FB3DF6">
        <w:t>Labour</w:t>
      </w:r>
      <w:proofErr w:type="spellEnd"/>
      <w:r w:rsidRPr="00FB3DF6">
        <w:t xml:space="preserve"> Organization.</w:t>
      </w:r>
    </w:p>
    <w:p w14:paraId="1495C504" w14:textId="77777777" w:rsidR="00CC4D0B" w:rsidRPr="00FB3DF6" w:rsidRDefault="00992325" w:rsidP="00FB3DF6">
      <w:pPr>
        <w:numPr>
          <w:ilvl w:val="0"/>
          <w:numId w:val="4"/>
        </w:numPr>
        <w:pBdr>
          <w:top w:val="nil"/>
          <w:left w:val="nil"/>
          <w:bottom w:val="nil"/>
          <w:right w:val="nil"/>
          <w:between w:val="nil"/>
        </w:pBdr>
        <w:jc w:val="both"/>
      </w:pPr>
      <w:r w:rsidRPr="00FB3DF6">
        <w:t xml:space="preserve">Jha, S., &amp; Kumar, P. (2020). Silicosis in Indian mines: Challenges and strategies for prevention. J </w:t>
      </w:r>
      <w:proofErr w:type="spellStart"/>
      <w:r w:rsidRPr="00FB3DF6">
        <w:t>Occup</w:t>
      </w:r>
      <w:proofErr w:type="spellEnd"/>
      <w:r w:rsidRPr="00FB3DF6">
        <w:t xml:space="preserve"> Health, 62(4), e12127. </w:t>
      </w:r>
      <w:hyperlink r:id="rId13">
        <w:r w:rsidRPr="00FB3DF6">
          <w:rPr>
            <w:color w:val="0000EE"/>
            <w:u w:val="single"/>
          </w:rPr>
          <w:t>https://doi.org/10.1002/1348-9585.12127</w:t>
        </w:r>
      </w:hyperlink>
    </w:p>
    <w:p w14:paraId="50B3D4F0" w14:textId="77777777" w:rsidR="00CC4D0B" w:rsidRPr="00FB3DF6" w:rsidRDefault="00992325" w:rsidP="00FB3DF6">
      <w:pPr>
        <w:numPr>
          <w:ilvl w:val="0"/>
          <w:numId w:val="4"/>
        </w:numPr>
        <w:pBdr>
          <w:top w:val="nil"/>
          <w:left w:val="nil"/>
          <w:bottom w:val="nil"/>
          <w:right w:val="nil"/>
          <w:between w:val="nil"/>
        </w:pBdr>
        <w:jc w:val="both"/>
      </w:pPr>
      <w:r w:rsidRPr="00FB3DF6">
        <w:t xml:space="preserve">Kumar, A., &amp; Singh, S. (2022). Occupational safety compliance in private coal mines in India. </w:t>
      </w:r>
      <w:proofErr w:type="spellStart"/>
      <w:r w:rsidRPr="00FB3DF6">
        <w:t>Resour</w:t>
      </w:r>
      <w:proofErr w:type="spellEnd"/>
      <w:r w:rsidRPr="00FB3DF6">
        <w:t xml:space="preserve"> Policy, 78, 102950. </w:t>
      </w:r>
      <w:hyperlink r:id="rId14">
        <w:r w:rsidRPr="00FB3DF6">
          <w:rPr>
            <w:color w:val="0000EE"/>
            <w:u w:val="single"/>
          </w:rPr>
          <w:t>https://doi.org/10.1016/j.resourpol.2022.102950</w:t>
        </w:r>
      </w:hyperlink>
    </w:p>
    <w:p w14:paraId="1DFCD4A7" w14:textId="77777777" w:rsidR="00CC4D0B" w:rsidRPr="00FB3DF6" w:rsidRDefault="00992325" w:rsidP="00FB3DF6">
      <w:pPr>
        <w:numPr>
          <w:ilvl w:val="0"/>
          <w:numId w:val="4"/>
        </w:numPr>
        <w:pBdr>
          <w:top w:val="nil"/>
          <w:left w:val="nil"/>
          <w:bottom w:val="nil"/>
          <w:right w:val="nil"/>
          <w:between w:val="nil"/>
        </w:pBdr>
        <w:jc w:val="both"/>
      </w:pPr>
      <w:r w:rsidRPr="00FB3DF6">
        <w:t>Ministry of Coal. (2024). Coal production and safety performance report 2023–24. Government of India.</w:t>
      </w:r>
    </w:p>
    <w:p w14:paraId="0776DFDD" w14:textId="77777777" w:rsidR="00CC4D0B" w:rsidRPr="00FB3DF6" w:rsidRDefault="00992325" w:rsidP="00FB3DF6">
      <w:pPr>
        <w:numPr>
          <w:ilvl w:val="0"/>
          <w:numId w:val="4"/>
        </w:numPr>
        <w:pBdr>
          <w:top w:val="nil"/>
          <w:left w:val="nil"/>
          <w:bottom w:val="nil"/>
          <w:right w:val="nil"/>
          <w:between w:val="nil"/>
        </w:pBdr>
        <w:jc w:val="both"/>
      </w:pPr>
      <w:r w:rsidRPr="00FB3DF6">
        <w:t xml:space="preserve">Mishra, S., &amp; Rath, P. (2017). Occupational stress and health risks among coal miners. J Health Manag, 19(2), 272–283. </w:t>
      </w:r>
      <w:hyperlink r:id="rId15">
        <w:r w:rsidRPr="00FB3DF6">
          <w:rPr>
            <w:color w:val="0000EE"/>
            <w:u w:val="single"/>
          </w:rPr>
          <w:t>https://doi.org/10.1177/0972063417699723</w:t>
        </w:r>
      </w:hyperlink>
    </w:p>
    <w:p w14:paraId="7676E8EA" w14:textId="77777777" w:rsidR="00CC4D0B" w:rsidRPr="00FB3DF6" w:rsidRDefault="00992325" w:rsidP="00FB3DF6">
      <w:pPr>
        <w:numPr>
          <w:ilvl w:val="0"/>
          <w:numId w:val="4"/>
        </w:numPr>
        <w:pBdr>
          <w:top w:val="nil"/>
          <w:left w:val="nil"/>
          <w:bottom w:val="nil"/>
          <w:right w:val="nil"/>
          <w:between w:val="nil"/>
        </w:pBdr>
        <w:jc w:val="both"/>
      </w:pPr>
      <w:r w:rsidRPr="00FB3DF6">
        <w:lastRenderedPageBreak/>
        <w:t xml:space="preserve">Mukherjee, S., &amp; Chattopadhyay, G. (2016). Occupational accidents in Indian mining: Trends and challenges. Saf Sci, 85, 46–54. </w:t>
      </w:r>
      <w:hyperlink r:id="rId16">
        <w:r w:rsidRPr="00FB3DF6">
          <w:rPr>
            <w:color w:val="0000EE"/>
            <w:u w:val="single"/>
          </w:rPr>
          <w:t>https://doi.org/10.1016/j.ssci.2015.12.009</w:t>
        </w:r>
      </w:hyperlink>
    </w:p>
    <w:p w14:paraId="4AD24BB9" w14:textId="77777777" w:rsidR="00CC4D0B" w:rsidRPr="00FB3DF6" w:rsidRDefault="00992325" w:rsidP="00FB3DF6">
      <w:pPr>
        <w:numPr>
          <w:ilvl w:val="0"/>
          <w:numId w:val="4"/>
        </w:numPr>
        <w:pBdr>
          <w:top w:val="nil"/>
          <w:left w:val="nil"/>
          <w:bottom w:val="nil"/>
          <w:right w:val="nil"/>
          <w:between w:val="nil"/>
        </w:pBdr>
        <w:jc w:val="both"/>
      </w:pPr>
      <w:r w:rsidRPr="00FB3DF6">
        <w:t>National Institute of Occupational Health. (2020). Occupational diseases in mining: Annual report 2019–20. NIOH, Ahmedabad.</w:t>
      </w:r>
    </w:p>
    <w:p w14:paraId="00AFD5A6" w14:textId="77777777" w:rsidR="00CC4D0B" w:rsidRPr="00FB3DF6" w:rsidRDefault="00992325" w:rsidP="00FB3DF6">
      <w:pPr>
        <w:numPr>
          <w:ilvl w:val="0"/>
          <w:numId w:val="4"/>
        </w:numPr>
        <w:pBdr>
          <w:top w:val="nil"/>
          <w:left w:val="nil"/>
          <w:bottom w:val="nil"/>
          <w:right w:val="nil"/>
          <w:between w:val="nil"/>
        </w:pBdr>
        <w:jc w:val="both"/>
      </w:pPr>
      <w:r w:rsidRPr="00FB3DF6">
        <w:t>NIMH. (2019). Research on miners’ health and safety: Annual review. National Institute of Miners’ Health, Nagpur.</w:t>
      </w:r>
    </w:p>
    <w:p w14:paraId="74A3E1D2" w14:textId="77777777" w:rsidR="00CC4D0B" w:rsidRPr="00FB3DF6" w:rsidRDefault="00992325" w:rsidP="00FB3DF6">
      <w:pPr>
        <w:numPr>
          <w:ilvl w:val="0"/>
          <w:numId w:val="4"/>
        </w:numPr>
        <w:pBdr>
          <w:top w:val="nil"/>
          <w:left w:val="nil"/>
          <w:bottom w:val="nil"/>
          <w:right w:val="nil"/>
          <w:between w:val="nil"/>
        </w:pBdr>
        <w:jc w:val="both"/>
      </w:pPr>
      <w:r w:rsidRPr="00FB3DF6">
        <w:t xml:space="preserve">Patra, S., &amp; Sahu, P. (2023). Technology adoption and safety performance in Indian coal mining. J Clean Prod, 389, 136186. </w:t>
      </w:r>
      <w:hyperlink r:id="rId17">
        <w:r w:rsidRPr="00FB3DF6">
          <w:rPr>
            <w:color w:val="0000EE"/>
            <w:u w:val="single"/>
          </w:rPr>
          <w:t>https://doi.org/10.1016/j.jclepro.2023.136186</w:t>
        </w:r>
      </w:hyperlink>
    </w:p>
    <w:p w14:paraId="4E1B2F0C" w14:textId="77777777" w:rsidR="00CC4D0B" w:rsidRPr="00FB3DF6" w:rsidRDefault="00992325" w:rsidP="00FB3DF6">
      <w:pPr>
        <w:numPr>
          <w:ilvl w:val="0"/>
          <w:numId w:val="4"/>
        </w:numPr>
        <w:pBdr>
          <w:top w:val="nil"/>
          <w:left w:val="nil"/>
          <w:bottom w:val="nil"/>
          <w:right w:val="nil"/>
          <w:between w:val="nil"/>
        </w:pBdr>
        <w:jc w:val="both"/>
      </w:pPr>
      <w:r w:rsidRPr="00FB3DF6">
        <w:t>Press Information Bureau. (2025). India’s coal production crosses 1 billion tons milestone in FY 2024–25. Government of India.</w:t>
      </w:r>
    </w:p>
    <w:p w14:paraId="03E8CB2F" w14:textId="77777777" w:rsidR="00CC4D0B" w:rsidRPr="00FB3DF6" w:rsidRDefault="00992325" w:rsidP="00FB3DF6">
      <w:pPr>
        <w:numPr>
          <w:ilvl w:val="0"/>
          <w:numId w:val="4"/>
        </w:numPr>
        <w:pBdr>
          <w:top w:val="nil"/>
          <w:left w:val="nil"/>
          <w:bottom w:val="nil"/>
          <w:right w:val="nil"/>
          <w:between w:val="nil"/>
        </w:pBdr>
        <w:jc w:val="both"/>
      </w:pPr>
      <w:r w:rsidRPr="00FB3DF6">
        <w:t>Sahoo, P. K., &amp; Rout, H. S. (2023). Health Issues of Mining Workers: Provisions and Challenges in Social Work Perspectives. J Hum Rights Soc Work, 8(3), 288–301.</w:t>
      </w:r>
    </w:p>
    <w:p w14:paraId="14C78C2A" w14:textId="77777777" w:rsidR="00CC4D0B" w:rsidRPr="00FB3DF6" w:rsidRDefault="00992325" w:rsidP="00FB3DF6">
      <w:pPr>
        <w:numPr>
          <w:ilvl w:val="0"/>
          <w:numId w:val="4"/>
        </w:numPr>
        <w:pBdr>
          <w:top w:val="nil"/>
          <w:left w:val="nil"/>
          <w:bottom w:val="nil"/>
          <w:right w:val="nil"/>
          <w:between w:val="nil"/>
        </w:pBdr>
        <w:jc w:val="both"/>
      </w:pPr>
      <w:r w:rsidRPr="00FB3DF6">
        <w:t xml:space="preserve">Sharma, D., &amp; Yadav, M. (2018). Noise-induced hearing loss among coal miners in India. Indian J Public Health, 62(3), 188–193. </w:t>
      </w:r>
      <w:hyperlink r:id="rId18">
        <w:r w:rsidRPr="00FB3DF6">
          <w:rPr>
            <w:color w:val="0000EE"/>
            <w:u w:val="single"/>
          </w:rPr>
          <w:t>https://doi.org/10.4103/ijph.IJPH</w:t>
        </w:r>
      </w:hyperlink>
      <w:r w:rsidRPr="00FB3DF6">
        <w:t>_143_18</w:t>
      </w:r>
    </w:p>
    <w:p w14:paraId="4658E2AD" w14:textId="77777777" w:rsidR="00CC4D0B" w:rsidRPr="00FB3DF6" w:rsidRDefault="00992325" w:rsidP="00FB3DF6">
      <w:pPr>
        <w:numPr>
          <w:ilvl w:val="0"/>
          <w:numId w:val="4"/>
        </w:numPr>
        <w:pBdr>
          <w:top w:val="nil"/>
          <w:left w:val="nil"/>
          <w:bottom w:val="nil"/>
          <w:right w:val="nil"/>
          <w:between w:val="nil"/>
        </w:pBdr>
        <w:jc w:val="both"/>
      </w:pPr>
      <w:r w:rsidRPr="00FB3DF6">
        <w:t xml:space="preserve">Singh, B., &amp; Tiwari, P. (2021). Occupational health legislation and its effectiveness in Indian mining sector. Int J Law Manag, 63(5), 456–469. </w:t>
      </w:r>
      <w:hyperlink r:id="rId19">
        <w:r w:rsidRPr="00FB3DF6">
          <w:rPr>
            <w:color w:val="0000EE"/>
            <w:u w:val="single"/>
          </w:rPr>
          <w:t>https://doi.org/10.1108/IJLMA-02-2021-0042</w:t>
        </w:r>
      </w:hyperlink>
    </w:p>
    <w:p w14:paraId="5AFCE242" w14:textId="77777777" w:rsidR="00CC4D0B" w:rsidRPr="00FB3DF6" w:rsidRDefault="00992325" w:rsidP="00FB3DF6">
      <w:pPr>
        <w:numPr>
          <w:ilvl w:val="0"/>
          <w:numId w:val="4"/>
        </w:numPr>
        <w:pBdr>
          <w:top w:val="nil"/>
          <w:left w:val="nil"/>
          <w:bottom w:val="nil"/>
          <w:right w:val="nil"/>
          <w:between w:val="nil"/>
        </w:pBdr>
        <w:jc w:val="both"/>
      </w:pPr>
      <w:r w:rsidRPr="00FB3DF6">
        <w:t>Trivedi, M., &amp; Somayaji, S. (2022). Skin Diseases in Miners. In Medical Geology in Mining: Health Hazards Due to Metal Toxicity (pp. 101-110). Cham: Springer International Publishing.</w:t>
      </w:r>
    </w:p>
    <w:p w14:paraId="3280EEE5" w14:textId="77777777" w:rsidR="00CC4D0B" w:rsidRPr="00FB3DF6" w:rsidRDefault="00992325" w:rsidP="00FB3DF6">
      <w:pPr>
        <w:numPr>
          <w:ilvl w:val="0"/>
          <w:numId w:val="4"/>
        </w:numPr>
        <w:pBdr>
          <w:top w:val="nil"/>
          <w:left w:val="nil"/>
          <w:bottom w:val="nil"/>
          <w:right w:val="nil"/>
          <w:between w:val="nil"/>
        </w:pBdr>
        <w:jc w:val="both"/>
      </w:pPr>
      <w:r w:rsidRPr="00FB3DF6">
        <w:t>Vanka, K. S., Shukla, S., Gomez, H. M., James, C., Palanisami, T., Williams, K., et al. (2022). Understanding the pathogenesis of occupational coal and silica dust-associated lung disease. Eur Respir Rev, 31(165).</w:t>
      </w:r>
    </w:p>
    <w:p w14:paraId="175996C5" w14:textId="77777777" w:rsidR="00CC4D0B" w:rsidRPr="00FB3DF6" w:rsidRDefault="00992325" w:rsidP="00FB3DF6">
      <w:pPr>
        <w:numPr>
          <w:ilvl w:val="0"/>
          <w:numId w:val="4"/>
        </w:numPr>
        <w:pBdr>
          <w:top w:val="nil"/>
          <w:left w:val="nil"/>
          <w:bottom w:val="nil"/>
          <w:right w:val="nil"/>
          <w:between w:val="nil"/>
        </w:pBdr>
        <w:jc w:val="both"/>
      </w:pPr>
      <w:r w:rsidRPr="00FB3DF6">
        <w:t>World Health Organization. (2020). Occupational health and safety in hazardous industries. WHO Technical Report Series.</w:t>
      </w:r>
    </w:p>
    <w:p w14:paraId="62F9B34B" w14:textId="77777777" w:rsidR="00CC4D0B" w:rsidRPr="00FB3DF6" w:rsidRDefault="00992325" w:rsidP="00FB3DF6">
      <w:pPr>
        <w:numPr>
          <w:ilvl w:val="0"/>
          <w:numId w:val="4"/>
        </w:numPr>
        <w:pBdr>
          <w:top w:val="nil"/>
          <w:left w:val="nil"/>
          <w:bottom w:val="nil"/>
          <w:right w:val="nil"/>
          <w:between w:val="nil"/>
        </w:pBdr>
        <w:jc w:val="both"/>
      </w:pPr>
      <w:r w:rsidRPr="00FB3DF6">
        <w:t xml:space="preserve">Yadav, R., &amp; Prasad, A. (2024). Health surveillance and risk management in Indian coal mines: Emerging perspectives. Int J Environ Res Public Health, 21(6), 4150. </w:t>
      </w:r>
      <w:hyperlink r:id="rId20">
        <w:r w:rsidRPr="00FB3DF6">
          <w:rPr>
            <w:color w:val="0000EE"/>
            <w:u w:val="single"/>
          </w:rPr>
          <w:t>https://doi.org/10.3390/ijerph21064150</w:t>
        </w:r>
      </w:hyperlink>
    </w:p>
    <w:sectPr w:rsidR="00CC4D0B" w:rsidRPr="00FB3DF6">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6E1604" w14:textId="77777777" w:rsidR="004A44F8" w:rsidRDefault="004A44F8" w:rsidP="00FE4AD8">
      <w:r>
        <w:separator/>
      </w:r>
    </w:p>
  </w:endnote>
  <w:endnote w:type="continuationSeparator" w:id="0">
    <w:p w14:paraId="479AD45C" w14:textId="77777777" w:rsidR="004A44F8" w:rsidRDefault="004A44F8" w:rsidP="00FE4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F9D3A" w14:textId="77777777" w:rsidR="00FE4AD8" w:rsidRDefault="00FE4A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3D1E25" w14:textId="77777777" w:rsidR="00FE4AD8" w:rsidRDefault="00FE4A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DF73F8" w14:textId="77777777" w:rsidR="00FE4AD8" w:rsidRDefault="00FE4A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029FFD" w14:textId="77777777" w:rsidR="004A44F8" w:rsidRDefault="004A44F8" w:rsidP="00FE4AD8">
      <w:r>
        <w:separator/>
      </w:r>
    </w:p>
  </w:footnote>
  <w:footnote w:type="continuationSeparator" w:id="0">
    <w:p w14:paraId="7B444760" w14:textId="77777777" w:rsidR="004A44F8" w:rsidRDefault="004A44F8" w:rsidP="00FE4A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D9325D" w14:textId="70413FE4" w:rsidR="00FE4AD8" w:rsidRDefault="00FE4AD8">
    <w:pPr>
      <w:pStyle w:val="Header"/>
    </w:pPr>
    <w:r>
      <w:rPr>
        <w:noProof/>
      </w:rPr>
      <w:pict w14:anchorId="7162A4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535579"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B2E623" w14:textId="7F4694D4" w:rsidR="00FE4AD8" w:rsidRDefault="00FE4AD8">
    <w:pPr>
      <w:pStyle w:val="Header"/>
    </w:pPr>
    <w:r>
      <w:rPr>
        <w:noProof/>
      </w:rPr>
      <w:pict w14:anchorId="28FCA4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535580"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20AF43" w14:textId="22B9368D" w:rsidR="00FE4AD8" w:rsidRDefault="00FE4AD8">
    <w:pPr>
      <w:pStyle w:val="Header"/>
    </w:pPr>
    <w:r>
      <w:rPr>
        <w:noProof/>
      </w:rPr>
      <w:pict w14:anchorId="69BA14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535578"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36331C"/>
    <w:multiLevelType w:val="multilevel"/>
    <w:tmpl w:val="E2C064F8"/>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15:restartNumberingAfterBreak="0">
    <w:nsid w:val="4E7F2E65"/>
    <w:multiLevelType w:val="multilevel"/>
    <w:tmpl w:val="3EC0E12A"/>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15:restartNumberingAfterBreak="0">
    <w:nsid w:val="5C9747D2"/>
    <w:multiLevelType w:val="multilevel"/>
    <w:tmpl w:val="0D9C5C16"/>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15:restartNumberingAfterBreak="0">
    <w:nsid w:val="714D6848"/>
    <w:multiLevelType w:val="multilevel"/>
    <w:tmpl w:val="BB08CA4E"/>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15:restartNumberingAfterBreak="0">
    <w:nsid w:val="71742D8E"/>
    <w:multiLevelType w:val="hybridMultilevel"/>
    <w:tmpl w:val="C9DA64E2"/>
    <w:lvl w:ilvl="0" w:tplc="F1A6FBA0">
      <w:start w:val="3"/>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CC4D0B"/>
    <w:rsid w:val="00017854"/>
    <w:rsid w:val="00305A8D"/>
    <w:rsid w:val="0047234E"/>
    <w:rsid w:val="004A44F8"/>
    <w:rsid w:val="004E3190"/>
    <w:rsid w:val="006D3A1F"/>
    <w:rsid w:val="007322D3"/>
    <w:rsid w:val="007352EC"/>
    <w:rsid w:val="00864C38"/>
    <w:rsid w:val="00964F75"/>
    <w:rsid w:val="00992325"/>
    <w:rsid w:val="00CC4D0B"/>
    <w:rsid w:val="00D63AE4"/>
    <w:rsid w:val="00DF6495"/>
    <w:rsid w:val="00F444D4"/>
    <w:rsid w:val="00FB3DF6"/>
    <w:rsid w:val="00FE4A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D98509A"/>
  <w15:docId w15:val="{E477C0DE-B4A4-4948-A583-52EAE191F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pBdr>
        <w:top w:val="nil"/>
        <w:left w:val="nil"/>
        <w:bottom w:val="nil"/>
        <w:right w:val="nil"/>
        <w:between w:val="nil"/>
      </w:pBdr>
      <w:spacing w:before="240" w:after="240"/>
      <w:outlineLvl w:val="0"/>
    </w:pPr>
    <w:rPr>
      <w:b/>
      <w:sz w:val="48"/>
      <w:szCs w:val="48"/>
    </w:rPr>
  </w:style>
  <w:style w:type="paragraph" w:styleId="Heading2">
    <w:name w:val="heading 2"/>
    <w:basedOn w:val="Normal"/>
    <w:next w:val="Normal"/>
    <w:pPr>
      <w:pBdr>
        <w:top w:val="nil"/>
        <w:left w:val="nil"/>
        <w:bottom w:val="nil"/>
        <w:right w:val="nil"/>
        <w:between w:val="nil"/>
      </w:pBdr>
      <w:spacing w:before="225" w:after="225"/>
      <w:outlineLvl w:val="1"/>
    </w:pPr>
    <w:rPr>
      <w:b/>
      <w:sz w:val="36"/>
      <w:szCs w:val="36"/>
    </w:rPr>
  </w:style>
  <w:style w:type="paragraph" w:styleId="Heading3">
    <w:name w:val="heading 3"/>
    <w:basedOn w:val="Normal"/>
    <w:next w:val="Normal"/>
    <w:pPr>
      <w:pBdr>
        <w:top w:val="nil"/>
        <w:left w:val="nil"/>
        <w:bottom w:val="nil"/>
        <w:right w:val="nil"/>
        <w:between w:val="nil"/>
      </w:pBdr>
      <w:spacing w:before="240" w:after="240"/>
      <w:outlineLvl w:val="2"/>
    </w:pPr>
    <w:rPr>
      <w:b/>
      <w:sz w:val="28"/>
      <w:szCs w:val="28"/>
    </w:rPr>
  </w:style>
  <w:style w:type="paragraph" w:styleId="Heading4">
    <w:name w:val="heading 4"/>
    <w:basedOn w:val="Normal"/>
    <w:next w:val="Normal"/>
    <w:pPr>
      <w:pBdr>
        <w:top w:val="nil"/>
        <w:left w:val="nil"/>
        <w:bottom w:val="nil"/>
        <w:right w:val="nil"/>
        <w:between w:val="nil"/>
      </w:pBdr>
      <w:spacing w:before="255" w:after="255"/>
      <w:outlineLvl w:val="3"/>
    </w:pPr>
    <w:rPr>
      <w:b/>
      <w:sz w:val="24"/>
      <w:szCs w:val="24"/>
    </w:rPr>
  </w:style>
  <w:style w:type="paragraph" w:styleId="Heading5">
    <w:name w:val="heading 5"/>
    <w:basedOn w:val="Normal"/>
    <w:next w:val="Normal"/>
    <w:pPr>
      <w:pBdr>
        <w:top w:val="nil"/>
        <w:left w:val="nil"/>
        <w:bottom w:val="nil"/>
        <w:right w:val="nil"/>
        <w:between w:val="nil"/>
      </w:pBdr>
      <w:spacing w:before="255" w:after="255"/>
      <w:outlineLvl w:val="4"/>
    </w:pPr>
    <w:rPr>
      <w:b/>
      <w:sz w:val="18"/>
      <w:szCs w:val="18"/>
    </w:rPr>
  </w:style>
  <w:style w:type="paragraph" w:styleId="Heading6">
    <w:name w:val="heading 6"/>
    <w:basedOn w:val="Normal"/>
    <w:next w:val="Normal"/>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Pr>
  </w:style>
  <w:style w:type="table" w:customStyle="1" w:styleId="a0">
    <w:basedOn w:val="TableNormal0"/>
    <w:tblPr>
      <w:tblStyleRowBandSize w:val="1"/>
      <w:tblStyleColBandSize w:val="1"/>
    </w:tblPr>
  </w:style>
  <w:style w:type="table" w:customStyle="1" w:styleId="a1">
    <w:basedOn w:val="TableNormal0"/>
    <w:tblPr>
      <w:tblStyleRowBandSize w:val="1"/>
      <w:tblStyleColBandSize w:val="1"/>
    </w:tblPr>
  </w:style>
  <w:style w:type="table" w:customStyle="1" w:styleId="a2">
    <w:basedOn w:val="TableNormal0"/>
    <w:tblPr>
      <w:tblStyleRowBandSize w:val="1"/>
      <w:tblStyleColBandSize w:val="1"/>
    </w:tblPr>
  </w:style>
  <w:style w:type="paragraph" w:styleId="BalloonText">
    <w:name w:val="Balloon Text"/>
    <w:basedOn w:val="Normal"/>
    <w:link w:val="BalloonTextChar"/>
    <w:uiPriority w:val="99"/>
    <w:semiHidden/>
    <w:unhideWhenUsed/>
    <w:rsid w:val="00992325"/>
    <w:rPr>
      <w:rFonts w:ascii="Tahoma" w:hAnsi="Tahoma" w:cs="Tahoma"/>
      <w:sz w:val="16"/>
      <w:szCs w:val="16"/>
    </w:rPr>
  </w:style>
  <w:style w:type="character" w:customStyle="1" w:styleId="BalloonTextChar">
    <w:name w:val="Balloon Text Char"/>
    <w:basedOn w:val="DefaultParagraphFont"/>
    <w:link w:val="BalloonText"/>
    <w:uiPriority w:val="99"/>
    <w:semiHidden/>
    <w:rsid w:val="00992325"/>
    <w:rPr>
      <w:rFonts w:ascii="Tahoma" w:hAnsi="Tahoma" w:cs="Tahoma"/>
      <w:sz w:val="16"/>
      <w:szCs w:val="16"/>
    </w:rPr>
  </w:style>
  <w:style w:type="character" w:styleId="Hyperlink">
    <w:name w:val="Hyperlink"/>
    <w:basedOn w:val="DefaultParagraphFont"/>
    <w:uiPriority w:val="99"/>
    <w:unhideWhenUsed/>
    <w:rsid w:val="00964F75"/>
    <w:rPr>
      <w:color w:val="0000FF" w:themeColor="hyperlink"/>
      <w:u w:val="single"/>
    </w:rPr>
  </w:style>
  <w:style w:type="character" w:styleId="UnresolvedMention">
    <w:name w:val="Unresolved Mention"/>
    <w:basedOn w:val="DefaultParagraphFont"/>
    <w:uiPriority w:val="99"/>
    <w:semiHidden/>
    <w:unhideWhenUsed/>
    <w:rsid w:val="00964F75"/>
    <w:rPr>
      <w:color w:val="605E5C"/>
      <w:shd w:val="clear" w:color="auto" w:fill="E1DFDD"/>
    </w:rPr>
  </w:style>
  <w:style w:type="paragraph" w:styleId="Header">
    <w:name w:val="header"/>
    <w:basedOn w:val="Normal"/>
    <w:link w:val="HeaderChar"/>
    <w:uiPriority w:val="99"/>
    <w:unhideWhenUsed/>
    <w:rsid w:val="00FE4AD8"/>
    <w:pPr>
      <w:tabs>
        <w:tab w:val="center" w:pos="4680"/>
        <w:tab w:val="right" w:pos="9360"/>
      </w:tabs>
    </w:pPr>
  </w:style>
  <w:style w:type="character" w:customStyle="1" w:styleId="HeaderChar">
    <w:name w:val="Header Char"/>
    <w:basedOn w:val="DefaultParagraphFont"/>
    <w:link w:val="Header"/>
    <w:uiPriority w:val="99"/>
    <w:rsid w:val="00FE4AD8"/>
  </w:style>
  <w:style w:type="paragraph" w:styleId="Footer">
    <w:name w:val="footer"/>
    <w:basedOn w:val="Normal"/>
    <w:link w:val="FooterChar"/>
    <w:uiPriority w:val="99"/>
    <w:unhideWhenUsed/>
    <w:rsid w:val="00FE4AD8"/>
    <w:pPr>
      <w:tabs>
        <w:tab w:val="center" w:pos="4680"/>
        <w:tab w:val="right" w:pos="9360"/>
      </w:tabs>
    </w:pPr>
  </w:style>
  <w:style w:type="character" w:customStyle="1" w:styleId="FooterChar">
    <w:name w:val="Footer Char"/>
    <w:basedOn w:val="DefaultParagraphFont"/>
    <w:link w:val="Footer"/>
    <w:uiPriority w:val="99"/>
    <w:rsid w:val="00FE4A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002/1348-9585.12127" TargetMode="External"/><Relationship Id="rId18" Type="http://schemas.openxmlformats.org/officeDocument/2006/relationships/hyperlink" Target="https://doi.org/10.4103/ijph.IJPH"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doi.org/10.13075/ijomeh.1896.00654" TargetMode="External"/><Relationship Id="rId17" Type="http://schemas.openxmlformats.org/officeDocument/2006/relationships/hyperlink" Target="https://doi.org/10.1016/j.jclepro.2023.136186"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doi.org/10.1016/j.ssci.2015.12.009" TargetMode="External"/><Relationship Id="rId20" Type="http://schemas.openxmlformats.org/officeDocument/2006/relationships/hyperlink" Target="https://doi.org/10.3390/ijerph2106415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4103/lungindia.lungindia"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1177/0972063417699723"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doi.org/10.1016/j.ijmst.2018.05.010" TargetMode="External"/><Relationship Id="rId19" Type="http://schemas.openxmlformats.org/officeDocument/2006/relationships/hyperlink" Target="https://doi.org/10.1108/IJLMA-02-2021-0042" TargetMode="External"/><Relationship Id="rId4" Type="http://schemas.openxmlformats.org/officeDocument/2006/relationships/settings" Target="settings.xml"/><Relationship Id="rId9" Type="http://schemas.openxmlformats.org/officeDocument/2006/relationships/hyperlink" Target="https://doi.org/10.4103/ijoem.ijoem" TargetMode="External"/><Relationship Id="rId14" Type="http://schemas.openxmlformats.org/officeDocument/2006/relationships/hyperlink" Target="https://doi.org/10.1016/j.resourpol.2022.102950"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15AF50-E671-4B93-9E11-5F30D6102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11</Pages>
  <Words>4480</Words>
  <Characters>25542</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29963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Souris Bhattacharya</dc:creator>
  <cp:lastModifiedBy>SDI 1180</cp:lastModifiedBy>
  <cp:revision>16</cp:revision>
  <dcterms:created xsi:type="dcterms:W3CDTF">2025-10-04T16:51:00Z</dcterms:created>
  <dcterms:modified xsi:type="dcterms:W3CDTF">2025-10-07T11:50:00Z</dcterms:modified>
</cp:coreProperties>
</file>