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Improving nutrient use efficiency and soil fertility of aerobic rice (</w:t>
      </w:r>
      <w:r>
        <w:rPr>
          <w:rFonts w:ascii="Times New Roman" w:hAnsi="Times New Roman" w:cs="Times New Roman"/>
          <w:b/>
          <w:i/>
          <w:sz w:val="24"/>
          <w:szCs w:val="24"/>
        </w:rPr>
        <w:t>Oryza sativa</w:t>
      </w:r>
      <w:r>
        <w:rPr>
          <w:rFonts w:ascii="Times New Roman" w:hAnsi="Times New Roman" w:cs="Times New Roman"/>
          <w:b/>
          <w:sz w:val="24"/>
          <w:szCs w:val="24"/>
        </w:rPr>
        <w:t xml:space="preserve"> L.) under integrated nutrient management and micronutrient foliar spray in calcareous soils</w:t>
      </w:r>
    </w:p>
    <w:p w:rsidR="001F5E1D" w:rsidRDefault="001F5E1D">
      <w:pPr>
        <w:spacing w:before="120" w:after="120" w:line="360" w:lineRule="auto"/>
        <w:jc w:val="center"/>
        <w:rPr>
          <w:rFonts w:ascii="Times New Roman" w:hAnsi="Times New Roman" w:cs="Times New Roman"/>
          <w:b/>
          <w:sz w:val="24"/>
          <w:szCs w:val="24"/>
        </w:rPr>
      </w:pPr>
    </w:p>
    <w:p w:rsidR="00A53642" w:rsidRDefault="00A53642">
      <w:pPr>
        <w:spacing w:before="120" w:after="120" w:line="360" w:lineRule="auto"/>
        <w:jc w:val="both"/>
        <w:rPr>
          <w:rFonts w:ascii="Times New Roman" w:hAnsi="Times New Roman" w:cs="Times New Roman"/>
          <w:b/>
          <w:sz w:val="24"/>
          <w:szCs w:val="24"/>
        </w:rPr>
      </w:pPr>
    </w:p>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B74AE5" w:rsidRDefault="002B21F9">
      <w:pPr>
        <w:pStyle w:val="NormalWeb"/>
        <w:spacing w:before="120" w:beforeAutospacing="0" w:after="120" w:afterAutospacing="0" w:line="360" w:lineRule="auto"/>
        <w:ind w:firstLine="720"/>
        <w:jc w:val="both"/>
      </w:pPr>
      <w:r>
        <w:t xml:space="preserve">Aerobic rice cultivation offers a water-saving alternative to conventional flooded systems but is often constrained by reduced yield and nutrient efficiency, particularly in calcareous soils. A field experiment was conducted during the 2018 and 2019 kharif seasons at </w:t>
      </w:r>
      <w:proofErr w:type="spellStart"/>
      <w:r>
        <w:t>Dr.</w:t>
      </w:r>
      <w:proofErr w:type="spellEnd"/>
      <w:r>
        <w:t xml:space="preserve"> Rajendra Prasad Central Agricultural University, </w:t>
      </w:r>
      <w:proofErr w:type="spellStart"/>
      <w:r>
        <w:t>Pusa</w:t>
      </w:r>
      <w:proofErr w:type="spellEnd"/>
      <w:r>
        <w:t xml:space="preserve">, Bihar, to evaluate the effect of integrated nutrient management (INM) practices and micronutrient foliar sprays on soil fertility and nutrient efficiency in aerobic rice. Treatments combined different organic sources of nitrogen with chemical fertilizers, along with foliar applications of </w:t>
      </w:r>
      <w:proofErr w:type="spellStart"/>
      <w:r>
        <w:t>FeSO</w:t>
      </w:r>
      <w:proofErr w:type="spellEnd"/>
      <w:r>
        <w:t xml:space="preserve">₄ and </w:t>
      </w:r>
      <w:proofErr w:type="spellStart"/>
      <w:r>
        <w:t>ZnSO</w:t>
      </w:r>
      <w:proofErr w:type="spellEnd"/>
      <w:r>
        <w:t xml:space="preserve">₄. Results showed that INM significantly improved post-harvest soil fertility, with higher available N, P, and K recorded under the application of 100% RDN through chemical fertilizers plus 25% RDN from vermicompost. Application of 75% RDN through chemical fertilizers with 25% RDN from poultry manure enhanced partial factor productivity and nutrient balance, while farmyard manure improved internal utilization efficiency. Foliar application of </w:t>
      </w:r>
      <w:proofErr w:type="spellStart"/>
      <w:r>
        <w:t>FeSO</w:t>
      </w:r>
      <w:proofErr w:type="spellEnd"/>
      <w:r>
        <w:t xml:space="preserve">₄ and </w:t>
      </w:r>
      <w:proofErr w:type="spellStart"/>
      <w:r>
        <w:t>ZnSO</w:t>
      </w:r>
      <w:proofErr w:type="spellEnd"/>
      <w:r>
        <w:t xml:space="preserve">₄ further improved yield performance without altering soil nutrient status directly. The findings demonstrate that integrating organic manures with chemical fertilizers and micronutrient sprays enhances soil fertility, nutrient efficiency, and productivity, providing a sustainable strategy for aerobic rice production in calcareous </w:t>
      </w:r>
      <w:proofErr w:type="gramStart"/>
      <w:r>
        <w:t>soils..</w:t>
      </w:r>
      <w:proofErr w:type="gramEnd"/>
    </w:p>
    <w:p w:rsidR="00B74AE5" w:rsidRDefault="002B21F9">
      <w:pPr>
        <w:pStyle w:val="NormalWeb"/>
        <w:spacing w:before="120" w:beforeAutospacing="0" w:after="120" w:afterAutospacing="0" w:line="360" w:lineRule="auto"/>
        <w:jc w:val="both"/>
      </w:pPr>
      <w:r>
        <w:rPr>
          <w:rStyle w:val="Strong"/>
        </w:rPr>
        <w:t>Keywords:</w:t>
      </w:r>
      <w:r>
        <w:t xml:space="preserve"> Integrated nutrient management, micronutrient spray, nutrient use efficiency, aerobic rice, calcareous soils.</w:t>
      </w:r>
    </w:p>
    <w:p w:rsidR="00B74AE5" w:rsidRDefault="00B74AE5">
      <w:pPr>
        <w:spacing w:before="120" w:after="120" w:line="360" w:lineRule="auto"/>
        <w:rPr>
          <w:rFonts w:ascii="Times New Roman" w:hAnsi="Times New Roman" w:cs="Times New Roman"/>
          <w:b/>
          <w:bCs/>
          <w:sz w:val="24"/>
          <w:szCs w:val="24"/>
        </w:rPr>
      </w:pPr>
    </w:p>
    <w:p w:rsidR="00B74AE5" w:rsidRDefault="00B74AE5">
      <w:pPr>
        <w:spacing w:before="120" w:after="120" w:line="360" w:lineRule="auto"/>
        <w:rPr>
          <w:rFonts w:ascii="Times New Roman" w:hAnsi="Times New Roman" w:cs="Times New Roman"/>
          <w:b/>
          <w:bCs/>
          <w:sz w:val="24"/>
          <w:szCs w:val="24"/>
        </w:rPr>
      </w:pPr>
    </w:p>
    <w:p w:rsidR="00B74AE5" w:rsidRDefault="00B74AE5">
      <w:pPr>
        <w:spacing w:before="120" w:after="120" w:line="360" w:lineRule="auto"/>
        <w:rPr>
          <w:rFonts w:ascii="Times New Roman" w:hAnsi="Times New Roman" w:cs="Times New Roman"/>
          <w:b/>
          <w:bCs/>
          <w:sz w:val="24"/>
          <w:szCs w:val="24"/>
        </w:rPr>
      </w:pPr>
    </w:p>
    <w:p w:rsidR="00A53642" w:rsidRDefault="00A53642">
      <w:pPr>
        <w:spacing w:before="120" w:after="120" w:line="360" w:lineRule="auto"/>
        <w:rPr>
          <w:rFonts w:ascii="Times New Roman" w:hAnsi="Times New Roman" w:cs="Times New Roman"/>
          <w:b/>
          <w:bCs/>
          <w:sz w:val="24"/>
          <w:szCs w:val="24"/>
        </w:rPr>
      </w:pPr>
    </w:p>
    <w:p w:rsidR="00A53642" w:rsidRDefault="00A53642">
      <w:pPr>
        <w:spacing w:before="120" w:after="120" w:line="360" w:lineRule="auto"/>
        <w:rPr>
          <w:rFonts w:ascii="Times New Roman" w:hAnsi="Times New Roman" w:cs="Times New Roman"/>
          <w:b/>
          <w:bCs/>
          <w:sz w:val="24"/>
          <w:szCs w:val="24"/>
        </w:rPr>
      </w:pPr>
    </w:p>
    <w:p w:rsidR="00B74AE5" w:rsidRDefault="00B74AE5">
      <w:pPr>
        <w:spacing w:before="120" w:after="120" w:line="360" w:lineRule="auto"/>
        <w:rPr>
          <w:rFonts w:ascii="Times New Roman" w:hAnsi="Times New Roman" w:cs="Times New Roman"/>
          <w:b/>
          <w:bCs/>
          <w:sz w:val="24"/>
          <w:szCs w:val="24"/>
        </w:rPr>
      </w:pPr>
    </w:p>
    <w:p w:rsidR="00B74AE5" w:rsidRDefault="002B21F9">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B74AE5" w:rsidRDefault="002B21F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(Oryza sativa L.), is the world's stable food crop, is incredibly diverse in terms of how it is raised and consumed. Approximately 90% of the world's rice cultivation and consumption was in Asian countries, with China and India accounting for more than half of the total acreage. Rice has the lowest water use efficiency, requiring approximately 3000-5000 lit of water to produce 1 kg of rice under various production strategies. The irrigated lowland receives 24–30% of the world's freshwater supplies (</w:t>
      </w:r>
      <w:proofErr w:type="spellStart"/>
      <w:r>
        <w:rPr>
          <w:rFonts w:ascii="Times New Roman" w:hAnsi="Times New Roman" w:cs="Times New Roman"/>
          <w:sz w:val="24"/>
          <w:szCs w:val="24"/>
        </w:rPr>
        <w:t>Bouman</w:t>
      </w:r>
      <w:proofErr w:type="spellEnd"/>
      <w:r>
        <w:rPr>
          <w:rFonts w:ascii="Times New Roman" w:hAnsi="Times New Roman" w:cs="Times New Roman"/>
          <w:sz w:val="24"/>
          <w:szCs w:val="24"/>
        </w:rPr>
        <w:t xml:space="preserve"> et al., 2007). The unsustainable use of irrigation water for rice cultivation, particularly in non-traditional rice growing areas, is a serious social, environmental, and health hazard. This has redirected our priority in rice production from land to water productivity.</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Rice can be grown under aerobic conditions, similar to that of an irrigated upland crop like wheat or maize, to reduce water requirements. Aerobic rice is a breakthrough water-saving method in which rice is cultivated in non-puddled, non-saturated soils with water content ranging from 70% to 100% of water holding capacity, having economic water use as the driving force (Lal et al., 2013). However, yields were 25-30% lower than lowland rice yields (Pradhan et al., 2016). This indicates that, despite having the maximum water productivity, aerobic rice has a lower yield potential than flooded rice.</w:t>
      </w:r>
    </w:p>
    <w:p w:rsidR="00B74AE5" w:rsidRDefault="002B21F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Nutrient management plays an important role in the optimization of yield. Particularly nitrogen fertilization, compensated for the yield increase in aerobic fields (Grassi et al., 2009). The efficiency of nitrogen utilization varies depending on the source of nitrogen and the availability of moisture in the soil. Because of the complete dependence on synthetic fertilizers after the green revolution, crop output has been proven to be unsustainable. As a result, there has been a shift in recent years towards organic manuring as a means of enhancing soil fertility. However, relying only on organic fertilization will imperil our ability to satisfy population demands. The above is conceivable with Integrated Nutrient Management (INM), </w:t>
      </w:r>
      <w:r>
        <w:rPr>
          <w:rFonts w:ascii="Times New Roman" w:hAnsi="Times New Roman" w:cs="Times New Roman"/>
          <w:i/>
          <w:iCs/>
          <w:sz w:val="24"/>
          <w:szCs w:val="24"/>
        </w:rPr>
        <w:t>i.e.,</w:t>
      </w:r>
      <w:r>
        <w:rPr>
          <w:rFonts w:ascii="Times New Roman" w:hAnsi="Times New Roman" w:cs="Times New Roman"/>
          <w:sz w:val="24"/>
          <w:szCs w:val="24"/>
        </w:rPr>
        <w:t xml:space="preserve"> the use of organic natural resources such as FYM, poultry manure, and vermicompost. Keeping the above points in view, the investigation has been planned to study the impact of applying integrated organic N sources with chemical fertilizers and foliar spray of micronutrients on soil fertility under aerobically cultivated rice in calcareous soils of Bihar.</w:t>
      </w: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MATERIALS AND METHODS:</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Site:</w:t>
      </w:r>
      <w:r>
        <w:rPr>
          <w:rFonts w:ascii="Times New Roman" w:hAnsi="Times New Roman" w:cs="Times New Roman"/>
          <w:sz w:val="24"/>
          <w:szCs w:val="24"/>
        </w:rPr>
        <w:t xml:space="preserve"> The research work was carried out at the experimental farm, Dr. Rajendra Prasad Central Agricultural University,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Samastipur</w:t>
      </w:r>
      <w:proofErr w:type="spellEnd"/>
      <w:r>
        <w:rPr>
          <w:rFonts w:ascii="Times New Roman" w:hAnsi="Times New Roman" w:cs="Times New Roman"/>
          <w:sz w:val="24"/>
          <w:szCs w:val="24"/>
        </w:rPr>
        <w:t xml:space="preserve">), Bihar during </w:t>
      </w:r>
      <w:r>
        <w:rPr>
          <w:rFonts w:ascii="Times New Roman" w:hAnsi="Times New Roman" w:cs="Times New Roman"/>
          <w:i/>
          <w:sz w:val="24"/>
          <w:szCs w:val="24"/>
        </w:rPr>
        <w:t>Kharif</w:t>
      </w:r>
      <w:r>
        <w:rPr>
          <w:rFonts w:ascii="Times New Roman" w:hAnsi="Times New Roman" w:cs="Times New Roman"/>
          <w:sz w:val="24"/>
          <w:szCs w:val="24"/>
        </w:rPr>
        <w:t xml:space="preserve"> season, 2018 and 2019. The experimental site was located at 25.59°N latitude, 84.40°E longitude and at an altitude of 52.14 meters above the mean sea level and fall in the sub humid, subtropical climatic zone. </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Treatment description:</w:t>
      </w:r>
      <w:r>
        <w:rPr>
          <w:rFonts w:ascii="Times New Roman" w:hAnsi="Times New Roman" w:cs="Times New Roman"/>
          <w:sz w:val="24"/>
          <w:szCs w:val="24"/>
        </w:rPr>
        <w:t xml:space="preserve"> To assess the impact of INM and micronutrient foliar spray, the experiment was laid out in RBD factorial to study the combined effect of two factors viz., various organic source for N nutrition at different doses and foliar spray of micronutrients on aerobic rice grown in calcareous soil. Six integrated nutrient management (INM) practices include N</w:t>
      </w:r>
      <w:r>
        <w:rPr>
          <w:rFonts w:ascii="Times New Roman" w:hAnsi="Times New Roman" w:cs="Times New Roman"/>
          <w:sz w:val="24"/>
          <w:szCs w:val="24"/>
          <w:vertAlign w:val="subscript"/>
        </w:rPr>
        <w:t xml:space="preserve">1- </w:t>
      </w:r>
      <w:r>
        <w:rPr>
          <w:rFonts w:ascii="Times New Roman" w:hAnsi="Times New Roman" w:cs="Times New Roman"/>
          <w:sz w:val="24"/>
          <w:szCs w:val="24"/>
        </w:rPr>
        <w:t>75% of RDN through chemical fertilizers and 25% of RDN through vermicompost, N</w:t>
      </w:r>
      <w:r>
        <w:rPr>
          <w:rFonts w:ascii="Times New Roman" w:hAnsi="Times New Roman" w:cs="Times New Roman"/>
          <w:sz w:val="24"/>
          <w:szCs w:val="24"/>
          <w:vertAlign w:val="subscript"/>
        </w:rPr>
        <w:t>2-</w:t>
      </w:r>
      <w:r>
        <w:rPr>
          <w:rFonts w:ascii="Times New Roman" w:hAnsi="Times New Roman" w:cs="Times New Roman"/>
          <w:sz w:val="24"/>
          <w:szCs w:val="24"/>
        </w:rPr>
        <w:t>75% of RDN through chemical fertilizers and 25% of RDN through poultry manure, N</w:t>
      </w:r>
      <w:r>
        <w:rPr>
          <w:rFonts w:ascii="Times New Roman" w:hAnsi="Times New Roman" w:cs="Times New Roman"/>
          <w:sz w:val="24"/>
          <w:szCs w:val="24"/>
          <w:vertAlign w:val="subscript"/>
        </w:rPr>
        <w:t>3-</w:t>
      </w:r>
      <w:r>
        <w:rPr>
          <w:rFonts w:ascii="Times New Roman" w:hAnsi="Times New Roman" w:cs="Times New Roman"/>
          <w:sz w:val="24"/>
          <w:szCs w:val="24"/>
        </w:rPr>
        <w:t>75% of RDN through chemical fertilizers and 25% of RDN through FYM, N</w:t>
      </w:r>
      <w:r>
        <w:rPr>
          <w:rFonts w:ascii="Times New Roman" w:hAnsi="Times New Roman" w:cs="Times New Roman"/>
          <w:sz w:val="24"/>
          <w:szCs w:val="24"/>
          <w:vertAlign w:val="subscript"/>
        </w:rPr>
        <w:t>4-</w:t>
      </w:r>
      <w:r>
        <w:rPr>
          <w:rFonts w:ascii="Times New Roman" w:hAnsi="Times New Roman" w:cs="Times New Roman"/>
          <w:sz w:val="24"/>
          <w:szCs w:val="24"/>
        </w:rPr>
        <w:t>100% of RDN through chemical fertilizers and 25% of RDN through vermicompost, N</w:t>
      </w:r>
      <w:r>
        <w:rPr>
          <w:rFonts w:ascii="Times New Roman" w:hAnsi="Times New Roman" w:cs="Times New Roman"/>
          <w:sz w:val="24"/>
          <w:szCs w:val="24"/>
          <w:vertAlign w:val="subscript"/>
        </w:rPr>
        <w:t>5-</w:t>
      </w:r>
      <w:r>
        <w:rPr>
          <w:rFonts w:ascii="Times New Roman" w:hAnsi="Times New Roman" w:cs="Times New Roman"/>
          <w:sz w:val="24"/>
          <w:szCs w:val="24"/>
        </w:rPr>
        <w:t>100% of RDN through chemical fertilizers and N</w:t>
      </w:r>
      <w:r>
        <w:rPr>
          <w:rFonts w:ascii="Times New Roman" w:hAnsi="Times New Roman" w:cs="Times New Roman"/>
          <w:sz w:val="24"/>
          <w:szCs w:val="24"/>
          <w:vertAlign w:val="subscript"/>
        </w:rPr>
        <w:t>6-</w:t>
      </w:r>
      <w:r>
        <w:rPr>
          <w:rFonts w:ascii="Times New Roman" w:hAnsi="Times New Roman" w:cs="Times New Roman"/>
          <w:sz w:val="24"/>
          <w:szCs w:val="24"/>
        </w:rPr>
        <w:t>125% of RDN through chemical fertilizers and three micronutrient foliar sprays include F</w:t>
      </w:r>
      <w:r>
        <w:rPr>
          <w:rFonts w:ascii="Times New Roman" w:hAnsi="Times New Roman" w:cs="Times New Roman"/>
          <w:sz w:val="24"/>
          <w:szCs w:val="24"/>
          <w:vertAlign w:val="subscript"/>
        </w:rPr>
        <w:t>1-</w:t>
      </w:r>
      <w:r>
        <w:rPr>
          <w:rFonts w:ascii="Times New Roman" w:hAnsi="Times New Roman" w:cs="Times New Roman"/>
          <w:sz w:val="24"/>
          <w:szCs w:val="24"/>
        </w:rPr>
        <w:t xml:space="preserve"> Foliar spray of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1%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F</w:t>
      </w:r>
      <w:r>
        <w:rPr>
          <w:rFonts w:ascii="Times New Roman" w:hAnsi="Times New Roman" w:cs="Times New Roman"/>
          <w:sz w:val="24"/>
          <w:szCs w:val="24"/>
          <w:vertAlign w:val="subscript"/>
        </w:rPr>
        <w:t xml:space="preserve">2- </w:t>
      </w:r>
      <w:r>
        <w:rPr>
          <w:rFonts w:ascii="Times New Roman" w:hAnsi="Times New Roman" w:cs="Times New Roman"/>
          <w:sz w:val="24"/>
          <w:szCs w:val="24"/>
        </w:rPr>
        <w:t>Foliar spray of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0.5%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and F</w:t>
      </w:r>
      <w:r>
        <w:rPr>
          <w:rFonts w:ascii="Times New Roman" w:hAnsi="Times New Roman" w:cs="Times New Roman"/>
          <w:sz w:val="24"/>
          <w:szCs w:val="24"/>
          <w:vertAlign w:val="subscript"/>
        </w:rPr>
        <w:t>3-</w:t>
      </w:r>
      <w:r>
        <w:rPr>
          <w:rFonts w:ascii="Times New Roman" w:hAnsi="Times New Roman" w:cs="Times New Roman"/>
          <w:sz w:val="24"/>
          <w:szCs w:val="24"/>
        </w:rPr>
        <w:t xml:space="preserve"> Foliar spray of FeSO</w:t>
      </w:r>
      <w:r>
        <w:rPr>
          <w:rFonts w:ascii="Times New Roman" w:hAnsi="Times New Roman" w:cs="Times New Roman"/>
          <w:sz w:val="24"/>
          <w:szCs w:val="24"/>
          <w:vertAlign w:val="subscript"/>
        </w:rPr>
        <w:t>4</w:t>
      </w:r>
      <w:r>
        <w:rPr>
          <w:rFonts w:ascii="Times New Roman" w:hAnsi="Times New Roman" w:cs="Times New Roman"/>
          <w:sz w:val="24"/>
          <w:szCs w:val="24"/>
        </w:rPr>
        <w:t>@ 1%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0.5 %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w:t>
      </w:r>
      <w:r>
        <w:rPr>
          <w:rFonts w:ascii="Times New Roman" w:hAnsi="Times New Roman" w:cs="Times New Roman"/>
          <w:b/>
          <w:sz w:val="24"/>
          <w:szCs w:val="24"/>
        </w:rPr>
        <w:t xml:space="preserve">Note: </w:t>
      </w:r>
      <w:r>
        <w:rPr>
          <w:rFonts w:ascii="Times New Roman" w:hAnsi="Times New Roman" w:cs="Times New Roman"/>
          <w:sz w:val="24"/>
          <w:szCs w:val="24"/>
        </w:rPr>
        <w:t>Recommended Dose of Nitrogen (RDN) – 120 kg 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recommended dose of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and recommended dose of K</w:t>
      </w:r>
      <w:r>
        <w:rPr>
          <w:rFonts w:ascii="Times New Roman" w:hAnsi="Times New Roman" w:cs="Times New Roman"/>
          <w:sz w:val="24"/>
          <w:szCs w:val="24"/>
          <w:vertAlign w:val="subscript"/>
        </w:rPr>
        <w:t>2</w:t>
      </w:r>
      <w:r>
        <w:rPr>
          <w:rFonts w:ascii="Times New Roman" w:hAnsi="Times New Roman" w:cs="Times New Roman"/>
          <w:sz w:val="24"/>
          <w:szCs w:val="24"/>
        </w:rPr>
        <w:t>O (40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Fertilizer source for nitrogen, phosphors and potassium was </w:t>
      </w:r>
      <w:proofErr w:type="spellStart"/>
      <w:r>
        <w:rPr>
          <w:rFonts w:ascii="Times New Roman" w:hAnsi="Times New Roman" w:cs="Times New Roman"/>
          <w:sz w:val="24"/>
          <w:szCs w:val="24"/>
        </w:rPr>
        <w:t>prilled</w:t>
      </w:r>
      <w:proofErr w:type="spellEnd"/>
      <w:r>
        <w:rPr>
          <w:rFonts w:ascii="Times New Roman" w:hAnsi="Times New Roman" w:cs="Times New Roman"/>
          <w:sz w:val="24"/>
          <w:szCs w:val="24"/>
        </w:rPr>
        <w:t xml:space="preserve"> urea, DAP and MOP while the organic source for nitrogen was varied according to the treatment. Organic manures were analyzed for nutrient content using standard procedures (</w:t>
      </w:r>
      <w:r>
        <w:rPr>
          <w:rFonts w:ascii="Times New Roman" w:hAnsi="Times New Roman" w:cs="Times New Roman"/>
          <w:b/>
          <w:sz w:val="24"/>
          <w:szCs w:val="24"/>
        </w:rPr>
        <w:t>Table 1</w:t>
      </w:r>
      <w:r>
        <w:rPr>
          <w:rFonts w:ascii="Times New Roman" w:hAnsi="Times New Roman" w:cs="Times New Roman"/>
          <w:sz w:val="24"/>
          <w:szCs w:val="24"/>
        </w:rPr>
        <w:t xml:space="preserve">). </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Soil properties of the experimental site:</w:t>
      </w:r>
      <w:r>
        <w:rPr>
          <w:rFonts w:ascii="Times New Roman" w:hAnsi="Times New Roman" w:cs="Times New Roman"/>
          <w:sz w:val="24"/>
          <w:szCs w:val="24"/>
        </w:rPr>
        <w:t xml:space="preserve"> Composite soil samples (0-15 cm) from the experimental site were collected before the layout of the experiment from 5 different points. The soil sample thus obtained was air-dried, ground and passed through 2 mm sieve and analyzed for different parameters following standard procedures (</w:t>
      </w:r>
      <w:r>
        <w:rPr>
          <w:rFonts w:ascii="Times New Roman" w:hAnsi="Times New Roman" w:cs="Times New Roman"/>
          <w:b/>
          <w:sz w:val="24"/>
          <w:szCs w:val="24"/>
        </w:rPr>
        <w:t>Table 2</w:t>
      </w:r>
      <w:r>
        <w:rPr>
          <w:rFonts w:ascii="Times New Roman" w:hAnsi="Times New Roman" w:cs="Times New Roman"/>
          <w:sz w:val="24"/>
          <w:szCs w:val="24"/>
        </w:rPr>
        <w:t>).</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Package of practices: </w:t>
      </w:r>
      <w:r>
        <w:rPr>
          <w:rFonts w:ascii="Times New Roman" w:hAnsi="Times New Roman" w:cs="Times New Roman"/>
          <w:sz w:val="24"/>
          <w:szCs w:val="24"/>
        </w:rPr>
        <w:t>The experimental field was cultivated twice primarily followed by secondary tillage planking. Seeds of rice variety Abhishek were directly sown using a seed rate of 30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20 cm inter-row spacing. Full dose of P (60 kg ha</w:t>
      </w:r>
      <w:r>
        <w:rPr>
          <w:rFonts w:ascii="Times New Roman" w:hAnsi="Times New Roman" w:cs="Times New Roman"/>
          <w:sz w:val="24"/>
          <w:szCs w:val="24"/>
          <w:vertAlign w:val="superscript"/>
        </w:rPr>
        <w:t>-1</w:t>
      </w:r>
      <w:r>
        <w:rPr>
          <w:rFonts w:ascii="Times New Roman" w:hAnsi="Times New Roman" w:cs="Times New Roman"/>
          <w:sz w:val="24"/>
          <w:szCs w:val="24"/>
        </w:rPr>
        <w:t>) and K (120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applied basally at the time of sowing. Organic manures like vermicompost, poultry manure and farm yard manure were applied plot wise according to the </w:t>
      </w:r>
      <w:proofErr w:type="gramStart"/>
      <w:r>
        <w:rPr>
          <w:rFonts w:ascii="Times New Roman" w:hAnsi="Times New Roman" w:cs="Times New Roman"/>
          <w:sz w:val="24"/>
          <w:szCs w:val="24"/>
        </w:rPr>
        <w:t>treatments</w:t>
      </w:r>
      <w:proofErr w:type="gramEnd"/>
      <w:r>
        <w:rPr>
          <w:rFonts w:ascii="Times New Roman" w:hAnsi="Times New Roman" w:cs="Times New Roman"/>
          <w:sz w:val="24"/>
          <w:szCs w:val="24"/>
        </w:rPr>
        <w:t xml:space="preserve"> substitutes. 50% N was </w:t>
      </w:r>
      <w:r>
        <w:rPr>
          <w:rFonts w:ascii="Times New Roman" w:hAnsi="Times New Roman" w:cs="Times New Roman"/>
          <w:sz w:val="24"/>
          <w:szCs w:val="24"/>
        </w:rPr>
        <w:lastRenderedPageBreak/>
        <w:t xml:space="preserve">applied at the time of sowing substituted with organic manures while remaining 25%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the other 25% at panicle initiation. </w:t>
      </w:r>
    </w:p>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Soil sample analysis: </w:t>
      </w:r>
      <w:r>
        <w:rPr>
          <w:rFonts w:ascii="Times New Roman" w:hAnsi="Times New Roman" w:cs="Times New Roman"/>
          <w:sz w:val="24"/>
          <w:szCs w:val="24"/>
        </w:rPr>
        <w:t>Post harvest soil samples were collected plot-wise in all the replications using screw auger and then shade dried. Air dried samples were processed by passing through 2 mm sieve and used for available N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available P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available K (kg ha</w:t>
      </w:r>
      <w:r>
        <w:rPr>
          <w:rFonts w:ascii="Times New Roman" w:hAnsi="Times New Roman" w:cs="Times New Roman"/>
          <w:sz w:val="24"/>
          <w:szCs w:val="24"/>
          <w:vertAlign w:val="superscript"/>
        </w:rPr>
        <w:noBreakHyphen/>
        <w:t>1</w:t>
      </w:r>
      <w:r>
        <w:rPr>
          <w:rFonts w:ascii="Times New Roman" w:hAnsi="Times New Roman" w:cs="Times New Roman"/>
          <w:sz w:val="24"/>
          <w:szCs w:val="24"/>
        </w:rPr>
        <w:t>), available Fe (mg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available Zn (mg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 xml:space="preserve">) analysis. The analysis was done as per the standard procedures given in </w:t>
      </w:r>
      <w:r>
        <w:rPr>
          <w:rFonts w:ascii="Times New Roman" w:hAnsi="Times New Roman" w:cs="Times New Roman"/>
          <w:b/>
          <w:sz w:val="24"/>
          <w:szCs w:val="24"/>
        </w:rPr>
        <w:t xml:space="preserve">Table 2. </w:t>
      </w:r>
    </w:p>
    <w:p w:rsidR="00B74AE5" w:rsidRDefault="002B21F9">
      <w:pPr>
        <w:tabs>
          <w:tab w:val="left" w:pos="270"/>
        </w:tabs>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Nutrient use efficiency indices calculation</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Partial factor productivity-PFP</w:t>
      </w:r>
      <w:r>
        <w:rPr>
          <w:rFonts w:ascii="Times New Roman" w:hAnsi="Times New Roman" w:cs="Times New Roman"/>
          <w:b/>
          <w:sz w:val="24"/>
          <w:szCs w:val="24"/>
          <w:vertAlign w:val="subscript"/>
        </w:rPr>
        <w:t>N</w:t>
      </w:r>
      <w:r>
        <w:rPr>
          <w:rFonts w:ascii="Times New Roman" w:hAnsi="Times New Roman" w:cs="Times New Roman"/>
          <w:b/>
          <w:sz w:val="24"/>
          <w:szCs w:val="24"/>
        </w:rPr>
        <w:t xml:space="preserve"> (kg grain kg N applied</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sz w:val="24"/>
          <w:szCs w:val="24"/>
        </w:rPr>
        <w:t xml:space="preserve">It is integrative index of the total economic output in relation to the utilization of all N sources in the system. </w:t>
      </w:r>
      <w:r>
        <w:rPr>
          <w:rFonts w:ascii="Times New Roman" w:hAnsi="Times New Roman" w:cs="Times New Roman"/>
          <w:sz w:val="24"/>
          <w:szCs w:val="24"/>
          <w:shd w:val="clear" w:color="auto" w:fill="FFFFFF"/>
        </w:rPr>
        <w:t>And this agronomic perspective is useful for deciphering how to increase or maintain crop yield while minimizing inputs.</w:t>
      </w:r>
      <w:r>
        <w:rPr>
          <w:rFonts w:ascii="Times New Roman" w:hAnsi="Times New Roman" w:cs="Times New Roman"/>
          <w:sz w:val="24"/>
          <w:szCs w:val="24"/>
        </w:rPr>
        <w:t xml:space="preserve"> It was calculated as per the formula given by </w:t>
      </w:r>
      <w:proofErr w:type="spellStart"/>
      <w:r>
        <w:rPr>
          <w:rFonts w:ascii="Times New Roman" w:hAnsi="Times New Roman" w:cs="Times New Roman"/>
          <w:sz w:val="24"/>
          <w:szCs w:val="24"/>
        </w:rPr>
        <w:t>Cassman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1998,</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2295525</wp:posOffset>
                </wp:positionH>
                <wp:positionV relativeFrom="paragraph">
                  <wp:posOffset>199390</wp:posOffset>
                </wp:positionV>
                <wp:extent cx="1066800" cy="9525"/>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525"/>
                        </a:xfrm>
                        <a:prstGeom prst="straightConnector1">
                          <a:avLst/>
                        </a:prstGeom>
                        <a:noFill/>
                        <a:ln w="9525">
                          <a:solidFill>
                            <a:srgbClr val="000000"/>
                          </a:solidFill>
                          <a:round/>
                        </a:ln>
                      </wps:spPr>
                      <wps:bodyPr/>
                    </wps:wsp>
                  </a:graphicData>
                </a:graphic>
              </wp:anchor>
            </w:drawing>
          </mc:Choice>
          <mc:Fallback>
            <w:pict>
              <v:shapetype w14:anchorId="0DEECF7C" id="_x0000_t32" coordsize="21600,21600" o:spt="32" o:oned="t" path="m,l21600,21600e" filled="f">
                <v:path arrowok="t" fillok="f" o:connecttype="none"/>
                <o:lock v:ext="edit" shapetype="t"/>
              </v:shapetype>
              <v:shape id="Straight Arrow Connector 3" o:spid="_x0000_s1026" type="#_x0000_t32" style="position:absolute;margin-left:180.75pt;margin-top:15.7pt;width:84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8oygEAAIADAAAOAAAAZHJzL2Uyb0RvYy54bWysU01v2zAMvQ/YfxB0X+ykaNAZcYohRXfp&#10;tgDpdlf0YQuTRYFS4uTfj1LcdN1uw3wQTNHv8fGRXt2fBseOGqMF3/L5rOZMewnK+q7l358fP9xx&#10;FpPwSjjwuuVnHfn9+v271RgavYAenNLIiMTHZgwt71MKTVVF2etBxBkE7SlpAAeRKMSuUihGYh9c&#10;tajrZTUCqoAgdYx0+3BJ8nXhN0bL9M2YqBNzLSdtqZxYzn0+q/VKNB2K0Fs5yRD/oGIQ1lPRK9WD&#10;SIId0P5FNViJEMGkmYShAmOs1KUH6mZe/9HNrhdBl17InBiuNsX/Ryu/HrfIrGr5DWdeDDSiXUJh&#10;uz6xT4gwsg14TzYCspvs1hhiQ6CN32LuV578LjyB/BmZh00vfKeL6udzIKp5RlRvIDmIgWruxy+g&#10;6BtxSFCsOxkcmHE2/MjATE72sFOZ1fk6K31KTNLlvF4u72oaqaTcx9vFbSklmsySsQFj+qxhYPml&#10;5XFq6trNpYI4PsWUNb4CMtjDo3Wu7IbzbJwK5EwEZ1VOlgC7/cYhO4q8XeWZVLz5DOHg1aWI85Mf&#10;2YKLmXtQ5y2++ERjLmqmlcx79Htc0K8/zvoXAAAA//8DAFBLAwQUAAYACAAAACEAbSLQVd4AAAAJ&#10;AQAADwAAAGRycy9kb3ducmV2LnhtbEyPQU+DQBCF7yb+h82YeLML2GKLLI0x0XgwJFZ737JTQNlZ&#10;ZLdA/73jSW8z7728+SbfzrYTIw6+daQgXkQgkCpnWqoVfLw/3axB+KDJ6M4RKjijh21xeZHrzLiJ&#10;3nDchVpwCflMK2hC6DMpfdWg1X7heiT2jm6wOvA61NIMeuJy28kkilJpdUt8odE9PjZYfe1OVsE3&#10;3Z33SzmuP8sypM8vrzVhOSl1fTU/3IMIOIe/MPziMzoUzHRwJzJedApu03jFUR7iJQgOrJINCwcW&#10;kg3IIpf/Pyh+AAAA//8DAFBLAQItABQABgAIAAAAIQC2gziS/gAAAOEBAAATAAAAAAAAAAAAAAAA&#10;AAAAAABbQ29udGVudF9UeXBlc10ueG1sUEsBAi0AFAAGAAgAAAAhADj9If/WAAAAlAEAAAsAAAAA&#10;AAAAAAAAAAAALwEAAF9yZWxzLy5yZWxzUEsBAi0AFAAGAAgAAAAhAGQWjyjKAQAAgAMAAA4AAAAA&#10;AAAAAAAAAAAALgIAAGRycy9lMm9Eb2MueG1sUEsBAi0AFAAGAAgAAAAhAG0i0FXeAAAACQEAAA8A&#10;AAAAAAAAAAAAAAAAJAQAAGRycy9kb3ducmV2LnhtbFBLBQYAAAAABAAEAPMAAAAvBQ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PFP</w:t>
      </w:r>
      <w:r>
        <w:rPr>
          <w:rFonts w:ascii="Times New Roman" w:hAnsi="Times New Roman" w:cs="Times New Roman"/>
          <w:sz w:val="24"/>
          <w:szCs w:val="24"/>
          <w:vertAlign w:val="subscript"/>
        </w:rPr>
        <w:t>N</w:t>
      </w:r>
      <w:r>
        <w:rPr>
          <w:rFonts w:ascii="Times New Roman" w:hAnsi="Times New Roman" w:cs="Times New Roman"/>
          <w:sz w:val="24"/>
          <w:szCs w:val="24"/>
        </w:rPr>
        <w:t xml:space="preserve"> =    Grain Yield</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N fertilizer applied</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Internal Utilization Efficiency-IE</w:t>
      </w:r>
      <w:r>
        <w:rPr>
          <w:rFonts w:ascii="Times New Roman" w:hAnsi="Times New Roman" w:cs="Times New Roman"/>
          <w:b/>
          <w:sz w:val="24"/>
          <w:szCs w:val="24"/>
          <w:vertAlign w:val="subscript"/>
        </w:rPr>
        <w:t>N</w:t>
      </w:r>
      <w:r>
        <w:rPr>
          <w:rFonts w:ascii="Times New Roman" w:hAnsi="Times New Roman" w:cs="Times New Roman"/>
          <w:b/>
          <w:sz w:val="24"/>
          <w:szCs w:val="24"/>
        </w:rPr>
        <w:t xml:space="preserve"> (kg yield per kg nutrient uptake)</w:t>
      </w:r>
      <w:r>
        <w:rPr>
          <w:rFonts w:ascii="Times New Roman" w:hAnsi="Times New Roman" w:cs="Times New Roman"/>
          <w:sz w:val="24"/>
          <w:szCs w:val="24"/>
        </w:rPr>
        <w:t>: It is the ability of the plants to transform nutrients acquired from all sources (soil, fertilizer) into economic yield (grain). A very high IEN suggests deficiency of the nitrogen. Low IEN suggests poor internal nutrient conversion due to other stresses (mineral toxicities, nutrient deficiencies, heat stress, pests, drought stress). It was calculated as per the formula (</w:t>
      </w:r>
      <w:proofErr w:type="spellStart"/>
      <w:r>
        <w:rPr>
          <w:rFonts w:ascii="Times New Roman" w:hAnsi="Times New Roman" w:cs="Times New Roman"/>
          <w:sz w:val="24"/>
          <w:szCs w:val="24"/>
        </w:rPr>
        <w:t>Fageria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Baligar</w:t>
      </w:r>
      <w:proofErr w:type="spellEnd"/>
      <w:r>
        <w:rPr>
          <w:rFonts w:ascii="Times New Roman" w:hAnsi="Times New Roman" w:cs="Times New Roman"/>
          <w:sz w:val="24"/>
          <w:szCs w:val="24"/>
        </w:rPr>
        <w:t>, 2001)</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219075</wp:posOffset>
                </wp:positionV>
                <wp:extent cx="3343275" cy="2857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3275" cy="28575"/>
                        </a:xfrm>
                        <a:prstGeom prst="straightConnector1">
                          <a:avLst/>
                        </a:prstGeom>
                        <a:noFill/>
                        <a:ln w="9525">
                          <a:solidFill>
                            <a:srgbClr val="000000"/>
                          </a:solidFill>
                          <a:round/>
                        </a:ln>
                      </wps:spPr>
                      <wps:bodyPr/>
                    </wps:wsp>
                  </a:graphicData>
                </a:graphic>
              </wp:anchor>
            </w:drawing>
          </mc:Choice>
          <mc:Fallback>
            <w:pict>
              <v:shape w14:anchorId="27BD72EC" id="Straight Arrow Connector 2" o:spid="_x0000_s1026" type="#_x0000_t32" style="position:absolute;margin-left:101.25pt;margin-top:17.25pt;width:263.25pt;height:2.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zK0QEAAIEDAAAOAAAAZHJzL2Uyb0RvYy54bWysU8GO0zAQvSPxD5bvNG1KYTdqukJdLZcF&#10;KnWXu+vYiYXjscZu0/49YydbWLghcrA8Hr83894467tzb9lJYTDgar6YzTlTTkJjXFvz56eHdzec&#10;hShcIyw4VfOLCvxu8/bNevCVKqED2yhkROJCNfiadzH6qiiC7FQvwgy8cpTUgL2IFGJbNCgGYu9t&#10;Uc7nH4oBsPEIUoVAp/djkm8yv9ZKxm9aBxWZrTn1FvOKeT2ktdisRdWi8J2RUxviH7rohXFU9Ep1&#10;L6JgRzR/UfVGIgTQcSahL0BrI1XWQGoW8z/U7DvhVdZC5gR/tSn8P1r59bRDZpqal5w50dOI9hGF&#10;abvIPiHCwLbgHNkIyMrk1uBDRaCt22HSK89u7x9B/gjMwbYTrlW566eLJ6pFQhSvICkInmoehi/Q&#10;0B1xjJCtO2vsmbbGf0/ARE72sHOe1eU6K3WOTNLhcvl+WX5ccSYpV96saJtqiSrRJLDHED8r6Fna&#10;1DxMqq5yxhLi9BjiCHwBJLCDB2MtnYvKOjbU/HZVrnJPAaxpUjLlAraHrUV2Eul55W/q4tU1hKNr&#10;xiLWTYYkD0Y3D9BcdpjSyRuac5Yxvcn0kH6P861ff87mJwAAAP//AwBQSwMEFAAGAAgAAAAhADIt&#10;SDjdAAAACQEAAA8AAABkcnMvZG93bnJldi54bWxMj0FPwzAMhe9I/IfISNxYShnbKE0nhATigCox&#10;4O41pi00Tmmytvv3mBOcnmw/PX8v386uUyMNofVs4HKRgCKuvG25NvD2+nCxARUissXOMxk4UoBt&#10;cXqSY2b9xC807mKtJIRDhgaaGPtM61A15DAsfE8stw8/OIwyDrW2A04S7jqdJslKO2xZPjTY031D&#10;1dfu4Ax88/r4vtTj5rMs4+rx6blmKidjzs/mu1tQkeb4Z4ZffEGHQpj2/sA2qM5AmqTXYjVwtRQV&#10;wzq9kXJ7WYjqItf/GxQ/AAAA//8DAFBLAQItABQABgAIAAAAIQC2gziS/gAAAOEBAAATAAAAAAAA&#10;AAAAAAAAAAAAAABbQ29udGVudF9UeXBlc10ueG1sUEsBAi0AFAAGAAgAAAAhADj9If/WAAAAlAEA&#10;AAsAAAAAAAAAAAAAAAAALwEAAF9yZWxzLy5yZWxzUEsBAi0AFAAGAAgAAAAhAAjNXMrRAQAAgQMA&#10;AA4AAAAAAAAAAAAAAAAALgIAAGRycy9lMm9Eb2MueG1sUEsBAi0AFAAGAAgAAAAhADItSDjdAAAA&#10;CQEAAA8AAAAAAAAAAAAAAAAAKwQAAGRycy9kb3ducmV2LnhtbFBLBQYAAAAABAAEAPMAAAA1BQAA&#10;AAA=&#10;"/>
            </w:pict>
          </mc:Fallback>
        </mc:AlternateContent>
      </w:r>
      <w:r>
        <w:rPr>
          <w:rFonts w:ascii="Times New Roman" w:hAnsi="Times New Roman" w:cs="Times New Roman"/>
          <w:sz w:val="24"/>
          <w:szCs w:val="24"/>
        </w:rPr>
        <w:t xml:space="preserve">                IUE =                                       Grain Yield</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 nutrient uptake (grain + straw) from all sources (kg ha</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Partial nutrient balance -PNB (kg nutrient uptake per kg nutrient applied):</w:t>
      </w:r>
      <w:r>
        <w:rPr>
          <w:rFonts w:ascii="Times New Roman" w:hAnsi="Times New Roman" w:cs="Times New Roman"/>
          <w:sz w:val="24"/>
          <w:szCs w:val="24"/>
        </w:rPr>
        <w:t xml:space="preserve"> It is also called the removal/use ratio or the output/input ratio. When PNB = 1, nutrient removal is in equilibrium with N input. When PNB&lt; 1nutrient removal is less than the N input and PNB&gt; 1, more N is being removed than is being supplied, which indicates that the soil is being mined of nutrients, eventually depleting the soil fertility. It was calculated as per the formula (Norton et al., 2014),</w:t>
      </w:r>
    </w:p>
    <w:p w:rsidR="00B74AE5" w:rsidRDefault="002B21F9">
      <w:pPr>
        <w:tabs>
          <w:tab w:val="left" w:pos="270"/>
        </w:tabs>
        <w:spacing w:before="120" w:after="120" w:line="360" w:lineRule="auto"/>
        <w:jc w:val="both"/>
        <w:rPr>
          <w:rFonts w:ascii="Times New Roman" w:hAnsi="Times New Roman" w:cs="Times New Roman"/>
          <w:sz w:val="24"/>
          <w:szCs w:val="24"/>
        </w:rPr>
      </w:pPr>
      <w:r>
        <w:rPr>
          <w:rFonts w:ascii="Times New Roman" w:eastAsia="Calibri" w:hAnsi="Times New Roman" w:cs="Times New Roman"/>
          <w:b/>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1838325</wp:posOffset>
                </wp:positionH>
                <wp:positionV relativeFrom="paragraph">
                  <wp:posOffset>219075</wp:posOffset>
                </wp:positionV>
                <wp:extent cx="3762375" cy="1905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62375" cy="19050"/>
                        </a:xfrm>
                        <a:prstGeom prst="straightConnector1">
                          <a:avLst/>
                        </a:prstGeom>
                        <a:noFill/>
                        <a:ln w="9525">
                          <a:solidFill>
                            <a:srgbClr val="000000"/>
                          </a:solidFill>
                          <a:round/>
                        </a:ln>
                      </wps:spPr>
                      <wps:bodyPr/>
                    </wps:wsp>
                  </a:graphicData>
                </a:graphic>
              </wp:anchor>
            </w:drawing>
          </mc:Choice>
          <mc:Fallback>
            <w:pict>
              <v:shape w14:anchorId="3D1D2F05" id="Straight Arrow Connector 1" o:spid="_x0000_s1026" type="#_x0000_t32" style="position:absolute;margin-left:144.75pt;margin-top:17.25pt;width:296.25pt;height: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My0QEAAIEDAAAOAAAAZHJzL2Uyb0RvYy54bWysU8FuGjEQvVfqP1i+l12ISJoVS1QRpZe0&#10;RSLt3djeXau2xxobFv6+Y0NI096icLDwzLzneW9mF3cHZ9leYzTgWz6d1JxpL0EZ37f859PDp8+c&#10;xSS8Eha8bvlRR363/PhhMYZGz2AAqzQyIvGxGUPLh5RCU1VRDtqJOIGgPSU7QCcSXbGvFIqR2J2t&#10;ZnV9XY2AKiBIHSNF709Jviz8Xadl+tF1USdmW069pXJiObf5rJYL0fQowmDkuQ3xhi6cMJ4evVDd&#10;iyTYDs1/VM5IhAhdmkhwFXSdkbpoIDXT+h81m0EEXbSQOTFcbIrvRyu/79fIjKLZceaFoxFtEgrT&#10;D4l9QYSRrcB7shGQTbNbY4gNgVZ+jVmvPPhNeAT5OzIPq0H4Xpeun46BqAqiegXJlxjoze34DRTV&#10;iF2CYt2hQ8c6a8KvDMzkZA87lFkdL7PSh8QkBa9urmdXN3POJOWmt/W8zLISTabJ4IAxfdXgWP7T&#10;8nhWdZFzekLsH2MiWQR8BmSwhwdjbVkO69nY8tv5bF56imCNyslcFrHfriyyvcjrVX7ZIyJ7VYaw&#10;8+oUt57Szx6c3NyCOq4xp3Oc5lwIzjuZF+nve6l6+XKWfwAAAP//AwBQSwMEFAAGAAgAAAAhANs7&#10;T57eAAAACQEAAA8AAABkcnMvZG93bnJldi54bWxMj81OxDAMhO9IvENkJG5sStmfUJquEBKIA6rE&#10;AvdsY9pC45Qm23bfHu8JTpY9o/E3+XZ2nRhxCK0nDdeLBARS5W1LtYb3t8crBSJEQ9Z0nlDDEQNs&#10;i/Oz3GTWT/SK4y7WgkMoZEZDE2OfSRmqBp0JC98jsfbpB2cir0Mt7WAmDnedTJNkLZ1piT80pseH&#10;Bqvv3cFp+KHN8WMpR/VVlnH99PxSE5aT1pcX8/0diIhz/DPDCZ/RoWCmvT+QDaLTkKrbFVs13Cx5&#10;skGplMvt+bBZgSxy+b9B8QsAAP//AwBQSwECLQAUAAYACAAAACEAtoM4kv4AAADhAQAAEwAAAAAA&#10;AAAAAAAAAAAAAAAAW0NvbnRlbnRfVHlwZXNdLnhtbFBLAQItABQABgAIAAAAIQA4/SH/1gAAAJQB&#10;AAALAAAAAAAAAAAAAAAAAC8BAABfcmVscy8ucmVsc1BLAQItABQABgAIAAAAIQACxVMy0QEAAIED&#10;AAAOAAAAAAAAAAAAAAAAAC4CAABkcnMvZTJvRG9jLnhtbFBLAQItABQABgAIAAAAIQDbO0+e3gAA&#10;AAkBAAAPAAAAAAAAAAAAAAAAACsEAABkcnMvZG93bnJldi54bWxQSwUGAAAAAAQABADzAAAANgUA&#10;AAAA&#10;"/>
            </w:pict>
          </mc:Fallback>
        </mc:AlternateConten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PNB = </w:t>
      </w:r>
      <w:r>
        <w:rPr>
          <w:rFonts w:ascii="Times New Roman" w:hAnsi="Times New Roman" w:cs="Times New Roman"/>
          <w:sz w:val="24"/>
          <w:szCs w:val="24"/>
        </w:rPr>
        <w:t>Total nutrient uptake (grain + straw) from all sources (kg ha</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B74AE5" w:rsidRDefault="002B21F9">
      <w:pPr>
        <w:tabs>
          <w:tab w:val="left" w:pos="270"/>
        </w:tabs>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Total amount of nutrient applied (kg ha</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Statistical analysis:</w:t>
      </w:r>
      <w:r>
        <w:rPr>
          <w:rFonts w:ascii="Times New Roman" w:hAnsi="Times New Roman" w:cs="Times New Roman"/>
          <w:sz w:val="24"/>
          <w:szCs w:val="24"/>
        </w:rPr>
        <w:t xml:space="preserve"> All the data collected during the experimental study pertaining to parameters were subjected to statistical scrutiny by analysis of variance technique for randomized block design with factorial concept suggested by Gomez and Gomez (1984). The statistical significance was tested with ‘F’ test at 5% level of significance and for the significant values, critical difference (CD) was worked out to test the significance.</w:t>
      </w: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RESULTS AND DISCUSSION</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i/>
          <w:iCs/>
          <w:sz w:val="24"/>
          <w:szCs w:val="24"/>
        </w:rPr>
        <w:t>Soil fertility status:</w:t>
      </w:r>
      <w:r>
        <w:rPr>
          <w:rFonts w:ascii="Times New Roman" w:hAnsi="Times New Roman" w:cs="Times New Roman"/>
          <w:b/>
          <w:sz w:val="24"/>
          <w:szCs w:val="24"/>
        </w:rPr>
        <w:t xml:space="preserve"> </w:t>
      </w:r>
      <w:r>
        <w:rPr>
          <w:rFonts w:ascii="Times New Roman" w:hAnsi="Times New Roman" w:cs="Times New Roman"/>
          <w:sz w:val="24"/>
          <w:szCs w:val="24"/>
        </w:rPr>
        <w:t>There was no significant change in the soil available N, P, K, Fe and Zinc status. However, INM treatment plots resulted in higher fertility status over chemically fertilized plots. Decomposition of organic matter produces acids, which would cause the release of nutrients into the soil. Combined application of 100% RDN through chemical fertilizer and 25% RDN through vermicompost resulted in maximum nutrient availability which may be due to increased mineralization, improved soil properties and reduced N losses, thus making their availability throughout the crop growth period. CO</w:t>
      </w:r>
      <w:r>
        <w:rPr>
          <w:rFonts w:ascii="Times New Roman" w:hAnsi="Times New Roman" w:cs="Times New Roman"/>
          <w:sz w:val="24"/>
          <w:szCs w:val="24"/>
          <w:vertAlign w:val="subscript"/>
        </w:rPr>
        <w:t>2</w:t>
      </w:r>
      <w:r>
        <w:rPr>
          <w:rFonts w:ascii="Times New Roman" w:hAnsi="Times New Roman" w:cs="Times New Roman"/>
          <w:sz w:val="24"/>
          <w:szCs w:val="24"/>
        </w:rPr>
        <w:t xml:space="preserve"> produced during mineralization of organic matter helps in mineralization of native soil P. Available K pool increases due to the fact that interaction of organic matter besides increasing the release of fixed K, it also reduces fixation of K. Micronutrients like Zn and Fe was also higher in vermicompost treated plots. This may be ascribed due to the fact that vermicompost contains higher content of Fe and Zn comparative to poultry manure and FYM. Foliar application of micronutrients did not influence the soil fertility as there was no interaction with soil. These results were on conformity with the findings of </w:t>
      </w:r>
      <w:proofErr w:type="spellStart"/>
      <w:r>
        <w:rPr>
          <w:rFonts w:ascii="Times New Roman" w:hAnsi="Times New Roman" w:cs="Times New Roman"/>
          <w:sz w:val="24"/>
          <w:szCs w:val="24"/>
        </w:rPr>
        <w:t>Harikesh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Basha and </w:t>
      </w:r>
      <w:proofErr w:type="spellStart"/>
      <w:r>
        <w:rPr>
          <w:rFonts w:ascii="Times New Roman" w:hAnsi="Times New Roman" w:cs="Times New Roman"/>
          <w:sz w:val="24"/>
          <w:szCs w:val="24"/>
        </w:rPr>
        <w:t>Basavarajappa</w:t>
      </w:r>
      <w:proofErr w:type="spellEnd"/>
      <w:r>
        <w:rPr>
          <w:rFonts w:ascii="Times New Roman" w:hAnsi="Times New Roman" w:cs="Times New Roman"/>
          <w:sz w:val="24"/>
          <w:szCs w:val="24"/>
        </w:rPr>
        <w:t xml:space="preserve">, (2015) and </w:t>
      </w:r>
      <w:proofErr w:type="spellStart"/>
      <w:r>
        <w:rPr>
          <w:rFonts w:ascii="Times New Roman" w:hAnsi="Times New Roman" w:cs="Times New Roman"/>
          <w:sz w:val="24"/>
          <w:szCs w:val="24"/>
        </w:rPr>
        <w:t>Bharose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(2017).</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b/>
          <w:i/>
          <w:iCs/>
          <w:sz w:val="24"/>
          <w:szCs w:val="24"/>
        </w:rPr>
        <w:t>Nutrient use efficiency:</w:t>
      </w:r>
      <w:r>
        <w:rPr>
          <w:rFonts w:ascii="Times New Roman" w:hAnsi="Times New Roman" w:cs="Times New Roman"/>
          <w:b/>
          <w:sz w:val="24"/>
          <w:szCs w:val="24"/>
        </w:rPr>
        <w:t xml:space="preserve"> </w:t>
      </w:r>
      <w:r>
        <w:rPr>
          <w:rFonts w:ascii="Times New Roman" w:hAnsi="Times New Roman" w:cs="Times New Roman"/>
          <w:sz w:val="24"/>
          <w:szCs w:val="24"/>
        </w:rPr>
        <w:t>Adoption of inefficient N management practices is responsible for low partial factor productivity, internal utilization efficiency and partial nutrient balance. From Table 9, it can be inferred that application of 75 % RDN through chemical fertilizer and 25 % RDN through poultry manure resulted in significantly higher partial factor productivity (45.24). Higher PFP</w:t>
      </w:r>
      <w:r>
        <w:rPr>
          <w:rFonts w:ascii="Times New Roman" w:hAnsi="Times New Roman" w:cs="Times New Roman"/>
          <w:sz w:val="24"/>
          <w:szCs w:val="24"/>
          <w:vertAlign w:val="subscript"/>
        </w:rPr>
        <w:t>N</w:t>
      </w:r>
      <w:r>
        <w:rPr>
          <w:rFonts w:ascii="Times New Roman" w:hAnsi="Times New Roman" w:cs="Times New Roman"/>
          <w:sz w:val="24"/>
          <w:szCs w:val="24"/>
        </w:rPr>
        <w:t xml:space="preserve"> might be due to improved growth of crops. It can be observed that sole application of chemical fertilizer and higher doses of fertilizer resulted in lower PFP</w:t>
      </w:r>
      <w:r>
        <w:rPr>
          <w:rFonts w:ascii="Times New Roman" w:hAnsi="Times New Roman" w:cs="Times New Roman"/>
          <w:sz w:val="24"/>
          <w:szCs w:val="24"/>
          <w:vertAlign w:val="subscript"/>
        </w:rPr>
        <w:t>N</w:t>
      </w:r>
      <w:r>
        <w:rPr>
          <w:rFonts w:ascii="Times New Roman" w:hAnsi="Times New Roman" w:cs="Times New Roman"/>
          <w:sz w:val="24"/>
          <w:szCs w:val="24"/>
        </w:rPr>
        <w:t xml:space="preserve">. Decline in partial factor productivity for N may be attributed to nutrient imbalance, reduced crop growth (Karim and Ramasamy, 2000). If increase in fertilizer amount does not increase the yield enough, then also </w:t>
      </w:r>
      <w:r>
        <w:rPr>
          <w:rFonts w:ascii="Times New Roman" w:hAnsi="Times New Roman" w:cs="Times New Roman"/>
          <w:sz w:val="24"/>
          <w:szCs w:val="24"/>
        </w:rPr>
        <w:lastRenderedPageBreak/>
        <w:t xml:space="preserve">there will be reduction in partial factor productivity. Similar result of lower partial factor productivity with increase in fertilizer N dose was reported by Bhavana </w:t>
      </w:r>
      <w:r>
        <w:rPr>
          <w:rFonts w:ascii="Times New Roman" w:hAnsi="Times New Roman" w:cs="Times New Roman"/>
          <w:i/>
          <w:sz w:val="24"/>
          <w:szCs w:val="24"/>
        </w:rPr>
        <w:t>et al.,</w:t>
      </w:r>
      <w:r>
        <w:rPr>
          <w:rFonts w:ascii="Times New Roman" w:hAnsi="Times New Roman" w:cs="Times New Roman"/>
          <w:sz w:val="24"/>
          <w:szCs w:val="24"/>
        </w:rPr>
        <w:t xml:space="preserve"> 2020 in rice crop.</w:t>
      </w:r>
    </w:p>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Although internal utilization efficiency was not significantly affected by integrated nutrient management practices and micronutrient treatments, maximum internal utilization efficiency (49.72) was observed with integrated application of 75 % RDN through chemical fertilizers and 25 % RDN through farm yard manure among nutrient management practices and with foliar application of FeSO</w:t>
      </w:r>
      <w:r>
        <w:rPr>
          <w:rFonts w:ascii="Times New Roman" w:hAnsi="Times New Roman" w:cs="Times New Roman"/>
          <w:sz w:val="24"/>
          <w:szCs w:val="24"/>
          <w:vertAlign w:val="subscript"/>
        </w:rPr>
        <w:t>4</w:t>
      </w:r>
      <w:r>
        <w:rPr>
          <w:rFonts w:ascii="Times New Roman" w:hAnsi="Times New Roman" w:cs="Times New Roman"/>
          <w:sz w:val="24"/>
          <w:szCs w:val="24"/>
        </w:rPr>
        <w:t>@ 1% alone among the micronutrient treatments (50.44). Partial nutrient balance was significantly influenced by both integrated nutrient management and micronutrient treatments. Application of 75 % RDN through chemical fertilizer along with 25 % RDN through poultry manure resulted in significantly higher partial nutrient balance (0.94) among the INM practices. It can also be observed that INM practices resulted in PNB near to 1. This indicates that input of fertilizer is almost equal to the nitrogen removal by the crop. This might be due to the fact that INM practices resulted in adequate and prolonged supply of macro and micronutrients through decomposition of organic manures.</w:t>
      </w:r>
    </w:p>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ab/>
        <w:t>Among the micronutrient treatments, combined application of FeSO</w:t>
      </w:r>
      <w:r>
        <w:rPr>
          <w:rFonts w:ascii="Times New Roman" w:hAnsi="Times New Roman" w:cs="Times New Roman"/>
          <w:sz w:val="24"/>
          <w:szCs w:val="24"/>
          <w:vertAlign w:val="subscript"/>
        </w:rPr>
        <w:t xml:space="preserve">4 </w:t>
      </w:r>
      <w:r>
        <w:rPr>
          <w:rFonts w:ascii="Times New Roman" w:hAnsi="Times New Roman" w:cs="Times New Roman"/>
          <w:sz w:val="24"/>
          <w:szCs w:val="24"/>
        </w:rPr>
        <w:t>@ 1%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 0.5% twice at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and panicle emergence resulted in significantly higher PNB (0.84). This might be due to better growth of crop thereby resulting in higher nutrient uptake </w:t>
      </w:r>
      <w:r>
        <w:rPr>
          <w:rFonts w:ascii="Times New Roman" w:hAnsi="Times New Roman" w:cs="Times New Roman"/>
          <w:i/>
          <w:sz w:val="24"/>
          <w:szCs w:val="24"/>
        </w:rPr>
        <w:t>i.e.,</w:t>
      </w:r>
      <w:r>
        <w:rPr>
          <w:rFonts w:ascii="Times New Roman" w:hAnsi="Times New Roman" w:cs="Times New Roman"/>
          <w:sz w:val="24"/>
          <w:szCs w:val="24"/>
        </w:rPr>
        <w:t xml:space="preserve"> utilization of nutrients applied by the rice crop.</w:t>
      </w: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rsidR="00B74AE5" w:rsidRDefault="002B21F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Integrated nutrient management (INM) combined with micronutrient foliar sprays enhanced nutrient use efficiency and maintained soil fertility under aerobic rice cultivation in calcareous soils. Application of 100% of the recommended nitrogen dose (RDN) through chemical fertilizers with 25% RDN from vermicompost recorded higher post-harvest soil fertility in terms of available N, P, and K, while application of 75% RDN through chemical fertilizers with 25% RDN from poultry manure resulted in greater partial factor productivity and nutrient balance. Farmyard manure improved internal utilization efficiency, and foliar application of </w:t>
      </w:r>
      <w:proofErr w:type="spellStart"/>
      <w:r>
        <w:rPr>
          <w:rFonts w:ascii="Times New Roman" w:hAnsi="Times New Roman" w:cs="Times New Roman"/>
          <w:sz w:val="24"/>
          <w:szCs w:val="24"/>
        </w:rPr>
        <w:t>FeSO</w:t>
      </w:r>
      <w:proofErr w:type="spellEnd"/>
      <w:r>
        <w:rPr>
          <w:rFonts w:ascii="Times New Roman" w:hAnsi="Times New Roman" w:cs="Times New Roman"/>
          <w:sz w:val="24"/>
          <w:szCs w:val="24"/>
        </w:rPr>
        <w:t xml:space="preserve">₄ and </w:t>
      </w:r>
      <w:proofErr w:type="spellStart"/>
      <w:r>
        <w:rPr>
          <w:rFonts w:ascii="Times New Roman" w:hAnsi="Times New Roman" w:cs="Times New Roman"/>
          <w:sz w:val="24"/>
          <w:szCs w:val="24"/>
        </w:rPr>
        <w:t>ZnSO</w:t>
      </w:r>
      <w:proofErr w:type="spellEnd"/>
      <w:r>
        <w:rPr>
          <w:rFonts w:ascii="Times New Roman" w:hAnsi="Times New Roman" w:cs="Times New Roman"/>
          <w:sz w:val="24"/>
          <w:szCs w:val="24"/>
        </w:rPr>
        <w:t>₄ further supported yield performance without directly altering soil fertility. The integration of organic manures with chemical fertilizers and micronutrient sprays therefore provides a sustainable and resource-efficient strategy to enhance soil fertility, nutrient efficiency, and productivity in aerobic rice systems.</w:t>
      </w:r>
    </w:p>
    <w:p w:rsidR="00B74AE5" w:rsidRDefault="002B21F9">
      <w:pPr>
        <w:spacing w:before="120" w:after="12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Basha, S.J and </w:t>
      </w:r>
      <w:proofErr w:type="spellStart"/>
      <w:r>
        <w:rPr>
          <w:rFonts w:ascii="Times New Roman" w:hAnsi="Times New Roman" w:cs="Times New Roman"/>
          <w:color w:val="000000" w:themeColor="text1"/>
          <w:sz w:val="24"/>
          <w:szCs w:val="24"/>
        </w:rPr>
        <w:t>Basavarajappa</w:t>
      </w:r>
      <w:proofErr w:type="spellEnd"/>
      <w:r>
        <w:rPr>
          <w:rFonts w:ascii="Times New Roman" w:hAnsi="Times New Roman" w:cs="Times New Roman"/>
          <w:color w:val="000000" w:themeColor="text1"/>
          <w:sz w:val="24"/>
          <w:szCs w:val="24"/>
        </w:rPr>
        <w:t xml:space="preserve">, R. 2015. Effect of organic and inorganic sources of nutrients on soil chemical properties under aerobic rice cultivation. </w:t>
      </w:r>
      <w:r>
        <w:rPr>
          <w:rFonts w:ascii="Times New Roman" w:hAnsi="Times New Roman" w:cs="Times New Roman"/>
          <w:i/>
          <w:color w:val="000000" w:themeColor="text1"/>
          <w:sz w:val="24"/>
          <w:szCs w:val="24"/>
        </w:rPr>
        <w:t>Karnataka Journal of Agricultural Sciences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28</w:t>
      </w:r>
      <w:r>
        <w:rPr>
          <w:rFonts w:ascii="Times New Roman" w:hAnsi="Times New Roman" w:cs="Times New Roman"/>
          <w:color w:val="000000" w:themeColor="text1"/>
          <w:sz w:val="24"/>
          <w:szCs w:val="24"/>
        </w:rPr>
        <w:t>(4): 489-493.</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Bharose</w:t>
      </w:r>
      <w:proofErr w:type="spellEnd"/>
      <w:r>
        <w:rPr>
          <w:rFonts w:ascii="Times New Roman" w:hAnsi="Times New Roman" w:cs="Times New Roman"/>
          <w:color w:val="000000" w:themeColor="text1"/>
          <w:sz w:val="24"/>
          <w:szCs w:val="24"/>
        </w:rPr>
        <w:t xml:space="preserve">, R., Kumar, S., Zaidi, S.F.A., </w:t>
      </w:r>
      <w:proofErr w:type="spellStart"/>
      <w:r>
        <w:rPr>
          <w:rFonts w:ascii="Times New Roman" w:hAnsi="Times New Roman" w:cs="Times New Roman"/>
          <w:color w:val="000000" w:themeColor="text1"/>
          <w:sz w:val="24"/>
          <w:szCs w:val="24"/>
        </w:rPr>
        <w:t>Sairiti</w:t>
      </w:r>
      <w:proofErr w:type="spellEnd"/>
      <w:r>
        <w:rPr>
          <w:rFonts w:ascii="Times New Roman" w:hAnsi="Times New Roman" w:cs="Times New Roman"/>
          <w:color w:val="000000" w:themeColor="text1"/>
          <w:sz w:val="24"/>
          <w:szCs w:val="24"/>
        </w:rPr>
        <w:t>., Kumar, M. and Kumar, D. 2017. Effect of integrated nutrient management on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productivity and soil fertility. </w:t>
      </w:r>
      <w:r>
        <w:rPr>
          <w:rFonts w:ascii="Times New Roman" w:hAnsi="Times New Roman" w:cs="Times New Roman"/>
          <w:i/>
          <w:color w:val="000000" w:themeColor="text1"/>
          <w:sz w:val="24"/>
          <w:szCs w:val="24"/>
          <w:shd w:val="clear" w:color="auto" w:fill="FFFFFF"/>
        </w:rPr>
        <w:t xml:space="preserve">J. </w:t>
      </w:r>
      <w:proofErr w:type="spellStart"/>
      <w:r>
        <w:rPr>
          <w:rFonts w:ascii="Times New Roman" w:hAnsi="Times New Roman" w:cs="Times New Roman"/>
          <w:i/>
          <w:color w:val="000000" w:themeColor="text1"/>
          <w:sz w:val="24"/>
          <w:szCs w:val="24"/>
          <w:shd w:val="clear" w:color="auto" w:fill="FFFFFF"/>
        </w:rPr>
        <w:t>pharmacogn</w:t>
      </w:r>
      <w:proofErr w:type="spellEnd"/>
      <w:r>
        <w:rPr>
          <w:rFonts w:ascii="Times New Roman" w:hAnsi="Times New Roman" w:cs="Times New Roman"/>
          <w:i/>
          <w:color w:val="000000" w:themeColor="text1"/>
          <w:sz w:val="24"/>
          <w:szCs w:val="24"/>
          <w:shd w:val="clear" w:color="auto" w:fill="FFFFFF"/>
        </w:rPr>
        <w:t xml:space="preserve">. </w:t>
      </w:r>
      <w:proofErr w:type="spellStart"/>
      <w:r>
        <w:rPr>
          <w:rFonts w:ascii="Times New Roman" w:hAnsi="Times New Roman" w:cs="Times New Roman"/>
          <w:i/>
          <w:color w:val="000000" w:themeColor="text1"/>
          <w:sz w:val="24"/>
          <w:szCs w:val="24"/>
          <w:shd w:val="clear" w:color="auto" w:fill="FFFFFF"/>
        </w:rPr>
        <w:t>phytoch</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278-280.</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Bhavana, B., </w:t>
      </w:r>
      <w:proofErr w:type="spellStart"/>
      <w:r>
        <w:rPr>
          <w:rFonts w:ascii="Times New Roman" w:hAnsi="Times New Roman" w:cs="Times New Roman"/>
          <w:color w:val="000000" w:themeColor="text1"/>
          <w:sz w:val="24"/>
          <w:szCs w:val="24"/>
        </w:rPr>
        <w:t>Laxminarayana</w:t>
      </w:r>
      <w:proofErr w:type="spellEnd"/>
      <w:r>
        <w:rPr>
          <w:rFonts w:ascii="Times New Roman" w:hAnsi="Times New Roman" w:cs="Times New Roman"/>
          <w:color w:val="000000" w:themeColor="text1"/>
          <w:sz w:val="24"/>
          <w:szCs w:val="24"/>
        </w:rPr>
        <w:t xml:space="preserve">, P., </w:t>
      </w:r>
      <w:proofErr w:type="spellStart"/>
      <w:r>
        <w:rPr>
          <w:rFonts w:ascii="Times New Roman" w:hAnsi="Times New Roman" w:cs="Times New Roman"/>
          <w:color w:val="000000" w:themeColor="text1"/>
          <w:sz w:val="24"/>
          <w:szCs w:val="24"/>
        </w:rPr>
        <w:t>Latha</w:t>
      </w:r>
      <w:proofErr w:type="spellEnd"/>
      <w:r>
        <w:rPr>
          <w:rFonts w:ascii="Times New Roman" w:hAnsi="Times New Roman" w:cs="Times New Roman"/>
          <w:color w:val="000000" w:themeColor="text1"/>
          <w:sz w:val="24"/>
          <w:szCs w:val="24"/>
        </w:rPr>
        <w:t xml:space="preserve">, A.M and </w:t>
      </w:r>
      <w:proofErr w:type="spellStart"/>
      <w:r>
        <w:rPr>
          <w:rFonts w:ascii="Times New Roman" w:hAnsi="Times New Roman" w:cs="Times New Roman"/>
          <w:color w:val="000000" w:themeColor="text1"/>
          <w:sz w:val="24"/>
          <w:szCs w:val="24"/>
        </w:rPr>
        <w:t>Anjiah</w:t>
      </w:r>
      <w:proofErr w:type="spellEnd"/>
      <w:r>
        <w:rPr>
          <w:rFonts w:ascii="Times New Roman" w:hAnsi="Times New Roman" w:cs="Times New Roman"/>
          <w:color w:val="000000" w:themeColor="text1"/>
          <w:sz w:val="24"/>
          <w:szCs w:val="24"/>
        </w:rPr>
        <w:t xml:space="preserve">, T. 2020. Need based nitrogen management using leaf </w:t>
      </w:r>
      <w:proofErr w:type="spellStart"/>
      <w:r>
        <w:rPr>
          <w:rFonts w:ascii="Times New Roman" w:hAnsi="Times New Roman" w:cs="Times New Roman"/>
          <w:color w:val="000000" w:themeColor="text1"/>
          <w:sz w:val="24"/>
          <w:szCs w:val="24"/>
        </w:rPr>
        <w:t>colour</w:t>
      </w:r>
      <w:proofErr w:type="spellEnd"/>
      <w:r>
        <w:rPr>
          <w:rFonts w:ascii="Times New Roman" w:hAnsi="Times New Roman" w:cs="Times New Roman"/>
          <w:color w:val="000000" w:themeColor="text1"/>
          <w:sz w:val="24"/>
          <w:szCs w:val="24"/>
        </w:rPr>
        <w:t xml:space="preserve"> chat for short duration transplanted rice: Effect on nitrogen use efficiency. </w:t>
      </w:r>
      <w:r>
        <w:rPr>
          <w:rFonts w:ascii="Times New Roman" w:hAnsi="Times New Roman" w:cs="Times New Roman"/>
          <w:i/>
          <w:color w:val="000000" w:themeColor="text1"/>
          <w:sz w:val="24"/>
          <w:szCs w:val="24"/>
          <w:shd w:val="clear" w:color="auto" w:fill="FFFFFF"/>
        </w:rPr>
        <w:t xml:space="preserve">J. </w:t>
      </w:r>
      <w:proofErr w:type="spellStart"/>
      <w:r>
        <w:rPr>
          <w:rFonts w:ascii="Times New Roman" w:hAnsi="Times New Roman" w:cs="Times New Roman"/>
          <w:i/>
          <w:color w:val="000000" w:themeColor="text1"/>
          <w:sz w:val="24"/>
          <w:szCs w:val="24"/>
          <w:shd w:val="clear" w:color="auto" w:fill="FFFFFF"/>
        </w:rPr>
        <w:t>pharmacogn</w:t>
      </w:r>
      <w:proofErr w:type="spellEnd"/>
      <w:r>
        <w:rPr>
          <w:rFonts w:ascii="Times New Roman" w:hAnsi="Times New Roman" w:cs="Times New Roman"/>
          <w:i/>
          <w:color w:val="000000" w:themeColor="text1"/>
          <w:sz w:val="24"/>
          <w:szCs w:val="24"/>
          <w:shd w:val="clear" w:color="auto" w:fill="FFFFFF"/>
        </w:rPr>
        <w:t xml:space="preserve">. </w:t>
      </w:r>
      <w:proofErr w:type="spellStart"/>
      <w:r>
        <w:rPr>
          <w:rFonts w:ascii="Times New Roman" w:hAnsi="Times New Roman" w:cs="Times New Roman"/>
          <w:i/>
          <w:color w:val="000000" w:themeColor="text1"/>
          <w:sz w:val="24"/>
          <w:szCs w:val="24"/>
          <w:shd w:val="clear" w:color="auto" w:fill="FFFFFF"/>
        </w:rPr>
        <w:t>phytoch</w:t>
      </w:r>
      <w:proofErr w:type="spellEnd"/>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9</w:t>
      </w:r>
      <w:r>
        <w:rPr>
          <w:rFonts w:ascii="Times New Roman" w:hAnsi="Times New Roman" w:cs="Times New Roman"/>
          <w:color w:val="000000" w:themeColor="text1"/>
          <w:sz w:val="24"/>
          <w:szCs w:val="24"/>
        </w:rPr>
        <w:t>(3): 1704-1709.</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Bouman</w:t>
      </w:r>
      <w:proofErr w:type="spellEnd"/>
      <w:r>
        <w:rPr>
          <w:rFonts w:ascii="Times New Roman" w:hAnsi="Times New Roman" w:cs="Times New Roman"/>
          <w:color w:val="000000" w:themeColor="text1"/>
          <w:sz w:val="24"/>
          <w:szCs w:val="24"/>
        </w:rPr>
        <w:t xml:space="preserve">, B.A.M., Humphrey, E., </w:t>
      </w:r>
      <w:proofErr w:type="spellStart"/>
      <w:r>
        <w:rPr>
          <w:rFonts w:ascii="Times New Roman" w:hAnsi="Times New Roman" w:cs="Times New Roman"/>
          <w:color w:val="000000" w:themeColor="text1"/>
          <w:sz w:val="24"/>
          <w:szCs w:val="24"/>
        </w:rPr>
        <w:t>Toung</w:t>
      </w:r>
      <w:proofErr w:type="spellEnd"/>
      <w:r>
        <w:rPr>
          <w:rFonts w:ascii="Times New Roman" w:hAnsi="Times New Roman" w:cs="Times New Roman"/>
          <w:color w:val="000000" w:themeColor="text1"/>
          <w:sz w:val="24"/>
          <w:szCs w:val="24"/>
        </w:rPr>
        <w:t xml:space="preserve">, T.P. and Barker, R. 2007. Rice and water. </w:t>
      </w:r>
      <w:r>
        <w:rPr>
          <w:rFonts w:ascii="Times New Roman" w:hAnsi="Times New Roman" w:cs="Times New Roman"/>
          <w:i/>
          <w:color w:val="000000" w:themeColor="text1"/>
          <w:sz w:val="24"/>
          <w:szCs w:val="24"/>
          <w:shd w:val="clear" w:color="auto" w:fill="FFFFFF"/>
        </w:rPr>
        <w:t xml:space="preserve">Adv. </w:t>
      </w:r>
      <w:proofErr w:type="spellStart"/>
      <w:r>
        <w:rPr>
          <w:rFonts w:ascii="Times New Roman" w:hAnsi="Times New Roman" w:cs="Times New Roman"/>
          <w:i/>
          <w:color w:val="000000" w:themeColor="text1"/>
          <w:sz w:val="24"/>
          <w:szCs w:val="24"/>
          <w:shd w:val="clear" w:color="auto" w:fill="FFFFFF"/>
        </w:rPr>
        <w:t>Agron</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92</w:t>
      </w:r>
      <w:r>
        <w:rPr>
          <w:rFonts w:ascii="Times New Roman" w:hAnsi="Times New Roman" w:cs="Times New Roman"/>
          <w:color w:val="000000" w:themeColor="text1"/>
          <w:sz w:val="24"/>
          <w:szCs w:val="24"/>
        </w:rPr>
        <w:t>: 187-237.</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Bremner</w:t>
      </w:r>
      <w:proofErr w:type="spellEnd"/>
      <w:r>
        <w:rPr>
          <w:rFonts w:ascii="Times New Roman" w:hAnsi="Times New Roman" w:cs="Times New Roman"/>
          <w:color w:val="000000" w:themeColor="text1"/>
          <w:sz w:val="24"/>
          <w:szCs w:val="24"/>
        </w:rPr>
        <w:t xml:space="preserve">, J. M. and Mulvaney, C. S. 1982. Nitrogen-Total. pp. 595-624, In: Page, A. L. </w:t>
      </w:r>
      <w:r>
        <w:rPr>
          <w:rFonts w:ascii="Times New Roman" w:hAnsi="Times New Roman" w:cs="Times New Roman"/>
          <w:i/>
          <w:color w:val="000000" w:themeColor="text1"/>
          <w:sz w:val="24"/>
          <w:szCs w:val="24"/>
        </w:rPr>
        <w:t xml:space="preserve">et al. </w:t>
      </w:r>
      <w:r>
        <w:rPr>
          <w:rFonts w:ascii="Times New Roman" w:hAnsi="Times New Roman" w:cs="Times New Roman"/>
          <w:color w:val="000000" w:themeColor="text1"/>
          <w:sz w:val="24"/>
          <w:szCs w:val="24"/>
        </w:rPr>
        <w:t xml:space="preserve">(ed.) </w:t>
      </w:r>
      <w:r>
        <w:rPr>
          <w:rFonts w:ascii="Times New Roman" w:hAnsi="Times New Roman" w:cs="Times New Roman"/>
          <w:i/>
          <w:color w:val="000000" w:themeColor="text1"/>
          <w:sz w:val="24"/>
          <w:szCs w:val="24"/>
        </w:rPr>
        <w:t>Methods of soil analysis</w:t>
      </w:r>
      <w:r>
        <w:rPr>
          <w:rFonts w:ascii="Times New Roman" w:hAnsi="Times New Roman" w:cs="Times New Roman"/>
          <w:color w:val="000000" w:themeColor="text1"/>
          <w:sz w:val="24"/>
          <w:szCs w:val="24"/>
        </w:rPr>
        <w:t>. Part 2. 2</w:t>
      </w:r>
      <w:r>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ed. Agronomy Monograph 9.</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Cassman</w:t>
      </w:r>
      <w:proofErr w:type="spellEnd"/>
      <w:r>
        <w:rPr>
          <w:rFonts w:ascii="Times New Roman" w:hAnsi="Times New Roman" w:cs="Times New Roman"/>
          <w:color w:val="000000" w:themeColor="text1"/>
          <w:sz w:val="24"/>
          <w:szCs w:val="24"/>
        </w:rPr>
        <w:t xml:space="preserve"> KG, Peng S, </w:t>
      </w:r>
      <w:proofErr w:type="spellStart"/>
      <w:r>
        <w:rPr>
          <w:rFonts w:ascii="Times New Roman" w:hAnsi="Times New Roman" w:cs="Times New Roman"/>
          <w:color w:val="000000" w:themeColor="text1"/>
          <w:sz w:val="24"/>
          <w:szCs w:val="24"/>
        </w:rPr>
        <w:t>Olk</w:t>
      </w:r>
      <w:proofErr w:type="spellEnd"/>
      <w:r>
        <w:rPr>
          <w:rFonts w:ascii="Times New Roman" w:hAnsi="Times New Roman" w:cs="Times New Roman"/>
          <w:color w:val="000000" w:themeColor="text1"/>
          <w:sz w:val="24"/>
          <w:szCs w:val="24"/>
        </w:rPr>
        <w:t xml:space="preserve"> DC, </w:t>
      </w:r>
      <w:proofErr w:type="spellStart"/>
      <w:r>
        <w:rPr>
          <w:rFonts w:ascii="Times New Roman" w:hAnsi="Times New Roman" w:cs="Times New Roman"/>
          <w:color w:val="000000" w:themeColor="text1"/>
          <w:sz w:val="24"/>
          <w:szCs w:val="24"/>
        </w:rPr>
        <w:t>Ladha</w:t>
      </w:r>
      <w:proofErr w:type="spellEnd"/>
      <w:r>
        <w:rPr>
          <w:rFonts w:ascii="Times New Roman" w:hAnsi="Times New Roman" w:cs="Times New Roman"/>
          <w:color w:val="000000" w:themeColor="text1"/>
          <w:sz w:val="24"/>
          <w:szCs w:val="24"/>
        </w:rPr>
        <w:t xml:space="preserve"> JK, Reichardt W, and Dobermann A. 1998. Opportunities for increased nitrogen use efficiency from improved resources management in irrigated lowland rice systems. </w:t>
      </w:r>
      <w:r>
        <w:rPr>
          <w:rFonts w:ascii="Times New Roman" w:hAnsi="Times New Roman" w:cs="Times New Roman"/>
          <w:i/>
          <w:color w:val="000000" w:themeColor="text1"/>
          <w:sz w:val="24"/>
          <w:szCs w:val="24"/>
        </w:rPr>
        <w:t>Field Crops Res.</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56</w:t>
      </w:r>
      <w:r>
        <w:rPr>
          <w:rFonts w:ascii="Times New Roman" w:hAnsi="Times New Roman" w:cs="Times New Roman"/>
          <w:color w:val="000000" w:themeColor="text1"/>
          <w:sz w:val="24"/>
          <w:szCs w:val="24"/>
        </w:rPr>
        <w:t>:7-38.</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Fageria</w:t>
      </w:r>
      <w:proofErr w:type="spellEnd"/>
      <w:r>
        <w:rPr>
          <w:rFonts w:ascii="Times New Roman" w:hAnsi="Times New Roman" w:cs="Times New Roman"/>
          <w:color w:val="000000" w:themeColor="text1"/>
          <w:sz w:val="24"/>
          <w:szCs w:val="24"/>
        </w:rPr>
        <w:t xml:space="preserve"> NK, </w:t>
      </w:r>
      <w:proofErr w:type="spellStart"/>
      <w:r>
        <w:rPr>
          <w:rFonts w:ascii="Times New Roman" w:hAnsi="Times New Roman" w:cs="Times New Roman"/>
          <w:color w:val="000000" w:themeColor="text1"/>
          <w:sz w:val="24"/>
          <w:szCs w:val="24"/>
        </w:rPr>
        <w:t>Baligar</w:t>
      </w:r>
      <w:proofErr w:type="spellEnd"/>
      <w:r>
        <w:rPr>
          <w:rFonts w:ascii="Times New Roman" w:hAnsi="Times New Roman" w:cs="Times New Roman"/>
          <w:color w:val="000000" w:themeColor="text1"/>
          <w:sz w:val="24"/>
          <w:szCs w:val="24"/>
        </w:rPr>
        <w:t xml:space="preserve"> VC. 2001. Lowland rice response to nitrogen fertilization. </w:t>
      </w:r>
      <w:proofErr w:type="spellStart"/>
      <w:r>
        <w:rPr>
          <w:rFonts w:ascii="Times New Roman" w:hAnsi="Times New Roman" w:cs="Times New Roman"/>
          <w:bCs/>
          <w:i/>
          <w:color w:val="000000" w:themeColor="text1"/>
          <w:sz w:val="24"/>
          <w:szCs w:val="24"/>
          <w:shd w:val="clear" w:color="auto" w:fill="FFFFFF"/>
        </w:rPr>
        <w:t>Commun</w:t>
      </w:r>
      <w:proofErr w:type="spellEnd"/>
      <w:r>
        <w:rPr>
          <w:rFonts w:ascii="Times New Roman" w:hAnsi="Times New Roman" w:cs="Times New Roman"/>
          <w:bCs/>
          <w:i/>
          <w:color w:val="000000" w:themeColor="text1"/>
          <w:sz w:val="24"/>
          <w:szCs w:val="24"/>
          <w:shd w:val="clear" w:color="auto" w:fill="FFFFFF"/>
        </w:rPr>
        <w:t xml:space="preserve"> Soil Sci Plant Anal</w:t>
      </w:r>
      <w:r>
        <w:rPr>
          <w:rFonts w:ascii="Times New Roman" w:hAnsi="Times New Roman" w:cs="Times New Roman"/>
          <w:i/>
          <w:color w:val="000000" w:themeColor="text1"/>
          <w:sz w:val="24"/>
          <w:szCs w:val="24"/>
          <w:shd w:val="clear" w:color="auto" w:fill="FFFFFF"/>
        </w:rPr>
        <w:t>.</w:t>
      </w:r>
      <w:r>
        <w:rPr>
          <w:rFonts w:ascii="Times New Roman" w:hAnsi="Times New Roman" w:cs="Times New Roman"/>
          <w:i/>
          <w:color w:val="000000" w:themeColor="text1"/>
          <w:sz w:val="24"/>
          <w:szCs w:val="24"/>
        </w:rPr>
        <w:t xml:space="preserve"> </w:t>
      </w:r>
      <w:r>
        <w:rPr>
          <w:rFonts w:ascii="Times New Roman" w:hAnsi="Times New Roman" w:cs="Times New Roman"/>
          <w:b/>
          <w:bCs/>
          <w:color w:val="000000" w:themeColor="text1"/>
          <w:sz w:val="24"/>
          <w:szCs w:val="24"/>
        </w:rPr>
        <w:t>32</w:t>
      </w:r>
      <w:r>
        <w:rPr>
          <w:rFonts w:ascii="Times New Roman" w:hAnsi="Times New Roman" w:cs="Times New Roman"/>
          <w:color w:val="000000" w:themeColor="text1"/>
          <w:sz w:val="24"/>
          <w:szCs w:val="24"/>
        </w:rPr>
        <w:t>(9-10):1405-1429.</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Gomez, K.A. and Gomez, A.A. 1984. </w:t>
      </w:r>
      <w:r>
        <w:rPr>
          <w:rFonts w:ascii="Times New Roman" w:hAnsi="Times New Roman" w:cs="Times New Roman"/>
          <w:i/>
          <w:color w:val="000000" w:themeColor="text1"/>
          <w:sz w:val="24"/>
          <w:szCs w:val="24"/>
        </w:rPr>
        <w:t>Statistical procedures for agricultural research</w:t>
      </w:r>
      <w:r>
        <w:rPr>
          <w:rFonts w:ascii="Times New Roman" w:hAnsi="Times New Roman" w:cs="Times New Roman"/>
          <w:color w:val="000000" w:themeColor="text1"/>
          <w:sz w:val="24"/>
          <w:szCs w:val="24"/>
        </w:rPr>
        <w:t xml:space="preserve">. Second Edition. An International Rice Research Institute Book. A Wiley-Inter-science Publication, John Wiley &amp; Sons, New York.  </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Grassi, C., </w:t>
      </w:r>
      <w:proofErr w:type="spellStart"/>
      <w:r>
        <w:rPr>
          <w:rFonts w:ascii="Times New Roman" w:hAnsi="Times New Roman" w:cs="Times New Roman"/>
          <w:color w:val="000000" w:themeColor="text1"/>
          <w:sz w:val="24"/>
          <w:szCs w:val="24"/>
        </w:rPr>
        <w:t>Bouman</w:t>
      </w:r>
      <w:proofErr w:type="spellEnd"/>
      <w:r>
        <w:rPr>
          <w:rFonts w:ascii="Times New Roman" w:hAnsi="Times New Roman" w:cs="Times New Roman"/>
          <w:color w:val="000000" w:themeColor="text1"/>
          <w:sz w:val="24"/>
          <w:szCs w:val="24"/>
        </w:rPr>
        <w:t xml:space="preserve">, B.A.M., Castaneda, A.R., </w:t>
      </w:r>
      <w:proofErr w:type="spellStart"/>
      <w:r>
        <w:rPr>
          <w:rFonts w:ascii="Times New Roman" w:hAnsi="Times New Roman" w:cs="Times New Roman"/>
          <w:color w:val="000000" w:themeColor="text1"/>
          <w:sz w:val="24"/>
          <w:szCs w:val="24"/>
        </w:rPr>
        <w:t>Manzelli</w:t>
      </w:r>
      <w:proofErr w:type="spellEnd"/>
      <w:r>
        <w:rPr>
          <w:rFonts w:ascii="Times New Roman" w:hAnsi="Times New Roman" w:cs="Times New Roman"/>
          <w:color w:val="000000" w:themeColor="text1"/>
          <w:sz w:val="24"/>
          <w:szCs w:val="24"/>
        </w:rPr>
        <w:t xml:space="preserve">, M. and Vecchio, V. 2009. Aerobic rice: crop performance and water use efficiency. </w:t>
      </w:r>
      <w:r>
        <w:rPr>
          <w:rFonts w:ascii="Times New Roman" w:hAnsi="Times New Roman" w:cs="Times New Roman"/>
          <w:i/>
          <w:color w:val="000000" w:themeColor="text1"/>
          <w:sz w:val="24"/>
          <w:szCs w:val="24"/>
          <w:shd w:val="clear" w:color="auto" w:fill="FFFFFF"/>
        </w:rPr>
        <w:t>J. Agric. Environ. Int. Dev.</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103</w:t>
      </w:r>
      <w:r>
        <w:rPr>
          <w:rFonts w:ascii="Times New Roman" w:hAnsi="Times New Roman" w:cs="Times New Roman"/>
          <w:color w:val="000000" w:themeColor="text1"/>
          <w:sz w:val="24"/>
          <w:szCs w:val="24"/>
        </w:rPr>
        <w:t>(4): 259-270.</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Harikesh</w:t>
      </w:r>
      <w:proofErr w:type="spellEnd"/>
      <w:r>
        <w:rPr>
          <w:rFonts w:ascii="Times New Roman" w:hAnsi="Times New Roman" w:cs="Times New Roman"/>
          <w:color w:val="000000" w:themeColor="text1"/>
          <w:sz w:val="24"/>
          <w:szCs w:val="24"/>
        </w:rPr>
        <w:t xml:space="preserve">., Ali, A., </w:t>
      </w:r>
      <w:proofErr w:type="spellStart"/>
      <w:r>
        <w:rPr>
          <w:rFonts w:ascii="Times New Roman" w:hAnsi="Times New Roman" w:cs="Times New Roman"/>
          <w:color w:val="000000" w:themeColor="text1"/>
          <w:sz w:val="24"/>
          <w:szCs w:val="24"/>
        </w:rPr>
        <w:t>Shivam</w:t>
      </w:r>
      <w:proofErr w:type="spellEnd"/>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Yadav, R.P., Kumar, S., Kumar, A. and Yadav, A. 2017. Effect of integrated nutrient management and plant geometry on growth and quality of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varieties under SRI technique.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proofErr w:type="spellStart"/>
      <w:r>
        <w:rPr>
          <w:rFonts w:ascii="Times New Roman" w:hAnsi="Times New Roman" w:cs="Times New Roman"/>
          <w:bCs/>
          <w:i/>
          <w:color w:val="000000" w:themeColor="text1"/>
          <w:sz w:val="24"/>
          <w:szCs w:val="24"/>
          <w:shd w:val="clear" w:color="auto" w:fill="FFFFFF"/>
        </w:rPr>
        <w:t>curr</w:t>
      </w:r>
      <w:proofErr w:type="spellEnd"/>
      <w:r>
        <w:rPr>
          <w:rFonts w:ascii="Times New Roman" w:hAnsi="Times New Roman" w:cs="Times New Roman"/>
          <w:bCs/>
          <w:i/>
          <w:color w:val="000000" w:themeColor="text1"/>
          <w:sz w:val="24"/>
          <w:szCs w:val="24"/>
          <w:shd w:val="clear" w:color="auto" w:fill="FFFFFF"/>
        </w:rPr>
        <w: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microbiol.</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appl.</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sci</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6</w:t>
      </w:r>
      <w:r>
        <w:rPr>
          <w:rFonts w:ascii="Times New Roman" w:hAnsi="Times New Roman" w:cs="Times New Roman"/>
          <w:color w:val="000000" w:themeColor="text1"/>
          <w:sz w:val="24"/>
          <w:szCs w:val="24"/>
        </w:rPr>
        <w:t>(10): 2503-2515.</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Jackson, M. L. 1967. Soil chemical analysis, </w:t>
      </w:r>
      <w:r>
        <w:rPr>
          <w:rFonts w:ascii="Times New Roman" w:hAnsi="Times New Roman" w:cs="Times New Roman"/>
          <w:i/>
          <w:color w:val="000000" w:themeColor="text1"/>
          <w:sz w:val="24"/>
          <w:szCs w:val="24"/>
        </w:rPr>
        <w:t>Prentice Hall of India Pvt. Ltd</w:t>
      </w:r>
      <w:r>
        <w:rPr>
          <w:rFonts w:ascii="Times New Roman" w:hAnsi="Times New Roman" w:cs="Times New Roman"/>
          <w:color w:val="000000" w:themeColor="text1"/>
          <w:sz w:val="24"/>
          <w:szCs w:val="24"/>
        </w:rPr>
        <w:t>. New Delhi, India.</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Jackson, M.L. 1973. Soil chemical analysis. </w:t>
      </w:r>
      <w:r>
        <w:rPr>
          <w:rFonts w:ascii="Times New Roman" w:hAnsi="Times New Roman" w:cs="Times New Roman"/>
          <w:i/>
          <w:color w:val="000000" w:themeColor="text1"/>
          <w:sz w:val="24"/>
          <w:szCs w:val="24"/>
        </w:rPr>
        <w:t>Prentice Hall of India Pvt. Ltd.,</w:t>
      </w:r>
      <w:r>
        <w:rPr>
          <w:rFonts w:ascii="Times New Roman" w:hAnsi="Times New Roman" w:cs="Times New Roman"/>
          <w:color w:val="000000" w:themeColor="text1"/>
          <w:sz w:val="24"/>
          <w:szCs w:val="24"/>
        </w:rPr>
        <w:t xml:space="preserve"> New Delhi, India.</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Karim, A.A., and C. Ramasamy. 2000. Expanding frontiers of agriculture: contemporary issues. </w:t>
      </w:r>
      <w:r>
        <w:rPr>
          <w:rFonts w:ascii="Times New Roman" w:hAnsi="Times New Roman" w:cs="Times New Roman"/>
          <w:i/>
          <w:color w:val="000000" w:themeColor="text1"/>
          <w:sz w:val="24"/>
          <w:szCs w:val="24"/>
        </w:rPr>
        <w:t>Kalyani Publishers</w:t>
      </w:r>
      <w:r>
        <w:rPr>
          <w:rFonts w:ascii="Times New Roman" w:hAnsi="Times New Roman" w:cs="Times New Roman"/>
          <w:color w:val="000000" w:themeColor="text1"/>
          <w:sz w:val="24"/>
          <w:szCs w:val="24"/>
        </w:rPr>
        <w:t>, Ludhiana, India.</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A., Meena, R.N., Yadav, L., and </w:t>
      </w:r>
      <w:proofErr w:type="spellStart"/>
      <w:r>
        <w:rPr>
          <w:rFonts w:ascii="Times New Roman" w:hAnsi="Times New Roman" w:cs="Times New Roman"/>
          <w:color w:val="000000" w:themeColor="text1"/>
          <w:sz w:val="24"/>
          <w:szCs w:val="24"/>
        </w:rPr>
        <w:t>Gilotia</w:t>
      </w:r>
      <w:proofErr w:type="spellEnd"/>
      <w:r>
        <w:rPr>
          <w:rFonts w:ascii="Times New Roman" w:hAnsi="Times New Roman" w:cs="Times New Roman"/>
          <w:color w:val="000000" w:themeColor="text1"/>
          <w:sz w:val="24"/>
          <w:szCs w:val="24"/>
        </w:rPr>
        <w:t xml:space="preserve">, Y.K. 2014. Effect of organic and inorganic sources of nutrient on yield, yield attributes and nutrient uptake of rice. </w:t>
      </w:r>
      <w:r>
        <w:rPr>
          <w:rFonts w:ascii="Times New Roman" w:hAnsi="Times New Roman" w:cs="Times New Roman"/>
          <w:i/>
          <w:color w:val="000000" w:themeColor="text1"/>
          <w:sz w:val="24"/>
          <w:szCs w:val="24"/>
          <w:shd w:val="clear" w:color="auto" w:fill="FFFFFF"/>
        </w:rPr>
        <w:t>Int. J. Life Sci.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9</w:t>
      </w:r>
      <w:r>
        <w:rPr>
          <w:rFonts w:ascii="Times New Roman" w:hAnsi="Times New Roman" w:cs="Times New Roman"/>
          <w:color w:val="000000" w:themeColor="text1"/>
          <w:sz w:val="24"/>
          <w:szCs w:val="24"/>
        </w:rPr>
        <w:t>(2): 595-597.</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K., </w:t>
      </w:r>
      <w:proofErr w:type="spellStart"/>
      <w:r>
        <w:rPr>
          <w:rFonts w:ascii="Times New Roman" w:hAnsi="Times New Roman" w:cs="Times New Roman"/>
          <w:color w:val="000000" w:themeColor="text1"/>
          <w:sz w:val="24"/>
          <w:szCs w:val="24"/>
        </w:rPr>
        <w:t>Sridhara</w:t>
      </w:r>
      <w:proofErr w:type="spellEnd"/>
      <w:r>
        <w:rPr>
          <w:rFonts w:ascii="Times New Roman" w:hAnsi="Times New Roman" w:cs="Times New Roman"/>
          <w:color w:val="000000" w:themeColor="text1"/>
          <w:sz w:val="24"/>
          <w:szCs w:val="24"/>
        </w:rPr>
        <w:t>, C.J. and Nandini, K.M. 2018. Effect of integrated use of organic and inorganic fertilizers on soil fertility and uptake of nutrients in aerobic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Chem.</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Stud</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6(4): 417-421.</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Lal, B., Nayak, A.K., Priyanka, G., Tripathi, R., Singh, T. and </w:t>
      </w:r>
      <w:proofErr w:type="spellStart"/>
      <w:r>
        <w:rPr>
          <w:rFonts w:ascii="Times New Roman" w:hAnsi="Times New Roman" w:cs="Times New Roman"/>
          <w:color w:val="000000" w:themeColor="text1"/>
          <w:sz w:val="24"/>
          <w:szCs w:val="24"/>
        </w:rPr>
        <w:t>Katara</w:t>
      </w:r>
      <w:proofErr w:type="spellEnd"/>
      <w:r>
        <w:rPr>
          <w:rFonts w:ascii="Times New Roman" w:hAnsi="Times New Roman" w:cs="Times New Roman"/>
          <w:color w:val="000000" w:themeColor="text1"/>
          <w:sz w:val="24"/>
          <w:szCs w:val="24"/>
        </w:rPr>
        <w:t xml:space="preserve">, J.L. 2013. Aerobic Rice: A water Saving Approach for Rice Production. </w:t>
      </w:r>
      <w:r>
        <w:rPr>
          <w:rFonts w:ascii="Times New Roman" w:hAnsi="Times New Roman" w:cs="Times New Roman"/>
          <w:i/>
          <w:color w:val="000000" w:themeColor="text1"/>
          <w:sz w:val="24"/>
          <w:szCs w:val="24"/>
        </w:rPr>
        <w:t xml:space="preserve">Popular </w:t>
      </w:r>
      <w:proofErr w:type="spellStart"/>
      <w:r>
        <w:rPr>
          <w:rFonts w:ascii="Times New Roman" w:hAnsi="Times New Roman" w:cs="Times New Roman"/>
          <w:i/>
          <w:color w:val="000000" w:themeColor="text1"/>
          <w:sz w:val="24"/>
          <w:szCs w:val="24"/>
        </w:rPr>
        <w:t>Kheti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(2): 1-4.</w:t>
      </w:r>
    </w:p>
    <w:p w:rsidR="00B74AE5" w:rsidRDefault="002B21F9">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Lindsay, W. L. and Norvell, W. A. 1978. Development of a DTPA soil for zinc, </w:t>
      </w:r>
      <w:proofErr w:type="spellStart"/>
      <w:proofErr w:type="gramStart"/>
      <w:r>
        <w:rPr>
          <w:rFonts w:ascii="Times New Roman" w:hAnsi="Times New Roman" w:cs="Times New Roman"/>
          <w:color w:val="000000" w:themeColor="text1"/>
          <w:sz w:val="24"/>
          <w:szCs w:val="24"/>
        </w:rPr>
        <w:t>iron,manganese</w:t>
      </w:r>
      <w:proofErr w:type="spellEnd"/>
      <w:proofErr w:type="gramEnd"/>
      <w:r>
        <w:rPr>
          <w:rFonts w:ascii="Times New Roman" w:hAnsi="Times New Roman" w:cs="Times New Roman"/>
          <w:color w:val="000000" w:themeColor="text1"/>
          <w:sz w:val="24"/>
          <w:szCs w:val="24"/>
        </w:rPr>
        <w:t xml:space="preserve"> and copper. </w:t>
      </w:r>
      <w:r>
        <w:rPr>
          <w:rFonts w:ascii="Times New Roman" w:hAnsi="Times New Roman" w:cs="Times New Roman"/>
          <w:bCs/>
          <w:i/>
          <w:color w:val="000000" w:themeColor="text1"/>
          <w:sz w:val="24"/>
          <w:szCs w:val="24"/>
          <w:shd w:val="clear" w:color="auto" w:fill="FFFFFF"/>
        </w:rPr>
        <w:t>Soil Sci. Soc. Am J</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bCs/>
          <w:color w:val="000000" w:themeColor="text1"/>
          <w:sz w:val="24"/>
          <w:szCs w:val="24"/>
        </w:rPr>
        <w:t>42</w:t>
      </w:r>
      <w:r>
        <w:rPr>
          <w:rFonts w:ascii="Times New Roman" w:hAnsi="Times New Roman" w:cs="Times New Roman"/>
          <w:color w:val="000000" w:themeColor="text1"/>
          <w:sz w:val="24"/>
          <w:szCs w:val="24"/>
        </w:rPr>
        <w:t>: 421-428.</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Mahendar</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Goverdhan</w:t>
      </w:r>
      <w:proofErr w:type="spellEnd"/>
      <w:r>
        <w:rPr>
          <w:rFonts w:ascii="Times New Roman" w:hAnsi="Times New Roman" w:cs="Times New Roman"/>
          <w:color w:val="000000" w:themeColor="text1"/>
          <w:sz w:val="24"/>
          <w:szCs w:val="24"/>
        </w:rPr>
        <w:t xml:space="preserve">, M., Sridevi, S. and Ramana, M.V. 2017. Influence of iron and zinc management on </w:t>
      </w:r>
      <w:proofErr w:type="spellStart"/>
      <w:r>
        <w:rPr>
          <w:rFonts w:ascii="Times New Roman" w:hAnsi="Times New Roman" w:cs="Times New Roman"/>
          <w:color w:val="000000" w:themeColor="text1"/>
          <w:sz w:val="24"/>
          <w:szCs w:val="24"/>
        </w:rPr>
        <w:t>drymatter</w:t>
      </w:r>
      <w:proofErr w:type="spellEnd"/>
      <w:r>
        <w:rPr>
          <w:rFonts w:ascii="Times New Roman" w:hAnsi="Times New Roman" w:cs="Times New Roman"/>
          <w:color w:val="000000" w:themeColor="text1"/>
          <w:sz w:val="24"/>
          <w:szCs w:val="24"/>
        </w:rPr>
        <w:t xml:space="preserve"> production and nutrient removal by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L.) and soil fertility status under aerobic cultivation. </w:t>
      </w:r>
      <w:r>
        <w:rPr>
          <w:rFonts w:ascii="Times New Roman" w:hAnsi="Times New Roman" w:cs="Times New Roman"/>
          <w:i/>
          <w:color w:val="000000" w:themeColor="text1"/>
          <w:sz w:val="24"/>
          <w:szCs w:val="24"/>
          <w:shd w:val="clear" w:color="auto" w:fill="FFFFFF"/>
        </w:rPr>
        <w:t xml:space="preserve">Chem. sci. rev. </w:t>
      </w:r>
      <w:proofErr w:type="spellStart"/>
      <w:r>
        <w:rPr>
          <w:rFonts w:ascii="Times New Roman" w:hAnsi="Times New Roman" w:cs="Times New Roman"/>
          <w:i/>
          <w:color w:val="000000" w:themeColor="text1"/>
          <w:sz w:val="24"/>
          <w:szCs w:val="24"/>
          <w:shd w:val="clear" w:color="auto" w:fill="FFFFFF"/>
        </w:rPr>
        <w:t>lett</w:t>
      </w:r>
      <w:proofErr w:type="spellEnd"/>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6</w:t>
      </w:r>
      <w:r>
        <w:rPr>
          <w:rFonts w:ascii="Times New Roman" w:hAnsi="Times New Roman" w:cs="Times New Roman"/>
          <w:color w:val="000000" w:themeColor="text1"/>
          <w:sz w:val="24"/>
          <w:szCs w:val="24"/>
        </w:rPr>
        <w:t>(24): 2627-2635.</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Meena, N. and Fathima, P.S. 2017. Nutrient uptake of rice as influenced by agronomic biofortification of Zn and </w:t>
      </w:r>
      <w:proofErr w:type="spellStart"/>
      <w:r>
        <w:rPr>
          <w:rFonts w:ascii="Times New Roman" w:hAnsi="Times New Roman" w:cs="Times New Roman"/>
          <w:color w:val="000000" w:themeColor="text1"/>
          <w:sz w:val="24"/>
          <w:szCs w:val="24"/>
        </w:rPr>
        <w:t>fe</w:t>
      </w:r>
      <w:proofErr w:type="spellEnd"/>
      <w:r>
        <w:rPr>
          <w:rFonts w:ascii="Times New Roman" w:hAnsi="Times New Roman" w:cs="Times New Roman"/>
          <w:color w:val="000000" w:themeColor="text1"/>
          <w:sz w:val="24"/>
          <w:szCs w:val="24"/>
        </w:rPr>
        <w:t xml:space="preserve"> under methods of rice cultivation. </w:t>
      </w:r>
      <w:r>
        <w:rPr>
          <w:rFonts w:ascii="Times New Roman" w:hAnsi="Times New Roman" w:cs="Times New Roman"/>
          <w:bCs/>
          <w:i/>
          <w:color w:val="000000" w:themeColor="text1"/>
          <w:sz w:val="24"/>
          <w:szCs w:val="24"/>
          <w:shd w:val="clear" w:color="auto" w:fill="FFFFFF"/>
        </w:rPr>
        <w:t>Int.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pure appl</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i/>
          <w:color w:val="000000" w:themeColor="text1"/>
          <w:sz w:val="24"/>
          <w:szCs w:val="24"/>
        </w:rPr>
        <w:t xml:space="preserve"> </w:t>
      </w:r>
      <w:r>
        <w:rPr>
          <w:rFonts w:ascii="Times New Roman" w:hAnsi="Times New Roman" w:cs="Times New Roman"/>
          <w:b/>
          <w:bCs/>
          <w:color w:val="000000" w:themeColor="text1"/>
          <w:sz w:val="24"/>
          <w:szCs w:val="24"/>
        </w:rPr>
        <w:t>5</w:t>
      </w:r>
      <w:r>
        <w:rPr>
          <w:rFonts w:ascii="Times New Roman" w:hAnsi="Times New Roman" w:cs="Times New Roman"/>
          <w:color w:val="000000" w:themeColor="text1"/>
          <w:sz w:val="24"/>
          <w:szCs w:val="24"/>
        </w:rPr>
        <w:t>(5): 456-459.</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Merill</w:t>
      </w:r>
      <w:proofErr w:type="spellEnd"/>
      <w:r>
        <w:rPr>
          <w:rFonts w:ascii="Times New Roman" w:hAnsi="Times New Roman" w:cs="Times New Roman"/>
          <w:color w:val="000000" w:themeColor="text1"/>
          <w:sz w:val="24"/>
          <w:szCs w:val="24"/>
        </w:rPr>
        <w:t xml:space="preserve">, L.A and Watt, B.K. 1973. Energy value of food: Basis and derivation. </w:t>
      </w:r>
      <w:r>
        <w:rPr>
          <w:rFonts w:ascii="Times New Roman" w:hAnsi="Times New Roman" w:cs="Times New Roman"/>
          <w:i/>
          <w:color w:val="000000" w:themeColor="text1"/>
          <w:sz w:val="24"/>
          <w:szCs w:val="24"/>
        </w:rPr>
        <w:t>United States Department of Agriculture. Hand Book No. 74.</w:t>
      </w:r>
      <w:r>
        <w:rPr>
          <w:rFonts w:ascii="Times New Roman" w:hAnsi="Times New Roman" w:cs="Times New Roman"/>
          <w:color w:val="000000" w:themeColor="text1"/>
          <w:sz w:val="24"/>
          <w:szCs w:val="24"/>
        </w:rPr>
        <w:t xml:space="preserve"> Pp: 4. </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Norton, R., Davidson, E. and Roberts, T. 2014. Nitrogen use efficiency and nutrient performance indicators. GPNM Task Team Report and Recommendations. </w:t>
      </w:r>
      <w:r>
        <w:rPr>
          <w:rFonts w:ascii="Times New Roman" w:hAnsi="Times New Roman" w:cs="Times New Roman"/>
          <w:i/>
          <w:color w:val="000000" w:themeColor="text1"/>
          <w:sz w:val="24"/>
          <w:szCs w:val="24"/>
        </w:rPr>
        <w:t>GPNM’s Task Team Workshop</w:t>
      </w:r>
      <w:r>
        <w:rPr>
          <w:rFonts w:ascii="Times New Roman" w:hAnsi="Times New Roman" w:cs="Times New Roman"/>
          <w:color w:val="000000" w:themeColor="text1"/>
          <w:sz w:val="24"/>
          <w:szCs w:val="24"/>
        </w:rPr>
        <w:t>, December 8, 2014. Washington, DC.</w:t>
      </w:r>
    </w:p>
    <w:p w:rsidR="00B74AE5" w:rsidRDefault="002B21F9">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Olsen, S. R., Cole, C. V., Watanabe, Fs. and Dean, L. A. 1954. Estimation of available phosphorous in soil by extraction with sodium bi-carbonate. USDA. </w:t>
      </w:r>
      <w:r>
        <w:rPr>
          <w:rFonts w:ascii="Times New Roman" w:hAnsi="Times New Roman" w:cs="Times New Roman"/>
          <w:i/>
          <w:color w:val="000000" w:themeColor="text1"/>
          <w:sz w:val="24"/>
          <w:szCs w:val="24"/>
        </w:rPr>
        <w:t>Circular 1939</w:t>
      </w:r>
      <w:r>
        <w:rPr>
          <w:rFonts w:ascii="Times New Roman" w:hAnsi="Times New Roman" w:cs="Times New Roman"/>
          <w:color w:val="000000" w:themeColor="text1"/>
          <w:sz w:val="24"/>
          <w:szCs w:val="24"/>
        </w:rPr>
        <w:t>: 19- 23.</w:t>
      </w:r>
    </w:p>
    <w:p w:rsidR="00B74AE5" w:rsidRDefault="002B21F9">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Piper, C.S. 1966. Soil and plant analysis. </w:t>
      </w:r>
      <w:r>
        <w:rPr>
          <w:rFonts w:ascii="Times New Roman" w:hAnsi="Times New Roman" w:cs="Times New Roman"/>
          <w:i/>
          <w:color w:val="000000" w:themeColor="text1"/>
          <w:sz w:val="24"/>
          <w:szCs w:val="24"/>
        </w:rPr>
        <w:t xml:space="preserve">Inter-Science publication cooperation, </w:t>
      </w:r>
      <w:r>
        <w:rPr>
          <w:rFonts w:ascii="Times New Roman" w:hAnsi="Times New Roman" w:cs="Times New Roman"/>
          <w:color w:val="000000" w:themeColor="text1"/>
          <w:sz w:val="24"/>
          <w:szCs w:val="24"/>
        </w:rPr>
        <w:t xml:space="preserve">Inc. New </w:t>
      </w:r>
      <w:r>
        <w:rPr>
          <w:rFonts w:ascii="Times New Roman" w:hAnsi="Times New Roman" w:cs="Times New Roman"/>
          <w:color w:val="000000" w:themeColor="text1"/>
          <w:sz w:val="24"/>
          <w:szCs w:val="24"/>
        </w:rPr>
        <w:tab/>
        <w:t>York, pp. 91-92.</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Pradhan, A., Thakur, A. and </w:t>
      </w:r>
      <w:proofErr w:type="spellStart"/>
      <w:r>
        <w:rPr>
          <w:rFonts w:ascii="Times New Roman" w:hAnsi="Times New Roman" w:cs="Times New Roman"/>
          <w:color w:val="000000" w:themeColor="text1"/>
          <w:sz w:val="24"/>
          <w:szCs w:val="24"/>
        </w:rPr>
        <w:t>Sonboir</w:t>
      </w:r>
      <w:proofErr w:type="spellEnd"/>
      <w:r>
        <w:rPr>
          <w:rFonts w:ascii="Times New Roman" w:hAnsi="Times New Roman" w:cs="Times New Roman"/>
          <w:color w:val="000000" w:themeColor="text1"/>
          <w:sz w:val="24"/>
          <w:szCs w:val="24"/>
        </w:rPr>
        <w:t>, H.L. 2014. Response of rice (</w:t>
      </w:r>
      <w:r>
        <w:rPr>
          <w:rFonts w:ascii="Times New Roman" w:hAnsi="Times New Roman" w:cs="Times New Roman"/>
          <w:i/>
          <w:color w:val="000000" w:themeColor="text1"/>
          <w:sz w:val="24"/>
          <w:szCs w:val="24"/>
        </w:rPr>
        <w:t>Oryza sativa</w:t>
      </w:r>
      <w:r>
        <w:rPr>
          <w:rFonts w:ascii="Times New Roman" w:hAnsi="Times New Roman" w:cs="Times New Roman"/>
          <w:color w:val="000000" w:themeColor="text1"/>
          <w:sz w:val="24"/>
          <w:szCs w:val="24"/>
        </w:rPr>
        <w:t xml:space="preserve">) varieties to different levels of nitrogen under rainfed aerobic ecosystem. </w:t>
      </w:r>
      <w:r>
        <w:rPr>
          <w:rFonts w:ascii="Times New Roman" w:hAnsi="Times New Roman" w:cs="Times New Roman"/>
          <w:i/>
          <w:color w:val="000000" w:themeColor="text1"/>
          <w:sz w:val="24"/>
          <w:szCs w:val="24"/>
          <w:shd w:val="clear" w:color="auto" w:fill="FFFFFF"/>
        </w:rPr>
        <w:t xml:space="preserve">Indian J. </w:t>
      </w:r>
      <w:proofErr w:type="spellStart"/>
      <w:r>
        <w:rPr>
          <w:rFonts w:ascii="Times New Roman" w:hAnsi="Times New Roman" w:cs="Times New Roman"/>
          <w:i/>
          <w:color w:val="000000" w:themeColor="text1"/>
          <w:sz w:val="24"/>
          <w:szCs w:val="24"/>
          <w:shd w:val="clear" w:color="auto" w:fill="FFFFFF"/>
        </w:rPr>
        <w:t>Agron</w:t>
      </w:r>
      <w:proofErr w:type="spellEnd"/>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59</w:t>
      </w:r>
      <w:r>
        <w:rPr>
          <w:rFonts w:ascii="Times New Roman" w:hAnsi="Times New Roman" w:cs="Times New Roman"/>
          <w:color w:val="000000" w:themeColor="text1"/>
          <w:sz w:val="24"/>
          <w:szCs w:val="24"/>
        </w:rPr>
        <w:t>(1): 76-79.</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Sarkar, S.K., Sarkar, M.A.R., Islam, N. and Paul, S.K. 2014. Yield and quality of aromatic fine rice as affected by variety and nutrient management. </w:t>
      </w:r>
      <w:r>
        <w:rPr>
          <w:rFonts w:ascii="Times New Roman" w:hAnsi="Times New Roman" w:cs="Times New Roman"/>
          <w:i/>
          <w:color w:val="000000" w:themeColor="text1"/>
          <w:sz w:val="24"/>
          <w:szCs w:val="24"/>
        </w:rPr>
        <w:t xml:space="preserve">J. Bangladesh </w:t>
      </w:r>
      <w:proofErr w:type="spellStart"/>
      <w:r>
        <w:rPr>
          <w:rFonts w:ascii="Times New Roman" w:hAnsi="Times New Roman" w:cs="Times New Roman"/>
          <w:i/>
          <w:color w:val="000000" w:themeColor="text1"/>
          <w:sz w:val="24"/>
          <w:szCs w:val="24"/>
        </w:rPr>
        <w:t>Agril</w:t>
      </w:r>
      <w:proofErr w:type="spellEnd"/>
      <w:r>
        <w:rPr>
          <w:rFonts w:ascii="Times New Roman" w:hAnsi="Times New Roman" w:cs="Times New Roman"/>
          <w:i/>
          <w:color w:val="000000" w:themeColor="text1"/>
          <w:sz w:val="24"/>
          <w:szCs w:val="24"/>
        </w:rPr>
        <w:t>. Univ.</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12</w:t>
      </w:r>
      <w:r>
        <w:rPr>
          <w:rFonts w:ascii="Times New Roman" w:hAnsi="Times New Roman" w:cs="Times New Roman"/>
          <w:color w:val="000000" w:themeColor="text1"/>
          <w:sz w:val="24"/>
          <w:szCs w:val="24"/>
        </w:rPr>
        <w:t>(2): 279-284.</w:t>
      </w:r>
    </w:p>
    <w:p w:rsidR="00B74AE5" w:rsidRDefault="002B21F9">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Subbiah, B. V. and </w:t>
      </w:r>
      <w:proofErr w:type="spellStart"/>
      <w:r>
        <w:rPr>
          <w:rFonts w:ascii="Times New Roman" w:hAnsi="Times New Roman" w:cs="Times New Roman"/>
          <w:color w:val="000000" w:themeColor="text1"/>
          <w:sz w:val="24"/>
          <w:szCs w:val="24"/>
        </w:rPr>
        <w:t>Asija</w:t>
      </w:r>
      <w:proofErr w:type="spellEnd"/>
      <w:r>
        <w:rPr>
          <w:rFonts w:ascii="Times New Roman" w:hAnsi="Times New Roman" w:cs="Times New Roman"/>
          <w:color w:val="000000" w:themeColor="text1"/>
          <w:sz w:val="24"/>
          <w:szCs w:val="24"/>
        </w:rPr>
        <w:t xml:space="preserve">, G. L. 1956. A rapid method for the estimation of nitrogen in soil. </w:t>
      </w:r>
      <w:proofErr w:type="spellStart"/>
      <w:r>
        <w:rPr>
          <w:rFonts w:ascii="Times New Roman" w:hAnsi="Times New Roman" w:cs="Times New Roman"/>
          <w:bCs/>
          <w:i/>
          <w:color w:val="000000" w:themeColor="text1"/>
          <w:sz w:val="24"/>
          <w:szCs w:val="24"/>
          <w:shd w:val="clear" w:color="auto" w:fill="FFFFFF"/>
        </w:rPr>
        <w:t>Curr</w:t>
      </w:r>
      <w:proofErr w:type="spellEnd"/>
      <w:r>
        <w:rPr>
          <w:rFonts w:ascii="Times New Roman" w:hAnsi="Times New Roman" w:cs="Times New Roman"/>
          <w:bCs/>
          <w:i/>
          <w:color w:val="000000" w:themeColor="text1"/>
          <w:sz w:val="24"/>
          <w:szCs w:val="24"/>
          <w:shd w:val="clear" w:color="auto" w:fill="FFFFFF"/>
        </w:rPr>
        <w:t>.</w:t>
      </w:r>
      <w:r>
        <w:rPr>
          <w:rFonts w:ascii="Times New Roman" w:hAnsi="Times New Roman" w:cs="Times New Roman"/>
          <w:i/>
          <w:color w:val="000000" w:themeColor="text1"/>
          <w:sz w:val="24"/>
          <w:szCs w:val="24"/>
          <w:shd w:val="clear" w:color="auto" w:fill="FFFFFF"/>
        </w:rPr>
        <w:t> </w:t>
      </w:r>
      <w:r>
        <w:rPr>
          <w:rFonts w:ascii="Times New Roman" w:hAnsi="Times New Roman" w:cs="Times New Roman"/>
          <w:bCs/>
          <w:i/>
          <w:color w:val="000000" w:themeColor="text1"/>
          <w:sz w:val="24"/>
          <w:szCs w:val="24"/>
          <w:shd w:val="clear" w:color="auto" w:fill="FFFFFF"/>
        </w:rPr>
        <w:t>Sci</w:t>
      </w:r>
      <w:r>
        <w:rPr>
          <w:rFonts w:ascii="Times New Roman" w:hAnsi="Times New Roman" w:cs="Times New Roman"/>
          <w:i/>
          <w:color w:val="000000" w:themeColor="text1"/>
          <w:sz w:val="24"/>
          <w:szCs w:val="24"/>
          <w:shd w:val="clear" w:color="auto" w:fill="FFFFFF"/>
        </w:rPr>
        <w:t>.</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26</w:t>
      </w:r>
      <w:r>
        <w:rPr>
          <w:rFonts w:ascii="Times New Roman" w:hAnsi="Times New Roman" w:cs="Times New Roman"/>
          <w:color w:val="000000" w:themeColor="text1"/>
          <w:sz w:val="24"/>
          <w:szCs w:val="24"/>
        </w:rPr>
        <w:t>: 259-260.</w:t>
      </w:r>
    </w:p>
    <w:p w:rsidR="00B74AE5" w:rsidRDefault="002B21F9">
      <w:pPr>
        <w:shd w:val="clear" w:color="auto" w:fill="FFFFFF" w:themeFill="background1"/>
        <w:tabs>
          <w:tab w:val="left" w:pos="720"/>
        </w:tabs>
        <w:spacing w:before="120" w:after="120" w:line="36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Venkatesha</w:t>
      </w:r>
      <w:proofErr w:type="spellEnd"/>
      <w:r>
        <w:rPr>
          <w:rFonts w:ascii="Times New Roman" w:hAnsi="Times New Roman" w:cs="Times New Roman"/>
          <w:color w:val="000000" w:themeColor="text1"/>
          <w:sz w:val="24"/>
          <w:szCs w:val="24"/>
        </w:rPr>
        <w:t xml:space="preserve">, M.M., Krishnamurthy, N., </w:t>
      </w:r>
      <w:proofErr w:type="spellStart"/>
      <w:r>
        <w:rPr>
          <w:rFonts w:ascii="Times New Roman" w:hAnsi="Times New Roman" w:cs="Times New Roman"/>
          <w:color w:val="000000" w:themeColor="text1"/>
          <w:sz w:val="24"/>
          <w:szCs w:val="24"/>
        </w:rPr>
        <w:t>Tuppad</w:t>
      </w:r>
      <w:proofErr w:type="spellEnd"/>
      <w:r>
        <w:rPr>
          <w:rFonts w:ascii="Times New Roman" w:hAnsi="Times New Roman" w:cs="Times New Roman"/>
          <w:color w:val="000000" w:themeColor="text1"/>
          <w:sz w:val="24"/>
          <w:szCs w:val="24"/>
        </w:rPr>
        <w:t xml:space="preserve">, G.B. and Venkatesh, K.T. 2015. Yield, economics and nutrient uptake of aerobic rice cultivars as influenced by INM practices. </w:t>
      </w:r>
      <w:r>
        <w:rPr>
          <w:rFonts w:ascii="Times New Roman" w:hAnsi="Times New Roman" w:cs="Times New Roman"/>
          <w:i/>
          <w:color w:val="000000" w:themeColor="text1"/>
          <w:sz w:val="24"/>
          <w:szCs w:val="24"/>
          <w:shd w:val="clear" w:color="auto" w:fill="FFFFFF"/>
        </w:rPr>
        <w:t>Environ.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b/>
          <w:bCs/>
          <w:color w:val="000000" w:themeColor="text1"/>
          <w:sz w:val="24"/>
          <w:szCs w:val="24"/>
        </w:rPr>
        <w:t>8</w:t>
      </w:r>
      <w:r>
        <w:rPr>
          <w:rFonts w:ascii="Times New Roman" w:hAnsi="Times New Roman" w:cs="Times New Roman"/>
          <w:color w:val="000000" w:themeColor="text1"/>
          <w:sz w:val="24"/>
          <w:szCs w:val="24"/>
        </w:rPr>
        <w:t xml:space="preserve">(1): 113-118. </w:t>
      </w:r>
    </w:p>
    <w:p w:rsidR="00B74AE5" w:rsidRDefault="002B21F9">
      <w:pPr>
        <w:shd w:val="clear" w:color="auto" w:fill="FFFFFF" w:themeFill="background1"/>
        <w:tabs>
          <w:tab w:val="left" w:pos="720"/>
        </w:tabs>
        <w:spacing w:before="120" w:after="120" w:line="360" w:lineRule="auto"/>
        <w:ind w:left="72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Walkley, A. J. and Black, I. A. 1934. An experimentation of the method for determination of soil organic matter and a proposed modification of chromic acid titration method. </w:t>
      </w:r>
      <w:r>
        <w:rPr>
          <w:rFonts w:ascii="Times New Roman" w:hAnsi="Times New Roman" w:cs="Times New Roman"/>
          <w:i/>
          <w:color w:val="000000" w:themeColor="text1"/>
          <w:sz w:val="24"/>
          <w:szCs w:val="24"/>
        </w:rPr>
        <w:t xml:space="preserve">Soil sci. </w:t>
      </w:r>
      <w:r>
        <w:rPr>
          <w:rFonts w:ascii="Times New Roman" w:hAnsi="Times New Roman" w:cs="Times New Roman"/>
          <w:b/>
          <w:bCs/>
          <w:color w:val="000000" w:themeColor="text1"/>
          <w:sz w:val="24"/>
          <w:szCs w:val="24"/>
        </w:rPr>
        <w:t>37</w:t>
      </w:r>
      <w:r>
        <w:rPr>
          <w:rFonts w:ascii="Times New Roman" w:hAnsi="Times New Roman" w:cs="Times New Roman"/>
          <w:color w:val="000000" w:themeColor="text1"/>
          <w:sz w:val="24"/>
          <w:szCs w:val="24"/>
        </w:rPr>
        <w:t>: 29-39.</w:t>
      </w:r>
    </w:p>
    <w:p w:rsidR="00B74AE5" w:rsidRDefault="002B21F9">
      <w:pPr>
        <w:spacing w:before="120" w:after="12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Xu, Y., An, D., Liu, D., Zhang, A., Xu, H., &amp; Li, B. (2012). Molecular mapping of QTLs for grain zinc, iron and protein concentration of wheat across two environments. </w:t>
      </w:r>
      <w:r>
        <w:rPr>
          <w:rFonts w:ascii="Times New Roman" w:hAnsi="Times New Roman" w:cs="Times New Roman"/>
          <w:i/>
          <w:color w:val="000000" w:themeColor="text1"/>
          <w:sz w:val="24"/>
          <w:szCs w:val="24"/>
          <w:shd w:val="clear" w:color="auto" w:fill="FFFFFF"/>
        </w:rPr>
        <w:t>Field Crops Res</w:t>
      </w:r>
      <w:r>
        <w:rPr>
          <w:rFonts w:ascii="Times New Roman" w:hAnsi="Times New Roman" w:cs="Times New Roman"/>
          <w:b/>
          <w:bCs/>
          <w:i/>
          <w:color w:val="000000" w:themeColor="text1"/>
          <w:sz w:val="24"/>
          <w:szCs w:val="24"/>
          <w:shd w:val="clear" w:color="auto" w:fill="FFFFFF"/>
        </w:rPr>
        <w:t>.</w:t>
      </w:r>
      <w:r>
        <w:rPr>
          <w:rFonts w:ascii="Times New Roman" w:hAnsi="Times New Roman" w:cs="Times New Roman"/>
          <w:b/>
          <w:bCs/>
          <w:color w:val="000000" w:themeColor="text1"/>
          <w:sz w:val="24"/>
          <w:szCs w:val="24"/>
        </w:rPr>
        <w:t xml:space="preserve"> 138</w:t>
      </w:r>
      <w:r>
        <w:rPr>
          <w:rFonts w:ascii="Times New Roman" w:hAnsi="Times New Roman" w:cs="Times New Roman"/>
          <w:color w:val="000000" w:themeColor="text1"/>
          <w:sz w:val="24"/>
          <w:szCs w:val="24"/>
        </w:rPr>
        <w:t>, 57–62.</w:t>
      </w:r>
    </w:p>
    <w:p w:rsidR="00B74AE5" w:rsidRDefault="00B74AE5">
      <w:pPr>
        <w:spacing w:before="120" w:after="120" w:line="360" w:lineRule="auto"/>
        <w:ind w:left="720" w:hanging="720"/>
        <w:jc w:val="both"/>
        <w:rPr>
          <w:rFonts w:ascii="Times New Roman" w:hAnsi="Times New Roman" w:cs="Times New Roman"/>
          <w:color w:val="000000" w:themeColor="text1"/>
          <w:sz w:val="24"/>
          <w:szCs w:val="24"/>
        </w:rPr>
      </w:pPr>
    </w:p>
    <w:p w:rsidR="00B74AE5" w:rsidRDefault="00B74AE5">
      <w:pPr>
        <w:spacing w:before="120" w:after="120" w:line="360" w:lineRule="auto"/>
        <w:ind w:left="720" w:hanging="720"/>
        <w:jc w:val="both"/>
        <w:rPr>
          <w:rFonts w:ascii="Times New Roman" w:hAnsi="Times New Roman" w:cs="Times New Roman"/>
          <w:color w:val="000000" w:themeColor="text1"/>
          <w:sz w:val="24"/>
          <w:szCs w:val="24"/>
        </w:rPr>
      </w:pPr>
    </w:p>
    <w:p w:rsidR="00B74AE5" w:rsidRDefault="00B74AE5">
      <w:pPr>
        <w:spacing w:before="120" w:after="120" w:line="360" w:lineRule="auto"/>
        <w:ind w:left="720" w:hanging="720"/>
        <w:jc w:val="both"/>
        <w:rPr>
          <w:rFonts w:ascii="Times New Roman" w:hAnsi="Times New Roman" w:cs="Times New Roman"/>
          <w:color w:val="000000" w:themeColor="text1"/>
          <w:sz w:val="24"/>
          <w:szCs w:val="24"/>
        </w:rPr>
      </w:pPr>
    </w:p>
    <w:p w:rsidR="00B74AE5" w:rsidRDefault="00B74AE5">
      <w:pPr>
        <w:spacing w:before="120" w:after="120" w:line="360" w:lineRule="auto"/>
        <w:ind w:left="720" w:hanging="720"/>
        <w:jc w:val="both"/>
        <w:rPr>
          <w:rFonts w:ascii="Times New Roman" w:hAnsi="Times New Roman" w:cs="Times New Roman"/>
          <w:color w:val="000000" w:themeColor="text1"/>
          <w:sz w:val="24"/>
          <w:szCs w:val="24"/>
        </w:rPr>
      </w:pPr>
    </w:p>
    <w:p w:rsidR="00B74AE5" w:rsidRDefault="00B74AE5">
      <w:pPr>
        <w:spacing w:before="120" w:after="120" w:line="360" w:lineRule="auto"/>
        <w:ind w:left="720" w:hanging="720"/>
        <w:jc w:val="both"/>
        <w:rPr>
          <w:rFonts w:ascii="Times New Roman" w:hAnsi="Times New Roman" w:cs="Times New Roman"/>
          <w:color w:val="000000" w:themeColor="text1"/>
          <w:sz w:val="24"/>
          <w:szCs w:val="24"/>
        </w:rPr>
      </w:pPr>
    </w:p>
    <w:p w:rsidR="00B74AE5" w:rsidRDefault="002B21F9">
      <w:pPr>
        <w:spacing w:before="120" w:after="120" w:line="360" w:lineRule="auto"/>
        <w:rPr>
          <w:rFonts w:ascii="Times New Roman" w:hAnsi="Times New Roman" w:cs="Times New Roman"/>
          <w:sz w:val="24"/>
          <w:szCs w:val="24"/>
        </w:rPr>
      </w:pPr>
      <w:r>
        <w:rPr>
          <w:rFonts w:ascii="Times New Roman" w:hAnsi="Times New Roman" w:cs="Times New Roman"/>
          <w:b/>
          <w:sz w:val="24"/>
          <w:szCs w:val="24"/>
        </w:rPr>
        <w:t>Table 1. Nutrient composition of organic manures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85"/>
        <w:gridCol w:w="1201"/>
        <w:gridCol w:w="1154"/>
        <w:gridCol w:w="1524"/>
        <w:gridCol w:w="1493"/>
      </w:tblGrid>
      <w:tr w:rsidR="00B74AE5">
        <w:trPr>
          <w:trHeight w:val="20"/>
          <w:tblHeader/>
        </w:trPr>
        <w:tc>
          <w:tcPr>
            <w:tcW w:w="2268" w:type="dxa"/>
            <w:tcBorders>
              <w:top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Organic Manure</w:t>
            </w:r>
          </w:p>
        </w:tc>
        <w:tc>
          <w:tcPr>
            <w:tcW w:w="3240"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Nutrient Composition (%)</w:t>
            </w:r>
          </w:p>
        </w:tc>
        <w:tc>
          <w:tcPr>
            <w:tcW w:w="3017" w:type="dxa"/>
            <w:gridSpan w:val="2"/>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ppm</w:t>
            </w:r>
          </w:p>
        </w:tc>
      </w:tr>
      <w:tr w:rsidR="00B74AE5">
        <w:trPr>
          <w:trHeight w:val="20"/>
          <w:tblHeader/>
        </w:trPr>
        <w:tc>
          <w:tcPr>
            <w:tcW w:w="2268" w:type="dxa"/>
            <w:tcBorders>
              <w:bottom w:val="single" w:sz="4" w:space="0" w:color="auto"/>
            </w:tcBorders>
          </w:tcPr>
          <w:p w:rsidR="00B74AE5" w:rsidRDefault="00B74AE5">
            <w:pPr>
              <w:spacing w:before="120" w:after="120" w:line="360" w:lineRule="auto"/>
              <w:jc w:val="both"/>
              <w:rPr>
                <w:rFonts w:ascii="Times New Roman" w:hAnsi="Times New Roman" w:cs="Times New Roman"/>
                <w:b/>
                <w:sz w:val="24"/>
                <w:szCs w:val="24"/>
              </w:rPr>
            </w:pPr>
          </w:p>
        </w:tc>
        <w:tc>
          <w:tcPr>
            <w:tcW w:w="88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201"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vertAlign w:val="subscript"/>
              </w:rPr>
              <w:t>2</w:t>
            </w:r>
            <w:r>
              <w:rPr>
                <w:rFonts w:ascii="Times New Roman" w:hAnsi="Times New Roman" w:cs="Times New Roman"/>
                <w:b/>
                <w:sz w:val="24"/>
                <w:szCs w:val="24"/>
              </w:rPr>
              <w:t>O</w:t>
            </w:r>
            <w:r>
              <w:rPr>
                <w:rFonts w:ascii="Times New Roman" w:hAnsi="Times New Roman" w:cs="Times New Roman"/>
                <w:b/>
                <w:sz w:val="24"/>
                <w:szCs w:val="24"/>
                <w:vertAlign w:val="subscript"/>
              </w:rPr>
              <w:t>5</w:t>
            </w:r>
          </w:p>
        </w:tc>
        <w:tc>
          <w:tcPr>
            <w:tcW w:w="1154"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vertAlign w:val="subscript"/>
              </w:rPr>
              <w:t>2</w:t>
            </w:r>
            <w:r>
              <w:rPr>
                <w:rFonts w:ascii="Times New Roman" w:hAnsi="Times New Roman" w:cs="Times New Roman"/>
                <w:b/>
                <w:sz w:val="24"/>
                <w:szCs w:val="24"/>
              </w:rPr>
              <w:t>O</w:t>
            </w:r>
          </w:p>
        </w:tc>
        <w:tc>
          <w:tcPr>
            <w:tcW w:w="1524"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Fe</w:t>
            </w:r>
          </w:p>
        </w:tc>
        <w:tc>
          <w:tcPr>
            <w:tcW w:w="1493"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Zn</w:t>
            </w:r>
          </w:p>
        </w:tc>
      </w:tr>
      <w:tr w:rsidR="00B74AE5">
        <w:trPr>
          <w:trHeight w:val="20"/>
          <w:tblHeader/>
        </w:trPr>
        <w:tc>
          <w:tcPr>
            <w:tcW w:w="2268"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Vermicompost</w:t>
            </w:r>
          </w:p>
        </w:tc>
        <w:tc>
          <w:tcPr>
            <w:tcW w:w="885" w:type="dxa"/>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201" w:type="dxa"/>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154" w:type="dxa"/>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524" w:type="dxa"/>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1493" w:type="dxa"/>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B74AE5">
        <w:trPr>
          <w:trHeight w:val="20"/>
          <w:tblHeader/>
        </w:trPr>
        <w:tc>
          <w:tcPr>
            <w:tcW w:w="2268" w:type="dxa"/>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Poultry manure</w:t>
            </w:r>
          </w:p>
        </w:tc>
        <w:tc>
          <w:tcPr>
            <w:tcW w:w="885" w:type="dxa"/>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201" w:type="dxa"/>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154" w:type="dxa"/>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524" w:type="dxa"/>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493" w:type="dxa"/>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74AE5">
        <w:trPr>
          <w:trHeight w:val="20"/>
          <w:tblHeader/>
        </w:trPr>
        <w:tc>
          <w:tcPr>
            <w:tcW w:w="2268"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FYM</w:t>
            </w:r>
          </w:p>
        </w:tc>
        <w:tc>
          <w:tcPr>
            <w:tcW w:w="885" w:type="dxa"/>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201" w:type="dxa"/>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154" w:type="dxa"/>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0.63</w:t>
            </w:r>
          </w:p>
        </w:tc>
        <w:tc>
          <w:tcPr>
            <w:tcW w:w="1524" w:type="dxa"/>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493" w:type="dxa"/>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bl>
    <w:p w:rsidR="00B74AE5" w:rsidRDefault="002B21F9">
      <w:pPr>
        <w:spacing w:before="120" w:after="120" w:line="360" w:lineRule="auto"/>
        <w:rPr>
          <w:rFonts w:ascii="Times New Roman" w:hAnsi="Times New Roman" w:cs="Times New Roman"/>
          <w:sz w:val="24"/>
          <w:szCs w:val="24"/>
        </w:rPr>
      </w:pPr>
      <w:r>
        <w:rPr>
          <w:rFonts w:ascii="Times New Roman" w:hAnsi="Times New Roman" w:cs="Times New Roman"/>
          <w:b/>
          <w:sz w:val="24"/>
          <w:szCs w:val="24"/>
        </w:rPr>
        <w:t>Table 2. Soil properties of the Experimental Site</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1208"/>
        <w:gridCol w:w="2471"/>
        <w:gridCol w:w="1798"/>
        <w:gridCol w:w="1752"/>
      </w:tblGrid>
      <w:tr w:rsidR="00B74AE5">
        <w:tc>
          <w:tcPr>
            <w:tcW w:w="1225" w:type="pct"/>
            <w:tcBorders>
              <w:top w:val="single" w:sz="4" w:space="0" w:color="auto"/>
              <w:bottom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631" w:type="pct"/>
            <w:tcBorders>
              <w:top w:val="single" w:sz="4" w:space="0" w:color="auto"/>
              <w:bottom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Value obtained</w:t>
            </w:r>
          </w:p>
        </w:tc>
        <w:tc>
          <w:tcPr>
            <w:tcW w:w="1290" w:type="pct"/>
            <w:tcBorders>
              <w:top w:val="single" w:sz="4" w:space="0" w:color="auto"/>
              <w:bottom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Method employed</w:t>
            </w:r>
          </w:p>
        </w:tc>
        <w:tc>
          <w:tcPr>
            <w:tcW w:w="939" w:type="pct"/>
            <w:tcBorders>
              <w:top w:val="single" w:sz="4" w:space="0" w:color="auto"/>
              <w:bottom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tc>
        <w:tc>
          <w:tcPr>
            <w:tcW w:w="915" w:type="pct"/>
            <w:tcBorders>
              <w:top w:val="single" w:sz="4" w:space="0" w:color="auto"/>
              <w:bottom w:val="single" w:sz="4" w:space="0" w:color="auto"/>
            </w:tcBorders>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B74AE5">
        <w:tc>
          <w:tcPr>
            <w:tcW w:w="1225" w:type="pct"/>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Sand (%)</w:t>
            </w:r>
          </w:p>
        </w:tc>
        <w:tc>
          <w:tcPr>
            <w:tcW w:w="631" w:type="pct"/>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56.85</w:t>
            </w:r>
          </w:p>
        </w:tc>
        <w:tc>
          <w:tcPr>
            <w:tcW w:w="1290" w:type="pct"/>
            <w:vMerge w:val="restart"/>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International pipette method</w:t>
            </w:r>
          </w:p>
          <w:p w:rsidR="00B74AE5" w:rsidRDefault="00B74AE5">
            <w:pPr>
              <w:spacing w:before="120" w:after="120" w:line="360" w:lineRule="auto"/>
              <w:jc w:val="center"/>
              <w:rPr>
                <w:rFonts w:ascii="Times New Roman" w:hAnsi="Times New Roman" w:cs="Times New Roman"/>
                <w:sz w:val="24"/>
                <w:szCs w:val="24"/>
              </w:rPr>
            </w:pPr>
          </w:p>
        </w:tc>
        <w:tc>
          <w:tcPr>
            <w:tcW w:w="939" w:type="pct"/>
            <w:vMerge w:val="restart"/>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(Piper, 1966)</w:t>
            </w:r>
          </w:p>
        </w:tc>
        <w:tc>
          <w:tcPr>
            <w:tcW w:w="915" w:type="pct"/>
            <w:vMerge w:val="restart"/>
            <w:tcBorders>
              <w:top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Sandy loam</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Silt (%)</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31.36</w:t>
            </w:r>
          </w:p>
        </w:tc>
        <w:tc>
          <w:tcPr>
            <w:tcW w:w="1290" w:type="pct"/>
            <w:vMerge/>
          </w:tcPr>
          <w:p w:rsidR="00B74AE5" w:rsidRDefault="00B74AE5">
            <w:pPr>
              <w:spacing w:before="120" w:after="120" w:line="360" w:lineRule="auto"/>
              <w:jc w:val="center"/>
              <w:rPr>
                <w:rFonts w:ascii="Times New Roman" w:hAnsi="Times New Roman" w:cs="Times New Roman"/>
                <w:sz w:val="24"/>
                <w:szCs w:val="24"/>
              </w:rPr>
            </w:pPr>
          </w:p>
        </w:tc>
        <w:tc>
          <w:tcPr>
            <w:tcW w:w="939" w:type="pct"/>
            <w:vMerge/>
          </w:tcPr>
          <w:p w:rsidR="00B74AE5" w:rsidRDefault="00B74AE5">
            <w:pPr>
              <w:spacing w:before="120" w:after="120" w:line="360" w:lineRule="auto"/>
              <w:jc w:val="center"/>
              <w:rPr>
                <w:rFonts w:ascii="Times New Roman" w:hAnsi="Times New Roman" w:cs="Times New Roman"/>
                <w:sz w:val="24"/>
                <w:szCs w:val="24"/>
              </w:rPr>
            </w:pPr>
          </w:p>
        </w:tc>
        <w:tc>
          <w:tcPr>
            <w:tcW w:w="915" w:type="pct"/>
            <w:vMerge/>
          </w:tcPr>
          <w:p w:rsidR="00B74AE5" w:rsidRDefault="00B74AE5">
            <w:pPr>
              <w:spacing w:before="120" w:after="120" w:line="360" w:lineRule="auto"/>
              <w:jc w:val="center"/>
              <w:rPr>
                <w:rFonts w:ascii="Times New Roman" w:hAnsi="Times New Roman" w:cs="Times New Roman"/>
                <w:sz w:val="24"/>
                <w:szCs w:val="24"/>
              </w:rPr>
            </w:pP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Clay (%)</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11.78</w:t>
            </w:r>
          </w:p>
        </w:tc>
        <w:tc>
          <w:tcPr>
            <w:tcW w:w="1290" w:type="pct"/>
            <w:vMerge/>
          </w:tcPr>
          <w:p w:rsidR="00B74AE5" w:rsidRDefault="00B74AE5">
            <w:pPr>
              <w:spacing w:before="120" w:after="120" w:line="360" w:lineRule="auto"/>
              <w:jc w:val="center"/>
              <w:rPr>
                <w:rFonts w:ascii="Times New Roman" w:hAnsi="Times New Roman" w:cs="Times New Roman"/>
                <w:sz w:val="24"/>
                <w:szCs w:val="24"/>
              </w:rPr>
            </w:pPr>
          </w:p>
        </w:tc>
        <w:tc>
          <w:tcPr>
            <w:tcW w:w="939" w:type="pct"/>
            <w:vMerge/>
          </w:tcPr>
          <w:p w:rsidR="00B74AE5" w:rsidRDefault="00B74AE5">
            <w:pPr>
              <w:spacing w:before="120" w:after="120" w:line="360" w:lineRule="auto"/>
              <w:jc w:val="center"/>
              <w:rPr>
                <w:rFonts w:ascii="Times New Roman" w:hAnsi="Times New Roman" w:cs="Times New Roman"/>
                <w:sz w:val="24"/>
                <w:szCs w:val="24"/>
              </w:rPr>
            </w:pPr>
          </w:p>
        </w:tc>
        <w:tc>
          <w:tcPr>
            <w:tcW w:w="915" w:type="pct"/>
            <w:vMerge/>
          </w:tcPr>
          <w:p w:rsidR="00B74AE5" w:rsidRDefault="00B74AE5">
            <w:pPr>
              <w:spacing w:before="120" w:after="120" w:line="360" w:lineRule="auto"/>
              <w:jc w:val="center"/>
              <w:rPr>
                <w:rFonts w:ascii="Times New Roman" w:hAnsi="Times New Roman" w:cs="Times New Roman"/>
                <w:sz w:val="24"/>
                <w:szCs w:val="24"/>
              </w:rPr>
            </w:pP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pH (1:2 Soil water suspension)</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Soil water suspension (1:2 ratio)</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Jackson (1973)</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Alkaline</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EC (1:2 Soil water suspension, dSm</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Soil water suspension (1:2 ratio)</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Jackson (1973)</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Non-saline</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Organic carbon (%)</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Rapid titration Method</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Walkley and Black (1934)</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Low</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N (kg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Alkaline permanganate</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Subbiah and </w:t>
            </w:r>
            <w:proofErr w:type="spellStart"/>
            <w:r>
              <w:rPr>
                <w:rFonts w:ascii="Times New Roman" w:hAnsi="Times New Roman" w:cs="Times New Roman"/>
                <w:sz w:val="24"/>
                <w:szCs w:val="24"/>
              </w:rPr>
              <w:t>Asija</w:t>
            </w:r>
            <w:proofErr w:type="spellEnd"/>
            <w:r>
              <w:rPr>
                <w:rFonts w:ascii="Times New Roman" w:hAnsi="Times New Roman" w:cs="Times New Roman"/>
                <w:sz w:val="24"/>
                <w:szCs w:val="24"/>
              </w:rPr>
              <w:t xml:space="preserve"> (1956)</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Available P</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p>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softHyphen/>
              <w:t>27.7</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Olsen’s method</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Olsen </w:t>
            </w:r>
            <w:r>
              <w:rPr>
                <w:rFonts w:ascii="Times New Roman" w:hAnsi="Times New Roman" w:cs="Times New Roman"/>
                <w:i/>
                <w:sz w:val="24"/>
                <w:szCs w:val="24"/>
              </w:rPr>
              <w:t>et al.,</w:t>
            </w:r>
            <w:r>
              <w:rPr>
                <w:rFonts w:ascii="Times New Roman" w:hAnsi="Times New Roman" w:cs="Times New Roman"/>
                <w:sz w:val="24"/>
                <w:szCs w:val="24"/>
              </w:rPr>
              <w:t xml:space="preserve"> (1954)</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K</w:t>
            </w:r>
            <w:r>
              <w:rPr>
                <w:rFonts w:ascii="Times New Roman" w:hAnsi="Times New Roman" w:cs="Times New Roman"/>
                <w:sz w:val="24"/>
                <w:szCs w:val="24"/>
                <w:vertAlign w:val="subscript"/>
              </w:rPr>
              <w:t>2</w:t>
            </w:r>
            <w:r>
              <w:rPr>
                <w:rFonts w:ascii="Times New Roman" w:hAnsi="Times New Roman" w:cs="Times New Roman"/>
                <w:sz w:val="24"/>
                <w:szCs w:val="24"/>
              </w:rPr>
              <w:t>O</w:t>
            </w:r>
          </w:p>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(kg ha</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135.96</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Neutral normal ammonium acetate </w:t>
            </w:r>
            <w:r>
              <w:rPr>
                <w:rFonts w:ascii="Times New Roman" w:hAnsi="Times New Roman" w:cs="Times New Roman"/>
                <w:sz w:val="24"/>
                <w:szCs w:val="24"/>
              </w:rPr>
              <w:lastRenderedPageBreak/>
              <w:t>method</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Jackson (1973)</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Medium</w:t>
            </w:r>
          </w:p>
        </w:tc>
      </w:tr>
      <w:tr w:rsidR="00B74AE5">
        <w:tc>
          <w:tcPr>
            <w:tcW w:w="122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Zn</w:t>
            </w:r>
          </w:p>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(mg kg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631"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290"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DTPA extractable method</w:t>
            </w:r>
          </w:p>
        </w:tc>
        <w:tc>
          <w:tcPr>
            <w:tcW w:w="939"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Lindsay and Norvell (1978)</w:t>
            </w:r>
          </w:p>
        </w:tc>
        <w:tc>
          <w:tcPr>
            <w:tcW w:w="915" w:type="pct"/>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Low</w:t>
            </w:r>
          </w:p>
        </w:tc>
      </w:tr>
      <w:tr w:rsidR="00B74AE5">
        <w:tc>
          <w:tcPr>
            <w:tcW w:w="1225" w:type="pct"/>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Available Fe</w:t>
            </w:r>
          </w:p>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(mg kg</w:t>
            </w:r>
            <w:r>
              <w:rPr>
                <w:rFonts w:ascii="Times New Roman" w:hAnsi="Times New Roman" w:cs="Times New Roman"/>
                <w:sz w:val="24"/>
                <w:szCs w:val="24"/>
                <w:vertAlign w:val="superscript"/>
              </w:rPr>
              <w:noBreakHyphen/>
              <w:t>1</w:t>
            </w:r>
            <w:r>
              <w:rPr>
                <w:rFonts w:ascii="Times New Roman" w:hAnsi="Times New Roman" w:cs="Times New Roman"/>
                <w:sz w:val="24"/>
                <w:szCs w:val="24"/>
              </w:rPr>
              <w:t>)</w:t>
            </w:r>
          </w:p>
        </w:tc>
        <w:tc>
          <w:tcPr>
            <w:tcW w:w="631" w:type="pct"/>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15.23</w:t>
            </w:r>
          </w:p>
        </w:tc>
        <w:tc>
          <w:tcPr>
            <w:tcW w:w="1290" w:type="pct"/>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DTPA extractable method</w:t>
            </w:r>
          </w:p>
        </w:tc>
        <w:tc>
          <w:tcPr>
            <w:tcW w:w="939" w:type="pct"/>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Lindsay and Norvell (1978)</w:t>
            </w:r>
          </w:p>
        </w:tc>
        <w:tc>
          <w:tcPr>
            <w:tcW w:w="915" w:type="pct"/>
            <w:tcBorders>
              <w:bottom w:val="single" w:sz="4" w:space="0" w:color="auto"/>
            </w:tcBorders>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High</w:t>
            </w:r>
          </w:p>
        </w:tc>
      </w:tr>
    </w:tbl>
    <w:p w:rsidR="00B74AE5" w:rsidRDefault="00B74AE5">
      <w:pPr>
        <w:spacing w:before="120" w:after="120" w:line="360" w:lineRule="auto"/>
        <w:rPr>
          <w:rFonts w:ascii="Times New Roman" w:hAnsi="Times New Roman" w:cs="Times New Roman"/>
          <w:sz w:val="24"/>
          <w:szCs w:val="24"/>
        </w:rPr>
      </w:pPr>
    </w:p>
    <w:p w:rsidR="00B74AE5" w:rsidRDefault="00B74AE5">
      <w:pPr>
        <w:spacing w:before="120" w:after="120" w:line="360" w:lineRule="auto"/>
        <w:rPr>
          <w:rFonts w:ascii="Times New Roman" w:hAnsi="Times New Roman" w:cs="Times New Roman"/>
          <w:sz w:val="24"/>
          <w:szCs w:val="24"/>
        </w:rPr>
        <w:sectPr w:rsidR="00B74A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3. Available N, P and K (kg ha</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post harvest</w:t>
      </w:r>
      <w:proofErr w:type="spellEnd"/>
      <w:r>
        <w:rPr>
          <w:rFonts w:ascii="Times New Roman" w:hAnsi="Times New Roman" w:cs="Times New Roman"/>
          <w:b/>
          <w:sz w:val="24"/>
          <w:szCs w:val="24"/>
        </w:rPr>
        <w:t xml:space="preserve"> soil as influenced by INM and micronutrient application practices (2018, 2019 and Mean)</w:t>
      </w:r>
    </w:p>
    <w:tbl>
      <w:tblPr>
        <w:tblStyle w:val="TableGrid"/>
        <w:tblW w:w="12854"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8"/>
        <w:gridCol w:w="1252"/>
        <w:gridCol w:w="1252"/>
        <w:gridCol w:w="1252"/>
      </w:tblGrid>
      <w:tr w:rsidR="00B74AE5">
        <w:tc>
          <w:tcPr>
            <w:tcW w:w="1453" w:type="dxa"/>
            <w:vMerge w:val="restart"/>
            <w:tcBorders>
              <w:top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N (kg/ha)</w:t>
            </w:r>
          </w:p>
        </w:tc>
        <w:tc>
          <w:tcPr>
            <w:tcW w:w="3953"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P (kg/ha)</w:t>
            </w:r>
          </w:p>
        </w:tc>
        <w:tc>
          <w:tcPr>
            <w:tcW w:w="3756"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K (kg/ha)</w:t>
            </w:r>
          </w:p>
        </w:tc>
      </w:tr>
      <w:tr w:rsidR="00B74AE5">
        <w:tc>
          <w:tcPr>
            <w:tcW w:w="1453" w:type="dxa"/>
            <w:vMerge/>
            <w:tcBorders>
              <w:bottom w:val="single" w:sz="4" w:space="0" w:color="auto"/>
            </w:tcBorders>
            <w:vAlign w:val="center"/>
          </w:tcPr>
          <w:p w:rsidR="00B74AE5" w:rsidRDefault="00B74AE5">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B74AE5">
        <w:trPr>
          <w:trHeight w:val="255"/>
        </w:trPr>
        <w:tc>
          <w:tcPr>
            <w:tcW w:w="12854" w:type="dxa"/>
            <w:gridSpan w:val="10"/>
            <w:tcBorders>
              <w:top w:val="single" w:sz="4" w:space="0" w:color="auto"/>
              <w:bottom w:val="single" w:sz="4" w:space="0" w:color="auto"/>
            </w:tcBorders>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B74AE5">
        <w:trPr>
          <w:trHeight w:val="15"/>
        </w:trPr>
        <w:tc>
          <w:tcPr>
            <w:tcW w:w="12854" w:type="dxa"/>
            <w:gridSpan w:val="10"/>
            <w:tcBorders>
              <w:top w:val="single" w:sz="4" w:space="0" w:color="auto"/>
            </w:tcBorders>
          </w:tcPr>
          <w:p w:rsidR="00B74AE5" w:rsidRDefault="00B74AE5">
            <w:pPr>
              <w:spacing w:before="120" w:after="120" w:line="360" w:lineRule="auto"/>
              <w:jc w:val="both"/>
              <w:rPr>
                <w:rFonts w:ascii="Times New Roman" w:hAnsi="Times New Roman" w:cs="Times New Roman"/>
                <w:b/>
                <w:sz w:val="24"/>
                <w:szCs w:val="24"/>
              </w:rPr>
            </w:pP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246.67</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253.67</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250.17</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26.26</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28.66</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27.46</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133.82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126.06</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129.94</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248.60</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253.60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251.10</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28.40</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27.75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136.86</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126.74</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131.80</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245.60</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254.10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249.85</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26.79</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28.88</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27.84</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127.25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131.02</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254.90</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258.40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256.65</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28.40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28.70</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137.22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127.71</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132.46</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245.00</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252.00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248.50</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25.54</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28.60</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27.07</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131.32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123.96</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127.46</w:t>
            </w:r>
          </w:p>
        </w:tc>
      </w:tr>
      <w:tr w:rsidR="00B74AE5">
        <w:tc>
          <w:tcPr>
            <w:tcW w:w="1453" w:type="dxa"/>
            <w:tcBorders>
              <w:bottom w:val="single" w:sz="4" w:space="0" w:color="auto"/>
            </w:tcBorders>
          </w:tcPr>
          <w:p w:rsidR="00B74AE5" w:rsidRDefault="002B21F9">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253.32</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256.32</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254.82</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26.48</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28.60</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27.54</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134.89</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125.45</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130.17</w:t>
            </w:r>
          </w:p>
        </w:tc>
      </w:tr>
      <w:tr w:rsidR="00B74AE5">
        <w:tc>
          <w:tcPr>
            <w:tcW w:w="1453"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B74AE5">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B74AE5">
        <w:tc>
          <w:tcPr>
            <w:tcW w:w="12854" w:type="dxa"/>
            <w:gridSpan w:val="10"/>
            <w:tcBorders>
              <w:top w:val="single" w:sz="4" w:space="0" w:color="auto"/>
            </w:tcBorders>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Micronutrients</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248.43</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254.10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251.27</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28.59</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27.61</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133.51</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125.22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129.36</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248.66</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254.33</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251.49</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26.62</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28.58</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27.60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135.25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126.25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130.75</w:t>
            </w:r>
          </w:p>
        </w:tc>
      </w:tr>
      <w:tr w:rsidR="00B74AE5">
        <w:tc>
          <w:tcPr>
            <w:tcW w:w="1453" w:type="dxa"/>
            <w:tcBorders>
              <w:bottom w:val="single" w:sz="4" w:space="0" w:color="auto"/>
            </w:tcBorders>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249.95</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255.62</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252.78</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27.02</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28.75</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135.70</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127.11</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131.40</w:t>
            </w:r>
          </w:p>
        </w:tc>
      </w:tr>
      <w:tr w:rsidR="00B74AE5">
        <w:tc>
          <w:tcPr>
            <w:tcW w:w="1453"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1178"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B74AE5">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B74AE5">
        <w:tc>
          <w:tcPr>
            <w:tcW w:w="1453" w:type="dxa"/>
            <w:tcBorders>
              <w:top w:val="single" w:sz="4" w:space="0" w:color="auto"/>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B74AE5" w:rsidRDefault="00B74AE5">
      <w:pPr>
        <w:spacing w:before="120" w:after="120" w:line="360" w:lineRule="auto"/>
        <w:jc w:val="both"/>
        <w:rPr>
          <w:rFonts w:ascii="Times New Roman" w:hAnsi="Times New Roman" w:cs="Times New Roman"/>
          <w:sz w:val="24"/>
          <w:szCs w:val="24"/>
        </w:rPr>
      </w:pPr>
    </w:p>
    <w:p w:rsidR="00B74AE5" w:rsidRDefault="00B74AE5">
      <w:pPr>
        <w:spacing w:before="120" w:after="120" w:line="360" w:lineRule="auto"/>
        <w:rPr>
          <w:rFonts w:ascii="Times New Roman" w:hAnsi="Times New Roman" w:cs="Times New Roman"/>
          <w:sz w:val="24"/>
          <w:szCs w:val="24"/>
        </w:rPr>
      </w:pPr>
    </w:p>
    <w:p w:rsidR="00B74AE5" w:rsidRDefault="00B74AE5">
      <w:pPr>
        <w:spacing w:before="120" w:after="120" w:line="360" w:lineRule="auto"/>
        <w:rPr>
          <w:rFonts w:ascii="Times New Roman" w:hAnsi="Times New Roman" w:cs="Times New Roman"/>
          <w:sz w:val="24"/>
          <w:szCs w:val="24"/>
        </w:rPr>
        <w:sectPr w:rsidR="00B74AE5">
          <w:pgSz w:w="15840" w:h="12240" w:orient="landscape"/>
          <w:pgMar w:top="1440" w:right="1440" w:bottom="1440" w:left="1440" w:header="708" w:footer="708" w:gutter="0"/>
          <w:cols w:space="708"/>
          <w:docGrid w:linePitch="360"/>
        </w:sectPr>
      </w:pP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 Available Fe and Zn (ppm) in </w:t>
      </w:r>
      <w:proofErr w:type="spellStart"/>
      <w:r>
        <w:rPr>
          <w:rFonts w:ascii="Times New Roman" w:hAnsi="Times New Roman" w:cs="Times New Roman"/>
          <w:b/>
          <w:sz w:val="24"/>
          <w:szCs w:val="24"/>
        </w:rPr>
        <w:t>post harvest</w:t>
      </w:r>
      <w:proofErr w:type="spellEnd"/>
      <w:r>
        <w:rPr>
          <w:rFonts w:ascii="Times New Roman" w:hAnsi="Times New Roman" w:cs="Times New Roman"/>
          <w:b/>
          <w:sz w:val="24"/>
          <w:szCs w:val="24"/>
        </w:rPr>
        <w:t xml:space="preserve"> soil as influenced by INM and micronutrient application practices (2018, 2019 and Mean)</w:t>
      </w:r>
    </w:p>
    <w:tbl>
      <w:tblPr>
        <w:tblStyle w:val="TableGrid"/>
        <w:tblW w:w="909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0"/>
        <w:gridCol w:w="8"/>
      </w:tblGrid>
      <w:tr w:rsidR="00B74AE5">
        <w:tc>
          <w:tcPr>
            <w:tcW w:w="1453" w:type="dxa"/>
            <w:vMerge w:val="restart"/>
            <w:tcBorders>
              <w:top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Fe (ppm)</w:t>
            </w:r>
          </w:p>
        </w:tc>
        <w:tc>
          <w:tcPr>
            <w:tcW w:w="3953" w:type="dxa"/>
            <w:gridSpan w:val="4"/>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Available Zn (ppm)</w:t>
            </w:r>
          </w:p>
        </w:tc>
      </w:tr>
      <w:tr w:rsidR="00B74AE5">
        <w:tc>
          <w:tcPr>
            <w:tcW w:w="1453" w:type="dxa"/>
            <w:vMerge/>
            <w:tcBorders>
              <w:bottom w:val="single" w:sz="4" w:space="0" w:color="auto"/>
            </w:tcBorders>
            <w:vAlign w:val="center"/>
          </w:tcPr>
          <w:p w:rsidR="00B74AE5" w:rsidRDefault="00B74AE5">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gridSpan w:val="2"/>
            <w:tcBorders>
              <w:top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B74AE5">
        <w:trPr>
          <w:gridAfter w:val="1"/>
          <w:wAfter w:w="8" w:type="dxa"/>
        </w:trPr>
        <w:tc>
          <w:tcPr>
            <w:tcW w:w="9090" w:type="dxa"/>
            <w:gridSpan w:val="7"/>
            <w:tcBorders>
              <w:top w:val="single" w:sz="4" w:space="0" w:color="auto"/>
              <w:bottom w:val="single" w:sz="4" w:space="0" w:color="auto"/>
            </w:tcBorders>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B74AE5">
        <w:tc>
          <w:tcPr>
            <w:tcW w:w="1453" w:type="dxa"/>
            <w:tcBorders>
              <w:top w:val="single" w:sz="4" w:space="0" w:color="auto"/>
            </w:tcBorders>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14.33</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14.80</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14.76</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15.17</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14.28</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15.69</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14.99</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15.89</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15.54</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0.31</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13.87</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14.59</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14.23</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B74AE5">
        <w:tc>
          <w:tcPr>
            <w:tcW w:w="1453" w:type="dxa"/>
            <w:tcBorders>
              <w:bottom w:val="single" w:sz="4" w:space="0" w:color="auto"/>
            </w:tcBorders>
          </w:tcPr>
          <w:p w:rsidR="00B74AE5" w:rsidRDefault="002B21F9">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13.48</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14.43</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13.95</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178" w:type="dxa"/>
            <w:gridSpan w:val="2"/>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r>
      <w:tr w:rsidR="00B74AE5">
        <w:tc>
          <w:tcPr>
            <w:tcW w:w="1453"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78" w:type="dxa"/>
            <w:gridSpan w:val="2"/>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B74AE5">
        <w:trPr>
          <w:trHeight w:val="300"/>
        </w:trPr>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B74AE5">
        <w:trPr>
          <w:trHeight w:val="120"/>
        </w:trPr>
        <w:tc>
          <w:tcPr>
            <w:tcW w:w="1453" w:type="dxa"/>
            <w:tcBorders>
              <w:top w:val="single" w:sz="4" w:space="0" w:color="auto"/>
            </w:tcBorders>
          </w:tcPr>
          <w:p w:rsidR="00B74AE5" w:rsidRDefault="00B74AE5">
            <w:pPr>
              <w:spacing w:before="120" w:after="120" w:line="360" w:lineRule="auto"/>
              <w:jc w:val="both"/>
              <w:rPr>
                <w:rFonts w:ascii="Times New Roman" w:hAnsi="Times New Roman" w:cs="Times New Roman"/>
                <w:sz w:val="24"/>
                <w:szCs w:val="24"/>
              </w:rPr>
            </w:pPr>
          </w:p>
        </w:tc>
        <w:tc>
          <w:tcPr>
            <w:tcW w:w="1337"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178" w:type="dxa"/>
            <w:gridSpan w:val="2"/>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r>
      <w:tr w:rsidR="00B74AE5">
        <w:trPr>
          <w:gridAfter w:val="1"/>
          <w:wAfter w:w="8" w:type="dxa"/>
        </w:trPr>
        <w:tc>
          <w:tcPr>
            <w:tcW w:w="9090" w:type="dxa"/>
            <w:gridSpan w:val="7"/>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Micronutrients</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14.32</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15.36</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14.84</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14.18</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15.11</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14.64</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B74AE5">
        <w:trPr>
          <w:trHeight w:val="255"/>
        </w:trPr>
        <w:tc>
          <w:tcPr>
            <w:tcW w:w="1453" w:type="dxa"/>
            <w:tcBorders>
              <w:bottom w:val="single" w:sz="4" w:space="0" w:color="auto"/>
            </w:tcBorders>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14.45</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15.26</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14.86</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178" w:type="dxa"/>
            <w:gridSpan w:val="2"/>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r>
      <w:tr w:rsidR="00B74AE5">
        <w:trPr>
          <w:trHeight w:val="150"/>
        </w:trPr>
        <w:tc>
          <w:tcPr>
            <w:tcW w:w="1453" w:type="dxa"/>
            <w:tcBorders>
              <w:top w:val="single" w:sz="4" w:space="0" w:color="auto"/>
            </w:tcBorders>
          </w:tcPr>
          <w:p w:rsidR="00B74AE5" w:rsidRDefault="00B74AE5">
            <w:pPr>
              <w:spacing w:before="120" w:after="120" w:line="360" w:lineRule="auto"/>
              <w:ind w:left="540" w:hanging="540"/>
              <w:jc w:val="both"/>
              <w:rPr>
                <w:rFonts w:ascii="Times New Roman" w:hAnsi="Times New Roman" w:cs="Times New Roman"/>
                <w:sz w:val="24"/>
                <w:szCs w:val="24"/>
              </w:rPr>
            </w:pPr>
          </w:p>
        </w:tc>
        <w:tc>
          <w:tcPr>
            <w:tcW w:w="1337"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178" w:type="dxa"/>
            <w:gridSpan w:val="2"/>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r>
      <w:tr w:rsidR="00B74AE5">
        <w:tc>
          <w:tcPr>
            <w:tcW w:w="1453" w:type="dxa"/>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78" w:type="dxa"/>
            <w:gridSpan w:val="2"/>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B74AE5">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B74AE5">
        <w:tc>
          <w:tcPr>
            <w:tcW w:w="1453" w:type="dxa"/>
            <w:tcBorders>
              <w:top w:val="single" w:sz="4" w:space="0" w:color="auto"/>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gridSpan w:val="2"/>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B74AE5" w:rsidRDefault="00B74AE5">
      <w:pPr>
        <w:spacing w:before="120" w:after="120" w:line="360" w:lineRule="auto"/>
        <w:rPr>
          <w:rFonts w:ascii="Times New Roman" w:hAnsi="Times New Roman" w:cs="Times New Roman"/>
          <w:sz w:val="24"/>
          <w:szCs w:val="24"/>
        </w:rPr>
        <w:sectPr w:rsidR="00B74AE5">
          <w:pgSz w:w="12240" w:h="15840"/>
          <w:pgMar w:top="1440" w:right="1440" w:bottom="1440" w:left="1440" w:header="708" w:footer="708" w:gutter="0"/>
          <w:cols w:space="708"/>
          <w:docGrid w:linePitch="360"/>
        </w:sectPr>
      </w:pPr>
    </w:p>
    <w:p w:rsidR="00B74AE5" w:rsidRDefault="002B21F9">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5. Partial factor productivity (PFP</w:t>
      </w:r>
      <w:r>
        <w:rPr>
          <w:rFonts w:ascii="Times New Roman" w:hAnsi="Times New Roman" w:cs="Times New Roman"/>
          <w:b/>
          <w:sz w:val="24"/>
          <w:szCs w:val="24"/>
          <w:vertAlign w:val="subscript"/>
        </w:rPr>
        <w:t>N</w:t>
      </w:r>
      <w:r>
        <w:rPr>
          <w:rFonts w:ascii="Times New Roman" w:hAnsi="Times New Roman" w:cs="Times New Roman"/>
          <w:b/>
          <w:sz w:val="24"/>
          <w:szCs w:val="24"/>
        </w:rPr>
        <w:t>), Internal Utilization efficiency (IE</w:t>
      </w:r>
      <w:r>
        <w:rPr>
          <w:rFonts w:ascii="Times New Roman" w:hAnsi="Times New Roman" w:cs="Times New Roman"/>
          <w:b/>
          <w:sz w:val="24"/>
          <w:szCs w:val="24"/>
          <w:vertAlign w:val="subscript"/>
        </w:rPr>
        <w:t>N</w:t>
      </w:r>
      <w:r>
        <w:rPr>
          <w:rFonts w:ascii="Times New Roman" w:hAnsi="Times New Roman" w:cs="Times New Roman"/>
          <w:b/>
          <w:sz w:val="24"/>
          <w:szCs w:val="24"/>
        </w:rPr>
        <w:t>) and Partial Nutrient Balance (PNB) as influenced by integrated nutrient management and micronutrient treatments.</w:t>
      </w:r>
    </w:p>
    <w:tbl>
      <w:tblPr>
        <w:tblStyle w:val="TableGrid"/>
        <w:tblW w:w="12854"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1337"/>
        <w:gridCol w:w="1080"/>
        <w:gridCol w:w="1275"/>
        <w:gridCol w:w="1300"/>
        <w:gridCol w:w="1475"/>
        <w:gridCol w:w="1178"/>
        <w:gridCol w:w="1252"/>
        <w:gridCol w:w="1252"/>
        <w:gridCol w:w="1252"/>
      </w:tblGrid>
      <w:tr w:rsidR="00B74AE5">
        <w:tc>
          <w:tcPr>
            <w:tcW w:w="1453" w:type="dxa"/>
            <w:vMerge w:val="restart"/>
            <w:tcBorders>
              <w:top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3692"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Partial factor productivity (PFP</w:t>
            </w:r>
            <w:r>
              <w:rPr>
                <w:rFonts w:ascii="Times New Roman" w:hAnsi="Times New Roman" w:cs="Times New Roman"/>
                <w:b/>
                <w:sz w:val="24"/>
                <w:szCs w:val="24"/>
                <w:vertAlign w:val="subscript"/>
              </w:rPr>
              <w:t>N</w:t>
            </w:r>
            <w:r>
              <w:rPr>
                <w:rFonts w:ascii="Times New Roman" w:hAnsi="Times New Roman" w:cs="Times New Roman"/>
                <w:b/>
                <w:sz w:val="24"/>
                <w:szCs w:val="24"/>
              </w:rPr>
              <w:t>)</w:t>
            </w:r>
          </w:p>
        </w:tc>
        <w:tc>
          <w:tcPr>
            <w:tcW w:w="3953"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Internal Utilization efficiency (IE</w:t>
            </w:r>
            <w:r>
              <w:rPr>
                <w:rFonts w:ascii="Times New Roman" w:hAnsi="Times New Roman" w:cs="Times New Roman"/>
                <w:b/>
                <w:sz w:val="24"/>
                <w:szCs w:val="24"/>
                <w:vertAlign w:val="subscript"/>
              </w:rPr>
              <w:t>N</w:t>
            </w:r>
            <w:r>
              <w:rPr>
                <w:rFonts w:ascii="Times New Roman" w:hAnsi="Times New Roman" w:cs="Times New Roman"/>
                <w:b/>
                <w:sz w:val="24"/>
                <w:szCs w:val="24"/>
              </w:rPr>
              <w:t>)</w:t>
            </w:r>
          </w:p>
        </w:tc>
        <w:tc>
          <w:tcPr>
            <w:tcW w:w="3756" w:type="dxa"/>
            <w:gridSpan w:val="3"/>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Partial Nutrient Balance (PNB)</w:t>
            </w:r>
          </w:p>
        </w:tc>
      </w:tr>
      <w:tr w:rsidR="00B74AE5">
        <w:tc>
          <w:tcPr>
            <w:tcW w:w="1453" w:type="dxa"/>
            <w:vMerge/>
            <w:tcBorders>
              <w:bottom w:val="single" w:sz="4" w:space="0" w:color="auto"/>
            </w:tcBorders>
            <w:vAlign w:val="center"/>
          </w:tcPr>
          <w:p w:rsidR="00B74AE5" w:rsidRDefault="00B74AE5">
            <w:pPr>
              <w:spacing w:before="120" w:after="120" w:line="360" w:lineRule="auto"/>
              <w:jc w:val="center"/>
              <w:rPr>
                <w:rFonts w:ascii="Times New Roman" w:hAnsi="Times New Roman" w:cs="Times New Roman"/>
                <w:b/>
                <w:sz w:val="24"/>
                <w:szCs w:val="24"/>
              </w:rPr>
            </w:pPr>
          </w:p>
        </w:tc>
        <w:tc>
          <w:tcPr>
            <w:tcW w:w="1337"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08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00"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475"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178"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1252" w:type="dxa"/>
            <w:tcBorders>
              <w:top w:val="single" w:sz="4" w:space="0" w:color="auto"/>
              <w:bottom w:val="single" w:sz="4" w:space="0" w:color="auto"/>
            </w:tcBorders>
            <w:vAlign w:val="center"/>
          </w:tcPr>
          <w:p w:rsidR="00B74AE5" w:rsidRDefault="002B21F9">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B74AE5">
        <w:tc>
          <w:tcPr>
            <w:tcW w:w="12854" w:type="dxa"/>
            <w:gridSpan w:val="10"/>
            <w:tcBorders>
              <w:top w:val="single" w:sz="4" w:space="0" w:color="auto"/>
            </w:tcBorders>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Integrated Nutrient Management</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41.39</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46.66</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44.03</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49.07</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48.67</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48.87</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42.98</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47.51</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45.24</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49.20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47.69</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48.40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37.18</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39.26</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38.22</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50.22</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49.23</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4</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35.57</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37.92</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36.75</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48.50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47.35</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47.92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5</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35.60</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35.90</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35.75</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50.76</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49.79</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50.27</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r>
      <w:tr w:rsidR="00B74AE5">
        <w:tc>
          <w:tcPr>
            <w:tcW w:w="1453" w:type="dxa"/>
            <w:tcBorders>
              <w:bottom w:val="single" w:sz="4" w:space="0" w:color="auto"/>
            </w:tcBorders>
          </w:tcPr>
          <w:p w:rsidR="00B74AE5" w:rsidRDefault="002B21F9">
            <w:pPr>
              <w:spacing w:before="120" w:after="120" w:line="360" w:lineRule="auto"/>
              <w:ind w:left="576"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32.15</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34.85</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33.50</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49.68</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48.65</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49.17</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0.68</w:t>
            </w:r>
          </w:p>
        </w:tc>
      </w:tr>
      <w:tr w:rsidR="00B74AE5">
        <w:tc>
          <w:tcPr>
            <w:tcW w:w="1453"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178"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B74AE5">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0.06</w:t>
            </w:r>
          </w:p>
        </w:tc>
      </w:tr>
      <w:tr w:rsidR="00B74AE5">
        <w:tc>
          <w:tcPr>
            <w:tcW w:w="12854" w:type="dxa"/>
            <w:gridSpan w:val="10"/>
            <w:tcBorders>
              <w:top w:val="single" w:sz="4" w:space="0" w:color="auto"/>
            </w:tcBorders>
          </w:tcPr>
          <w:p w:rsidR="00B74AE5" w:rsidRDefault="002B21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Micronutrients</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vertAlign w:val="subscript"/>
              </w:rPr>
              <w:t>1</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37.06</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40.13</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38.59</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51.10</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49.78</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50.44</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B74AE5">
        <w:tc>
          <w:tcPr>
            <w:tcW w:w="1453" w:type="dxa"/>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2</w:t>
            </w:r>
          </w:p>
        </w:tc>
        <w:tc>
          <w:tcPr>
            <w:tcW w:w="1337"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36.73</w:t>
            </w:r>
          </w:p>
        </w:tc>
        <w:tc>
          <w:tcPr>
            <w:tcW w:w="108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39.42</w:t>
            </w:r>
          </w:p>
        </w:tc>
        <w:tc>
          <w:tcPr>
            <w:tcW w:w="12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38.07</w:t>
            </w:r>
          </w:p>
        </w:tc>
        <w:tc>
          <w:tcPr>
            <w:tcW w:w="1300"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49.33</w:t>
            </w:r>
          </w:p>
        </w:tc>
        <w:tc>
          <w:tcPr>
            <w:tcW w:w="1475"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48.37</w:t>
            </w:r>
          </w:p>
        </w:tc>
        <w:tc>
          <w:tcPr>
            <w:tcW w:w="1178"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48.85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0.82</w:t>
            </w:r>
          </w:p>
        </w:tc>
        <w:tc>
          <w:tcPr>
            <w:tcW w:w="1252" w:type="dxa"/>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r w:rsidR="00B74AE5">
        <w:tc>
          <w:tcPr>
            <w:tcW w:w="1453" w:type="dxa"/>
            <w:tcBorders>
              <w:bottom w:val="single" w:sz="4" w:space="0" w:color="auto"/>
            </w:tcBorders>
          </w:tcPr>
          <w:p w:rsidR="00B74AE5" w:rsidRDefault="002B21F9">
            <w:pPr>
              <w:spacing w:before="120" w:after="12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3</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38.65</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41.50</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40.08</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48.29</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47.69</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47.89</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0.84</w:t>
            </w:r>
          </w:p>
        </w:tc>
      </w:tr>
      <w:tr w:rsidR="00B74AE5">
        <w:tc>
          <w:tcPr>
            <w:tcW w:w="1453" w:type="dxa"/>
            <w:tcBorders>
              <w:top w:val="single" w:sz="4" w:space="0" w:color="auto"/>
            </w:tcBorders>
          </w:tcPr>
          <w:p w:rsidR="00B74AE5" w:rsidRDefault="002B21F9">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337"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08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0.91</w:t>
            </w:r>
          </w:p>
        </w:tc>
        <w:tc>
          <w:tcPr>
            <w:tcW w:w="12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1300"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475"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178"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252" w:type="dxa"/>
            <w:tcBorders>
              <w:top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B74AE5">
        <w:trPr>
          <w:trHeight w:val="240"/>
        </w:trPr>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Pr>
                <w:rFonts w:ascii="Times New Roman" w:hAnsi="Times New Roman" w:cs="Times New Roman"/>
                <w:sz w:val="24"/>
                <w:szCs w:val="24"/>
                <w:vertAlign w:val="subscript"/>
              </w:rPr>
              <w:t>(P=0.05)</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0.04</w:t>
            </w:r>
          </w:p>
        </w:tc>
      </w:tr>
      <w:tr w:rsidR="00B74AE5">
        <w:trPr>
          <w:trHeight w:val="45"/>
        </w:trPr>
        <w:tc>
          <w:tcPr>
            <w:tcW w:w="1453" w:type="dxa"/>
            <w:tcBorders>
              <w:top w:val="single" w:sz="4" w:space="0" w:color="auto"/>
            </w:tcBorders>
          </w:tcPr>
          <w:p w:rsidR="00B74AE5" w:rsidRDefault="00B74AE5">
            <w:pPr>
              <w:spacing w:before="120" w:after="120" w:line="360" w:lineRule="auto"/>
              <w:jc w:val="both"/>
              <w:rPr>
                <w:rFonts w:ascii="Times New Roman" w:hAnsi="Times New Roman" w:cs="Times New Roman"/>
                <w:sz w:val="24"/>
                <w:szCs w:val="24"/>
              </w:rPr>
            </w:pPr>
          </w:p>
        </w:tc>
        <w:tc>
          <w:tcPr>
            <w:tcW w:w="1337"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08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300"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475"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178"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c>
          <w:tcPr>
            <w:tcW w:w="1252" w:type="dxa"/>
            <w:tcBorders>
              <w:top w:val="single" w:sz="4" w:space="0" w:color="auto"/>
            </w:tcBorders>
            <w:vAlign w:val="center"/>
          </w:tcPr>
          <w:p w:rsidR="00B74AE5" w:rsidRDefault="00B74AE5">
            <w:pPr>
              <w:spacing w:before="120" w:after="120" w:line="360" w:lineRule="auto"/>
              <w:jc w:val="center"/>
              <w:rPr>
                <w:rFonts w:ascii="Times New Roman" w:hAnsi="Times New Roman" w:cs="Times New Roman"/>
                <w:sz w:val="24"/>
                <w:szCs w:val="24"/>
              </w:rPr>
            </w:pPr>
          </w:p>
        </w:tc>
      </w:tr>
      <w:tr w:rsidR="00B74AE5">
        <w:tc>
          <w:tcPr>
            <w:tcW w:w="1453" w:type="dxa"/>
            <w:tcBorders>
              <w:bottom w:val="single" w:sz="4" w:space="0" w:color="auto"/>
            </w:tcBorders>
          </w:tcPr>
          <w:p w:rsidR="00B74AE5" w:rsidRDefault="002B21F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Interaction (</w:t>
            </w:r>
            <w:proofErr w:type="spellStart"/>
            <w:r>
              <w:rPr>
                <w:rFonts w:ascii="Times New Roman" w:hAnsi="Times New Roman" w:cs="Times New Roman"/>
                <w:sz w:val="24"/>
                <w:szCs w:val="24"/>
              </w:rPr>
              <w:t>NxF</w:t>
            </w:r>
            <w:proofErr w:type="spellEnd"/>
            <w:r>
              <w:rPr>
                <w:rFonts w:ascii="Times New Roman" w:hAnsi="Times New Roman" w:cs="Times New Roman"/>
                <w:sz w:val="24"/>
                <w:szCs w:val="24"/>
              </w:rPr>
              <w:t>)</w:t>
            </w:r>
          </w:p>
        </w:tc>
        <w:tc>
          <w:tcPr>
            <w:tcW w:w="1337"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8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300"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475"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78"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252" w:type="dxa"/>
            <w:tcBorders>
              <w:bottom w:val="single" w:sz="4" w:space="0" w:color="auto"/>
            </w:tcBorders>
            <w:vAlign w:val="center"/>
          </w:tcPr>
          <w:p w:rsidR="00B74AE5" w:rsidRDefault="002B21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bl>
    <w:p w:rsidR="00B74AE5" w:rsidRDefault="00B74AE5">
      <w:pPr>
        <w:tabs>
          <w:tab w:val="left" w:pos="915"/>
        </w:tabs>
        <w:spacing w:before="120" w:after="120" w:line="360" w:lineRule="auto"/>
        <w:jc w:val="both"/>
        <w:rPr>
          <w:rFonts w:ascii="Times New Roman" w:hAnsi="Times New Roman" w:cs="Times New Roman"/>
          <w:b/>
          <w:sz w:val="24"/>
          <w:szCs w:val="24"/>
        </w:rPr>
      </w:pPr>
    </w:p>
    <w:p w:rsidR="00B74AE5" w:rsidRDefault="00B74AE5">
      <w:pPr>
        <w:spacing w:before="120" w:after="120" w:line="360" w:lineRule="auto"/>
        <w:rPr>
          <w:rFonts w:ascii="Times New Roman" w:hAnsi="Times New Roman" w:cs="Times New Roman"/>
          <w:sz w:val="24"/>
          <w:szCs w:val="24"/>
        </w:rPr>
      </w:pPr>
    </w:p>
    <w:sectPr w:rsidR="00B74AE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32C" w:rsidRDefault="0059632C">
      <w:pPr>
        <w:spacing w:line="240" w:lineRule="auto"/>
      </w:pPr>
      <w:r>
        <w:separator/>
      </w:r>
    </w:p>
  </w:endnote>
  <w:endnote w:type="continuationSeparator" w:id="0">
    <w:p w:rsidR="0059632C" w:rsidRDefault="00596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32C" w:rsidRDefault="0059632C">
      <w:pPr>
        <w:spacing w:after="0"/>
      </w:pPr>
      <w:r>
        <w:separator/>
      </w:r>
    </w:p>
  </w:footnote>
  <w:footnote w:type="continuationSeparator" w:id="0">
    <w:p w:rsidR="0059632C" w:rsidRDefault="005963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642" w:rsidRDefault="00A5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17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363"/>
    <w:rsid w:val="00004DE8"/>
    <w:rsid w:val="0001747B"/>
    <w:rsid w:val="00145311"/>
    <w:rsid w:val="001F5E1D"/>
    <w:rsid w:val="002A1363"/>
    <w:rsid w:val="002B21F9"/>
    <w:rsid w:val="00535A3B"/>
    <w:rsid w:val="005850BE"/>
    <w:rsid w:val="0059632C"/>
    <w:rsid w:val="0069610B"/>
    <w:rsid w:val="007D15CB"/>
    <w:rsid w:val="008D7190"/>
    <w:rsid w:val="009C5734"/>
    <w:rsid w:val="00A53642"/>
    <w:rsid w:val="00B74AE5"/>
    <w:rsid w:val="00BD5CB0"/>
    <w:rsid w:val="00C33347"/>
    <w:rsid w:val="00EE2E5E"/>
    <w:rsid w:val="00EF7A2B"/>
    <w:rsid w:val="2A185692"/>
    <w:rsid w:val="6AC929F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BB375B2"/>
  <w15:docId w15:val="{9A11B46B-E01B-48C2-BC38-26B6628E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en-IN"/>
    </w:rPr>
  </w:style>
  <w:style w:type="table" w:customStyle="1" w:styleId="TableGrid1">
    <w:name w:val="Table Grid1"/>
    <w:basedOn w:val="TableNormal"/>
    <w:uiPriority w:val="39"/>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qu">
    <w:name w:val="qu"/>
    <w:basedOn w:val="DefaultParagraphFont"/>
  </w:style>
  <w:style w:type="character" w:customStyle="1" w:styleId="gd">
    <w:name w:val="gd"/>
    <w:basedOn w:val="DefaultParagraphFont"/>
    <w:qFormat/>
  </w:style>
  <w:style w:type="character" w:customStyle="1" w:styleId="go">
    <w:name w:val="go"/>
    <w:basedOn w:val="DefaultParagraphFont"/>
    <w:qFormat/>
  </w:style>
  <w:style w:type="character" w:customStyle="1" w:styleId="g3">
    <w:name w:val="g3"/>
    <w:basedOn w:val="DefaultParagraphFont"/>
  </w:style>
  <w:style w:type="character" w:customStyle="1" w:styleId="hb">
    <w:name w:val="hb"/>
    <w:basedOn w:val="DefaultParagraphFont"/>
    <w:qFormat/>
  </w:style>
  <w:style w:type="character" w:customStyle="1" w:styleId="g2">
    <w:name w:val="g2"/>
    <w:basedOn w:val="DefaultParagraphFont"/>
  </w:style>
  <w:style w:type="paragraph" w:customStyle="1" w:styleId="bzd">
    <w:name w:val="bzd"/>
    <w:basedOn w:val="Normal"/>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styleId="Header">
    <w:name w:val="header"/>
    <w:basedOn w:val="Normal"/>
    <w:link w:val="HeaderChar"/>
    <w:uiPriority w:val="99"/>
    <w:unhideWhenUsed/>
    <w:rsid w:val="00A5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4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A5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64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3560</Words>
  <Characters>20294</Characters>
  <Application>Microsoft Office Word</Application>
  <DocSecurity>0</DocSecurity>
  <Lines>169</Lines>
  <Paragraphs>47</Paragraphs>
  <ScaleCrop>false</ScaleCrop>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SDI 1084</cp:lastModifiedBy>
  <cp:revision>32</cp:revision>
  <dcterms:created xsi:type="dcterms:W3CDTF">2025-09-30T02:55:00Z</dcterms:created>
  <dcterms:modified xsi:type="dcterms:W3CDTF">2025-10-03T14:05:00Z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00A83008B97C479EB50E3714634FCBA7_12</vt:lpwstr>
  </property>
</Properties>
</file>