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E8FC7" w14:textId="0153F8EF" w:rsidR="00FF263E" w:rsidRDefault="00FF263E" w:rsidP="00640690">
      <w:pPr>
        <w:spacing w:line="360" w:lineRule="auto"/>
        <w:jc w:val="center"/>
        <w:rPr>
          <w:rFonts w:ascii="Arial" w:hAnsi="Arial" w:cs="Arial"/>
          <w:b/>
          <w:color w:val="000000" w:themeColor="text1"/>
          <w:sz w:val="20"/>
          <w:szCs w:val="20"/>
        </w:rPr>
      </w:pPr>
      <w:bookmarkStart w:id="0" w:name="introduction"/>
      <w:bookmarkStart w:id="1" w:name="research-paper"/>
      <w:r w:rsidRPr="00FF263E">
        <w:rPr>
          <w:rFonts w:ascii="Arial" w:hAnsi="Arial" w:cs="Arial"/>
          <w:b/>
          <w:bCs/>
          <w:i/>
          <w:iCs/>
          <w:color w:val="000000" w:themeColor="text1"/>
          <w:sz w:val="20"/>
          <w:szCs w:val="20"/>
          <w:u w:val="single"/>
        </w:rPr>
        <w:t>Original Research Article</w:t>
      </w:r>
    </w:p>
    <w:p w14:paraId="7188F357" w14:textId="4CEF4F35" w:rsidR="00640690" w:rsidRPr="003B13E4" w:rsidRDefault="00640690" w:rsidP="00640690">
      <w:pPr>
        <w:spacing w:line="360" w:lineRule="auto"/>
        <w:jc w:val="center"/>
        <w:rPr>
          <w:rFonts w:ascii="Arial" w:hAnsi="Arial" w:cs="Arial"/>
          <w:b/>
          <w:color w:val="000000" w:themeColor="text1"/>
          <w:sz w:val="20"/>
          <w:szCs w:val="20"/>
        </w:rPr>
      </w:pPr>
      <w:r w:rsidRPr="003B13E4">
        <w:rPr>
          <w:rFonts w:ascii="Arial" w:hAnsi="Arial" w:cs="Arial"/>
          <w:b/>
          <w:color w:val="000000" w:themeColor="text1"/>
          <w:sz w:val="20"/>
          <w:szCs w:val="20"/>
        </w:rPr>
        <w:t xml:space="preserve">Influence of selected botanical extracts in combination with wheat straw on the growth performance of </w:t>
      </w:r>
      <w:r w:rsidRPr="003B13E4">
        <w:rPr>
          <w:rStyle w:val="Emphasis"/>
          <w:rFonts w:ascii="Arial" w:hAnsi="Arial" w:cs="Arial"/>
          <w:b/>
          <w:color w:val="000000" w:themeColor="text1"/>
          <w:sz w:val="20"/>
          <w:szCs w:val="20"/>
        </w:rPr>
        <w:t>Pleurotus ostreatus</w:t>
      </w:r>
    </w:p>
    <w:p w14:paraId="30FE08E8" w14:textId="77777777" w:rsidR="0002271B" w:rsidRDefault="0002271B" w:rsidP="00DA47EE">
      <w:pPr>
        <w:pStyle w:val="BodyText"/>
        <w:rPr>
          <w:rFonts w:ascii="Arial" w:hAnsi="Arial" w:cs="Arial"/>
          <w:b/>
          <w:color w:val="000000" w:themeColor="text1"/>
          <w:sz w:val="20"/>
          <w:szCs w:val="20"/>
        </w:rPr>
      </w:pPr>
    </w:p>
    <w:p w14:paraId="7BBCCE39" w14:textId="48EC6C28" w:rsidR="00DA47EE" w:rsidRPr="003B13E4" w:rsidRDefault="00EA428F" w:rsidP="00DA47EE">
      <w:pPr>
        <w:pStyle w:val="BodyText"/>
        <w:rPr>
          <w:rFonts w:ascii="Arial" w:hAnsi="Arial" w:cs="Arial"/>
          <w:b/>
          <w:color w:val="000000" w:themeColor="text1"/>
          <w:sz w:val="20"/>
          <w:szCs w:val="20"/>
        </w:rPr>
      </w:pPr>
      <w:r w:rsidRPr="003B13E4">
        <w:rPr>
          <w:rFonts w:ascii="Arial" w:hAnsi="Arial" w:cs="Arial"/>
          <w:b/>
          <w:color w:val="000000" w:themeColor="text1"/>
          <w:sz w:val="20"/>
          <w:szCs w:val="20"/>
        </w:rPr>
        <w:t>A</w:t>
      </w:r>
      <w:r w:rsidR="004C4CB1" w:rsidRPr="003B13E4">
        <w:rPr>
          <w:rFonts w:ascii="Arial" w:hAnsi="Arial" w:cs="Arial"/>
          <w:b/>
          <w:color w:val="000000" w:themeColor="text1"/>
          <w:sz w:val="20"/>
          <w:szCs w:val="20"/>
        </w:rPr>
        <w:t>BSTRACT</w:t>
      </w:r>
    </w:p>
    <w:p w14:paraId="15406209" w14:textId="77777777"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Aims:</w:t>
      </w:r>
      <w:r w:rsidRPr="003B13E4">
        <w:rPr>
          <w:rFonts w:ascii="Arial" w:eastAsiaTheme="majorEastAsia" w:hAnsi="Arial" w:cs="Arial"/>
          <w:color w:val="000000" w:themeColor="text1"/>
          <w:sz w:val="20"/>
          <w:szCs w:val="20"/>
        </w:rPr>
        <w:t xml:space="preserve"> This study aimed to evaluate the effect of selected botanicals on the growth performance of oyster mushroom (</w:t>
      </w:r>
      <w:r w:rsidRPr="003B13E4">
        <w:rPr>
          <w:rFonts w:ascii="Arial" w:eastAsiaTheme="majorEastAsia" w:hAnsi="Arial" w:cs="Arial"/>
          <w:i/>
          <w:iCs/>
          <w:color w:val="000000" w:themeColor="text1"/>
          <w:sz w:val="20"/>
          <w:szCs w:val="20"/>
        </w:rPr>
        <w:t>Pleurotus ostreatus</w:t>
      </w:r>
      <w:r w:rsidRPr="003B13E4">
        <w:rPr>
          <w:rFonts w:ascii="Arial" w:eastAsiaTheme="majorEastAsia" w:hAnsi="Arial" w:cs="Arial"/>
          <w:color w:val="000000" w:themeColor="text1"/>
          <w:sz w:val="20"/>
          <w:szCs w:val="20"/>
        </w:rPr>
        <w:t>), focusing on the time required for complete spawn run, primordial initiation, and formation of mature fruiting bodies. The objective was to identify effective bio-additives capable of shortening the crop cycle and improving cultivation efficiency.</w:t>
      </w:r>
    </w:p>
    <w:p w14:paraId="61FDBA86" w14:textId="77777777"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Study Design:</w:t>
      </w:r>
      <w:r w:rsidRPr="003B13E4">
        <w:rPr>
          <w:rFonts w:ascii="Arial" w:eastAsiaTheme="majorEastAsia" w:hAnsi="Arial" w:cs="Arial"/>
          <w:color w:val="000000" w:themeColor="text1"/>
          <w:sz w:val="20"/>
          <w:szCs w:val="20"/>
        </w:rPr>
        <w:t xml:space="preserve"> A completely randomized design (CRD) with three replications was used across two consecutive trials.</w:t>
      </w:r>
    </w:p>
    <w:p w14:paraId="5DE99CEA" w14:textId="77777777"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Place and Duration of Study:</w:t>
      </w:r>
      <w:r w:rsidRPr="003B13E4">
        <w:rPr>
          <w:rFonts w:ascii="Arial" w:eastAsiaTheme="majorEastAsia" w:hAnsi="Arial" w:cs="Arial"/>
          <w:color w:val="000000" w:themeColor="text1"/>
          <w:sz w:val="20"/>
          <w:szCs w:val="20"/>
        </w:rPr>
        <w:t xml:space="preserve"> The experiments were conducted at the Mushroom Research Laboratory, Department of Plant Pathology, SHUATS, Prayagraj – 211007 from 2021 to 2023, covering two cropping seasons: 2021–2022 and 2022–2023.</w:t>
      </w:r>
    </w:p>
    <w:p w14:paraId="6635AEF9" w14:textId="77777777"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Methodology:</w:t>
      </w:r>
      <w:r w:rsidRPr="003B13E4">
        <w:rPr>
          <w:rFonts w:ascii="Arial" w:eastAsiaTheme="majorEastAsia" w:hAnsi="Arial" w:cs="Arial"/>
          <w:color w:val="000000" w:themeColor="text1"/>
          <w:sz w:val="20"/>
          <w:szCs w:val="20"/>
        </w:rPr>
        <w:t xml:space="preserve"> Wheat straw substrate was enriched with 2.5% powdered botanicals. Treatments included </w:t>
      </w:r>
      <w:r w:rsidRPr="003B13E4">
        <w:rPr>
          <w:rFonts w:ascii="Arial" w:eastAsiaTheme="majorEastAsia" w:hAnsi="Arial" w:cs="Arial"/>
          <w:i/>
          <w:iCs/>
          <w:color w:val="000000" w:themeColor="text1"/>
          <w:sz w:val="20"/>
          <w:szCs w:val="20"/>
        </w:rPr>
        <w:t xml:space="preserve">Allium </w:t>
      </w:r>
      <w:proofErr w:type="spellStart"/>
      <w:r w:rsidRPr="003B13E4">
        <w:rPr>
          <w:rFonts w:ascii="Arial" w:eastAsiaTheme="majorEastAsia" w:hAnsi="Arial" w:cs="Arial"/>
          <w:i/>
          <w:iCs/>
          <w:color w:val="000000" w:themeColor="text1"/>
          <w:sz w:val="20"/>
          <w:szCs w:val="20"/>
        </w:rPr>
        <w:t>chinense</w:t>
      </w:r>
      <w:proofErr w:type="spellEnd"/>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 xml:space="preserve">Allium </w:t>
      </w:r>
      <w:proofErr w:type="spellStart"/>
      <w:r w:rsidRPr="003B13E4">
        <w:rPr>
          <w:rFonts w:ascii="Arial" w:eastAsiaTheme="majorEastAsia" w:hAnsi="Arial" w:cs="Arial"/>
          <w:i/>
          <w:iCs/>
          <w:color w:val="000000" w:themeColor="text1"/>
          <w:sz w:val="20"/>
          <w:szCs w:val="20"/>
        </w:rPr>
        <w:t>hookeri</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Azadirachta</w:t>
      </w:r>
      <w:proofErr w:type="spellEnd"/>
      <w:r w:rsidRPr="003B13E4">
        <w:rPr>
          <w:rFonts w:ascii="Arial" w:eastAsiaTheme="majorEastAsia" w:hAnsi="Arial" w:cs="Arial"/>
          <w:i/>
          <w:iCs/>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indica</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Zingiber</w:t>
      </w:r>
      <w:proofErr w:type="spellEnd"/>
      <w:r w:rsidRPr="003B13E4">
        <w:rPr>
          <w:rFonts w:ascii="Arial" w:eastAsiaTheme="majorEastAsia" w:hAnsi="Arial" w:cs="Arial"/>
          <w:i/>
          <w:iCs/>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officinale</w:t>
      </w:r>
      <w:proofErr w:type="spellEnd"/>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Ocimum sanctum</w:t>
      </w:r>
      <w:r w:rsidRPr="003B13E4">
        <w:rPr>
          <w:rFonts w:ascii="Arial" w:eastAsiaTheme="majorEastAsia" w:hAnsi="Arial" w:cs="Arial"/>
          <w:color w:val="000000" w:themeColor="text1"/>
          <w:sz w:val="20"/>
          <w:szCs w:val="20"/>
        </w:rPr>
        <w:t xml:space="preserve">, </w:t>
      </w:r>
      <w:r w:rsidRPr="003B13E4">
        <w:rPr>
          <w:rFonts w:ascii="Arial" w:eastAsiaTheme="majorEastAsia" w:hAnsi="Arial" w:cs="Arial"/>
          <w:i/>
          <w:iCs/>
          <w:color w:val="000000" w:themeColor="text1"/>
          <w:sz w:val="20"/>
          <w:szCs w:val="20"/>
        </w:rPr>
        <w:t>Mentha</w:t>
      </w:r>
      <w:r w:rsidRPr="003B13E4">
        <w:rPr>
          <w:rFonts w:ascii="Arial" w:eastAsiaTheme="majorEastAsia" w:hAnsi="Arial" w:cs="Arial"/>
          <w:color w:val="000000" w:themeColor="text1"/>
          <w:sz w:val="20"/>
          <w:szCs w:val="20"/>
        </w:rPr>
        <w:t xml:space="preserve"> sp., </w:t>
      </w:r>
      <w:r w:rsidRPr="003B13E4">
        <w:rPr>
          <w:rFonts w:ascii="Arial" w:eastAsiaTheme="majorEastAsia" w:hAnsi="Arial" w:cs="Arial"/>
          <w:i/>
          <w:iCs/>
          <w:color w:val="000000" w:themeColor="text1"/>
          <w:sz w:val="20"/>
          <w:szCs w:val="20"/>
        </w:rPr>
        <w:t xml:space="preserve">Solanum </w:t>
      </w:r>
      <w:proofErr w:type="spellStart"/>
      <w:r w:rsidRPr="003B13E4">
        <w:rPr>
          <w:rFonts w:ascii="Arial" w:eastAsiaTheme="majorEastAsia" w:hAnsi="Arial" w:cs="Arial"/>
          <w:i/>
          <w:iCs/>
          <w:color w:val="000000" w:themeColor="text1"/>
          <w:sz w:val="20"/>
          <w:szCs w:val="20"/>
        </w:rPr>
        <w:t>aethiopicum</w:t>
      </w:r>
      <w:proofErr w:type="spellEnd"/>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Curcuma longa</w:t>
      </w:r>
      <w:r w:rsidRPr="003B13E4">
        <w:rPr>
          <w:rFonts w:ascii="Arial" w:eastAsiaTheme="majorEastAsia" w:hAnsi="Arial" w:cs="Arial"/>
          <w:color w:val="000000" w:themeColor="text1"/>
          <w:sz w:val="20"/>
          <w:szCs w:val="20"/>
        </w:rPr>
        <w:t>, along with an untreated control. Data on spawn run, primordial initiation, and fruiting body formation were collected and analyzed using the critical difference (CD) test at 5% significance.</w:t>
      </w:r>
    </w:p>
    <w:p w14:paraId="34866ADD" w14:textId="77777777"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Results:</w:t>
      </w:r>
      <w:r w:rsidRPr="003B13E4">
        <w:rPr>
          <w:rFonts w:ascii="Arial" w:eastAsiaTheme="majorEastAsia" w:hAnsi="Arial" w:cs="Arial"/>
          <w:color w:val="000000" w:themeColor="text1"/>
          <w:sz w:val="20"/>
          <w:szCs w:val="20"/>
        </w:rPr>
        <w:t xml:space="preserve"> The pooled data revealed significant treatment effects. </w:t>
      </w:r>
      <w:r w:rsidRPr="003B13E4">
        <w:rPr>
          <w:rFonts w:ascii="Arial" w:eastAsiaTheme="majorEastAsia" w:hAnsi="Arial" w:cs="Arial"/>
          <w:i/>
          <w:iCs/>
          <w:color w:val="000000" w:themeColor="text1"/>
          <w:sz w:val="20"/>
          <w:szCs w:val="20"/>
        </w:rPr>
        <w:t xml:space="preserve">Allium </w:t>
      </w:r>
      <w:proofErr w:type="spellStart"/>
      <w:r w:rsidRPr="003B13E4">
        <w:rPr>
          <w:rFonts w:ascii="Arial" w:eastAsiaTheme="majorEastAsia" w:hAnsi="Arial" w:cs="Arial"/>
          <w:i/>
          <w:iCs/>
          <w:color w:val="000000" w:themeColor="text1"/>
          <w:sz w:val="20"/>
          <w:szCs w:val="20"/>
        </w:rPr>
        <w:t>chinense</w:t>
      </w:r>
      <w:proofErr w:type="spellEnd"/>
      <w:r w:rsidRPr="003B13E4">
        <w:rPr>
          <w:rFonts w:ascii="Arial" w:eastAsiaTheme="majorEastAsia" w:hAnsi="Arial" w:cs="Arial"/>
          <w:color w:val="000000" w:themeColor="text1"/>
          <w:sz w:val="20"/>
          <w:szCs w:val="20"/>
        </w:rPr>
        <w:t xml:space="preserve"> consistently showed the best performance with the shortest spawn run (14.20 days), earliest primordia initiation (15.90 days), and fruiting body formation (19.90 days). </w:t>
      </w:r>
      <w:proofErr w:type="spellStart"/>
      <w:r w:rsidRPr="003B13E4">
        <w:rPr>
          <w:rFonts w:ascii="Arial" w:eastAsiaTheme="majorEastAsia" w:hAnsi="Arial" w:cs="Arial"/>
          <w:i/>
          <w:iCs/>
          <w:color w:val="000000" w:themeColor="text1"/>
          <w:sz w:val="20"/>
          <w:szCs w:val="20"/>
        </w:rPr>
        <w:t>Azadirachta</w:t>
      </w:r>
      <w:proofErr w:type="spellEnd"/>
      <w:r w:rsidRPr="003B13E4">
        <w:rPr>
          <w:rFonts w:ascii="Arial" w:eastAsiaTheme="majorEastAsia" w:hAnsi="Arial" w:cs="Arial"/>
          <w:i/>
          <w:iCs/>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indica</w:t>
      </w:r>
      <w:proofErr w:type="spellEnd"/>
      <w:r w:rsidRPr="003B13E4">
        <w:rPr>
          <w:rFonts w:ascii="Arial" w:eastAsiaTheme="majorEastAsia" w:hAnsi="Arial" w:cs="Arial"/>
          <w:color w:val="000000" w:themeColor="text1"/>
          <w:sz w:val="20"/>
          <w:szCs w:val="20"/>
        </w:rPr>
        <w:t xml:space="preserve"> (15.90, 18.05, and 22.75 days) and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(16.70, 19.00, and 24.80 days) also performed well. </w:t>
      </w:r>
      <w:r w:rsidRPr="003B13E4">
        <w:rPr>
          <w:rFonts w:ascii="Arial" w:eastAsiaTheme="majorEastAsia" w:hAnsi="Arial" w:cs="Arial"/>
          <w:i/>
          <w:iCs/>
          <w:color w:val="000000" w:themeColor="text1"/>
          <w:sz w:val="20"/>
          <w:szCs w:val="20"/>
        </w:rPr>
        <w:t>Allium hookeri</w:t>
      </w:r>
      <w:r w:rsidRPr="003B13E4">
        <w:rPr>
          <w:rFonts w:ascii="Arial" w:eastAsiaTheme="majorEastAsia" w:hAnsi="Arial" w:cs="Arial"/>
          <w:color w:val="000000" w:themeColor="text1"/>
          <w:sz w:val="20"/>
          <w:szCs w:val="20"/>
        </w:rPr>
        <w:t xml:space="preserve"> showed moderate benefits, while </w:t>
      </w:r>
      <w:r w:rsidRPr="003B13E4">
        <w:rPr>
          <w:rFonts w:ascii="Arial" w:eastAsiaTheme="majorEastAsia" w:hAnsi="Arial" w:cs="Arial"/>
          <w:i/>
          <w:iCs/>
          <w:color w:val="000000" w:themeColor="text1"/>
          <w:sz w:val="20"/>
          <w:szCs w:val="20"/>
        </w:rPr>
        <w:t>Zingiber officinale</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Mentha</w:t>
      </w:r>
      <w:r w:rsidRPr="003B13E4">
        <w:rPr>
          <w:rFonts w:ascii="Arial" w:eastAsiaTheme="majorEastAsia" w:hAnsi="Arial" w:cs="Arial"/>
          <w:color w:val="000000" w:themeColor="text1"/>
          <w:sz w:val="20"/>
          <w:szCs w:val="20"/>
        </w:rPr>
        <w:t xml:space="preserve"> sp. produced intermediate results. </w:t>
      </w:r>
      <w:r w:rsidRPr="003B13E4">
        <w:rPr>
          <w:rFonts w:ascii="Arial" w:eastAsiaTheme="majorEastAsia" w:hAnsi="Arial" w:cs="Arial"/>
          <w:i/>
          <w:iCs/>
          <w:color w:val="000000" w:themeColor="text1"/>
          <w:sz w:val="20"/>
          <w:szCs w:val="20"/>
        </w:rPr>
        <w:t xml:space="preserve">Solanum </w:t>
      </w:r>
      <w:proofErr w:type="spellStart"/>
      <w:r w:rsidRPr="003B13E4">
        <w:rPr>
          <w:rFonts w:ascii="Arial" w:eastAsiaTheme="majorEastAsia" w:hAnsi="Arial" w:cs="Arial"/>
          <w:i/>
          <w:iCs/>
          <w:color w:val="000000" w:themeColor="text1"/>
          <w:sz w:val="20"/>
          <w:szCs w:val="20"/>
        </w:rPr>
        <w:t>aethiopicum</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Ocimum</w:t>
      </w:r>
      <w:proofErr w:type="spellEnd"/>
      <w:r w:rsidRPr="003B13E4">
        <w:rPr>
          <w:rFonts w:ascii="Arial" w:eastAsiaTheme="majorEastAsia" w:hAnsi="Arial" w:cs="Arial"/>
          <w:i/>
          <w:iCs/>
          <w:color w:val="000000" w:themeColor="text1"/>
          <w:sz w:val="20"/>
          <w:szCs w:val="20"/>
        </w:rPr>
        <w:t xml:space="preserve"> sanctum</w:t>
      </w:r>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Curcuma longa</w:t>
      </w:r>
      <w:r w:rsidRPr="003B13E4">
        <w:rPr>
          <w:rFonts w:ascii="Arial" w:eastAsiaTheme="majorEastAsia" w:hAnsi="Arial" w:cs="Arial"/>
          <w:color w:val="000000" w:themeColor="text1"/>
          <w:sz w:val="20"/>
          <w:szCs w:val="20"/>
        </w:rPr>
        <w:t xml:space="preserve"> were less effective, but all performed better than the control, which recorded the longest durations (24.45, 27.15, and 32.95 days).</w:t>
      </w:r>
    </w:p>
    <w:p w14:paraId="23BE630C" w14:textId="77777777" w:rsidR="00DA47EE" w:rsidRPr="003B13E4" w:rsidRDefault="00DA47EE" w:rsidP="00DA47EE">
      <w:pPr>
        <w:pStyle w:val="BodyText"/>
        <w:spacing w:before="0" w:after="0" w:line="360" w:lineRule="auto"/>
        <w:jc w:val="both"/>
        <w:rPr>
          <w:rFonts w:ascii="Arial" w:eastAsiaTheme="majorEastAsia" w:hAnsi="Arial" w:cs="Arial"/>
          <w:color w:val="000000" w:themeColor="text1"/>
          <w:sz w:val="20"/>
          <w:szCs w:val="20"/>
        </w:rPr>
      </w:pPr>
      <w:r w:rsidRPr="003B13E4">
        <w:rPr>
          <w:rFonts w:ascii="Arial" w:eastAsiaTheme="majorEastAsia" w:hAnsi="Arial" w:cs="Arial"/>
          <w:b/>
          <w:bCs/>
          <w:color w:val="000000" w:themeColor="text1"/>
          <w:sz w:val="20"/>
          <w:szCs w:val="20"/>
        </w:rPr>
        <w:t>Conclusion:</w:t>
      </w:r>
      <w:r w:rsidRPr="003B13E4">
        <w:rPr>
          <w:rFonts w:ascii="Arial" w:eastAsiaTheme="majorEastAsia" w:hAnsi="Arial" w:cs="Arial"/>
          <w:color w:val="000000" w:themeColor="text1"/>
          <w:sz w:val="20"/>
          <w:szCs w:val="20"/>
        </w:rPr>
        <w:t xml:space="preserve"> The findings confirm that botanicals, particularly </w:t>
      </w:r>
      <w:r w:rsidRPr="003B13E4">
        <w:rPr>
          <w:rFonts w:ascii="Arial" w:eastAsiaTheme="majorEastAsia" w:hAnsi="Arial" w:cs="Arial"/>
          <w:i/>
          <w:iCs/>
          <w:color w:val="000000" w:themeColor="text1"/>
          <w:sz w:val="20"/>
          <w:szCs w:val="20"/>
        </w:rPr>
        <w:t xml:space="preserve">Allium </w:t>
      </w:r>
      <w:proofErr w:type="spellStart"/>
      <w:r w:rsidRPr="003B13E4">
        <w:rPr>
          <w:rFonts w:ascii="Arial" w:eastAsiaTheme="majorEastAsia" w:hAnsi="Arial" w:cs="Arial"/>
          <w:i/>
          <w:iCs/>
          <w:color w:val="000000" w:themeColor="text1"/>
          <w:sz w:val="20"/>
          <w:szCs w:val="20"/>
        </w:rPr>
        <w:t>chinense</w:t>
      </w:r>
      <w:proofErr w:type="spellEnd"/>
      <w:r w:rsidRPr="003B13E4">
        <w:rPr>
          <w:rFonts w:ascii="Arial" w:eastAsiaTheme="majorEastAsia" w:hAnsi="Arial" w:cs="Arial"/>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Azadirachta</w:t>
      </w:r>
      <w:proofErr w:type="spellEnd"/>
      <w:r w:rsidRPr="003B13E4">
        <w:rPr>
          <w:rFonts w:ascii="Arial" w:eastAsiaTheme="majorEastAsia" w:hAnsi="Arial" w:cs="Arial"/>
          <w:i/>
          <w:iCs/>
          <w:color w:val="000000" w:themeColor="text1"/>
          <w:sz w:val="20"/>
          <w:szCs w:val="20"/>
        </w:rPr>
        <w:t xml:space="preserve"> </w:t>
      </w:r>
      <w:proofErr w:type="spellStart"/>
      <w:r w:rsidRPr="003B13E4">
        <w:rPr>
          <w:rFonts w:ascii="Arial" w:eastAsiaTheme="majorEastAsia" w:hAnsi="Arial" w:cs="Arial"/>
          <w:i/>
          <w:iCs/>
          <w:color w:val="000000" w:themeColor="text1"/>
          <w:sz w:val="20"/>
          <w:szCs w:val="20"/>
        </w:rPr>
        <w:t>indica</w:t>
      </w:r>
      <w:proofErr w:type="spellEnd"/>
      <w:r w:rsidRPr="003B13E4">
        <w:rPr>
          <w:rFonts w:ascii="Arial" w:eastAsiaTheme="majorEastAsia" w:hAnsi="Arial" w:cs="Arial"/>
          <w:color w:val="000000" w:themeColor="text1"/>
          <w:sz w:val="20"/>
          <w:szCs w:val="20"/>
        </w:rPr>
        <w:t xml:space="preserve">, and </w:t>
      </w:r>
      <w:r w:rsidRPr="003B13E4">
        <w:rPr>
          <w:rFonts w:ascii="Arial" w:eastAsiaTheme="majorEastAsia" w:hAnsi="Arial" w:cs="Arial"/>
          <w:i/>
          <w:iCs/>
          <w:color w:val="000000" w:themeColor="text1"/>
          <w:sz w:val="20"/>
          <w:szCs w:val="20"/>
        </w:rPr>
        <w:t>Allium sativum</w:t>
      </w:r>
      <w:r w:rsidRPr="003B13E4">
        <w:rPr>
          <w:rFonts w:ascii="Arial" w:eastAsiaTheme="majorEastAsia" w:hAnsi="Arial" w:cs="Arial"/>
          <w:color w:val="000000" w:themeColor="text1"/>
          <w:sz w:val="20"/>
          <w:szCs w:val="20"/>
        </w:rPr>
        <w:t xml:space="preserve">, significantly enhance mushroom growth by reducing crop duration. These botanicals act as effective bio-additives, promoting sustainable and efficient </w:t>
      </w:r>
      <w:r w:rsidRPr="003B13E4">
        <w:rPr>
          <w:rFonts w:ascii="Arial" w:eastAsiaTheme="majorEastAsia" w:hAnsi="Arial" w:cs="Arial"/>
          <w:i/>
          <w:iCs/>
          <w:color w:val="000000" w:themeColor="text1"/>
          <w:sz w:val="20"/>
          <w:szCs w:val="20"/>
        </w:rPr>
        <w:t>Pleurotus ostreatus</w:t>
      </w:r>
      <w:r w:rsidRPr="003B13E4">
        <w:rPr>
          <w:rFonts w:ascii="Arial" w:eastAsiaTheme="majorEastAsia" w:hAnsi="Arial" w:cs="Arial"/>
          <w:color w:val="000000" w:themeColor="text1"/>
          <w:sz w:val="20"/>
          <w:szCs w:val="20"/>
        </w:rPr>
        <w:t xml:space="preserve"> cultivation.</w:t>
      </w:r>
    </w:p>
    <w:p w14:paraId="59EA9721" w14:textId="77777777" w:rsidR="00EA428F" w:rsidRPr="003B13E4" w:rsidRDefault="00EA428F" w:rsidP="00DA47EE">
      <w:pPr>
        <w:pStyle w:val="Heading2"/>
        <w:spacing w:before="0" w:line="360" w:lineRule="auto"/>
        <w:jc w:val="both"/>
        <w:rPr>
          <w:rFonts w:ascii="Arial" w:hAnsi="Arial" w:cs="Arial"/>
          <w:color w:val="000000" w:themeColor="text1"/>
          <w:sz w:val="20"/>
          <w:szCs w:val="20"/>
        </w:rPr>
      </w:pPr>
      <w:r w:rsidRPr="003B13E4">
        <w:rPr>
          <w:rFonts w:ascii="Arial" w:hAnsi="Arial" w:cs="Arial"/>
          <w:bCs/>
          <w:color w:val="000000" w:themeColor="text1"/>
          <w:sz w:val="20"/>
          <w:szCs w:val="20"/>
        </w:rPr>
        <w:lastRenderedPageBreak/>
        <w:t>Keywords: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 xml:space="preserve">Allium </w:t>
      </w:r>
      <w:proofErr w:type="spellStart"/>
      <w:r w:rsidRPr="003B13E4">
        <w:rPr>
          <w:rFonts w:ascii="Arial" w:hAnsi="Arial" w:cs="Arial"/>
          <w:i/>
          <w:color w:val="000000" w:themeColor="text1"/>
          <w:sz w:val="20"/>
          <w:szCs w:val="20"/>
        </w:rPr>
        <w:t>chinense</w:t>
      </w:r>
      <w:proofErr w:type="spellEnd"/>
      <w:r w:rsidRPr="003B13E4">
        <w:rPr>
          <w:rFonts w:ascii="Arial" w:hAnsi="Arial" w:cs="Arial"/>
          <w:color w:val="000000" w:themeColor="text1"/>
          <w:sz w:val="20"/>
          <w:szCs w:val="20"/>
        </w:rPr>
        <w:t xml:space="preserve">, </w:t>
      </w:r>
      <w:proofErr w:type="spellStart"/>
      <w:r w:rsidRPr="003B13E4">
        <w:rPr>
          <w:rFonts w:ascii="Arial" w:hAnsi="Arial" w:cs="Arial"/>
          <w:i/>
          <w:color w:val="000000" w:themeColor="text1"/>
          <w:sz w:val="20"/>
          <w:szCs w:val="20"/>
        </w:rPr>
        <w:t>Azadirachta</w:t>
      </w:r>
      <w:proofErr w:type="spellEnd"/>
      <w:r w:rsidRPr="003B13E4">
        <w:rPr>
          <w:rFonts w:ascii="Arial" w:hAnsi="Arial" w:cs="Arial"/>
          <w:i/>
          <w:color w:val="000000" w:themeColor="text1"/>
          <w:sz w:val="20"/>
          <w:szCs w:val="20"/>
        </w:rPr>
        <w:t xml:space="preserve"> </w:t>
      </w:r>
      <w:proofErr w:type="spellStart"/>
      <w:r w:rsidRPr="003B13E4">
        <w:rPr>
          <w:rFonts w:ascii="Arial" w:hAnsi="Arial" w:cs="Arial"/>
          <w:i/>
          <w:color w:val="000000" w:themeColor="text1"/>
          <w:sz w:val="20"/>
          <w:szCs w:val="20"/>
        </w:rPr>
        <w:t>indica</w:t>
      </w:r>
      <w:proofErr w:type="spellEnd"/>
      <w:r w:rsidRPr="003B13E4">
        <w:rPr>
          <w:rFonts w:ascii="Arial" w:hAnsi="Arial" w:cs="Arial"/>
          <w:color w:val="000000" w:themeColor="text1"/>
          <w:sz w:val="20"/>
          <w:szCs w:val="20"/>
        </w:rPr>
        <w:t>,</w:t>
      </w:r>
      <w:r w:rsidR="004C4CB1" w:rsidRPr="003B13E4">
        <w:rPr>
          <w:rFonts w:ascii="Arial" w:hAnsi="Arial" w:cs="Arial"/>
          <w:color w:val="000000" w:themeColor="text1"/>
          <w:sz w:val="20"/>
          <w:szCs w:val="20"/>
        </w:rPr>
        <w:t xml:space="preserve"> wheat straw, botanicals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xml:space="preserve">, </w:t>
      </w:r>
      <w:r w:rsidR="004C4CB1" w:rsidRPr="003B13E4">
        <w:rPr>
          <w:rFonts w:ascii="Arial" w:hAnsi="Arial" w:cs="Arial"/>
          <w:color w:val="000000" w:themeColor="text1"/>
          <w:sz w:val="20"/>
          <w:szCs w:val="20"/>
        </w:rPr>
        <w:t xml:space="preserve">growth parameters, growth efficiency, </w:t>
      </w:r>
      <w:r w:rsidRPr="003B13E4">
        <w:rPr>
          <w:rFonts w:ascii="Arial" w:hAnsi="Arial" w:cs="Arial"/>
          <w:color w:val="000000" w:themeColor="text1"/>
          <w:sz w:val="20"/>
          <w:szCs w:val="20"/>
        </w:rPr>
        <w:t>sustainable cultivation</w:t>
      </w:r>
      <w:r w:rsidR="004C4CB1" w:rsidRPr="003B13E4">
        <w:rPr>
          <w:rFonts w:ascii="Arial" w:hAnsi="Arial" w:cs="Arial"/>
          <w:color w:val="000000" w:themeColor="text1"/>
          <w:sz w:val="20"/>
          <w:szCs w:val="20"/>
        </w:rPr>
        <w:t>.</w:t>
      </w:r>
    </w:p>
    <w:p w14:paraId="17B4A9AD" w14:textId="77777777" w:rsidR="00C25A7B" w:rsidRPr="003B13E4" w:rsidRDefault="00DA47EE" w:rsidP="009C168A">
      <w:pPr>
        <w:pStyle w:val="Heading2"/>
        <w:spacing w:after="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INTRODUCTION</w:t>
      </w:r>
    </w:p>
    <w:p w14:paraId="08DE1FC7" w14:textId="77777777" w:rsidR="00233B76" w:rsidRPr="003B13E4" w:rsidRDefault="00233B76" w:rsidP="009C168A">
      <w:pPr>
        <w:pStyle w:val="Heading2"/>
        <w:spacing w:before="0" w:line="360" w:lineRule="auto"/>
        <w:jc w:val="both"/>
        <w:rPr>
          <w:rFonts w:ascii="Arial" w:eastAsiaTheme="minorHAnsi" w:hAnsi="Arial" w:cs="Arial"/>
          <w:color w:val="000000" w:themeColor="text1"/>
          <w:sz w:val="20"/>
          <w:szCs w:val="20"/>
        </w:rPr>
      </w:pPr>
      <w:bookmarkStart w:id="2" w:name="materials-and-methods"/>
      <w:bookmarkEnd w:id="0"/>
      <w:r w:rsidRPr="003B13E4">
        <w:rPr>
          <w:rFonts w:ascii="Arial" w:eastAsiaTheme="minorHAnsi" w:hAnsi="Arial" w:cs="Arial"/>
          <w:color w:val="000000" w:themeColor="text1"/>
          <w:sz w:val="20"/>
          <w:szCs w:val="20"/>
        </w:rPr>
        <w:t>Mushroom cultivation has emerged as a sustainable agricultural enterprise with significant nutritional, medicinal, an</w:t>
      </w:r>
      <w:r w:rsidR="00260FAD" w:rsidRPr="003B13E4">
        <w:rPr>
          <w:rFonts w:ascii="Arial" w:eastAsiaTheme="minorHAnsi" w:hAnsi="Arial" w:cs="Arial"/>
          <w:color w:val="000000" w:themeColor="text1"/>
          <w:sz w:val="20"/>
          <w:szCs w:val="20"/>
        </w:rPr>
        <w:t xml:space="preserve">d economic potential (Carrasco </w:t>
      </w:r>
      <w:r w:rsidR="00260FAD" w:rsidRPr="003B13E4">
        <w:rPr>
          <w:rFonts w:ascii="Arial" w:eastAsiaTheme="minorHAnsi" w:hAnsi="Arial" w:cs="Arial"/>
          <w:i/>
          <w:color w:val="000000" w:themeColor="text1"/>
          <w:sz w:val="20"/>
          <w:szCs w:val="20"/>
        </w:rPr>
        <w:t>et al.,</w:t>
      </w:r>
      <w:r w:rsidR="00260FAD" w:rsidRPr="003B13E4">
        <w:rPr>
          <w:rFonts w:ascii="Arial" w:eastAsiaTheme="minorHAnsi" w:hAnsi="Arial" w:cs="Arial"/>
          <w:color w:val="000000" w:themeColor="text1"/>
          <w:sz w:val="20"/>
          <w:szCs w:val="20"/>
        </w:rPr>
        <w:t xml:space="preserve"> </w:t>
      </w:r>
      <w:r w:rsidRPr="003B13E4">
        <w:rPr>
          <w:rFonts w:ascii="Arial" w:eastAsiaTheme="minorHAnsi" w:hAnsi="Arial" w:cs="Arial"/>
          <w:color w:val="000000" w:themeColor="text1"/>
          <w:sz w:val="20"/>
          <w:szCs w:val="20"/>
        </w:rPr>
        <w:t>2018). Oyster mushroom (</w:t>
      </w:r>
      <w:r w:rsidRPr="003B13E4">
        <w:rPr>
          <w:rFonts w:ascii="Arial" w:eastAsiaTheme="minorHAnsi" w:hAnsi="Arial" w:cs="Arial"/>
          <w:i/>
          <w:iCs/>
          <w:color w:val="000000" w:themeColor="text1"/>
          <w:sz w:val="20"/>
          <w:szCs w:val="20"/>
        </w:rPr>
        <w:t>Pleurotus ostreatus</w:t>
      </w:r>
      <w:r w:rsidRPr="003B13E4">
        <w:rPr>
          <w:rFonts w:ascii="Arial" w:eastAsiaTheme="minorHAnsi" w:hAnsi="Arial" w:cs="Arial"/>
          <w:color w:val="000000" w:themeColor="text1"/>
          <w:sz w:val="20"/>
          <w:szCs w:val="20"/>
        </w:rPr>
        <w:t>) is particularly valued due to its adaptability to a wide range of lignocellulosic substrates and its relatively rapid growth cycle (</w:t>
      </w:r>
      <w:r w:rsidR="00260FAD" w:rsidRPr="003B13E4">
        <w:rPr>
          <w:rFonts w:ascii="Arial" w:eastAsiaTheme="minorHAnsi" w:hAnsi="Arial" w:cs="Arial"/>
          <w:color w:val="000000" w:themeColor="text1"/>
          <w:sz w:val="20"/>
          <w:szCs w:val="20"/>
        </w:rPr>
        <w:t xml:space="preserve">Girmay </w:t>
      </w:r>
      <w:r w:rsidR="00260FAD" w:rsidRPr="003B13E4">
        <w:rPr>
          <w:rFonts w:ascii="Arial" w:eastAsiaTheme="minorHAnsi" w:hAnsi="Arial" w:cs="Arial"/>
          <w:i/>
          <w:color w:val="000000" w:themeColor="text1"/>
          <w:sz w:val="20"/>
          <w:szCs w:val="20"/>
        </w:rPr>
        <w:t>et al.,</w:t>
      </w:r>
      <w:r w:rsidR="00260FAD" w:rsidRPr="003B13E4">
        <w:rPr>
          <w:rFonts w:ascii="Arial" w:eastAsiaTheme="minorHAnsi" w:hAnsi="Arial" w:cs="Arial"/>
          <w:color w:val="000000" w:themeColor="text1"/>
          <w:sz w:val="20"/>
          <w:szCs w:val="20"/>
        </w:rPr>
        <w:t xml:space="preserve"> 2016</w:t>
      </w:r>
      <w:r w:rsidRPr="003B13E4">
        <w:rPr>
          <w:rFonts w:ascii="Arial" w:eastAsiaTheme="minorHAnsi" w:hAnsi="Arial" w:cs="Arial"/>
          <w:color w:val="000000" w:themeColor="text1"/>
          <w:sz w:val="20"/>
          <w:szCs w:val="20"/>
        </w:rPr>
        <w:t>). The successful cultivation of this species depends on the timely completion of spawn colonization, initiation of primordia, and development of mature fruiting bodies. These growth stages are strongly influenced by substrate composition, cultural practices, and interactions with microbial communities (</w:t>
      </w:r>
      <w:r w:rsidR="00F5178B" w:rsidRPr="003B13E4">
        <w:rPr>
          <w:rFonts w:ascii="Arial" w:eastAsiaTheme="minorHAnsi" w:hAnsi="Arial" w:cs="Arial"/>
          <w:color w:val="000000" w:themeColor="text1"/>
          <w:sz w:val="20"/>
          <w:szCs w:val="20"/>
        </w:rPr>
        <w:t>Mkhize</w:t>
      </w:r>
      <w:r w:rsidR="00F5178B" w:rsidRPr="003B13E4">
        <w:rPr>
          <w:rFonts w:ascii="Arial" w:eastAsiaTheme="minorHAnsi" w:hAnsi="Arial" w:cs="Arial"/>
          <w:i/>
          <w:color w:val="000000" w:themeColor="text1"/>
          <w:sz w:val="20"/>
          <w:szCs w:val="20"/>
        </w:rPr>
        <w:t xml:space="preserve"> et al., </w:t>
      </w:r>
      <w:r w:rsidRPr="003B13E4">
        <w:rPr>
          <w:rFonts w:ascii="Arial" w:eastAsiaTheme="minorHAnsi" w:hAnsi="Arial" w:cs="Arial"/>
          <w:color w:val="000000" w:themeColor="text1"/>
          <w:sz w:val="20"/>
          <w:szCs w:val="20"/>
        </w:rPr>
        <w:t>2022). Recent advancements highlight the role of botanicals as natural bio-additives in mushroom cultivation systems. Botanicals contain bioactive metabolites with antimicrobial, nutritional, and growth-promoting properties, which may enhance mycelial colonization and fruiting performance</w:t>
      </w:r>
      <w:r w:rsidR="00F5178B" w:rsidRPr="003B13E4">
        <w:rPr>
          <w:rFonts w:ascii="Arial" w:eastAsiaTheme="minorHAnsi" w:hAnsi="Arial" w:cs="Arial"/>
          <w:color w:val="000000" w:themeColor="text1"/>
          <w:sz w:val="20"/>
          <w:szCs w:val="20"/>
        </w:rPr>
        <w:t xml:space="preserve">. </w:t>
      </w:r>
      <w:r w:rsidRPr="003B13E4">
        <w:rPr>
          <w:rFonts w:ascii="Arial" w:eastAsiaTheme="minorHAnsi" w:hAnsi="Arial" w:cs="Arial"/>
          <w:color w:val="000000" w:themeColor="text1"/>
          <w:sz w:val="20"/>
          <w:szCs w:val="20"/>
        </w:rPr>
        <w:t>By incorporating botanicals into cultivation substrates, the crop duration may be reduced, yield increased, and biological efficiency improved—offering an eco-friendly alternative to synthetic sup</w:t>
      </w:r>
      <w:r w:rsidR="00F5178B" w:rsidRPr="003B13E4">
        <w:rPr>
          <w:rFonts w:ascii="Arial" w:eastAsiaTheme="minorHAnsi" w:hAnsi="Arial" w:cs="Arial"/>
          <w:color w:val="000000" w:themeColor="text1"/>
          <w:sz w:val="20"/>
          <w:szCs w:val="20"/>
        </w:rPr>
        <w:t>plements (Mistry and Parmar, 2024</w:t>
      </w:r>
      <w:r w:rsidRPr="003B13E4">
        <w:rPr>
          <w:rFonts w:ascii="Arial" w:eastAsiaTheme="minorHAnsi" w:hAnsi="Arial" w:cs="Arial"/>
          <w:color w:val="000000" w:themeColor="text1"/>
          <w:sz w:val="20"/>
          <w:szCs w:val="20"/>
        </w:rPr>
        <w:t xml:space="preserve">). The present study evaluates the </w:t>
      </w:r>
      <w:r w:rsidRPr="003B13E4">
        <w:rPr>
          <w:rFonts w:ascii="Arial" w:eastAsiaTheme="minorHAnsi" w:hAnsi="Arial" w:cs="Arial"/>
          <w:i/>
          <w:iCs/>
          <w:color w:val="000000" w:themeColor="text1"/>
          <w:sz w:val="20"/>
          <w:szCs w:val="20"/>
        </w:rPr>
        <w:t>in vivo</w:t>
      </w:r>
      <w:r w:rsidRPr="003B13E4">
        <w:rPr>
          <w:rFonts w:ascii="Arial" w:eastAsiaTheme="minorHAnsi" w:hAnsi="Arial" w:cs="Arial"/>
          <w:color w:val="000000" w:themeColor="text1"/>
          <w:sz w:val="20"/>
          <w:szCs w:val="20"/>
        </w:rPr>
        <w:t xml:space="preserve"> effects of selected botanicals locally available in the northeastern region of India (Nagaland)—namely </w:t>
      </w:r>
      <w:r w:rsidRPr="003B13E4">
        <w:rPr>
          <w:rFonts w:ascii="Arial" w:eastAsiaTheme="minorHAnsi" w:hAnsi="Arial" w:cs="Arial"/>
          <w:i/>
          <w:iCs/>
          <w:color w:val="000000" w:themeColor="text1"/>
          <w:sz w:val="20"/>
          <w:szCs w:val="20"/>
        </w:rPr>
        <w:t xml:space="preserve">Allium </w:t>
      </w:r>
      <w:proofErr w:type="spellStart"/>
      <w:r w:rsidRPr="003B13E4">
        <w:rPr>
          <w:rFonts w:ascii="Arial" w:eastAsiaTheme="minorHAnsi" w:hAnsi="Arial" w:cs="Arial"/>
          <w:i/>
          <w:iCs/>
          <w:color w:val="000000" w:themeColor="text1"/>
          <w:sz w:val="20"/>
          <w:szCs w:val="20"/>
        </w:rPr>
        <w:t>chinense</w:t>
      </w:r>
      <w:proofErr w:type="spellEnd"/>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 xml:space="preserve">Allium </w:t>
      </w:r>
      <w:proofErr w:type="spellStart"/>
      <w:r w:rsidRPr="003B13E4">
        <w:rPr>
          <w:rFonts w:ascii="Arial" w:eastAsiaTheme="minorHAnsi" w:hAnsi="Arial" w:cs="Arial"/>
          <w:i/>
          <w:iCs/>
          <w:color w:val="000000" w:themeColor="text1"/>
          <w:sz w:val="20"/>
          <w:szCs w:val="20"/>
        </w:rPr>
        <w:t>hookeri</w:t>
      </w:r>
      <w:proofErr w:type="spellEnd"/>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 xml:space="preserve">Solanum </w:t>
      </w:r>
      <w:proofErr w:type="spellStart"/>
      <w:r w:rsidRPr="003B13E4">
        <w:rPr>
          <w:rFonts w:ascii="Arial" w:eastAsiaTheme="minorHAnsi" w:hAnsi="Arial" w:cs="Arial"/>
          <w:i/>
          <w:iCs/>
          <w:color w:val="000000" w:themeColor="text1"/>
          <w:sz w:val="20"/>
          <w:szCs w:val="20"/>
        </w:rPr>
        <w:t>aethiopicum</w:t>
      </w:r>
      <w:proofErr w:type="spellEnd"/>
      <w:r w:rsidRPr="003B13E4">
        <w:rPr>
          <w:rFonts w:ascii="Arial" w:eastAsiaTheme="minorHAnsi" w:hAnsi="Arial" w:cs="Arial"/>
          <w:color w:val="000000" w:themeColor="text1"/>
          <w:sz w:val="20"/>
          <w:szCs w:val="20"/>
        </w:rPr>
        <w:t xml:space="preserve">—alongside commonly used botanicals including </w:t>
      </w:r>
      <w:r w:rsidRPr="003B13E4">
        <w:rPr>
          <w:rFonts w:ascii="Arial" w:eastAsiaTheme="minorHAnsi" w:hAnsi="Arial" w:cs="Arial"/>
          <w:i/>
          <w:iCs/>
          <w:color w:val="000000" w:themeColor="text1"/>
          <w:sz w:val="20"/>
          <w:szCs w:val="20"/>
        </w:rPr>
        <w:t>Allium sativum</w:t>
      </w:r>
      <w:r w:rsidRPr="003B13E4">
        <w:rPr>
          <w:rFonts w:ascii="Arial" w:eastAsiaTheme="minorHAnsi" w:hAnsi="Arial" w:cs="Arial"/>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Azadirachta</w:t>
      </w:r>
      <w:proofErr w:type="spellEnd"/>
      <w:r w:rsidRPr="003B13E4">
        <w:rPr>
          <w:rFonts w:ascii="Arial" w:eastAsiaTheme="minorHAnsi" w:hAnsi="Arial" w:cs="Arial"/>
          <w:i/>
          <w:iCs/>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indica</w:t>
      </w:r>
      <w:proofErr w:type="spellEnd"/>
      <w:r w:rsidRPr="003B13E4">
        <w:rPr>
          <w:rFonts w:ascii="Arial" w:eastAsiaTheme="minorHAnsi" w:hAnsi="Arial" w:cs="Arial"/>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Zingiber</w:t>
      </w:r>
      <w:proofErr w:type="spellEnd"/>
      <w:r w:rsidRPr="003B13E4">
        <w:rPr>
          <w:rFonts w:ascii="Arial" w:eastAsiaTheme="minorHAnsi" w:hAnsi="Arial" w:cs="Arial"/>
          <w:i/>
          <w:iCs/>
          <w:color w:val="000000" w:themeColor="text1"/>
          <w:sz w:val="20"/>
          <w:szCs w:val="20"/>
        </w:rPr>
        <w:t xml:space="preserve"> </w:t>
      </w:r>
      <w:proofErr w:type="spellStart"/>
      <w:r w:rsidRPr="003B13E4">
        <w:rPr>
          <w:rFonts w:ascii="Arial" w:eastAsiaTheme="minorHAnsi" w:hAnsi="Arial" w:cs="Arial"/>
          <w:i/>
          <w:iCs/>
          <w:color w:val="000000" w:themeColor="text1"/>
          <w:sz w:val="20"/>
          <w:szCs w:val="20"/>
        </w:rPr>
        <w:t>officinale</w:t>
      </w:r>
      <w:proofErr w:type="spellEnd"/>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Ocimum sanctum</w:t>
      </w:r>
      <w:r w:rsidRPr="003B13E4">
        <w:rPr>
          <w:rFonts w:ascii="Arial" w:eastAsiaTheme="minorHAnsi" w:hAnsi="Arial" w:cs="Arial"/>
          <w:color w:val="000000" w:themeColor="text1"/>
          <w:sz w:val="20"/>
          <w:szCs w:val="20"/>
        </w:rPr>
        <w:t xml:space="preserve">, </w:t>
      </w:r>
      <w:r w:rsidRPr="003B13E4">
        <w:rPr>
          <w:rFonts w:ascii="Arial" w:eastAsiaTheme="minorHAnsi" w:hAnsi="Arial" w:cs="Arial"/>
          <w:i/>
          <w:iCs/>
          <w:color w:val="000000" w:themeColor="text1"/>
          <w:sz w:val="20"/>
          <w:szCs w:val="20"/>
        </w:rPr>
        <w:t>Mentha</w:t>
      </w:r>
      <w:r w:rsidRPr="003B13E4">
        <w:rPr>
          <w:rFonts w:ascii="Arial" w:eastAsiaTheme="minorHAnsi" w:hAnsi="Arial" w:cs="Arial"/>
          <w:color w:val="000000" w:themeColor="text1"/>
          <w:sz w:val="20"/>
          <w:szCs w:val="20"/>
        </w:rPr>
        <w:t xml:space="preserve"> spp., and </w:t>
      </w:r>
      <w:r w:rsidRPr="003B13E4">
        <w:rPr>
          <w:rFonts w:ascii="Arial" w:eastAsiaTheme="minorHAnsi" w:hAnsi="Arial" w:cs="Arial"/>
          <w:i/>
          <w:iCs/>
          <w:color w:val="000000" w:themeColor="text1"/>
          <w:sz w:val="20"/>
          <w:szCs w:val="20"/>
        </w:rPr>
        <w:t>Curcuma longa</w:t>
      </w:r>
      <w:r w:rsidRPr="003B13E4">
        <w:rPr>
          <w:rFonts w:ascii="Arial" w:eastAsiaTheme="minorHAnsi" w:hAnsi="Arial" w:cs="Arial"/>
          <w:color w:val="000000" w:themeColor="text1"/>
          <w:sz w:val="20"/>
          <w:szCs w:val="20"/>
        </w:rPr>
        <w:t xml:space="preserve"> on growth parameters of </w:t>
      </w:r>
      <w:r w:rsidRPr="003B13E4">
        <w:rPr>
          <w:rFonts w:ascii="Arial" w:eastAsiaTheme="minorHAnsi" w:hAnsi="Arial" w:cs="Arial"/>
          <w:i/>
          <w:iCs/>
          <w:color w:val="000000" w:themeColor="text1"/>
          <w:sz w:val="20"/>
          <w:szCs w:val="20"/>
        </w:rPr>
        <w:t>Pleurotus ostreatus</w:t>
      </w:r>
      <w:r w:rsidRPr="003B13E4">
        <w:rPr>
          <w:rFonts w:ascii="Arial" w:eastAsiaTheme="minorHAnsi" w:hAnsi="Arial" w:cs="Arial"/>
          <w:color w:val="000000" w:themeColor="text1"/>
          <w:sz w:val="20"/>
          <w:szCs w:val="20"/>
        </w:rPr>
        <w:t>. The experiment was conducted over two consecutive trials (2021–2022 and 2022–2023) to assess the consistency and reproducibility of treatment effects.</w:t>
      </w:r>
    </w:p>
    <w:p w14:paraId="4C75C52C" w14:textId="77777777" w:rsidR="00C25A7B" w:rsidRPr="003B13E4" w:rsidRDefault="00BF77CA" w:rsidP="009C168A">
      <w:pPr>
        <w:pStyle w:val="Heading2"/>
        <w:spacing w:before="0" w:after="0" w:line="360" w:lineRule="auto"/>
        <w:jc w:val="both"/>
        <w:rPr>
          <w:rFonts w:ascii="Arial" w:hAnsi="Arial" w:cs="Arial"/>
          <w:b/>
          <w:color w:val="000000" w:themeColor="text1"/>
          <w:sz w:val="20"/>
          <w:szCs w:val="20"/>
        </w:rPr>
      </w:pPr>
      <w:r w:rsidRPr="003B13E4">
        <w:rPr>
          <w:rFonts w:ascii="Arial" w:hAnsi="Arial" w:cs="Arial"/>
          <w:b/>
          <w:color w:val="000000" w:themeColor="text1"/>
          <w:sz w:val="20"/>
          <w:szCs w:val="20"/>
        </w:rPr>
        <w:t>MATERIALS AND METHODS</w:t>
      </w:r>
    </w:p>
    <w:p w14:paraId="5D1A0572" w14:textId="77777777" w:rsidR="00C25A7B" w:rsidRPr="003B13E4" w:rsidRDefault="009C168A" w:rsidP="00525983">
      <w:pPr>
        <w:pStyle w:val="Heading3"/>
        <w:spacing w:before="0" w:line="360" w:lineRule="auto"/>
        <w:jc w:val="both"/>
        <w:rPr>
          <w:rFonts w:ascii="Arial" w:hAnsi="Arial" w:cs="Arial"/>
          <w:color w:val="000000" w:themeColor="text1"/>
          <w:sz w:val="20"/>
          <w:szCs w:val="20"/>
        </w:rPr>
      </w:pPr>
      <w:bookmarkStart w:id="3" w:name="experimental-design"/>
      <w:r w:rsidRPr="003B13E4">
        <w:rPr>
          <w:rFonts w:ascii="Arial" w:hAnsi="Arial" w:cs="Arial"/>
          <w:b/>
          <w:color w:val="000000" w:themeColor="text1"/>
          <w:sz w:val="20"/>
          <w:szCs w:val="20"/>
        </w:rPr>
        <w:t xml:space="preserve">Site of </w:t>
      </w:r>
      <w:proofErr w:type="gramStart"/>
      <w:r w:rsidRPr="003B13E4">
        <w:rPr>
          <w:rFonts w:ascii="Arial" w:hAnsi="Arial" w:cs="Arial"/>
          <w:b/>
          <w:color w:val="000000" w:themeColor="text1"/>
          <w:sz w:val="20"/>
          <w:szCs w:val="20"/>
        </w:rPr>
        <w:t>experiment :</w:t>
      </w:r>
      <w:proofErr w:type="gramEnd"/>
      <w:r w:rsidRPr="003B13E4">
        <w:rPr>
          <w:rFonts w:ascii="Arial" w:hAnsi="Arial" w:cs="Arial"/>
          <w:b/>
          <w:color w:val="000000" w:themeColor="text1"/>
          <w:sz w:val="20"/>
          <w:szCs w:val="20"/>
        </w:rPr>
        <w:t xml:space="preserve"> </w:t>
      </w:r>
      <w:r w:rsidR="000D0516" w:rsidRPr="003B13E4">
        <w:rPr>
          <w:rFonts w:ascii="Arial" w:hAnsi="Arial" w:cs="Arial"/>
          <w:color w:val="000000" w:themeColor="text1"/>
          <w:sz w:val="20"/>
          <w:szCs w:val="20"/>
        </w:rPr>
        <w:t xml:space="preserve">The experiments were conducted at the Mushroom </w:t>
      </w:r>
      <w:r w:rsidR="00B4669A" w:rsidRPr="003B13E4">
        <w:rPr>
          <w:rFonts w:ascii="Arial" w:hAnsi="Arial" w:cs="Arial"/>
          <w:color w:val="000000" w:themeColor="text1"/>
          <w:sz w:val="20"/>
          <w:szCs w:val="20"/>
        </w:rPr>
        <w:t>Crop Room and research l</w:t>
      </w:r>
      <w:r w:rsidR="000D0516" w:rsidRPr="003B13E4">
        <w:rPr>
          <w:rFonts w:ascii="Arial" w:hAnsi="Arial" w:cs="Arial"/>
          <w:color w:val="000000" w:themeColor="text1"/>
          <w:sz w:val="20"/>
          <w:szCs w:val="20"/>
        </w:rPr>
        <w:t>aboratory</w:t>
      </w:r>
      <w:r w:rsidR="00B4669A" w:rsidRPr="003B13E4">
        <w:rPr>
          <w:rFonts w:ascii="Arial" w:hAnsi="Arial" w:cs="Arial"/>
          <w:color w:val="000000" w:themeColor="text1"/>
          <w:sz w:val="20"/>
          <w:szCs w:val="20"/>
        </w:rPr>
        <w:t>, Sam Higginbottom Uni</w:t>
      </w:r>
      <w:r w:rsidR="003B13E4" w:rsidRPr="003B13E4">
        <w:rPr>
          <w:rFonts w:ascii="Arial" w:hAnsi="Arial" w:cs="Arial"/>
          <w:color w:val="000000" w:themeColor="text1"/>
          <w:sz w:val="20"/>
          <w:szCs w:val="20"/>
        </w:rPr>
        <w:t>v</w:t>
      </w:r>
      <w:r w:rsidR="00B4669A" w:rsidRPr="003B13E4">
        <w:rPr>
          <w:rFonts w:ascii="Arial" w:hAnsi="Arial" w:cs="Arial"/>
          <w:color w:val="000000" w:themeColor="text1"/>
          <w:sz w:val="20"/>
          <w:szCs w:val="20"/>
        </w:rPr>
        <w:t>ersity of Agriculture, Technology an</w:t>
      </w:r>
      <w:r w:rsidR="003B13E4" w:rsidRPr="003B13E4">
        <w:rPr>
          <w:rFonts w:ascii="Arial" w:hAnsi="Arial" w:cs="Arial"/>
          <w:color w:val="000000" w:themeColor="text1"/>
          <w:sz w:val="20"/>
          <w:szCs w:val="20"/>
        </w:rPr>
        <w:t xml:space="preserve">d </w:t>
      </w:r>
      <w:r w:rsidR="00B4669A" w:rsidRPr="003B13E4">
        <w:rPr>
          <w:rFonts w:ascii="Arial" w:hAnsi="Arial" w:cs="Arial"/>
          <w:color w:val="000000" w:themeColor="text1"/>
          <w:sz w:val="20"/>
          <w:szCs w:val="20"/>
        </w:rPr>
        <w:t>S</w:t>
      </w:r>
      <w:r w:rsidR="003B13E4" w:rsidRPr="003B13E4">
        <w:rPr>
          <w:rFonts w:ascii="Arial" w:hAnsi="Arial" w:cs="Arial"/>
          <w:color w:val="000000" w:themeColor="text1"/>
          <w:sz w:val="20"/>
          <w:szCs w:val="20"/>
        </w:rPr>
        <w:t>c</w:t>
      </w:r>
      <w:r w:rsidR="00B4669A" w:rsidRPr="003B13E4">
        <w:rPr>
          <w:rFonts w:ascii="Arial" w:hAnsi="Arial" w:cs="Arial"/>
          <w:color w:val="000000" w:themeColor="text1"/>
          <w:sz w:val="20"/>
          <w:szCs w:val="20"/>
        </w:rPr>
        <w:t>iences, Prayagraj,</w:t>
      </w:r>
      <w:r w:rsidR="000D0516" w:rsidRPr="003B13E4">
        <w:rPr>
          <w:rFonts w:ascii="Arial" w:hAnsi="Arial" w:cs="Arial"/>
          <w:color w:val="000000" w:themeColor="text1"/>
          <w:sz w:val="20"/>
          <w:szCs w:val="20"/>
        </w:rPr>
        <w:t xml:space="preserve"> during 2021–2022 (first trial) and 2022–2023 (second trial). </w:t>
      </w:r>
    </w:p>
    <w:p w14:paraId="4A4FC5CC" w14:textId="77777777" w:rsidR="003B13E4" w:rsidRPr="003B13E4" w:rsidRDefault="00525983" w:rsidP="003B13E4">
      <w:pPr>
        <w:pStyle w:val="Heading3"/>
        <w:spacing w:before="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Experimental materials:</w:t>
      </w:r>
      <w:r w:rsidRPr="003B13E4">
        <w:rPr>
          <w:rFonts w:ascii="Arial" w:hAnsi="Arial" w:cs="Arial"/>
          <w:color w:val="000000" w:themeColor="text1"/>
          <w:sz w:val="20"/>
          <w:szCs w:val="20"/>
        </w:rPr>
        <w:t xml:space="preserve"> Spawn of </w:t>
      </w:r>
      <w:r w:rsidRPr="003B13E4">
        <w:rPr>
          <w:rFonts w:ascii="Arial" w:hAnsi="Arial" w:cs="Arial"/>
          <w:i/>
          <w:color w:val="000000" w:themeColor="text1"/>
          <w:sz w:val="20"/>
          <w:szCs w:val="20"/>
        </w:rPr>
        <w:t xml:space="preserve">Pleurotus ostreatus </w:t>
      </w:r>
      <w:r w:rsidR="00B4669A" w:rsidRPr="003B13E4">
        <w:rPr>
          <w:rFonts w:ascii="Arial" w:hAnsi="Arial" w:cs="Arial"/>
          <w:color w:val="000000" w:themeColor="text1"/>
          <w:sz w:val="20"/>
          <w:szCs w:val="20"/>
        </w:rPr>
        <w:t>was procured from Directorate o</w:t>
      </w:r>
      <w:r w:rsidRPr="003B13E4">
        <w:rPr>
          <w:rFonts w:ascii="Arial" w:hAnsi="Arial" w:cs="Arial"/>
          <w:color w:val="000000" w:themeColor="text1"/>
          <w:sz w:val="20"/>
          <w:szCs w:val="20"/>
        </w:rPr>
        <w:t>f Mushroom Research (DMR), Solan, Himachal Pradesh (Strain – DMRP – 254).</w:t>
      </w:r>
      <w:r w:rsidR="003B13E4" w:rsidRPr="003B13E4">
        <w:rPr>
          <w:rFonts w:ascii="Arial" w:hAnsi="Arial" w:cs="Arial"/>
          <w:color w:val="000000" w:themeColor="text1"/>
          <w:sz w:val="20"/>
          <w:szCs w:val="20"/>
        </w:rPr>
        <w:t xml:space="preserve"> Wheat straw served as the basal substrate, enriched with powdered botanicals at standardized concentrations. </w:t>
      </w:r>
    </w:p>
    <w:p w14:paraId="716405B6" w14:textId="77777777" w:rsidR="00525983" w:rsidRPr="003B13E4" w:rsidRDefault="00525983" w:rsidP="00525983">
      <w:pPr>
        <w:pStyle w:val="BodyText"/>
        <w:spacing w:line="360" w:lineRule="auto"/>
        <w:jc w:val="both"/>
        <w:rPr>
          <w:rFonts w:ascii="Arial" w:hAnsi="Arial" w:cs="Arial"/>
          <w:color w:val="000000" w:themeColor="text1"/>
          <w:sz w:val="20"/>
          <w:szCs w:val="20"/>
        </w:rPr>
      </w:pPr>
      <w:r w:rsidRPr="003B13E4">
        <w:rPr>
          <w:rFonts w:ascii="Arial" w:hAnsi="Arial" w:cs="Arial"/>
          <w:b/>
          <w:bCs/>
          <w:iCs/>
          <w:color w:val="000000" w:themeColor="text1"/>
          <w:sz w:val="20"/>
          <w:szCs w:val="20"/>
        </w:rPr>
        <w:t xml:space="preserve">Collection of </w:t>
      </w:r>
      <w:proofErr w:type="gramStart"/>
      <w:r w:rsidRPr="003B13E4">
        <w:rPr>
          <w:rFonts w:ascii="Arial" w:hAnsi="Arial" w:cs="Arial"/>
          <w:b/>
          <w:bCs/>
          <w:iCs/>
          <w:color w:val="000000" w:themeColor="text1"/>
          <w:sz w:val="20"/>
          <w:szCs w:val="20"/>
        </w:rPr>
        <w:t>botanicals :</w:t>
      </w:r>
      <w:proofErr w:type="gramEnd"/>
      <w:r w:rsidRPr="003B13E4">
        <w:rPr>
          <w:rFonts w:ascii="Arial" w:hAnsi="Arial" w:cs="Arial"/>
          <w:b/>
          <w:bCs/>
          <w:iCs/>
          <w:color w:val="000000" w:themeColor="text1"/>
          <w:sz w:val="20"/>
          <w:szCs w:val="20"/>
        </w:rPr>
        <w:t xml:space="preserve"> </w:t>
      </w:r>
      <w:r w:rsidR="00166CDC" w:rsidRPr="003B13E4">
        <w:rPr>
          <w:rFonts w:ascii="Arial" w:hAnsi="Arial" w:cs="Arial"/>
          <w:color w:val="000000" w:themeColor="text1"/>
          <w:sz w:val="20"/>
          <w:szCs w:val="20"/>
        </w:rPr>
        <w:t>Botanical materials were collected from various supermarkets and local markets in Kohima, the capital city of Nagaland. These markets provided access to a wide variety of plant materials including fresh herbs, leafy vegetables, roots, and spices, many of which are deeply embedded in the traditional cuisine and medicinal practices of the region. Careful attention was paid to selecting healthy and representative samples, with priority given to those widely used by indigenous communities. Vendors and shopkeepers contributed valuable insights regarding local names and customary uses of the plants, which were documented alongside the collected specimens. The samples were carefully dried, packaged, and transported under hygienic conditions to preserve their quality and integrity for further experimental use.</w:t>
      </w:r>
    </w:p>
    <w:p w14:paraId="253C18D2" w14:textId="77777777" w:rsidR="00525983" w:rsidRPr="003B13E4" w:rsidRDefault="00525983" w:rsidP="00F5178B">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lastRenderedPageBreak/>
        <w:t>Preparation and Sterilization of Substrate</w:t>
      </w:r>
    </w:p>
    <w:p w14:paraId="0D90F3F4" w14:textId="77777777" w:rsidR="00525983" w:rsidRPr="003B13E4" w:rsidRDefault="00525983" w:rsidP="0022066A">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Wheat straw served as the primary substrate for mushroom cultivation across all treatments. The straw was first sun-dried and chopped into fragments of approximately 2–3 cm to facilitate even soaking and nutrient absorption. For sterilization, 50 liters of tap water w</w:t>
      </w:r>
      <w:r w:rsidR="003B13E4" w:rsidRPr="003B13E4">
        <w:rPr>
          <w:rFonts w:ascii="Arial" w:hAnsi="Arial" w:cs="Arial"/>
          <w:color w:val="000000" w:themeColor="text1"/>
          <w:sz w:val="20"/>
          <w:szCs w:val="20"/>
        </w:rPr>
        <w:t>as</w:t>
      </w:r>
      <w:r w:rsidRPr="003B13E4">
        <w:rPr>
          <w:rFonts w:ascii="Arial" w:hAnsi="Arial" w:cs="Arial"/>
          <w:color w:val="000000" w:themeColor="text1"/>
          <w:sz w:val="20"/>
          <w:szCs w:val="20"/>
        </w:rPr>
        <w:t xml:space="preserve"> poured into a 100-liter plastic drum, into which 50 ml of formaldehyde and 7.5 g of carbendazim were added, following the protocol described by Sohi (1987). The solution was thoroughly mixed and the dried straw was immersed until fully submerged. The drum was sealed tightly and left undisturbed for 16–18 hours to allow effective chemical sterilization. After soaking, the straw was remo</w:t>
      </w:r>
      <w:r w:rsidR="003B13E4" w:rsidRPr="003B13E4">
        <w:rPr>
          <w:rFonts w:ascii="Arial" w:hAnsi="Arial" w:cs="Arial"/>
          <w:color w:val="000000" w:themeColor="text1"/>
          <w:sz w:val="20"/>
          <w:szCs w:val="20"/>
        </w:rPr>
        <w:t>ved, drained of excess solution</w:t>
      </w:r>
      <w:r w:rsidRPr="003B13E4">
        <w:rPr>
          <w:rFonts w:ascii="Arial" w:hAnsi="Arial" w:cs="Arial"/>
          <w:color w:val="000000" w:themeColor="text1"/>
          <w:sz w:val="20"/>
          <w:szCs w:val="20"/>
        </w:rPr>
        <w:t xml:space="preserve"> and spread in thin layers on sterilized plastic sheets or a clean cemented floor in a shaded environment. It was left for 2–3 hours until the substrate reached a moisture content of approximately 60–65%, determined by the hand-squeeze test—moist but without dripping water. At this stage, the substrate was ready for spawning.</w:t>
      </w:r>
    </w:p>
    <w:p w14:paraId="0CEB8BF2" w14:textId="77777777" w:rsidR="0022066A" w:rsidRPr="003B13E4" w:rsidRDefault="0022066A" w:rsidP="0022066A">
      <w:pPr>
        <w:pStyle w:val="BodyText"/>
        <w:spacing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 xml:space="preserve">Preparation of Botanical Powders </w:t>
      </w:r>
    </w:p>
    <w:p w14:paraId="43646E26" w14:textId="77777777" w:rsidR="0022066A" w:rsidRPr="003B13E4" w:rsidRDefault="0022066A" w:rsidP="0022066A">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Selected plant mat</w:t>
      </w:r>
      <w:r w:rsidR="003B13E4" w:rsidRPr="003B13E4">
        <w:rPr>
          <w:rFonts w:ascii="Arial" w:hAnsi="Arial" w:cs="Arial"/>
          <w:color w:val="000000" w:themeColor="text1"/>
          <w:sz w:val="20"/>
          <w:szCs w:val="20"/>
        </w:rPr>
        <w:t>erials (leaves, stems, rhizomes</w:t>
      </w:r>
      <w:r w:rsidRPr="003B13E4">
        <w:rPr>
          <w:rFonts w:ascii="Arial" w:hAnsi="Arial" w:cs="Arial"/>
          <w:color w:val="000000" w:themeColor="text1"/>
          <w:sz w:val="20"/>
          <w:szCs w:val="20"/>
        </w:rPr>
        <w:t xml:space="preserve"> or bulbs) were processed into powders for incorporation into the substrate. Freshly collected parts were first washed under running tap water to remove dirt and debris, followed by a final rinse in distilled water to minimize microbial contamination. The cleaned samples were spread thinly on sterile plastic sheets and air-dried under shade for 7–10 days to preserve heat-sensitive bioactive compounds. Once brittle, the dried material was ground into a fine powder using a clean electric grinder, ensuring minimal heat generation to prevent phytochemical degradation. The powder was sieved through a fine mesh to standardize particle size, transferred into heat-resistant glass containers or autoclavable pouches, and sterilized at 121°C and 15 psi for 15–20 minutes. After cooling, the sterilized powders were stored in airtight, labeled containers under clean, dry conditions until use in the treatments.</w:t>
      </w:r>
    </w:p>
    <w:p w14:paraId="7EE27A39" w14:textId="77777777" w:rsidR="0022066A" w:rsidRPr="003B13E4" w:rsidRDefault="0022066A" w:rsidP="0022066A">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Spawn Inoculation and Bag Preparation</w:t>
      </w:r>
    </w:p>
    <w:p w14:paraId="5177D56A" w14:textId="77777777" w:rsidR="0022066A" w:rsidRPr="003B13E4" w:rsidRDefault="0022066A" w:rsidP="0022066A">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Spawning was carried out at the rate of 40 g of spawn per kilogram of wet substrate. For the treatment groups, botanical powders were incorporated at 2.5% of the total substrate weight (1 kg) and thoroughly mixed with the moist substrate and spawn using the broadcasting method to ensure uniform distribution. The prepared mixtures were then filled into clean polythene bags, which were secured tightly with nylon strings. Ventilation was provided by making 8–10 small holes in each bag using a sterile nail. Each treatment was replicated ten times to ensure statistical validity and reproducibility. Control bags were prepared using sterilized wheat straw without botanical amendments, inoculated at the same spawn rate, and maintained under identical conditions to serve as a baseline for comparison.</w:t>
      </w:r>
    </w:p>
    <w:p w14:paraId="7D433552" w14:textId="77777777" w:rsidR="0022066A" w:rsidRPr="003B13E4" w:rsidRDefault="0022066A" w:rsidP="0022066A">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Incubation and Post-Spawning Care</w:t>
      </w:r>
    </w:p>
    <w:p w14:paraId="1661879F" w14:textId="77777777" w:rsidR="0022066A" w:rsidRPr="003B13E4" w:rsidRDefault="0022066A" w:rsidP="0022066A">
      <w:pPr>
        <w:pStyle w:val="BodyText"/>
        <w:spacing w:before="0" w:after="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 xml:space="preserve">All bags were transferred to a dark incubation room and arranged with a spacing of 20–25 cm to facilitate airflow. During the spawn-run period, the room temperature was maintained between 20 and 25°C with relative humidity ranging from 70 to 85%. Moisture levels were regulated by spraying water on the walls </w:t>
      </w:r>
      <w:r w:rsidRPr="003B13E4">
        <w:rPr>
          <w:rFonts w:ascii="Arial" w:hAnsi="Arial" w:cs="Arial"/>
          <w:bCs/>
          <w:color w:val="000000" w:themeColor="text1"/>
          <w:sz w:val="20"/>
          <w:szCs w:val="20"/>
        </w:rPr>
        <w:lastRenderedPageBreak/>
        <w:t>and floor twice daily. The incubation room was kept free from contamination through regular cleaning and disinfection. Bags were left undisturbed until complete mycelial colonization was observed.</w:t>
      </w:r>
    </w:p>
    <w:p w14:paraId="369CA9EA" w14:textId="77777777" w:rsidR="0022066A" w:rsidRPr="003B13E4" w:rsidRDefault="0022066A" w:rsidP="0022066A">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Following full colonization, the bags were carefully slit open using a sterilized blade, and the polythene covers were removed. The blocks were then watered lightly 3–4 times daily to maintain optimum moisture. Under these conditions, pinhead formation (primordial initiation) was observed within 3–5 days. During fruiting, the crop room was maintained at 20–25°C with 70–85% relative humidity and adequate ventilation to prevent carbon dioxide accumulation. Diffused natural light was allowed to promote fruiting, while direct sunlight and strong drafts were avoided.</w:t>
      </w:r>
    </w:p>
    <w:p w14:paraId="332F56F7" w14:textId="77777777" w:rsidR="0022066A" w:rsidRPr="003B13E4" w:rsidRDefault="0022066A" w:rsidP="0022066A">
      <w:pPr>
        <w:pStyle w:val="BodyText"/>
        <w:spacing w:before="0" w:after="0" w:line="360" w:lineRule="auto"/>
        <w:jc w:val="both"/>
        <w:rPr>
          <w:rFonts w:ascii="Arial" w:hAnsi="Arial" w:cs="Arial"/>
          <w:b/>
          <w:bCs/>
          <w:color w:val="000000" w:themeColor="text1"/>
          <w:sz w:val="20"/>
          <w:szCs w:val="20"/>
        </w:rPr>
      </w:pPr>
      <w:r w:rsidRPr="003B13E4">
        <w:rPr>
          <w:rFonts w:ascii="Arial" w:hAnsi="Arial" w:cs="Arial"/>
          <w:b/>
          <w:bCs/>
          <w:color w:val="000000" w:themeColor="text1"/>
          <w:sz w:val="20"/>
          <w:szCs w:val="20"/>
        </w:rPr>
        <w:t>Harvesting</w:t>
      </w:r>
    </w:p>
    <w:p w14:paraId="3A281D38" w14:textId="77777777" w:rsidR="0022066A" w:rsidRPr="003B13E4" w:rsidRDefault="0022066A" w:rsidP="0022066A">
      <w:pPr>
        <w:pStyle w:val="BodyText"/>
        <w:spacing w:before="0" w:line="360" w:lineRule="auto"/>
        <w:jc w:val="both"/>
        <w:rPr>
          <w:rFonts w:ascii="Arial" w:hAnsi="Arial" w:cs="Arial"/>
          <w:bCs/>
          <w:color w:val="000000" w:themeColor="text1"/>
          <w:sz w:val="20"/>
          <w:szCs w:val="20"/>
        </w:rPr>
      </w:pPr>
      <w:r w:rsidRPr="003B13E4">
        <w:rPr>
          <w:rFonts w:ascii="Arial" w:hAnsi="Arial" w:cs="Arial"/>
          <w:bCs/>
          <w:color w:val="000000" w:themeColor="text1"/>
          <w:sz w:val="20"/>
          <w:szCs w:val="20"/>
        </w:rPr>
        <w:t>Mature fruiting bodies were harvested manually by gently twisting them clockwise or counterclockwise to avoid damaging the surrounding mushrooms. Harvesting was always carried out before watering to ensure dry, high-quality produce. After harvesting, mushrooms were weighed individually, and data were recorded separately for each treatment. The process was repeated for subsequent flushes, enabling yield compar</w:t>
      </w:r>
      <w:r w:rsidR="007C6506" w:rsidRPr="003B13E4">
        <w:rPr>
          <w:rFonts w:ascii="Arial" w:hAnsi="Arial" w:cs="Arial"/>
          <w:bCs/>
          <w:color w:val="000000" w:themeColor="text1"/>
          <w:sz w:val="20"/>
          <w:szCs w:val="20"/>
        </w:rPr>
        <w:t xml:space="preserve">isons across the first, second </w:t>
      </w:r>
      <w:r w:rsidRPr="003B13E4">
        <w:rPr>
          <w:rFonts w:ascii="Arial" w:hAnsi="Arial" w:cs="Arial"/>
          <w:bCs/>
          <w:color w:val="000000" w:themeColor="text1"/>
          <w:sz w:val="20"/>
          <w:szCs w:val="20"/>
        </w:rPr>
        <w:t>and third harvest cycles.</w:t>
      </w:r>
    </w:p>
    <w:p w14:paraId="2FF5BEDE" w14:textId="4B547ED7" w:rsidR="00EA428F" w:rsidRPr="003B13E4" w:rsidRDefault="00FF263E" w:rsidP="00EA428F">
      <w:pPr>
        <w:pStyle w:val="Heading3"/>
        <w:spacing w:before="0" w:after="0" w:line="360" w:lineRule="auto"/>
        <w:jc w:val="both"/>
        <w:rPr>
          <w:rFonts w:ascii="Arial" w:hAnsi="Arial" w:cs="Arial"/>
          <w:b/>
          <w:color w:val="000000" w:themeColor="text1"/>
          <w:sz w:val="20"/>
          <w:szCs w:val="20"/>
        </w:rPr>
      </w:pPr>
      <w:bookmarkStart w:id="4" w:name="treatments"/>
      <w:bookmarkEnd w:id="3"/>
      <w:r>
        <w:rPr>
          <w:rFonts w:ascii="Arial" w:hAnsi="Arial" w:cs="Arial"/>
          <w:b/>
          <w:color w:val="000000" w:themeColor="text1"/>
          <w:sz w:val="20"/>
          <w:szCs w:val="20"/>
        </w:rPr>
        <w:t xml:space="preserve">List </w:t>
      </w:r>
      <w:proofErr w:type="gramStart"/>
      <w:r>
        <w:rPr>
          <w:rFonts w:ascii="Arial" w:hAnsi="Arial" w:cs="Arial"/>
          <w:b/>
          <w:color w:val="000000" w:themeColor="text1"/>
          <w:sz w:val="20"/>
          <w:szCs w:val="20"/>
        </w:rPr>
        <w:t>1 :</w:t>
      </w:r>
      <w:proofErr w:type="gramEnd"/>
      <w:r>
        <w:rPr>
          <w:rFonts w:ascii="Arial" w:hAnsi="Arial" w:cs="Arial"/>
          <w:b/>
          <w:color w:val="000000" w:themeColor="text1"/>
          <w:sz w:val="20"/>
          <w:szCs w:val="20"/>
        </w:rPr>
        <w:t xml:space="preserve"> </w:t>
      </w:r>
      <w:r w:rsidR="00EA428F" w:rsidRPr="003B13E4">
        <w:rPr>
          <w:rFonts w:ascii="Arial" w:hAnsi="Arial" w:cs="Arial"/>
          <w:b/>
          <w:color w:val="000000" w:themeColor="text1"/>
          <w:sz w:val="20"/>
          <w:szCs w:val="20"/>
        </w:rPr>
        <w:t xml:space="preserve">Treatment details : </w:t>
      </w:r>
    </w:p>
    <w:tbl>
      <w:tblPr>
        <w:tblpPr w:leftFromText="180" w:rightFromText="180" w:vertAnchor="page" w:horzAnchor="margin" w:tblpXSpec="center" w:tblpY="7122"/>
        <w:tblW w:w="6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73"/>
        <w:gridCol w:w="2453"/>
      </w:tblGrid>
      <w:tr w:rsidR="0022066A" w:rsidRPr="003B13E4" w14:paraId="30C27E9D" w14:textId="77777777" w:rsidTr="003B13E4">
        <w:trPr>
          <w:trHeight w:val="310"/>
        </w:trPr>
        <w:tc>
          <w:tcPr>
            <w:tcW w:w="1384" w:type="dxa"/>
            <w:vAlign w:val="center"/>
          </w:tcPr>
          <w:p w14:paraId="01A8161B" w14:textId="77777777" w:rsidR="0022066A" w:rsidRPr="003B13E4" w:rsidRDefault="0022066A" w:rsidP="0022066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Treatments</w:t>
            </w:r>
          </w:p>
        </w:tc>
        <w:tc>
          <w:tcPr>
            <w:tcW w:w="2873" w:type="dxa"/>
            <w:noWrap/>
            <w:vAlign w:val="center"/>
            <w:hideMark/>
          </w:tcPr>
          <w:p w14:paraId="2864B9EA" w14:textId="77777777" w:rsidR="0022066A" w:rsidRPr="003B13E4" w:rsidRDefault="0022066A" w:rsidP="0022066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Treatments details</w:t>
            </w:r>
          </w:p>
        </w:tc>
        <w:tc>
          <w:tcPr>
            <w:tcW w:w="2453" w:type="dxa"/>
            <w:vAlign w:val="center"/>
          </w:tcPr>
          <w:p w14:paraId="3B3D1103" w14:textId="77777777" w:rsidR="0022066A" w:rsidRPr="003B13E4" w:rsidRDefault="0022066A" w:rsidP="0022066A">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Concentration (%)</w:t>
            </w:r>
          </w:p>
        </w:tc>
      </w:tr>
      <w:tr w:rsidR="0022066A" w:rsidRPr="003B13E4" w14:paraId="0F870877" w14:textId="77777777" w:rsidTr="003B13E4">
        <w:trPr>
          <w:trHeight w:val="239"/>
        </w:trPr>
        <w:tc>
          <w:tcPr>
            <w:tcW w:w="1384" w:type="dxa"/>
            <w:vAlign w:val="center"/>
          </w:tcPr>
          <w:p w14:paraId="30801904"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0</w:t>
            </w:r>
          </w:p>
        </w:tc>
        <w:tc>
          <w:tcPr>
            <w:tcW w:w="2873" w:type="dxa"/>
            <w:noWrap/>
            <w:vAlign w:val="center"/>
            <w:hideMark/>
          </w:tcPr>
          <w:p w14:paraId="3D4C68F9" w14:textId="77777777" w:rsidR="0022066A" w:rsidRPr="003B13E4" w:rsidRDefault="0022066A" w:rsidP="0022066A">
            <w:pPr>
              <w:spacing w:after="0"/>
              <w:rPr>
                <w:rFonts w:ascii="Arial" w:hAnsi="Arial" w:cs="Arial"/>
                <w:bCs/>
                <w:color w:val="000000" w:themeColor="text1"/>
                <w:sz w:val="20"/>
                <w:szCs w:val="20"/>
              </w:rPr>
            </w:pPr>
            <w:r w:rsidRPr="003B13E4">
              <w:rPr>
                <w:rFonts w:ascii="Arial" w:hAnsi="Arial" w:cs="Arial"/>
                <w:bCs/>
                <w:color w:val="000000" w:themeColor="text1"/>
                <w:sz w:val="20"/>
                <w:szCs w:val="20"/>
              </w:rPr>
              <w:t>Control</w:t>
            </w:r>
          </w:p>
        </w:tc>
        <w:tc>
          <w:tcPr>
            <w:tcW w:w="2453" w:type="dxa"/>
            <w:vAlign w:val="center"/>
          </w:tcPr>
          <w:p w14:paraId="3763ECFA" w14:textId="77777777" w:rsidR="0022066A" w:rsidRPr="003B13E4" w:rsidRDefault="0022066A" w:rsidP="0022066A">
            <w:pPr>
              <w:spacing w:after="0" w:line="360" w:lineRule="auto"/>
              <w:jc w:val="center"/>
              <w:rPr>
                <w:rFonts w:ascii="Arial" w:hAnsi="Arial" w:cs="Arial"/>
                <w:color w:val="000000" w:themeColor="text1"/>
                <w:sz w:val="20"/>
                <w:szCs w:val="20"/>
              </w:rPr>
            </w:pPr>
            <w:r w:rsidRPr="003B13E4">
              <w:rPr>
                <w:rFonts w:ascii="Arial" w:hAnsi="Arial" w:cs="Arial"/>
                <w:color w:val="000000" w:themeColor="text1"/>
                <w:sz w:val="20"/>
                <w:szCs w:val="20"/>
              </w:rPr>
              <w:t>100% Wheat straw</w:t>
            </w:r>
          </w:p>
        </w:tc>
      </w:tr>
      <w:tr w:rsidR="0022066A" w:rsidRPr="003B13E4" w14:paraId="721E8701" w14:textId="77777777" w:rsidTr="003B13E4">
        <w:trPr>
          <w:trHeight w:val="246"/>
        </w:trPr>
        <w:tc>
          <w:tcPr>
            <w:tcW w:w="1384" w:type="dxa"/>
            <w:vAlign w:val="center"/>
          </w:tcPr>
          <w:p w14:paraId="4A5C884F"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1</w:t>
            </w:r>
          </w:p>
        </w:tc>
        <w:tc>
          <w:tcPr>
            <w:tcW w:w="2873" w:type="dxa"/>
            <w:noWrap/>
            <w:vAlign w:val="center"/>
            <w:hideMark/>
          </w:tcPr>
          <w:p w14:paraId="5AE618B0"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Allium sativum</w:t>
            </w:r>
          </w:p>
        </w:tc>
        <w:tc>
          <w:tcPr>
            <w:tcW w:w="2453" w:type="dxa"/>
            <w:vAlign w:val="center"/>
          </w:tcPr>
          <w:p w14:paraId="484DF78C"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0AA3E1D1" w14:textId="77777777" w:rsidTr="003B13E4">
        <w:trPr>
          <w:trHeight w:val="246"/>
        </w:trPr>
        <w:tc>
          <w:tcPr>
            <w:tcW w:w="1384" w:type="dxa"/>
            <w:vAlign w:val="center"/>
          </w:tcPr>
          <w:p w14:paraId="182E26B4"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2</w:t>
            </w:r>
          </w:p>
        </w:tc>
        <w:tc>
          <w:tcPr>
            <w:tcW w:w="2873" w:type="dxa"/>
            <w:noWrap/>
            <w:vAlign w:val="center"/>
            <w:hideMark/>
          </w:tcPr>
          <w:p w14:paraId="3D8F8C40"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 xml:space="preserve">Solanum </w:t>
            </w:r>
            <w:proofErr w:type="spellStart"/>
            <w:r w:rsidRPr="003B13E4">
              <w:rPr>
                <w:rFonts w:ascii="Arial" w:hAnsi="Arial" w:cs="Arial"/>
                <w:i/>
                <w:iCs/>
                <w:color w:val="000000" w:themeColor="text1"/>
                <w:sz w:val="20"/>
                <w:szCs w:val="20"/>
              </w:rPr>
              <w:t>aethiopicum</w:t>
            </w:r>
            <w:proofErr w:type="spellEnd"/>
          </w:p>
        </w:tc>
        <w:tc>
          <w:tcPr>
            <w:tcW w:w="2453" w:type="dxa"/>
            <w:vAlign w:val="center"/>
          </w:tcPr>
          <w:p w14:paraId="47044A51"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0ACE8BC3" w14:textId="77777777" w:rsidTr="003B13E4">
        <w:trPr>
          <w:trHeight w:val="246"/>
        </w:trPr>
        <w:tc>
          <w:tcPr>
            <w:tcW w:w="1384" w:type="dxa"/>
            <w:vAlign w:val="center"/>
          </w:tcPr>
          <w:p w14:paraId="4C1AC0FA"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3</w:t>
            </w:r>
          </w:p>
        </w:tc>
        <w:tc>
          <w:tcPr>
            <w:tcW w:w="2873" w:type="dxa"/>
            <w:noWrap/>
            <w:vAlign w:val="center"/>
            <w:hideMark/>
          </w:tcPr>
          <w:p w14:paraId="396A1D8C" w14:textId="77777777" w:rsidR="0022066A" w:rsidRPr="003B13E4" w:rsidRDefault="0022066A" w:rsidP="0022066A">
            <w:pPr>
              <w:spacing w:after="0"/>
              <w:rPr>
                <w:rFonts w:ascii="Arial" w:hAnsi="Arial" w:cs="Arial"/>
                <w:i/>
                <w:iCs/>
                <w:color w:val="000000" w:themeColor="text1"/>
                <w:sz w:val="20"/>
                <w:szCs w:val="20"/>
              </w:rPr>
            </w:pP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p>
        </w:tc>
        <w:tc>
          <w:tcPr>
            <w:tcW w:w="2453" w:type="dxa"/>
            <w:vAlign w:val="center"/>
          </w:tcPr>
          <w:p w14:paraId="36FC5ED3"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7A761350" w14:textId="77777777" w:rsidTr="003B13E4">
        <w:trPr>
          <w:trHeight w:val="246"/>
        </w:trPr>
        <w:tc>
          <w:tcPr>
            <w:tcW w:w="1384" w:type="dxa"/>
            <w:vAlign w:val="center"/>
          </w:tcPr>
          <w:p w14:paraId="30D479C7"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4</w:t>
            </w:r>
          </w:p>
        </w:tc>
        <w:tc>
          <w:tcPr>
            <w:tcW w:w="2873" w:type="dxa"/>
            <w:noWrap/>
            <w:vAlign w:val="center"/>
            <w:hideMark/>
          </w:tcPr>
          <w:p w14:paraId="62509B23"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 xml:space="preserve">Allium </w:t>
            </w:r>
            <w:proofErr w:type="spellStart"/>
            <w:r w:rsidRPr="003B13E4">
              <w:rPr>
                <w:rFonts w:ascii="Arial" w:hAnsi="Arial" w:cs="Arial"/>
                <w:i/>
                <w:iCs/>
                <w:color w:val="000000" w:themeColor="text1"/>
                <w:sz w:val="20"/>
                <w:szCs w:val="20"/>
              </w:rPr>
              <w:t>chinense</w:t>
            </w:r>
            <w:proofErr w:type="spellEnd"/>
          </w:p>
        </w:tc>
        <w:tc>
          <w:tcPr>
            <w:tcW w:w="2453" w:type="dxa"/>
            <w:vAlign w:val="center"/>
          </w:tcPr>
          <w:p w14:paraId="495C715F"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20CC5836" w14:textId="77777777" w:rsidTr="003B13E4">
        <w:trPr>
          <w:trHeight w:val="246"/>
        </w:trPr>
        <w:tc>
          <w:tcPr>
            <w:tcW w:w="1384" w:type="dxa"/>
            <w:vAlign w:val="center"/>
          </w:tcPr>
          <w:p w14:paraId="1ECFE10C"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5</w:t>
            </w:r>
          </w:p>
        </w:tc>
        <w:tc>
          <w:tcPr>
            <w:tcW w:w="2873" w:type="dxa"/>
            <w:noWrap/>
            <w:vAlign w:val="center"/>
            <w:hideMark/>
          </w:tcPr>
          <w:p w14:paraId="27F93BF0"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Zingiber officinale</w:t>
            </w:r>
          </w:p>
        </w:tc>
        <w:tc>
          <w:tcPr>
            <w:tcW w:w="2453" w:type="dxa"/>
            <w:vAlign w:val="center"/>
          </w:tcPr>
          <w:p w14:paraId="1F7D30F8"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72CCD74A" w14:textId="77777777" w:rsidTr="003B13E4">
        <w:trPr>
          <w:trHeight w:val="246"/>
        </w:trPr>
        <w:tc>
          <w:tcPr>
            <w:tcW w:w="1384" w:type="dxa"/>
            <w:vAlign w:val="center"/>
          </w:tcPr>
          <w:p w14:paraId="5A60D958"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6</w:t>
            </w:r>
          </w:p>
        </w:tc>
        <w:tc>
          <w:tcPr>
            <w:tcW w:w="2873" w:type="dxa"/>
            <w:noWrap/>
            <w:vAlign w:val="center"/>
            <w:hideMark/>
          </w:tcPr>
          <w:p w14:paraId="507EFAFB"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Allium hookeri</w:t>
            </w:r>
          </w:p>
        </w:tc>
        <w:tc>
          <w:tcPr>
            <w:tcW w:w="2453" w:type="dxa"/>
            <w:vAlign w:val="center"/>
          </w:tcPr>
          <w:p w14:paraId="326F4C3F"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1944348A" w14:textId="77777777" w:rsidTr="003B13E4">
        <w:trPr>
          <w:trHeight w:val="246"/>
        </w:trPr>
        <w:tc>
          <w:tcPr>
            <w:tcW w:w="1384" w:type="dxa"/>
            <w:vAlign w:val="center"/>
          </w:tcPr>
          <w:p w14:paraId="376C19E2"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7</w:t>
            </w:r>
          </w:p>
        </w:tc>
        <w:tc>
          <w:tcPr>
            <w:tcW w:w="2873" w:type="dxa"/>
            <w:noWrap/>
            <w:vAlign w:val="center"/>
            <w:hideMark/>
          </w:tcPr>
          <w:p w14:paraId="4929D170"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Ocimum sanctum</w:t>
            </w:r>
          </w:p>
        </w:tc>
        <w:tc>
          <w:tcPr>
            <w:tcW w:w="2453" w:type="dxa"/>
            <w:vAlign w:val="center"/>
          </w:tcPr>
          <w:p w14:paraId="64548376"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257DE50D" w14:textId="77777777" w:rsidTr="003B13E4">
        <w:trPr>
          <w:trHeight w:val="246"/>
        </w:trPr>
        <w:tc>
          <w:tcPr>
            <w:tcW w:w="1384" w:type="dxa"/>
            <w:vAlign w:val="center"/>
          </w:tcPr>
          <w:p w14:paraId="68A05079"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8</w:t>
            </w:r>
          </w:p>
        </w:tc>
        <w:tc>
          <w:tcPr>
            <w:tcW w:w="2873" w:type="dxa"/>
            <w:noWrap/>
            <w:vAlign w:val="center"/>
            <w:hideMark/>
          </w:tcPr>
          <w:p w14:paraId="693C1097"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 xml:space="preserve">Mentha </w:t>
            </w:r>
            <w:r w:rsidRPr="003B13E4">
              <w:rPr>
                <w:rFonts w:ascii="Arial" w:hAnsi="Arial" w:cs="Arial"/>
                <w:color w:val="000000" w:themeColor="text1"/>
                <w:sz w:val="20"/>
                <w:szCs w:val="20"/>
              </w:rPr>
              <w:t>sp</w:t>
            </w:r>
            <w:r w:rsidRPr="003B13E4">
              <w:rPr>
                <w:rFonts w:ascii="Arial" w:hAnsi="Arial" w:cs="Arial"/>
                <w:i/>
                <w:iCs/>
                <w:color w:val="000000" w:themeColor="text1"/>
                <w:sz w:val="20"/>
                <w:szCs w:val="20"/>
              </w:rPr>
              <w:t>.</w:t>
            </w:r>
          </w:p>
        </w:tc>
        <w:tc>
          <w:tcPr>
            <w:tcW w:w="2453" w:type="dxa"/>
            <w:vAlign w:val="center"/>
          </w:tcPr>
          <w:p w14:paraId="40555A81" w14:textId="77777777" w:rsidR="0022066A" w:rsidRPr="003B13E4" w:rsidRDefault="0022066A" w:rsidP="0022066A">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r w:rsidR="0022066A" w:rsidRPr="003B13E4" w14:paraId="3271F90E" w14:textId="77777777" w:rsidTr="003B13E4">
        <w:trPr>
          <w:trHeight w:val="246"/>
        </w:trPr>
        <w:tc>
          <w:tcPr>
            <w:tcW w:w="1384" w:type="dxa"/>
            <w:vAlign w:val="center"/>
          </w:tcPr>
          <w:p w14:paraId="69C8E38F" w14:textId="77777777" w:rsidR="0022066A" w:rsidRPr="003B13E4" w:rsidRDefault="0022066A" w:rsidP="0022066A">
            <w:pPr>
              <w:spacing w:after="0"/>
              <w:jc w:val="center"/>
              <w:rPr>
                <w:rFonts w:ascii="Arial" w:hAnsi="Arial" w:cs="Arial"/>
                <w:bCs/>
                <w:color w:val="000000" w:themeColor="text1"/>
                <w:sz w:val="20"/>
                <w:szCs w:val="20"/>
              </w:rPr>
            </w:pPr>
            <w:r w:rsidRPr="003B13E4">
              <w:rPr>
                <w:rFonts w:ascii="Arial" w:hAnsi="Arial" w:cs="Arial"/>
                <w:bCs/>
                <w:color w:val="000000" w:themeColor="text1"/>
                <w:sz w:val="20"/>
                <w:szCs w:val="20"/>
              </w:rPr>
              <w:t>T</w:t>
            </w:r>
            <w:r w:rsidRPr="003B13E4">
              <w:rPr>
                <w:rFonts w:ascii="Arial" w:hAnsi="Arial" w:cs="Arial"/>
                <w:bCs/>
                <w:color w:val="000000" w:themeColor="text1"/>
                <w:sz w:val="20"/>
                <w:szCs w:val="20"/>
                <w:vertAlign w:val="subscript"/>
              </w:rPr>
              <w:t>9</w:t>
            </w:r>
          </w:p>
        </w:tc>
        <w:tc>
          <w:tcPr>
            <w:tcW w:w="2873" w:type="dxa"/>
            <w:noWrap/>
            <w:vAlign w:val="center"/>
            <w:hideMark/>
          </w:tcPr>
          <w:p w14:paraId="5ACEDBDC" w14:textId="77777777" w:rsidR="0022066A" w:rsidRPr="003B13E4" w:rsidRDefault="0022066A" w:rsidP="0022066A">
            <w:pPr>
              <w:spacing w:after="0"/>
              <w:rPr>
                <w:rFonts w:ascii="Arial" w:hAnsi="Arial" w:cs="Arial"/>
                <w:i/>
                <w:iCs/>
                <w:color w:val="000000" w:themeColor="text1"/>
                <w:sz w:val="20"/>
                <w:szCs w:val="20"/>
              </w:rPr>
            </w:pPr>
            <w:r w:rsidRPr="003B13E4">
              <w:rPr>
                <w:rFonts w:ascii="Arial" w:hAnsi="Arial" w:cs="Arial"/>
                <w:i/>
                <w:iCs/>
                <w:color w:val="000000" w:themeColor="text1"/>
                <w:sz w:val="20"/>
                <w:szCs w:val="20"/>
              </w:rPr>
              <w:t>Curcuma longa</w:t>
            </w:r>
          </w:p>
        </w:tc>
        <w:tc>
          <w:tcPr>
            <w:tcW w:w="2453" w:type="dxa"/>
            <w:vAlign w:val="center"/>
          </w:tcPr>
          <w:p w14:paraId="4CD56AE0" w14:textId="77777777" w:rsidR="0022066A" w:rsidRPr="003B13E4" w:rsidRDefault="0022066A" w:rsidP="0022066A">
            <w:pPr>
              <w:spacing w:after="0" w:line="360" w:lineRule="auto"/>
              <w:jc w:val="center"/>
              <w:rPr>
                <w:rFonts w:ascii="Arial" w:hAnsi="Arial" w:cs="Arial"/>
                <w:color w:val="000000" w:themeColor="text1"/>
                <w:sz w:val="20"/>
                <w:szCs w:val="20"/>
              </w:rPr>
            </w:pPr>
            <w:r w:rsidRPr="003B13E4">
              <w:rPr>
                <w:rFonts w:ascii="Arial" w:hAnsi="Arial" w:cs="Arial"/>
                <w:color w:val="000000" w:themeColor="text1"/>
                <w:sz w:val="20"/>
                <w:szCs w:val="20"/>
              </w:rPr>
              <w:t>2.5%+97.5%</w:t>
            </w:r>
          </w:p>
        </w:tc>
      </w:tr>
    </w:tbl>
    <w:p w14:paraId="596C5438" w14:textId="77777777" w:rsidR="00EA428F" w:rsidRPr="003B13E4" w:rsidRDefault="00EA428F" w:rsidP="00EA428F">
      <w:pPr>
        <w:pStyle w:val="BodyText"/>
        <w:spacing w:before="0" w:after="0"/>
        <w:rPr>
          <w:rFonts w:ascii="Arial" w:hAnsi="Arial" w:cs="Arial"/>
          <w:color w:val="000000" w:themeColor="text1"/>
          <w:sz w:val="20"/>
          <w:szCs w:val="20"/>
        </w:rPr>
      </w:pPr>
    </w:p>
    <w:p w14:paraId="2BE7C2C9" w14:textId="77777777" w:rsidR="00EA428F" w:rsidRPr="003B13E4" w:rsidRDefault="00EA428F" w:rsidP="00EA428F">
      <w:pPr>
        <w:pStyle w:val="BodyText"/>
        <w:ind w:left="993"/>
        <w:rPr>
          <w:rFonts w:ascii="Arial" w:hAnsi="Arial" w:cs="Arial"/>
          <w:color w:val="000000" w:themeColor="text1"/>
          <w:sz w:val="20"/>
          <w:szCs w:val="20"/>
        </w:rPr>
      </w:pPr>
    </w:p>
    <w:p w14:paraId="752855B5" w14:textId="77777777" w:rsidR="00EA428F" w:rsidRPr="003B13E4" w:rsidRDefault="00EA428F" w:rsidP="009C168A">
      <w:pPr>
        <w:pStyle w:val="Heading3"/>
        <w:spacing w:before="0" w:line="360" w:lineRule="auto"/>
        <w:jc w:val="both"/>
        <w:rPr>
          <w:rFonts w:ascii="Arial" w:hAnsi="Arial" w:cs="Arial"/>
          <w:b/>
          <w:color w:val="000000" w:themeColor="text1"/>
          <w:sz w:val="20"/>
          <w:szCs w:val="20"/>
        </w:rPr>
      </w:pPr>
    </w:p>
    <w:p w14:paraId="276D05E7" w14:textId="77777777" w:rsidR="00640690" w:rsidRPr="003B13E4" w:rsidRDefault="00640690" w:rsidP="00640690">
      <w:pPr>
        <w:pStyle w:val="BodyText"/>
        <w:rPr>
          <w:rFonts w:ascii="Arial" w:hAnsi="Arial" w:cs="Arial"/>
          <w:color w:val="000000" w:themeColor="text1"/>
          <w:sz w:val="20"/>
          <w:szCs w:val="20"/>
        </w:rPr>
      </w:pPr>
    </w:p>
    <w:p w14:paraId="1C884038" w14:textId="77777777" w:rsidR="00640690" w:rsidRPr="003B13E4" w:rsidRDefault="00640690" w:rsidP="00640690">
      <w:pPr>
        <w:pStyle w:val="BodyText"/>
        <w:rPr>
          <w:rFonts w:ascii="Arial" w:hAnsi="Arial" w:cs="Arial"/>
          <w:color w:val="000000" w:themeColor="text1"/>
          <w:sz w:val="20"/>
          <w:szCs w:val="20"/>
        </w:rPr>
      </w:pPr>
    </w:p>
    <w:p w14:paraId="32145AE5" w14:textId="77777777" w:rsidR="00640690" w:rsidRPr="003B13E4" w:rsidRDefault="00640690" w:rsidP="00640690">
      <w:pPr>
        <w:rPr>
          <w:rFonts w:ascii="Arial" w:hAnsi="Arial" w:cs="Arial"/>
          <w:color w:val="000000" w:themeColor="text1"/>
          <w:sz w:val="20"/>
          <w:szCs w:val="20"/>
        </w:rPr>
      </w:pPr>
    </w:p>
    <w:p w14:paraId="51EFBFA8" w14:textId="77777777" w:rsidR="00640690" w:rsidRPr="003B13E4" w:rsidRDefault="00640690" w:rsidP="00640690">
      <w:pPr>
        <w:rPr>
          <w:rFonts w:ascii="Arial" w:hAnsi="Arial" w:cs="Arial"/>
          <w:color w:val="000000" w:themeColor="text1"/>
          <w:sz w:val="20"/>
          <w:szCs w:val="20"/>
        </w:rPr>
      </w:pPr>
    </w:p>
    <w:p w14:paraId="75988045" w14:textId="77777777" w:rsidR="0022066A" w:rsidRPr="003B13E4" w:rsidRDefault="0022066A" w:rsidP="0022066A">
      <w:pPr>
        <w:tabs>
          <w:tab w:val="left" w:pos="0"/>
        </w:tabs>
        <w:spacing w:before="240" w:after="0" w:line="360" w:lineRule="auto"/>
        <w:jc w:val="both"/>
        <w:rPr>
          <w:rFonts w:ascii="Arial" w:hAnsi="Arial" w:cs="Arial"/>
          <w:b/>
          <w:color w:val="000000" w:themeColor="text1"/>
          <w:sz w:val="20"/>
          <w:szCs w:val="20"/>
        </w:rPr>
      </w:pPr>
      <w:bookmarkStart w:id="5" w:name="parameters-recorded"/>
      <w:bookmarkEnd w:id="4"/>
      <w:r w:rsidRPr="003B13E4">
        <w:rPr>
          <w:rFonts w:ascii="Arial" w:hAnsi="Arial" w:cs="Arial"/>
          <w:b/>
          <w:color w:val="000000" w:themeColor="text1"/>
          <w:sz w:val="20"/>
          <w:szCs w:val="20"/>
        </w:rPr>
        <w:t xml:space="preserve">Observations recorded </w:t>
      </w:r>
    </w:p>
    <w:p w14:paraId="767DDB03" w14:textId="77777777" w:rsidR="00C25A7B" w:rsidRPr="003B13E4" w:rsidRDefault="00DF7FE1" w:rsidP="0022066A">
      <w:pPr>
        <w:tabs>
          <w:tab w:val="left" w:pos="0"/>
        </w:tabs>
        <w:spacing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growth parameters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were recorded from the day of spawning, which was considered as Day 0. The number of days required for complete spawn run was determined by daily observation of the substrate bags until more than 95% of the surface was uniformly covered with dense white mycelium, and in selected samples, colonization was confirmed by sterile incision to verify internal growth. The time taken for primordial initiation was recorded as the number of days from spawning to the first visible appearance of compact pinheads measuring at least 1–2 mm on the surface of the substrate. Similarly, the number of days for formation of mature fruiting bodies was noted from spawning until fruit bodies reached the harvestable stage, characterized by fully expanded caps with distinct gills visible and cap diameter of approximately 30–50 mm, while the margins were still intact. Observations were made daily at a fixed time under controlled conditions and dates were documented for each parameter. The intervals in days were then calculated for each replicate and averaged across treatments for statistical </w:t>
      </w:r>
      <w:r w:rsidRPr="003B13E4">
        <w:rPr>
          <w:rFonts w:ascii="Arial" w:hAnsi="Arial" w:cs="Arial"/>
          <w:color w:val="000000" w:themeColor="text1"/>
          <w:sz w:val="20"/>
          <w:szCs w:val="20"/>
        </w:rPr>
        <w:lastRenderedPageBreak/>
        <w:t>analysis. Data was</w:t>
      </w:r>
      <w:r w:rsidR="000D0516" w:rsidRPr="003B13E4">
        <w:rPr>
          <w:rFonts w:ascii="Arial" w:hAnsi="Arial" w:cs="Arial"/>
          <w:color w:val="000000" w:themeColor="text1"/>
          <w:sz w:val="20"/>
          <w:szCs w:val="20"/>
        </w:rPr>
        <w:t xml:space="preserve"> statistically analyzed, and treatment means were compared using the critical difference (CD) test at a 5% level of significance.</w:t>
      </w:r>
    </w:p>
    <w:p w14:paraId="5547FD59" w14:textId="77777777" w:rsidR="002062D3" w:rsidRPr="003B13E4" w:rsidRDefault="00BF77CA" w:rsidP="00EA428F">
      <w:pPr>
        <w:pStyle w:val="Heading2"/>
        <w:spacing w:before="0" w:after="0" w:line="360" w:lineRule="auto"/>
        <w:jc w:val="both"/>
        <w:rPr>
          <w:rFonts w:ascii="Arial" w:hAnsi="Arial" w:cs="Arial"/>
          <w:b/>
          <w:color w:val="000000" w:themeColor="text1"/>
          <w:sz w:val="20"/>
          <w:szCs w:val="20"/>
        </w:rPr>
      </w:pPr>
      <w:bookmarkStart w:id="6" w:name="results"/>
      <w:bookmarkEnd w:id="2"/>
      <w:bookmarkEnd w:id="5"/>
      <w:r w:rsidRPr="003B13E4">
        <w:rPr>
          <w:rFonts w:ascii="Arial" w:hAnsi="Arial" w:cs="Arial"/>
          <w:b/>
          <w:color w:val="000000" w:themeColor="text1"/>
          <w:sz w:val="20"/>
          <w:szCs w:val="20"/>
        </w:rPr>
        <w:t>RESULTS</w:t>
      </w:r>
    </w:p>
    <w:p w14:paraId="45CF1187" w14:textId="77777777" w:rsidR="0022066A" w:rsidRPr="003B13E4" w:rsidRDefault="0022066A" w:rsidP="0022066A">
      <w:pPr>
        <w:pStyle w:val="BodyText"/>
        <w:spacing w:before="0" w:after="0" w:line="360" w:lineRule="auto"/>
        <w:jc w:val="both"/>
        <w:rPr>
          <w:rFonts w:ascii="Arial" w:hAnsi="Arial" w:cs="Arial"/>
          <w:color w:val="000000" w:themeColor="text1"/>
          <w:sz w:val="20"/>
          <w:szCs w:val="20"/>
        </w:rPr>
      </w:pPr>
      <w:bookmarkStart w:id="7" w:name="X51a12a1c656da8554757b47f38bfdde992ee5bd"/>
      <w:r w:rsidRPr="003B13E4">
        <w:rPr>
          <w:rFonts w:ascii="Arial" w:hAnsi="Arial" w:cs="Arial"/>
          <w:color w:val="000000" w:themeColor="text1"/>
          <w:sz w:val="20"/>
          <w:szCs w:val="20"/>
        </w:rPr>
        <w:t xml:space="preserve">The pooled analysis of growth parameters clearly demonstrated that the incorporation of botanicals into the substrate significantly influenced the crop duration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as compared with the untreated control. A marked reduction in the number of days required for complete spawn colonization, primordial initiation, and development of mature fruiting bodies was observed across most treatments, indicating the growth-promoting role of plant-derived bio-additives.</w:t>
      </w:r>
    </w:p>
    <w:p w14:paraId="33E04BD9" w14:textId="77777777"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Among all treatments, </w:t>
      </w:r>
      <w:r w:rsidRPr="003B13E4">
        <w:rPr>
          <w:rFonts w:ascii="Arial" w:hAnsi="Arial" w:cs="Arial"/>
          <w:bCs/>
          <w:i/>
          <w:color w:val="000000" w:themeColor="text1"/>
          <w:sz w:val="20"/>
          <w:szCs w:val="20"/>
        </w:rPr>
        <w:t xml:space="preserve">Allium </w:t>
      </w:r>
      <w:proofErr w:type="spellStart"/>
      <w:r w:rsidRPr="003B13E4">
        <w:rPr>
          <w:rFonts w:ascii="Arial" w:hAnsi="Arial" w:cs="Arial"/>
          <w:bCs/>
          <w:i/>
          <w:color w:val="000000" w:themeColor="text1"/>
          <w:sz w:val="20"/>
          <w:szCs w:val="20"/>
        </w:rPr>
        <w:t>chinense</w:t>
      </w:r>
      <w:proofErr w:type="spellEnd"/>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4</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was consistently the most effective. It recorded the </w:t>
      </w:r>
      <w:r w:rsidRPr="003B13E4">
        <w:rPr>
          <w:rFonts w:ascii="Arial" w:hAnsi="Arial" w:cs="Arial"/>
          <w:bCs/>
          <w:color w:val="000000" w:themeColor="text1"/>
          <w:sz w:val="20"/>
          <w:szCs w:val="20"/>
        </w:rPr>
        <w:t>shortest spawn run (14.20 days)</w:t>
      </w:r>
      <w:r w:rsidRPr="003B13E4">
        <w:rPr>
          <w:rFonts w:ascii="Arial" w:hAnsi="Arial" w:cs="Arial"/>
          <w:color w:val="000000" w:themeColor="text1"/>
          <w:sz w:val="20"/>
          <w:szCs w:val="20"/>
        </w:rPr>
        <w:t xml:space="preserve">, </w:t>
      </w:r>
      <w:r w:rsidRPr="003B13E4">
        <w:rPr>
          <w:rFonts w:ascii="Arial" w:hAnsi="Arial" w:cs="Arial"/>
          <w:bCs/>
          <w:color w:val="000000" w:themeColor="text1"/>
          <w:sz w:val="20"/>
          <w:szCs w:val="20"/>
        </w:rPr>
        <w:t>earliest primordia initiation (15.90 days)</w:t>
      </w:r>
      <w:r w:rsidRPr="003B13E4">
        <w:rPr>
          <w:rFonts w:ascii="Arial" w:hAnsi="Arial" w:cs="Arial"/>
          <w:color w:val="000000" w:themeColor="text1"/>
          <w:sz w:val="20"/>
          <w:szCs w:val="20"/>
        </w:rPr>
        <w:t xml:space="preserve">, and </w:t>
      </w:r>
      <w:r w:rsidRPr="003B13E4">
        <w:rPr>
          <w:rFonts w:ascii="Arial" w:hAnsi="Arial" w:cs="Arial"/>
          <w:bCs/>
          <w:color w:val="000000" w:themeColor="text1"/>
          <w:sz w:val="20"/>
          <w:szCs w:val="20"/>
        </w:rPr>
        <w:t>fastest formation of mature fruiting bodies (19.90 days)</w:t>
      </w:r>
      <w:r w:rsidRPr="003B13E4">
        <w:rPr>
          <w:rFonts w:ascii="Arial" w:hAnsi="Arial" w:cs="Arial"/>
          <w:color w:val="000000" w:themeColor="text1"/>
          <w:sz w:val="20"/>
          <w:szCs w:val="20"/>
        </w:rPr>
        <w:t xml:space="preserve">. This represents a reduction of more than 10 days for each parameter when compared with the control (24.45, 27.15, and 32.95 days, respectively). The substantial reduction in crop duration suggests that </w:t>
      </w:r>
      <w:r w:rsidRPr="003B13E4">
        <w:rPr>
          <w:rFonts w:ascii="Arial" w:hAnsi="Arial" w:cs="Arial"/>
          <w:i/>
          <w:iCs/>
          <w:color w:val="000000" w:themeColor="text1"/>
          <w:sz w:val="20"/>
          <w:szCs w:val="20"/>
        </w:rPr>
        <w:t xml:space="preserve">A.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provided a highly conducive environment for both vegetative colonization and reproductive differentiation, thereby accelerating the overall crop cycle. The results highlight its potential as a bio-additive capable of significantly enhancing production efficiency.</w:t>
      </w:r>
    </w:p>
    <w:p w14:paraId="3ECA9B93" w14:textId="77777777" w:rsidR="0022066A" w:rsidRPr="003B13E4" w:rsidRDefault="0022066A" w:rsidP="0022066A">
      <w:pPr>
        <w:pStyle w:val="BodyText"/>
        <w:spacing w:before="0" w:after="0" w:line="360" w:lineRule="auto"/>
        <w:jc w:val="both"/>
        <w:rPr>
          <w:rFonts w:ascii="Arial" w:hAnsi="Arial" w:cs="Arial"/>
          <w:color w:val="000000" w:themeColor="text1"/>
          <w:sz w:val="20"/>
          <w:szCs w:val="20"/>
        </w:rPr>
      </w:pPr>
      <w:proofErr w:type="spellStart"/>
      <w:r w:rsidRPr="003B13E4">
        <w:rPr>
          <w:rFonts w:ascii="Arial" w:hAnsi="Arial" w:cs="Arial"/>
          <w:bCs/>
          <w:i/>
          <w:color w:val="000000" w:themeColor="text1"/>
          <w:sz w:val="20"/>
          <w:szCs w:val="20"/>
        </w:rPr>
        <w:t>Azadirachta</w:t>
      </w:r>
      <w:proofErr w:type="spellEnd"/>
      <w:r w:rsidRPr="003B13E4">
        <w:rPr>
          <w:rFonts w:ascii="Arial" w:hAnsi="Arial" w:cs="Arial"/>
          <w:bCs/>
          <w:i/>
          <w:color w:val="000000" w:themeColor="text1"/>
          <w:sz w:val="20"/>
          <w:szCs w:val="20"/>
        </w:rPr>
        <w:t xml:space="preserve"> </w:t>
      </w:r>
      <w:proofErr w:type="spellStart"/>
      <w:r w:rsidRPr="003B13E4">
        <w:rPr>
          <w:rFonts w:ascii="Arial" w:hAnsi="Arial" w:cs="Arial"/>
          <w:bCs/>
          <w:i/>
          <w:color w:val="000000" w:themeColor="text1"/>
          <w:sz w:val="20"/>
          <w:szCs w:val="20"/>
        </w:rPr>
        <w:t>indica</w:t>
      </w:r>
      <w:proofErr w:type="spellEnd"/>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3</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also exhibited a strong stimulatory effect, ranking second after </w:t>
      </w:r>
      <w:r w:rsidRPr="003B13E4">
        <w:rPr>
          <w:rFonts w:ascii="Arial" w:hAnsi="Arial" w:cs="Arial"/>
          <w:i/>
          <w:iCs/>
          <w:color w:val="000000" w:themeColor="text1"/>
          <w:sz w:val="20"/>
          <w:szCs w:val="20"/>
        </w:rPr>
        <w:t xml:space="preserve">A.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The treatment achieved complete spawn colonization in </w:t>
      </w:r>
      <w:r w:rsidRPr="003B13E4">
        <w:rPr>
          <w:rFonts w:ascii="Arial" w:hAnsi="Arial" w:cs="Arial"/>
          <w:bCs/>
          <w:color w:val="000000" w:themeColor="text1"/>
          <w:sz w:val="20"/>
          <w:szCs w:val="20"/>
        </w:rPr>
        <w:t>15.90 days</w:t>
      </w:r>
      <w:r w:rsidRPr="003B13E4">
        <w:rPr>
          <w:rFonts w:ascii="Arial" w:hAnsi="Arial" w:cs="Arial"/>
          <w:color w:val="000000" w:themeColor="text1"/>
          <w:sz w:val="20"/>
          <w:szCs w:val="20"/>
        </w:rPr>
        <w:t xml:space="preserve">, primordial initiation in </w:t>
      </w:r>
      <w:r w:rsidRPr="003B13E4">
        <w:rPr>
          <w:rFonts w:ascii="Arial" w:hAnsi="Arial" w:cs="Arial"/>
          <w:bCs/>
          <w:color w:val="000000" w:themeColor="text1"/>
          <w:sz w:val="20"/>
          <w:szCs w:val="20"/>
        </w:rPr>
        <w:t>18.05 days</w:t>
      </w:r>
      <w:r w:rsidRPr="003B13E4">
        <w:rPr>
          <w:rFonts w:ascii="Arial" w:hAnsi="Arial" w:cs="Arial"/>
          <w:color w:val="000000" w:themeColor="text1"/>
          <w:sz w:val="20"/>
          <w:szCs w:val="20"/>
        </w:rPr>
        <w:t xml:space="preserve">, and fruiting body maturity in </w:t>
      </w:r>
      <w:r w:rsidRPr="003B13E4">
        <w:rPr>
          <w:rFonts w:ascii="Arial" w:hAnsi="Arial" w:cs="Arial"/>
          <w:bCs/>
          <w:color w:val="000000" w:themeColor="text1"/>
          <w:sz w:val="20"/>
          <w:szCs w:val="20"/>
        </w:rPr>
        <w:t>22.75 days</w:t>
      </w:r>
      <w:r w:rsidRPr="003B13E4">
        <w:rPr>
          <w:rFonts w:ascii="Arial" w:hAnsi="Arial" w:cs="Arial"/>
          <w:color w:val="000000" w:themeColor="text1"/>
          <w:sz w:val="20"/>
          <w:szCs w:val="20"/>
        </w:rPr>
        <w:t xml:space="preserve">, demonstrating the growth-enhancing effect of neem-derived compounds, likely due to the presence of limonoids and other biologically active constituents. Similarly, </w:t>
      </w:r>
      <w:r w:rsidRPr="003B13E4">
        <w:rPr>
          <w:rFonts w:ascii="Arial" w:hAnsi="Arial" w:cs="Arial"/>
          <w:bCs/>
          <w:color w:val="000000" w:themeColor="text1"/>
          <w:sz w:val="20"/>
          <w:szCs w:val="20"/>
        </w:rPr>
        <w:t>Allium sativum (T</w:t>
      </w:r>
      <w:r w:rsidRPr="003B13E4">
        <w:rPr>
          <w:rFonts w:ascii="Arial" w:hAnsi="Arial" w:cs="Arial"/>
          <w:bCs/>
          <w:color w:val="000000" w:themeColor="text1"/>
          <w:sz w:val="20"/>
          <w:szCs w:val="20"/>
          <w:vertAlign w:val="subscript"/>
        </w:rPr>
        <w:t>1</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performed well, with colonization, initiation, and maturity recorded at </w:t>
      </w:r>
      <w:r w:rsidRPr="003B13E4">
        <w:rPr>
          <w:rFonts w:ascii="Arial" w:hAnsi="Arial" w:cs="Arial"/>
          <w:bCs/>
          <w:color w:val="000000" w:themeColor="text1"/>
          <w:sz w:val="20"/>
          <w:szCs w:val="20"/>
        </w:rPr>
        <w:t>16.70, 19.00, and 24.80 days</w:t>
      </w:r>
      <w:r w:rsidRPr="003B13E4">
        <w:rPr>
          <w:rFonts w:ascii="Arial" w:hAnsi="Arial" w:cs="Arial"/>
          <w:color w:val="000000" w:themeColor="text1"/>
          <w:sz w:val="20"/>
          <w:szCs w:val="20"/>
        </w:rPr>
        <w:t>, respectively. Garlic’s effectiveness can be attributed to sulfur-rich compounds such as allicin, which may have provided both antimicrobial protection and nutritional enhancement for the developing mycelium.</w:t>
      </w:r>
    </w:p>
    <w:p w14:paraId="7DBF24C6" w14:textId="77777777"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bCs/>
          <w:i/>
          <w:color w:val="000000" w:themeColor="text1"/>
          <w:sz w:val="20"/>
          <w:szCs w:val="20"/>
        </w:rPr>
        <w:t>Allium hookeri</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6</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also proved beneficial, recording a shorter spawn run and fruiting body formation period than the control, though its efficiency was slightly lower than that of </w:t>
      </w:r>
      <w:r w:rsidRPr="003B13E4">
        <w:rPr>
          <w:rFonts w:ascii="Arial" w:hAnsi="Arial" w:cs="Arial"/>
          <w:i/>
          <w:iCs/>
          <w:color w:val="000000" w:themeColor="text1"/>
          <w:sz w:val="20"/>
          <w:szCs w:val="20"/>
        </w:rPr>
        <w:t xml:space="preserve">A.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neem, and garlic. This highlights the general positive influence of the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group on oyster mushroom cultivation. Treatments such as </w:t>
      </w:r>
      <w:r w:rsidRPr="003B13E4">
        <w:rPr>
          <w:rFonts w:ascii="Arial" w:hAnsi="Arial" w:cs="Arial"/>
          <w:bCs/>
          <w:i/>
          <w:color w:val="000000" w:themeColor="text1"/>
          <w:sz w:val="20"/>
          <w:szCs w:val="20"/>
        </w:rPr>
        <w:t>Zingiber officinale</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5</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and </w:t>
      </w:r>
      <w:r w:rsidRPr="003B13E4">
        <w:rPr>
          <w:rFonts w:ascii="Arial" w:hAnsi="Arial" w:cs="Arial"/>
          <w:bCs/>
          <w:i/>
          <w:color w:val="000000" w:themeColor="text1"/>
          <w:sz w:val="20"/>
          <w:szCs w:val="20"/>
        </w:rPr>
        <w:t>Mentha</w:t>
      </w:r>
      <w:r w:rsidRPr="003B13E4">
        <w:rPr>
          <w:rFonts w:ascii="Arial" w:hAnsi="Arial" w:cs="Arial"/>
          <w:bCs/>
          <w:color w:val="000000" w:themeColor="text1"/>
          <w:sz w:val="20"/>
          <w:szCs w:val="20"/>
        </w:rPr>
        <w:t xml:space="preserve"> sp. (T</w:t>
      </w:r>
      <w:r w:rsidRPr="003B13E4">
        <w:rPr>
          <w:rFonts w:ascii="Arial" w:hAnsi="Arial" w:cs="Arial"/>
          <w:bCs/>
          <w:color w:val="000000" w:themeColor="text1"/>
          <w:sz w:val="20"/>
          <w:szCs w:val="20"/>
          <w:vertAlign w:val="subscript"/>
        </w:rPr>
        <w:t>8</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produced intermediate values, with moderate improvements across growth parameters, suggesting a partial but not optimum stimulatory effect.</w:t>
      </w:r>
    </w:p>
    <w:p w14:paraId="28F2BFFC" w14:textId="77777777"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On the other hand, </w:t>
      </w:r>
      <w:r w:rsidRPr="003B13E4">
        <w:rPr>
          <w:rFonts w:ascii="Arial" w:hAnsi="Arial" w:cs="Arial"/>
          <w:bCs/>
          <w:i/>
          <w:color w:val="000000" w:themeColor="text1"/>
          <w:sz w:val="20"/>
          <w:szCs w:val="20"/>
        </w:rPr>
        <w:t xml:space="preserve">Solanum </w:t>
      </w:r>
      <w:proofErr w:type="spellStart"/>
      <w:r w:rsidRPr="003B13E4">
        <w:rPr>
          <w:rFonts w:ascii="Arial" w:hAnsi="Arial" w:cs="Arial"/>
          <w:bCs/>
          <w:i/>
          <w:color w:val="000000" w:themeColor="text1"/>
          <w:sz w:val="20"/>
          <w:szCs w:val="20"/>
        </w:rPr>
        <w:t>aethiopicum</w:t>
      </w:r>
      <w:proofErr w:type="spellEnd"/>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2</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t>
      </w:r>
      <w:proofErr w:type="spellStart"/>
      <w:r w:rsidRPr="003B13E4">
        <w:rPr>
          <w:rFonts w:ascii="Arial" w:hAnsi="Arial" w:cs="Arial"/>
          <w:bCs/>
          <w:i/>
          <w:color w:val="000000" w:themeColor="text1"/>
          <w:sz w:val="20"/>
          <w:szCs w:val="20"/>
        </w:rPr>
        <w:t>Ocimum</w:t>
      </w:r>
      <w:proofErr w:type="spellEnd"/>
      <w:r w:rsidRPr="003B13E4">
        <w:rPr>
          <w:rFonts w:ascii="Arial" w:hAnsi="Arial" w:cs="Arial"/>
          <w:bCs/>
          <w:i/>
          <w:color w:val="000000" w:themeColor="text1"/>
          <w:sz w:val="20"/>
          <w:szCs w:val="20"/>
        </w:rPr>
        <w:t xml:space="preserve"> sanctum</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7</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and </w:t>
      </w:r>
      <w:r w:rsidRPr="003B13E4">
        <w:rPr>
          <w:rFonts w:ascii="Arial" w:hAnsi="Arial" w:cs="Arial"/>
          <w:bCs/>
          <w:i/>
          <w:color w:val="000000" w:themeColor="text1"/>
          <w:sz w:val="20"/>
          <w:szCs w:val="20"/>
        </w:rPr>
        <w:t>Curcuma longa</w:t>
      </w:r>
      <w:r w:rsidRPr="003B13E4">
        <w:rPr>
          <w:rFonts w:ascii="Arial" w:hAnsi="Arial" w:cs="Arial"/>
          <w:bCs/>
          <w:color w:val="000000" w:themeColor="text1"/>
          <w:sz w:val="20"/>
          <w:szCs w:val="20"/>
        </w:rPr>
        <w:t xml:space="preserve"> (T</w:t>
      </w:r>
      <w:r w:rsidRPr="003B13E4">
        <w:rPr>
          <w:rFonts w:ascii="Arial" w:hAnsi="Arial" w:cs="Arial"/>
          <w:bCs/>
          <w:color w:val="000000" w:themeColor="text1"/>
          <w:sz w:val="20"/>
          <w:szCs w:val="20"/>
          <w:vertAlign w:val="subscript"/>
        </w:rPr>
        <w:t>9</w:t>
      </w:r>
      <w:r w:rsidRPr="003B13E4">
        <w:rPr>
          <w:rFonts w:ascii="Arial" w:hAnsi="Arial" w:cs="Arial"/>
          <w:bCs/>
          <w:color w:val="000000" w:themeColor="text1"/>
          <w:sz w:val="20"/>
          <w:szCs w:val="20"/>
        </w:rPr>
        <w:t>)</w:t>
      </w:r>
      <w:r w:rsidRPr="003B13E4">
        <w:rPr>
          <w:rFonts w:ascii="Arial" w:hAnsi="Arial" w:cs="Arial"/>
          <w:color w:val="000000" w:themeColor="text1"/>
          <w:sz w:val="20"/>
          <w:szCs w:val="20"/>
        </w:rPr>
        <w:t xml:space="preserve"> were comparatively less effective. These treatments recorded relatively longer durations for all growth parameters, although still shorter than the untreated control. For instance,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(T</w:t>
      </w:r>
      <w:r w:rsidRPr="003B13E4">
        <w:rPr>
          <w:rFonts w:ascii="Arial" w:hAnsi="Arial" w:cs="Arial"/>
          <w:color w:val="000000" w:themeColor="text1"/>
          <w:sz w:val="20"/>
          <w:szCs w:val="20"/>
          <w:vertAlign w:val="subscript"/>
        </w:rPr>
        <w:t>9</w:t>
      </w:r>
      <w:r w:rsidRPr="003B13E4">
        <w:rPr>
          <w:rFonts w:ascii="Arial" w:hAnsi="Arial" w:cs="Arial"/>
          <w:color w:val="000000" w:themeColor="text1"/>
          <w:sz w:val="20"/>
          <w:szCs w:val="20"/>
        </w:rPr>
        <w:t xml:space="preserve">) required </w:t>
      </w:r>
      <w:r w:rsidRPr="003B13E4">
        <w:rPr>
          <w:rFonts w:ascii="Arial" w:hAnsi="Arial" w:cs="Arial"/>
          <w:bCs/>
          <w:color w:val="000000" w:themeColor="text1"/>
          <w:sz w:val="20"/>
          <w:szCs w:val="20"/>
        </w:rPr>
        <w:t>23.40 days for spawn colonization</w:t>
      </w:r>
      <w:r w:rsidRPr="003B13E4">
        <w:rPr>
          <w:rFonts w:ascii="Arial" w:hAnsi="Arial" w:cs="Arial"/>
          <w:color w:val="000000" w:themeColor="text1"/>
          <w:sz w:val="20"/>
          <w:szCs w:val="20"/>
        </w:rPr>
        <w:t xml:space="preserve">, </w:t>
      </w:r>
      <w:r w:rsidRPr="003B13E4">
        <w:rPr>
          <w:rFonts w:ascii="Arial" w:hAnsi="Arial" w:cs="Arial"/>
          <w:bCs/>
          <w:color w:val="000000" w:themeColor="text1"/>
          <w:sz w:val="20"/>
          <w:szCs w:val="20"/>
        </w:rPr>
        <w:t>23.85 days for primordia initiation</w:t>
      </w:r>
      <w:r w:rsidRPr="003B13E4">
        <w:rPr>
          <w:rFonts w:ascii="Arial" w:hAnsi="Arial" w:cs="Arial"/>
          <w:color w:val="000000" w:themeColor="text1"/>
          <w:sz w:val="20"/>
          <w:szCs w:val="20"/>
        </w:rPr>
        <w:t xml:space="preserve">, and </w:t>
      </w:r>
      <w:r w:rsidRPr="003B13E4">
        <w:rPr>
          <w:rFonts w:ascii="Arial" w:hAnsi="Arial" w:cs="Arial"/>
          <w:bCs/>
          <w:color w:val="000000" w:themeColor="text1"/>
          <w:sz w:val="20"/>
          <w:szCs w:val="20"/>
        </w:rPr>
        <w:t>30.25 days for maturity</w:t>
      </w:r>
      <w:r w:rsidRPr="003B13E4">
        <w:rPr>
          <w:rFonts w:ascii="Arial" w:hAnsi="Arial" w:cs="Arial"/>
          <w:color w:val="000000" w:themeColor="text1"/>
          <w:sz w:val="20"/>
          <w:szCs w:val="20"/>
        </w:rPr>
        <w:t>, which is an improvement over the control but considerably slower than the top-performing treatments.</w:t>
      </w:r>
    </w:p>
    <w:p w14:paraId="03BBEA5C" w14:textId="77777777" w:rsidR="0022066A" w:rsidRPr="003B13E4" w:rsidRDefault="0022066A" w:rsidP="0022066A">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Overall, the control (T</w:t>
      </w:r>
      <w:r w:rsidRPr="003B13E4">
        <w:rPr>
          <w:rFonts w:ascii="Arial" w:hAnsi="Arial" w:cs="Arial"/>
          <w:color w:val="000000" w:themeColor="text1"/>
          <w:sz w:val="20"/>
          <w:szCs w:val="20"/>
          <w:vertAlign w:val="subscript"/>
        </w:rPr>
        <w:t>0</w:t>
      </w:r>
      <w:r w:rsidRPr="003B13E4">
        <w:rPr>
          <w:rFonts w:ascii="Arial" w:hAnsi="Arial" w:cs="Arial"/>
          <w:color w:val="000000" w:themeColor="text1"/>
          <w:sz w:val="20"/>
          <w:szCs w:val="20"/>
        </w:rPr>
        <w:t>) consistently exhibited the longest durations for all developmental stages—</w:t>
      </w:r>
      <w:r w:rsidRPr="003B13E4">
        <w:rPr>
          <w:rFonts w:ascii="Arial" w:hAnsi="Arial" w:cs="Arial"/>
          <w:bCs/>
          <w:color w:val="000000" w:themeColor="text1"/>
          <w:sz w:val="20"/>
          <w:szCs w:val="20"/>
        </w:rPr>
        <w:t>24.45 days for spawn run, 27.15 days for primordia initiation, and 32.95 days for maturity</w:t>
      </w:r>
      <w:r w:rsidRPr="003B13E4">
        <w:rPr>
          <w:rFonts w:ascii="Arial" w:hAnsi="Arial" w:cs="Arial"/>
          <w:color w:val="000000" w:themeColor="text1"/>
          <w:sz w:val="20"/>
          <w:szCs w:val="20"/>
        </w:rPr>
        <w:t xml:space="preserve">—clearly establishing the positive effect of botanical supplementation. The results confirm that bio-additives, particularly </w:t>
      </w:r>
      <w:r w:rsidRPr="003B13E4">
        <w:rPr>
          <w:rFonts w:ascii="Arial" w:hAnsi="Arial" w:cs="Arial"/>
          <w:i/>
          <w:iCs/>
          <w:color w:val="000000" w:themeColor="text1"/>
          <w:sz w:val="20"/>
          <w:szCs w:val="20"/>
        </w:rPr>
        <w:t xml:space="preserve">Allium </w:t>
      </w:r>
      <w:proofErr w:type="spellStart"/>
      <w:r w:rsidRPr="003B13E4">
        <w:rPr>
          <w:rFonts w:ascii="Arial" w:hAnsi="Arial" w:cs="Arial"/>
          <w:i/>
          <w:iCs/>
          <w:color w:val="000000" w:themeColor="text1"/>
          <w:sz w:val="20"/>
          <w:szCs w:val="20"/>
        </w:rPr>
        <w:lastRenderedPageBreak/>
        <w:t>chinense</w:t>
      </w:r>
      <w:proofErr w:type="spellEnd"/>
      <w:r w:rsidRPr="003B13E4">
        <w:rPr>
          <w:rFonts w:ascii="Arial" w:hAnsi="Arial" w:cs="Arial"/>
          <w:color w:val="000000" w:themeColor="text1"/>
          <w:sz w:val="20"/>
          <w:szCs w:val="20"/>
        </w:rPr>
        <w:t xml:space="preserve">,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and </w:t>
      </w:r>
      <w:r w:rsidRPr="003B13E4">
        <w:rPr>
          <w:rFonts w:ascii="Arial" w:hAnsi="Arial" w:cs="Arial"/>
          <w:i/>
          <w:iCs/>
          <w:color w:val="000000" w:themeColor="text1"/>
          <w:sz w:val="20"/>
          <w:szCs w:val="20"/>
        </w:rPr>
        <w:t>Allium sativum</w:t>
      </w:r>
      <w:r w:rsidRPr="003B13E4">
        <w:rPr>
          <w:rFonts w:ascii="Arial" w:hAnsi="Arial" w:cs="Arial"/>
          <w:color w:val="000000" w:themeColor="text1"/>
          <w:sz w:val="20"/>
          <w:szCs w:val="20"/>
        </w:rPr>
        <w:t>, can significantly shorten the crop cycle by promoting both rapid mycelial colonization and early reproductive development. This acceleration of growth not only enhances yield efficiency but also offers practical benefits for sustainable mushroom cultivation, where reduced crop duration can translate into increased cropping cycles per year</w:t>
      </w:r>
      <w:r w:rsidR="00867064" w:rsidRPr="003B13E4">
        <w:rPr>
          <w:rFonts w:ascii="Arial" w:hAnsi="Arial" w:cs="Arial"/>
          <w:color w:val="000000" w:themeColor="text1"/>
          <w:sz w:val="20"/>
          <w:szCs w:val="20"/>
        </w:rPr>
        <w:t>, improved resource utilization</w:t>
      </w:r>
      <w:r w:rsidRPr="003B13E4">
        <w:rPr>
          <w:rFonts w:ascii="Arial" w:hAnsi="Arial" w:cs="Arial"/>
          <w:color w:val="000000" w:themeColor="text1"/>
          <w:sz w:val="20"/>
          <w:szCs w:val="20"/>
        </w:rPr>
        <w:t xml:space="preserve"> and higher profitability.</w:t>
      </w:r>
    </w:p>
    <w:p w14:paraId="5B1A8DA8" w14:textId="35E8B444" w:rsidR="002062D3" w:rsidRPr="003B13E4" w:rsidRDefault="002062D3" w:rsidP="002062D3">
      <w:pPr>
        <w:pStyle w:val="BodyText"/>
        <w:jc w:val="center"/>
        <w:rPr>
          <w:rFonts w:ascii="Arial" w:hAnsi="Arial" w:cs="Arial"/>
          <w:b/>
          <w:color w:val="000000" w:themeColor="text1"/>
          <w:sz w:val="20"/>
          <w:szCs w:val="20"/>
        </w:rPr>
      </w:pPr>
      <w:r w:rsidRPr="003B13E4">
        <w:rPr>
          <w:rFonts w:ascii="Arial" w:hAnsi="Arial" w:cs="Arial"/>
          <w:b/>
          <w:color w:val="000000" w:themeColor="text1"/>
          <w:sz w:val="20"/>
          <w:szCs w:val="20"/>
        </w:rPr>
        <w:t xml:space="preserve">Table </w:t>
      </w:r>
      <w:proofErr w:type="gramStart"/>
      <w:r w:rsidR="00FF263E">
        <w:rPr>
          <w:rFonts w:ascii="Arial" w:hAnsi="Arial" w:cs="Arial"/>
          <w:b/>
          <w:color w:val="000000" w:themeColor="text1"/>
          <w:sz w:val="20"/>
          <w:szCs w:val="20"/>
        </w:rPr>
        <w:t xml:space="preserve">1 </w:t>
      </w:r>
      <w:r w:rsidRPr="003B13E4">
        <w:rPr>
          <w:rFonts w:ascii="Arial" w:hAnsi="Arial" w:cs="Arial"/>
          <w:b/>
          <w:color w:val="000000" w:themeColor="text1"/>
          <w:sz w:val="20"/>
          <w:szCs w:val="20"/>
        </w:rPr>
        <w:t>:</w:t>
      </w:r>
      <w:proofErr w:type="gramEnd"/>
      <w:r w:rsidRPr="003B13E4">
        <w:rPr>
          <w:rFonts w:ascii="Arial" w:hAnsi="Arial" w:cs="Arial"/>
          <w:b/>
          <w:color w:val="000000" w:themeColor="text1"/>
          <w:sz w:val="20"/>
          <w:szCs w:val="20"/>
        </w:rPr>
        <w:t xml:space="preserve"> Effect of treatments on the growth parameters of oyster mushroom (</w:t>
      </w:r>
      <w:r w:rsidRPr="003B13E4">
        <w:rPr>
          <w:rFonts w:ascii="Arial" w:hAnsi="Arial" w:cs="Arial"/>
          <w:b/>
          <w:i/>
          <w:iCs/>
          <w:color w:val="000000" w:themeColor="text1"/>
          <w:sz w:val="20"/>
          <w:szCs w:val="20"/>
        </w:rPr>
        <w:t>Pleurotus ostreatus</w:t>
      </w:r>
      <w:r w:rsidRPr="003B13E4">
        <w:rPr>
          <w:rFonts w:ascii="Arial" w:hAnsi="Arial" w:cs="Arial"/>
          <w:b/>
          <w:color w:val="000000" w:themeColor="text1"/>
          <w:sz w:val="20"/>
          <w:szCs w:val="20"/>
        </w:rPr>
        <w:t>)</w:t>
      </w:r>
    </w:p>
    <w:tbl>
      <w:tblPr>
        <w:tblpPr w:leftFromText="180" w:rightFromText="180" w:vertAnchor="text" w:horzAnchor="margin" w:tblpX="108" w:tblpY="49"/>
        <w:tblW w:w="9361" w:type="dxa"/>
        <w:tblLook w:val="04A0" w:firstRow="1" w:lastRow="0" w:firstColumn="1" w:lastColumn="0" w:noHBand="0" w:noVBand="1"/>
      </w:tblPr>
      <w:tblGrid>
        <w:gridCol w:w="2810"/>
        <w:gridCol w:w="2132"/>
        <w:gridCol w:w="2079"/>
        <w:gridCol w:w="2340"/>
      </w:tblGrid>
      <w:tr w:rsidR="002062D3" w:rsidRPr="003B13E4" w14:paraId="071CB461" w14:textId="77777777" w:rsidTr="00EA428F">
        <w:trPr>
          <w:trHeight w:val="757"/>
        </w:trPr>
        <w:tc>
          <w:tcPr>
            <w:tcW w:w="2810" w:type="dxa"/>
            <w:tcBorders>
              <w:top w:val="single" w:sz="4" w:space="0" w:color="auto"/>
              <w:left w:val="single" w:sz="4" w:space="0" w:color="auto"/>
              <w:bottom w:val="single" w:sz="4" w:space="0" w:color="auto"/>
              <w:right w:val="single" w:sz="4" w:space="0" w:color="auto"/>
            </w:tcBorders>
            <w:noWrap/>
            <w:vAlign w:val="center"/>
            <w:hideMark/>
          </w:tcPr>
          <w:p w14:paraId="24B955C0" w14:textId="77777777" w:rsidR="002062D3" w:rsidRPr="003B13E4" w:rsidRDefault="002062D3" w:rsidP="00023FE0">
            <w:pPr>
              <w:spacing w:after="0"/>
              <w:jc w:val="center"/>
              <w:rPr>
                <w:rFonts w:ascii="Arial" w:eastAsia="Times New Roman" w:hAnsi="Arial" w:cs="Arial"/>
                <w:b/>
                <w:bCs/>
                <w:color w:val="000000" w:themeColor="text1"/>
                <w:sz w:val="20"/>
                <w:szCs w:val="20"/>
              </w:rPr>
            </w:pPr>
            <w:bookmarkStart w:id="8" w:name="discussion"/>
            <w:bookmarkEnd w:id="6"/>
            <w:bookmarkEnd w:id="7"/>
            <w:r w:rsidRPr="003B13E4">
              <w:rPr>
                <w:rFonts w:ascii="Arial" w:eastAsia="Times New Roman" w:hAnsi="Arial" w:cs="Arial"/>
                <w:b/>
                <w:bCs/>
                <w:color w:val="000000" w:themeColor="text1"/>
                <w:sz w:val="20"/>
                <w:szCs w:val="20"/>
              </w:rPr>
              <w:t>Treatments</w:t>
            </w:r>
          </w:p>
        </w:tc>
        <w:tc>
          <w:tcPr>
            <w:tcW w:w="2132" w:type="dxa"/>
            <w:tcBorders>
              <w:top w:val="single" w:sz="4" w:space="0" w:color="auto"/>
              <w:left w:val="single" w:sz="4" w:space="0" w:color="auto"/>
              <w:bottom w:val="single" w:sz="4" w:space="0" w:color="auto"/>
              <w:right w:val="single" w:sz="4" w:space="0" w:color="auto"/>
            </w:tcBorders>
            <w:vAlign w:val="center"/>
          </w:tcPr>
          <w:p w14:paraId="751B79EB" w14:textId="77777777"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complete spawn run</w:t>
            </w:r>
          </w:p>
        </w:tc>
        <w:tc>
          <w:tcPr>
            <w:tcW w:w="2079" w:type="dxa"/>
            <w:tcBorders>
              <w:top w:val="single" w:sz="4" w:space="0" w:color="auto"/>
              <w:left w:val="single" w:sz="4" w:space="0" w:color="auto"/>
              <w:bottom w:val="single" w:sz="4" w:space="0" w:color="auto"/>
              <w:right w:val="single" w:sz="4" w:space="0" w:color="auto"/>
            </w:tcBorders>
            <w:vAlign w:val="center"/>
          </w:tcPr>
          <w:p w14:paraId="3A211E0A" w14:textId="77777777"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primordial initiation</w:t>
            </w:r>
          </w:p>
        </w:tc>
        <w:tc>
          <w:tcPr>
            <w:tcW w:w="2340" w:type="dxa"/>
            <w:tcBorders>
              <w:top w:val="single" w:sz="4" w:space="0" w:color="auto"/>
              <w:left w:val="single" w:sz="4" w:space="0" w:color="auto"/>
              <w:bottom w:val="single" w:sz="4" w:space="0" w:color="auto"/>
              <w:right w:val="single" w:sz="4" w:space="0" w:color="auto"/>
            </w:tcBorders>
            <w:vAlign w:val="center"/>
          </w:tcPr>
          <w:p w14:paraId="238A2E3E" w14:textId="77777777"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Days taken for formation of mature fruiting bodies</w:t>
            </w:r>
          </w:p>
        </w:tc>
      </w:tr>
      <w:tr w:rsidR="002062D3" w:rsidRPr="003B13E4" w14:paraId="25AABB52" w14:textId="77777777" w:rsidTr="00EA428F">
        <w:trPr>
          <w:trHeight w:val="287"/>
        </w:trPr>
        <w:tc>
          <w:tcPr>
            <w:tcW w:w="2810" w:type="dxa"/>
            <w:tcBorders>
              <w:top w:val="single" w:sz="4" w:space="0" w:color="auto"/>
              <w:left w:val="single" w:sz="8" w:space="0" w:color="auto"/>
              <w:bottom w:val="single" w:sz="8" w:space="0" w:color="auto"/>
              <w:right w:val="single" w:sz="8" w:space="0" w:color="auto"/>
            </w:tcBorders>
            <w:noWrap/>
            <w:vAlign w:val="center"/>
            <w:hideMark/>
          </w:tcPr>
          <w:p w14:paraId="73409506"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0</w:t>
            </w:r>
            <w:r w:rsidRPr="003B13E4">
              <w:rPr>
                <w:rFonts w:ascii="Arial" w:eastAsia="Times New Roman" w:hAnsi="Arial" w:cs="Arial"/>
                <w:color w:val="000000" w:themeColor="text1"/>
                <w:sz w:val="20"/>
                <w:szCs w:val="20"/>
              </w:rPr>
              <w:t xml:space="preserve"> - Control</w:t>
            </w:r>
          </w:p>
        </w:tc>
        <w:tc>
          <w:tcPr>
            <w:tcW w:w="2132" w:type="dxa"/>
            <w:tcBorders>
              <w:top w:val="single" w:sz="4" w:space="0" w:color="auto"/>
              <w:left w:val="single" w:sz="8" w:space="0" w:color="auto"/>
              <w:bottom w:val="single" w:sz="8" w:space="0" w:color="auto"/>
              <w:right w:val="single" w:sz="8" w:space="0" w:color="auto"/>
            </w:tcBorders>
            <w:vAlign w:val="center"/>
          </w:tcPr>
          <w:p w14:paraId="0FA1F255"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24.45</w:t>
            </w:r>
          </w:p>
        </w:tc>
        <w:tc>
          <w:tcPr>
            <w:tcW w:w="2079" w:type="dxa"/>
            <w:tcBorders>
              <w:top w:val="single" w:sz="4" w:space="0" w:color="auto"/>
              <w:left w:val="single" w:sz="8" w:space="0" w:color="auto"/>
              <w:bottom w:val="single" w:sz="8" w:space="0" w:color="auto"/>
              <w:right w:val="single" w:sz="8" w:space="0" w:color="auto"/>
            </w:tcBorders>
            <w:vAlign w:val="center"/>
          </w:tcPr>
          <w:p w14:paraId="52DA50C3"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27.15</w:t>
            </w:r>
          </w:p>
        </w:tc>
        <w:tc>
          <w:tcPr>
            <w:tcW w:w="2340" w:type="dxa"/>
            <w:tcBorders>
              <w:top w:val="single" w:sz="4" w:space="0" w:color="auto"/>
              <w:left w:val="single" w:sz="8" w:space="0" w:color="auto"/>
              <w:bottom w:val="single" w:sz="8" w:space="0" w:color="auto"/>
              <w:right w:val="single" w:sz="8" w:space="0" w:color="auto"/>
            </w:tcBorders>
            <w:vAlign w:val="center"/>
          </w:tcPr>
          <w:p w14:paraId="1C593749"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32.95</w:t>
            </w:r>
          </w:p>
        </w:tc>
      </w:tr>
      <w:tr w:rsidR="002062D3" w:rsidRPr="003B13E4" w14:paraId="406535B7"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21E0FD6D"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1</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Allium sativum</w:t>
            </w:r>
          </w:p>
        </w:tc>
        <w:tc>
          <w:tcPr>
            <w:tcW w:w="2132" w:type="dxa"/>
            <w:tcBorders>
              <w:top w:val="nil"/>
              <w:left w:val="single" w:sz="8" w:space="0" w:color="auto"/>
              <w:bottom w:val="single" w:sz="8" w:space="0" w:color="auto"/>
              <w:right w:val="single" w:sz="8" w:space="0" w:color="auto"/>
            </w:tcBorders>
            <w:vAlign w:val="center"/>
          </w:tcPr>
          <w:p w14:paraId="4F6700C2"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16.70</w:t>
            </w:r>
          </w:p>
        </w:tc>
        <w:tc>
          <w:tcPr>
            <w:tcW w:w="2079" w:type="dxa"/>
            <w:tcBorders>
              <w:top w:val="nil"/>
              <w:left w:val="single" w:sz="8" w:space="0" w:color="auto"/>
              <w:bottom w:val="single" w:sz="8" w:space="0" w:color="auto"/>
              <w:right w:val="single" w:sz="8" w:space="0" w:color="auto"/>
            </w:tcBorders>
            <w:vAlign w:val="center"/>
          </w:tcPr>
          <w:p w14:paraId="3D94FB3A"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19.00</w:t>
            </w:r>
          </w:p>
        </w:tc>
        <w:tc>
          <w:tcPr>
            <w:tcW w:w="2340" w:type="dxa"/>
            <w:tcBorders>
              <w:top w:val="nil"/>
              <w:left w:val="single" w:sz="8" w:space="0" w:color="auto"/>
              <w:bottom w:val="single" w:sz="8" w:space="0" w:color="auto"/>
              <w:right w:val="single" w:sz="8" w:space="0" w:color="auto"/>
            </w:tcBorders>
            <w:vAlign w:val="center"/>
          </w:tcPr>
          <w:p w14:paraId="1776B75D"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24.80</w:t>
            </w:r>
          </w:p>
        </w:tc>
      </w:tr>
      <w:tr w:rsidR="002062D3" w:rsidRPr="003B13E4" w14:paraId="56C3FABF"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05CA7989"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2</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 xml:space="preserve">Solanum </w:t>
            </w:r>
            <w:proofErr w:type="spellStart"/>
            <w:r w:rsidRPr="003B13E4">
              <w:rPr>
                <w:rFonts w:ascii="Arial" w:eastAsia="Times New Roman" w:hAnsi="Arial" w:cs="Arial"/>
                <w:i/>
                <w:iCs/>
                <w:color w:val="000000" w:themeColor="text1"/>
                <w:sz w:val="20"/>
                <w:szCs w:val="20"/>
              </w:rPr>
              <w:t>aethiopicum</w:t>
            </w:r>
            <w:proofErr w:type="spellEnd"/>
          </w:p>
        </w:tc>
        <w:tc>
          <w:tcPr>
            <w:tcW w:w="2132" w:type="dxa"/>
            <w:tcBorders>
              <w:top w:val="nil"/>
              <w:left w:val="single" w:sz="8" w:space="0" w:color="auto"/>
              <w:bottom w:val="single" w:sz="8" w:space="0" w:color="auto"/>
              <w:right w:val="single" w:sz="8" w:space="0" w:color="auto"/>
            </w:tcBorders>
            <w:vAlign w:val="center"/>
          </w:tcPr>
          <w:p w14:paraId="43A53E42"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21.20</w:t>
            </w:r>
          </w:p>
        </w:tc>
        <w:tc>
          <w:tcPr>
            <w:tcW w:w="2079" w:type="dxa"/>
            <w:tcBorders>
              <w:top w:val="nil"/>
              <w:left w:val="single" w:sz="8" w:space="0" w:color="auto"/>
              <w:bottom w:val="single" w:sz="8" w:space="0" w:color="auto"/>
              <w:right w:val="single" w:sz="8" w:space="0" w:color="auto"/>
            </w:tcBorders>
            <w:vAlign w:val="center"/>
          </w:tcPr>
          <w:p w14:paraId="35523A60"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25.60</w:t>
            </w:r>
          </w:p>
        </w:tc>
        <w:tc>
          <w:tcPr>
            <w:tcW w:w="2340" w:type="dxa"/>
            <w:tcBorders>
              <w:top w:val="nil"/>
              <w:left w:val="single" w:sz="8" w:space="0" w:color="auto"/>
              <w:bottom w:val="single" w:sz="8" w:space="0" w:color="auto"/>
              <w:right w:val="single" w:sz="8" w:space="0" w:color="auto"/>
            </w:tcBorders>
            <w:vAlign w:val="center"/>
          </w:tcPr>
          <w:p w14:paraId="2E964AE5"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29.60</w:t>
            </w:r>
          </w:p>
        </w:tc>
      </w:tr>
      <w:tr w:rsidR="002062D3" w:rsidRPr="003B13E4" w14:paraId="0C66203E"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37775D22"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3</w:t>
            </w:r>
            <w:r w:rsidRPr="003B13E4">
              <w:rPr>
                <w:rFonts w:ascii="Arial" w:eastAsia="Times New Roman" w:hAnsi="Arial" w:cs="Arial"/>
                <w:color w:val="000000" w:themeColor="text1"/>
                <w:sz w:val="20"/>
                <w:szCs w:val="20"/>
              </w:rPr>
              <w:t xml:space="preserve"> -</w:t>
            </w:r>
            <w:r w:rsidRPr="003B13E4">
              <w:rPr>
                <w:rFonts w:ascii="Arial" w:eastAsia="Times New Roman" w:hAnsi="Arial" w:cs="Arial"/>
                <w:i/>
                <w:iCs/>
                <w:color w:val="000000" w:themeColor="text1"/>
                <w:sz w:val="20"/>
                <w:szCs w:val="20"/>
              </w:rPr>
              <w:t xml:space="preserve"> </w:t>
            </w:r>
            <w:proofErr w:type="spellStart"/>
            <w:r w:rsidRPr="003B13E4">
              <w:rPr>
                <w:rFonts w:ascii="Arial" w:eastAsia="Times New Roman" w:hAnsi="Arial" w:cs="Arial"/>
                <w:i/>
                <w:iCs/>
                <w:color w:val="000000" w:themeColor="text1"/>
                <w:sz w:val="20"/>
                <w:szCs w:val="20"/>
              </w:rPr>
              <w:t>Azadirachta</w:t>
            </w:r>
            <w:proofErr w:type="spellEnd"/>
            <w:r w:rsidRPr="003B13E4">
              <w:rPr>
                <w:rFonts w:ascii="Arial" w:eastAsia="Times New Roman" w:hAnsi="Arial" w:cs="Arial"/>
                <w:i/>
                <w:iCs/>
                <w:color w:val="000000" w:themeColor="text1"/>
                <w:sz w:val="20"/>
                <w:szCs w:val="20"/>
              </w:rPr>
              <w:t xml:space="preserve"> </w:t>
            </w:r>
            <w:proofErr w:type="spellStart"/>
            <w:r w:rsidRPr="003B13E4">
              <w:rPr>
                <w:rFonts w:ascii="Arial" w:eastAsia="Times New Roman" w:hAnsi="Arial" w:cs="Arial"/>
                <w:i/>
                <w:iCs/>
                <w:color w:val="000000" w:themeColor="text1"/>
                <w:sz w:val="20"/>
                <w:szCs w:val="20"/>
              </w:rPr>
              <w:t>indica</w:t>
            </w:r>
            <w:proofErr w:type="spellEnd"/>
          </w:p>
        </w:tc>
        <w:tc>
          <w:tcPr>
            <w:tcW w:w="2132" w:type="dxa"/>
            <w:tcBorders>
              <w:top w:val="nil"/>
              <w:left w:val="single" w:sz="8" w:space="0" w:color="auto"/>
              <w:bottom w:val="single" w:sz="8" w:space="0" w:color="auto"/>
              <w:right w:val="single" w:sz="8" w:space="0" w:color="auto"/>
            </w:tcBorders>
            <w:vAlign w:val="center"/>
          </w:tcPr>
          <w:p w14:paraId="793CC2D5"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15.90</w:t>
            </w:r>
          </w:p>
        </w:tc>
        <w:tc>
          <w:tcPr>
            <w:tcW w:w="2079" w:type="dxa"/>
            <w:tcBorders>
              <w:top w:val="nil"/>
              <w:left w:val="single" w:sz="8" w:space="0" w:color="auto"/>
              <w:bottom w:val="single" w:sz="8" w:space="0" w:color="auto"/>
              <w:right w:val="single" w:sz="8" w:space="0" w:color="auto"/>
            </w:tcBorders>
            <w:vAlign w:val="center"/>
          </w:tcPr>
          <w:p w14:paraId="2B0B4B48"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18.05</w:t>
            </w:r>
          </w:p>
        </w:tc>
        <w:tc>
          <w:tcPr>
            <w:tcW w:w="2340" w:type="dxa"/>
            <w:tcBorders>
              <w:top w:val="nil"/>
              <w:left w:val="single" w:sz="8" w:space="0" w:color="auto"/>
              <w:bottom w:val="single" w:sz="8" w:space="0" w:color="auto"/>
              <w:right w:val="single" w:sz="8" w:space="0" w:color="auto"/>
            </w:tcBorders>
            <w:vAlign w:val="center"/>
          </w:tcPr>
          <w:p w14:paraId="6B53E431"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22.75</w:t>
            </w:r>
          </w:p>
        </w:tc>
      </w:tr>
      <w:tr w:rsidR="002062D3" w:rsidRPr="003B13E4" w14:paraId="307C145C"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44EFA87D"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4</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 xml:space="preserve">Allium </w:t>
            </w:r>
            <w:proofErr w:type="spellStart"/>
            <w:r w:rsidRPr="003B13E4">
              <w:rPr>
                <w:rFonts w:ascii="Arial" w:eastAsia="Times New Roman" w:hAnsi="Arial" w:cs="Arial"/>
                <w:i/>
                <w:iCs/>
                <w:color w:val="000000" w:themeColor="text1"/>
                <w:sz w:val="20"/>
                <w:szCs w:val="20"/>
              </w:rPr>
              <w:t>chinense</w:t>
            </w:r>
            <w:proofErr w:type="spellEnd"/>
          </w:p>
        </w:tc>
        <w:tc>
          <w:tcPr>
            <w:tcW w:w="2132" w:type="dxa"/>
            <w:tcBorders>
              <w:top w:val="nil"/>
              <w:left w:val="single" w:sz="8" w:space="0" w:color="auto"/>
              <w:bottom w:val="single" w:sz="8" w:space="0" w:color="auto"/>
              <w:right w:val="single" w:sz="8" w:space="0" w:color="auto"/>
            </w:tcBorders>
            <w:vAlign w:val="center"/>
          </w:tcPr>
          <w:p w14:paraId="391FA591"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14.20</w:t>
            </w:r>
          </w:p>
        </w:tc>
        <w:tc>
          <w:tcPr>
            <w:tcW w:w="2079" w:type="dxa"/>
            <w:tcBorders>
              <w:top w:val="nil"/>
              <w:left w:val="single" w:sz="8" w:space="0" w:color="auto"/>
              <w:bottom w:val="single" w:sz="8" w:space="0" w:color="auto"/>
              <w:right w:val="single" w:sz="8" w:space="0" w:color="auto"/>
            </w:tcBorders>
            <w:vAlign w:val="center"/>
          </w:tcPr>
          <w:p w14:paraId="0E1F8392"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15.90</w:t>
            </w:r>
          </w:p>
        </w:tc>
        <w:tc>
          <w:tcPr>
            <w:tcW w:w="2340" w:type="dxa"/>
            <w:tcBorders>
              <w:top w:val="nil"/>
              <w:left w:val="single" w:sz="8" w:space="0" w:color="auto"/>
              <w:bottom w:val="single" w:sz="8" w:space="0" w:color="auto"/>
              <w:right w:val="single" w:sz="8" w:space="0" w:color="auto"/>
            </w:tcBorders>
            <w:vAlign w:val="center"/>
          </w:tcPr>
          <w:p w14:paraId="6A072DFC"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19.90</w:t>
            </w:r>
          </w:p>
        </w:tc>
      </w:tr>
      <w:tr w:rsidR="002062D3" w:rsidRPr="003B13E4" w14:paraId="03224D50"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2325D1E9"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5</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Zingiber officinale</w:t>
            </w:r>
          </w:p>
        </w:tc>
        <w:tc>
          <w:tcPr>
            <w:tcW w:w="2132" w:type="dxa"/>
            <w:tcBorders>
              <w:top w:val="nil"/>
              <w:left w:val="single" w:sz="8" w:space="0" w:color="auto"/>
              <w:bottom w:val="single" w:sz="8" w:space="0" w:color="auto"/>
              <w:right w:val="single" w:sz="8" w:space="0" w:color="auto"/>
            </w:tcBorders>
            <w:vAlign w:val="center"/>
          </w:tcPr>
          <w:p w14:paraId="7CF28BDE"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21.35</w:t>
            </w:r>
          </w:p>
        </w:tc>
        <w:tc>
          <w:tcPr>
            <w:tcW w:w="2079" w:type="dxa"/>
            <w:tcBorders>
              <w:top w:val="nil"/>
              <w:left w:val="single" w:sz="8" w:space="0" w:color="auto"/>
              <w:bottom w:val="single" w:sz="8" w:space="0" w:color="auto"/>
              <w:right w:val="single" w:sz="8" w:space="0" w:color="auto"/>
            </w:tcBorders>
            <w:vAlign w:val="center"/>
          </w:tcPr>
          <w:p w14:paraId="7FECB4A3"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21.25</w:t>
            </w:r>
          </w:p>
        </w:tc>
        <w:tc>
          <w:tcPr>
            <w:tcW w:w="2340" w:type="dxa"/>
            <w:tcBorders>
              <w:top w:val="nil"/>
              <w:left w:val="single" w:sz="8" w:space="0" w:color="auto"/>
              <w:bottom w:val="single" w:sz="8" w:space="0" w:color="auto"/>
              <w:right w:val="single" w:sz="8" w:space="0" w:color="auto"/>
            </w:tcBorders>
            <w:vAlign w:val="center"/>
          </w:tcPr>
          <w:p w14:paraId="36DACE1F"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26.70</w:t>
            </w:r>
          </w:p>
        </w:tc>
      </w:tr>
      <w:tr w:rsidR="002062D3" w:rsidRPr="003B13E4" w14:paraId="4135A43D"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55FCA591"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6</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Allium hookeri</w:t>
            </w:r>
          </w:p>
        </w:tc>
        <w:tc>
          <w:tcPr>
            <w:tcW w:w="2132" w:type="dxa"/>
            <w:tcBorders>
              <w:top w:val="nil"/>
              <w:left w:val="single" w:sz="8" w:space="0" w:color="auto"/>
              <w:bottom w:val="single" w:sz="8" w:space="0" w:color="auto"/>
              <w:right w:val="single" w:sz="8" w:space="0" w:color="auto"/>
            </w:tcBorders>
            <w:vAlign w:val="center"/>
          </w:tcPr>
          <w:p w14:paraId="58688BA9"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16.70</w:t>
            </w:r>
          </w:p>
        </w:tc>
        <w:tc>
          <w:tcPr>
            <w:tcW w:w="2079" w:type="dxa"/>
            <w:tcBorders>
              <w:top w:val="nil"/>
              <w:left w:val="single" w:sz="8" w:space="0" w:color="auto"/>
              <w:bottom w:val="single" w:sz="8" w:space="0" w:color="auto"/>
              <w:right w:val="single" w:sz="8" w:space="0" w:color="auto"/>
            </w:tcBorders>
            <w:vAlign w:val="center"/>
          </w:tcPr>
          <w:p w14:paraId="3DC2B706"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21.25</w:t>
            </w:r>
          </w:p>
        </w:tc>
        <w:tc>
          <w:tcPr>
            <w:tcW w:w="2340" w:type="dxa"/>
            <w:tcBorders>
              <w:top w:val="nil"/>
              <w:left w:val="single" w:sz="8" w:space="0" w:color="auto"/>
              <w:bottom w:val="single" w:sz="8" w:space="0" w:color="auto"/>
              <w:right w:val="single" w:sz="8" w:space="0" w:color="auto"/>
            </w:tcBorders>
            <w:vAlign w:val="center"/>
          </w:tcPr>
          <w:p w14:paraId="71F438D8"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25.00</w:t>
            </w:r>
          </w:p>
        </w:tc>
      </w:tr>
      <w:tr w:rsidR="002062D3" w:rsidRPr="003B13E4" w14:paraId="7780EEC5"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41EA960C"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7</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Ocimum sanctum</w:t>
            </w:r>
          </w:p>
        </w:tc>
        <w:tc>
          <w:tcPr>
            <w:tcW w:w="2132" w:type="dxa"/>
            <w:tcBorders>
              <w:top w:val="nil"/>
              <w:left w:val="single" w:sz="8" w:space="0" w:color="auto"/>
              <w:bottom w:val="single" w:sz="8" w:space="0" w:color="auto"/>
              <w:right w:val="single" w:sz="8" w:space="0" w:color="auto"/>
            </w:tcBorders>
            <w:vAlign w:val="center"/>
          </w:tcPr>
          <w:p w14:paraId="5F8B14B0"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22.35</w:t>
            </w:r>
          </w:p>
        </w:tc>
        <w:tc>
          <w:tcPr>
            <w:tcW w:w="2079" w:type="dxa"/>
            <w:tcBorders>
              <w:top w:val="nil"/>
              <w:left w:val="single" w:sz="8" w:space="0" w:color="auto"/>
              <w:bottom w:val="single" w:sz="8" w:space="0" w:color="auto"/>
              <w:right w:val="single" w:sz="8" w:space="0" w:color="auto"/>
            </w:tcBorders>
            <w:vAlign w:val="center"/>
          </w:tcPr>
          <w:p w14:paraId="75A584F7"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23.55</w:t>
            </w:r>
          </w:p>
        </w:tc>
        <w:tc>
          <w:tcPr>
            <w:tcW w:w="2340" w:type="dxa"/>
            <w:tcBorders>
              <w:top w:val="nil"/>
              <w:left w:val="single" w:sz="8" w:space="0" w:color="auto"/>
              <w:bottom w:val="single" w:sz="8" w:space="0" w:color="auto"/>
              <w:right w:val="single" w:sz="8" w:space="0" w:color="auto"/>
            </w:tcBorders>
            <w:vAlign w:val="center"/>
          </w:tcPr>
          <w:p w14:paraId="69EB008C"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27.35</w:t>
            </w:r>
          </w:p>
        </w:tc>
      </w:tr>
      <w:tr w:rsidR="002062D3" w:rsidRPr="003B13E4" w14:paraId="1219E692"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2854FBB2"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8</w:t>
            </w:r>
            <w:r w:rsidRPr="003B13E4">
              <w:rPr>
                <w:rFonts w:ascii="Arial" w:eastAsia="Times New Roman" w:hAnsi="Arial" w:cs="Arial"/>
                <w:color w:val="000000" w:themeColor="text1"/>
                <w:sz w:val="20"/>
                <w:szCs w:val="20"/>
              </w:rPr>
              <w:t xml:space="preserve"> -</w:t>
            </w:r>
            <w:r w:rsidRPr="003B13E4">
              <w:rPr>
                <w:rFonts w:ascii="Arial" w:eastAsia="Times New Roman" w:hAnsi="Arial" w:cs="Arial"/>
                <w:i/>
                <w:iCs/>
                <w:color w:val="000000" w:themeColor="text1"/>
                <w:sz w:val="20"/>
                <w:szCs w:val="20"/>
              </w:rPr>
              <w:t xml:space="preserve"> Mentha</w:t>
            </w:r>
            <w:r w:rsidRPr="003B13E4">
              <w:rPr>
                <w:rFonts w:ascii="Arial" w:eastAsia="Times New Roman" w:hAnsi="Arial" w:cs="Arial"/>
                <w:color w:val="000000" w:themeColor="text1"/>
                <w:sz w:val="20"/>
                <w:szCs w:val="20"/>
              </w:rPr>
              <w:t xml:space="preserve"> sp.</w:t>
            </w:r>
          </w:p>
        </w:tc>
        <w:tc>
          <w:tcPr>
            <w:tcW w:w="2132" w:type="dxa"/>
            <w:tcBorders>
              <w:top w:val="nil"/>
              <w:left w:val="single" w:sz="8" w:space="0" w:color="auto"/>
              <w:bottom w:val="single" w:sz="8" w:space="0" w:color="auto"/>
              <w:right w:val="single" w:sz="8" w:space="0" w:color="auto"/>
            </w:tcBorders>
            <w:vAlign w:val="center"/>
          </w:tcPr>
          <w:p w14:paraId="5F48A684"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20.30</w:t>
            </w:r>
          </w:p>
        </w:tc>
        <w:tc>
          <w:tcPr>
            <w:tcW w:w="2079" w:type="dxa"/>
            <w:tcBorders>
              <w:top w:val="nil"/>
              <w:left w:val="single" w:sz="8" w:space="0" w:color="auto"/>
              <w:bottom w:val="single" w:sz="8" w:space="0" w:color="auto"/>
              <w:right w:val="single" w:sz="8" w:space="0" w:color="auto"/>
            </w:tcBorders>
            <w:vAlign w:val="center"/>
          </w:tcPr>
          <w:p w14:paraId="01290168"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21.65</w:t>
            </w:r>
          </w:p>
        </w:tc>
        <w:tc>
          <w:tcPr>
            <w:tcW w:w="2340" w:type="dxa"/>
            <w:tcBorders>
              <w:top w:val="nil"/>
              <w:left w:val="single" w:sz="8" w:space="0" w:color="auto"/>
              <w:bottom w:val="single" w:sz="8" w:space="0" w:color="auto"/>
              <w:right w:val="single" w:sz="8" w:space="0" w:color="auto"/>
            </w:tcBorders>
            <w:vAlign w:val="center"/>
          </w:tcPr>
          <w:p w14:paraId="1D279207"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28.90</w:t>
            </w:r>
          </w:p>
        </w:tc>
      </w:tr>
      <w:tr w:rsidR="002062D3" w:rsidRPr="003B13E4" w14:paraId="5DA05E20" w14:textId="77777777" w:rsidTr="00EA428F">
        <w:trPr>
          <w:trHeight w:val="287"/>
        </w:trPr>
        <w:tc>
          <w:tcPr>
            <w:tcW w:w="2810" w:type="dxa"/>
            <w:tcBorders>
              <w:top w:val="nil"/>
              <w:left w:val="single" w:sz="8" w:space="0" w:color="auto"/>
              <w:bottom w:val="single" w:sz="8" w:space="0" w:color="auto"/>
              <w:right w:val="single" w:sz="8" w:space="0" w:color="auto"/>
            </w:tcBorders>
            <w:noWrap/>
            <w:vAlign w:val="center"/>
            <w:hideMark/>
          </w:tcPr>
          <w:p w14:paraId="06AF2DB8" w14:textId="77777777" w:rsidR="002062D3" w:rsidRPr="003B13E4" w:rsidRDefault="002062D3" w:rsidP="00023FE0">
            <w:pPr>
              <w:spacing w:after="0"/>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T</w:t>
            </w:r>
            <w:r w:rsidRPr="003B13E4">
              <w:rPr>
                <w:rFonts w:ascii="Arial" w:eastAsia="Times New Roman" w:hAnsi="Arial" w:cs="Arial"/>
                <w:color w:val="000000" w:themeColor="text1"/>
                <w:sz w:val="20"/>
                <w:szCs w:val="20"/>
                <w:vertAlign w:val="subscript"/>
              </w:rPr>
              <w:t>9</w:t>
            </w:r>
            <w:r w:rsidRPr="003B13E4">
              <w:rPr>
                <w:rFonts w:ascii="Arial" w:eastAsia="Times New Roman" w:hAnsi="Arial" w:cs="Arial"/>
                <w:color w:val="000000" w:themeColor="text1"/>
                <w:sz w:val="20"/>
                <w:szCs w:val="20"/>
              </w:rPr>
              <w:t xml:space="preserve"> - </w:t>
            </w:r>
            <w:r w:rsidRPr="003B13E4">
              <w:rPr>
                <w:rFonts w:ascii="Arial" w:eastAsia="Times New Roman" w:hAnsi="Arial" w:cs="Arial"/>
                <w:i/>
                <w:iCs/>
                <w:color w:val="000000" w:themeColor="text1"/>
                <w:sz w:val="20"/>
                <w:szCs w:val="20"/>
              </w:rPr>
              <w:t>Curcuma longa</w:t>
            </w:r>
          </w:p>
        </w:tc>
        <w:tc>
          <w:tcPr>
            <w:tcW w:w="2132" w:type="dxa"/>
            <w:tcBorders>
              <w:top w:val="nil"/>
              <w:left w:val="single" w:sz="8" w:space="0" w:color="auto"/>
              <w:bottom w:val="single" w:sz="8" w:space="0" w:color="auto"/>
              <w:right w:val="single" w:sz="8" w:space="0" w:color="auto"/>
            </w:tcBorders>
            <w:vAlign w:val="center"/>
          </w:tcPr>
          <w:p w14:paraId="0979B04B" w14:textId="77777777" w:rsidR="002062D3" w:rsidRPr="003B13E4" w:rsidRDefault="002062D3" w:rsidP="002062D3">
            <w:pPr>
              <w:spacing w:after="0"/>
              <w:jc w:val="center"/>
              <w:rPr>
                <w:rFonts w:ascii="Arial" w:eastAsia="Times New Roman" w:hAnsi="Arial" w:cs="Arial"/>
                <w:color w:val="000000" w:themeColor="text1"/>
                <w:sz w:val="20"/>
                <w:szCs w:val="20"/>
              </w:rPr>
            </w:pPr>
            <w:r w:rsidRPr="003B13E4">
              <w:rPr>
                <w:rFonts w:ascii="Arial" w:eastAsia="Times New Roman" w:hAnsi="Arial" w:cs="Arial"/>
                <w:color w:val="000000" w:themeColor="text1"/>
                <w:sz w:val="20"/>
                <w:szCs w:val="20"/>
              </w:rPr>
              <w:t>23.40</w:t>
            </w:r>
          </w:p>
        </w:tc>
        <w:tc>
          <w:tcPr>
            <w:tcW w:w="2079" w:type="dxa"/>
            <w:tcBorders>
              <w:top w:val="nil"/>
              <w:left w:val="single" w:sz="8" w:space="0" w:color="auto"/>
              <w:bottom w:val="single" w:sz="8" w:space="0" w:color="auto"/>
              <w:right w:val="single" w:sz="8" w:space="0" w:color="auto"/>
            </w:tcBorders>
            <w:vAlign w:val="center"/>
          </w:tcPr>
          <w:p w14:paraId="1C6CF12C"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23.85</w:t>
            </w:r>
          </w:p>
        </w:tc>
        <w:tc>
          <w:tcPr>
            <w:tcW w:w="2340" w:type="dxa"/>
            <w:tcBorders>
              <w:top w:val="nil"/>
              <w:left w:val="single" w:sz="8" w:space="0" w:color="auto"/>
              <w:bottom w:val="single" w:sz="8" w:space="0" w:color="auto"/>
              <w:right w:val="single" w:sz="8" w:space="0" w:color="auto"/>
            </w:tcBorders>
            <w:vAlign w:val="center"/>
          </w:tcPr>
          <w:p w14:paraId="1A6CDE7F" w14:textId="77777777" w:rsidR="002062D3" w:rsidRPr="003B13E4" w:rsidRDefault="002062D3" w:rsidP="002062D3">
            <w:pPr>
              <w:spacing w:after="0"/>
              <w:jc w:val="center"/>
              <w:rPr>
                <w:rFonts w:ascii="Arial" w:hAnsi="Arial" w:cs="Arial"/>
                <w:color w:val="000000" w:themeColor="text1"/>
                <w:sz w:val="20"/>
                <w:szCs w:val="20"/>
              </w:rPr>
            </w:pPr>
            <w:r w:rsidRPr="003B13E4">
              <w:rPr>
                <w:rFonts w:ascii="Arial" w:hAnsi="Arial" w:cs="Arial"/>
                <w:color w:val="000000" w:themeColor="text1"/>
                <w:sz w:val="20"/>
                <w:szCs w:val="20"/>
              </w:rPr>
              <w:t>30.25</w:t>
            </w:r>
          </w:p>
        </w:tc>
      </w:tr>
      <w:tr w:rsidR="002062D3" w:rsidRPr="003B13E4" w14:paraId="7C8F2407" w14:textId="77777777" w:rsidTr="00EA428F">
        <w:trPr>
          <w:trHeight w:val="251"/>
        </w:trPr>
        <w:tc>
          <w:tcPr>
            <w:tcW w:w="2810" w:type="dxa"/>
            <w:tcBorders>
              <w:top w:val="nil"/>
              <w:left w:val="single" w:sz="8" w:space="0" w:color="auto"/>
              <w:bottom w:val="single" w:sz="8" w:space="0" w:color="auto"/>
              <w:right w:val="single" w:sz="8" w:space="0" w:color="auto"/>
            </w:tcBorders>
            <w:noWrap/>
            <w:vAlign w:val="center"/>
            <w:hideMark/>
          </w:tcPr>
          <w:p w14:paraId="6C47EBB8" w14:textId="77777777"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F- test</w:t>
            </w:r>
          </w:p>
        </w:tc>
        <w:tc>
          <w:tcPr>
            <w:tcW w:w="2132" w:type="dxa"/>
            <w:tcBorders>
              <w:top w:val="nil"/>
              <w:left w:val="single" w:sz="8" w:space="0" w:color="auto"/>
              <w:bottom w:val="single" w:sz="8" w:space="0" w:color="auto"/>
              <w:right w:val="single" w:sz="8" w:space="0" w:color="auto"/>
            </w:tcBorders>
            <w:vAlign w:val="center"/>
          </w:tcPr>
          <w:p w14:paraId="1E2ADE31" w14:textId="77777777" w:rsidR="002062D3" w:rsidRPr="003B13E4" w:rsidRDefault="002062D3" w:rsidP="002062D3">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S</w:t>
            </w:r>
          </w:p>
        </w:tc>
        <w:tc>
          <w:tcPr>
            <w:tcW w:w="2079" w:type="dxa"/>
            <w:tcBorders>
              <w:top w:val="nil"/>
              <w:left w:val="single" w:sz="8" w:space="0" w:color="auto"/>
              <w:bottom w:val="single" w:sz="8" w:space="0" w:color="auto"/>
              <w:right w:val="single" w:sz="8" w:space="0" w:color="auto"/>
            </w:tcBorders>
            <w:vAlign w:val="center"/>
          </w:tcPr>
          <w:p w14:paraId="6D9ACA73" w14:textId="77777777"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S</w:t>
            </w:r>
          </w:p>
        </w:tc>
        <w:tc>
          <w:tcPr>
            <w:tcW w:w="2340" w:type="dxa"/>
            <w:tcBorders>
              <w:top w:val="nil"/>
              <w:left w:val="single" w:sz="8" w:space="0" w:color="auto"/>
              <w:bottom w:val="single" w:sz="8" w:space="0" w:color="auto"/>
              <w:right w:val="single" w:sz="8" w:space="0" w:color="auto"/>
            </w:tcBorders>
            <w:vAlign w:val="center"/>
          </w:tcPr>
          <w:p w14:paraId="66559702" w14:textId="77777777" w:rsidR="002062D3" w:rsidRPr="003B13E4" w:rsidRDefault="002062D3" w:rsidP="002062D3">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sz w:val="20"/>
                <w:szCs w:val="20"/>
              </w:rPr>
              <w:t>S</w:t>
            </w:r>
          </w:p>
        </w:tc>
      </w:tr>
      <w:tr w:rsidR="002062D3" w:rsidRPr="003B13E4" w14:paraId="32CDBD9D" w14:textId="77777777" w:rsidTr="00EA428F">
        <w:trPr>
          <w:trHeight w:val="251"/>
        </w:trPr>
        <w:tc>
          <w:tcPr>
            <w:tcW w:w="2810" w:type="dxa"/>
            <w:tcBorders>
              <w:top w:val="nil"/>
              <w:left w:val="single" w:sz="8" w:space="0" w:color="auto"/>
              <w:bottom w:val="single" w:sz="8" w:space="0" w:color="auto"/>
              <w:right w:val="single" w:sz="8" w:space="0" w:color="auto"/>
            </w:tcBorders>
            <w:noWrap/>
            <w:vAlign w:val="center"/>
            <w:hideMark/>
          </w:tcPr>
          <w:p w14:paraId="1A662DDC" w14:textId="77777777"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kern w:val="24"/>
                <w:sz w:val="20"/>
                <w:szCs w:val="20"/>
              </w:rPr>
              <w:t>S. Ed.  (±)</w:t>
            </w:r>
          </w:p>
        </w:tc>
        <w:tc>
          <w:tcPr>
            <w:tcW w:w="2132" w:type="dxa"/>
            <w:tcBorders>
              <w:top w:val="nil"/>
              <w:left w:val="single" w:sz="8" w:space="0" w:color="auto"/>
              <w:bottom w:val="single" w:sz="8" w:space="0" w:color="auto"/>
              <w:right w:val="single" w:sz="8" w:space="0" w:color="auto"/>
            </w:tcBorders>
            <w:vAlign w:val="center"/>
          </w:tcPr>
          <w:p w14:paraId="5CFA1A93" w14:textId="77777777" w:rsidR="002062D3" w:rsidRPr="003B13E4" w:rsidRDefault="002062D3" w:rsidP="002062D3">
            <w:pPr>
              <w:spacing w:after="0"/>
              <w:jc w:val="center"/>
              <w:rPr>
                <w:rFonts w:ascii="Arial" w:eastAsia="Times New Roman" w:hAnsi="Arial" w:cs="Arial"/>
                <w:b/>
                <w:color w:val="000000" w:themeColor="text1"/>
                <w:sz w:val="20"/>
                <w:szCs w:val="20"/>
              </w:rPr>
            </w:pPr>
            <w:r w:rsidRPr="003B13E4">
              <w:rPr>
                <w:rFonts w:ascii="Arial" w:eastAsia="Times New Roman" w:hAnsi="Arial" w:cs="Arial"/>
                <w:b/>
                <w:color w:val="000000" w:themeColor="text1"/>
                <w:sz w:val="20"/>
                <w:szCs w:val="20"/>
              </w:rPr>
              <w:t>1.63</w:t>
            </w:r>
          </w:p>
        </w:tc>
        <w:tc>
          <w:tcPr>
            <w:tcW w:w="2079" w:type="dxa"/>
            <w:tcBorders>
              <w:top w:val="nil"/>
              <w:left w:val="single" w:sz="8" w:space="0" w:color="auto"/>
              <w:bottom w:val="single" w:sz="8" w:space="0" w:color="auto"/>
              <w:right w:val="single" w:sz="8" w:space="0" w:color="auto"/>
            </w:tcBorders>
            <w:vAlign w:val="center"/>
          </w:tcPr>
          <w:p w14:paraId="01DA6873" w14:textId="77777777"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0.76</w:t>
            </w:r>
          </w:p>
        </w:tc>
        <w:tc>
          <w:tcPr>
            <w:tcW w:w="2340" w:type="dxa"/>
            <w:tcBorders>
              <w:top w:val="nil"/>
              <w:left w:val="single" w:sz="8" w:space="0" w:color="auto"/>
              <w:bottom w:val="single" w:sz="8" w:space="0" w:color="auto"/>
              <w:right w:val="single" w:sz="8" w:space="0" w:color="auto"/>
            </w:tcBorders>
            <w:vAlign w:val="center"/>
          </w:tcPr>
          <w:p w14:paraId="32E5BE99" w14:textId="77777777"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1.99</w:t>
            </w:r>
          </w:p>
        </w:tc>
      </w:tr>
      <w:tr w:rsidR="002062D3" w:rsidRPr="003B13E4" w14:paraId="5ABF9303" w14:textId="77777777" w:rsidTr="00EA428F">
        <w:trPr>
          <w:trHeight w:val="251"/>
        </w:trPr>
        <w:tc>
          <w:tcPr>
            <w:tcW w:w="2810" w:type="dxa"/>
            <w:tcBorders>
              <w:top w:val="nil"/>
              <w:left w:val="single" w:sz="8" w:space="0" w:color="auto"/>
              <w:bottom w:val="single" w:sz="8" w:space="0" w:color="auto"/>
              <w:right w:val="single" w:sz="8" w:space="0" w:color="auto"/>
            </w:tcBorders>
            <w:noWrap/>
            <w:vAlign w:val="center"/>
            <w:hideMark/>
          </w:tcPr>
          <w:p w14:paraId="19F00C33" w14:textId="77777777" w:rsidR="002062D3" w:rsidRPr="003B13E4" w:rsidRDefault="002062D3" w:rsidP="00023FE0">
            <w:pPr>
              <w:spacing w:after="0"/>
              <w:jc w:val="center"/>
              <w:rPr>
                <w:rFonts w:ascii="Arial" w:eastAsia="Times New Roman" w:hAnsi="Arial" w:cs="Arial"/>
                <w:b/>
                <w:bCs/>
                <w:color w:val="000000" w:themeColor="text1"/>
                <w:sz w:val="20"/>
                <w:szCs w:val="20"/>
              </w:rPr>
            </w:pPr>
            <w:r w:rsidRPr="003B13E4">
              <w:rPr>
                <w:rFonts w:ascii="Arial" w:eastAsia="Times New Roman" w:hAnsi="Arial" w:cs="Arial"/>
                <w:b/>
                <w:bCs/>
                <w:color w:val="000000" w:themeColor="text1"/>
                <w:kern w:val="24"/>
                <w:sz w:val="20"/>
                <w:szCs w:val="20"/>
              </w:rPr>
              <w:t>CD (5%)</w:t>
            </w:r>
          </w:p>
        </w:tc>
        <w:tc>
          <w:tcPr>
            <w:tcW w:w="2132" w:type="dxa"/>
            <w:tcBorders>
              <w:top w:val="nil"/>
              <w:left w:val="single" w:sz="8" w:space="0" w:color="auto"/>
              <w:bottom w:val="single" w:sz="8" w:space="0" w:color="auto"/>
              <w:right w:val="single" w:sz="8" w:space="0" w:color="auto"/>
            </w:tcBorders>
            <w:vAlign w:val="center"/>
          </w:tcPr>
          <w:p w14:paraId="2910C40A" w14:textId="77777777" w:rsidR="002062D3" w:rsidRPr="003B13E4" w:rsidRDefault="002062D3" w:rsidP="002062D3">
            <w:pPr>
              <w:spacing w:after="0"/>
              <w:jc w:val="center"/>
              <w:rPr>
                <w:rFonts w:ascii="Arial" w:eastAsia="Times New Roman" w:hAnsi="Arial" w:cs="Arial"/>
                <w:b/>
                <w:color w:val="000000" w:themeColor="text1"/>
                <w:sz w:val="20"/>
                <w:szCs w:val="20"/>
              </w:rPr>
            </w:pPr>
            <w:r w:rsidRPr="003B13E4">
              <w:rPr>
                <w:rFonts w:ascii="Arial" w:eastAsia="Times New Roman" w:hAnsi="Arial" w:cs="Arial"/>
                <w:b/>
                <w:color w:val="000000" w:themeColor="text1"/>
                <w:sz w:val="20"/>
                <w:szCs w:val="20"/>
              </w:rPr>
              <w:t>3.67</w:t>
            </w:r>
          </w:p>
        </w:tc>
        <w:tc>
          <w:tcPr>
            <w:tcW w:w="2079" w:type="dxa"/>
            <w:tcBorders>
              <w:top w:val="nil"/>
              <w:left w:val="single" w:sz="8" w:space="0" w:color="auto"/>
              <w:bottom w:val="single" w:sz="8" w:space="0" w:color="auto"/>
              <w:right w:val="single" w:sz="8" w:space="0" w:color="auto"/>
            </w:tcBorders>
            <w:vAlign w:val="center"/>
          </w:tcPr>
          <w:p w14:paraId="033D805D" w14:textId="77777777"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1.72</w:t>
            </w:r>
          </w:p>
        </w:tc>
        <w:tc>
          <w:tcPr>
            <w:tcW w:w="2340" w:type="dxa"/>
            <w:tcBorders>
              <w:top w:val="nil"/>
              <w:left w:val="single" w:sz="8" w:space="0" w:color="auto"/>
              <w:bottom w:val="single" w:sz="8" w:space="0" w:color="auto"/>
              <w:right w:val="single" w:sz="8" w:space="0" w:color="auto"/>
            </w:tcBorders>
            <w:vAlign w:val="center"/>
          </w:tcPr>
          <w:p w14:paraId="69722342" w14:textId="77777777" w:rsidR="002062D3" w:rsidRPr="003B13E4" w:rsidRDefault="002062D3" w:rsidP="002062D3">
            <w:pPr>
              <w:spacing w:after="0"/>
              <w:jc w:val="center"/>
              <w:rPr>
                <w:rFonts w:ascii="Arial" w:hAnsi="Arial" w:cs="Arial"/>
                <w:b/>
                <w:bCs/>
                <w:color w:val="000000" w:themeColor="text1"/>
                <w:sz w:val="20"/>
                <w:szCs w:val="20"/>
              </w:rPr>
            </w:pPr>
            <w:r w:rsidRPr="003B13E4">
              <w:rPr>
                <w:rFonts w:ascii="Arial" w:hAnsi="Arial" w:cs="Arial"/>
                <w:b/>
                <w:bCs/>
                <w:color w:val="000000" w:themeColor="text1"/>
                <w:sz w:val="20"/>
                <w:szCs w:val="20"/>
              </w:rPr>
              <w:t>4.49</w:t>
            </w:r>
          </w:p>
        </w:tc>
      </w:tr>
    </w:tbl>
    <w:p w14:paraId="0277CA7D" w14:textId="77777777" w:rsidR="00EA428F" w:rsidRPr="003B13E4" w:rsidRDefault="00EA428F" w:rsidP="009C168A">
      <w:pPr>
        <w:pStyle w:val="Heading2"/>
        <w:spacing w:line="360" w:lineRule="auto"/>
        <w:jc w:val="both"/>
        <w:rPr>
          <w:rFonts w:ascii="Arial" w:hAnsi="Arial" w:cs="Arial"/>
          <w:b/>
          <w:color w:val="000000" w:themeColor="text1"/>
          <w:sz w:val="20"/>
          <w:szCs w:val="20"/>
        </w:rPr>
      </w:pPr>
      <w:r w:rsidRPr="003B13E4">
        <w:rPr>
          <w:rFonts w:ascii="Arial" w:hAnsi="Arial" w:cs="Arial"/>
          <w:b/>
          <w:noProof/>
          <w:color w:val="000000" w:themeColor="text1"/>
          <w:sz w:val="20"/>
          <w:szCs w:val="20"/>
        </w:rPr>
        <w:drawing>
          <wp:inline distT="0" distB="0" distL="0" distR="0" wp14:anchorId="0C244CC2" wp14:editId="67A16E8A">
            <wp:extent cx="6003681" cy="2945423"/>
            <wp:effectExtent l="19050" t="0" r="16119" b="7327"/>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89FBC35" w14:textId="3B5859F0" w:rsidR="00EA428F" w:rsidRPr="003B13E4" w:rsidRDefault="00EA428F" w:rsidP="00EA428F">
      <w:pPr>
        <w:pStyle w:val="BodyText"/>
        <w:jc w:val="center"/>
        <w:rPr>
          <w:rFonts w:ascii="Arial" w:hAnsi="Arial" w:cs="Arial"/>
          <w:b/>
          <w:color w:val="000000" w:themeColor="text1"/>
          <w:sz w:val="20"/>
          <w:szCs w:val="20"/>
        </w:rPr>
      </w:pPr>
      <w:r w:rsidRPr="003B13E4">
        <w:rPr>
          <w:rFonts w:ascii="Arial" w:hAnsi="Arial" w:cs="Arial"/>
          <w:b/>
          <w:color w:val="000000" w:themeColor="text1"/>
          <w:sz w:val="20"/>
          <w:szCs w:val="20"/>
        </w:rPr>
        <w:t>Fig</w:t>
      </w:r>
      <w:proofErr w:type="gramStart"/>
      <w:r w:rsidR="00FF263E">
        <w:rPr>
          <w:rFonts w:ascii="Arial" w:hAnsi="Arial" w:cs="Arial"/>
          <w:b/>
          <w:color w:val="000000" w:themeColor="text1"/>
          <w:sz w:val="20"/>
          <w:szCs w:val="20"/>
        </w:rPr>
        <w:t>1</w:t>
      </w:r>
      <w:r w:rsidRPr="003B13E4">
        <w:rPr>
          <w:rFonts w:ascii="Arial" w:hAnsi="Arial" w:cs="Arial"/>
          <w:b/>
          <w:color w:val="000000" w:themeColor="text1"/>
          <w:sz w:val="20"/>
          <w:szCs w:val="20"/>
        </w:rPr>
        <w:t xml:space="preserve"> :</w:t>
      </w:r>
      <w:proofErr w:type="gramEnd"/>
      <w:r w:rsidRPr="003B13E4">
        <w:rPr>
          <w:rFonts w:ascii="Arial" w:hAnsi="Arial" w:cs="Arial"/>
          <w:b/>
          <w:color w:val="000000" w:themeColor="text1"/>
          <w:sz w:val="20"/>
          <w:szCs w:val="20"/>
        </w:rPr>
        <w:t xml:space="preserve"> Effect of treatments on the growth parameters of oyster mushroom (</w:t>
      </w:r>
      <w:r w:rsidRPr="003B13E4">
        <w:rPr>
          <w:rFonts w:ascii="Arial" w:hAnsi="Arial" w:cs="Arial"/>
          <w:b/>
          <w:i/>
          <w:iCs/>
          <w:color w:val="000000" w:themeColor="text1"/>
          <w:sz w:val="20"/>
          <w:szCs w:val="20"/>
        </w:rPr>
        <w:t>Pleurotus ostreatus</w:t>
      </w:r>
      <w:r w:rsidRPr="003B13E4">
        <w:rPr>
          <w:rFonts w:ascii="Arial" w:hAnsi="Arial" w:cs="Arial"/>
          <w:b/>
          <w:color w:val="000000" w:themeColor="text1"/>
          <w:sz w:val="20"/>
          <w:szCs w:val="20"/>
        </w:rPr>
        <w:t>)</w:t>
      </w:r>
    </w:p>
    <w:p w14:paraId="330409D6" w14:textId="77777777" w:rsidR="00C25A7B" w:rsidRPr="003B13E4" w:rsidRDefault="00BF77CA" w:rsidP="009C168A">
      <w:pPr>
        <w:pStyle w:val="Heading2"/>
        <w:spacing w:line="360" w:lineRule="auto"/>
        <w:jc w:val="both"/>
        <w:rPr>
          <w:rFonts w:ascii="Arial" w:hAnsi="Arial" w:cs="Arial"/>
          <w:b/>
          <w:color w:val="000000" w:themeColor="text1"/>
          <w:sz w:val="20"/>
          <w:szCs w:val="20"/>
        </w:rPr>
      </w:pPr>
      <w:r w:rsidRPr="003B13E4">
        <w:rPr>
          <w:rFonts w:ascii="Arial" w:hAnsi="Arial" w:cs="Arial"/>
          <w:b/>
          <w:color w:val="000000" w:themeColor="text1"/>
          <w:sz w:val="20"/>
          <w:szCs w:val="20"/>
        </w:rPr>
        <w:lastRenderedPageBreak/>
        <w:t>DISCUSSION</w:t>
      </w:r>
    </w:p>
    <w:p w14:paraId="3CFA1349" w14:textId="77777777"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present study clearly demonstrates that botanical amendments to the substrate exert a significant influence on the entire developmental trajectory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In particular, treatments incorporating </w:t>
      </w:r>
      <w:r w:rsidRPr="003B13E4">
        <w:rPr>
          <w:rFonts w:ascii="Arial" w:hAnsi="Arial" w:cs="Arial"/>
          <w:i/>
          <w:iCs/>
          <w:color w:val="000000" w:themeColor="text1"/>
          <w:sz w:val="20"/>
          <w:szCs w:val="20"/>
        </w:rPr>
        <w:t xml:space="preserve">Allium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and other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species consistently accelerated spawn colonization, primordia initiation and fruiting body maturation relative to the unamended control.</w:t>
      </w:r>
    </w:p>
    <w:p w14:paraId="60C2A85E" w14:textId="77777777"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superior performance of </w:t>
      </w:r>
      <w:r w:rsidRPr="003B13E4">
        <w:rPr>
          <w:rFonts w:ascii="Arial" w:hAnsi="Arial" w:cs="Arial"/>
          <w:i/>
          <w:iCs/>
          <w:color w:val="000000" w:themeColor="text1"/>
          <w:sz w:val="20"/>
          <w:szCs w:val="20"/>
        </w:rPr>
        <w:t>Allium</w:t>
      </w:r>
      <w:r w:rsidRPr="003B13E4">
        <w:rPr>
          <w:rFonts w:ascii="Arial" w:hAnsi="Arial" w:cs="Arial"/>
          <w:color w:val="000000" w:themeColor="text1"/>
          <w:sz w:val="20"/>
          <w:szCs w:val="20"/>
        </w:rPr>
        <w:t xml:space="preserve"> spp. can plausibly be ascribed to their richness in organosulfur compounds, such as allicin, diallyl disulfide, and related </w:t>
      </w:r>
      <w:proofErr w:type="spellStart"/>
      <w:r w:rsidRPr="003B13E4">
        <w:rPr>
          <w:rFonts w:ascii="Arial" w:hAnsi="Arial" w:cs="Arial"/>
          <w:color w:val="000000" w:themeColor="text1"/>
          <w:sz w:val="20"/>
          <w:szCs w:val="20"/>
        </w:rPr>
        <w:t>thiosulfinates</w:t>
      </w:r>
      <w:proofErr w:type="spellEnd"/>
      <w:r w:rsidRPr="003B13E4">
        <w:rPr>
          <w:rFonts w:ascii="Arial" w:hAnsi="Arial" w:cs="Arial"/>
          <w:color w:val="000000" w:themeColor="text1"/>
          <w:sz w:val="20"/>
          <w:szCs w:val="20"/>
        </w:rPr>
        <w:t xml:space="preserve">, which are well documented to exert diverse bioactivities (e.g. antimicrobial, redox modulatory, enzyme-activating) in plant and microbial systems (Jikah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2023). While allicin is often studied for its inhibitory effects on pathogenic fungi (e.g. as an antifungal agent), at appropriately low concentrations in a substrate matrix it may act as a mild elicitor, stimulating adaptive metabolic responses in the mushroom mycelium without exerting outright toxicity</w:t>
      </w:r>
      <w:r w:rsidR="007C6506" w:rsidRPr="003B13E4">
        <w:rPr>
          <w:rFonts w:ascii="Arial" w:hAnsi="Arial" w:cs="Arial"/>
          <w:color w:val="000000" w:themeColor="text1"/>
          <w:sz w:val="20"/>
          <w:szCs w:val="20"/>
        </w:rPr>
        <w:t xml:space="preserve"> </w:t>
      </w:r>
      <w:r w:rsidR="00A03A8B" w:rsidRPr="003B13E4">
        <w:rPr>
          <w:rFonts w:ascii="Arial" w:hAnsi="Arial" w:cs="Arial"/>
          <w:color w:val="000000" w:themeColor="text1"/>
          <w:sz w:val="20"/>
          <w:szCs w:val="20"/>
        </w:rPr>
        <w:t xml:space="preserve">(Sarfraz </w:t>
      </w:r>
      <w:r w:rsidR="00A03A8B" w:rsidRPr="003B13E4">
        <w:rPr>
          <w:rFonts w:ascii="Arial" w:hAnsi="Arial" w:cs="Arial"/>
          <w:i/>
          <w:color w:val="000000" w:themeColor="text1"/>
          <w:sz w:val="20"/>
          <w:szCs w:val="20"/>
        </w:rPr>
        <w:t>et al.,</w:t>
      </w:r>
      <w:r w:rsidR="00A03A8B" w:rsidRPr="003B13E4">
        <w:rPr>
          <w:rFonts w:ascii="Arial" w:hAnsi="Arial" w:cs="Arial"/>
          <w:color w:val="000000" w:themeColor="text1"/>
          <w:sz w:val="20"/>
          <w:szCs w:val="20"/>
        </w:rPr>
        <w:t xml:space="preserve"> 2020). </w:t>
      </w:r>
      <w:r w:rsidRPr="003B13E4">
        <w:rPr>
          <w:rFonts w:ascii="Arial" w:hAnsi="Arial" w:cs="Arial"/>
          <w:color w:val="000000" w:themeColor="text1"/>
          <w:sz w:val="20"/>
          <w:szCs w:val="20"/>
        </w:rPr>
        <w:t>In such a scenario, the presence of sulfur compounds could drive upregulation of key oxidative enzymes, enhance sulfur metabolism, or prime stress-response pathways, thereby improving hyphal vigor and speed of colonization</w:t>
      </w:r>
      <w:r w:rsidR="00A03A8B" w:rsidRPr="003B13E4">
        <w:rPr>
          <w:rFonts w:ascii="Arial" w:hAnsi="Arial" w:cs="Arial"/>
          <w:color w:val="000000" w:themeColor="text1"/>
          <w:sz w:val="20"/>
          <w:szCs w:val="20"/>
        </w:rPr>
        <w:t xml:space="preserve"> </w:t>
      </w:r>
    </w:p>
    <w:p w14:paraId="26C1F79D" w14:textId="77777777"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Neem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likewise offers a spectrum of bioactive molecules — notably </w:t>
      </w:r>
      <w:proofErr w:type="spellStart"/>
      <w:r w:rsidRPr="003B13E4">
        <w:rPr>
          <w:rFonts w:ascii="Arial" w:hAnsi="Arial" w:cs="Arial"/>
          <w:color w:val="000000" w:themeColor="text1"/>
          <w:sz w:val="20"/>
          <w:szCs w:val="20"/>
        </w:rPr>
        <w:t>azadirachtin</w:t>
      </w:r>
      <w:proofErr w:type="spellEnd"/>
      <w:r w:rsidRPr="003B13E4">
        <w:rPr>
          <w:rFonts w:ascii="Arial" w:hAnsi="Arial" w:cs="Arial"/>
          <w:color w:val="000000" w:themeColor="text1"/>
          <w:sz w:val="20"/>
          <w:szCs w:val="20"/>
        </w:rPr>
        <w:t xml:space="preserve">, limonoids, </w:t>
      </w:r>
      <w:proofErr w:type="spellStart"/>
      <w:r w:rsidRPr="003B13E4">
        <w:rPr>
          <w:rFonts w:ascii="Arial" w:hAnsi="Arial" w:cs="Arial"/>
          <w:color w:val="000000" w:themeColor="text1"/>
          <w:sz w:val="20"/>
          <w:szCs w:val="20"/>
        </w:rPr>
        <w:t>salannin</w:t>
      </w:r>
      <w:proofErr w:type="spellEnd"/>
      <w:r w:rsidRPr="003B13E4">
        <w:rPr>
          <w:rFonts w:ascii="Arial" w:hAnsi="Arial" w:cs="Arial"/>
          <w:color w:val="000000" w:themeColor="text1"/>
          <w:sz w:val="20"/>
          <w:szCs w:val="20"/>
        </w:rPr>
        <w:t xml:space="preserve">, </w:t>
      </w:r>
      <w:proofErr w:type="spellStart"/>
      <w:r w:rsidRPr="003B13E4">
        <w:rPr>
          <w:rFonts w:ascii="Arial" w:hAnsi="Arial" w:cs="Arial"/>
          <w:color w:val="000000" w:themeColor="text1"/>
          <w:sz w:val="20"/>
          <w:szCs w:val="20"/>
        </w:rPr>
        <w:t>nimbin</w:t>
      </w:r>
      <w:proofErr w:type="spellEnd"/>
      <w:r w:rsidRPr="003B13E4">
        <w:rPr>
          <w:rFonts w:ascii="Arial" w:hAnsi="Arial" w:cs="Arial"/>
          <w:color w:val="000000" w:themeColor="text1"/>
          <w:sz w:val="20"/>
          <w:szCs w:val="20"/>
        </w:rPr>
        <w:t xml:space="preserve"> and related triterpenoids — which are widely recognized in plant protection and microbe–plant interface contexts (Vera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 These compounds may mediate indirect beneficial effects in a mushroom substrate by suppressing opportunistic contaminants or microbial competitors, thus giving </w:t>
      </w:r>
      <w:r w:rsidRPr="003B13E4">
        <w:rPr>
          <w:rFonts w:ascii="Arial" w:hAnsi="Arial" w:cs="Arial"/>
          <w:i/>
          <w:iCs/>
          <w:color w:val="000000" w:themeColor="text1"/>
          <w:sz w:val="20"/>
          <w:szCs w:val="20"/>
        </w:rPr>
        <w:t>P. ostreatus</w:t>
      </w:r>
      <w:r w:rsidRPr="003B13E4">
        <w:rPr>
          <w:rFonts w:ascii="Arial" w:hAnsi="Arial" w:cs="Arial"/>
          <w:color w:val="000000" w:themeColor="text1"/>
          <w:sz w:val="20"/>
          <w:szCs w:val="20"/>
        </w:rPr>
        <w:t xml:space="preserve"> mycelium a competitive advantage. Under reduced microbial load, the mushroom’s vegetative growth phase may proceed more efficiently, allowing a shorter colonization period</w:t>
      </w:r>
      <w:r w:rsidR="00A03A8B" w:rsidRPr="003B13E4">
        <w:rPr>
          <w:rFonts w:ascii="Arial" w:hAnsi="Arial" w:cs="Arial"/>
          <w:color w:val="000000" w:themeColor="text1"/>
          <w:sz w:val="20"/>
          <w:szCs w:val="20"/>
        </w:rPr>
        <w:t xml:space="preserve"> (Sánchez, 2010)</w:t>
      </w:r>
      <w:r w:rsidRPr="003B13E4">
        <w:rPr>
          <w:rFonts w:ascii="Arial" w:hAnsi="Arial" w:cs="Arial"/>
          <w:color w:val="000000" w:themeColor="text1"/>
          <w:sz w:val="20"/>
          <w:szCs w:val="20"/>
        </w:rPr>
        <w:t>. Further, some neem metabolites might act as mild growth stimulants or signaling molecules, optimizing nutrient uptake or enzyme secretion during lignocellulose degradation.</w:t>
      </w:r>
    </w:p>
    <w:p w14:paraId="7A45173A" w14:textId="77777777" w:rsidR="00577471" w:rsidRPr="003B13E4" w:rsidRDefault="00577471"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Beyond signaling roles or antimicrobial “clean-up,” botanicals may act directly as </w:t>
      </w:r>
      <w:r w:rsidRPr="003B13E4">
        <w:rPr>
          <w:rFonts w:ascii="Arial" w:hAnsi="Arial" w:cs="Arial"/>
          <w:bCs/>
          <w:color w:val="000000" w:themeColor="text1"/>
          <w:sz w:val="20"/>
          <w:szCs w:val="20"/>
        </w:rPr>
        <w:t>nutrient supplements</w:t>
      </w:r>
      <w:r w:rsidRPr="003B13E4">
        <w:rPr>
          <w:rFonts w:ascii="Arial" w:hAnsi="Arial" w:cs="Arial"/>
          <w:color w:val="000000" w:themeColor="text1"/>
          <w:sz w:val="20"/>
          <w:szCs w:val="20"/>
        </w:rPr>
        <w:t>. Plant-derived powders or extracts contribute a pool of soluble carbohydrates (e.g. sugars, oligosaccharides), trace elements (e.g. K, Mg, Fe), amino acids or peptides, and phenolic/phenolic glycosides</w:t>
      </w:r>
      <w:r w:rsidR="00BD32E0" w:rsidRPr="003B13E4">
        <w:rPr>
          <w:rFonts w:ascii="Arial" w:hAnsi="Arial" w:cs="Arial"/>
          <w:color w:val="000000" w:themeColor="text1"/>
          <w:sz w:val="20"/>
          <w:szCs w:val="20"/>
        </w:rPr>
        <w:t xml:space="preserve"> (</w:t>
      </w:r>
      <w:proofErr w:type="spellStart"/>
      <w:r w:rsidR="00BD32E0" w:rsidRPr="003B13E4">
        <w:rPr>
          <w:rFonts w:ascii="Arial" w:hAnsi="Arial" w:cs="Arial"/>
          <w:color w:val="000000" w:themeColor="text1"/>
          <w:sz w:val="20"/>
          <w:szCs w:val="20"/>
        </w:rPr>
        <w:t>Kalač</w:t>
      </w:r>
      <w:proofErr w:type="spellEnd"/>
      <w:r w:rsidR="00BD32E0" w:rsidRPr="003B13E4">
        <w:rPr>
          <w:rFonts w:ascii="Arial" w:hAnsi="Arial" w:cs="Arial"/>
          <w:color w:val="000000" w:themeColor="text1"/>
          <w:sz w:val="20"/>
          <w:szCs w:val="20"/>
        </w:rPr>
        <w:t xml:space="preserve">, 2016; </w:t>
      </w:r>
      <w:proofErr w:type="spellStart"/>
      <w:r w:rsidR="00BD32E0" w:rsidRPr="003B13E4">
        <w:rPr>
          <w:rFonts w:ascii="Arial" w:hAnsi="Arial" w:cs="Arial"/>
          <w:color w:val="000000" w:themeColor="text1"/>
          <w:sz w:val="20"/>
          <w:szCs w:val="20"/>
        </w:rPr>
        <w:t>Bellettini</w:t>
      </w:r>
      <w:proofErr w:type="spellEnd"/>
      <w:r w:rsidR="00BD32E0" w:rsidRPr="003B13E4">
        <w:rPr>
          <w:rFonts w:ascii="Arial" w:hAnsi="Arial" w:cs="Arial"/>
          <w:color w:val="000000" w:themeColor="text1"/>
          <w:sz w:val="20"/>
          <w:szCs w:val="20"/>
        </w:rPr>
        <w:t xml:space="preserve"> </w:t>
      </w:r>
      <w:r w:rsidR="00BD32E0" w:rsidRPr="003B13E4">
        <w:rPr>
          <w:rFonts w:ascii="Arial" w:hAnsi="Arial" w:cs="Arial"/>
          <w:i/>
          <w:color w:val="000000" w:themeColor="text1"/>
          <w:sz w:val="20"/>
          <w:szCs w:val="20"/>
        </w:rPr>
        <w:t>et al.,</w:t>
      </w:r>
      <w:r w:rsidR="00BD32E0" w:rsidRPr="003B13E4">
        <w:rPr>
          <w:rFonts w:ascii="Arial" w:hAnsi="Arial" w:cs="Arial"/>
          <w:color w:val="000000" w:themeColor="text1"/>
          <w:sz w:val="20"/>
          <w:szCs w:val="20"/>
        </w:rPr>
        <w:t xml:space="preserve"> 2019; Mkhize </w:t>
      </w:r>
      <w:r w:rsidR="00BD32E0" w:rsidRPr="003B13E4">
        <w:rPr>
          <w:rFonts w:ascii="Arial" w:hAnsi="Arial" w:cs="Arial"/>
          <w:i/>
          <w:color w:val="000000" w:themeColor="text1"/>
          <w:sz w:val="20"/>
          <w:szCs w:val="20"/>
        </w:rPr>
        <w:t>et al.,</w:t>
      </w:r>
      <w:r w:rsidR="00BD32E0" w:rsidRPr="003B13E4">
        <w:rPr>
          <w:rFonts w:ascii="Arial" w:hAnsi="Arial" w:cs="Arial"/>
          <w:color w:val="000000" w:themeColor="text1"/>
          <w:sz w:val="20"/>
          <w:szCs w:val="20"/>
        </w:rPr>
        <w:t xml:space="preserve"> 2022)</w:t>
      </w:r>
      <w:r w:rsidRPr="003B13E4">
        <w:rPr>
          <w:rFonts w:ascii="Arial" w:hAnsi="Arial" w:cs="Arial"/>
          <w:color w:val="000000" w:themeColor="text1"/>
          <w:sz w:val="20"/>
          <w:szCs w:val="20"/>
        </w:rPr>
        <w:t xml:space="preserve">. These compounds can act as co-substrates or cofactors, stimulating enzymatic systems responsible for breakdown of cellulose, hemicellulose and lignin. This in turn accelerates nutrient mobilization and supports a more rapid shift from vegetative to reproductive development. In the literature, substrate supplementation (e.g. with bran, legume wastes, or organic amendments) has been shown to reduce incubation time and enhance yield in </w:t>
      </w:r>
      <w:r w:rsidRPr="003B13E4">
        <w:rPr>
          <w:rFonts w:ascii="Arial" w:hAnsi="Arial" w:cs="Arial"/>
          <w:i/>
          <w:iCs/>
          <w:color w:val="000000" w:themeColor="text1"/>
          <w:sz w:val="20"/>
          <w:szCs w:val="20"/>
        </w:rPr>
        <w:t>P. ostreatus</w:t>
      </w:r>
      <w:r w:rsidRPr="003B13E4">
        <w:rPr>
          <w:rFonts w:ascii="Arial" w:hAnsi="Arial" w:cs="Arial"/>
          <w:color w:val="000000" w:themeColor="text1"/>
          <w:sz w:val="20"/>
          <w:szCs w:val="20"/>
        </w:rPr>
        <w:t xml:space="preserve"> and related species (Mkhize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w:t>
      </w:r>
      <w:r w:rsidR="007C6506" w:rsidRPr="003B13E4">
        <w:rPr>
          <w:rFonts w:ascii="Arial" w:hAnsi="Arial" w:cs="Arial"/>
          <w:color w:val="000000" w:themeColor="text1"/>
          <w:sz w:val="20"/>
          <w:szCs w:val="20"/>
        </w:rPr>
        <w:t xml:space="preserve">). </w:t>
      </w:r>
      <w:r w:rsidRPr="003B13E4">
        <w:rPr>
          <w:rFonts w:ascii="Arial" w:hAnsi="Arial" w:cs="Arial"/>
          <w:color w:val="000000" w:themeColor="text1"/>
          <w:sz w:val="20"/>
          <w:szCs w:val="20"/>
        </w:rPr>
        <w:t xml:space="preserve">A specific recent study found that the addition of organic/inorganic supplements to oyster mushroom substrate significantly influenced growth and yield, shortening incubation periods (Mistry and Parmar, 2024) </w:t>
      </w:r>
    </w:p>
    <w:p w14:paraId="4798FA11" w14:textId="77777777" w:rsidR="00577471" w:rsidRPr="003B13E4" w:rsidRDefault="00577471" w:rsidP="00577471">
      <w:pPr>
        <w:pStyle w:val="BodyText"/>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In contrast, botanical treatments such as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(turmeric) and </w:t>
      </w:r>
      <w:r w:rsidRPr="003B13E4">
        <w:rPr>
          <w:rFonts w:ascii="Arial" w:hAnsi="Arial" w:cs="Arial"/>
          <w:i/>
          <w:iCs/>
          <w:color w:val="000000" w:themeColor="text1"/>
          <w:sz w:val="20"/>
          <w:szCs w:val="20"/>
        </w:rPr>
        <w:t>Zingiber officinale</w:t>
      </w:r>
      <w:r w:rsidRPr="003B13E4">
        <w:rPr>
          <w:rFonts w:ascii="Arial" w:hAnsi="Arial" w:cs="Arial"/>
          <w:color w:val="000000" w:themeColor="text1"/>
          <w:sz w:val="20"/>
          <w:szCs w:val="20"/>
        </w:rPr>
        <w:t xml:space="preserve"> (ginger), though rich in beneficial phytochemicals (curcuminoids, gingerols, shogaols), exhibited relatively delayed responses in this study. It is possible that at the concentrations employed, their potent bioactive constituents exerted mild inhibitory or growth retardation effects on the fungal metabolism or enzyme </w:t>
      </w:r>
      <w:r w:rsidRPr="003B13E4">
        <w:rPr>
          <w:rFonts w:ascii="Arial" w:hAnsi="Arial" w:cs="Arial"/>
          <w:color w:val="000000" w:themeColor="text1"/>
          <w:sz w:val="20"/>
          <w:szCs w:val="20"/>
        </w:rPr>
        <w:lastRenderedPageBreak/>
        <w:t xml:space="preserve">systems. For example, curcumin and related phenolic compounds can act as antioxidants or enzyme inhibitors in certain contexts, possibly interfering with oxidative enzyme activity or microbial respiration when present in excess. Chen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(2018) have cautioned that high levels of certain phytochemicals may partially inhibit fungal physiology rather than stimulate it. Similarly, </w:t>
      </w:r>
      <w:r w:rsidRPr="003B13E4">
        <w:rPr>
          <w:rFonts w:ascii="Arial" w:hAnsi="Arial" w:cs="Arial"/>
          <w:i/>
          <w:iCs/>
          <w:color w:val="000000" w:themeColor="text1"/>
          <w:sz w:val="20"/>
          <w:szCs w:val="20"/>
        </w:rPr>
        <w:t>Ocimum sanctum</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Mentha</w:t>
      </w:r>
      <w:r w:rsidRPr="003B13E4">
        <w:rPr>
          <w:rFonts w:ascii="Arial" w:hAnsi="Arial" w:cs="Arial"/>
          <w:color w:val="000000" w:themeColor="text1"/>
          <w:sz w:val="20"/>
          <w:szCs w:val="20"/>
        </w:rPr>
        <w:t xml:space="preserve"> spp., and </w:t>
      </w:r>
      <w:r w:rsidRPr="003B13E4">
        <w:rPr>
          <w:rFonts w:ascii="Arial" w:hAnsi="Arial" w:cs="Arial"/>
          <w:i/>
          <w:iCs/>
          <w:color w:val="000000" w:themeColor="text1"/>
          <w:sz w:val="20"/>
          <w:szCs w:val="20"/>
        </w:rPr>
        <w:t xml:space="preserve">Solanum </w:t>
      </w:r>
      <w:proofErr w:type="spellStart"/>
      <w:r w:rsidRPr="003B13E4">
        <w:rPr>
          <w:rFonts w:ascii="Arial" w:hAnsi="Arial" w:cs="Arial"/>
          <w:i/>
          <w:iCs/>
          <w:color w:val="000000" w:themeColor="text1"/>
          <w:sz w:val="20"/>
          <w:szCs w:val="20"/>
        </w:rPr>
        <w:t>aethiopicum</w:t>
      </w:r>
      <w:proofErr w:type="spellEnd"/>
      <w:r w:rsidRPr="003B13E4">
        <w:rPr>
          <w:rFonts w:ascii="Arial" w:hAnsi="Arial" w:cs="Arial"/>
          <w:color w:val="000000" w:themeColor="text1"/>
          <w:sz w:val="20"/>
          <w:szCs w:val="20"/>
        </w:rPr>
        <w:t xml:space="preserve"> showed intermediate efficacy — a reflection of their moderate concentrations of bioactive metabolites which may stimulate or inhibit growth depending on dose and context. These findings align with and extend prior reports in the literature (</w:t>
      </w:r>
      <w:proofErr w:type="spellStart"/>
      <w:r w:rsidRPr="003B13E4">
        <w:rPr>
          <w:rFonts w:ascii="Arial" w:hAnsi="Arial" w:cs="Arial"/>
          <w:color w:val="000000" w:themeColor="text1"/>
          <w:sz w:val="20"/>
          <w:szCs w:val="20"/>
        </w:rPr>
        <w:t>Bellettini</w:t>
      </w:r>
      <w:proofErr w:type="spellEnd"/>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2019; Kumar </w:t>
      </w:r>
      <w:r w:rsidRPr="003B13E4">
        <w:rPr>
          <w:rFonts w:ascii="Arial" w:hAnsi="Arial" w:cs="Arial"/>
          <w:i/>
          <w:color w:val="000000" w:themeColor="text1"/>
          <w:sz w:val="20"/>
          <w:szCs w:val="20"/>
        </w:rPr>
        <w:t>et al.,</w:t>
      </w:r>
      <w:r w:rsidRPr="003B13E4">
        <w:rPr>
          <w:rFonts w:ascii="Arial" w:hAnsi="Arial" w:cs="Arial"/>
          <w:color w:val="000000" w:themeColor="text1"/>
          <w:sz w:val="20"/>
          <w:szCs w:val="20"/>
        </w:rPr>
        <w:t xml:space="preserve"> 2022) and underscore the potential of botanicals as sustainable, low-cost bio-additives for accelerating mushroom productivity in applied cultivation systems.</w:t>
      </w:r>
    </w:p>
    <w:p w14:paraId="52BE2A87" w14:textId="77777777" w:rsidR="00BF77CA" w:rsidRPr="003B13E4" w:rsidRDefault="00BF77CA" w:rsidP="00577471">
      <w:pPr>
        <w:pStyle w:val="BodyText"/>
        <w:spacing w:before="0" w:after="0" w:line="360" w:lineRule="auto"/>
        <w:jc w:val="both"/>
        <w:rPr>
          <w:rFonts w:ascii="Arial" w:hAnsi="Arial" w:cs="Arial"/>
          <w:color w:val="000000" w:themeColor="text1"/>
          <w:sz w:val="20"/>
          <w:szCs w:val="20"/>
        </w:rPr>
      </w:pPr>
      <w:r w:rsidRPr="003B13E4">
        <w:rPr>
          <w:rFonts w:ascii="Arial" w:hAnsi="Arial" w:cs="Arial"/>
          <w:b/>
          <w:color w:val="000000" w:themeColor="text1"/>
          <w:sz w:val="20"/>
          <w:szCs w:val="20"/>
        </w:rPr>
        <w:t>CONCLUSION</w:t>
      </w:r>
    </w:p>
    <w:p w14:paraId="64725A67" w14:textId="77777777" w:rsidR="00023FE0" w:rsidRPr="003B13E4" w:rsidRDefault="00023FE0" w:rsidP="00023FE0">
      <w:pPr>
        <w:pStyle w:val="FirstParagraph"/>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The present investigation provides strong evidence that the incorporation of botanicals into the cultivation substrate exerts a significant positive impact on the growth and developmental cycle of </w:t>
      </w:r>
      <w:r w:rsidRPr="003B13E4">
        <w:rPr>
          <w:rFonts w:ascii="Arial" w:hAnsi="Arial" w:cs="Arial"/>
          <w:i/>
          <w:iCs/>
          <w:color w:val="000000" w:themeColor="text1"/>
          <w:sz w:val="20"/>
          <w:szCs w:val="20"/>
        </w:rPr>
        <w:t>Pleurotus ostreatus</w:t>
      </w:r>
      <w:r w:rsidRPr="003B13E4">
        <w:rPr>
          <w:rFonts w:ascii="Arial" w:hAnsi="Arial" w:cs="Arial"/>
          <w:color w:val="000000" w:themeColor="text1"/>
          <w:sz w:val="20"/>
          <w:szCs w:val="20"/>
        </w:rPr>
        <w:t xml:space="preserve">. Among the treatments tested, </w:t>
      </w:r>
      <w:r w:rsidRPr="003B13E4">
        <w:rPr>
          <w:rFonts w:ascii="Arial" w:hAnsi="Arial" w:cs="Arial"/>
          <w:i/>
          <w:iCs/>
          <w:color w:val="000000" w:themeColor="text1"/>
          <w:sz w:val="20"/>
          <w:szCs w:val="20"/>
        </w:rPr>
        <w:t xml:space="preserve">Allium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emerged as the most effective bio-additive, drastically reducing the time required for spawn colonization, primordia initiation, and fruiting body maturation compared to the untreated control. Its ability to shorten the crop duration by over ten days across parameters highlights its potential to accelerate production cycles and enhance resource use efficiency. Similarly,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and </w:t>
      </w:r>
      <w:r w:rsidRPr="003B13E4">
        <w:rPr>
          <w:rFonts w:ascii="Arial" w:hAnsi="Arial" w:cs="Arial"/>
          <w:i/>
          <w:iCs/>
          <w:color w:val="000000" w:themeColor="text1"/>
          <w:sz w:val="20"/>
          <w:szCs w:val="20"/>
        </w:rPr>
        <w:t>Allium sativum</w:t>
      </w:r>
      <w:r w:rsidRPr="003B13E4">
        <w:rPr>
          <w:rFonts w:ascii="Arial" w:hAnsi="Arial" w:cs="Arial"/>
          <w:color w:val="000000" w:themeColor="text1"/>
          <w:sz w:val="20"/>
          <w:szCs w:val="20"/>
        </w:rPr>
        <w:t xml:space="preserve"> demonstrated notable stimulatory effects, attributable to their bioactive metabolites that may simultaneously act as growth enhancers and protectants against competing microorganisms. Other Allium species, particularly </w:t>
      </w:r>
      <w:r w:rsidRPr="003B13E4">
        <w:rPr>
          <w:rFonts w:ascii="Arial" w:hAnsi="Arial" w:cs="Arial"/>
          <w:i/>
          <w:iCs/>
          <w:color w:val="000000" w:themeColor="text1"/>
          <w:sz w:val="20"/>
          <w:szCs w:val="20"/>
        </w:rPr>
        <w:t>Allium hookeri</w:t>
      </w:r>
      <w:r w:rsidRPr="003B13E4">
        <w:rPr>
          <w:rFonts w:ascii="Arial" w:hAnsi="Arial" w:cs="Arial"/>
          <w:color w:val="000000" w:themeColor="text1"/>
          <w:sz w:val="20"/>
          <w:szCs w:val="20"/>
        </w:rPr>
        <w:t>, also contributed positively, underscoring the broader efficacy of the Allium group in mushroom cultivation.</w:t>
      </w:r>
    </w:p>
    <w:p w14:paraId="120307B3" w14:textId="77777777" w:rsidR="00023FE0" w:rsidRPr="003B13E4" w:rsidRDefault="00023FE0" w:rsidP="00023FE0">
      <w:pPr>
        <w:pStyle w:val="FirstParagraph"/>
        <w:spacing w:before="0" w:after="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Conversely, botanicals such as </w:t>
      </w:r>
      <w:r w:rsidRPr="003B13E4">
        <w:rPr>
          <w:rFonts w:ascii="Arial" w:hAnsi="Arial" w:cs="Arial"/>
          <w:i/>
          <w:iCs/>
          <w:color w:val="000000" w:themeColor="text1"/>
          <w:sz w:val="20"/>
          <w:szCs w:val="20"/>
        </w:rPr>
        <w:t>Curcuma longa</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Zingiber officinale</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Ocimum sanctum</w:t>
      </w:r>
      <w:r w:rsidRPr="003B13E4">
        <w:rPr>
          <w:rFonts w:ascii="Arial" w:hAnsi="Arial" w:cs="Arial"/>
          <w:color w:val="000000" w:themeColor="text1"/>
          <w:sz w:val="20"/>
          <w:szCs w:val="20"/>
        </w:rPr>
        <w:t xml:space="preserve">, </w:t>
      </w:r>
      <w:r w:rsidRPr="003B13E4">
        <w:rPr>
          <w:rFonts w:ascii="Arial" w:hAnsi="Arial" w:cs="Arial"/>
          <w:i/>
          <w:iCs/>
          <w:color w:val="000000" w:themeColor="text1"/>
          <w:sz w:val="20"/>
          <w:szCs w:val="20"/>
        </w:rPr>
        <w:t>Mentha</w:t>
      </w:r>
      <w:r w:rsidRPr="003B13E4">
        <w:rPr>
          <w:rFonts w:ascii="Arial" w:hAnsi="Arial" w:cs="Arial"/>
          <w:color w:val="000000" w:themeColor="text1"/>
          <w:sz w:val="20"/>
          <w:szCs w:val="20"/>
        </w:rPr>
        <w:t xml:space="preserve"> spp., and </w:t>
      </w:r>
      <w:r w:rsidRPr="003B13E4">
        <w:rPr>
          <w:rFonts w:ascii="Arial" w:hAnsi="Arial" w:cs="Arial"/>
          <w:i/>
          <w:iCs/>
          <w:color w:val="000000" w:themeColor="text1"/>
          <w:sz w:val="20"/>
          <w:szCs w:val="20"/>
        </w:rPr>
        <w:t xml:space="preserve">Solanum </w:t>
      </w:r>
      <w:proofErr w:type="spellStart"/>
      <w:r w:rsidRPr="003B13E4">
        <w:rPr>
          <w:rFonts w:ascii="Arial" w:hAnsi="Arial" w:cs="Arial"/>
          <w:i/>
          <w:iCs/>
          <w:color w:val="000000" w:themeColor="text1"/>
          <w:sz w:val="20"/>
          <w:szCs w:val="20"/>
        </w:rPr>
        <w:t>aethiopicum</w:t>
      </w:r>
      <w:proofErr w:type="spellEnd"/>
      <w:r w:rsidRPr="003B13E4">
        <w:rPr>
          <w:rFonts w:ascii="Arial" w:hAnsi="Arial" w:cs="Arial"/>
          <w:color w:val="000000" w:themeColor="text1"/>
          <w:sz w:val="20"/>
          <w:szCs w:val="20"/>
        </w:rPr>
        <w:t xml:space="preserve"> exhibited moderate or limited growth-promoting effects, suggesting that the concentration and specific biochemical composition of phytochemicals play a decisive role in determining their influence on fungal metabolism. While these treatments still outperformed the untreated control, their comparatively slower growth responses highlight the need for optimization of dosage and application methods.</w:t>
      </w:r>
    </w:p>
    <w:p w14:paraId="194B0F2F" w14:textId="77777777" w:rsidR="00023FE0" w:rsidRPr="003B13E4" w:rsidRDefault="00023FE0" w:rsidP="00023FE0">
      <w:pPr>
        <w:pStyle w:val="FirstParagraph"/>
        <w:spacing w:before="0" w:line="360" w:lineRule="auto"/>
        <w:jc w:val="both"/>
        <w:rPr>
          <w:rFonts w:ascii="Arial" w:hAnsi="Arial" w:cs="Arial"/>
          <w:color w:val="000000" w:themeColor="text1"/>
          <w:sz w:val="20"/>
          <w:szCs w:val="20"/>
        </w:rPr>
      </w:pPr>
      <w:r w:rsidRPr="003B13E4">
        <w:rPr>
          <w:rFonts w:ascii="Arial" w:hAnsi="Arial" w:cs="Arial"/>
          <w:color w:val="000000" w:themeColor="text1"/>
          <w:sz w:val="20"/>
          <w:szCs w:val="20"/>
        </w:rPr>
        <w:t xml:space="preserve">Overall, the study confirms that substrate enrichment with selective botanicals—especially </w:t>
      </w:r>
      <w:r w:rsidRPr="003B13E4">
        <w:rPr>
          <w:rFonts w:ascii="Arial" w:hAnsi="Arial" w:cs="Arial"/>
          <w:i/>
          <w:iCs/>
          <w:color w:val="000000" w:themeColor="text1"/>
          <w:sz w:val="20"/>
          <w:szCs w:val="20"/>
        </w:rPr>
        <w:t xml:space="preserve">Allium </w:t>
      </w:r>
      <w:proofErr w:type="spellStart"/>
      <w:r w:rsidRPr="003B13E4">
        <w:rPr>
          <w:rFonts w:ascii="Arial" w:hAnsi="Arial" w:cs="Arial"/>
          <w:i/>
          <w:iCs/>
          <w:color w:val="000000" w:themeColor="text1"/>
          <w:sz w:val="20"/>
          <w:szCs w:val="20"/>
        </w:rPr>
        <w:t>chinense</w:t>
      </w:r>
      <w:proofErr w:type="spellEnd"/>
      <w:r w:rsidRPr="003B13E4">
        <w:rPr>
          <w:rFonts w:ascii="Arial" w:hAnsi="Arial" w:cs="Arial"/>
          <w:color w:val="000000" w:themeColor="text1"/>
          <w:sz w:val="20"/>
          <w:szCs w:val="20"/>
        </w:rPr>
        <w:t xml:space="preserve">, </w:t>
      </w:r>
      <w:proofErr w:type="spellStart"/>
      <w:r w:rsidRPr="003B13E4">
        <w:rPr>
          <w:rFonts w:ascii="Arial" w:hAnsi="Arial" w:cs="Arial"/>
          <w:i/>
          <w:iCs/>
          <w:color w:val="000000" w:themeColor="text1"/>
          <w:sz w:val="20"/>
          <w:szCs w:val="20"/>
        </w:rPr>
        <w:t>Azadirachta</w:t>
      </w:r>
      <w:proofErr w:type="spellEnd"/>
      <w:r w:rsidRPr="003B13E4">
        <w:rPr>
          <w:rFonts w:ascii="Arial" w:hAnsi="Arial" w:cs="Arial"/>
          <w:i/>
          <w:iCs/>
          <w:color w:val="000000" w:themeColor="text1"/>
          <w:sz w:val="20"/>
          <w:szCs w:val="20"/>
        </w:rPr>
        <w:t xml:space="preserve"> </w:t>
      </w:r>
      <w:proofErr w:type="spellStart"/>
      <w:r w:rsidRPr="003B13E4">
        <w:rPr>
          <w:rFonts w:ascii="Arial" w:hAnsi="Arial" w:cs="Arial"/>
          <w:i/>
          <w:iCs/>
          <w:color w:val="000000" w:themeColor="text1"/>
          <w:sz w:val="20"/>
          <w:szCs w:val="20"/>
        </w:rPr>
        <w:t>indica</w:t>
      </w:r>
      <w:proofErr w:type="spellEnd"/>
      <w:r w:rsidRPr="003B13E4">
        <w:rPr>
          <w:rFonts w:ascii="Arial" w:hAnsi="Arial" w:cs="Arial"/>
          <w:color w:val="000000" w:themeColor="text1"/>
          <w:sz w:val="20"/>
          <w:szCs w:val="20"/>
        </w:rPr>
        <w:t xml:space="preserve">, and </w:t>
      </w:r>
      <w:r w:rsidRPr="003B13E4">
        <w:rPr>
          <w:rFonts w:ascii="Arial" w:hAnsi="Arial" w:cs="Arial"/>
          <w:i/>
          <w:iCs/>
          <w:color w:val="000000" w:themeColor="text1"/>
          <w:sz w:val="20"/>
          <w:szCs w:val="20"/>
        </w:rPr>
        <w:t>Allium sativum</w:t>
      </w:r>
      <w:r w:rsidRPr="003B13E4">
        <w:rPr>
          <w:rFonts w:ascii="Arial" w:hAnsi="Arial" w:cs="Arial"/>
          <w:color w:val="000000" w:themeColor="text1"/>
          <w:sz w:val="20"/>
          <w:szCs w:val="20"/>
        </w:rPr>
        <w:t>—can substantially improve the efficiency of oyster mushroom production. By shortening the crop cycle, such amendments can enable multiple harvests per year, improve substrate utilization, and increase profitability for mushroom growers. Beyond their practical implications, these findings also emphasize the potential of botanicals as sustainable, low-cost, and eco-friendly alternatives to synthetic supplements. Future research should focus on optimizing concentrations, elucidating the biochemical mechanisms underlying their stimulatory effects, and testing their scalability under different agro-climatic conditions to fully harness their potential in commercial mushroom cultivation systems.</w:t>
      </w:r>
    </w:p>
    <w:p w14:paraId="6F92378B" w14:textId="77777777" w:rsidR="003B13E4" w:rsidRPr="003B13E4" w:rsidRDefault="003B13E4" w:rsidP="0022066A">
      <w:pPr>
        <w:pStyle w:val="FirstParagraph"/>
        <w:spacing w:before="0" w:after="0" w:line="360" w:lineRule="auto"/>
        <w:jc w:val="both"/>
        <w:rPr>
          <w:rFonts w:ascii="Arial" w:hAnsi="Arial" w:cs="Arial"/>
          <w:b/>
          <w:bCs/>
          <w:color w:val="000000" w:themeColor="text1"/>
          <w:sz w:val="20"/>
          <w:szCs w:val="20"/>
        </w:rPr>
      </w:pPr>
    </w:p>
    <w:p w14:paraId="23E6EF24" w14:textId="77777777" w:rsidR="009C168A" w:rsidRPr="003B13E4" w:rsidRDefault="00BF77CA" w:rsidP="00640690">
      <w:pPr>
        <w:pStyle w:val="FirstParagraph"/>
        <w:spacing w:before="0" w:line="360" w:lineRule="auto"/>
        <w:jc w:val="both"/>
        <w:rPr>
          <w:rFonts w:ascii="Arial" w:hAnsi="Arial" w:cs="Arial"/>
          <w:color w:val="000000" w:themeColor="text1"/>
          <w:sz w:val="20"/>
          <w:szCs w:val="20"/>
        </w:rPr>
      </w:pPr>
      <w:bookmarkStart w:id="9" w:name="_GoBack"/>
      <w:bookmarkEnd w:id="9"/>
      <w:r w:rsidRPr="003B13E4">
        <w:rPr>
          <w:rFonts w:ascii="Arial" w:hAnsi="Arial" w:cs="Arial"/>
          <w:b/>
          <w:bCs/>
          <w:color w:val="000000" w:themeColor="text1"/>
          <w:sz w:val="20"/>
          <w:szCs w:val="20"/>
        </w:rPr>
        <w:lastRenderedPageBreak/>
        <w:t>REFERENCES</w:t>
      </w:r>
      <w:r w:rsidRPr="003B13E4">
        <w:rPr>
          <w:rFonts w:ascii="Arial" w:hAnsi="Arial" w:cs="Arial"/>
          <w:color w:val="000000" w:themeColor="text1"/>
          <w:sz w:val="20"/>
          <w:szCs w:val="20"/>
        </w:rPr>
        <w:t xml:space="preserve"> </w:t>
      </w:r>
    </w:p>
    <w:bookmarkEnd w:id="1"/>
    <w:bookmarkEnd w:id="8"/>
    <w:p w14:paraId="6D710853" w14:textId="77777777"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proofErr w:type="spellStart"/>
      <w:r w:rsidRPr="003B13E4">
        <w:rPr>
          <w:rFonts w:ascii="Arial" w:hAnsi="Arial" w:cs="Arial"/>
          <w:b/>
          <w:color w:val="000000" w:themeColor="text1"/>
          <w:sz w:val="20"/>
          <w:szCs w:val="20"/>
        </w:rPr>
        <w:t>Bellettini</w:t>
      </w:r>
      <w:proofErr w:type="spellEnd"/>
      <w:r w:rsidRPr="003B13E4">
        <w:rPr>
          <w:rFonts w:ascii="Arial" w:hAnsi="Arial" w:cs="Arial"/>
          <w:b/>
          <w:color w:val="000000" w:themeColor="text1"/>
          <w:sz w:val="20"/>
          <w:szCs w:val="20"/>
        </w:rPr>
        <w:t xml:space="preserve">, M. B., </w:t>
      </w:r>
      <w:proofErr w:type="spellStart"/>
      <w:r w:rsidRPr="003B13E4">
        <w:rPr>
          <w:rFonts w:ascii="Arial" w:hAnsi="Arial" w:cs="Arial"/>
          <w:b/>
          <w:color w:val="000000" w:themeColor="text1"/>
          <w:sz w:val="20"/>
          <w:szCs w:val="20"/>
        </w:rPr>
        <w:t>Fiorda</w:t>
      </w:r>
      <w:proofErr w:type="spellEnd"/>
      <w:r w:rsidRPr="003B13E4">
        <w:rPr>
          <w:rFonts w:ascii="Arial" w:hAnsi="Arial" w:cs="Arial"/>
          <w:b/>
          <w:color w:val="000000" w:themeColor="text1"/>
          <w:sz w:val="20"/>
          <w:szCs w:val="20"/>
        </w:rPr>
        <w:t xml:space="preserve">, F. A., </w:t>
      </w:r>
      <w:proofErr w:type="spellStart"/>
      <w:r w:rsidRPr="003B13E4">
        <w:rPr>
          <w:rFonts w:ascii="Arial" w:hAnsi="Arial" w:cs="Arial"/>
          <w:b/>
          <w:color w:val="000000" w:themeColor="text1"/>
          <w:sz w:val="20"/>
          <w:szCs w:val="20"/>
        </w:rPr>
        <w:t>Maieves</w:t>
      </w:r>
      <w:proofErr w:type="spellEnd"/>
      <w:r w:rsidRPr="003B13E4">
        <w:rPr>
          <w:rFonts w:ascii="Arial" w:hAnsi="Arial" w:cs="Arial"/>
          <w:b/>
          <w:color w:val="000000" w:themeColor="text1"/>
          <w:sz w:val="20"/>
          <w:szCs w:val="20"/>
        </w:rPr>
        <w:t xml:space="preserve">, H. A., Teixeira, G. L., Ávila, S., Hornung, P. S., Júnior, A. M. and </w:t>
      </w:r>
      <w:proofErr w:type="spellStart"/>
      <w:r w:rsidRPr="003B13E4">
        <w:rPr>
          <w:rFonts w:ascii="Arial" w:hAnsi="Arial" w:cs="Arial"/>
          <w:b/>
          <w:color w:val="000000" w:themeColor="text1"/>
          <w:sz w:val="20"/>
          <w:szCs w:val="20"/>
        </w:rPr>
        <w:t>Ribani</w:t>
      </w:r>
      <w:proofErr w:type="spellEnd"/>
      <w:r w:rsidRPr="003B13E4">
        <w:rPr>
          <w:rFonts w:ascii="Arial" w:hAnsi="Arial" w:cs="Arial"/>
          <w:b/>
          <w:color w:val="000000" w:themeColor="text1"/>
          <w:sz w:val="20"/>
          <w:szCs w:val="20"/>
        </w:rPr>
        <w:t>, R. H. (2019).</w:t>
      </w:r>
      <w:r w:rsidRPr="003B13E4">
        <w:rPr>
          <w:rFonts w:ascii="Arial" w:hAnsi="Arial" w:cs="Arial"/>
          <w:color w:val="000000" w:themeColor="text1"/>
          <w:sz w:val="20"/>
          <w:szCs w:val="20"/>
        </w:rPr>
        <w:t xml:space="preserve"> Factors affecting mushroom </w:t>
      </w:r>
      <w:r w:rsidRPr="003B13E4">
        <w:rPr>
          <w:rStyle w:val="Emphasis"/>
          <w:rFonts w:ascii="Arial" w:hAnsi="Arial" w:cs="Arial"/>
          <w:color w:val="000000" w:themeColor="text1"/>
          <w:sz w:val="20"/>
          <w:szCs w:val="20"/>
        </w:rPr>
        <w:t>Pleurotus</w:t>
      </w:r>
      <w:r w:rsidRPr="003B13E4">
        <w:rPr>
          <w:rFonts w:ascii="Arial" w:hAnsi="Arial" w:cs="Arial"/>
          <w:color w:val="000000" w:themeColor="text1"/>
          <w:sz w:val="20"/>
          <w:szCs w:val="20"/>
        </w:rPr>
        <w:t xml:space="preserve"> spp. </w:t>
      </w:r>
      <w:r w:rsidRPr="003B13E4">
        <w:rPr>
          <w:rStyle w:val="Emphasis"/>
          <w:rFonts w:ascii="Arial" w:hAnsi="Arial" w:cs="Arial"/>
          <w:color w:val="000000" w:themeColor="text1"/>
          <w:sz w:val="20"/>
          <w:szCs w:val="20"/>
        </w:rPr>
        <w:t xml:space="preserve">Saudi Journal of Biological Sciences. </w:t>
      </w:r>
      <w:r w:rsidRPr="003B13E4">
        <w:rPr>
          <w:rStyle w:val="Emphasis"/>
          <w:rFonts w:ascii="Arial" w:hAnsi="Arial" w:cs="Arial"/>
          <w:i w:val="0"/>
          <w:color w:val="000000" w:themeColor="text1"/>
          <w:sz w:val="20"/>
          <w:szCs w:val="20"/>
        </w:rPr>
        <w:t>26</w:t>
      </w:r>
      <w:r w:rsidRPr="003B13E4">
        <w:rPr>
          <w:rFonts w:ascii="Arial" w:hAnsi="Arial" w:cs="Arial"/>
          <w:color w:val="000000" w:themeColor="text1"/>
          <w:sz w:val="20"/>
          <w:szCs w:val="20"/>
        </w:rPr>
        <w:t>(4</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633–646. </w:t>
      </w:r>
    </w:p>
    <w:p w14:paraId="24594699"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Biswas, M. K., Jha, S. and Roy, A. (2018).</w:t>
      </w:r>
      <w:r w:rsidRPr="003B13E4">
        <w:rPr>
          <w:rFonts w:ascii="Arial" w:hAnsi="Arial" w:cs="Arial"/>
          <w:color w:val="000000" w:themeColor="text1"/>
          <w:sz w:val="20"/>
          <w:szCs w:val="20"/>
        </w:rPr>
        <w:t xml:space="preserve"> Efficacy of neem and garlic extracts against fungal contaminants in oyster mushroom cultivation. </w:t>
      </w:r>
      <w:r w:rsidRPr="003B13E4">
        <w:rPr>
          <w:rStyle w:val="Emphasis"/>
          <w:rFonts w:ascii="Arial" w:hAnsi="Arial" w:cs="Arial"/>
          <w:color w:val="000000" w:themeColor="text1"/>
          <w:sz w:val="20"/>
          <w:szCs w:val="20"/>
        </w:rPr>
        <w:t xml:space="preserve">Journal of Applied and Natural Science. </w:t>
      </w:r>
      <w:r w:rsidRPr="003B13E4">
        <w:rPr>
          <w:rStyle w:val="Emphasis"/>
          <w:rFonts w:ascii="Arial" w:hAnsi="Arial" w:cs="Arial"/>
          <w:i w:val="0"/>
          <w:color w:val="000000" w:themeColor="text1"/>
          <w:sz w:val="20"/>
          <w:szCs w:val="20"/>
        </w:rPr>
        <w:t>10</w:t>
      </w:r>
      <w:r w:rsidRPr="003B13E4">
        <w:rPr>
          <w:rFonts w:ascii="Arial" w:hAnsi="Arial" w:cs="Arial"/>
          <w:color w:val="000000" w:themeColor="text1"/>
          <w:sz w:val="20"/>
          <w:szCs w:val="20"/>
        </w:rPr>
        <w:t>(1</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123–129.</w:t>
      </w:r>
    </w:p>
    <w:p w14:paraId="0FF62B89"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Carrasco, J., Zied, D., Pardo-Giménez, A. and Preston, G. M. (2018).</w:t>
      </w:r>
      <w:r w:rsidRPr="003B13E4">
        <w:rPr>
          <w:rFonts w:ascii="Arial" w:hAnsi="Arial" w:cs="Arial"/>
          <w:color w:val="000000" w:themeColor="text1"/>
          <w:sz w:val="20"/>
          <w:szCs w:val="20"/>
        </w:rPr>
        <w:t xml:space="preserve"> Supplementation in mushroom crops and its impact on yield and quality. </w:t>
      </w:r>
      <w:r w:rsidRPr="003B13E4">
        <w:rPr>
          <w:rStyle w:val="Emphasis"/>
          <w:rFonts w:ascii="Arial" w:hAnsi="Arial" w:cs="Arial"/>
          <w:color w:val="000000" w:themeColor="text1"/>
          <w:sz w:val="20"/>
          <w:szCs w:val="20"/>
        </w:rPr>
        <w:t xml:space="preserve">AMB Express. </w:t>
      </w:r>
      <w:r w:rsidRPr="003B13E4">
        <w:rPr>
          <w:rStyle w:val="Emphasis"/>
          <w:rFonts w:ascii="Arial" w:hAnsi="Arial" w:cs="Arial"/>
          <w:i w:val="0"/>
          <w:color w:val="000000" w:themeColor="text1"/>
          <w:sz w:val="20"/>
          <w:szCs w:val="20"/>
        </w:rPr>
        <w:t>8</w:t>
      </w:r>
      <w:r w:rsidRPr="003B13E4">
        <w:rPr>
          <w:rFonts w:ascii="Arial" w:hAnsi="Arial" w:cs="Arial"/>
          <w:color w:val="000000" w:themeColor="text1"/>
          <w:sz w:val="20"/>
          <w:szCs w:val="20"/>
        </w:rPr>
        <w:t>(1</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146-155. </w:t>
      </w:r>
    </w:p>
    <w:p w14:paraId="71F0D2F9"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Chen, W., Gong, L., Guo, Z., Wang, J. and Liu, Y. (2018).</w:t>
      </w:r>
      <w:r w:rsidRPr="003B13E4">
        <w:rPr>
          <w:rFonts w:ascii="Arial" w:hAnsi="Arial" w:cs="Arial"/>
          <w:color w:val="000000" w:themeColor="text1"/>
          <w:sz w:val="20"/>
          <w:szCs w:val="20"/>
        </w:rPr>
        <w:t xml:space="preserve"> Antifungal activity of curcumin against plant pathogenic fungi. </w:t>
      </w:r>
      <w:r w:rsidRPr="003B13E4">
        <w:rPr>
          <w:rStyle w:val="Emphasis"/>
          <w:rFonts w:ascii="Arial" w:hAnsi="Arial" w:cs="Arial"/>
          <w:color w:val="000000" w:themeColor="text1"/>
          <w:sz w:val="20"/>
          <w:szCs w:val="20"/>
        </w:rPr>
        <w:t xml:space="preserve">Phytopathology. </w:t>
      </w:r>
      <w:r w:rsidRPr="003B13E4">
        <w:rPr>
          <w:rStyle w:val="Emphasis"/>
          <w:rFonts w:ascii="Arial" w:hAnsi="Arial" w:cs="Arial"/>
          <w:i w:val="0"/>
          <w:color w:val="000000" w:themeColor="text1"/>
          <w:sz w:val="20"/>
          <w:szCs w:val="20"/>
        </w:rPr>
        <w:t>108</w:t>
      </w:r>
      <w:r w:rsidRPr="003B13E4">
        <w:rPr>
          <w:rFonts w:ascii="Arial" w:hAnsi="Arial" w:cs="Arial"/>
          <w:color w:val="000000" w:themeColor="text1"/>
          <w:sz w:val="20"/>
          <w:szCs w:val="20"/>
        </w:rPr>
        <w:t>(2</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214–223. </w:t>
      </w:r>
    </w:p>
    <w:p w14:paraId="3EDAA11B"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 xml:space="preserve">Girmay, Z., </w:t>
      </w:r>
      <w:proofErr w:type="spellStart"/>
      <w:r w:rsidRPr="003B13E4">
        <w:rPr>
          <w:rFonts w:ascii="Arial" w:hAnsi="Arial" w:cs="Arial"/>
          <w:b/>
          <w:color w:val="000000" w:themeColor="text1"/>
          <w:sz w:val="20"/>
          <w:szCs w:val="20"/>
        </w:rPr>
        <w:t>Gorems</w:t>
      </w:r>
      <w:proofErr w:type="spellEnd"/>
      <w:r w:rsidRPr="003B13E4">
        <w:rPr>
          <w:rFonts w:ascii="Arial" w:hAnsi="Arial" w:cs="Arial"/>
          <w:b/>
          <w:color w:val="000000" w:themeColor="text1"/>
          <w:sz w:val="20"/>
          <w:szCs w:val="20"/>
        </w:rPr>
        <w:t xml:space="preserve">, W., Birhanu, G. and Zewdie, S. (2016). </w:t>
      </w:r>
      <w:r w:rsidRPr="003B13E4">
        <w:rPr>
          <w:rFonts w:ascii="Arial" w:hAnsi="Arial" w:cs="Arial"/>
          <w:color w:val="000000" w:themeColor="text1"/>
          <w:sz w:val="20"/>
          <w:szCs w:val="20"/>
        </w:rPr>
        <w:t xml:space="preserve">Growth and yield performance of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xml:space="preserve"> (Jacq. Fr.) Kumm (oyster mushroom) on different substrates. </w:t>
      </w:r>
      <w:r w:rsidRPr="003B13E4">
        <w:rPr>
          <w:rFonts w:ascii="Arial" w:hAnsi="Arial" w:cs="Arial"/>
          <w:i/>
          <w:iCs/>
          <w:color w:val="000000" w:themeColor="text1"/>
          <w:sz w:val="20"/>
          <w:szCs w:val="20"/>
        </w:rPr>
        <w:t>Amb Express</w:t>
      </w:r>
      <w:r w:rsidRPr="003B13E4">
        <w:rPr>
          <w:rFonts w:ascii="Arial" w:hAnsi="Arial" w:cs="Arial"/>
          <w:color w:val="000000" w:themeColor="text1"/>
          <w:sz w:val="20"/>
          <w:szCs w:val="20"/>
        </w:rPr>
        <w:t>. </w:t>
      </w:r>
      <w:r w:rsidRPr="003B13E4">
        <w:rPr>
          <w:rFonts w:ascii="Arial" w:hAnsi="Arial" w:cs="Arial"/>
          <w:iCs/>
          <w:color w:val="000000" w:themeColor="text1"/>
          <w:sz w:val="20"/>
          <w:szCs w:val="20"/>
        </w:rPr>
        <w:t>6</w:t>
      </w:r>
      <w:r w:rsidRPr="003B13E4">
        <w:rPr>
          <w:rFonts w:ascii="Arial" w:hAnsi="Arial" w:cs="Arial"/>
          <w:color w:val="000000" w:themeColor="text1"/>
          <w:sz w:val="20"/>
          <w:szCs w:val="20"/>
        </w:rPr>
        <w:t>(1), 87 – 95.</w:t>
      </w:r>
    </w:p>
    <w:p w14:paraId="64634C04" w14:textId="77777777"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Jikah, T. H., Ma, Z., Wang, J. and Jiang, Y. (2023).</w:t>
      </w:r>
      <w:r w:rsidRPr="003B13E4">
        <w:rPr>
          <w:rFonts w:ascii="Arial" w:hAnsi="Arial" w:cs="Arial"/>
          <w:color w:val="000000" w:themeColor="text1"/>
          <w:sz w:val="20"/>
          <w:szCs w:val="20"/>
        </w:rPr>
        <w:t xml:space="preserve"> Antifungal activity and potential action mechanism of allicin against fungi. </w:t>
      </w:r>
      <w:r w:rsidRPr="003B13E4">
        <w:rPr>
          <w:rFonts w:ascii="Arial" w:hAnsi="Arial" w:cs="Arial"/>
          <w:i/>
          <w:color w:val="000000" w:themeColor="text1"/>
          <w:sz w:val="20"/>
          <w:szCs w:val="20"/>
        </w:rPr>
        <w:t>Frontiers in Microbiology</w:t>
      </w:r>
      <w:r w:rsidRPr="003B13E4">
        <w:rPr>
          <w:rFonts w:ascii="Arial" w:hAnsi="Arial" w:cs="Arial"/>
          <w:color w:val="000000" w:themeColor="text1"/>
          <w:sz w:val="20"/>
          <w:szCs w:val="20"/>
        </w:rPr>
        <w:t xml:space="preserve">. </w:t>
      </w:r>
      <w:proofErr w:type="gramStart"/>
      <w:r w:rsidRPr="003B13E4">
        <w:rPr>
          <w:rFonts w:ascii="Arial" w:hAnsi="Arial" w:cs="Arial"/>
          <w:color w:val="000000" w:themeColor="text1"/>
          <w:sz w:val="20"/>
          <w:szCs w:val="20"/>
        </w:rPr>
        <w:t>14 :</w:t>
      </w:r>
      <w:proofErr w:type="gramEnd"/>
      <w:r w:rsidRPr="003B13E4">
        <w:rPr>
          <w:rFonts w:ascii="Arial" w:hAnsi="Arial" w:cs="Arial"/>
          <w:color w:val="000000" w:themeColor="text1"/>
          <w:sz w:val="20"/>
          <w:szCs w:val="20"/>
        </w:rPr>
        <w:t xml:space="preserve"> 11-17. </w:t>
      </w:r>
    </w:p>
    <w:p w14:paraId="50683308" w14:textId="77777777"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Kumar, K., Srivastava, N. and Singh, R. (2022).</w:t>
      </w:r>
      <w:r w:rsidRPr="003B13E4">
        <w:rPr>
          <w:rFonts w:ascii="Arial" w:hAnsi="Arial" w:cs="Arial"/>
          <w:color w:val="000000" w:themeColor="text1"/>
          <w:sz w:val="20"/>
          <w:szCs w:val="20"/>
        </w:rPr>
        <w:t xml:space="preserve"> Substrate supplementation for enhanced yield and nutritional composition of oyster mushroom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International Journal of Recycling of Organic Waste in Agriculture</w:t>
      </w:r>
      <w:r w:rsidRPr="003B13E4">
        <w:rPr>
          <w:rFonts w:ascii="Arial" w:hAnsi="Arial" w:cs="Arial"/>
          <w:color w:val="000000" w:themeColor="text1"/>
          <w:sz w:val="20"/>
          <w:szCs w:val="20"/>
        </w:rPr>
        <w:t xml:space="preserve">. </w:t>
      </w:r>
      <w:proofErr w:type="gramStart"/>
      <w:r w:rsidRPr="003B13E4">
        <w:rPr>
          <w:rFonts w:ascii="Arial" w:hAnsi="Arial" w:cs="Arial"/>
          <w:color w:val="000000" w:themeColor="text1"/>
          <w:sz w:val="20"/>
          <w:szCs w:val="20"/>
        </w:rPr>
        <w:t>11 :</w:t>
      </w:r>
      <w:proofErr w:type="gramEnd"/>
      <w:r w:rsidRPr="003B13E4">
        <w:rPr>
          <w:rFonts w:ascii="Arial" w:hAnsi="Arial" w:cs="Arial"/>
          <w:color w:val="000000" w:themeColor="text1"/>
          <w:sz w:val="20"/>
          <w:szCs w:val="20"/>
        </w:rPr>
        <w:t xml:space="preserve"> 389–399. </w:t>
      </w:r>
    </w:p>
    <w:p w14:paraId="487AA43B"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Kumar, S., Singh, V. and Sharma, P. (2022).</w:t>
      </w:r>
      <w:r w:rsidRPr="003B13E4">
        <w:rPr>
          <w:rFonts w:ascii="Arial" w:hAnsi="Arial" w:cs="Arial"/>
          <w:color w:val="000000" w:themeColor="text1"/>
          <w:sz w:val="20"/>
          <w:szCs w:val="20"/>
        </w:rPr>
        <w:t xml:space="preserve"> Influence of medicinal plant powders on spawn run and fruiting of oyster mushrooms. </w:t>
      </w:r>
      <w:r w:rsidRPr="003B13E4">
        <w:rPr>
          <w:rStyle w:val="Emphasis"/>
          <w:rFonts w:ascii="Arial" w:hAnsi="Arial" w:cs="Arial"/>
          <w:color w:val="000000" w:themeColor="text1"/>
          <w:sz w:val="20"/>
          <w:szCs w:val="20"/>
        </w:rPr>
        <w:t xml:space="preserve">International Journal of Current Microbiology and Applied Sciences. </w:t>
      </w:r>
      <w:r w:rsidRPr="003B13E4">
        <w:rPr>
          <w:rStyle w:val="Emphasis"/>
          <w:rFonts w:ascii="Arial" w:hAnsi="Arial" w:cs="Arial"/>
          <w:i w:val="0"/>
          <w:color w:val="000000" w:themeColor="text1"/>
          <w:sz w:val="20"/>
          <w:szCs w:val="20"/>
        </w:rPr>
        <w:t>11</w:t>
      </w:r>
      <w:r w:rsidRPr="003B13E4">
        <w:rPr>
          <w:rFonts w:ascii="Arial" w:hAnsi="Arial" w:cs="Arial"/>
          <w:color w:val="000000" w:themeColor="text1"/>
          <w:sz w:val="20"/>
          <w:szCs w:val="20"/>
        </w:rPr>
        <w:t>(3</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450–458. </w:t>
      </w:r>
    </w:p>
    <w:p w14:paraId="23FB3B9C" w14:textId="77777777" w:rsidR="007C6506" w:rsidRPr="003B13E4" w:rsidRDefault="007C6506" w:rsidP="003B13E4">
      <w:pPr>
        <w:pStyle w:val="NormalWeb"/>
        <w:spacing w:before="0" w:beforeAutospacing="0"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Mistry, R. and Parmar, P. (2024).</w:t>
      </w:r>
      <w:r w:rsidRPr="003B13E4">
        <w:rPr>
          <w:rFonts w:ascii="Arial" w:hAnsi="Arial" w:cs="Arial"/>
          <w:color w:val="000000" w:themeColor="text1"/>
          <w:sz w:val="20"/>
          <w:szCs w:val="20"/>
        </w:rPr>
        <w:t xml:space="preserve"> Effect of different supplementations on growth and yield of oyster mushroom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w:t>
      </w:r>
      <w:r w:rsidRPr="003B13E4">
        <w:rPr>
          <w:rFonts w:ascii="Arial" w:hAnsi="Arial" w:cs="Arial"/>
          <w:i/>
          <w:color w:val="000000" w:themeColor="text1"/>
          <w:sz w:val="20"/>
          <w:szCs w:val="20"/>
        </w:rPr>
        <w:t>International Journal of Environment, Agriculture and Biotechnology</w:t>
      </w:r>
      <w:r w:rsidRPr="003B13E4">
        <w:rPr>
          <w:rFonts w:ascii="Arial" w:hAnsi="Arial" w:cs="Arial"/>
          <w:color w:val="000000" w:themeColor="text1"/>
          <w:sz w:val="20"/>
          <w:szCs w:val="20"/>
        </w:rPr>
        <w:t>. 9(2</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45–52. </w:t>
      </w:r>
    </w:p>
    <w:p w14:paraId="782A90C8"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 xml:space="preserve">Mkhize, S. S., Cedric Simelane, M. B., Mongalo, I. N. and </w:t>
      </w:r>
      <w:proofErr w:type="spellStart"/>
      <w:r w:rsidRPr="003B13E4">
        <w:rPr>
          <w:rFonts w:ascii="Arial" w:hAnsi="Arial" w:cs="Arial"/>
          <w:b/>
          <w:color w:val="000000" w:themeColor="text1"/>
          <w:sz w:val="20"/>
          <w:szCs w:val="20"/>
        </w:rPr>
        <w:t>Pooe</w:t>
      </w:r>
      <w:proofErr w:type="spellEnd"/>
      <w:r w:rsidRPr="003B13E4">
        <w:rPr>
          <w:rFonts w:ascii="Arial" w:hAnsi="Arial" w:cs="Arial"/>
          <w:b/>
          <w:color w:val="000000" w:themeColor="text1"/>
          <w:sz w:val="20"/>
          <w:szCs w:val="20"/>
        </w:rPr>
        <w:t>, O. J. (2022).</w:t>
      </w:r>
      <w:r w:rsidRPr="003B13E4">
        <w:rPr>
          <w:rFonts w:ascii="Arial" w:hAnsi="Arial" w:cs="Arial"/>
          <w:color w:val="000000" w:themeColor="text1"/>
          <w:sz w:val="20"/>
          <w:szCs w:val="20"/>
        </w:rPr>
        <w:t xml:space="preserve"> The effect of supplementing mushroom growing substrates on the bioactive compounds, antimicrobial activity, and antioxidant activity of </w:t>
      </w:r>
      <w:r w:rsidRPr="003B13E4">
        <w:rPr>
          <w:rFonts w:ascii="Arial" w:hAnsi="Arial" w:cs="Arial"/>
          <w:i/>
          <w:color w:val="000000" w:themeColor="text1"/>
          <w:sz w:val="20"/>
          <w:szCs w:val="20"/>
        </w:rPr>
        <w:t>Pleurotus ostreatus</w:t>
      </w:r>
      <w:r w:rsidRPr="003B13E4">
        <w:rPr>
          <w:rFonts w:ascii="Arial" w:hAnsi="Arial" w:cs="Arial"/>
          <w:color w:val="000000" w:themeColor="text1"/>
          <w:sz w:val="20"/>
          <w:szCs w:val="20"/>
        </w:rPr>
        <w:t>. </w:t>
      </w:r>
      <w:r w:rsidRPr="003B13E4">
        <w:rPr>
          <w:rFonts w:ascii="Arial" w:hAnsi="Arial" w:cs="Arial"/>
          <w:i/>
          <w:iCs/>
          <w:color w:val="000000" w:themeColor="text1"/>
          <w:sz w:val="20"/>
          <w:szCs w:val="20"/>
        </w:rPr>
        <w:t xml:space="preserve">Biochemistry Research </w:t>
      </w:r>
      <w:proofErr w:type="gramStart"/>
      <w:r w:rsidRPr="003B13E4">
        <w:rPr>
          <w:rFonts w:ascii="Arial" w:hAnsi="Arial" w:cs="Arial"/>
          <w:i/>
          <w:iCs/>
          <w:color w:val="000000" w:themeColor="text1"/>
          <w:sz w:val="20"/>
          <w:szCs w:val="20"/>
        </w:rPr>
        <w:t>International</w:t>
      </w:r>
      <w:r w:rsidRPr="003B13E4">
        <w:rPr>
          <w:rFonts w:ascii="Arial" w:hAnsi="Arial" w:cs="Arial"/>
          <w:color w:val="000000" w:themeColor="text1"/>
          <w:sz w:val="20"/>
          <w:szCs w:val="20"/>
        </w:rPr>
        <w:t>,  8</w:t>
      </w:r>
      <w:proofErr w:type="gramEnd"/>
      <w:r w:rsidRPr="003B13E4">
        <w:rPr>
          <w:rFonts w:ascii="Arial" w:hAnsi="Arial" w:cs="Arial"/>
          <w:color w:val="000000" w:themeColor="text1"/>
          <w:sz w:val="20"/>
          <w:szCs w:val="20"/>
        </w:rPr>
        <w:t xml:space="preserve"> (1) : 94-102.</w:t>
      </w:r>
    </w:p>
    <w:p w14:paraId="140142F1"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lastRenderedPageBreak/>
        <w:t>Nsoh, F. R., Adu-Gyamfi, R., Owusu, E. and Glover, R. L. K. (2022).</w:t>
      </w:r>
      <w:r w:rsidRPr="003B13E4">
        <w:rPr>
          <w:rFonts w:ascii="Arial" w:hAnsi="Arial" w:cs="Arial"/>
          <w:color w:val="000000" w:themeColor="text1"/>
          <w:sz w:val="20"/>
          <w:szCs w:val="20"/>
        </w:rPr>
        <w:t xml:space="preserve"> Effect of medicinal plant supplementation on growth and fruiting of </w:t>
      </w:r>
      <w:r w:rsidRPr="003B13E4">
        <w:rPr>
          <w:rStyle w:val="Emphasis"/>
          <w:rFonts w:ascii="Arial" w:hAnsi="Arial" w:cs="Arial"/>
          <w:color w:val="000000" w:themeColor="text1"/>
          <w:sz w:val="20"/>
          <w:szCs w:val="20"/>
        </w:rPr>
        <w:t>Pleurotus</w:t>
      </w:r>
      <w:r w:rsidRPr="003B13E4">
        <w:rPr>
          <w:rFonts w:ascii="Arial" w:hAnsi="Arial" w:cs="Arial"/>
          <w:color w:val="000000" w:themeColor="text1"/>
          <w:sz w:val="20"/>
          <w:szCs w:val="20"/>
        </w:rPr>
        <w:t xml:space="preserve"> spp. </w:t>
      </w:r>
      <w:proofErr w:type="spellStart"/>
      <w:r w:rsidRPr="003B13E4">
        <w:rPr>
          <w:rStyle w:val="Emphasis"/>
          <w:rFonts w:ascii="Arial" w:hAnsi="Arial" w:cs="Arial"/>
          <w:color w:val="000000" w:themeColor="text1"/>
          <w:sz w:val="20"/>
          <w:szCs w:val="20"/>
        </w:rPr>
        <w:t>Mycobiology</w:t>
      </w:r>
      <w:proofErr w:type="spellEnd"/>
      <w:r w:rsidRPr="003B13E4">
        <w:rPr>
          <w:rStyle w:val="Emphasis"/>
          <w:rFonts w:ascii="Arial" w:hAnsi="Arial" w:cs="Arial"/>
          <w:color w:val="000000" w:themeColor="text1"/>
          <w:sz w:val="20"/>
          <w:szCs w:val="20"/>
        </w:rPr>
        <w:t xml:space="preserve">. </w:t>
      </w:r>
      <w:r w:rsidRPr="003B13E4">
        <w:rPr>
          <w:rStyle w:val="Emphasis"/>
          <w:rFonts w:ascii="Arial" w:hAnsi="Arial" w:cs="Arial"/>
          <w:i w:val="0"/>
          <w:color w:val="000000" w:themeColor="text1"/>
          <w:sz w:val="20"/>
          <w:szCs w:val="20"/>
        </w:rPr>
        <w:t>50</w:t>
      </w:r>
      <w:r w:rsidRPr="003B13E4">
        <w:rPr>
          <w:rFonts w:ascii="Arial" w:hAnsi="Arial" w:cs="Arial"/>
          <w:color w:val="000000" w:themeColor="text1"/>
          <w:sz w:val="20"/>
          <w:szCs w:val="20"/>
        </w:rPr>
        <w:t>(3</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189–197. </w:t>
      </w:r>
    </w:p>
    <w:p w14:paraId="0F71DBD0"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Pandey, M., Yadav, R. and Singh, S. (2021).</w:t>
      </w:r>
      <w:r w:rsidRPr="003B13E4">
        <w:rPr>
          <w:rFonts w:ascii="Arial" w:hAnsi="Arial" w:cs="Arial"/>
          <w:color w:val="000000" w:themeColor="text1"/>
          <w:sz w:val="20"/>
          <w:szCs w:val="20"/>
        </w:rPr>
        <w:t xml:space="preserve"> Growth-promoting role of </w:t>
      </w:r>
      <w:r w:rsidRPr="003B13E4">
        <w:rPr>
          <w:rStyle w:val="Emphasis"/>
          <w:rFonts w:ascii="Arial" w:hAnsi="Arial" w:cs="Arial"/>
          <w:color w:val="000000" w:themeColor="text1"/>
          <w:sz w:val="20"/>
          <w:szCs w:val="20"/>
        </w:rPr>
        <w:t>Allium</w:t>
      </w:r>
      <w:r w:rsidRPr="003B13E4">
        <w:rPr>
          <w:rFonts w:ascii="Arial" w:hAnsi="Arial" w:cs="Arial"/>
          <w:color w:val="000000" w:themeColor="text1"/>
          <w:sz w:val="20"/>
          <w:szCs w:val="20"/>
        </w:rPr>
        <w:t xml:space="preserve"> spp. in sustainable mushroom production. </w:t>
      </w:r>
      <w:r w:rsidRPr="003B13E4">
        <w:rPr>
          <w:rStyle w:val="Emphasis"/>
          <w:rFonts w:ascii="Arial" w:hAnsi="Arial" w:cs="Arial"/>
          <w:color w:val="000000" w:themeColor="text1"/>
          <w:sz w:val="20"/>
          <w:szCs w:val="20"/>
        </w:rPr>
        <w:t xml:space="preserve">Journal of Agricultural Science. </w:t>
      </w:r>
      <w:r w:rsidRPr="003B13E4">
        <w:rPr>
          <w:rStyle w:val="Emphasis"/>
          <w:rFonts w:ascii="Arial" w:hAnsi="Arial" w:cs="Arial"/>
          <w:i w:val="0"/>
          <w:color w:val="000000" w:themeColor="text1"/>
          <w:sz w:val="20"/>
          <w:szCs w:val="20"/>
        </w:rPr>
        <w:t>13</w:t>
      </w:r>
      <w:r w:rsidRPr="003B13E4">
        <w:rPr>
          <w:rFonts w:ascii="Arial" w:hAnsi="Arial" w:cs="Arial"/>
          <w:color w:val="000000" w:themeColor="text1"/>
          <w:sz w:val="20"/>
          <w:szCs w:val="20"/>
        </w:rPr>
        <w:t>(4</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55–64. </w:t>
      </w:r>
    </w:p>
    <w:p w14:paraId="1E0A8040" w14:textId="77777777" w:rsidR="007C6506" w:rsidRPr="003B13E4" w:rsidRDefault="007C6506" w:rsidP="003B13E4">
      <w:pPr>
        <w:pStyle w:val="Default"/>
        <w:tabs>
          <w:tab w:val="left" w:pos="630"/>
          <w:tab w:val="left" w:pos="1260"/>
        </w:tabs>
        <w:spacing w:before="240" w:after="24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Sohi, H. S. (1987).</w:t>
      </w:r>
      <w:r w:rsidRPr="003B13E4">
        <w:rPr>
          <w:rFonts w:ascii="Arial" w:hAnsi="Arial" w:cs="Arial"/>
          <w:color w:val="000000" w:themeColor="text1"/>
          <w:sz w:val="20"/>
          <w:szCs w:val="20"/>
        </w:rPr>
        <w:t xml:space="preserve"> Diseases and competitor moulds associated with mushroom culture and their control. </w:t>
      </w:r>
      <w:r w:rsidRPr="003B13E4">
        <w:rPr>
          <w:rFonts w:ascii="Arial" w:hAnsi="Arial" w:cs="Arial"/>
          <w:i/>
          <w:iCs/>
          <w:color w:val="000000" w:themeColor="text1"/>
          <w:sz w:val="20"/>
          <w:szCs w:val="20"/>
        </w:rPr>
        <w:t xml:space="preserve">Extension Bulletin. </w:t>
      </w:r>
      <w:proofErr w:type="gramStart"/>
      <w:r w:rsidRPr="003B13E4">
        <w:rPr>
          <w:rFonts w:ascii="Arial" w:hAnsi="Arial" w:cs="Arial"/>
          <w:color w:val="000000" w:themeColor="text1"/>
          <w:sz w:val="20"/>
          <w:szCs w:val="20"/>
        </w:rPr>
        <w:t>2 :</w:t>
      </w:r>
      <w:proofErr w:type="gramEnd"/>
      <w:r w:rsidRPr="003B13E4">
        <w:rPr>
          <w:rFonts w:ascii="Arial" w:hAnsi="Arial" w:cs="Arial"/>
          <w:color w:val="000000" w:themeColor="text1"/>
          <w:sz w:val="20"/>
          <w:szCs w:val="20"/>
        </w:rPr>
        <w:t xml:space="preserve"> 10-12.</w:t>
      </w:r>
    </w:p>
    <w:p w14:paraId="13E6C7E2"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Toppo, N., Das, R. and Choudhary, P. (2021).</w:t>
      </w:r>
      <w:r w:rsidRPr="003B13E4">
        <w:rPr>
          <w:rFonts w:ascii="Arial" w:hAnsi="Arial" w:cs="Arial"/>
          <w:color w:val="000000" w:themeColor="text1"/>
          <w:sz w:val="20"/>
          <w:szCs w:val="20"/>
        </w:rPr>
        <w:t xml:space="preserve"> Role of neem extracts in enhancing mushroom growth and yield. </w:t>
      </w:r>
      <w:r w:rsidRPr="003B13E4">
        <w:rPr>
          <w:rStyle w:val="Emphasis"/>
          <w:rFonts w:ascii="Arial" w:hAnsi="Arial" w:cs="Arial"/>
          <w:color w:val="000000" w:themeColor="text1"/>
          <w:sz w:val="20"/>
          <w:szCs w:val="20"/>
        </w:rPr>
        <w:t xml:space="preserve">International Journal of Botany Studies, </w:t>
      </w:r>
      <w:r w:rsidRPr="003B13E4">
        <w:rPr>
          <w:rStyle w:val="Emphasis"/>
          <w:rFonts w:ascii="Arial" w:hAnsi="Arial" w:cs="Arial"/>
          <w:i w:val="0"/>
          <w:color w:val="000000" w:themeColor="text1"/>
          <w:sz w:val="20"/>
          <w:szCs w:val="20"/>
        </w:rPr>
        <w:t>6</w:t>
      </w:r>
      <w:r w:rsidRPr="003B13E4">
        <w:rPr>
          <w:rFonts w:ascii="Arial" w:hAnsi="Arial" w:cs="Arial"/>
          <w:color w:val="000000" w:themeColor="text1"/>
          <w:sz w:val="20"/>
          <w:szCs w:val="20"/>
        </w:rPr>
        <w:t>(1</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112–118. </w:t>
      </w:r>
    </w:p>
    <w:p w14:paraId="178ED829" w14:textId="77777777" w:rsidR="007C6506" w:rsidRPr="003B13E4" w:rsidRDefault="007C6506"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Vera, D. C., Rodríguez, M. E. and López, J. A. (2022).</w:t>
      </w:r>
      <w:r w:rsidRPr="003B13E4">
        <w:rPr>
          <w:rFonts w:ascii="Arial" w:hAnsi="Arial" w:cs="Arial"/>
          <w:color w:val="000000" w:themeColor="text1"/>
          <w:sz w:val="20"/>
          <w:szCs w:val="20"/>
        </w:rPr>
        <w:t xml:space="preserve"> Effect of medicinal plant supplementation on yield and quality of oyster mushroom. </w:t>
      </w:r>
      <w:r w:rsidRPr="003B13E4">
        <w:rPr>
          <w:rStyle w:val="Emphasis"/>
          <w:rFonts w:ascii="Arial" w:hAnsi="Arial" w:cs="Arial"/>
          <w:color w:val="000000" w:themeColor="text1"/>
          <w:sz w:val="20"/>
          <w:szCs w:val="20"/>
        </w:rPr>
        <w:t xml:space="preserve">Agronomy Journal. </w:t>
      </w:r>
      <w:r w:rsidRPr="003B13E4">
        <w:rPr>
          <w:rStyle w:val="Emphasis"/>
          <w:rFonts w:ascii="Arial" w:hAnsi="Arial" w:cs="Arial"/>
          <w:i w:val="0"/>
          <w:color w:val="000000" w:themeColor="text1"/>
          <w:sz w:val="20"/>
          <w:szCs w:val="20"/>
        </w:rPr>
        <w:t>114</w:t>
      </w:r>
      <w:r w:rsidRPr="003B13E4">
        <w:rPr>
          <w:rFonts w:ascii="Arial" w:hAnsi="Arial" w:cs="Arial"/>
          <w:color w:val="000000" w:themeColor="text1"/>
          <w:sz w:val="20"/>
          <w:szCs w:val="20"/>
        </w:rPr>
        <w:t>(7</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3012–3021. </w:t>
      </w:r>
    </w:p>
    <w:p w14:paraId="5E075311" w14:textId="77777777" w:rsidR="003B13E4" w:rsidRPr="003B13E4" w:rsidRDefault="003B13E4"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Sarfraz, M., Nasim, M. J., Jacob, C. and Gruhlke, M. C. (2020).</w:t>
      </w:r>
      <w:r w:rsidRPr="003B13E4">
        <w:rPr>
          <w:rFonts w:ascii="Arial" w:hAnsi="Arial" w:cs="Arial"/>
          <w:color w:val="000000" w:themeColor="text1"/>
          <w:sz w:val="20"/>
          <w:szCs w:val="20"/>
        </w:rPr>
        <w:t xml:space="preserve"> Efficacy of allicin against plant pathogenic fungi and unveiling the underlying mode of action employing yeast based </w:t>
      </w:r>
      <w:proofErr w:type="spellStart"/>
      <w:r w:rsidRPr="003B13E4">
        <w:rPr>
          <w:rFonts w:ascii="Arial" w:hAnsi="Arial" w:cs="Arial"/>
          <w:color w:val="000000" w:themeColor="text1"/>
          <w:sz w:val="20"/>
          <w:szCs w:val="20"/>
        </w:rPr>
        <w:t>chemogenetic</w:t>
      </w:r>
      <w:proofErr w:type="spellEnd"/>
      <w:r w:rsidRPr="003B13E4">
        <w:rPr>
          <w:rFonts w:ascii="Arial" w:hAnsi="Arial" w:cs="Arial"/>
          <w:color w:val="000000" w:themeColor="text1"/>
          <w:sz w:val="20"/>
          <w:szCs w:val="20"/>
        </w:rPr>
        <w:t xml:space="preserve"> profiling approach. </w:t>
      </w:r>
      <w:r w:rsidRPr="003B13E4">
        <w:rPr>
          <w:rFonts w:ascii="Arial" w:hAnsi="Arial" w:cs="Arial"/>
          <w:i/>
          <w:iCs/>
          <w:color w:val="000000" w:themeColor="text1"/>
          <w:sz w:val="20"/>
          <w:szCs w:val="20"/>
        </w:rPr>
        <w:t>Applied Sciences</w:t>
      </w:r>
      <w:r w:rsidRPr="003B13E4">
        <w:rPr>
          <w:rFonts w:ascii="Arial" w:hAnsi="Arial" w:cs="Arial"/>
          <w:color w:val="000000" w:themeColor="text1"/>
          <w:sz w:val="20"/>
          <w:szCs w:val="20"/>
        </w:rPr>
        <w:t>. </w:t>
      </w:r>
      <w:r w:rsidRPr="003B13E4">
        <w:rPr>
          <w:rFonts w:ascii="Arial" w:hAnsi="Arial" w:cs="Arial"/>
          <w:iCs/>
          <w:color w:val="000000" w:themeColor="text1"/>
          <w:sz w:val="20"/>
          <w:szCs w:val="20"/>
        </w:rPr>
        <w:t>10</w:t>
      </w:r>
      <w:r w:rsidRPr="003B13E4">
        <w:rPr>
          <w:rFonts w:ascii="Arial" w:hAnsi="Arial" w:cs="Arial"/>
          <w:color w:val="000000" w:themeColor="text1"/>
          <w:sz w:val="20"/>
          <w:szCs w:val="20"/>
        </w:rPr>
        <w:t>(7</w:t>
      </w:r>
      <w:proofErr w:type="gramStart"/>
      <w:r w:rsidRPr="003B13E4">
        <w:rPr>
          <w:rFonts w:ascii="Arial" w:hAnsi="Arial" w:cs="Arial"/>
          <w:color w:val="000000" w:themeColor="text1"/>
          <w:sz w:val="20"/>
          <w:szCs w:val="20"/>
        </w:rPr>
        <w:t>) :</w:t>
      </w:r>
      <w:proofErr w:type="gramEnd"/>
      <w:r w:rsidRPr="003B13E4">
        <w:rPr>
          <w:rFonts w:ascii="Arial" w:hAnsi="Arial" w:cs="Arial"/>
          <w:color w:val="000000" w:themeColor="text1"/>
          <w:sz w:val="20"/>
          <w:szCs w:val="20"/>
        </w:rPr>
        <w:t xml:space="preserve"> 25-34.</w:t>
      </w:r>
    </w:p>
    <w:p w14:paraId="5A0A9987" w14:textId="77777777" w:rsidR="00A03A8B" w:rsidRPr="003B13E4" w:rsidRDefault="00A03A8B"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Sánchez, C. (2010).</w:t>
      </w:r>
      <w:r w:rsidRPr="003B13E4">
        <w:rPr>
          <w:rFonts w:ascii="Arial" w:hAnsi="Arial" w:cs="Arial"/>
          <w:color w:val="000000" w:themeColor="text1"/>
          <w:sz w:val="20"/>
          <w:szCs w:val="20"/>
        </w:rPr>
        <w:t xml:space="preserve"> Cultivation of </w:t>
      </w:r>
      <w:r w:rsidRPr="003B13E4">
        <w:rPr>
          <w:rStyle w:val="Emphasis"/>
          <w:rFonts w:ascii="Arial" w:hAnsi="Arial" w:cs="Arial"/>
          <w:color w:val="000000" w:themeColor="text1"/>
          <w:sz w:val="20"/>
          <w:szCs w:val="20"/>
        </w:rPr>
        <w:t>Pleurotus ostreatus</w:t>
      </w:r>
      <w:r w:rsidRPr="003B13E4">
        <w:rPr>
          <w:rFonts w:ascii="Arial" w:hAnsi="Arial" w:cs="Arial"/>
          <w:color w:val="000000" w:themeColor="text1"/>
          <w:sz w:val="20"/>
          <w:szCs w:val="20"/>
        </w:rPr>
        <w:t xml:space="preserve"> and other edible mushrooms. </w:t>
      </w:r>
      <w:r w:rsidRPr="003B13E4">
        <w:rPr>
          <w:rStyle w:val="Emphasis"/>
          <w:rFonts w:ascii="Arial" w:hAnsi="Arial" w:cs="Arial"/>
          <w:color w:val="000000" w:themeColor="text1"/>
          <w:sz w:val="20"/>
          <w:szCs w:val="20"/>
        </w:rPr>
        <w:t>Applied Microbiology and Biotechnology</w:t>
      </w:r>
      <w:r w:rsidR="003B13E4" w:rsidRPr="003B13E4">
        <w:rPr>
          <w:rFonts w:ascii="Arial" w:hAnsi="Arial" w:cs="Arial"/>
          <w:color w:val="000000" w:themeColor="text1"/>
          <w:sz w:val="20"/>
          <w:szCs w:val="20"/>
        </w:rPr>
        <w:t xml:space="preserve">. </w:t>
      </w:r>
      <w:r w:rsidRPr="003B13E4">
        <w:rPr>
          <w:rFonts w:ascii="Arial" w:hAnsi="Arial" w:cs="Arial"/>
          <w:color w:val="000000" w:themeColor="text1"/>
          <w:sz w:val="20"/>
          <w:szCs w:val="20"/>
        </w:rPr>
        <w:t>85(5</w:t>
      </w:r>
      <w:proofErr w:type="gramStart"/>
      <w:r w:rsidRPr="003B13E4">
        <w:rPr>
          <w:rFonts w:ascii="Arial" w:hAnsi="Arial" w:cs="Arial"/>
          <w:color w:val="000000" w:themeColor="text1"/>
          <w:sz w:val="20"/>
          <w:szCs w:val="20"/>
        </w:rPr>
        <w:t>)</w:t>
      </w:r>
      <w:r w:rsidR="003B13E4" w:rsidRPr="003B13E4">
        <w:rPr>
          <w:rFonts w:ascii="Arial" w:hAnsi="Arial" w:cs="Arial"/>
          <w:color w:val="000000" w:themeColor="text1"/>
          <w:sz w:val="20"/>
          <w:szCs w:val="20"/>
        </w:rPr>
        <w:t xml:space="preserve"> :</w:t>
      </w:r>
      <w:proofErr w:type="gramEnd"/>
      <w:r w:rsidRPr="003B13E4">
        <w:rPr>
          <w:rFonts w:ascii="Arial" w:hAnsi="Arial" w:cs="Arial"/>
          <w:color w:val="000000" w:themeColor="text1"/>
          <w:sz w:val="20"/>
          <w:szCs w:val="20"/>
        </w:rPr>
        <w:t xml:space="preserve"> 1321–1337.</w:t>
      </w:r>
    </w:p>
    <w:p w14:paraId="63B0AE87" w14:textId="77777777" w:rsidR="00BD32E0" w:rsidRPr="003B13E4" w:rsidRDefault="00BD32E0" w:rsidP="003B13E4">
      <w:pPr>
        <w:pStyle w:val="NormalWeb"/>
        <w:spacing w:after="240" w:afterAutospacing="0" w:line="360" w:lineRule="auto"/>
        <w:ind w:left="567" w:hanging="567"/>
        <w:jc w:val="both"/>
        <w:rPr>
          <w:rFonts w:ascii="Arial" w:hAnsi="Arial" w:cs="Arial"/>
          <w:color w:val="000000" w:themeColor="text1"/>
          <w:sz w:val="20"/>
          <w:szCs w:val="20"/>
        </w:rPr>
      </w:pPr>
      <w:r w:rsidRPr="003B13E4">
        <w:rPr>
          <w:rFonts w:ascii="Arial" w:hAnsi="Arial" w:cs="Arial"/>
          <w:b/>
          <w:color w:val="000000" w:themeColor="text1"/>
          <w:sz w:val="20"/>
          <w:szCs w:val="20"/>
        </w:rPr>
        <w:t>Kalac, P. (2016).</w:t>
      </w:r>
      <w:r w:rsidRPr="003B13E4">
        <w:rPr>
          <w:rFonts w:ascii="Arial" w:hAnsi="Arial" w:cs="Arial"/>
          <w:color w:val="000000" w:themeColor="text1"/>
          <w:sz w:val="20"/>
          <w:szCs w:val="20"/>
        </w:rPr>
        <w:t> </w:t>
      </w:r>
      <w:r w:rsidRPr="003B13E4">
        <w:rPr>
          <w:rFonts w:ascii="Arial" w:hAnsi="Arial" w:cs="Arial"/>
          <w:i/>
          <w:iCs/>
          <w:color w:val="000000" w:themeColor="text1"/>
          <w:sz w:val="20"/>
          <w:szCs w:val="20"/>
        </w:rPr>
        <w:t>Edible mushrooms: chemical composition and nutritional value</w:t>
      </w:r>
      <w:r w:rsidRPr="003B13E4">
        <w:rPr>
          <w:rFonts w:ascii="Arial" w:hAnsi="Arial" w:cs="Arial"/>
          <w:color w:val="000000" w:themeColor="text1"/>
          <w:sz w:val="20"/>
          <w:szCs w:val="20"/>
        </w:rPr>
        <w:t>. Academic Press.</w:t>
      </w:r>
    </w:p>
    <w:sectPr w:rsidR="00BD32E0" w:rsidRPr="003B13E4" w:rsidSect="00C25A7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A1CA7" w14:textId="77777777" w:rsidR="00CB51D6" w:rsidRDefault="00CB51D6" w:rsidP="0002271B">
      <w:pPr>
        <w:spacing w:after="0"/>
      </w:pPr>
      <w:r>
        <w:separator/>
      </w:r>
    </w:p>
  </w:endnote>
  <w:endnote w:type="continuationSeparator" w:id="0">
    <w:p w14:paraId="4CC7C4E4" w14:textId="77777777" w:rsidR="00CB51D6" w:rsidRDefault="00CB51D6" w:rsidP="000227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B7D8" w14:textId="77777777" w:rsidR="0002271B" w:rsidRDefault="00022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71E3E" w14:textId="77777777" w:rsidR="0002271B" w:rsidRDefault="000227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3B1B" w14:textId="77777777" w:rsidR="0002271B" w:rsidRDefault="00022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005F5" w14:textId="77777777" w:rsidR="00CB51D6" w:rsidRDefault="00CB51D6" w:rsidP="0002271B">
      <w:pPr>
        <w:spacing w:after="0"/>
      </w:pPr>
      <w:r>
        <w:separator/>
      </w:r>
    </w:p>
  </w:footnote>
  <w:footnote w:type="continuationSeparator" w:id="0">
    <w:p w14:paraId="5B1730F6" w14:textId="77777777" w:rsidR="00CB51D6" w:rsidRDefault="00CB51D6" w:rsidP="000227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492F" w14:textId="4516DC53" w:rsidR="0002271B" w:rsidRDefault="0002271B">
    <w:pPr>
      <w:pStyle w:val="Header"/>
    </w:pPr>
    <w:r>
      <w:rPr>
        <w:noProof/>
      </w:rPr>
      <w:pict w14:anchorId="59379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09B1" w14:textId="769E2D38" w:rsidR="0002271B" w:rsidRDefault="0002271B">
    <w:pPr>
      <w:pStyle w:val="Header"/>
    </w:pPr>
    <w:r>
      <w:rPr>
        <w:noProof/>
      </w:rPr>
      <w:pict w14:anchorId="195BE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44CB2" w14:textId="5D7A2900" w:rsidR="0002271B" w:rsidRDefault="0002271B">
    <w:pPr>
      <w:pStyle w:val="Header"/>
    </w:pPr>
    <w:r>
      <w:rPr>
        <w:noProof/>
      </w:rPr>
      <w:pict w14:anchorId="688F5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68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2443D0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335A499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 w15:restartNumberingAfterBreak="0">
    <w:nsid w:val="1CD54148"/>
    <w:multiLevelType w:val="hybridMultilevel"/>
    <w:tmpl w:val="3AEA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77C2F"/>
    <w:multiLevelType w:val="hybridMultilevel"/>
    <w:tmpl w:val="C4D8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B6117"/>
    <w:multiLevelType w:val="hybridMultilevel"/>
    <w:tmpl w:val="0D4A4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F75CEC"/>
    <w:multiLevelType w:val="hybridMultilevel"/>
    <w:tmpl w:val="EDE627CA"/>
    <w:lvl w:ilvl="0" w:tplc="9ADEA4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47CAA"/>
    <w:multiLevelType w:val="hybridMultilevel"/>
    <w:tmpl w:val="6E8EA9C4"/>
    <w:lvl w:ilvl="0" w:tplc="3A22A1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C0696"/>
    <w:multiLevelType w:val="hybridMultilevel"/>
    <w:tmpl w:val="D84A0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25A7B"/>
    <w:rsid w:val="0002271B"/>
    <w:rsid w:val="00023FE0"/>
    <w:rsid w:val="000D0516"/>
    <w:rsid w:val="00166CDC"/>
    <w:rsid w:val="002062D3"/>
    <w:rsid w:val="0022066A"/>
    <w:rsid w:val="00233B76"/>
    <w:rsid w:val="00260FAD"/>
    <w:rsid w:val="003A26DC"/>
    <w:rsid w:val="003B13E4"/>
    <w:rsid w:val="00407A4B"/>
    <w:rsid w:val="004B4C04"/>
    <w:rsid w:val="004C4CB1"/>
    <w:rsid w:val="00525983"/>
    <w:rsid w:val="00577471"/>
    <w:rsid w:val="00640690"/>
    <w:rsid w:val="007C6506"/>
    <w:rsid w:val="008316CC"/>
    <w:rsid w:val="00867064"/>
    <w:rsid w:val="009C168A"/>
    <w:rsid w:val="00A03A8B"/>
    <w:rsid w:val="00B4669A"/>
    <w:rsid w:val="00BD32E0"/>
    <w:rsid w:val="00BF77CA"/>
    <w:rsid w:val="00C25A7B"/>
    <w:rsid w:val="00C82121"/>
    <w:rsid w:val="00CB51D6"/>
    <w:rsid w:val="00CD7CC8"/>
    <w:rsid w:val="00D43129"/>
    <w:rsid w:val="00DA47EE"/>
    <w:rsid w:val="00DF7FE1"/>
    <w:rsid w:val="00EA428F"/>
    <w:rsid w:val="00F5178B"/>
    <w:rsid w:val="00FF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8BC8E5"/>
  <w15:docId w15:val="{F3AA8B4B-F0D2-4BD3-8B37-B93793A6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A7B"/>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C25A7B"/>
    <w:pPr>
      <w:spacing w:before="180" w:after="180"/>
    </w:pPr>
  </w:style>
  <w:style w:type="paragraph" w:customStyle="1" w:styleId="FirstParagraph">
    <w:name w:val="First Paragraph"/>
    <w:basedOn w:val="BodyText"/>
    <w:next w:val="BodyText"/>
    <w:qFormat/>
    <w:rsid w:val="00C25A7B"/>
  </w:style>
  <w:style w:type="paragraph" w:customStyle="1" w:styleId="Compact">
    <w:name w:val="Compact"/>
    <w:basedOn w:val="BodyText"/>
    <w:qFormat/>
    <w:rsid w:val="00C25A7B"/>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25A7B"/>
    <w:pPr>
      <w:keepNext/>
      <w:keepLines/>
      <w:jc w:val="center"/>
    </w:pPr>
  </w:style>
  <w:style w:type="paragraph" w:styleId="Date">
    <w:name w:val="Date"/>
    <w:next w:val="BodyText"/>
    <w:qFormat/>
    <w:rsid w:val="00C25A7B"/>
    <w:pPr>
      <w:keepNext/>
      <w:keepLines/>
      <w:jc w:val="center"/>
    </w:pPr>
  </w:style>
  <w:style w:type="paragraph" w:customStyle="1" w:styleId="AbstractTitle">
    <w:name w:val="Abstract Title"/>
    <w:basedOn w:val="Normal"/>
    <w:next w:val="Abstract"/>
    <w:qFormat/>
    <w:rsid w:val="00C25A7B"/>
    <w:pPr>
      <w:keepNext/>
      <w:keepLines/>
      <w:spacing w:before="300" w:after="0"/>
      <w:jc w:val="center"/>
    </w:pPr>
    <w:rPr>
      <w:b/>
      <w:sz w:val="20"/>
      <w:szCs w:val="20"/>
    </w:rPr>
  </w:style>
  <w:style w:type="paragraph" w:customStyle="1" w:styleId="Abstract">
    <w:name w:val="Abstract"/>
    <w:basedOn w:val="Normal"/>
    <w:next w:val="BodyText"/>
    <w:qFormat/>
    <w:rsid w:val="00C25A7B"/>
    <w:pPr>
      <w:keepNext/>
      <w:keepLines/>
      <w:spacing w:before="100" w:after="300"/>
    </w:pPr>
    <w:rPr>
      <w:sz w:val="20"/>
      <w:szCs w:val="20"/>
    </w:rPr>
  </w:style>
  <w:style w:type="paragraph" w:styleId="Bibliography">
    <w:name w:val="Bibliography"/>
    <w:basedOn w:val="Normal"/>
    <w:qFormat/>
    <w:rsid w:val="00C25A7B"/>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25A7B"/>
    <w:pPr>
      <w:spacing w:before="100" w:after="100"/>
      <w:ind w:left="480" w:right="480"/>
    </w:pPr>
  </w:style>
  <w:style w:type="paragraph" w:styleId="FootnoteText">
    <w:name w:val="footnote text"/>
    <w:basedOn w:val="Normal"/>
    <w:uiPriority w:val="9"/>
    <w:unhideWhenUsed/>
    <w:qFormat/>
    <w:rsid w:val="00C25A7B"/>
  </w:style>
  <w:style w:type="paragraph" w:customStyle="1" w:styleId="FootnoteBlockText">
    <w:name w:val="Footnote Block Text"/>
    <w:basedOn w:val="FootnoteText"/>
    <w:next w:val="FootnoteText"/>
    <w:uiPriority w:val="9"/>
    <w:unhideWhenUsed/>
    <w:qFormat/>
    <w:rsid w:val="00C25A7B"/>
    <w:pPr>
      <w:spacing w:before="100" w:after="100"/>
      <w:ind w:left="480" w:right="480"/>
    </w:pPr>
  </w:style>
  <w:style w:type="table" w:customStyle="1" w:styleId="Table">
    <w:name w:val="Table"/>
    <w:semiHidden/>
    <w:unhideWhenUsed/>
    <w:qFormat/>
    <w:rsid w:val="00C25A7B"/>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25A7B"/>
    <w:pPr>
      <w:keepNext/>
      <w:keepLines/>
      <w:spacing w:after="0"/>
    </w:pPr>
    <w:rPr>
      <w:b/>
    </w:rPr>
  </w:style>
  <w:style w:type="paragraph" w:customStyle="1" w:styleId="Definition">
    <w:name w:val="Definition"/>
    <w:basedOn w:val="Normal"/>
    <w:rsid w:val="00C25A7B"/>
  </w:style>
  <w:style w:type="paragraph" w:styleId="Caption">
    <w:name w:val="caption"/>
    <w:basedOn w:val="Normal"/>
    <w:link w:val="CaptionChar"/>
    <w:rsid w:val="00C25A7B"/>
    <w:pPr>
      <w:spacing w:after="120"/>
    </w:pPr>
    <w:rPr>
      <w:i/>
    </w:rPr>
  </w:style>
  <w:style w:type="paragraph" w:customStyle="1" w:styleId="TableCaption">
    <w:name w:val="Table Caption"/>
    <w:basedOn w:val="Caption"/>
    <w:rsid w:val="00C25A7B"/>
    <w:pPr>
      <w:keepNext/>
    </w:pPr>
  </w:style>
  <w:style w:type="paragraph" w:customStyle="1" w:styleId="ImageCaption">
    <w:name w:val="Image Caption"/>
    <w:basedOn w:val="Caption"/>
    <w:rsid w:val="00C25A7B"/>
  </w:style>
  <w:style w:type="paragraph" w:customStyle="1" w:styleId="Figure">
    <w:name w:val="Figure"/>
    <w:basedOn w:val="Normal"/>
    <w:rsid w:val="00C25A7B"/>
  </w:style>
  <w:style w:type="paragraph" w:customStyle="1" w:styleId="CaptionedFigure">
    <w:name w:val="Captioned Figure"/>
    <w:basedOn w:val="Figure"/>
    <w:rsid w:val="00C25A7B"/>
    <w:pPr>
      <w:keepNext/>
    </w:pPr>
  </w:style>
  <w:style w:type="character" w:customStyle="1" w:styleId="CaptionChar">
    <w:name w:val="Caption Char"/>
    <w:basedOn w:val="DefaultParagraphFont"/>
    <w:link w:val="Caption"/>
    <w:rsid w:val="00C25A7B"/>
  </w:style>
  <w:style w:type="character" w:customStyle="1" w:styleId="VerbatimChar">
    <w:name w:val="Verbatim Char"/>
    <w:basedOn w:val="CaptionChar"/>
    <w:link w:val="SourceCode"/>
    <w:rsid w:val="00C25A7B"/>
    <w:rPr>
      <w:rFonts w:ascii="Consolas" w:hAnsi="Consolas"/>
      <w:sz w:val="22"/>
    </w:rPr>
  </w:style>
  <w:style w:type="character" w:customStyle="1" w:styleId="SectionNumber">
    <w:name w:val="Section Number"/>
    <w:basedOn w:val="CaptionChar"/>
    <w:rsid w:val="00C25A7B"/>
  </w:style>
  <w:style w:type="character" w:styleId="FootnoteReference">
    <w:name w:val="footnote reference"/>
    <w:basedOn w:val="CaptionChar"/>
    <w:rsid w:val="00C25A7B"/>
    <w:rPr>
      <w:vertAlign w:val="superscript"/>
    </w:rPr>
  </w:style>
  <w:style w:type="character" w:styleId="Hyperlink">
    <w:name w:val="Hyperlink"/>
    <w:basedOn w:val="CaptionChar"/>
    <w:rsid w:val="00C25A7B"/>
    <w:rPr>
      <w:color w:val="156082" w:themeColor="accent1"/>
    </w:rPr>
  </w:style>
  <w:style w:type="paragraph" w:styleId="TOCHeading">
    <w:name w:val="TOC Heading"/>
    <w:basedOn w:val="Heading1"/>
    <w:next w:val="BodyText"/>
    <w:uiPriority w:val="39"/>
    <w:unhideWhenUsed/>
    <w:qFormat/>
    <w:rsid w:val="00C25A7B"/>
    <w:pPr>
      <w:spacing w:before="240" w:line="259" w:lineRule="auto"/>
      <w:outlineLvl w:val="9"/>
    </w:pPr>
  </w:style>
  <w:style w:type="paragraph" w:customStyle="1" w:styleId="SourceCode">
    <w:name w:val="Source Code"/>
    <w:basedOn w:val="Normal"/>
    <w:link w:val="VerbatimChar"/>
    <w:rsid w:val="00C25A7B"/>
    <w:pPr>
      <w:wordWrap w:val="0"/>
    </w:pPr>
  </w:style>
  <w:style w:type="character" w:customStyle="1" w:styleId="KeywordTok">
    <w:name w:val="KeywordTok"/>
    <w:basedOn w:val="VerbatimChar"/>
    <w:rsid w:val="00C25A7B"/>
    <w:rPr>
      <w:rFonts w:ascii="Consolas" w:hAnsi="Consolas"/>
      <w:b/>
      <w:color w:val="007020"/>
      <w:sz w:val="22"/>
    </w:rPr>
  </w:style>
  <w:style w:type="character" w:customStyle="1" w:styleId="DataTypeTok">
    <w:name w:val="DataTypeTok"/>
    <w:basedOn w:val="VerbatimChar"/>
    <w:rsid w:val="00C25A7B"/>
    <w:rPr>
      <w:rFonts w:ascii="Consolas" w:hAnsi="Consolas"/>
      <w:color w:val="902000"/>
      <w:sz w:val="22"/>
    </w:rPr>
  </w:style>
  <w:style w:type="character" w:customStyle="1" w:styleId="DecValTok">
    <w:name w:val="DecValTok"/>
    <w:basedOn w:val="VerbatimChar"/>
    <w:rsid w:val="00C25A7B"/>
    <w:rPr>
      <w:rFonts w:ascii="Consolas" w:hAnsi="Consolas"/>
      <w:color w:val="40A070"/>
      <w:sz w:val="22"/>
    </w:rPr>
  </w:style>
  <w:style w:type="character" w:customStyle="1" w:styleId="BaseNTok">
    <w:name w:val="BaseNTok"/>
    <w:basedOn w:val="VerbatimChar"/>
    <w:rsid w:val="00C25A7B"/>
    <w:rPr>
      <w:rFonts w:ascii="Consolas" w:hAnsi="Consolas"/>
      <w:color w:val="40A070"/>
      <w:sz w:val="22"/>
    </w:rPr>
  </w:style>
  <w:style w:type="character" w:customStyle="1" w:styleId="FloatTok">
    <w:name w:val="FloatTok"/>
    <w:basedOn w:val="VerbatimChar"/>
    <w:rsid w:val="00C25A7B"/>
    <w:rPr>
      <w:rFonts w:ascii="Consolas" w:hAnsi="Consolas"/>
      <w:color w:val="40A070"/>
      <w:sz w:val="22"/>
    </w:rPr>
  </w:style>
  <w:style w:type="character" w:customStyle="1" w:styleId="ConstantTok">
    <w:name w:val="ConstantTok"/>
    <w:basedOn w:val="VerbatimChar"/>
    <w:rsid w:val="00C25A7B"/>
    <w:rPr>
      <w:rFonts w:ascii="Consolas" w:hAnsi="Consolas"/>
      <w:color w:val="880000"/>
      <w:sz w:val="22"/>
    </w:rPr>
  </w:style>
  <w:style w:type="character" w:customStyle="1" w:styleId="CharTok">
    <w:name w:val="CharTok"/>
    <w:basedOn w:val="VerbatimChar"/>
    <w:rsid w:val="00C25A7B"/>
    <w:rPr>
      <w:rFonts w:ascii="Consolas" w:hAnsi="Consolas"/>
      <w:color w:val="4070A0"/>
      <w:sz w:val="22"/>
    </w:rPr>
  </w:style>
  <w:style w:type="character" w:customStyle="1" w:styleId="SpecialCharTok">
    <w:name w:val="SpecialCharTok"/>
    <w:basedOn w:val="VerbatimChar"/>
    <w:rsid w:val="00C25A7B"/>
    <w:rPr>
      <w:rFonts w:ascii="Consolas" w:hAnsi="Consolas"/>
      <w:color w:val="4070A0"/>
      <w:sz w:val="22"/>
    </w:rPr>
  </w:style>
  <w:style w:type="character" w:customStyle="1" w:styleId="StringTok">
    <w:name w:val="StringTok"/>
    <w:basedOn w:val="VerbatimChar"/>
    <w:rsid w:val="00C25A7B"/>
    <w:rPr>
      <w:rFonts w:ascii="Consolas" w:hAnsi="Consolas"/>
      <w:color w:val="4070A0"/>
      <w:sz w:val="22"/>
    </w:rPr>
  </w:style>
  <w:style w:type="character" w:customStyle="1" w:styleId="VerbatimStringTok">
    <w:name w:val="VerbatimStringTok"/>
    <w:basedOn w:val="VerbatimChar"/>
    <w:rsid w:val="00C25A7B"/>
    <w:rPr>
      <w:rFonts w:ascii="Consolas" w:hAnsi="Consolas"/>
      <w:color w:val="4070A0"/>
      <w:sz w:val="22"/>
    </w:rPr>
  </w:style>
  <w:style w:type="character" w:customStyle="1" w:styleId="SpecialStringTok">
    <w:name w:val="SpecialStringTok"/>
    <w:basedOn w:val="VerbatimChar"/>
    <w:rsid w:val="00C25A7B"/>
    <w:rPr>
      <w:rFonts w:ascii="Consolas" w:hAnsi="Consolas"/>
      <w:color w:val="BB6688"/>
      <w:sz w:val="22"/>
    </w:rPr>
  </w:style>
  <w:style w:type="character" w:customStyle="1" w:styleId="ImportTok">
    <w:name w:val="ImportTok"/>
    <w:basedOn w:val="VerbatimChar"/>
    <w:rsid w:val="00C25A7B"/>
    <w:rPr>
      <w:rFonts w:ascii="Consolas" w:hAnsi="Consolas"/>
      <w:b/>
      <w:color w:val="008000"/>
      <w:sz w:val="22"/>
    </w:rPr>
  </w:style>
  <w:style w:type="character" w:customStyle="1" w:styleId="CommentTok">
    <w:name w:val="CommentTok"/>
    <w:basedOn w:val="VerbatimChar"/>
    <w:rsid w:val="00C25A7B"/>
    <w:rPr>
      <w:rFonts w:ascii="Consolas" w:hAnsi="Consolas"/>
      <w:i/>
      <w:color w:val="60A0B0"/>
      <w:sz w:val="22"/>
    </w:rPr>
  </w:style>
  <w:style w:type="character" w:customStyle="1" w:styleId="DocumentationTok">
    <w:name w:val="DocumentationTok"/>
    <w:basedOn w:val="VerbatimChar"/>
    <w:rsid w:val="00C25A7B"/>
    <w:rPr>
      <w:rFonts w:ascii="Consolas" w:hAnsi="Consolas"/>
      <w:i/>
      <w:color w:val="BA2121"/>
      <w:sz w:val="22"/>
    </w:rPr>
  </w:style>
  <w:style w:type="character" w:customStyle="1" w:styleId="AnnotationTok">
    <w:name w:val="AnnotationTok"/>
    <w:basedOn w:val="VerbatimChar"/>
    <w:rsid w:val="00C25A7B"/>
    <w:rPr>
      <w:rFonts w:ascii="Consolas" w:hAnsi="Consolas"/>
      <w:b/>
      <w:i/>
      <w:color w:val="60A0B0"/>
      <w:sz w:val="22"/>
    </w:rPr>
  </w:style>
  <w:style w:type="character" w:customStyle="1" w:styleId="CommentVarTok">
    <w:name w:val="CommentVarTok"/>
    <w:basedOn w:val="VerbatimChar"/>
    <w:rsid w:val="00C25A7B"/>
    <w:rPr>
      <w:rFonts w:ascii="Consolas" w:hAnsi="Consolas"/>
      <w:b/>
      <w:i/>
      <w:color w:val="60A0B0"/>
      <w:sz w:val="22"/>
    </w:rPr>
  </w:style>
  <w:style w:type="character" w:customStyle="1" w:styleId="OtherTok">
    <w:name w:val="OtherTok"/>
    <w:basedOn w:val="VerbatimChar"/>
    <w:rsid w:val="00C25A7B"/>
    <w:rPr>
      <w:rFonts w:ascii="Consolas" w:hAnsi="Consolas"/>
      <w:color w:val="007020"/>
      <w:sz w:val="22"/>
    </w:rPr>
  </w:style>
  <w:style w:type="character" w:customStyle="1" w:styleId="FunctionTok">
    <w:name w:val="FunctionTok"/>
    <w:basedOn w:val="VerbatimChar"/>
    <w:rsid w:val="00C25A7B"/>
    <w:rPr>
      <w:rFonts w:ascii="Consolas" w:hAnsi="Consolas"/>
      <w:color w:val="06287E"/>
      <w:sz w:val="22"/>
    </w:rPr>
  </w:style>
  <w:style w:type="character" w:customStyle="1" w:styleId="VariableTok">
    <w:name w:val="VariableTok"/>
    <w:basedOn w:val="VerbatimChar"/>
    <w:rsid w:val="00C25A7B"/>
    <w:rPr>
      <w:rFonts w:ascii="Consolas" w:hAnsi="Consolas"/>
      <w:color w:val="19177C"/>
      <w:sz w:val="22"/>
    </w:rPr>
  </w:style>
  <w:style w:type="character" w:customStyle="1" w:styleId="ControlFlowTok">
    <w:name w:val="ControlFlowTok"/>
    <w:basedOn w:val="VerbatimChar"/>
    <w:rsid w:val="00C25A7B"/>
    <w:rPr>
      <w:rFonts w:ascii="Consolas" w:hAnsi="Consolas"/>
      <w:b/>
      <w:color w:val="007020"/>
      <w:sz w:val="22"/>
    </w:rPr>
  </w:style>
  <w:style w:type="character" w:customStyle="1" w:styleId="OperatorTok">
    <w:name w:val="OperatorTok"/>
    <w:basedOn w:val="VerbatimChar"/>
    <w:rsid w:val="00C25A7B"/>
    <w:rPr>
      <w:rFonts w:ascii="Consolas" w:hAnsi="Consolas"/>
      <w:color w:val="666666"/>
      <w:sz w:val="22"/>
    </w:rPr>
  </w:style>
  <w:style w:type="character" w:customStyle="1" w:styleId="BuiltInTok">
    <w:name w:val="BuiltInTok"/>
    <w:basedOn w:val="VerbatimChar"/>
    <w:rsid w:val="00C25A7B"/>
    <w:rPr>
      <w:rFonts w:ascii="Consolas" w:hAnsi="Consolas"/>
      <w:color w:val="008000"/>
      <w:sz w:val="22"/>
    </w:rPr>
  </w:style>
  <w:style w:type="character" w:customStyle="1" w:styleId="ExtensionTok">
    <w:name w:val="ExtensionTok"/>
    <w:basedOn w:val="VerbatimChar"/>
    <w:rsid w:val="00C25A7B"/>
    <w:rPr>
      <w:rFonts w:ascii="Consolas" w:hAnsi="Consolas"/>
      <w:sz w:val="22"/>
    </w:rPr>
  </w:style>
  <w:style w:type="character" w:customStyle="1" w:styleId="PreprocessorTok">
    <w:name w:val="PreprocessorTok"/>
    <w:basedOn w:val="VerbatimChar"/>
    <w:rsid w:val="00C25A7B"/>
    <w:rPr>
      <w:rFonts w:ascii="Consolas" w:hAnsi="Consolas"/>
      <w:color w:val="BC7A00"/>
      <w:sz w:val="22"/>
    </w:rPr>
  </w:style>
  <w:style w:type="character" w:customStyle="1" w:styleId="AttributeTok">
    <w:name w:val="AttributeTok"/>
    <w:basedOn w:val="VerbatimChar"/>
    <w:rsid w:val="00C25A7B"/>
    <w:rPr>
      <w:rFonts w:ascii="Consolas" w:hAnsi="Consolas"/>
      <w:color w:val="7D9029"/>
      <w:sz w:val="22"/>
    </w:rPr>
  </w:style>
  <w:style w:type="character" w:customStyle="1" w:styleId="RegionMarkerTok">
    <w:name w:val="RegionMarkerTok"/>
    <w:basedOn w:val="VerbatimChar"/>
    <w:rsid w:val="00C25A7B"/>
    <w:rPr>
      <w:rFonts w:ascii="Consolas" w:hAnsi="Consolas"/>
      <w:sz w:val="22"/>
    </w:rPr>
  </w:style>
  <w:style w:type="character" w:customStyle="1" w:styleId="InformationTok">
    <w:name w:val="InformationTok"/>
    <w:basedOn w:val="VerbatimChar"/>
    <w:rsid w:val="00C25A7B"/>
    <w:rPr>
      <w:rFonts w:ascii="Consolas" w:hAnsi="Consolas"/>
      <w:b/>
      <w:i/>
      <w:color w:val="60A0B0"/>
      <w:sz w:val="22"/>
    </w:rPr>
  </w:style>
  <w:style w:type="character" w:customStyle="1" w:styleId="WarningTok">
    <w:name w:val="WarningTok"/>
    <w:basedOn w:val="VerbatimChar"/>
    <w:rsid w:val="00C25A7B"/>
    <w:rPr>
      <w:rFonts w:ascii="Consolas" w:hAnsi="Consolas"/>
      <w:b/>
      <w:i/>
      <w:color w:val="60A0B0"/>
      <w:sz w:val="22"/>
    </w:rPr>
  </w:style>
  <w:style w:type="character" w:customStyle="1" w:styleId="AlertTok">
    <w:name w:val="AlertTok"/>
    <w:basedOn w:val="VerbatimChar"/>
    <w:rsid w:val="00C25A7B"/>
    <w:rPr>
      <w:rFonts w:ascii="Consolas" w:hAnsi="Consolas"/>
      <w:b/>
      <w:color w:val="FF0000"/>
      <w:sz w:val="22"/>
    </w:rPr>
  </w:style>
  <w:style w:type="character" w:customStyle="1" w:styleId="ErrorTok">
    <w:name w:val="ErrorTok"/>
    <w:basedOn w:val="VerbatimChar"/>
    <w:rsid w:val="00C25A7B"/>
    <w:rPr>
      <w:rFonts w:ascii="Consolas" w:hAnsi="Consolas"/>
      <w:b/>
      <w:color w:val="FF0000"/>
      <w:sz w:val="22"/>
    </w:rPr>
  </w:style>
  <w:style w:type="character" w:customStyle="1" w:styleId="NormalTok">
    <w:name w:val="NormalTok"/>
    <w:basedOn w:val="VerbatimChar"/>
    <w:rsid w:val="00C25A7B"/>
    <w:rPr>
      <w:rFonts w:ascii="Consolas" w:hAnsi="Consolas"/>
      <w:sz w:val="22"/>
    </w:rPr>
  </w:style>
  <w:style w:type="paragraph" w:styleId="BalloonText">
    <w:name w:val="Balloon Text"/>
    <w:basedOn w:val="Normal"/>
    <w:link w:val="BalloonTextChar"/>
    <w:rsid w:val="002062D3"/>
    <w:pPr>
      <w:spacing w:after="0"/>
    </w:pPr>
    <w:rPr>
      <w:rFonts w:ascii="Tahoma" w:hAnsi="Tahoma" w:cs="Tahoma"/>
      <w:sz w:val="16"/>
      <w:szCs w:val="16"/>
    </w:rPr>
  </w:style>
  <w:style w:type="character" w:customStyle="1" w:styleId="BalloonTextChar">
    <w:name w:val="Balloon Text Char"/>
    <w:basedOn w:val="DefaultParagraphFont"/>
    <w:link w:val="BalloonText"/>
    <w:rsid w:val="002062D3"/>
    <w:rPr>
      <w:rFonts w:ascii="Tahoma" w:hAnsi="Tahoma" w:cs="Tahoma"/>
      <w:sz w:val="16"/>
      <w:szCs w:val="16"/>
    </w:rPr>
  </w:style>
  <w:style w:type="character" w:styleId="Emphasis">
    <w:name w:val="Emphasis"/>
    <w:basedOn w:val="DefaultParagraphFont"/>
    <w:uiPriority w:val="20"/>
    <w:qFormat/>
    <w:rsid w:val="00640690"/>
    <w:rPr>
      <w:i/>
      <w:iCs/>
    </w:rPr>
  </w:style>
  <w:style w:type="paragraph" w:styleId="NormalWeb">
    <w:name w:val="Normal (Web)"/>
    <w:basedOn w:val="Normal"/>
    <w:uiPriority w:val="99"/>
    <w:unhideWhenUsed/>
    <w:rsid w:val="00640690"/>
    <w:pPr>
      <w:spacing w:before="100" w:beforeAutospacing="1" w:after="100" w:afterAutospacing="1"/>
    </w:pPr>
    <w:rPr>
      <w:rFonts w:ascii="Times New Roman" w:eastAsia="Times New Roman" w:hAnsi="Times New Roman" w:cs="Times New Roman"/>
    </w:rPr>
  </w:style>
  <w:style w:type="paragraph" w:customStyle="1" w:styleId="Default">
    <w:name w:val="Default"/>
    <w:rsid w:val="00023FE0"/>
    <w:pPr>
      <w:autoSpaceDE w:val="0"/>
      <w:autoSpaceDN w:val="0"/>
      <w:adjustRightInd w:val="0"/>
      <w:spacing w:after="0"/>
    </w:pPr>
    <w:rPr>
      <w:rFonts w:ascii="Times New Roman" w:hAnsi="Times New Roman" w:cs="Times New Roman"/>
      <w:color w:val="000000"/>
      <w:lang w:bidi="hi-IN"/>
    </w:rPr>
  </w:style>
  <w:style w:type="paragraph" w:styleId="Header">
    <w:name w:val="header"/>
    <w:basedOn w:val="Normal"/>
    <w:link w:val="HeaderChar"/>
    <w:rsid w:val="0002271B"/>
    <w:pPr>
      <w:tabs>
        <w:tab w:val="center" w:pos="4680"/>
        <w:tab w:val="right" w:pos="9360"/>
      </w:tabs>
      <w:spacing w:after="0"/>
    </w:pPr>
  </w:style>
  <w:style w:type="character" w:customStyle="1" w:styleId="HeaderChar">
    <w:name w:val="Header Char"/>
    <w:basedOn w:val="DefaultParagraphFont"/>
    <w:link w:val="Header"/>
    <w:rsid w:val="0002271B"/>
  </w:style>
  <w:style w:type="paragraph" w:styleId="Footer">
    <w:name w:val="footer"/>
    <w:basedOn w:val="Normal"/>
    <w:link w:val="FooterChar"/>
    <w:rsid w:val="0002271B"/>
    <w:pPr>
      <w:tabs>
        <w:tab w:val="center" w:pos="4680"/>
        <w:tab w:val="right" w:pos="9360"/>
      </w:tabs>
      <w:spacing w:after="0"/>
    </w:pPr>
  </w:style>
  <w:style w:type="character" w:customStyle="1" w:styleId="FooterChar">
    <w:name w:val="Footer Char"/>
    <w:basedOn w:val="DefaultParagraphFont"/>
    <w:link w:val="Footer"/>
    <w:rsid w:val="0002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7557">
      <w:bodyDiv w:val="1"/>
      <w:marLeft w:val="0"/>
      <w:marRight w:val="0"/>
      <w:marTop w:val="0"/>
      <w:marBottom w:val="0"/>
      <w:divBdr>
        <w:top w:val="none" w:sz="0" w:space="0" w:color="auto"/>
        <w:left w:val="none" w:sz="0" w:space="0" w:color="auto"/>
        <w:bottom w:val="none" w:sz="0" w:space="0" w:color="auto"/>
        <w:right w:val="none" w:sz="0" w:space="0" w:color="auto"/>
      </w:divBdr>
    </w:div>
    <w:div w:id="173299881">
      <w:bodyDiv w:val="1"/>
      <w:marLeft w:val="0"/>
      <w:marRight w:val="0"/>
      <w:marTop w:val="0"/>
      <w:marBottom w:val="0"/>
      <w:divBdr>
        <w:top w:val="none" w:sz="0" w:space="0" w:color="auto"/>
        <w:left w:val="none" w:sz="0" w:space="0" w:color="auto"/>
        <w:bottom w:val="none" w:sz="0" w:space="0" w:color="auto"/>
        <w:right w:val="none" w:sz="0" w:space="0" w:color="auto"/>
      </w:divBdr>
    </w:div>
    <w:div w:id="235553698">
      <w:bodyDiv w:val="1"/>
      <w:marLeft w:val="0"/>
      <w:marRight w:val="0"/>
      <w:marTop w:val="0"/>
      <w:marBottom w:val="0"/>
      <w:divBdr>
        <w:top w:val="none" w:sz="0" w:space="0" w:color="auto"/>
        <w:left w:val="none" w:sz="0" w:space="0" w:color="auto"/>
        <w:bottom w:val="none" w:sz="0" w:space="0" w:color="auto"/>
        <w:right w:val="none" w:sz="0" w:space="0" w:color="auto"/>
      </w:divBdr>
    </w:div>
    <w:div w:id="316419802">
      <w:bodyDiv w:val="1"/>
      <w:marLeft w:val="0"/>
      <w:marRight w:val="0"/>
      <w:marTop w:val="0"/>
      <w:marBottom w:val="0"/>
      <w:divBdr>
        <w:top w:val="none" w:sz="0" w:space="0" w:color="auto"/>
        <w:left w:val="none" w:sz="0" w:space="0" w:color="auto"/>
        <w:bottom w:val="none" w:sz="0" w:space="0" w:color="auto"/>
        <w:right w:val="none" w:sz="0" w:space="0" w:color="auto"/>
      </w:divBdr>
    </w:div>
    <w:div w:id="341932264">
      <w:bodyDiv w:val="1"/>
      <w:marLeft w:val="0"/>
      <w:marRight w:val="0"/>
      <w:marTop w:val="0"/>
      <w:marBottom w:val="0"/>
      <w:divBdr>
        <w:top w:val="none" w:sz="0" w:space="0" w:color="auto"/>
        <w:left w:val="none" w:sz="0" w:space="0" w:color="auto"/>
        <w:bottom w:val="none" w:sz="0" w:space="0" w:color="auto"/>
        <w:right w:val="none" w:sz="0" w:space="0" w:color="auto"/>
      </w:divBdr>
    </w:div>
    <w:div w:id="509149355">
      <w:bodyDiv w:val="1"/>
      <w:marLeft w:val="0"/>
      <w:marRight w:val="0"/>
      <w:marTop w:val="0"/>
      <w:marBottom w:val="0"/>
      <w:divBdr>
        <w:top w:val="none" w:sz="0" w:space="0" w:color="auto"/>
        <w:left w:val="none" w:sz="0" w:space="0" w:color="auto"/>
        <w:bottom w:val="none" w:sz="0" w:space="0" w:color="auto"/>
        <w:right w:val="none" w:sz="0" w:space="0" w:color="auto"/>
      </w:divBdr>
    </w:div>
    <w:div w:id="799568500">
      <w:bodyDiv w:val="1"/>
      <w:marLeft w:val="0"/>
      <w:marRight w:val="0"/>
      <w:marTop w:val="0"/>
      <w:marBottom w:val="0"/>
      <w:divBdr>
        <w:top w:val="none" w:sz="0" w:space="0" w:color="auto"/>
        <w:left w:val="none" w:sz="0" w:space="0" w:color="auto"/>
        <w:bottom w:val="none" w:sz="0" w:space="0" w:color="auto"/>
        <w:right w:val="none" w:sz="0" w:space="0" w:color="auto"/>
      </w:divBdr>
    </w:div>
    <w:div w:id="804275380">
      <w:bodyDiv w:val="1"/>
      <w:marLeft w:val="0"/>
      <w:marRight w:val="0"/>
      <w:marTop w:val="0"/>
      <w:marBottom w:val="0"/>
      <w:divBdr>
        <w:top w:val="none" w:sz="0" w:space="0" w:color="auto"/>
        <w:left w:val="none" w:sz="0" w:space="0" w:color="auto"/>
        <w:bottom w:val="none" w:sz="0" w:space="0" w:color="auto"/>
        <w:right w:val="none" w:sz="0" w:space="0" w:color="auto"/>
      </w:divBdr>
    </w:div>
    <w:div w:id="1005942845">
      <w:bodyDiv w:val="1"/>
      <w:marLeft w:val="0"/>
      <w:marRight w:val="0"/>
      <w:marTop w:val="0"/>
      <w:marBottom w:val="0"/>
      <w:divBdr>
        <w:top w:val="none" w:sz="0" w:space="0" w:color="auto"/>
        <w:left w:val="none" w:sz="0" w:space="0" w:color="auto"/>
        <w:bottom w:val="none" w:sz="0" w:space="0" w:color="auto"/>
        <w:right w:val="none" w:sz="0" w:space="0" w:color="auto"/>
      </w:divBdr>
    </w:div>
    <w:div w:id="1024743396">
      <w:bodyDiv w:val="1"/>
      <w:marLeft w:val="0"/>
      <w:marRight w:val="0"/>
      <w:marTop w:val="0"/>
      <w:marBottom w:val="0"/>
      <w:divBdr>
        <w:top w:val="none" w:sz="0" w:space="0" w:color="auto"/>
        <w:left w:val="none" w:sz="0" w:space="0" w:color="auto"/>
        <w:bottom w:val="none" w:sz="0" w:space="0" w:color="auto"/>
        <w:right w:val="none" w:sz="0" w:space="0" w:color="auto"/>
      </w:divBdr>
    </w:div>
    <w:div w:id="1029066946">
      <w:bodyDiv w:val="1"/>
      <w:marLeft w:val="0"/>
      <w:marRight w:val="0"/>
      <w:marTop w:val="0"/>
      <w:marBottom w:val="0"/>
      <w:divBdr>
        <w:top w:val="none" w:sz="0" w:space="0" w:color="auto"/>
        <w:left w:val="none" w:sz="0" w:space="0" w:color="auto"/>
        <w:bottom w:val="none" w:sz="0" w:space="0" w:color="auto"/>
        <w:right w:val="none" w:sz="0" w:space="0" w:color="auto"/>
      </w:divBdr>
    </w:div>
    <w:div w:id="1032339561">
      <w:bodyDiv w:val="1"/>
      <w:marLeft w:val="0"/>
      <w:marRight w:val="0"/>
      <w:marTop w:val="0"/>
      <w:marBottom w:val="0"/>
      <w:divBdr>
        <w:top w:val="none" w:sz="0" w:space="0" w:color="auto"/>
        <w:left w:val="none" w:sz="0" w:space="0" w:color="auto"/>
        <w:bottom w:val="none" w:sz="0" w:space="0" w:color="auto"/>
        <w:right w:val="none" w:sz="0" w:space="0" w:color="auto"/>
      </w:divBdr>
    </w:div>
    <w:div w:id="1081414287">
      <w:bodyDiv w:val="1"/>
      <w:marLeft w:val="0"/>
      <w:marRight w:val="0"/>
      <w:marTop w:val="0"/>
      <w:marBottom w:val="0"/>
      <w:divBdr>
        <w:top w:val="none" w:sz="0" w:space="0" w:color="auto"/>
        <w:left w:val="none" w:sz="0" w:space="0" w:color="auto"/>
        <w:bottom w:val="none" w:sz="0" w:space="0" w:color="auto"/>
        <w:right w:val="none" w:sz="0" w:space="0" w:color="auto"/>
      </w:divBdr>
    </w:div>
    <w:div w:id="1177306615">
      <w:bodyDiv w:val="1"/>
      <w:marLeft w:val="0"/>
      <w:marRight w:val="0"/>
      <w:marTop w:val="0"/>
      <w:marBottom w:val="0"/>
      <w:divBdr>
        <w:top w:val="none" w:sz="0" w:space="0" w:color="auto"/>
        <w:left w:val="none" w:sz="0" w:space="0" w:color="auto"/>
        <w:bottom w:val="none" w:sz="0" w:space="0" w:color="auto"/>
        <w:right w:val="none" w:sz="0" w:space="0" w:color="auto"/>
      </w:divBdr>
    </w:div>
    <w:div w:id="1198741393">
      <w:bodyDiv w:val="1"/>
      <w:marLeft w:val="0"/>
      <w:marRight w:val="0"/>
      <w:marTop w:val="0"/>
      <w:marBottom w:val="0"/>
      <w:divBdr>
        <w:top w:val="none" w:sz="0" w:space="0" w:color="auto"/>
        <w:left w:val="none" w:sz="0" w:space="0" w:color="auto"/>
        <w:bottom w:val="none" w:sz="0" w:space="0" w:color="auto"/>
        <w:right w:val="none" w:sz="0" w:space="0" w:color="auto"/>
      </w:divBdr>
    </w:div>
    <w:div w:id="1334184727">
      <w:bodyDiv w:val="1"/>
      <w:marLeft w:val="0"/>
      <w:marRight w:val="0"/>
      <w:marTop w:val="0"/>
      <w:marBottom w:val="0"/>
      <w:divBdr>
        <w:top w:val="none" w:sz="0" w:space="0" w:color="auto"/>
        <w:left w:val="none" w:sz="0" w:space="0" w:color="auto"/>
        <w:bottom w:val="none" w:sz="0" w:space="0" w:color="auto"/>
        <w:right w:val="none" w:sz="0" w:space="0" w:color="auto"/>
      </w:divBdr>
    </w:div>
    <w:div w:id="1420366165">
      <w:bodyDiv w:val="1"/>
      <w:marLeft w:val="0"/>
      <w:marRight w:val="0"/>
      <w:marTop w:val="0"/>
      <w:marBottom w:val="0"/>
      <w:divBdr>
        <w:top w:val="none" w:sz="0" w:space="0" w:color="auto"/>
        <w:left w:val="none" w:sz="0" w:space="0" w:color="auto"/>
        <w:bottom w:val="none" w:sz="0" w:space="0" w:color="auto"/>
        <w:right w:val="none" w:sz="0" w:space="0" w:color="auto"/>
      </w:divBdr>
    </w:div>
    <w:div w:id="1497261521">
      <w:bodyDiv w:val="1"/>
      <w:marLeft w:val="0"/>
      <w:marRight w:val="0"/>
      <w:marTop w:val="0"/>
      <w:marBottom w:val="0"/>
      <w:divBdr>
        <w:top w:val="none" w:sz="0" w:space="0" w:color="auto"/>
        <w:left w:val="none" w:sz="0" w:space="0" w:color="auto"/>
        <w:bottom w:val="none" w:sz="0" w:space="0" w:color="auto"/>
        <w:right w:val="none" w:sz="0" w:space="0" w:color="auto"/>
      </w:divBdr>
    </w:div>
    <w:div w:id="1569264534">
      <w:bodyDiv w:val="1"/>
      <w:marLeft w:val="0"/>
      <w:marRight w:val="0"/>
      <w:marTop w:val="0"/>
      <w:marBottom w:val="0"/>
      <w:divBdr>
        <w:top w:val="none" w:sz="0" w:space="0" w:color="auto"/>
        <w:left w:val="none" w:sz="0" w:space="0" w:color="auto"/>
        <w:bottom w:val="none" w:sz="0" w:space="0" w:color="auto"/>
        <w:right w:val="none" w:sz="0" w:space="0" w:color="auto"/>
      </w:divBdr>
    </w:div>
    <w:div w:id="1708944001">
      <w:bodyDiv w:val="1"/>
      <w:marLeft w:val="0"/>
      <w:marRight w:val="0"/>
      <w:marTop w:val="0"/>
      <w:marBottom w:val="0"/>
      <w:divBdr>
        <w:top w:val="none" w:sz="0" w:space="0" w:color="auto"/>
        <w:left w:val="none" w:sz="0" w:space="0" w:color="auto"/>
        <w:bottom w:val="none" w:sz="0" w:space="0" w:color="auto"/>
        <w:right w:val="none" w:sz="0" w:space="0" w:color="auto"/>
      </w:divBdr>
    </w:div>
    <w:div w:id="1749646900">
      <w:bodyDiv w:val="1"/>
      <w:marLeft w:val="0"/>
      <w:marRight w:val="0"/>
      <w:marTop w:val="0"/>
      <w:marBottom w:val="0"/>
      <w:divBdr>
        <w:top w:val="none" w:sz="0" w:space="0" w:color="auto"/>
        <w:left w:val="none" w:sz="0" w:space="0" w:color="auto"/>
        <w:bottom w:val="none" w:sz="0" w:space="0" w:color="auto"/>
        <w:right w:val="none" w:sz="0" w:space="0" w:color="auto"/>
      </w:divBdr>
    </w:div>
    <w:div w:id="1786072188">
      <w:bodyDiv w:val="1"/>
      <w:marLeft w:val="0"/>
      <w:marRight w:val="0"/>
      <w:marTop w:val="0"/>
      <w:marBottom w:val="0"/>
      <w:divBdr>
        <w:top w:val="none" w:sz="0" w:space="0" w:color="auto"/>
        <w:left w:val="none" w:sz="0" w:space="0" w:color="auto"/>
        <w:bottom w:val="none" w:sz="0" w:space="0" w:color="auto"/>
        <w:right w:val="none" w:sz="0" w:space="0" w:color="auto"/>
      </w:divBdr>
    </w:div>
    <w:div w:id="1803572007">
      <w:bodyDiv w:val="1"/>
      <w:marLeft w:val="0"/>
      <w:marRight w:val="0"/>
      <w:marTop w:val="0"/>
      <w:marBottom w:val="0"/>
      <w:divBdr>
        <w:top w:val="none" w:sz="0" w:space="0" w:color="auto"/>
        <w:left w:val="none" w:sz="0" w:space="0" w:color="auto"/>
        <w:bottom w:val="none" w:sz="0" w:space="0" w:color="auto"/>
        <w:right w:val="none" w:sz="0" w:space="0" w:color="auto"/>
      </w:divBdr>
    </w:div>
    <w:div w:id="1817187440">
      <w:bodyDiv w:val="1"/>
      <w:marLeft w:val="0"/>
      <w:marRight w:val="0"/>
      <w:marTop w:val="0"/>
      <w:marBottom w:val="0"/>
      <w:divBdr>
        <w:top w:val="none" w:sz="0" w:space="0" w:color="auto"/>
        <w:left w:val="none" w:sz="0" w:space="0" w:color="auto"/>
        <w:bottom w:val="none" w:sz="0" w:space="0" w:color="auto"/>
        <w:right w:val="none" w:sz="0" w:space="0" w:color="auto"/>
      </w:divBdr>
    </w:div>
    <w:div w:id="1830562148">
      <w:bodyDiv w:val="1"/>
      <w:marLeft w:val="0"/>
      <w:marRight w:val="0"/>
      <w:marTop w:val="0"/>
      <w:marBottom w:val="0"/>
      <w:divBdr>
        <w:top w:val="none" w:sz="0" w:space="0" w:color="auto"/>
        <w:left w:val="none" w:sz="0" w:space="0" w:color="auto"/>
        <w:bottom w:val="none" w:sz="0" w:space="0" w:color="auto"/>
        <w:right w:val="none" w:sz="0" w:space="0" w:color="auto"/>
      </w:divBdr>
    </w:div>
    <w:div w:id="20474140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7479151423207654E-2"/>
          <c:y val="8.0438141749694228E-2"/>
          <c:w val="0.93333713467826851"/>
          <c:h val="0.70436922996565565"/>
        </c:manualLayout>
      </c:layout>
      <c:bar3DChart>
        <c:barDir val="col"/>
        <c:grouping val="clustered"/>
        <c:varyColors val="0"/>
        <c:ser>
          <c:idx val="0"/>
          <c:order val="0"/>
          <c:tx>
            <c:strRef>
              <c:f>Sheet1!$B$1</c:f>
              <c:strCache>
                <c:ptCount val="1"/>
                <c:pt idx="0">
                  <c:v>Days taken for complete spawn run</c:v>
                </c:pt>
              </c:strCache>
            </c:strRef>
          </c:tx>
          <c:invertIfNegative val="0"/>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Sheet1!$B$2:$B$11</c:f>
              <c:numCache>
                <c:formatCode>General</c:formatCode>
                <c:ptCount val="10"/>
                <c:pt idx="0">
                  <c:v>24.45</c:v>
                </c:pt>
                <c:pt idx="1">
                  <c:v>16.7</c:v>
                </c:pt>
                <c:pt idx="2">
                  <c:v>21.2</c:v>
                </c:pt>
                <c:pt idx="3">
                  <c:v>15.9</c:v>
                </c:pt>
                <c:pt idx="4">
                  <c:v>14.2</c:v>
                </c:pt>
                <c:pt idx="5">
                  <c:v>21.35</c:v>
                </c:pt>
                <c:pt idx="6">
                  <c:v>16.7</c:v>
                </c:pt>
                <c:pt idx="7">
                  <c:v>22.35</c:v>
                </c:pt>
                <c:pt idx="8">
                  <c:v>20.3</c:v>
                </c:pt>
                <c:pt idx="9">
                  <c:v>23.4</c:v>
                </c:pt>
              </c:numCache>
            </c:numRef>
          </c:val>
          <c:extLst>
            <c:ext xmlns:c16="http://schemas.microsoft.com/office/drawing/2014/chart" uri="{C3380CC4-5D6E-409C-BE32-E72D297353CC}">
              <c16:uniqueId val="{00000000-0FDD-405C-A770-9885EDE35B71}"/>
            </c:ext>
          </c:extLst>
        </c:ser>
        <c:ser>
          <c:idx val="1"/>
          <c:order val="1"/>
          <c:tx>
            <c:strRef>
              <c:f>Sheet1!$C$1</c:f>
              <c:strCache>
                <c:ptCount val="1"/>
                <c:pt idx="0">
                  <c:v>Days taken for primordial initiation</c:v>
                </c:pt>
              </c:strCache>
            </c:strRef>
          </c:tx>
          <c:invertIfNegative val="0"/>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Sheet1!$C$2:$C$11</c:f>
              <c:numCache>
                <c:formatCode>General</c:formatCode>
                <c:ptCount val="10"/>
                <c:pt idx="0">
                  <c:v>27.150000000000023</c:v>
                </c:pt>
                <c:pt idx="1">
                  <c:v>19</c:v>
                </c:pt>
                <c:pt idx="2">
                  <c:v>25.6</c:v>
                </c:pt>
                <c:pt idx="3">
                  <c:v>18.05</c:v>
                </c:pt>
                <c:pt idx="4">
                  <c:v>15.9</c:v>
                </c:pt>
                <c:pt idx="5">
                  <c:v>21.25</c:v>
                </c:pt>
                <c:pt idx="6">
                  <c:v>21.25</c:v>
                </c:pt>
                <c:pt idx="7">
                  <c:v>23.55</c:v>
                </c:pt>
                <c:pt idx="8">
                  <c:v>21.650000000000023</c:v>
                </c:pt>
                <c:pt idx="9">
                  <c:v>23.85</c:v>
                </c:pt>
              </c:numCache>
            </c:numRef>
          </c:val>
          <c:extLst>
            <c:ext xmlns:c16="http://schemas.microsoft.com/office/drawing/2014/chart" uri="{C3380CC4-5D6E-409C-BE32-E72D297353CC}">
              <c16:uniqueId val="{00000001-0FDD-405C-A770-9885EDE35B71}"/>
            </c:ext>
          </c:extLst>
        </c:ser>
        <c:ser>
          <c:idx val="2"/>
          <c:order val="2"/>
          <c:tx>
            <c:strRef>
              <c:f>Sheet1!$D$1</c:f>
              <c:strCache>
                <c:ptCount val="1"/>
                <c:pt idx="0">
                  <c:v>Days taken for formation of mature fruiting bodies</c:v>
                </c:pt>
              </c:strCache>
            </c:strRef>
          </c:tx>
          <c:invertIfNegative val="0"/>
          <c:cat>
            <c:strRef>
              <c:f>Sheet1!$A$2:$A$11</c:f>
              <c:strCache>
                <c:ptCount val="10"/>
                <c:pt idx="0">
                  <c:v>T0 - Control</c:v>
                </c:pt>
                <c:pt idx="1">
                  <c:v>T1 - Allium sativum</c:v>
                </c:pt>
                <c:pt idx="2">
                  <c:v>T2 - Solanum aethiopicum</c:v>
                </c:pt>
                <c:pt idx="3">
                  <c:v>T3 - Azadirachta indica</c:v>
                </c:pt>
                <c:pt idx="4">
                  <c:v>T4 - Allium chinense</c:v>
                </c:pt>
                <c:pt idx="5">
                  <c:v>T5 - Zingiber officinale</c:v>
                </c:pt>
                <c:pt idx="6">
                  <c:v>T6 - Allium hookeri</c:v>
                </c:pt>
                <c:pt idx="7">
                  <c:v>T7 - Ocimum sanctum</c:v>
                </c:pt>
                <c:pt idx="8">
                  <c:v>T8 - Mentha sp.</c:v>
                </c:pt>
                <c:pt idx="9">
                  <c:v>T9 - Curcuma longa</c:v>
                </c:pt>
              </c:strCache>
            </c:strRef>
          </c:cat>
          <c:val>
            <c:numRef>
              <c:f>Sheet1!$D$2:$D$11</c:f>
              <c:numCache>
                <c:formatCode>General</c:formatCode>
                <c:ptCount val="10"/>
                <c:pt idx="0">
                  <c:v>32.949999999999996</c:v>
                </c:pt>
                <c:pt idx="1">
                  <c:v>24.8</c:v>
                </c:pt>
                <c:pt idx="2">
                  <c:v>29.6</c:v>
                </c:pt>
                <c:pt idx="3">
                  <c:v>22.75</c:v>
                </c:pt>
                <c:pt idx="4">
                  <c:v>19.899999999999999</c:v>
                </c:pt>
                <c:pt idx="5">
                  <c:v>26.7</c:v>
                </c:pt>
                <c:pt idx="6">
                  <c:v>25</c:v>
                </c:pt>
                <c:pt idx="7">
                  <c:v>27.35</c:v>
                </c:pt>
                <c:pt idx="8">
                  <c:v>28.9</c:v>
                </c:pt>
                <c:pt idx="9">
                  <c:v>30.25</c:v>
                </c:pt>
              </c:numCache>
            </c:numRef>
          </c:val>
          <c:extLst>
            <c:ext xmlns:c16="http://schemas.microsoft.com/office/drawing/2014/chart" uri="{C3380CC4-5D6E-409C-BE32-E72D297353CC}">
              <c16:uniqueId val="{00000002-0FDD-405C-A770-9885EDE35B71}"/>
            </c:ext>
          </c:extLst>
        </c:ser>
        <c:dLbls>
          <c:showLegendKey val="0"/>
          <c:showVal val="0"/>
          <c:showCatName val="0"/>
          <c:showSerName val="0"/>
          <c:showPercent val="0"/>
          <c:showBubbleSize val="0"/>
        </c:dLbls>
        <c:gapWidth val="150"/>
        <c:shape val="cone"/>
        <c:axId val="118514816"/>
        <c:axId val="118516352"/>
        <c:axId val="0"/>
      </c:bar3DChart>
      <c:catAx>
        <c:axId val="118514816"/>
        <c:scaling>
          <c:orientation val="minMax"/>
        </c:scaling>
        <c:delete val="0"/>
        <c:axPos val="b"/>
        <c:numFmt formatCode="General" sourceLinked="0"/>
        <c:majorTickMark val="out"/>
        <c:minorTickMark val="none"/>
        <c:tickLblPos val="nextTo"/>
        <c:txPr>
          <a:bodyPr/>
          <a:lstStyle/>
          <a:p>
            <a:pPr>
              <a:defRPr sz="700"/>
            </a:pPr>
            <a:endParaRPr lang="en-US"/>
          </a:p>
        </c:txPr>
        <c:crossAx val="118516352"/>
        <c:crosses val="autoZero"/>
        <c:auto val="1"/>
        <c:lblAlgn val="ctr"/>
        <c:lblOffset val="100"/>
        <c:noMultiLvlLbl val="0"/>
      </c:catAx>
      <c:valAx>
        <c:axId val="118516352"/>
        <c:scaling>
          <c:orientation val="minMax"/>
        </c:scaling>
        <c:delete val="0"/>
        <c:axPos val="l"/>
        <c:majorGridlines/>
        <c:numFmt formatCode="General" sourceLinked="1"/>
        <c:majorTickMark val="out"/>
        <c:minorTickMark val="none"/>
        <c:tickLblPos val="nextTo"/>
        <c:txPr>
          <a:bodyPr/>
          <a:lstStyle/>
          <a:p>
            <a:pPr>
              <a:defRPr b="1"/>
            </a:pPr>
            <a:endParaRPr lang="en-US"/>
          </a:p>
        </c:txPr>
        <c:crossAx val="118514816"/>
        <c:crosses val="autoZero"/>
        <c:crossBetween val="between"/>
      </c:valAx>
    </c:plotArea>
    <c:legend>
      <c:legendPos val="b"/>
      <c:layout>
        <c:manualLayout>
          <c:xMode val="edge"/>
          <c:yMode val="edge"/>
          <c:x val="2.2395854364358318E-2"/>
          <c:y val="0.91217954694475822"/>
          <c:w val="0.95093478699777911"/>
          <c:h val="6.2882698095126241E-2"/>
        </c:manualLayout>
      </c:layout>
      <c:overlay val="0"/>
      <c:txPr>
        <a:bodyPr/>
        <a:lstStyle/>
        <a:p>
          <a:pPr>
            <a:defRPr sz="8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Jamir</dc:creator>
  <cp:lastModifiedBy>SDI 1084</cp:lastModifiedBy>
  <cp:revision>6</cp:revision>
  <dcterms:created xsi:type="dcterms:W3CDTF">2025-09-26T10:15:00Z</dcterms:created>
  <dcterms:modified xsi:type="dcterms:W3CDTF">2025-09-27T06:49:00Z</dcterms:modified>
</cp:coreProperties>
</file>