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F4767" w14:textId="7946D4C5" w:rsidR="00096E11" w:rsidRPr="00096E11" w:rsidRDefault="00096E11" w:rsidP="00096E11">
      <w:pPr>
        <w:spacing w:line="360" w:lineRule="auto"/>
        <w:rPr>
          <w:rStyle w:val="Emphasis"/>
          <w:rFonts w:ascii="Times New Roman" w:eastAsia="SimSun" w:hAnsi="Times New Roman" w:cs="Times New Roman"/>
          <w:b/>
          <w:bCs/>
          <w:i w:val="0"/>
          <w:iCs w:val="0"/>
          <w:sz w:val="28"/>
          <w:szCs w:val="28"/>
          <w:u w:val="single"/>
        </w:rPr>
      </w:pPr>
      <w:r w:rsidRPr="00096E11">
        <w:rPr>
          <w:rStyle w:val="Emphasis"/>
          <w:rFonts w:ascii="Times New Roman" w:eastAsia="SimSun" w:hAnsi="Times New Roman" w:cs="Times New Roman"/>
          <w:b/>
          <w:bCs/>
          <w:i w:val="0"/>
          <w:iCs w:val="0"/>
          <w:sz w:val="28"/>
          <w:szCs w:val="28"/>
          <w:u w:val="single"/>
        </w:rPr>
        <w:t>Original Research Article</w:t>
      </w:r>
    </w:p>
    <w:p w14:paraId="4361E4EA" w14:textId="2998CCA3" w:rsidR="00651FF7" w:rsidRDefault="0006478A">
      <w:pPr>
        <w:spacing w:line="360" w:lineRule="auto"/>
        <w:jc w:val="center"/>
        <w:rPr>
          <w:rFonts w:ascii="Times New Roman" w:eastAsia="Times New Roman" w:hAnsi="Times New Roman" w:cs="Times New Roman"/>
          <w:b/>
          <w:bCs/>
          <w:sz w:val="28"/>
          <w:szCs w:val="28"/>
        </w:rPr>
      </w:pPr>
      <w:r>
        <w:rPr>
          <w:rStyle w:val="Emphasis"/>
          <w:rFonts w:ascii="Times New Roman" w:eastAsia="SimSun" w:hAnsi="Times New Roman" w:cs="Times New Roman"/>
          <w:b/>
          <w:bCs/>
          <w:i w:val="0"/>
          <w:iCs w:val="0"/>
          <w:sz w:val="28"/>
          <w:szCs w:val="28"/>
        </w:rPr>
        <w:t>Computational evaluation of indole alkaloids from</w:t>
      </w:r>
      <w:r>
        <w:rPr>
          <w:rFonts w:ascii="Times New Roman" w:eastAsia="SimSun" w:hAnsi="Times New Roman" w:cs="Times New Roman"/>
          <w:b/>
          <w:bCs/>
          <w:sz w:val="28"/>
          <w:szCs w:val="28"/>
        </w:rPr>
        <w:t xml:space="preserve"> </w:t>
      </w:r>
      <w:r>
        <w:rPr>
          <w:rFonts w:ascii="Times New Roman" w:eastAsia="SimSun" w:hAnsi="Times New Roman" w:cs="Times New Roman"/>
          <w:b/>
          <w:bCs/>
          <w:i/>
          <w:iCs/>
          <w:sz w:val="28"/>
          <w:szCs w:val="28"/>
        </w:rPr>
        <w:t xml:space="preserve">Rauwolfia vomitoria </w:t>
      </w:r>
      <w:r>
        <w:rPr>
          <w:rStyle w:val="Emphasis"/>
          <w:rFonts w:ascii="Times New Roman" w:eastAsia="SimSun" w:hAnsi="Times New Roman" w:cs="Times New Roman"/>
          <w:b/>
          <w:bCs/>
          <w:i w:val="0"/>
          <w:iCs w:val="0"/>
          <w:sz w:val="28"/>
          <w:szCs w:val="28"/>
        </w:rPr>
        <w:t>as potential anticancer agents: molecular docking and ADME profiling</w:t>
      </w:r>
    </w:p>
    <w:p w14:paraId="1D97C60B" w14:textId="77777777" w:rsidR="00651FF7" w:rsidRDefault="00651FF7">
      <w:pPr>
        <w:spacing w:line="360" w:lineRule="auto"/>
        <w:jc w:val="both"/>
        <w:rPr>
          <w:rFonts w:ascii="Times New Roman" w:eastAsia="Times New Roman" w:hAnsi="Times New Roman" w:cs="Times New Roman"/>
          <w:sz w:val="24"/>
          <w:szCs w:val="24"/>
        </w:rPr>
      </w:pPr>
    </w:p>
    <w:p w14:paraId="35EF1452" w14:textId="77777777" w:rsidR="00651FF7" w:rsidRDefault="00651FF7">
      <w:pPr>
        <w:spacing w:line="360" w:lineRule="auto"/>
        <w:jc w:val="both"/>
        <w:rPr>
          <w:rFonts w:ascii="Times New Roman" w:eastAsia="Times New Roman" w:hAnsi="Times New Roman" w:cs="Times New Roman"/>
          <w:sz w:val="24"/>
          <w:szCs w:val="24"/>
        </w:rPr>
      </w:pPr>
      <w:bookmarkStart w:id="0" w:name="_GoBack"/>
      <w:bookmarkEnd w:id="0"/>
    </w:p>
    <w:p w14:paraId="2FEB696D" w14:textId="77777777" w:rsidR="00651FF7" w:rsidRDefault="0006478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75385A0E" w14:textId="77777777" w:rsidR="00651FF7" w:rsidRDefault="0006478A">
      <w:pPr>
        <w:pStyle w:val="NormalWeb"/>
        <w:spacing w:line="360" w:lineRule="auto"/>
        <w:jc w:val="both"/>
      </w:pPr>
      <w:r>
        <w:rPr>
          <w:rStyle w:val="Strong"/>
        </w:rPr>
        <w:t>Background</w:t>
      </w:r>
      <w:r>
        <w:br/>
      </w:r>
      <w:r>
        <w:t xml:space="preserve">Cancer continues to pose a major global health challenge, particularly in low- and middle-income countries, where treatment costs and accessibility remain limiting. Natural products such as </w:t>
      </w:r>
      <w:r>
        <w:rPr>
          <w:rStyle w:val="Emphasis"/>
        </w:rPr>
        <w:t>Rauwolfia vomitoria</w:t>
      </w:r>
      <w:r>
        <w:t xml:space="preserve"> have shown significant promise as alternative </w:t>
      </w:r>
      <w:r>
        <w:t xml:space="preserve">sources of bioactive anticancer compounds. This study evaluated the anticancer potential of two key indole alkaloids—Ajmalicine and </w:t>
      </w:r>
      <w:proofErr w:type="spellStart"/>
      <w:r>
        <w:t>Alstonine</w:t>
      </w:r>
      <w:proofErr w:type="spellEnd"/>
      <w:r>
        <w:t>—through molecular docking and in silico pharmacokinetic and toxicity profiling.</w:t>
      </w:r>
    </w:p>
    <w:p w14:paraId="0DE3B4AA" w14:textId="77777777" w:rsidR="00651FF7" w:rsidRDefault="0006478A">
      <w:pPr>
        <w:pStyle w:val="NormalWeb"/>
        <w:spacing w:line="360" w:lineRule="auto"/>
        <w:jc w:val="both"/>
      </w:pPr>
      <w:r>
        <w:rPr>
          <w:rStyle w:val="Strong"/>
        </w:rPr>
        <w:t>Methods</w:t>
      </w:r>
      <w:r>
        <w:br/>
        <w:t>A computational approach w</w:t>
      </w:r>
      <w:r>
        <w:t xml:space="preserve">as employed using Schrödinger Maestro Suite (2023-3) for docking simulations, </w:t>
      </w:r>
      <w:proofErr w:type="spellStart"/>
      <w:r>
        <w:t>SwissADME</w:t>
      </w:r>
      <w:proofErr w:type="spellEnd"/>
      <w:r>
        <w:t xml:space="preserve"> for ADMET analysis, and </w:t>
      </w:r>
      <w:proofErr w:type="spellStart"/>
      <w:r>
        <w:t>ProTox</w:t>
      </w:r>
      <w:proofErr w:type="spellEnd"/>
      <w:r>
        <w:t>-III for toxicity prediction. Six cancer-associated targets—BCL-2, PI3K, EGFR, STAT3, HDAC, and NF-</w:t>
      </w:r>
      <w:proofErr w:type="spellStart"/>
      <w:r>
        <w:t>κB</w:t>
      </w:r>
      <w:proofErr w:type="spellEnd"/>
      <w:r>
        <w:t>—were selected to compare binding aff</w:t>
      </w:r>
      <w:r>
        <w:t>inities and drug-likeness properties of the alkaloids against known inhibitors.</w:t>
      </w:r>
    </w:p>
    <w:p w14:paraId="73968EAF" w14:textId="77777777" w:rsidR="00651FF7" w:rsidRDefault="0006478A">
      <w:pPr>
        <w:pStyle w:val="NormalWeb"/>
        <w:spacing w:line="360" w:lineRule="auto"/>
        <w:jc w:val="both"/>
      </w:pPr>
      <w:r>
        <w:rPr>
          <w:rStyle w:val="Strong"/>
        </w:rPr>
        <w:t>Results</w:t>
      </w:r>
      <w:r>
        <w:br/>
        <w:t xml:space="preserve">Both compounds exhibited favorable pharmacokinetic profiles with high gastrointestinal absorption and good drug-likeness scores. </w:t>
      </w:r>
      <w:proofErr w:type="spellStart"/>
      <w:r>
        <w:t>Alstonine</w:t>
      </w:r>
      <w:proofErr w:type="spellEnd"/>
      <w:r>
        <w:t xml:space="preserve"> demonstrated superior binding</w:t>
      </w:r>
      <w:r>
        <w:t xml:space="preserve"> affinities against BCL-2 (–5.042 kcal/mol), PI3K (–6.017 kcal/mol), and STAT3 (–5.877 kcal/mol), comparable to known inhibitors such as </w:t>
      </w:r>
      <w:proofErr w:type="spellStart"/>
      <w:r>
        <w:t>Lisaftoclax</w:t>
      </w:r>
      <w:proofErr w:type="spellEnd"/>
      <w:r>
        <w:t xml:space="preserve"> and </w:t>
      </w:r>
      <w:proofErr w:type="spellStart"/>
      <w:r>
        <w:t>Napabucasin</w:t>
      </w:r>
      <w:proofErr w:type="spellEnd"/>
      <w:r>
        <w:t xml:space="preserve">. Hydrogen bonding analysis revealed strong, short-range interactions (&lt;2.0 Å) contributing </w:t>
      </w:r>
      <w:r>
        <w:t>to binding stability. Toxicity predictions classified both alkaloids as Class 3 (LD₅₀ = 215–300 mg/kg), indicating moderate toxicity that warrants optimization.</w:t>
      </w:r>
    </w:p>
    <w:p w14:paraId="71ECC0DD" w14:textId="77777777" w:rsidR="00651FF7" w:rsidRDefault="0006478A">
      <w:pPr>
        <w:pStyle w:val="NormalWeb"/>
        <w:spacing w:line="360" w:lineRule="auto"/>
        <w:jc w:val="both"/>
      </w:pPr>
      <w:r>
        <w:rPr>
          <w:rStyle w:val="Strong"/>
        </w:rPr>
        <w:t>Conclusion</w:t>
      </w:r>
      <w:r>
        <w:br/>
      </w:r>
      <w:proofErr w:type="spellStart"/>
      <w:r>
        <w:t>Alstonine</w:t>
      </w:r>
      <w:proofErr w:type="spellEnd"/>
      <w:r>
        <w:t xml:space="preserve"> displayed the most promising anticancer potential, with favorable pharmaco</w:t>
      </w:r>
      <w:r>
        <w:t xml:space="preserve">kinetic </w:t>
      </w:r>
      <w:r>
        <w:lastRenderedPageBreak/>
        <w:t xml:space="preserve">properties and multi-target binding profiles. These findings highlight the potential of </w:t>
      </w:r>
      <w:r>
        <w:rPr>
          <w:rStyle w:val="Emphasis"/>
        </w:rPr>
        <w:t>Rauwolfia vomitoria</w:t>
      </w:r>
      <w:r>
        <w:t xml:space="preserve"> alkaloids as lead scaffolds for anticancer drug development. Experimental validation and structural refinement are recommended to advance th</w:t>
      </w:r>
      <w:r>
        <w:t>ese compounds toward clinical applicability.</w:t>
      </w:r>
    </w:p>
    <w:p w14:paraId="22AFD0B4" w14:textId="77777777" w:rsidR="00651FF7" w:rsidRDefault="0006478A">
      <w:pPr>
        <w:pStyle w:val="NormalWeb"/>
        <w:jc w:val="both"/>
      </w:pPr>
      <w:r>
        <w:rPr>
          <w:rStyle w:val="Strong"/>
        </w:rPr>
        <w:t xml:space="preserve">Keywords: </w:t>
      </w:r>
      <w:r>
        <w:rPr>
          <w:rStyle w:val="Emphasis"/>
          <w:i w:val="0"/>
          <w:iCs w:val="0"/>
        </w:rPr>
        <w:t xml:space="preserve">Molecular docking; ADMET; </w:t>
      </w:r>
      <w:r>
        <w:rPr>
          <w:rStyle w:val="Emphasis"/>
        </w:rPr>
        <w:t>Rauwolfia vomitoria</w:t>
      </w:r>
      <w:r>
        <w:rPr>
          <w:rStyle w:val="Emphasis"/>
          <w:i w:val="0"/>
          <w:iCs w:val="0"/>
        </w:rPr>
        <w:t xml:space="preserve">; </w:t>
      </w:r>
      <w:proofErr w:type="spellStart"/>
      <w:r>
        <w:rPr>
          <w:rStyle w:val="Emphasis"/>
          <w:i w:val="0"/>
          <w:iCs w:val="0"/>
        </w:rPr>
        <w:t>Alstonine</w:t>
      </w:r>
      <w:proofErr w:type="spellEnd"/>
      <w:r>
        <w:rPr>
          <w:rStyle w:val="Emphasis"/>
          <w:i w:val="0"/>
          <w:iCs w:val="0"/>
        </w:rPr>
        <w:t xml:space="preserve">; Ajmalicine; Cancer therapeutics;  </w:t>
      </w:r>
    </w:p>
    <w:p w14:paraId="4DE64AF4" w14:textId="77777777" w:rsidR="00651FF7" w:rsidRDefault="00651FF7">
      <w:pPr>
        <w:spacing w:line="360" w:lineRule="auto"/>
        <w:jc w:val="both"/>
        <w:rPr>
          <w:rFonts w:ascii="Times New Roman" w:eastAsia="Times New Roman" w:hAnsi="Times New Roman" w:cs="Times New Roman"/>
          <w:b/>
          <w:bCs/>
          <w:sz w:val="24"/>
          <w:szCs w:val="24"/>
        </w:rPr>
        <w:sectPr w:rsidR="00651FF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sectPr>
      </w:pPr>
    </w:p>
    <w:p w14:paraId="16D64A03" w14:textId="77777777" w:rsidR="00651FF7" w:rsidRDefault="000647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INTRODUCTION</w:t>
      </w:r>
    </w:p>
    <w:p w14:paraId="35E200A0" w14:textId="77777777" w:rsidR="00651FF7" w:rsidRDefault="000647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Cancer remains a major global health challenge, accounting for approximately 10 million deaths annually (1). Despite significant strides in oncology, current chemotherapeutic regimens are plagued by issues such as systemic toxicity, resistance, and limited</w:t>
      </w:r>
      <w:r>
        <w:rPr>
          <w:rFonts w:ascii="Times New Roman" w:eastAsia="Times New Roman" w:hAnsi="Times New Roman" w:cs="Times New Roman"/>
          <w:sz w:val="24"/>
          <w:szCs w:val="24"/>
        </w:rPr>
        <w:t xml:space="preserve"> specificity (2). As a result, there is increasing interest in natural products as alternative sources for safer and more effective anticancer agents (3,4).                            </w:t>
      </w:r>
    </w:p>
    <w:p w14:paraId="3A3EC20F" w14:textId="77777777" w:rsidR="00651FF7" w:rsidRDefault="00651FF7">
      <w:pPr>
        <w:spacing w:line="360" w:lineRule="auto"/>
        <w:jc w:val="both"/>
        <w:rPr>
          <w:rFonts w:ascii="Times New Roman" w:eastAsia="Times New Roman" w:hAnsi="Times New Roman" w:cs="Times New Roman"/>
          <w:sz w:val="24"/>
          <w:szCs w:val="24"/>
        </w:rPr>
      </w:pPr>
    </w:p>
    <w:p w14:paraId="14A77B50" w14:textId="77777777" w:rsidR="00651FF7" w:rsidRDefault="000647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sub-Saharan Africa, common cancers include cervical cancer, breast </w:t>
      </w:r>
      <w:r>
        <w:rPr>
          <w:rFonts w:ascii="Times New Roman" w:eastAsia="Times New Roman" w:hAnsi="Times New Roman" w:cs="Times New Roman"/>
          <w:sz w:val="24"/>
          <w:szCs w:val="24"/>
        </w:rPr>
        <w:t>cancer, prostate cancer, liver cancer, and colorectal cancer. Cervical cancer remains the most frequent cancer among women in the region, accounting for nearly 100,000 new cases and over 60,000 deaths annually (5). Breast cancer, although increasingly dete</w:t>
      </w:r>
      <w:r>
        <w:rPr>
          <w:rFonts w:ascii="Times New Roman" w:eastAsia="Times New Roman" w:hAnsi="Times New Roman" w:cs="Times New Roman"/>
          <w:sz w:val="24"/>
          <w:szCs w:val="24"/>
        </w:rPr>
        <w:t xml:space="preserve">cted, still leads to high mortality due to poor health-seeking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diagnostic delays and treatment affordability (6,7). In men, prostate cancer and liver cancer are among the leading causes of cancer-related deaths. </w:t>
      </w:r>
    </w:p>
    <w:p w14:paraId="783278F0" w14:textId="77777777" w:rsidR="00651FF7" w:rsidRDefault="00651FF7">
      <w:pPr>
        <w:spacing w:line="360" w:lineRule="auto"/>
        <w:jc w:val="both"/>
        <w:rPr>
          <w:rFonts w:ascii="Times New Roman" w:eastAsia="Times New Roman" w:hAnsi="Times New Roman" w:cs="Times New Roman"/>
          <w:sz w:val="24"/>
          <w:szCs w:val="24"/>
        </w:rPr>
      </w:pPr>
    </w:p>
    <w:p w14:paraId="435676F7" w14:textId="77777777" w:rsidR="00651FF7" w:rsidRDefault="000647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socioeconomic reality of ca</w:t>
      </w:r>
      <w:r>
        <w:rPr>
          <w:rFonts w:ascii="Times New Roman" w:eastAsia="Times New Roman" w:hAnsi="Times New Roman" w:cs="Times New Roman"/>
          <w:sz w:val="24"/>
          <w:szCs w:val="24"/>
        </w:rPr>
        <w:t xml:space="preserve">ncer care in Nigeria and similar LMIC settings justifies an urgent need for affordable, locally sourced, and effective cancer treatments. Imported chemotherapeutics such as doxorubicin, paclitaxel, and cisplatin are not only expensive but often associated </w:t>
      </w:r>
      <w:r>
        <w:rPr>
          <w:rFonts w:ascii="Times New Roman" w:eastAsia="Times New Roman" w:hAnsi="Times New Roman" w:cs="Times New Roman"/>
          <w:sz w:val="24"/>
          <w:szCs w:val="24"/>
        </w:rPr>
        <w:t>with severe side effects and drug resistance (</w:t>
      </w:r>
      <w:r>
        <w:rPr>
          <w:rFonts w:ascii="Times New Roman" w:eastAsia="Times New Roman" w:hAnsi="Times New Roman" w:cs="Times New Roman"/>
          <w:sz w:val="24"/>
          <w:szCs w:val="24"/>
          <w:highlight w:val="white"/>
        </w:rPr>
        <w:t>8</w:t>
      </w:r>
      <w:r>
        <w:rPr>
          <w:rFonts w:ascii="Times New Roman" w:eastAsia="Times New Roman" w:hAnsi="Times New Roman" w:cs="Times New Roman"/>
          <w:sz w:val="24"/>
          <w:szCs w:val="24"/>
        </w:rPr>
        <w:t xml:space="preserve">). Targeted therapies represent a shift from non-specific cytotoxic drugs to agents that attack specific molecular vulnerabilities in cancer cells. Some key therapeutic targets for tumor progression includes: </w:t>
      </w:r>
      <w:r>
        <w:rPr>
          <w:rFonts w:ascii="Times New Roman" w:eastAsia="Times New Roman" w:hAnsi="Times New Roman" w:cs="Times New Roman"/>
          <w:sz w:val="24"/>
          <w:szCs w:val="24"/>
        </w:rPr>
        <w:t>Histone Deacetylases (HDACs), Epidermal Growth Factor Receptor (EGFR), Phosphoinositide 3-Kinase (PI3K), Signal Transducer and Activator of Transcription 3 (STAT3), B-cell lymphoma 2 (BCL2), and Nuclear Factor kappa-light-chain-enhancer of activated B cell</w:t>
      </w:r>
      <w:r>
        <w:rPr>
          <w:rFonts w:ascii="Times New Roman" w:eastAsia="Times New Roman" w:hAnsi="Times New Roman" w:cs="Times New Roman"/>
          <w:sz w:val="24"/>
          <w:szCs w:val="24"/>
        </w:rPr>
        <w:t>s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w:t>
      </w:r>
    </w:p>
    <w:p w14:paraId="671EAB3C" w14:textId="77777777" w:rsidR="00651FF7" w:rsidRDefault="0006478A">
      <w:pPr>
        <w:spacing w:before="240" w:after="240" w:line="360" w:lineRule="auto"/>
        <w:jc w:val="both"/>
        <w:rPr>
          <w:rFonts w:ascii="Times New Roman" w:eastAsia="Times New Roman" w:hAnsi="Times New Roman" w:cs="Times New Roman"/>
          <w:sz w:val="24"/>
          <w:szCs w:val="24"/>
        </w:rPr>
      </w:pPr>
      <w:r>
        <w:rPr>
          <w:rStyle w:val="Emphasis"/>
          <w:rFonts w:ascii="Times New Roman" w:hAnsi="Times New Roman" w:cs="Times New Roman"/>
          <w:sz w:val="24"/>
          <w:szCs w:val="24"/>
        </w:rPr>
        <w:t>Rauwolfia vomitoria</w:t>
      </w:r>
      <w:r>
        <w:rPr>
          <w:rFonts w:ascii="Times New Roman" w:hAnsi="Times New Roman" w:cs="Times New Roman"/>
          <w:sz w:val="24"/>
          <w:szCs w:val="24"/>
        </w:rPr>
        <w:t xml:space="preserve">, a medicinal shrub native to West Africa </w:t>
      </w:r>
      <w:r>
        <w:rPr>
          <w:rFonts w:ascii="Times New Roman" w:eastAsia="Times New Roman" w:hAnsi="Times New Roman" w:cs="Times New Roman"/>
          <w:sz w:val="24"/>
          <w:szCs w:val="24"/>
        </w:rPr>
        <w:t>and already integrated into the ethnomedical framework of many Nigerian communities</w:t>
      </w:r>
      <w:r>
        <w:rPr>
          <w:rFonts w:ascii="Times New Roman" w:hAnsi="Times New Roman" w:cs="Times New Roman"/>
          <w:sz w:val="24"/>
          <w:szCs w:val="24"/>
        </w:rPr>
        <w:t xml:space="preserve">, has attracted considerable scientific interest for its potent </w:t>
      </w:r>
      <w:r>
        <w:rPr>
          <w:rStyle w:val="Strong"/>
          <w:rFonts w:ascii="Times New Roman" w:hAnsi="Times New Roman" w:cs="Times New Roman"/>
          <w:b w:val="0"/>
          <w:bCs w:val="0"/>
          <w:sz w:val="24"/>
          <w:szCs w:val="24"/>
        </w:rPr>
        <w:t xml:space="preserve">antitumor and </w:t>
      </w:r>
      <w:proofErr w:type="spellStart"/>
      <w:r>
        <w:rPr>
          <w:rStyle w:val="Strong"/>
          <w:rFonts w:ascii="Times New Roman" w:hAnsi="Times New Roman" w:cs="Times New Roman"/>
          <w:b w:val="0"/>
          <w:bCs w:val="0"/>
          <w:sz w:val="24"/>
          <w:szCs w:val="24"/>
        </w:rPr>
        <w:t>chemopreventive</w:t>
      </w:r>
      <w:proofErr w:type="spellEnd"/>
      <w:r>
        <w:rPr>
          <w:rStyle w:val="Strong"/>
          <w:rFonts w:ascii="Times New Roman" w:hAnsi="Times New Roman" w:cs="Times New Roman"/>
          <w:b w:val="0"/>
          <w:bCs w:val="0"/>
          <w:sz w:val="24"/>
          <w:szCs w:val="24"/>
        </w:rPr>
        <w:t xml:space="preserve"> activit</w:t>
      </w:r>
      <w:r>
        <w:rPr>
          <w:rStyle w:val="Strong"/>
          <w:rFonts w:ascii="Times New Roman" w:hAnsi="Times New Roman" w:cs="Times New Roman"/>
          <w:b w:val="0"/>
          <w:bCs w:val="0"/>
          <w:sz w:val="24"/>
          <w:szCs w:val="24"/>
        </w:rPr>
        <w:t>ies</w:t>
      </w:r>
      <w:r>
        <w:rPr>
          <w:rFonts w:ascii="Times New Roman" w:hAnsi="Times New Roman" w:cs="Times New Roman"/>
          <w:sz w:val="24"/>
          <w:szCs w:val="24"/>
        </w:rPr>
        <w:t xml:space="preserve">. The plant’s pharmacological properties are primarily attributed to its diverse array of </w:t>
      </w:r>
      <w:r>
        <w:rPr>
          <w:rStyle w:val="Strong"/>
          <w:rFonts w:ascii="Times New Roman" w:hAnsi="Times New Roman" w:cs="Times New Roman"/>
          <w:b w:val="0"/>
          <w:bCs w:val="0"/>
          <w:sz w:val="24"/>
          <w:szCs w:val="24"/>
        </w:rPr>
        <w:t>indole alkaloids</w:t>
      </w:r>
      <w:r>
        <w:rPr>
          <w:rFonts w:ascii="Times New Roman" w:hAnsi="Times New Roman" w:cs="Times New Roman"/>
          <w:sz w:val="24"/>
          <w:szCs w:val="24"/>
        </w:rPr>
        <w:t xml:space="preserve">, including </w:t>
      </w:r>
      <w:proofErr w:type="spellStart"/>
      <w:r>
        <w:rPr>
          <w:rStyle w:val="Strong"/>
          <w:rFonts w:ascii="Times New Roman" w:hAnsi="Times New Roman" w:cs="Times New Roman"/>
          <w:b w:val="0"/>
          <w:bCs w:val="0"/>
          <w:sz w:val="24"/>
          <w:szCs w:val="24"/>
        </w:rPr>
        <w:t>alstonine</w:t>
      </w:r>
      <w:proofErr w:type="spellEnd"/>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ajmalicine</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reserpine</w:t>
      </w:r>
      <w:r>
        <w:rPr>
          <w:rFonts w:ascii="Times New Roman" w:hAnsi="Times New Roman" w:cs="Times New Roman"/>
          <w:sz w:val="24"/>
          <w:szCs w:val="24"/>
        </w:rPr>
        <w:t xml:space="preserve">, and </w:t>
      </w:r>
      <w:proofErr w:type="spellStart"/>
      <w:r>
        <w:rPr>
          <w:rStyle w:val="Strong"/>
          <w:rFonts w:ascii="Times New Roman" w:hAnsi="Times New Roman" w:cs="Times New Roman"/>
          <w:b w:val="0"/>
          <w:bCs w:val="0"/>
          <w:sz w:val="24"/>
          <w:szCs w:val="24"/>
        </w:rPr>
        <w:t>reserpinine</w:t>
      </w:r>
      <w:proofErr w:type="spellEnd"/>
      <w:r>
        <w:rPr>
          <w:rFonts w:ascii="Times New Roman" w:hAnsi="Times New Roman" w:cs="Times New Roman"/>
          <w:sz w:val="24"/>
          <w:szCs w:val="24"/>
        </w:rPr>
        <w:t>, which exhibit broad cytotoxic and antiproliferative effects across several human can</w:t>
      </w:r>
      <w:r>
        <w:rPr>
          <w:rFonts w:ascii="Times New Roman" w:hAnsi="Times New Roman" w:cs="Times New Roman"/>
          <w:sz w:val="24"/>
          <w:szCs w:val="24"/>
        </w:rPr>
        <w:t xml:space="preserve">cer models. These compounds exert their effects through multiple mechanisms, such as the </w:t>
      </w:r>
      <w:r>
        <w:rPr>
          <w:rStyle w:val="Strong"/>
          <w:rFonts w:ascii="Times New Roman" w:hAnsi="Times New Roman" w:cs="Times New Roman"/>
          <w:b w:val="0"/>
          <w:bCs w:val="0"/>
          <w:sz w:val="24"/>
          <w:szCs w:val="24"/>
        </w:rPr>
        <w:t>induction of apoptosis</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cell cycle arrest</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modulation of oxidative stress</w:t>
      </w:r>
      <w:r>
        <w:rPr>
          <w:rFonts w:ascii="Times New Roman" w:hAnsi="Times New Roman" w:cs="Times New Roman"/>
          <w:sz w:val="24"/>
          <w:szCs w:val="24"/>
        </w:rPr>
        <w:t xml:space="preserve">, and </w:t>
      </w:r>
      <w:r>
        <w:rPr>
          <w:rStyle w:val="Strong"/>
          <w:rFonts w:ascii="Times New Roman" w:hAnsi="Times New Roman" w:cs="Times New Roman"/>
          <w:b w:val="0"/>
          <w:bCs w:val="0"/>
          <w:sz w:val="24"/>
          <w:szCs w:val="24"/>
        </w:rPr>
        <w:t xml:space="preserve">inhibition of angiogenesis and metastasis </w:t>
      </w:r>
      <w:r>
        <w:rPr>
          <w:rFonts w:ascii="Times New Roman" w:eastAsia="Times New Roman" w:hAnsi="Times New Roman" w:cs="Times New Roman"/>
          <w:sz w:val="24"/>
          <w:szCs w:val="24"/>
        </w:rPr>
        <w:t xml:space="preserve">(9, 10). </w:t>
      </w:r>
    </w:p>
    <w:p w14:paraId="1E9BFDE8" w14:textId="77777777" w:rsidR="00651FF7" w:rsidRDefault="0006478A">
      <w:pPr>
        <w:pStyle w:val="NormalWeb"/>
        <w:spacing w:line="360" w:lineRule="auto"/>
        <w:jc w:val="both"/>
      </w:pPr>
      <w:r>
        <w:lastRenderedPageBreak/>
        <w:t xml:space="preserve">Studies have shown that </w:t>
      </w:r>
      <w:r>
        <w:rPr>
          <w:rStyle w:val="Emphasis"/>
        </w:rPr>
        <w:t>R. vomitoria</w:t>
      </w:r>
      <w:r>
        <w:t xml:space="preserve"> extracts demonstrate </w:t>
      </w:r>
      <w:r>
        <w:rPr>
          <w:rStyle w:val="Strong"/>
          <w:b w:val="0"/>
          <w:bCs w:val="0"/>
        </w:rPr>
        <w:t>selective cytotoxicity</w:t>
      </w:r>
      <w:r>
        <w:t xml:space="preserve"> against malignant cells while sparing normal cell lines. An ethanol root extract of </w:t>
      </w:r>
      <w:r>
        <w:rPr>
          <w:rStyle w:val="Emphasis"/>
        </w:rPr>
        <w:t>R. vomitoria</w:t>
      </w:r>
      <w:r>
        <w:t xml:space="preserve"> significantly inhibited proliferation in prostate, breast, and colon cancer cell lines in a </w:t>
      </w:r>
      <w:r>
        <w:rPr>
          <w:rStyle w:val="Strong"/>
          <w:b w:val="0"/>
          <w:bCs w:val="0"/>
        </w:rPr>
        <w:t>dose-dependent</w:t>
      </w:r>
      <w:r>
        <w:t xml:space="preserve"> manner, primarily through </w:t>
      </w:r>
      <w:r>
        <w:rPr>
          <w:rStyle w:val="Strong"/>
          <w:b w:val="0"/>
          <w:bCs w:val="0"/>
        </w:rPr>
        <w:t>caspase-mediated apoptosis</w:t>
      </w:r>
      <w:r>
        <w:t xml:space="preserve"> and </w:t>
      </w:r>
      <w:r>
        <w:rPr>
          <w:rStyle w:val="Strong"/>
          <w:b w:val="0"/>
          <w:bCs w:val="0"/>
        </w:rPr>
        <w:t>DNA fragmentation (11- 15)</w:t>
      </w:r>
    </w:p>
    <w:p w14:paraId="61687057"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its diverse alkaloids,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have attracted attention due to their notable pharmacological activities. Ajmalicine has been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for its anti</w:t>
      </w:r>
      <w:r>
        <w:rPr>
          <w:rFonts w:ascii="Times New Roman" w:eastAsia="Times New Roman" w:hAnsi="Times New Roman" w:cs="Times New Roman"/>
          <w:sz w:val="24"/>
          <w:szCs w:val="24"/>
        </w:rPr>
        <w:t xml:space="preserve">hypertensive and neuroprotective properties, while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has demonstrated potential antipsychotic and anticancer effects in preclinical studies. </w:t>
      </w:r>
      <w:proofErr w:type="spellStart"/>
      <w:r>
        <w:rPr>
          <w:rFonts w:ascii="Times New Roman" w:hAnsi="Times New Roman" w:cs="Times New Roman"/>
          <w:sz w:val="24"/>
          <w:szCs w:val="24"/>
        </w:rPr>
        <w:t>Alstonine</w:t>
      </w:r>
      <w:proofErr w:type="spellEnd"/>
      <w:r>
        <w:rPr>
          <w:rFonts w:ascii="Times New Roman" w:hAnsi="Times New Roman" w:cs="Times New Roman"/>
          <w:sz w:val="24"/>
          <w:szCs w:val="24"/>
        </w:rPr>
        <w:t xml:space="preserve"> has also been reported to alter tumor cell redox balance and interfere with mitochondrial bioener</w:t>
      </w:r>
      <w:r>
        <w:rPr>
          <w:rFonts w:ascii="Times New Roman" w:hAnsi="Times New Roman" w:cs="Times New Roman"/>
          <w:sz w:val="24"/>
          <w:szCs w:val="24"/>
        </w:rPr>
        <w:t xml:space="preserve">getics, contributing to </w:t>
      </w:r>
      <w:r>
        <w:rPr>
          <w:rStyle w:val="Strong"/>
          <w:rFonts w:ascii="Times New Roman" w:hAnsi="Times New Roman" w:cs="Times New Roman"/>
          <w:b w:val="0"/>
          <w:bCs w:val="0"/>
          <w:sz w:val="24"/>
          <w:szCs w:val="24"/>
        </w:rPr>
        <w:t>reduced tumor cell viability</w:t>
      </w:r>
      <w:r>
        <w:rPr>
          <w:rFonts w:ascii="Times New Roman" w:hAnsi="Times New Roman" w:cs="Times New Roman"/>
          <w:sz w:val="24"/>
          <w:szCs w:val="24"/>
        </w:rPr>
        <w:t xml:space="preserve"> and </w:t>
      </w:r>
      <w:r>
        <w:rPr>
          <w:rStyle w:val="Strong"/>
          <w:rFonts w:ascii="Times New Roman" w:hAnsi="Times New Roman" w:cs="Times New Roman"/>
          <w:b w:val="0"/>
          <w:bCs w:val="0"/>
          <w:sz w:val="24"/>
          <w:szCs w:val="24"/>
        </w:rPr>
        <w:t>enhanced apoptosis</w:t>
      </w:r>
      <w:r>
        <w:rPr>
          <w:rFonts w:ascii="Times New Roman" w:eastAsia="Times New Roman" w:hAnsi="Times New Roman" w:cs="Times New Roman"/>
          <w:sz w:val="24"/>
          <w:szCs w:val="24"/>
        </w:rPr>
        <w:t xml:space="preserve"> (16, 17). However, their anticancer mechanisms and pharmacokinetic profiles remain underexplored, particularly through computational modelling approaches.</w:t>
      </w:r>
    </w:p>
    <w:p w14:paraId="7EAAA93F"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Molecular docking and ADM</w:t>
      </w:r>
      <w:r>
        <w:rPr>
          <w:rFonts w:ascii="Times New Roman" w:eastAsia="Times New Roman" w:hAnsi="Times New Roman" w:cs="Times New Roman"/>
          <w:sz w:val="24"/>
          <w:szCs w:val="24"/>
        </w:rPr>
        <w:t>ET (Absorption, Distribution, Metabolism, Excretion, and Toxicity) profiling are critical tools in modern drug discovery. These in silico methods allow researchers to predict how small molecules interact with biological targets and assess their pharmacokin</w:t>
      </w:r>
      <w:r>
        <w:rPr>
          <w:rFonts w:ascii="Times New Roman" w:eastAsia="Times New Roman" w:hAnsi="Times New Roman" w:cs="Times New Roman"/>
          <w:sz w:val="24"/>
          <w:szCs w:val="24"/>
        </w:rPr>
        <w:t>etic suitability (18). Early computational evaluations significantly reduce the cost and time of drug development by identifying promising compounds before in vitro or in vivo validation (19).</w:t>
      </w:r>
    </w:p>
    <w:p w14:paraId="742BC873" w14:textId="77777777" w:rsidR="00651FF7" w:rsidRDefault="0006478A">
      <w:pPr>
        <w:pStyle w:val="Heading4"/>
        <w:keepNext w:val="0"/>
        <w:keepLines w:val="0"/>
        <w:spacing w:before="240" w:after="240" w:line="360" w:lineRule="auto"/>
        <w:jc w:val="both"/>
        <w:rPr>
          <w:rFonts w:eastAsia="Times New Roman" w:cs="Times New Roman"/>
          <w:b w:val="0"/>
          <w:bCs/>
        </w:rPr>
      </w:pPr>
      <w:r>
        <w:rPr>
          <w:rFonts w:eastAsia="Times New Roman" w:cs="Times New Roman"/>
          <w:b w:val="0"/>
          <w:bCs/>
        </w:rPr>
        <w:t xml:space="preserve">The aim of this study is to evaluate and compare the anticancer potential of ajmalicine and </w:t>
      </w:r>
      <w:proofErr w:type="spellStart"/>
      <w:r>
        <w:rPr>
          <w:rFonts w:eastAsia="Times New Roman" w:cs="Times New Roman"/>
          <w:b w:val="0"/>
          <w:bCs/>
        </w:rPr>
        <w:t>alstonine</w:t>
      </w:r>
      <w:proofErr w:type="spellEnd"/>
      <w:r>
        <w:rPr>
          <w:rFonts w:eastAsia="Times New Roman" w:cs="Times New Roman"/>
          <w:b w:val="0"/>
          <w:bCs/>
        </w:rPr>
        <w:t xml:space="preserve"> from </w:t>
      </w:r>
      <w:r>
        <w:rPr>
          <w:rFonts w:eastAsia="Times New Roman" w:cs="Times New Roman"/>
          <w:b w:val="0"/>
          <w:bCs/>
          <w:i/>
        </w:rPr>
        <w:t xml:space="preserve">Rauwolfia vomitoria </w:t>
      </w:r>
      <w:r>
        <w:rPr>
          <w:rFonts w:eastAsia="Times New Roman" w:cs="Times New Roman"/>
          <w:b w:val="0"/>
          <w:bCs/>
        </w:rPr>
        <w:t>with known inhibitors using molecular docking and in silico ADMET profiling against selected cancer-associated targets.</w:t>
      </w:r>
    </w:p>
    <w:p w14:paraId="4EB5D9A4" w14:textId="77777777" w:rsidR="00651FF7" w:rsidRDefault="00651FF7">
      <w:pPr>
        <w:spacing w:before="240" w:after="240" w:line="360" w:lineRule="auto"/>
        <w:jc w:val="both"/>
        <w:rPr>
          <w:rFonts w:ascii="Times New Roman" w:eastAsia="Times New Roman" w:hAnsi="Times New Roman" w:cs="Times New Roman"/>
          <w:sz w:val="24"/>
          <w:szCs w:val="24"/>
        </w:rPr>
      </w:pPr>
    </w:p>
    <w:p w14:paraId="316B37C7" w14:textId="2A49BBF5" w:rsidR="00651FF7" w:rsidRDefault="00205C54">
      <w:pPr>
        <w:pStyle w:val="Heading1"/>
        <w:spacing w:line="360" w:lineRule="auto"/>
      </w:pPr>
      <w:bookmarkStart w:id="1" w:name="_Toc29892"/>
      <w:r>
        <w:t>METHOD</w:t>
      </w:r>
      <w:bookmarkEnd w:id="1"/>
      <w:r>
        <w:t>OLOGY</w:t>
      </w:r>
    </w:p>
    <w:p w14:paraId="7947A6E7" w14:textId="77777777" w:rsidR="00651FF7" w:rsidRDefault="0006478A">
      <w:pPr>
        <w:pStyle w:val="Heading2"/>
        <w:spacing w:line="360" w:lineRule="auto"/>
      </w:pPr>
      <w:bookmarkStart w:id="2" w:name="_heading=h.8tbo4722gqrf" w:colFirst="0" w:colLast="0"/>
      <w:bookmarkStart w:id="3" w:name="_Toc9925"/>
      <w:bookmarkEnd w:id="2"/>
      <w:r>
        <w:t>2.1 Study Design</w:t>
      </w:r>
      <w:bookmarkEnd w:id="3"/>
    </w:p>
    <w:p w14:paraId="4CDAF569" w14:textId="77777777" w:rsidR="00651FF7" w:rsidRDefault="0006478A">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study employed a comparative in-silico computational approach to evaluate the anticancer potential of two bioactive indole alkaloids—ajmalicine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—isolated from </w:t>
      </w:r>
      <w:r>
        <w:rPr>
          <w:rFonts w:ascii="Times New Roman" w:eastAsia="Times New Roman" w:hAnsi="Times New Roman" w:cs="Times New Roman"/>
          <w:i/>
          <w:sz w:val="24"/>
          <w:szCs w:val="24"/>
        </w:rPr>
        <w:t xml:space="preserve">Rauwolfia </w:t>
      </w:r>
      <w:r>
        <w:rPr>
          <w:rFonts w:ascii="Times New Roman" w:eastAsia="Times New Roman" w:hAnsi="Times New Roman" w:cs="Times New Roman"/>
          <w:i/>
          <w:sz w:val="24"/>
          <w:szCs w:val="24"/>
        </w:rPr>
        <w:lastRenderedPageBreak/>
        <w:t>vomitoria</w:t>
      </w:r>
      <w:r>
        <w:rPr>
          <w:rFonts w:ascii="Times New Roman" w:eastAsia="Times New Roman" w:hAnsi="Times New Roman" w:cs="Times New Roman"/>
          <w:sz w:val="24"/>
          <w:szCs w:val="24"/>
        </w:rPr>
        <w:t>. The methodology was designed to simul</w:t>
      </w:r>
      <w:r>
        <w:rPr>
          <w:rFonts w:ascii="Times New Roman" w:eastAsia="Times New Roman" w:hAnsi="Times New Roman" w:cs="Times New Roman"/>
          <w:sz w:val="24"/>
          <w:szCs w:val="24"/>
        </w:rPr>
        <w:t>ate their molecular interactions with cancer-associated protein targets and to predict their pharmacokinetic and toxicity profiles using established molecular docking and ADMET prediction platforms. This multi-step strategy integrated ligand preparation, t</w:t>
      </w:r>
      <w:r>
        <w:rPr>
          <w:rFonts w:ascii="Times New Roman" w:eastAsia="Times New Roman" w:hAnsi="Times New Roman" w:cs="Times New Roman"/>
          <w:sz w:val="24"/>
          <w:szCs w:val="24"/>
        </w:rPr>
        <w:t>arget protein selection, molecular docking, and computational pharmacokinetics to identify the most promising anticancer candidate.</w:t>
      </w:r>
    </w:p>
    <w:p w14:paraId="0705A2FA" w14:textId="77777777" w:rsidR="00651FF7" w:rsidRDefault="0006478A">
      <w:pPr>
        <w:pStyle w:val="Heading2"/>
        <w:spacing w:line="360" w:lineRule="auto"/>
      </w:pPr>
      <w:bookmarkStart w:id="4" w:name="_heading=h.e58dgkd79y7g" w:colFirst="0" w:colLast="0"/>
      <w:bookmarkStart w:id="5" w:name="_Toc19334"/>
      <w:bookmarkEnd w:id="4"/>
      <w:r>
        <w:t>2.2. Computational Environment and Software</w:t>
      </w:r>
      <w:bookmarkEnd w:id="5"/>
    </w:p>
    <w:p w14:paraId="7E49FE86"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computational analyses were conducted using a standard Windows-based persona</w:t>
      </w:r>
      <w:r>
        <w:rPr>
          <w:rFonts w:ascii="Times New Roman" w:eastAsia="Times New Roman" w:hAnsi="Times New Roman" w:cs="Times New Roman"/>
          <w:sz w:val="24"/>
          <w:szCs w:val="24"/>
        </w:rPr>
        <w:t>l computer system. The following tools and software were employed:</w:t>
      </w:r>
    </w:p>
    <w:p w14:paraId="77B6533C" w14:textId="77777777" w:rsidR="00651FF7" w:rsidRDefault="0006478A">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sz w:val="24"/>
            <w:szCs w:val="24"/>
            <w:u w:val="single"/>
          </w:rPr>
          <w:t>http://www.swissadme.ch</w:t>
        </w:r>
      </w:hyperlink>
      <w:r>
        <w:rPr>
          <w:rFonts w:ascii="Times New Roman" w:eastAsia="Times New Roman" w:hAnsi="Times New Roman" w:cs="Times New Roman"/>
          <w:sz w:val="24"/>
          <w:szCs w:val="24"/>
        </w:rPr>
        <w:t>) – for pharmacokinetic and drug-likeness profiling</w:t>
      </w:r>
    </w:p>
    <w:p w14:paraId="28A42F0B" w14:textId="77777777" w:rsidR="00651FF7" w:rsidRDefault="0006478A">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ProTox</w:t>
      </w:r>
      <w:proofErr w:type="spellEnd"/>
      <w:r>
        <w:rPr>
          <w:rFonts w:ascii="Times New Roman" w:eastAsia="Times New Roman" w:hAnsi="Times New Roman" w:cs="Times New Roman"/>
          <w:sz w:val="24"/>
          <w:szCs w:val="24"/>
        </w:rPr>
        <w:t>-III (</w:t>
      </w:r>
      <w:hyperlink r:id="rId14">
        <w:r>
          <w:rPr>
            <w:rFonts w:ascii="Times New Roman" w:eastAsia="Times New Roman" w:hAnsi="Times New Roman" w:cs="Times New Roman"/>
            <w:sz w:val="24"/>
            <w:szCs w:val="24"/>
            <w:u w:val="single"/>
          </w:rPr>
          <w:t>https://tox.charite.de/protox3/index.php?site=compound_input</w:t>
        </w:r>
      </w:hyperlink>
      <w:r>
        <w:rPr>
          <w:rFonts w:ascii="Times New Roman" w:eastAsia="Times New Roman" w:hAnsi="Times New Roman" w:cs="Times New Roman"/>
          <w:sz w:val="24"/>
          <w:szCs w:val="24"/>
        </w:rPr>
        <w:t>) – for in silico toxicity prediction</w:t>
      </w:r>
    </w:p>
    <w:p w14:paraId="3DAD716B"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Schrödinger Maestro Suite (2023-3) – for protein and ligand preparation, grid generation, and molecular docking simulations</w:t>
      </w:r>
    </w:p>
    <w:p w14:paraId="41E4E718" w14:textId="77777777" w:rsidR="00651FF7" w:rsidRDefault="0006478A">
      <w:pPr>
        <w:pStyle w:val="Heading2"/>
        <w:spacing w:line="360" w:lineRule="auto"/>
      </w:pPr>
      <w:bookmarkStart w:id="6" w:name="_heading=h.iohdgbjpmxyu" w:colFirst="0" w:colLast="0"/>
      <w:bookmarkStart w:id="7" w:name="_Toc22310"/>
      <w:bookmarkEnd w:id="6"/>
      <w:r>
        <w:t>2.3. Compound Selection and Retrieval</w:t>
      </w:r>
      <w:bookmarkEnd w:id="7"/>
    </w:p>
    <w:p w14:paraId="058259AA"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naturally derived alkaloids—Ajmalicine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—from </w:t>
      </w:r>
      <w:r>
        <w:rPr>
          <w:rFonts w:ascii="Times New Roman" w:eastAsia="Times New Roman" w:hAnsi="Times New Roman" w:cs="Times New Roman"/>
          <w:i/>
          <w:sz w:val="24"/>
          <w:szCs w:val="24"/>
        </w:rPr>
        <w:t>Rauwolfia vomitoria</w:t>
      </w:r>
      <w:r>
        <w:rPr>
          <w:rFonts w:ascii="Times New Roman" w:eastAsia="Times New Roman" w:hAnsi="Times New Roman" w:cs="Times New Roman"/>
          <w:sz w:val="24"/>
          <w:szCs w:val="24"/>
        </w:rPr>
        <w:t xml:space="preserve"> were selected for evaluation. These were compared with six known inhibitors: Gefitinib, </w:t>
      </w:r>
      <w:proofErr w:type="spellStart"/>
      <w:r>
        <w:rPr>
          <w:rFonts w:ascii="Times New Roman" w:eastAsia="Times New Roman" w:hAnsi="Times New Roman" w:cs="Times New Roman"/>
          <w:sz w:val="24"/>
          <w:szCs w:val="24"/>
        </w:rPr>
        <w:t>Napabucasin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Apelisib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Mesalazine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Romidepsin</w:t>
      </w:r>
      <w:proofErr w:type="spellEnd"/>
      <w:r>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nd </w:t>
      </w:r>
      <w:proofErr w:type="spellStart"/>
      <w:r>
        <w:rPr>
          <w:rFonts w:ascii="Times New Roman" w:eastAsia="Times New Roman" w:hAnsi="Times New Roman" w:cs="Times New Roman"/>
          <w:sz w:val="24"/>
          <w:szCs w:val="24"/>
        </w:rPr>
        <w:t>Lisaftoclax</w:t>
      </w:r>
      <w:proofErr w:type="spellEnd"/>
      <w:r>
        <w:rPr>
          <w:rFonts w:ascii="Times New Roman" w:eastAsia="Times New Roman" w:hAnsi="Times New Roman" w:cs="Times New Roman"/>
          <w:sz w:val="24"/>
          <w:szCs w:val="24"/>
        </w:rPr>
        <w:t>.</w:t>
      </w:r>
    </w:p>
    <w:p w14:paraId="74B68F58"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Chemical Structures: All compounds were retrieved from the PubChem database in SMILES (Simplified Molecular Input Line Entry System) format and 3D SDF format.</w:t>
      </w:r>
    </w:p>
    <w:p w14:paraId="1AA612D7"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Compounds were converted as needed for downstream analysis using Maestro's struct</w:t>
      </w:r>
      <w:r>
        <w:rPr>
          <w:rFonts w:ascii="Times New Roman" w:eastAsia="Times New Roman" w:hAnsi="Times New Roman" w:cs="Times New Roman"/>
          <w:sz w:val="24"/>
          <w:szCs w:val="24"/>
        </w:rPr>
        <w:t>ure conversion and preparation tools.</w:t>
      </w:r>
    </w:p>
    <w:p w14:paraId="702D7CEC" w14:textId="77777777" w:rsidR="00651FF7" w:rsidRDefault="0006478A">
      <w:pPr>
        <w:pStyle w:val="Heading2"/>
        <w:spacing w:line="360" w:lineRule="auto"/>
      </w:pPr>
      <w:bookmarkStart w:id="8" w:name="_heading=h.tri9d4p6amy4" w:colFirst="0" w:colLast="0"/>
      <w:bookmarkStart w:id="9" w:name="_Toc2064"/>
      <w:bookmarkEnd w:id="8"/>
      <w:r>
        <w:t>2.4. Target Protein Selection and Preparation</w:t>
      </w:r>
      <w:bookmarkEnd w:id="9"/>
    </w:p>
    <w:p w14:paraId="1C1E5A21"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Six cancer-associated target proteins were selected based on therapeutic relevance: HDACs, BCL2, STAT3, EGFR, PI3K, and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xml:space="preserve">. </w:t>
      </w:r>
    </w:p>
    <w:p w14:paraId="53746925" w14:textId="77777777" w:rsidR="00651FF7" w:rsidRDefault="0006478A">
      <w:pPr>
        <w:spacing w:before="240" w:after="24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The  Protein</w:t>
      </w:r>
      <w:proofErr w:type="gramEnd"/>
      <w:r>
        <w:rPr>
          <w:rFonts w:ascii="Times New Roman" w:eastAsia="Times New Roman" w:hAnsi="Times New Roman" w:cs="Times New Roman"/>
          <w:sz w:val="24"/>
          <w:szCs w:val="24"/>
        </w:rPr>
        <w:t xml:space="preserve"> Structures were retrieved from </w:t>
      </w:r>
      <w:r>
        <w:rPr>
          <w:rFonts w:ascii="Times New Roman" w:eastAsia="Times New Roman" w:hAnsi="Times New Roman" w:cs="Times New Roman"/>
          <w:sz w:val="24"/>
          <w:szCs w:val="24"/>
        </w:rPr>
        <w:t>the Protein Data Bank (PDB) in PDB format, and only high-resolution crystal structures were selected to ensure docking accuracy.</w:t>
      </w:r>
    </w:p>
    <w:p w14:paraId="33F2A362" w14:textId="77777777" w:rsidR="00651FF7" w:rsidRDefault="0006478A">
      <w:pPr>
        <w:pStyle w:val="Heading2"/>
        <w:spacing w:line="360" w:lineRule="auto"/>
      </w:pPr>
      <w:bookmarkStart w:id="10" w:name="_Toc30112"/>
      <w:r>
        <w:t>2.5. Protein Preparation</w:t>
      </w:r>
      <w:bookmarkEnd w:id="10"/>
    </w:p>
    <w:p w14:paraId="7E72B280"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Protein preparation was conducted using Schrödinger's Protein Preparation Wizard. It included the remo</w:t>
      </w:r>
      <w:r>
        <w:rPr>
          <w:rFonts w:ascii="Times New Roman" w:eastAsia="Times New Roman" w:hAnsi="Times New Roman" w:cs="Times New Roman"/>
          <w:sz w:val="24"/>
          <w:szCs w:val="24"/>
        </w:rPr>
        <w:t>val of water molecules and non-essential heteroatoms.</w:t>
      </w:r>
    </w:p>
    <w:p w14:paraId="1136D8C8"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there was the addition of hydrogens, correction of bond orders, and energy </w:t>
      </w:r>
      <w:proofErr w:type="spellStart"/>
      <w:r>
        <w:rPr>
          <w:rFonts w:ascii="Times New Roman" w:eastAsia="Times New Roman" w:hAnsi="Times New Roman" w:cs="Times New Roman"/>
          <w:sz w:val="24"/>
          <w:szCs w:val="24"/>
        </w:rPr>
        <w:t>minimisation</w:t>
      </w:r>
      <w:proofErr w:type="spellEnd"/>
      <w:r>
        <w:rPr>
          <w:rFonts w:ascii="Times New Roman" w:eastAsia="Times New Roman" w:hAnsi="Times New Roman" w:cs="Times New Roman"/>
          <w:sz w:val="24"/>
          <w:szCs w:val="24"/>
        </w:rPr>
        <w:t xml:space="preserve"> using the OPLS_2005 force field.</w:t>
      </w:r>
    </w:p>
    <w:p w14:paraId="002722F0" w14:textId="77777777" w:rsidR="00651FF7" w:rsidRDefault="0006478A">
      <w:pPr>
        <w:pStyle w:val="Heading2"/>
        <w:spacing w:line="360" w:lineRule="auto"/>
      </w:pPr>
      <w:bookmarkStart w:id="11" w:name="_heading=h.t35mfioxb0cy" w:colFirst="0" w:colLast="0"/>
      <w:bookmarkStart w:id="12" w:name="_Toc30966"/>
      <w:bookmarkEnd w:id="11"/>
      <w:r>
        <w:t>2.6. Ligand Preparation</w:t>
      </w:r>
      <w:bookmarkEnd w:id="12"/>
    </w:p>
    <w:p w14:paraId="78740017"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Ligands were prepared using Schrödinger’s </w:t>
      </w:r>
      <w:proofErr w:type="spellStart"/>
      <w:r>
        <w:rPr>
          <w:rFonts w:ascii="Times New Roman" w:eastAsia="Times New Roman" w:hAnsi="Times New Roman" w:cs="Times New Roman"/>
          <w:sz w:val="24"/>
          <w:szCs w:val="24"/>
        </w:rPr>
        <w:t>LigPrep</w:t>
      </w:r>
      <w:proofErr w:type="spellEnd"/>
      <w:r>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odule.</w:t>
      </w:r>
    </w:p>
    <w:p w14:paraId="15346753"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included: 3D structure generation; Protonation state prediction (at pH 7.0 ± 0.5); Tautomer generation and geometry </w:t>
      </w:r>
      <w:proofErr w:type="spellStart"/>
      <w:r>
        <w:rPr>
          <w:rFonts w:ascii="Times New Roman" w:eastAsia="Times New Roman" w:hAnsi="Times New Roman" w:cs="Times New Roman"/>
          <w:sz w:val="24"/>
          <w:szCs w:val="24"/>
        </w:rPr>
        <w:t>optimisation</w:t>
      </w:r>
      <w:proofErr w:type="spellEnd"/>
      <w:r>
        <w:rPr>
          <w:rFonts w:ascii="Times New Roman" w:eastAsia="Times New Roman" w:hAnsi="Times New Roman" w:cs="Times New Roman"/>
          <w:sz w:val="24"/>
          <w:szCs w:val="24"/>
        </w:rPr>
        <w:t xml:space="preserve">; Energy </w:t>
      </w:r>
      <w:proofErr w:type="spellStart"/>
      <w:r>
        <w:rPr>
          <w:rFonts w:ascii="Times New Roman" w:eastAsia="Times New Roman" w:hAnsi="Times New Roman" w:cs="Times New Roman"/>
          <w:sz w:val="24"/>
          <w:szCs w:val="24"/>
        </w:rPr>
        <w:t>minimisation</w:t>
      </w:r>
      <w:proofErr w:type="spellEnd"/>
      <w:r>
        <w:rPr>
          <w:rFonts w:ascii="Times New Roman" w:eastAsia="Times New Roman" w:hAnsi="Times New Roman" w:cs="Times New Roman"/>
          <w:sz w:val="24"/>
          <w:szCs w:val="24"/>
        </w:rPr>
        <w:t xml:space="preserve"> using the default force field.</w:t>
      </w:r>
    </w:p>
    <w:p w14:paraId="166C8B7C" w14:textId="77777777" w:rsidR="00651FF7" w:rsidRDefault="0006478A">
      <w:pPr>
        <w:pStyle w:val="Heading2"/>
        <w:spacing w:line="360" w:lineRule="auto"/>
      </w:pPr>
      <w:bookmarkStart w:id="13" w:name="_heading=h.cwm7zlqt3zul" w:colFirst="0" w:colLast="0"/>
      <w:bookmarkStart w:id="14" w:name="_Toc25620"/>
      <w:bookmarkEnd w:id="13"/>
      <w:r>
        <w:t>2.7. ADMET and Toxicity Prediction</w:t>
      </w:r>
      <w:bookmarkEnd w:id="14"/>
    </w:p>
    <w:p w14:paraId="5D2FCD97"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the drug-li</w:t>
      </w:r>
      <w:r>
        <w:rPr>
          <w:rFonts w:ascii="Times New Roman" w:eastAsia="Times New Roman" w:hAnsi="Times New Roman" w:cs="Times New Roman"/>
          <w:sz w:val="24"/>
          <w:szCs w:val="24"/>
        </w:rPr>
        <w:t>keness and pharmacokinetic profiles of the compounds:</w:t>
      </w:r>
    </w:p>
    <w:p w14:paraId="0DEF06E1" w14:textId="77777777" w:rsidR="00651FF7" w:rsidRDefault="0006478A">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was used to predict parameters such as: Gastrointestinal (GI) absorption, Lipophilicity (</w:t>
      </w:r>
      <w:proofErr w:type="spellStart"/>
      <w:r>
        <w:rPr>
          <w:rFonts w:ascii="Times New Roman" w:eastAsia="Times New Roman" w:hAnsi="Times New Roman" w:cs="Times New Roman"/>
          <w:sz w:val="24"/>
          <w:szCs w:val="24"/>
        </w:rPr>
        <w:t>LogP</w:t>
      </w:r>
      <w:proofErr w:type="spellEnd"/>
      <w:proofErr w:type="gramStart"/>
      <w:r>
        <w:rPr>
          <w:rFonts w:ascii="Times New Roman" w:eastAsia="Times New Roman" w:hAnsi="Times New Roman" w:cs="Times New Roman"/>
          <w:sz w:val="24"/>
          <w:szCs w:val="24"/>
        </w:rPr>
        <w:t>),  Drug</w:t>
      </w:r>
      <w:proofErr w:type="gramEnd"/>
      <w:r>
        <w:rPr>
          <w:rFonts w:ascii="Times New Roman" w:eastAsia="Times New Roman" w:hAnsi="Times New Roman" w:cs="Times New Roman"/>
          <w:sz w:val="24"/>
          <w:szCs w:val="24"/>
        </w:rPr>
        <w:t xml:space="preserve">-likeness (based on Lipinski, Ghose, </w:t>
      </w:r>
      <w:proofErr w:type="spellStart"/>
      <w:r>
        <w:rPr>
          <w:rFonts w:ascii="Times New Roman" w:eastAsia="Times New Roman" w:hAnsi="Times New Roman" w:cs="Times New Roman"/>
          <w:sz w:val="24"/>
          <w:szCs w:val="24"/>
        </w:rPr>
        <w:t>Veber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Bioavailability scores and blood-brain </w:t>
      </w:r>
      <w:r>
        <w:rPr>
          <w:rFonts w:ascii="Times New Roman" w:eastAsia="Times New Roman" w:hAnsi="Times New Roman" w:cs="Times New Roman"/>
          <w:sz w:val="24"/>
          <w:szCs w:val="24"/>
        </w:rPr>
        <w:t>barrier permeability</w:t>
      </w:r>
    </w:p>
    <w:p w14:paraId="25E7A43B" w14:textId="77777777" w:rsidR="00651FF7" w:rsidRDefault="0006478A">
      <w:pPr>
        <w:spacing w:before="240"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ProTox</w:t>
      </w:r>
      <w:proofErr w:type="spellEnd"/>
      <w:r>
        <w:rPr>
          <w:rFonts w:ascii="Times New Roman" w:eastAsia="Times New Roman" w:hAnsi="Times New Roman" w:cs="Times New Roman"/>
          <w:sz w:val="24"/>
          <w:szCs w:val="24"/>
        </w:rPr>
        <w:t xml:space="preserve">-III was </w:t>
      </w:r>
      <w:proofErr w:type="spellStart"/>
      <w:r>
        <w:rPr>
          <w:rFonts w:ascii="Times New Roman" w:eastAsia="Times New Roman" w:hAnsi="Times New Roman" w:cs="Times New Roman"/>
          <w:sz w:val="24"/>
          <w:szCs w:val="24"/>
        </w:rPr>
        <w:t>utilised</w:t>
      </w:r>
      <w:proofErr w:type="spellEnd"/>
      <w:r>
        <w:rPr>
          <w:rFonts w:ascii="Times New Roman" w:eastAsia="Times New Roman" w:hAnsi="Times New Roman" w:cs="Times New Roman"/>
          <w:sz w:val="24"/>
          <w:szCs w:val="24"/>
        </w:rPr>
        <w:t xml:space="preserve"> to evaluate the LD₅₀ (median lethal dose), Hepatotoxicity, Carcinogenicity, Cytotoxicity and immunotoxicity.</w:t>
      </w:r>
    </w:p>
    <w:p w14:paraId="429431A4" w14:textId="77777777" w:rsidR="00651FF7" w:rsidRDefault="0006478A">
      <w:pPr>
        <w:pStyle w:val="Heading2"/>
        <w:spacing w:line="360" w:lineRule="auto"/>
      </w:pPr>
      <w:bookmarkStart w:id="15" w:name="_heading=h.uv5dh9vvw223" w:colFirst="0" w:colLast="0"/>
      <w:bookmarkStart w:id="16" w:name="_Toc30659"/>
      <w:bookmarkEnd w:id="15"/>
      <w:r>
        <w:t>2.8. Molecular Docking Simulation</w:t>
      </w:r>
      <w:bookmarkEnd w:id="16"/>
    </w:p>
    <w:p w14:paraId="4A4141FC"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Receptor Grid Generation: Grids were </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around the active bindi</w:t>
      </w:r>
      <w:r>
        <w:rPr>
          <w:rFonts w:ascii="Times New Roman" w:eastAsia="Times New Roman" w:hAnsi="Times New Roman" w:cs="Times New Roman"/>
          <w:sz w:val="24"/>
          <w:szCs w:val="24"/>
        </w:rPr>
        <w:t>ng sites of each target protein based on co-</w:t>
      </w:r>
      <w:proofErr w:type="spellStart"/>
      <w:r>
        <w:rPr>
          <w:rFonts w:ascii="Times New Roman" w:eastAsia="Times New Roman" w:hAnsi="Times New Roman" w:cs="Times New Roman"/>
          <w:sz w:val="24"/>
          <w:szCs w:val="24"/>
        </w:rPr>
        <w:t>crystallised</w:t>
      </w:r>
      <w:proofErr w:type="spellEnd"/>
      <w:r>
        <w:rPr>
          <w:rFonts w:ascii="Times New Roman" w:eastAsia="Times New Roman" w:hAnsi="Times New Roman" w:cs="Times New Roman"/>
          <w:sz w:val="24"/>
          <w:szCs w:val="24"/>
        </w:rPr>
        <w:t xml:space="preserve"> ligands or literature-defined pockets.</w:t>
      </w:r>
    </w:p>
    <w:p w14:paraId="448D3F7B"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Molecular docking was performed using Glide (SP mode) within the Schrödinger Suite.</w:t>
      </w:r>
    </w:p>
    <w:p w14:paraId="79C930D7"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Scoring Metrics include: Glide docking scores (binding affinity); Hydrogen b</w:t>
      </w:r>
      <w:r>
        <w:rPr>
          <w:rFonts w:ascii="Times New Roman" w:eastAsia="Times New Roman" w:hAnsi="Times New Roman" w:cs="Times New Roman"/>
          <w:sz w:val="24"/>
          <w:szCs w:val="24"/>
        </w:rPr>
        <w:t>onding and hydrophobic interaction profiles; Pose analysis and binding site compatibility.</w:t>
      </w:r>
    </w:p>
    <w:p w14:paraId="36639C2C" w14:textId="77777777" w:rsidR="00651FF7" w:rsidRDefault="0006478A">
      <w:pPr>
        <w:pStyle w:val="Heading2"/>
        <w:spacing w:line="360" w:lineRule="auto"/>
      </w:pPr>
      <w:bookmarkStart w:id="17" w:name="_heading=h.wd10qjed5lg0" w:colFirst="0" w:colLast="0"/>
      <w:bookmarkStart w:id="18" w:name="_Toc24652"/>
      <w:bookmarkEnd w:id="17"/>
      <w:r>
        <w:t>2.9. Comparative Evaluation</w:t>
      </w:r>
      <w:bookmarkEnd w:id="18"/>
    </w:p>
    <w:p w14:paraId="266B0566"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Docking results for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were systematically compared with known inhibitors for each protein.</w:t>
      </w:r>
    </w:p>
    <w:p w14:paraId="72BAE37B" w14:textId="77777777" w:rsidR="00651FF7" w:rsidRDefault="0006478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evaluation criteria</w:t>
      </w:r>
      <w:r>
        <w:rPr>
          <w:rFonts w:ascii="Times New Roman" w:eastAsia="Times New Roman" w:hAnsi="Times New Roman" w:cs="Times New Roman"/>
          <w:sz w:val="24"/>
          <w:szCs w:val="24"/>
        </w:rPr>
        <w:t xml:space="preserve"> included: Binding affinity (Glide score); Binding pose and interaction residues; Correlation with ADMET and toxicity profiles</w:t>
      </w:r>
    </w:p>
    <w:p w14:paraId="06B5E630" w14:textId="77777777" w:rsidR="00651FF7" w:rsidRDefault="0006478A">
      <w:pPr>
        <w:pStyle w:val="Heading2"/>
        <w:spacing w:line="360" w:lineRule="auto"/>
      </w:pPr>
      <w:r>
        <w:t xml:space="preserve"> </w:t>
      </w:r>
      <w:bookmarkStart w:id="19" w:name="_Toc5092"/>
      <w:r>
        <w:t>2.10. Ethical Considerations</w:t>
      </w:r>
      <w:bookmarkEnd w:id="19"/>
    </w:p>
    <w:p w14:paraId="0B4C86B3" w14:textId="77777777" w:rsidR="00651FF7" w:rsidRDefault="0006478A">
      <w:pPr>
        <w:spacing w:before="240" w:after="240" w:line="360" w:lineRule="auto"/>
        <w:jc w:val="both"/>
        <w:rPr>
          <w:rFonts w:ascii="Times New Roman" w:eastAsia="Times New Roman" w:hAnsi="Times New Roman" w:cs="Times New Roman"/>
          <w:sz w:val="24"/>
          <w:szCs w:val="24"/>
        </w:rPr>
        <w:sectPr w:rsidR="00651FF7">
          <w:pgSz w:w="12240" w:h="15840"/>
          <w:pgMar w:top="1440" w:right="1440" w:bottom="1440" w:left="1440" w:header="720" w:footer="720" w:gutter="0"/>
          <w:cols w:space="720"/>
        </w:sectPr>
      </w:pPr>
      <w:r>
        <w:rPr>
          <w:rFonts w:ascii="Times New Roman" w:eastAsia="Times New Roman" w:hAnsi="Times New Roman" w:cs="Times New Roman"/>
          <w:sz w:val="24"/>
          <w:szCs w:val="24"/>
        </w:rPr>
        <w:t xml:space="preserve">As this is an in-silico study, it involved no human or animal subjects, and thus, ethical approval </w:t>
      </w:r>
      <w:r>
        <w:rPr>
          <w:rFonts w:ascii="Times New Roman" w:eastAsia="Times New Roman" w:hAnsi="Times New Roman" w:cs="Times New Roman"/>
          <w:sz w:val="24"/>
          <w:szCs w:val="24"/>
        </w:rPr>
        <w:t xml:space="preserve">was not required. All data </w:t>
      </w:r>
      <w:proofErr w:type="spellStart"/>
      <w:r>
        <w:rPr>
          <w:rFonts w:ascii="Times New Roman" w:eastAsia="Times New Roman" w:hAnsi="Times New Roman" w:cs="Times New Roman"/>
          <w:sz w:val="24"/>
          <w:szCs w:val="24"/>
        </w:rPr>
        <w:t>utilised</w:t>
      </w:r>
      <w:proofErr w:type="spellEnd"/>
      <w:r>
        <w:rPr>
          <w:rFonts w:ascii="Times New Roman" w:eastAsia="Times New Roman" w:hAnsi="Times New Roman" w:cs="Times New Roman"/>
          <w:sz w:val="24"/>
          <w:szCs w:val="24"/>
        </w:rPr>
        <w:t xml:space="preserve"> were retrieved from publicly accessible databases and used under their terms of use.</w:t>
      </w:r>
    </w:p>
    <w:p w14:paraId="11D82A8A" w14:textId="638B4220" w:rsidR="00651FF7" w:rsidRDefault="0006478A">
      <w:pPr>
        <w:pStyle w:val="Heading1"/>
      </w:pPr>
      <w:bookmarkStart w:id="20" w:name="_Toc11720"/>
      <w:r>
        <w:lastRenderedPageBreak/>
        <w:t>RESULTS</w:t>
      </w:r>
      <w:bookmarkEnd w:id="20"/>
      <w:r w:rsidR="00065DA4">
        <w:t xml:space="preserve"> &amp; DISCUSSIONS</w:t>
      </w:r>
    </w:p>
    <w:p w14:paraId="2CE4BBBD" w14:textId="77777777" w:rsidR="00651FF7" w:rsidRDefault="00651FF7">
      <w:pPr>
        <w:rPr>
          <w:rFonts w:ascii="Times New Roman" w:hAnsi="Times New Roman" w:cs="Times New Roman"/>
        </w:rPr>
      </w:pPr>
    </w:p>
    <w:p w14:paraId="5E02FFB3" w14:textId="77777777" w:rsidR="00651FF7" w:rsidRDefault="0006478A">
      <w:pPr>
        <w:spacing w:line="360" w:lineRule="auto"/>
        <w:rPr>
          <w:rFonts w:ascii="Times New Roman" w:hAnsi="Times New Roman" w:cs="Times New Roman"/>
          <w:sz w:val="24"/>
          <w:szCs w:val="24"/>
        </w:rPr>
      </w:pPr>
      <w:r>
        <w:rPr>
          <w:rFonts w:ascii="Times New Roman" w:eastAsia="Cambria" w:hAnsi="Times New Roman" w:cs="Times New Roman"/>
          <w:sz w:val="24"/>
          <w:szCs w:val="24"/>
          <w:shd w:val="clear" w:color="auto" w:fill="FFFFFF"/>
        </w:rPr>
        <w:t xml:space="preserve">The basic physicochemical properties of the promising compounds as well as standard drugs from the docking </w:t>
      </w:r>
      <w:r>
        <w:rPr>
          <w:rFonts w:ascii="Times New Roman" w:eastAsia="Cambria" w:hAnsi="Times New Roman" w:cs="Times New Roman"/>
          <w:sz w:val="24"/>
          <w:szCs w:val="24"/>
          <w:shd w:val="clear" w:color="auto" w:fill="FFFFFF"/>
        </w:rPr>
        <w:t>result are presented in </w:t>
      </w:r>
      <w:hyperlink r:id="rId15" w:anchor="t0003" w:history="1">
        <w:r>
          <w:rPr>
            <w:rStyle w:val="Hyperlink"/>
            <w:rFonts w:ascii="Times New Roman" w:eastAsia="Cambria" w:hAnsi="Times New Roman" w:cs="Times New Roman"/>
            <w:color w:val="auto"/>
            <w:sz w:val="24"/>
            <w:szCs w:val="24"/>
            <w:u w:val="none"/>
            <w:shd w:val="clear" w:color="auto" w:fill="FFFFFF"/>
          </w:rPr>
          <w:t xml:space="preserve">Tables </w:t>
        </w:r>
      </w:hyperlink>
      <w:r>
        <w:rPr>
          <w:rFonts w:ascii="Times New Roman" w:eastAsia="Cambria" w:hAnsi="Times New Roman" w:cs="Times New Roman"/>
          <w:sz w:val="24"/>
          <w:szCs w:val="24"/>
          <w:shd w:val="clear" w:color="auto" w:fill="FFFFFF"/>
        </w:rPr>
        <w:t>1, 2, and 3.</w:t>
      </w:r>
    </w:p>
    <w:p w14:paraId="34185F27" w14:textId="77777777" w:rsidR="00651FF7" w:rsidRDefault="0006478A">
      <w:pPr>
        <w:pStyle w:val="Heading2"/>
        <w:spacing w:line="360" w:lineRule="auto"/>
      </w:pPr>
      <w:bookmarkStart w:id="21" w:name="_Toc2712"/>
      <w:r>
        <w:t>In-Silico Pharmacokinetic and Drug-Likeness Prediction</w:t>
      </w:r>
      <w:bookmarkEnd w:id="21"/>
    </w:p>
    <w:p w14:paraId="26072EF1"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ADME (Absorption, Distribution, Metabolism, and Excretion) analysis was perf</w:t>
      </w:r>
      <w:r>
        <w:rPr>
          <w:rFonts w:ascii="Times New Roman" w:eastAsia="Times New Roman" w:hAnsi="Times New Roman" w:cs="Times New Roman"/>
          <w:sz w:val="24"/>
          <w:szCs w:val="24"/>
        </w:rPr>
        <w:t xml:space="preserve">ormed to predict the pharmacokinetic properties and drug-likeness of the compounds using the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platform. </w:t>
      </w:r>
      <w:r>
        <w:rPr>
          <w:rFonts w:ascii="Cambria" w:eastAsia="Cambria" w:hAnsi="Cambria" w:cs="Cambria"/>
          <w:sz w:val="28"/>
          <w:szCs w:val="28"/>
          <w:shd w:val="clear" w:color="auto" w:fill="FFFFFF"/>
        </w:rPr>
        <w:t> </w:t>
      </w:r>
      <w:r>
        <w:rPr>
          <w:rFonts w:ascii="Times New Roman" w:eastAsia="Times New Roman" w:hAnsi="Times New Roman" w:cs="Times New Roman"/>
          <w:sz w:val="24"/>
          <w:szCs w:val="24"/>
        </w:rPr>
        <w:t>The results are summarized in Table 4 and 5.</w:t>
      </w:r>
    </w:p>
    <w:p w14:paraId="7CA089DF"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sectPr w:rsidR="00651FF7">
          <w:pgSz w:w="12240" w:h="15840"/>
          <w:pgMar w:top="1440" w:right="1440" w:bottom="1440" w:left="1440" w:header="720" w:footer="720" w:gutter="0"/>
          <w:cols w:space="720"/>
        </w:sectPr>
      </w:pPr>
    </w:p>
    <w:p w14:paraId="35D6244D" w14:textId="77777777" w:rsidR="00651FF7" w:rsidRDefault="0006478A">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1: </w:t>
      </w:r>
      <w:r>
        <w:rPr>
          <w:rFonts w:ascii="Times New Roman" w:eastAsia="Times New Roman" w:hAnsi="Times New Roman"/>
          <w:b/>
          <w:sz w:val="24"/>
          <w:szCs w:val="24"/>
        </w:rPr>
        <w:t xml:space="preserve">Basic physicochemical properties and computational descriptors of </w:t>
      </w:r>
      <w:proofErr w:type="spellStart"/>
      <w:r>
        <w:rPr>
          <w:rFonts w:ascii="Times New Roman" w:eastAsia="Times New Roman" w:hAnsi="Times New Roman"/>
          <w:b/>
          <w:sz w:val="24"/>
          <w:szCs w:val="24"/>
        </w:rPr>
        <w:t>Ajmalcine</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Alstonine</w:t>
      </w:r>
      <w:proofErr w:type="spellEnd"/>
      <w:r>
        <w:rPr>
          <w:rFonts w:ascii="Times New Roman" w:eastAsia="Times New Roman" w:hAnsi="Times New Roman"/>
          <w:b/>
          <w:sz w:val="24"/>
          <w:szCs w:val="24"/>
        </w:rPr>
        <w:t xml:space="preserve"> </w:t>
      </w:r>
      <w:r>
        <w:rPr>
          <w:rFonts w:ascii="Times New Roman" w:eastAsia="Times New Roman" w:hAnsi="Times New Roman"/>
          <w:b/>
          <w:sz w:val="24"/>
          <w:szCs w:val="24"/>
        </w:rPr>
        <w:t xml:space="preserve">and the </w:t>
      </w:r>
      <w:r>
        <w:rPr>
          <w:rFonts w:ascii="Times New Roman" w:eastAsia="Times New Roman" w:hAnsi="Times New Roman" w:cs="Times New Roman"/>
          <w:b/>
          <w:sz w:val="24"/>
          <w:szCs w:val="24"/>
        </w:rPr>
        <w:t>six known inhibitors</w:t>
      </w:r>
    </w:p>
    <w:p w14:paraId="733B7436"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sz w:val="24"/>
          <w:szCs w:val="24"/>
        </w:rPr>
      </w:pPr>
      <w:r>
        <w:rPr>
          <w:rFonts w:ascii="Times New Roman" w:eastAsia="Times New Roman" w:hAnsi="Times New Roman"/>
          <w:b/>
          <w:sz w:val="24"/>
          <w:szCs w:val="24"/>
        </w:rPr>
        <w:t>screened compounds</w:t>
      </w:r>
    </w:p>
    <w:tbl>
      <w:tblPr>
        <w:tblW w:w="14629"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1904"/>
        <w:gridCol w:w="964"/>
        <w:gridCol w:w="1259"/>
        <w:gridCol w:w="1550"/>
        <w:gridCol w:w="1205"/>
        <w:gridCol w:w="1538"/>
        <w:gridCol w:w="1659"/>
        <w:gridCol w:w="1525"/>
        <w:gridCol w:w="1488"/>
      </w:tblGrid>
      <w:tr w:rsidR="00651FF7" w14:paraId="777B0822" w14:textId="77777777">
        <w:trPr>
          <w:trHeight w:val="778"/>
          <w:jc w:val="center"/>
        </w:trPr>
        <w:tc>
          <w:tcPr>
            <w:tcW w:w="1537" w:type="dxa"/>
            <w:vAlign w:val="bottom"/>
          </w:tcPr>
          <w:p w14:paraId="4AE63E71"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Compound</w:t>
            </w:r>
          </w:p>
        </w:tc>
        <w:tc>
          <w:tcPr>
            <w:tcW w:w="1904" w:type="dxa"/>
            <w:vAlign w:val="bottom"/>
          </w:tcPr>
          <w:p w14:paraId="7DF65495"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Formula</w:t>
            </w:r>
          </w:p>
        </w:tc>
        <w:tc>
          <w:tcPr>
            <w:tcW w:w="964" w:type="dxa"/>
            <w:vAlign w:val="bottom"/>
          </w:tcPr>
          <w:p w14:paraId="6E17C8AB"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MW</w:t>
            </w:r>
          </w:p>
        </w:tc>
        <w:tc>
          <w:tcPr>
            <w:tcW w:w="1259" w:type="dxa"/>
            <w:vAlign w:val="bottom"/>
          </w:tcPr>
          <w:p w14:paraId="217A41BB"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No. Heavy atoms</w:t>
            </w:r>
          </w:p>
        </w:tc>
        <w:tc>
          <w:tcPr>
            <w:tcW w:w="1550" w:type="dxa"/>
            <w:vAlign w:val="bottom"/>
          </w:tcPr>
          <w:p w14:paraId="6A387547"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No. Aromatic heavy atoms</w:t>
            </w:r>
          </w:p>
        </w:tc>
        <w:tc>
          <w:tcPr>
            <w:tcW w:w="1205" w:type="dxa"/>
            <w:vAlign w:val="bottom"/>
          </w:tcPr>
          <w:p w14:paraId="12F8168A"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Fraction Csp3</w:t>
            </w:r>
          </w:p>
        </w:tc>
        <w:tc>
          <w:tcPr>
            <w:tcW w:w="1538" w:type="dxa"/>
            <w:vAlign w:val="bottom"/>
          </w:tcPr>
          <w:p w14:paraId="52855545" w14:textId="77777777" w:rsidR="00651FF7" w:rsidRDefault="0006478A">
            <w:pPr>
              <w:jc w:val="center"/>
              <w:textAlignment w:val="bottom"/>
              <w:rPr>
                <w:rFonts w:ascii="Times New Roman" w:hAnsi="Times New Roman" w:cs="Times New Roman"/>
                <w:b/>
                <w:bCs/>
                <w:sz w:val="24"/>
                <w:szCs w:val="24"/>
              </w:rPr>
            </w:pPr>
            <w:proofErr w:type="spellStart"/>
            <w:proofErr w:type="gramStart"/>
            <w:r>
              <w:rPr>
                <w:rFonts w:ascii="Times New Roman" w:eastAsia="SimSun" w:hAnsi="Times New Roman" w:cs="Times New Roman"/>
                <w:b/>
                <w:bCs/>
                <w:sz w:val="24"/>
                <w:szCs w:val="24"/>
                <w:lang w:bidi="ar"/>
              </w:rPr>
              <w:t>No.Rotatable</w:t>
            </w:r>
            <w:proofErr w:type="spellEnd"/>
            <w:proofErr w:type="gramEnd"/>
            <w:r>
              <w:rPr>
                <w:rFonts w:ascii="Times New Roman" w:eastAsia="SimSun" w:hAnsi="Times New Roman" w:cs="Times New Roman"/>
                <w:b/>
                <w:bCs/>
                <w:sz w:val="24"/>
                <w:szCs w:val="24"/>
                <w:lang w:bidi="ar"/>
              </w:rPr>
              <w:t xml:space="preserve"> bonds</w:t>
            </w:r>
          </w:p>
        </w:tc>
        <w:tc>
          <w:tcPr>
            <w:tcW w:w="1659" w:type="dxa"/>
            <w:vAlign w:val="bottom"/>
          </w:tcPr>
          <w:p w14:paraId="60250730"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No. H-bond acceptors</w:t>
            </w:r>
          </w:p>
        </w:tc>
        <w:tc>
          <w:tcPr>
            <w:tcW w:w="1525" w:type="dxa"/>
            <w:vAlign w:val="bottom"/>
          </w:tcPr>
          <w:p w14:paraId="0791B573"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No. H-bond donors</w:t>
            </w:r>
          </w:p>
        </w:tc>
        <w:tc>
          <w:tcPr>
            <w:tcW w:w="1488" w:type="dxa"/>
            <w:vAlign w:val="bottom"/>
          </w:tcPr>
          <w:p w14:paraId="7BEABDA9"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Molar Refractivity</w:t>
            </w:r>
          </w:p>
        </w:tc>
      </w:tr>
      <w:tr w:rsidR="00651FF7" w14:paraId="7C92882C" w14:textId="77777777">
        <w:trPr>
          <w:trHeight w:val="253"/>
          <w:jc w:val="center"/>
        </w:trPr>
        <w:tc>
          <w:tcPr>
            <w:tcW w:w="1537" w:type="dxa"/>
            <w:noWrap/>
            <w:vAlign w:val="bottom"/>
          </w:tcPr>
          <w:p w14:paraId="45F3F76A"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Alstonine</w:t>
            </w:r>
            <w:proofErr w:type="spellEnd"/>
          </w:p>
        </w:tc>
        <w:tc>
          <w:tcPr>
            <w:tcW w:w="1904" w:type="dxa"/>
            <w:vAlign w:val="bottom"/>
          </w:tcPr>
          <w:p w14:paraId="3B67691C"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21</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20</w:t>
            </w:r>
            <w:r>
              <w:rPr>
                <w:rFonts w:ascii="Times New Roman" w:eastAsia="SimSun" w:hAnsi="Times New Roman" w:cs="Times New Roman"/>
                <w:sz w:val="24"/>
                <w:szCs w:val="24"/>
                <w:lang w:bidi="ar"/>
              </w:rPr>
              <w:t>N</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3</w:t>
            </w:r>
          </w:p>
        </w:tc>
        <w:tc>
          <w:tcPr>
            <w:tcW w:w="964" w:type="dxa"/>
            <w:noWrap/>
            <w:vAlign w:val="bottom"/>
          </w:tcPr>
          <w:p w14:paraId="09383B9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348.4</w:t>
            </w:r>
          </w:p>
        </w:tc>
        <w:tc>
          <w:tcPr>
            <w:tcW w:w="1259" w:type="dxa"/>
            <w:noWrap/>
            <w:vAlign w:val="bottom"/>
          </w:tcPr>
          <w:p w14:paraId="4D525F8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26</w:t>
            </w:r>
          </w:p>
        </w:tc>
        <w:tc>
          <w:tcPr>
            <w:tcW w:w="1550" w:type="dxa"/>
            <w:noWrap/>
            <w:vAlign w:val="bottom"/>
          </w:tcPr>
          <w:p w14:paraId="6C2791CF"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13</w:t>
            </w:r>
          </w:p>
        </w:tc>
        <w:tc>
          <w:tcPr>
            <w:tcW w:w="1205" w:type="dxa"/>
            <w:noWrap/>
            <w:vAlign w:val="bottom"/>
          </w:tcPr>
          <w:p w14:paraId="4511B54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0.33</w:t>
            </w:r>
          </w:p>
        </w:tc>
        <w:tc>
          <w:tcPr>
            <w:tcW w:w="1538" w:type="dxa"/>
            <w:noWrap/>
            <w:vAlign w:val="bottom"/>
          </w:tcPr>
          <w:p w14:paraId="5363264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1659" w:type="dxa"/>
            <w:noWrap/>
            <w:vAlign w:val="bottom"/>
          </w:tcPr>
          <w:p w14:paraId="1DBF427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w:t>
            </w:r>
          </w:p>
        </w:tc>
        <w:tc>
          <w:tcPr>
            <w:tcW w:w="1525" w:type="dxa"/>
            <w:noWrap/>
            <w:vAlign w:val="bottom"/>
          </w:tcPr>
          <w:p w14:paraId="4D65813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488" w:type="dxa"/>
            <w:noWrap/>
            <w:vAlign w:val="bottom"/>
          </w:tcPr>
          <w:p w14:paraId="4A1AAE0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99.59</w:t>
            </w:r>
          </w:p>
        </w:tc>
      </w:tr>
      <w:tr w:rsidR="00651FF7" w14:paraId="72DE34FA" w14:textId="77777777">
        <w:trPr>
          <w:trHeight w:val="253"/>
          <w:jc w:val="center"/>
        </w:trPr>
        <w:tc>
          <w:tcPr>
            <w:tcW w:w="1537" w:type="dxa"/>
            <w:noWrap/>
            <w:vAlign w:val="bottom"/>
          </w:tcPr>
          <w:p w14:paraId="1C7EED1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Ajmalicine</w:t>
            </w:r>
          </w:p>
        </w:tc>
        <w:tc>
          <w:tcPr>
            <w:tcW w:w="1904" w:type="dxa"/>
            <w:vAlign w:val="bottom"/>
          </w:tcPr>
          <w:p w14:paraId="4C5A041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21</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24</w:t>
            </w:r>
            <w:r>
              <w:rPr>
                <w:rFonts w:ascii="Times New Roman" w:eastAsia="SimSun" w:hAnsi="Times New Roman" w:cs="Times New Roman"/>
                <w:sz w:val="24"/>
                <w:szCs w:val="24"/>
                <w:lang w:bidi="ar"/>
              </w:rPr>
              <w:t>N</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3</w:t>
            </w:r>
          </w:p>
        </w:tc>
        <w:tc>
          <w:tcPr>
            <w:tcW w:w="964" w:type="dxa"/>
            <w:noWrap/>
            <w:vAlign w:val="bottom"/>
          </w:tcPr>
          <w:p w14:paraId="345BA87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352.43</w:t>
            </w:r>
          </w:p>
        </w:tc>
        <w:tc>
          <w:tcPr>
            <w:tcW w:w="1259" w:type="dxa"/>
            <w:noWrap/>
            <w:vAlign w:val="bottom"/>
          </w:tcPr>
          <w:p w14:paraId="3B59D8D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26</w:t>
            </w:r>
          </w:p>
        </w:tc>
        <w:tc>
          <w:tcPr>
            <w:tcW w:w="1550" w:type="dxa"/>
            <w:noWrap/>
            <w:vAlign w:val="bottom"/>
          </w:tcPr>
          <w:p w14:paraId="00E03ECC"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9</w:t>
            </w:r>
          </w:p>
        </w:tc>
        <w:tc>
          <w:tcPr>
            <w:tcW w:w="1205" w:type="dxa"/>
            <w:noWrap/>
            <w:vAlign w:val="bottom"/>
          </w:tcPr>
          <w:p w14:paraId="35D5BC4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0.48</w:t>
            </w:r>
          </w:p>
        </w:tc>
        <w:tc>
          <w:tcPr>
            <w:tcW w:w="1538" w:type="dxa"/>
            <w:noWrap/>
            <w:vAlign w:val="bottom"/>
          </w:tcPr>
          <w:p w14:paraId="63A5A58C"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1659" w:type="dxa"/>
            <w:noWrap/>
            <w:vAlign w:val="bottom"/>
          </w:tcPr>
          <w:p w14:paraId="64CCCD6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w:t>
            </w:r>
          </w:p>
        </w:tc>
        <w:tc>
          <w:tcPr>
            <w:tcW w:w="1525" w:type="dxa"/>
            <w:noWrap/>
            <w:vAlign w:val="bottom"/>
          </w:tcPr>
          <w:p w14:paraId="1FF1486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488" w:type="dxa"/>
            <w:noWrap/>
            <w:vAlign w:val="bottom"/>
          </w:tcPr>
          <w:p w14:paraId="06728829"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103.47</w:t>
            </w:r>
          </w:p>
        </w:tc>
      </w:tr>
      <w:tr w:rsidR="00651FF7" w14:paraId="74928ECE" w14:textId="77777777">
        <w:trPr>
          <w:trHeight w:val="253"/>
          <w:jc w:val="center"/>
        </w:trPr>
        <w:tc>
          <w:tcPr>
            <w:tcW w:w="1537" w:type="dxa"/>
            <w:noWrap/>
            <w:vAlign w:val="bottom"/>
          </w:tcPr>
          <w:p w14:paraId="51A361D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Gefitinib</w:t>
            </w:r>
          </w:p>
        </w:tc>
        <w:tc>
          <w:tcPr>
            <w:tcW w:w="1904" w:type="dxa"/>
            <w:vAlign w:val="bottom"/>
          </w:tcPr>
          <w:p w14:paraId="03ED5B3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24</w:t>
            </w:r>
            <w:r>
              <w:rPr>
                <w:rFonts w:ascii="Times New Roman" w:eastAsia="SimSun" w:hAnsi="Times New Roman" w:cs="Times New Roman"/>
                <w:sz w:val="24"/>
                <w:szCs w:val="24"/>
                <w:lang w:bidi="ar"/>
              </w:rPr>
              <w:t>ClFN</w:t>
            </w:r>
            <w:r>
              <w:rPr>
                <w:rFonts w:ascii="Times New Roman" w:eastAsia="SimSun" w:hAnsi="Times New Roman" w:cs="Times New Roman"/>
                <w:sz w:val="24"/>
                <w:szCs w:val="24"/>
                <w:vertAlign w:val="subscript"/>
                <w:lang w:bidi="ar"/>
              </w:rPr>
              <w:t>4</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3</w:t>
            </w:r>
          </w:p>
        </w:tc>
        <w:tc>
          <w:tcPr>
            <w:tcW w:w="964" w:type="dxa"/>
            <w:noWrap/>
            <w:vAlign w:val="bottom"/>
          </w:tcPr>
          <w:p w14:paraId="43D1D66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446.9</w:t>
            </w:r>
          </w:p>
        </w:tc>
        <w:tc>
          <w:tcPr>
            <w:tcW w:w="1259" w:type="dxa"/>
            <w:noWrap/>
            <w:vAlign w:val="bottom"/>
          </w:tcPr>
          <w:p w14:paraId="641A08F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31</w:t>
            </w:r>
          </w:p>
        </w:tc>
        <w:tc>
          <w:tcPr>
            <w:tcW w:w="1550" w:type="dxa"/>
            <w:noWrap/>
            <w:vAlign w:val="bottom"/>
          </w:tcPr>
          <w:p w14:paraId="55D6379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16</w:t>
            </w:r>
          </w:p>
        </w:tc>
        <w:tc>
          <w:tcPr>
            <w:tcW w:w="1205" w:type="dxa"/>
            <w:noWrap/>
            <w:vAlign w:val="bottom"/>
          </w:tcPr>
          <w:p w14:paraId="161F18C9"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0.36</w:t>
            </w:r>
          </w:p>
        </w:tc>
        <w:tc>
          <w:tcPr>
            <w:tcW w:w="1538" w:type="dxa"/>
            <w:noWrap/>
            <w:vAlign w:val="bottom"/>
          </w:tcPr>
          <w:p w14:paraId="42069FB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8</w:t>
            </w:r>
          </w:p>
        </w:tc>
        <w:tc>
          <w:tcPr>
            <w:tcW w:w="1659" w:type="dxa"/>
            <w:noWrap/>
            <w:vAlign w:val="bottom"/>
          </w:tcPr>
          <w:p w14:paraId="1329773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7</w:t>
            </w:r>
          </w:p>
        </w:tc>
        <w:tc>
          <w:tcPr>
            <w:tcW w:w="1525" w:type="dxa"/>
            <w:noWrap/>
            <w:vAlign w:val="bottom"/>
          </w:tcPr>
          <w:p w14:paraId="38CF1CA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488" w:type="dxa"/>
            <w:noWrap/>
            <w:vAlign w:val="bottom"/>
          </w:tcPr>
          <w:p w14:paraId="7C8AD17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121.66</w:t>
            </w:r>
          </w:p>
        </w:tc>
      </w:tr>
      <w:tr w:rsidR="00651FF7" w14:paraId="6C5B072C" w14:textId="77777777">
        <w:trPr>
          <w:trHeight w:val="253"/>
          <w:jc w:val="center"/>
        </w:trPr>
        <w:tc>
          <w:tcPr>
            <w:tcW w:w="1537" w:type="dxa"/>
            <w:noWrap/>
            <w:vAlign w:val="bottom"/>
          </w:tcPr>
          <w:p w14:paraId="357D6741"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Napabucasin</w:t>
            </w:r>
            <w:proofErr w:type="spellEnd"/>
          </w:p>
        </w:tc>
        <w:tc>
          <w:tcPr>
            <w:tcW w:w="1904" w:type="dxa"/>
            <w:vAlign w:val="bottom"/>
          </w:tcPr>
          <w:p w14:paraId="26EEEA2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c>
          <w:tcPr>
            <w:tcW w:w="964" w:type="dxa"/>
            <w:noWrap/>
            <w:vAlign w:val="bottom"/>
          </w:tcPr>
          <w:p w14:paraId="369A97B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240.21</w:t>
            </w:r>
          </w:p>
        </w:tc>
        <w:tc>
          <w:tcPr>
            <w:tcW w:w="1259" w:type="dxa"/>
            <w:noWrap/>
            <w:vAlign w:val="bottom"/>
          </w:tcPr>
          <w:p w14:paraId="63BB196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18</w:t>
            </w:r>
          </w:p>
        </w:tc>
        <w:tc>
          <w:tcPr>
            <w:tcW w:w="1550" w:type="dxa"/>
            <w:noWrap/>
            <w:vAlign w:val="bottom"/>
          </w:tcPr>
          <w:p w14:paraId="1BC9662C"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11</w:t>
            </w:r>
          </w:p>
        </w:tc>
        <w:tc>
          <w:tcPr>
            <w:tcW w:w="1205" w:type="dxa"/>
            <w:noWrap/>
            <w:vAlign w:val="bottom"/>
          </w:tcPr>
          <w:p w14:paraId="186167D9"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0.07</w:t>
            </w:r>
          </w:p>
        </w:tc>
        <w:tc>
          <w:tcPr>
            <w:tcW w:w="1538" w:type="dxa"/>
            <w:noWrap/>
            <w:vAlign w:val="bottom"/>
          </w:tcPr>
          <w:p w14:paraId="6BD9BCB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659" w:type="dxa"/>
            <w:noWrap/>
            <w:vAlign w:val="bottom"/>
          </w:tcPr>
          <w:p w14:paraId="1B29538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w:t>
            </w:r>
          </w:p>
        </w:tc>
        <w:tc>
          <w:tcPr>
            <w:tcW w:w="1525" w:type="dxa"/>
            <w:noWrap/>
            <w:vAlign w:val="bottom"/>
          </w:tcPr>
          <w:p w14:paraId="1B7651E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488" w:type="dxa"/>
            <w:noWrap/>
            <w:vAlign w:val="bottom"/>
          </w:tcPr>
          <w:p w14:paraId="253138C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62.21</w:t>
            </w:r>
          </w:p>
        </w:tc>
      </w:tr>
      <w:tr w:rsidR="00651FF7" w14:paraId="5E9FF1EA" w14:textId="77777777">
        <w:trPr>
          <w:trHeight w:val="253"/>
          <w:jc w:val="center"/>
        </w:trPr>
        <w:tc>
          <w:tcPr>
            <w:tcW w:w="1537" w:type="dxa"/>
            <w:noWrap/>
            <w:vAlign w:val="bottom"/>
          </w:tcPr>
          <w:p w14:paraId="7B2F12A0"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Alpelisib</w:t>
            </w:r>
            <w:proofErr w:type="spellEnd"/>
          </w:p>
        </w:tc>
        <w:tc>
          <w:tcPr>
            <w:tcW w:w="1904" w:type="dxa"/>
            <w:vAlign w:val="bottom"/>
          </w:tcPr>
          <w:p w14:paraId="57EA76D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F</w:t>
            </w:r>
            <w:r>
              <w:rPr>
                <w:rFonts w:ascii="Times New Roman" w:eastAsia="SimSun" w:hAnsi="Times New Roman" w:cs="Times New Roman"/>
                <w:sz w:val="24"/>
                <w:szCs w:val="24"/>
                <w:vertAlign w:val="subscript"/>
                <w:lang w:bidi="ar"/>
              </w:rPr>
              <w:t>3</w:t>
            </w:r>
            <w:r>
              <w:rPr>
                <w:rFonts w:ascii="Times New Roman" w:eastAsia="SimSun" w:hAnsi="Times New Roman" w:cs="Times New Roman"/>
                <w:sz w:val="24"/>
                <w:szCs w:val="24"/>
                <w:lang w:bidi="ar"/>
              </w:rPr>
              <w:t>N</w:t>
            </w:r>
            <w:r>
              <w:rPr>
                <w:rFonts w:ascii="Times New Roman" w:eastAsia="SimSun" w:hAnsi="Times New Roman" w:cs="Times New Roman"/>
                <w:sz w:val="24"/>
                <w:szCs w:val="24"/>
                <w:vertAlign w:val="subscript"/>
                <w:lang w:bidi="ar"/>
              </w:rPr>
              <w:t>5</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S</w:t>
            </w:r>
          </w:p>
        </w:tc>
        <w:tc>
          <w:tcPr>
            <w:tcW w:w="964" w:type="dxa"/>
            <w:noWrap/>
            <w:vAlign w:val="bottom"/>
          </w:tcPr>
          <w:p w14:paraId="58DDF38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441.47</w:t>
            </w:r>
          </w:p>
        </w:tc>
        <w:tc>
          <w:tcPr>
            <w:tcW w:w="1259" w:type="dxa"/>
            <w:noWrap/>
            <w:vAlign w:val="bottom"/>
          </w:tcPr>
          <w:p w14:paraId="55D4E26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30</w:t>
            </w:r>
          </w:p>
        </w:tc>
        <w:tc>
          <w:tcPr>
            <w:tcW w:w="1550" w:type="dxa"/>
            <w:noWrap/>
            <w:vAlign w:val="bottom"/>
          </w:tcPr>
          <w:p w14:paraId="62FD76A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11</w:t>
            </w:r>
          </w:p>
        </w:tc>
        <w:tc>
          <w:tcPr>
            <w:tcW w:w="1205" w:type="dxa"/>
            <w:noWrap/>
            <w:vAlign w:val="bottom"/>
          </w:tcPr>
          <w:p w14:paraId="30BD051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0.47</w:t>
            </w:r>
          </w:p>
        </w:tc>
        <w:tc>
          <w:tcPr>
            <w:tcW w:w="1538" w:type="dxa"/>
            <w:noWrap/>
            <w:vAlign w:val="bottom"/>
          </w:tcPr>
          <w:p w14:paraId="5E77F2F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7</w:t>
            </w:r>
          </w:p>
        </w:tc>
        <w:tc>
          <w:tcPr>
            <w:tcW w:w="1659" w:type="dxa"/>
            <w:noWrap/>
            <w:vAlign w:val="bottom"/>
          </w:tcPr>
          <w:p w14:paraId="3AB15B8E"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7</w:t>
            </w:r>
          </w:p>
        </w:tc>
        <w:tc>
          <w:tcPr>
            <w:tcW w:w="1525" w:type="dxa"/>
            <w:noWrap/>
            <w:vAlign w:val="bottom"/>
          </w:tcPr>
          <w:p w14:paraId="41121E4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1488" w:type="dxa"/>
            <w:noWrap/>
            <w:vAlign w:val="bottom"/>
          </w:tcPr>
          <w:p w14:paraId="6F20F69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111.31</w:t>
            </w:r>
          </w:p>
        </w:tc>
      </w:tr>
      <w:tr w:rsidR="00651FF7" w14:paraId="55375A5B" w14:textId="77777777">
        <w:trPr>
          <w:trHeight w:val="253"/>
          <w:jc w:val="center"/>
        </w:trPr>
        <w:tc>
          <w:tcPr>
            <w:tcW w:w="1537" w:type="dxa"/>
            <w:noWrap/>
            <w:vAlign w:val="bottom"/>
          </w:tcPr>
          <w:p w14:paraId="391084BC"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Mesalazine</w:t>
            </w:r>
            <w:proofErr w:type="spellEnd"/>
          </w:p>
        </w:tc>
        <w:tc>
          <w:tcPr>
            <w:tcW w:w="1904" w:type="dxa"/>
            <w:vAlign w:val="bottom"/>
          </w:tcPr>
          <w:p w14:paraId="49C0FB4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7</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7</w:t>
            </w:r>
            <w:r>
              <w:rPr>
                <w:rFonts w:ascii="Times New Roman" w:eastAsia="SimSun" w:hAnsi="Times New Roman" w:cs="Times New Roman"/>
                <w:sz w:val="24"/>
                <w:szCs w:val="24"/>
                <w:lang w:bidi="ar"/>
              </w:rPr>
              <w:t>NO</w:t>
            </w:r>
            <w:r>
              <w:rPr>
                <w:rFonts w:ascii="Times New Roman" w:eastAsia="SimSun" w:hAnsi="Times New Roman" w:cs="Times New Roman"/>
                <w:sz w:val="24"/>
                <w:szCs w:val="24"/>
                <w:vertAlign w:val="subscript"/>
                <w:lang w:bidi="ar"/>
              </w:rPr>
              <w:t>3</w:t>
            </w:r>
          </w:p>
        </w:tc>
        <w:tc>
          <w:tcPr>
            <w:tcW w:w="964" w:type="dxa"/>
            <w:noWrap/>
            <w:vAlign w:val="bottom"/>
          </w:tcPr>
          <w:p w14:paraId="0B74007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153.14</w:t>
            </w:r>
          </w:p>
        </w:tc>
        <w:tc>
          <w:tcPr>
            <w:tcW w:w="1259" w:type="dxa"/>
            <w:noWrap/>
            <w:vAlign w:val="bottom"/>
          </w:tcPr>
          <w:p w14:paraId="7C41FDB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11</w:t>
            </w:r>
          </w:p>
        </w:tc>
        <w:tc>
          <w:tcPr>
            <w:tcW w:w="1550" w:type="dxa"/>
            <w:noWrap/>
            <w:vAlign w:val="bottom"/>
          </w:tcPr>
          <w:p w14:paraId="0AAF295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w:t>
            </w:r>
          </w:p>
        </w:tc>
        <w:tc>
          <w:tcPr>
            <w:tcW w:w="1205" w:type="dxa"/>
            <w:noWrap/>
            <w:vAlign w:val="bottom"/>
          </w:tcPr>
          <w:p w14:paraId="7CD138E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538" w:type="dxa"/>
            <w:noWrap/>
            <w:vAlign w:val="bottom"/>
          </w:tcPr>
          <w:p w14:paraId="018006E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659" w:type="dxa"/>
            <w:noWrap/>
            <w:vAlign w:val="bottom"/>
          </w:tcPr>
          <w:p w14:paraId="2794920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1525" w:type="dxa"/>
            <w:noWrap/>
            <w:vAlign w:val="bottom"/>
          </w:tcPr>
          <w:p w14:paraId="09B2B11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1488" w:type="dxa"/>
            <w:noWrap/>
            <w:vAlign w:val="bottom"/>
          </w:tcPr>
          <w:p w14:paraId="273FCA0F"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39.83</w:t>
            </w:r>
          </w:p>
        </w:tc>
      </w:tr>
      <w:tr w:rsidR="00651FF7" w14:paraId="4FF06E58" w14:textId="77777777">
        <w:trPr>
          <w:trHeight w:val="253"/>
          <w:jc w:val="center"/>
        </w:trPr>
        <w:tc>
          <w:tcPr>
            <w:tcW w:w="1537" w:type="dxa"/>
            <w:noWrap/>
            <w:vAlign w:val="bottom"/>
          </w:tcPr>
          <w:p w14:paraId="47924065"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Lisaftoclax</w:t>
            </w:r>
            <w:proofErr w:type="spellEnd"/>
          </w:p>
        </w:tc>
        <w:tc>
          <w:tcPr>
            <w:tcW w:w="1904" w:type="dxa"/>
            <w:vAlign w:val="bottom"/>
          </w:tcPr>
          <w:p w14:paraId="50BD311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45</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48</w:t>
            </w:r>
            <w:r>
              <w:rPr>
                <w:rFonts w:ascii="Times New Roman" w:eastAsia="SimSun" w:hAnsi="Times New Roman" w:cs="Times New Roman"/>
                <w:sz w:val="24"/>
                <w:szCs w:val="24"/>
                <w:lang w:bidi="ar"/>
              </w:rPr>
              <w:t>ClN</w:t>
            </w:r>
            <w:r>
              <w:rPr>
                <w:rFonts w:ascii="Times New Roman" w:eastAsia="SimSun" w:hAnsi="Times New Roman" w:cs="Times New Roman"/>
                <w:sz w:val="24"/>
                <w:szCs w:val="24"/>
                <w:vertAlign w:val="subscript"/>
                <w:lang w:bidi="ar"/>
              </w:rPr>
              <w:t>7</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8</w:t>
            </w:r>
            <w:r>
              <w:rPr>
                <w:rFonts w:ascii="Times New Roman" w:eastAsia="SimSun" w:hAnsi="Times New Roman" w:cs="Times New Roman"/>
                <w:sz w:val="24"/>
                <w:szCs w:val="24"/>
                <w:lang w:bidi="ar"/>
              </w:rPr>
              <w:t>S</w:t>
            </w:r>
          </w:p>
        </w:tc>
        <w:tc>
          <w:tcPr>
            <w:tcW w:w="964" w:type="dxa"/>
            <w:noWrap/>
            <w:vAlign w:val="bottom"/>
          </w:tcPr>
          <w:p w14:paraId="051032DE"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882.42</w:t>
            </w:r>
          </w:p>
        </w:tc>
        <w:tc>
          <w:tcPr>
            <w:tcW w:w="1259" w:type="dxa"/>
            <w:noWrap/>
            <w:vAlign w:val="bottom"/>
          </w:tcPr>
          <w:p w14:paraId="597C326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62</w:t>
            </w:r>
          </w:p>
        </w:tc>
        <w:tc>
          <w:tcPr>
            <w:tcW w:w="1550" w:type="dxa"/>
            <w:noWrap/>
            <w:vAlign w:val="bottom"/>
          </w:tcPr>
          <w:p w14:paraId="0CA5BB3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27</w:t>
            </w:r>
          </w:p>
        </w:tc>
        <w:tc>
          <w:tcPr>
            <w:tcW w:w="1205" w:type="dxa"/>
            <w:noWrap/>
            <w:vAlign w:val="bottom"/>
          </w:tcPr>
          <w:p w14:paraId="4D0CBA4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0.38</w:t>
            </w:r>
          </w:p>
        </w:tc>
        <w:tc>
          <w:tcPr>
            <w:tcW w:w="1538" w:type="dxa"/>
            <w:noWrap/>
            <w:vAlign w:val="bottom"/>
          </w:tcPr>
          <w:p w14:paraId="7C52E239"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14</w:t>
            </w:r>
          </w:p>
        </w:tc>
        <w:tc>
          <w:tcPr>
            <w:tcW w:w="1659" w:type="dxa"/>
            <w:noWrap/>
            <w:vAlign w:val="bottom"/>
          </w:tcPr>
          <w:p w14:paraId="12BD99E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10</w:t>
            </w:r>
          </w:p>
        </w:tc>
        <w:tc>
          <w:tcPr>
            <w:tcW w:w="1525" w:type="dxa"/>
            <w:noWrap/>
            <w:vAlign w:val="bottom"/>
          </w:tcPr>
          <w:p w14:paraId="0EC5C35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1488" w:type="dxa"/>
            <w:noWrap/>
            <w:vAlign w:val="bottom"/>
          </w:tcPr>
          <w:p w14:paraId="53E33EE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245.68</w:t>
            </w:r>
          </w:p>
        </w:tc>
      </w:tr>
      <w:tr w:rsidR="00651FF7" w14:paraId="5334ED8B" w14:textId="77777777">
        <w:trPr>
          <w:trHeight w:val="336"/>
          <w:jc w:val="center"/>
        </w:trPr>
        <w:tc>
          <w:tcPr>
            <w:tcW w:w="1537" w:type="dxa"/>
            <w:noWrap/>
            <w:vAlign w:val="bottom"/>
          </w:tcPr>
          <w:p w14:paraId="55C604AD"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Romidepsin</w:t>
            </w:r>
            <w:proofErr w:type="spellEnd"/>
          </w:p>
        </w:tc>
        <w:tc>
          <w:tcPr>
            <w:tcW w:w="1904" w:type="dxa"/>
            <w:vAlign w:val="bottom"/>
          </w:tcPr>
          <w:p w14:paraId="28AE517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24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36</w:t>
            </w:r>
            <w:r>
              <w:rPr>
                <w:rFonts w:ascii="Times New Roman" w:eastAsia="SimSun" w:hAnsi="Times New Roman" w:cs="Times New Roman"/>
                <w:sz w:val="24"/>
                <w:szCs w:val="24"/>
                <w:lang w:bidi="ar"/>
              </w:rPr>
              <w:t>N</w:t>
            </w:r>
            <w:r>
              <w:rPr>
                <w:rFonts w:ascii="Times New Roman" w:eastAsia="SimSun" w:hAnsi="Times New Roman" w:cs="Times New Roman"/>
                <w:sz w:val="24"/>
                <w:szCs w:val="24"/>
                <w:vertAlign w:val="subscript"/>
                <w:lang w:bidi="ar"/>
              </w:rPr>
              <w:t>4</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6</w:t>
            </w:r>
            <w:r>
              <w:rPr>
                <w:rFonts w:ascii="Times New Roman" w:eastAsia="SimSun" w:hAnsi="Times New Roman" w:cs="Times New Roman"/>
                <w:sz w:val="24"/>
                <w:szCs w:val="24"/>
                <w:lang w:bidi="ar"/>
              </w:rPr>
              <w:t>S</w:t>
            </w:r>
            <w:r>
              <w:rPr>
                <w:rFonts w:ascii="Times New Roman" w:eastAsia="SimSun" w:hAnsi="Times New Roman" w:cs="Times New Roman"/>
                <w:sz w:val="24"/>
                <w:szCs w:val="24"/>
                <w:vertAlign w:val="subscript"/>
                <w:lang w:bidi="ar"/>
              </w:rPr>
              <w:t>2</w:t>
            </w:r>
          </w:p>
        </w:tc>
        <w:tc>
          <w:tcPr>
            <w:tcW w:w="964" w:type="dxa"/>
            <w:noWrap/>
            <w:vAlign w:val="bottom"/>
          </w:tcPr>
          <w:p w14:paraId="42781C4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540.7</w:t>
            </w:r>
          </w:p>
        </w:tc>
        <w:tc>
          <w:tcPr>
            <w:tcW w:w="1259" w:type="dxa"/>
            <w:noWrap/>
            <w:vAlign w:val="bottom"/>
          </w:tcPr>
          <w:p w14:paraId="14E24FD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36</w:t>
            </w:r>
          </w:p>
        </w:tc>
        <w:tc>
          <w:tcPr>
            <w:tcW w:w="1550" w:type="dxa"/>
            <w:noWrap/>
            <w:vAlign w:val="bottom"/>
          </w:tcPr>
          <w:p w14:paraId="491D1EAE"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205" w:type="dxa"/>
            <w:noWrap/>
            <w:vAlign w:val="bottom"/>
          </w:tcPr>
          <w:p w14:paraId="7D2EC88E"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0.62</w:t>
            </w:r>
          </w:p>
        </w:tc>
        <w:tc>
          <w:tcPr>
            <w:tcW w:w="1538" w:type="dxa"/>
            <w:noWrap/>
            <w:vAlign w:val="bottom"/>
          </w:tcPr>
          <w:p w14:paraId="06D0FD8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1659" w:type="dxa"/>
            <w:noWrap/>
            <w:vAlign w:val="bottom"/>
          </w:tcPr>
          <w:p w14:paraId="1A99F28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12</w:t>
            </w:r>
          </w:p>
        </w:tc>
        <w:tc>
          <w:tcPr>
            <w:tcW w:w="1525" w:type="dxa"/>
            <w:noWrap/>
            <w:vAlign w:val="bottom"/>
          </w:tcPr>
          <w:p w14:paraId="1EFA663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w:t>
            </w:r>
          </w:p>
        </w:tc>
        <w:tc>
          <w:tcPr>
            <w:tcW w:w="1488" w:type="dxa"/>
            <w:noWrap/>
            <w:vAlign w:val="bottom"/>
          </w:tcPr>
          <w:p w14:paraId="072FE37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156.44</w:t>
            </w:r>
          </w:p>
        </w:tc>
      </w:tr>
    </w:tbl>
    <w:p w14:paraId="3089CDA1"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bCs/>
          <w:sz w:val="24"/>
          <w:szCs w:val="24"/>
        </w:rPr>
      </w:pPr>
    </w:p>
    <w:p w14:paraId="31A2750D"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Table 2: </w:t>
      </w:r>
      <w:proofErr w:type="spellStart"/>
      <w:r>
        <w:rPr>
          <w:rFonts w:ascii="Times New Roman" w:eastAsia="Times New Roman" w:hAnsi="Times New Roman"/>
          <w:b/>
          <w:bCs/>
          <w:sz w:val="24"/>
          <w:szCs w:val="24"/>
        </w:rPr>
        <w:t>Lipophicility</w:t>
      </w:r>
      <w:proofErr w:type="spellEnd"/>
      <w:r>
        <w:rPr>
          <w:rFonts w:ascii="Times New Roman" w:eastAsia="Times New Roman" w:hAnsi="Times New Roman"/>
          <w:b/>
          <w:bCs/>
          <w:sz w:val="24"/>
          <w:szCs w:val="24"/>
        </w:rPr>
        <w:t xml:space="preserve"> of </w:t>
      </w:r>
      <w:proofErr w:type="spellStart"/>
      <w:r>
        <w:rPr>
          <w:rFonts w:ascii="Times New Roman" w:eastAsia="Times New Roman" w:hAnsi="Times New Roman"/>
          <w:b/>
          <w:sz w:val="24"/>
          <w:szCs w:val="24"/>
        </w:rPr>
        <w:t>Ajmalcine</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Alstonine</w:t>
      </w:r>
      <w:proofErr w:type="spellEnd"/>
      <w:r>
        <w:rPr>
          <w:rFonts w:ascii="Times New Roman" w:eastAsia="Times New Roman" w:hAnsi="Times New Roman"/>
          <w:b/>
          <w:sz w:val="24"/>
          <w:szCs w:val="24"/>
        </w:rPr>
        <w:t xml:space="preserve"> and the </w:t>
      </w:r>
      <w:r>
        <w:rPr>
          <w:rFonts w:ascii="Times New Roman" w:eastAsia="Times New Roman" w:hAnsi="Times New Roman" w:cs="Times New Roman"/>
          <w:b/>
          <w:sz w:val="24"/>
          <w:szCs w:val="24"/>
        </w:rPr>
        <w:t>six known inhibitors</w:t>
      </w:r>
    </w:p>
    <w:tbl>
      <w:tblPr>
        <w:tblW w:w="1195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42"/>
        <w:gridCol w:w="1462"/>
        <w:gridCol w:w="1464"/>
        <w:gridCol w:w="1481"/>
        <w:gridCol w:w="1476"/>
        <w:gridCol w:w="1475"/>
        <w:gridCol w:w="1467"/>
        <w:gridCol w:w="1489"/>
      </w:tblGrid>
      <w:tr w:rsidR="00651FF7" w14:paraId="33CFD1B1" w14:textId="77777777">
        <w:trPr>
          <w:trHeight w:val="604"/>
          <w:jc w:val="center"/>
        </w:trPr>
        <w:tc>
          <w:tcPr>
            <w:tcW w:w="1642" w:type="dxa"/>
            <w:vAlign w:val="bottom"/>
          </w:tcPr>
          <w:p w14:paraId="40714C37"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Compound</w:t>
            </w:r>
          </w:p>
        </w:tc>
        <w:tc>
          <w:tcPr>
            <w:tcW w:w="1462" w:type="dxa"/>
            <w:vAlign w:val="bottom"/>
          </w:tcPr>
          <w:p w14:paraId="5585A150"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TPSA</w:t>
            </w:r>
          </w:p>
        </w:tc>
        <w:tc>
          <w:tcPr>
            <w:tcW w:w="1464" w:type="dxa"/>
            <w:vAlign w:val="bottom"/>
          </w:tcPr>
          <w:p w14:paraId="028A50E9" w14:textId="77777777" w:rsidR="00651FF7" w:rsidRDefault="0006478A">
            <w:pPr>
              <w:jc w:val="center"/>
              <w:textAlignment w:val="bottom"/>
              <w:rPr>
                <w:rFonts w:ascii="Times New Roman" w:hAnsi="Times New Roman" w:cs="Times New Roman"/>
                <w:b/>
                <w:bCs/>
                <w:sz w:val="24"/>
                <w:szCs w:val="24"/>
              </w:rPr>
            </w:pPr>
            <w:proofErr w:type="spellStart"/>
            <w:r>
              <w:rPr>
                <w:rFonts w:ascii="Times New Roman" w:eastAsia="SimSun" w:hAnsi="Times New Roman" w:cs="Times New Roman"/>
                <w:b/>
                <w:bCs/>
                <w:sz w:val="24"/>
                <w:szCs w:val="24"/>
                <w:lang w:bidi="ar"/>
              </w:rPr>
              <w:t>iLOGP</w:t>
            </w:r>
            <w:proofErr w:type="spellEnd"/>
          </w:p>
        </w:tc>
        <w:tc>
          <w:tcPr>
            <w:tcW w:w="1481" w:type="dxa"/>
            <w:vAlign w:val="bottom"/>
          </w:tcPr>
          <w:p w14:paraId="0F4E9BC4"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XLOGP3</w:t>
            </w:r>
          </w:p>
        </w:tc>
        <w:tc>
          <w:tcPr>
            <w:tcW w:w="1476" w:type="dxa"/>
            <w:vAlign w:val="bottom"/>
          </w:tcPr>
          <w:p w14:paraId="55BA6C9F"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WLOGP</w:t>
            </w:r>
          </w:p>
        </w:tc>
        <w:tc>
          <w:tcPr>
            <w:tcW w:w="1475" w:type="dxa"/>
            <w:vAlign w:val="bottom"/>
          </w:tcPr>
          <w:p w14:paraId="6BE5E600"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MLOGP</w:t>
            </w:r>
          </w:p>
        </w:tc>
        <w:tc>
          <w:tcPr>
            <w:tcW w:w="1467" w:type="dxa"/>
            <w:vAlign w:val="bottom"/>
          </w:tcPr>
          <w:p w14:paraId="6DB590D3" w14:textId="77777777" w:rsidR="00651FF7" w:rsidRDefault="0006478A">
            <w:pPr>
              <w:jc w:val="center"/>
              <w:textAlignment w:val="bottom"/>
              <w:rPr>
                <w:rFonts w:ascii="Times New Roman" w:hAnsi="Times New Roman" w:cs="Times New Roman"/>
                <w:b/>
                <w:bCs/>
                <w:sz w:val="24"/>
                <w:szCs w:val="24"/>
              </w:rPr>
            </w:pPr>
            <w:proofErr w:type="spellStart"/>
            <w:r>
              <w:rPr>
                <w:rFonts w:ascii="Times New Roman" w:eastAsia="SimSun" w:hAnsi="Times New Roman" w:cs="Times New Roman"/>
                <w:b/>
                <w:bCs/>
                <w:sz w:val="24"/>
                <w:szCs w:val="24"/>
                <w:lang w:bidi="ar"/>
              </w:rPr>
              <w:t>Silicos</w:t>
            </w:r>
            <w:proofErr w:type="spellEnd"/>
            <w:r>
              <w:rPr>
                <w:rFonts w:ascii="Times New Roman" w:eastAsia="SimSun" w:hAnsi="Times New Roman" w:cs="Times New Roman"/>
                <w:b/>
                <w:bCs/>
                <w:sz w:val="24"/>
                <w:szCs w:val="24"/>
                <w:lang w:bidi="ar"/>
              </w:rPr>
              <w:t>-IT Log P</w:t>
            </w:r>
          </w:p>
        </w:tc>
        <w:tc>
          <w:tcPr>
            <w:tcW w:w="1489" w:type="dxa"/>
            <w:vAlign w:val="bottom"/>
          </w:tcPr>
          <w:p w14:paraId="6981CE2F"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Consensus Log P</w:t>
            </w:r>
          </w:p>
        </w:tc>
      </w:tr>
      <w:tr w:rsidR="00651FF7" w14:paraId="38185976" w14:textId="77777777">
        <w:trPr>
          <w:trHeight w:val="350"/>
          <w:jc w:val="center"/>
        </w:trPr>
        <w:tc>
          <w:tcPr>
            <w:tcW w:w="0" w:type="auto"/>
            <w:noWrap/>
            <w:vAlign w:val="bottom"/>
          </w:tcPr>
          <w:p w14:paraId="46AC4D5D"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Alstonine</w:t>
            </w:r>
            <w:proofErr w:type="spellEnd"/>
          </w:p>
        </w:tc>
        <w:tc>
          <w:tcPr>
            <w:tcW w:w="0" w:type="auto"/>
            <w:noWrap/>
            <w:vAlign w:val="bottom"/>
          </w:tcPr>
          <w:p w14:paraId="5B20CF5C"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53.35</w:t>
            </w:r>
          </w:p>
        </w:tc>
        <w:tc>
          <w:tcPr>
            <w:tcW w:w="0" w:type="auto"/>
            <w:noWrap/>
            <w:vAlign w:val="bottom"/>
          </w:tcPr>
          <w:p w14:paraId="14BFEFD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3.18</w:t>
            </w:r>
          </w:p>
        </w:tc>
        <w:tc>
          <w:tcPr>
            <w:tcW w:w="0" w:type="auto"/>
            <w:noWrap/>
            <w:vAlign w:val="bottom"/>
          </w:tcPr>
          <w:p w14:paraId="225FCDE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2.58</w:t>
            </w:r>
          </w:p>
        </w:tc>
        <w:tc>
          <w:tcPr>
            <w:tcW w:w="0" w:type="auto"/>
            <w:noWrap/>
            <w:vAlign w:val="bottom"/>
          </w:tcPr>
          <w:p w14:paraId="506B4B3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3.45</w:t>
            </w:r>
          </w:p>
        </w:tc>
        <w:tc>
          <w:tcPr>
            <w:tcW w:w="0" w:type="auto"/>
            <w:noWrap/>
            <w:vAlign w:val="bottom"/>
          </w:tcPr>
          <w:p w14:paraId="3F30980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2.21</w:t>
            </w:r>
          </w:p>
        </w:tc>
        <w:tc>
          <w:tcPr>
            <w:tcW w:w="1467" w:type="dxa"/>
            <w:vAlign w:val="bottom"/>
          </w:tcPr>
          <w:p w14:paraId="46461139"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2.78</w:t>
            </w:r>
          </w:p>
        </w:tc>
        <w:tc>
          <w:tcPr>
            <w:tcW w:w="0" w:type="auto"/>
            <w:noWrap/>
            <w:vAlign w:val="bottom"/>
          </w:tcPr>
          <w:p w14:paraId="090FA42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2.84</w:t>
            </w:r>
          </w:p>
        </w:tc>
      </w:tr>
      <w:tr w:rsidR="00651FF7" w14:paraId="540C1AEE" w14:textId="77777777">
        <w:trPr>
          <w:trHeight w:val="339"/>
          <w:jc w:val="center"/>
        </w:trPr>
        <w:tc>
          <w:tcPr>
            <w:tcW w:w="0" w:type="auto"/>
            <w:noWrap/>
            <w:vAlign w:val="bottom"/>
          </w:tcPr>
          <w:p w14:paraId="192CC4AF"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Ajmalicine</w:t>
            </w:r>
          </w:p>
        </w:tc>
        <w:tc>
          <w:tcPr>
            <w:tcW w:w="0" w:type="auto"/>
            <w:noWrap/>
            <w:vAlign w:val="bottom"/>
          </w:tcPr>
          <w:p w14:paraId="6582259E"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54.56</w:t>
            </w:r>
          </w:p>
        </w:tc>
        <w:tc>
          <w:tcPr>
            <w:tcW w:w="0" w:type="auto"/>
            <w:noWrap/>
            <w:vAlign w:val="bottom"/>
          </w:tcPr>
          <w:p w14:paraId="4CEA198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3.18</w:t>
            </w:r>
          </w:p>
        </w:tc>
        <w:tc>
          <w:tcPr>
            <w:tcW w:w="0" w:type="auto"/>
            <w:noWrap/>
            <w:vAlign w:val="bottom"/>
          </w:tcPr>
          <w:p w14:paraId="4BE15469"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2.75</w:t>
            </w:r>
          </w:p>
        </w:tc>
        <w:tc>
          <w:tcPr>
            <w:tcW w:w="0" w:type="auto"/>
            <w:noWrap/>
            <w:vAlign w:val="bottom"/>
          </w:tcPr>
          <w:p w14:paraId="1E70253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2.47</w:t>
            </w:r>
          </w:p>
        </w:tc>
        <w:tc>
          <w:tcPr>
            <w:tcW w:w="0" w:type="auto"/>
            <w:noWrap/>
            <w:vAlign w:val="bottom"/>
          </w:tcPr>
          <w:p w14:paraId="4F50D6D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2.13</w:t>
            </w:r>
          </w:p>
        </w:tc>
        <w:tc>
          <w:tcPr>
            <w:tcW w:w="1467" w:type="dxa"/>
            <w:vAlign w:val="bottom"/>
          </w:tcPr>
          <w:p w14:paraId="6B4E0B5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2.78</w:t>
            </w:r>
          </w:p>
        </w:tc>
        <w:tc>
          <w:tcPr>
            <w:tcW w:w="0" w:type="auto"/>
            <w:noWrap/>
            <w:vAlign w:val="bottom"/>
          </w:tcPr>
          <w:p w14:paraId="2C159BF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2.66</w:t>
            </w:r>
          </w:p>
        </w:tc>
      </w:tr>
      <w:tr w:rsidR="00651FF7" w14:paraId="544D8FEB" w14:textId="77777777">
        <w:trPr>
          <w:trHeight w:val="339"/>
          <w:jc w:val="center"/>
        </w:trPr>
        <w:tc>
          <w:tcPr>
            <w:tcW w:w="0" w:type="auto"/>
            <w:noWrap/>
            <w:vAlign w:val="bottom"/>
          </w:tcPr>
          <w:p w14:paraId="6F72070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Gefitinib</w:t>
            </w:r>
          </w:p>
        </w:tc>
        <w:tc>
          <w:tcPr>
            <w:tcW w:w="0" w:type="auto"/>
            <w:noWrap/>
            <w:vAlign w:val="bottom"/>
          </w:tcPr>
          <w:p w14:paraId="0483BCCF"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68.74</w:t>
            </w:r>
          </w:p>
        </w:tc>
        <w:tc>
          <w:tcPr>
            <w:tcW w:w="0" w:type="auto"/>
            <w:noWrap/>
            <w:vAlign w:val="bottom"/>
          </w:tcPr>
          <w:p w14:paraId="4CEF060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4.04</w:t>
            </w:r>
          </w:p>
        </w:tc>
        <w:tc>
          <w:tcPr>
            <w:tcW w:w="0" w:type="auto"/>
            <w:noWrap/>
            <w:vAlign w:val="bottom"/>
          </w:tcPr>
          <w:p w14:paraId="08C6F03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4.11</w:t>
            </w:r>
          </w:p>
        </w:tc>
        <w:tc>
          <w:tcPr>
            <w:tcW w:w="0" w:type="auto"/>
            <w:noWrap/>
            <w:vAlign w:val="bottom"/>
          </w:tcPr>
          <w:p w14:paraId="52F963B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4.32</w:t>
            </w:r>
          </w:p>
        </w:tc>
        <w:tc>
          <w:tcPr>
            <w:tcW w:w="0" w:type="auto"/>
            <w:noWrap/>
            <w:vAlign w:val="bottom"/>
          </w:tcPr>
          <w:p w14:paraId="44741EA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2.82</w:t>
            </w:r>
          </w:p>
        </w:tc>
        <w:tc>
          <w:tcPr>
            <w:tcW w:w="1467" w:type="dxa"/>
            <w:vAlign w:val="bottom"/>
          </w:tcPr>
          <w:p w14:paraId="35C7DF9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4.31</w:t>
            </w:r>
          </w:p>
        </w:tc>
        <w:tc>
          <w:tcPr>
            <w:tcW w:w="0" w:type="auto"/>
            <w:noWrap/>
            <w:vAlign w:val="bottom"/>
          </w:tcPr>
          <w:p w14:paraId="4FD9097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3.92</w:t>
            </w:r>
          </w:p>
        </w:tc>
      </w:tr>
      <w:tr w:rsidR="00651FF7" w14:paraId="75582EB9" w14:textId="77777777">
        <w:trPr>
          <w:trHeight w:val="339"/>
          <w:jc w:val="center"/>
        </w:trPr>
        <w:tc>
          <w:tcPr>
            <w:tcW w:w="0" w:type="auto"/>
            <w:noWrap/>
            <w:vAlign w:val="bottom"/>
          </w:tcPr>
          <w:p w14:paraId="3E971B37"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Napabucasin</w:t>
            </w:r>
            <w:proofErr w:type="spellEnd"/>
          </w:p>
        </w:tc>
        <w:tc>
          <w:tcPr>
            <w:tcW w:w="0" w:type="auto"/>
            <w:noWrap/>
            <w:vAlign w:val="bottom"/>
          </w:tcPr>
          <w:p w14:paraId="45FBD59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64.35</w:t>
            </w:r>
          </w:p>
        </w:tc>
        <w:tc>
          <w:tcPr>
            <w:tcW w:w="0" w:type="auto"/>
            <w:noWrap/>
            <w:vAlign w:val="bottom"/>
          </w:tcPr>
          <w:p w14:paraId="693DB5B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1.83</w:t>
            </w:r>
          </w:p>
        </w:tc>
        <w:tc>
          <w:tcPr>
            <w:tcW w:w="0" w:type="auto"/>
            <w:noWrap/>
            <w:vAlign w:val="bottom"/>
          </w:tcPr>
          <w:p w14:paraId="7F70AEE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2.28</w:t>
            </w:r>
          </w:p>
        </w:tc>
        <w:tc>
          <w:tcPr>
            <w:tcW w:w="0" w:type="auto"/>
            <w:noWrap/>
            <w:vAlign w:val="bottom"/>
          </w:tcPr>
          <w:p w14:paraId="20F2BF1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2.26</w:t>
            </w:r>
          </w:p>
        </w:tc>
        <w:tc>
          <w:tcPr>
            <w:tcW w:w="0" w:type="auto"/>
            <w:noWrap/>
            <w:vAlign w:val="bottom"/>
          </w:tcPr>
          <w:p w14:paraId="1B98BF6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0.09</w:t>
            </w:r>
          </w:p>
        </w:tc>
        <w:tc>
          <w:tcPr>
            <w:tcW w:w="1467" w:type="dxa"/>
            <w:vAlign w:val="bottom"/>
          </w:tcPr>
          <w:p w14:paraId="4DF480AE"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3.31</w:t>
            </w:r>
          </w:p>
        </w:tc>
        <w:tc>
          <w:tcPr>
            <w:tcW w:w="0" w:type="auto"/>
            <w:noWrap/>
            <w:vAlign w:val="bottom"/>
          </w:tcPr>
          <w:p w14:paraId="37F9630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1.95</w:t>
            </w:r>
          </w:p>
        </w:tc>
      </w:tr>
      <w:tr w:rsidR="00651FF7" w14:paraId="655B7244" w14:textId="77777777">
        <w:trPr>
          <w:trHeight w:val="339"/>
          <w:jc w:val="center"/>
        </w:trPr>
        <w:tc>
          <w:tcPr>
            <w:tcW w:w="0" w:type="auto"/>
            <w:noWrap/>
            <w:vAlign w:val="bottom"/>
          </w:tcPr>
          <w:p w14:paraId="530557BB"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Alpelisib</w:t>
            </w:r>
            <w:proofErr w:type="spellEnd"/>
          </w:p>
        </w:tc>
        <w:tc>
          <w:tcPr>
            <w:tcW w:w="0" w:type="auto"/>
            <w:noWrap/>
            <w:vAlign w:val="bottom"/>
          </w:tcPr>
          <w:p w14:paraId="0F0389C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129.45</w:t>
            </w:r>
          </w:p>
        </w:tc>
        <w:tc>
          <w:tcPr>
            <w:tcW w:w="0" w:type="auto"/>
            <w:noWrap/>
            <w:vAlign w:val="bottom"/>
          </w:tcPr>
          <w:p w14:paraId="15C8B5B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2.14</w:t>
            </w:r>
          </w:p>
        </w:tc>
        <w:tc>
          <w:tcPr>
            <w:tcW w:w="0" w:type="auto"/>
            <w:noWrap/>
            <w:vAlign w:val="bottom"/>
          </w:tcPr>
          <w:p w14:paraId="4FF0DA7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3.22</w:t>
            </w:r>
          </w:p>
        </w:tc>
        <w:tc>
          <w:tcPr>
            <w:tcW w:w="0" w:type="auto"/>
            <w:noWrap/>
            <w:vAlign w:val="bottom"/>
          </w:tcPr>
          <w:p w14:paraId="65F9FA0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4.52</w:t>
            </w:r>
          </w:p>
        </w:tc>
        <w:tc>
          <w:tcPr>
            <w:tcW w:w="0" w:type="auto"/>
            <w:noWrap/>
            <w:vAlign w:val="bottom"/>
          </w:tcPr>
          <w:p w14:paraId="41F9762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1.59</w:t>
            </w:r>
          </w:p>
        </w:tc>
        <w:tc>
          <w:tcPr>
            <w:tcW w:w="1467" w:type="dxa"/>
            <w:vAlign w:val="bottom"/>
          </w:tcPr>
          <w:p w14:paraId="1A364B9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3.68</w:t>
            </w:r>
          </w:p>
        </w:tc>
        <w:tc>
          <w:tcPr>
            <w:tcW w:w="0" w:type="auto"/>
            <w:noWrap/>
            <w:vAlign w:val="bottom"/>
          </w:tcPr>
          <w:p w14:paraId="2FFF0479"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3.03</w:t>
            </w:r>
          </w:p>
        </w:tc>
      </w:tr>
      <w:tr w:rsidR="00651FF7" w14:paraId="05F44FAB" w14:textId="77777777">
        <w:trPr>
          <w:trHeight w:val="339"/>
          <w:jc w:val="center"/>
        </w:trPr>
        <w:tc>
          <w:tcPr>
            <w:tcW w:w="0" w:type="auto"/>
            <w:noWrap/>
            <w:vAlign w:val="bottom"/>
          </w:tcPr>
          <w:p w14:paraId="003B9285"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Mesalazine</w:t>
            </w:r>
            <w:proofErr w:type="spellEnd"/>
          </w:p>
        </w:tc>
        <w:tc>
          <w:tcPr>
            <w:tcW w:w="0" w:type="auto"/>
            <w:noWrap/>
            <w:vAlign w:val="bottom"/>
          </w:tcPr>
          <w:p w14:paraId="0870967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83.55</w:t>
            </w:r>
          </w:p>
        </w:tc>
        <w:tc>
          <w:tcPr>
            <w:tcW w:w="0" w:type="auto"/>
            <w:noWrap/>
            <w:vAlign w:val="bottom"/>
          </w:tcPr>
          <w:p w14:paraId="6248214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0.28</w:t>
            </w:r>
          </w:p>
        </w:tc>
        <w:tc>
          <w:tcPr>
            <w:tcW w:w="0" w:type="auto"/>
            <w:noWrap/>
            <w:vAlign w:val="bottom"/>
          </w:tcPr>
          <w:p w14:paraId="043179C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1.32</w:t>
            </w:r>
          </w:p>
        </w:tc>
        <w:tc>
          <w:tcPr>
            <w:tcW w:w="0" w:type="auto"/>
            <w:noWrap/>
            <w:vAlign w:val="bottom"/>
          </w:tcPr>
          <w:p w14:paraId="791A6FEE"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0.68</w:t>
            </w:r>
          </w:p>
        </w:tc>
        <w:tc>
          <w:tcPr>
            <w:tcW w:w="0" w:type="auto"/>
            <w:noWrap/>
            <w:vAlign w:val="bottom"/>
          </w:tcPr>
          <w:p w14:paraId="0645021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-0.7</w:t>
            </w:r>
          </w:p>
        </w:tc>
        <w:tc>
          <w:tcPr>
            <w:tcW w:w="1467" w:type="dxa"/>
            <w:vAlign w:val="bottom"/>
          </w:tcPr>
          <w:p w14:paraId="206DCCF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0.02</w:t>
            </w:r>
          </w:p>
        </w:tc>
        <w:tc>
          <w:tcPr>
            <w:tcW w:w="0" w:type="auto"/>
            <w:noWrap/>
            <w:vAlign w:val="bottom"/>
          </w:tcPr>
          <w:p w14:paraId="2F5C60A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0.32</w:t>
            </w:r>
          </w:p>
        </w:tc>
      </w:tr>
      <w:tr w:rsidR="00651FF7" w14:paraId="0EFAA030" w14:textId="77777777">
        <w:trPr>
          <w:trHeight w:val="296"/>
          <w:jc w:val="center"/>
        </w:trPr>
        <w:tc>
          <w:tcPr>
            <w:tcW w:w="0" w:type="auto"/>
            <w:noWrap/>
            <w:vAlign w:val="bottom"/>
          </w:tcPr>
          <w:p w14:paraId="08A10FAB"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Lisaftoclax</w:t>
            </w:r>
            <w:proofErr w:type="spellEnd"/>
          </w:p>
        </w:tc>
        <w:tc>
          <w:tcPr>
            <w:tcW w:w="0" w:type="auto"/>
            <w:noWrap/>
            <w:vAlign w:val="bottom"/>
          </w:tcPr>
          <w:p w14:paraId="25E2BD9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192.32</w:t>
            </w:r>
          </w:p>
        </w:tc>
        <w:tc>
          <w:tcPr>
            <w:tcW w:w="0" w:type="auto"/>
            <w:noWrap/>
            <w:vAlign w:val="bottom"/>
          </w:tcPr>
          <w:p w14:paraId="0690BCC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5.4</w:t>
            </w:r>
          </w:p>
        </w:tc>
        <w:tc>
          <w:tcPr>
            <w:tcW w:w="0" w:type="auto"/>
            <w:noWrap/>
            <w:vAlign w:val="bottom"/>
          </w:tcPr>
          <w:p w14:paraId="79A6CD1F"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7.45</w:t>
            </w:r>
          </w:p>
        </w:tc>
        <w:tc>
          <w:tcPr>
            <w:tcW w:w="0" w:type="auto"/>
            <w:noWrap/>
            <w:vAlign w:val="bottom"/>
          </w:tcPr>
          <w:p w14:paraId="0F180C4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7.92</w:t>
            </w:r>
          </w:p>
        </w:tc>
        <w:tc>
          <w:tcPr>
            <w:tcW w:w="0" w:type="auto"/>
            <w:noWrap/>
            <w:vAlign w:val="bottom"/>
          </w:tcPr>
          <w:p w14:paraId="289B0C5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2.48</w:t>
            </w:r>
          </w:p>
        </w:tc>
        <w:tc>
          <w:tcPr>
            <w:tcW w:w="1467" w:type="dxa"/>
            <w:vAlign w:val="bottom"/>
          </w:tcPr>
          <w:p w14:paraId="5F34CFE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4.19</w:t>
            </w:r>
          </w:p>
        </w:tc>
        <w:tc>
          <w:tcPr>
            <w:tcW w:w="0" w:type="auto"/>
            <w:noWrap/>
            <w:vAlign w:val="bottom"/>
          </w:tcPr>
          <w:p w14:paraId="0817AAA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5.49</w:t>
            </w:r>
          </w:p>
        </w:tc>
      </w:tr>
      <w:tr w:rsidR="00651FF7" w14:paraId="2301EF33" w14:textId="77777777">
        <w:trPr>
          <w:trHeight w:val="350"/>
          <w:jc w:val="center"/>
        </w:trPr>
        <w:tc>
          <w:tcPr>
            <w:tcW w:w="0" w:type="auto"/>
            <w:noWrap/>
            <w:vAlign w:val="bottom"/>
          </w:tcPr>
          <w:p w14:paraId="3FE00AE8"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Romidepsin</w:t>
            </w:r>
            <w:proofErr w:type="spellEnd"/>
          </w:p>
        </w:tc>
        <w:tc>
          <w:tcPr>
            <w:tcW w:w="0" w:type="auto"/>
            <w:noWrap/>
            <w:vAlign w:val="bottom"/>
          </w:tcPr>
          <w:p w14:paraId="110F4C5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193.3</w:t>
            </w:r>
          </w:p>
        </w:tc>
        <w:tc>
          <w:tcPr>
            <w:tcW w:w="0" w:type="auto"/>
            <w:noWrap/>
            <w:vAlign w:val="bottom"/>
          </w:tcPr>
          <w:p w14:paraId="12F041D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3.24</w:t>
            </w:r>
          </w:p>
        </w:tc>
        <w:tc>
          <w:tcPr>
            <w:tcW w:w="0" w:type="auto"/>
            <w:noWrap/>
            <w:vAlign w:val="bottom"/>
          </w:tcPr>
          <w:p w14:paraId="261B346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2.24</w:t>
            </w:r>
          </w:p>
        </w:tc>
        <w:tc>
          <w:tcPr>
            <w:tcW w:w="0" w:type="auto"/>
            <w:noWrap/>
            <w:vAlign w:val="bottom"/>
          </w:tcPr>
          <w:p w14:paraId="7CB5C54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-0.09</w:t>
            </w:r>
          </w:p>
        </w:tc>
        <w:tc>
          <w:tcPr>
            <w:tcW w:w="0" w:type="auto"/>
            <w:noWrap/>
            <w:vAlign w:val="bottom"/>
          </w:tcPr>
          <w:p w14:paraId="645D422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0.18</w:t>
            </w:r>
          </w:p>
        </w:tc>
        <w:tc>
          <w:tcPr>
            <w:tcW w:w="1467" w:type="dxa"/>
            <w:vAlign w:val="bottom"/>
          </w:tcPr>
          <w:p w14:paraId="68BFAF9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1.5</w:t>
            </w:r>
          </w:p>
        </w:tc>
        <w:tc>
          <w:tcPr>
            <w:tcW w:w="0" w:type="auto"/>
            <w:noWrap/>
            <w:vAlign w:val="bottom"/>
          </w:tcPr>
          <w:p w14:paraId="1CC0943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1.41</w:t>
            </w:r>
          </w:p>
        </w:tc>
      </w:tr>
    </w:tbl>
    <w:p w14:paraId="1C423160"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sz w:val="24"/>
          <w:szCs w:val="24"/>
        </w:rPr>
      </w:pPr>
    </w:p>
    <w:p w14:paraId="326CEC0B"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Table 3: Predicted water solubility of </w:t>
      </w:r>
      <w:proofErr w:type="spellStart"/>
      <w:r>
        <w:rPr>
          <w:rFonts w:ascii="Times New Roman" w:eastAsia="Times New Roman" w:hAnsi="Times New Roman"/>
          <w:b/>
          <w:sz w:val="24"/>
          <w:szCs w:val="24"/>
        </w:rPr>
        <w:t>Ajmalcine</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Alstonine</w:t>
      </w:r>
      <w:proofErr w:type="spellEnd"/>
      <w:r>
        <w:rPr>
          <w:rFonts w:ascii="Times New Roman" w:eastAsia="Times New Roman" w:hAnsi="Times New Roman"/>
          <w:b/>
          <w:sz w:val="24"/>
          <w:szCs w:val="24"/>
        </w:rPr>
        <w:t xml:space="preserve"> and the </w:t>
      </w:r>
      <w:r>
        <w:rPr>
          <w:rFonts w:ascii="Times New Roman" w:eastAsia="Times New Roman" w:hAnsi="Times New Roman" w:cs="Times New Roman"/>
          <w:b/>
          <w:sz w:val="24"/>
          <w:szCs w:val="24"/>
        </w:rPr>
        <w:t>six known inhibitors</w:t>
      </w:r>
    </w:p>
    <w:tbl>
      <w:tblPr>
        <w:tblW w:w="14855" w:type="dxa"/>
        <w:tblInd w:w="-62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963"/>
        <w:gridCol w:w="1087"/>
        <w:gridCol w:w="1025"/>
        <w:gridCol w:w="1188"/>
        <w:gridCol w:w="987"/>
        <w:gridCol w:w="1100"/>
        <w:gridCol w:w="1275"/>
        <w:gridCol w:w="1189"/>
        <w:gridCol w:w="1043"/>
        <w:gridCol w:w="1056"/>
        <w:gridCol w:w="1247"/>
        <w:gridCol w:w="1333"/>
      </w:tblGrid>
      <w:tr w:rsidR="00651FF7" w14:paraId="42F8BC7B" w14:textId="77777777">
        <w:trPr>
          <w:trHeight w:val="1082"/>
        </w:trPr>
        <w:tc>
          <w:tcPr>
            <w:tcW w:w="1362" w:type="dxa"/>
            <w:vAlign w:val="bottom"/>
          </w:tcPr>
          <w:p w14:paraId="17A8365E" w14:textId="77777777" w:rsidR="00651FF7" w:rsidRDefault="0006478A">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Compound</w:t>
            </w:r>
          </w:p>
        </w:tc>
        <w:tc>
          <w:tcPr>
            <w:tcW w:w="963" w:type="dxa"/>
            <w:vAlign w:val="bottom"/>
          </w:tcPr>
          <w:p w14:paraId="2B3A7BDB" w14:textId="77777777" w:rsidR="00651FF7" w:rsidRDefault="0006478A">
            <w:pPr>
              <w:jc w:val="center"/>
              <w:textAlignment w:val="bottom"/>
              <w:rPr>
                <w:rFonts w:ascii="Times New Roman" w:eastAsia="SimSun" w:hAnsi="Times New Roman" w:cs="Times New Roman"/>
                <w:b/>
                <w:bCs/>
                <w:sz w:val="18"/>
                <w:szCs w:val="18"/>
                <w:lang w:bidi="ar"/>
              </w:rPr>
            </w:pPr>
            <w:r>
              <w:rPr>
                <w:rFonts w:ascii="Times New Roman" w:eastAsia="SimSun" w:hAnsi="Times New Roman" w:cs="Times New Roman"/>
                <w:b/>
                <w:bCs/>
                <w:sz w:val="18"/>
                <w:szCs w:val="18"/>
                <w:lang w:bidi="ar"/>
              </w:rPr>
              <w:t>ESOL Log S</w:t>
            </w:r>
          </w:p>
        </w:tc>
        <w:tc>
          <w:tcPr>
            <w:tcW w:w="1087" w:type="dxa"/>
            <w:vAlign w:val="bottom"/>
          </w:tcPr>
          <w:p w14:paraId="7DAE53E0" w14:textId="77777777" w:rsidR="00651FF7" w:rsidRDefault="0006478A">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ESOL Solubility (mg/ml)</w:t>
            </w:r>
          </w:p>
        </w:tc>
        <w:tc>
          <w:tcPr>
            <w:tcW w:w="1025" w:type="dxa"/>
            <w:vAlign w:val="bottom"/>
          </w:tcPr>
          <w:p w14:paraId="23D4B7FB" w14:textId="77777777" w:rsidR="00651FF7" w:rsidRDefault="0006478A">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ESOL Solubility (mol/l)</w:t>
            </w:r>
          </w:p>
        </w:tc>
        <w:tc>
          <w:tcPr>
            <w:tcW w:w="1188" w:type="dxa"/>
            <w:vAlign w:val="bottom"/>
          </w:tcPr>
          <w:p w14:paraId="32A2D88C" w14:textId="77777777" w:rsidR="00651FF7" w:rsidRDefault="0006478A">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ESOL Class</w:t>
            </w:r>
          </w:p>
        </w:tc>
        <w:tc>
          <w:tcPr>
            <w:tcW w:w="987" w:type="dxa"/>
            <w:vAlign w:val="bottom"/>
          </w:tcPr>
          <w:p w14:paraId="2C5A4DD3" w14:textId="77777777" w:rsidR="00651FF7" w:rsidRDefault="0006478A">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Ali Log S</w:t>
            </w:r>
          </w:p>
        </w:tc>
        <w:tc>
          <w:tcPr>
            <w:tcW w:w="1100" w:type="dxa"/>
            <w:vAlign w:val="bottom"/>
          </w:tcPr>
          <w:p w14:paraId="1F685EC3" w14:textId="77777777" w:rsidR="00651FF7" w:rsidRDefault="0006478A">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Ali Solubility (mg/ml)</w:t>
            </w:r>
          </w:p>
        </w:tc>
        <w:tc>
          <w:tcPr>
            <w:tcW w:w="1275" w:type="dxa"/>
            <w:vAlign w:val="bottom"/>
          </w:tcPr>
          <w:p w14:paraId="020820C8" w14:textId="77777777" w:rsidR="00651FF7" w:rsidRDefault="0006478A">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Ali Solubility (mol/l)</w:t>
            </w:r>
          </w:p>
        </w:tc>
        <w:tc>
          <w:tcPr>
            <w:tcW w:w="1189" w:type="dxa"/>
            <w:vAlign w:val="bottom"/>
          </w:tcPr>
          <w:p w14:paraId="0CDE4624" w14:textId="77777777" w:rsidR="00651FF7" w:rsidRDefault="0006478A">
            <w:pPr>
              <w:jc w:val="center"/>
              <w:textAlignment w:val="bottom"/>
              <w:rPr>
                <w:rFonts w:ascii="Times New Roman" w:hAnsi="Times New Roman" w:cs="Times New Roman"/>
                <w:b/>
                <w:bCs/>
                <w:sz w:val="18"/>
                <w:szCs w:val="18"/>
              </w:rPr>
            </w:pPr>
            <w:r>
              <w:rPr>
                <w:rFonts w:ascii="Times New Roman" w:eastAsia="SimSun" w:hAnsi="Times New Roman" w:cs="Times New Roman"/>
                <w:b/>
                <w:bCs/>
                <w:sz w:val="18"/>
                <w:szCs w:val="18"/>
                <w:lang w:bidi="ar"/>
              </w:rPr>
              <w:t>Ali Class</w:t>
            </w:r>
          </w:p>
        </w:tc>
        <w:tc>
          <w:tcPr>
            <w:tcW w:w="1043" w:type="dxa"/>
            <w:vAlign w:val="bottom"/>
          </w:tcPr>
          <w:p w14:paraId="4635905F" w14:textId="77777777" w:rsidR="00651FF7" w:rsidRDefault="0006478A">
            <w:pPr>
              <w:jc w:val="center"/>
              <w:textAlignment w:val="bottom"/>
              <w:rPr>
                <w:rFonts w:ascii="Times New Roman" w:hAnsi="Times New Roman" w:cs="Times New Roman"/>
                <w:b/>
                <w:bCs/>
                <w:sz w:val="18"/>
                <w:szCs w:val="18"/>
              </w:rPr>
            </w:pPr>
            <w:proofErr w:type="spellStart"/>
            <w:r>
              <w:rPr>
                <w:rFonts w:ascii="Times New Roman" w:eastAsia="SimSun" w:hAnsi="Times New Roman" w:cs="Times New Roman"/>
                <w:b/>
                <w:bCs/>
                <w:sz w:val="18"/>
                <w:szCs w:val="18"/>
                <w:lang w:bidi="ar"/>
              </w:rPr>
              <w:t>Silicos</w:t>
            </w:r>
            <w:proofErr w:type="spellEnd"/>
            <w:r>
              <w:rPr>
                <w:rFonts w:ascii="Times New Roman" w:eastAsia="SimSun" w:hAnsi="Times New Roman" w:cs="Times New Roman"/>
                <w:b/>
                <w:bCs/>
                <w:sz w:val="18"/>
                <w:szCs w:val="18"/>
                <w:lang w:bidi="ar"/>
              </w:rPr>
              <w:t xml:space="preserve">-IT </w:t>
            </w:r>
            <w:proofErr w:type="spellStart"/>
            <w:r>
              <w:rPr>
                <w:rFonts w:ascii="Times New Roman" w:eastAsia="SimSun" w:hAnsi="Times New Roman" w:cs="Times New Roman"/>
                <w:b/>
                <w:bCs/>
                <w:sz w:val="18"/>
                <w:szCs w:val="18"/>
                <w:lang w:bidi="ar"/>
              </w:rPr>
              <w:t>LogSw</w:t>
            </w:r>
            <w:proofErr w:type="spellEnd"/>
          </w:p>
        </w:tc>
        <w:tc>
          <w:tcPr>
            <w:tcW w:w="1056" w:type="dxa"/>
            <w:vAlign w:val="bottom"/>
          </w:tcPr>
          <w:p w14:paraId="0FF06D50" w14:textId="77777777" w:rsidR="00651FF7" w:rsidRDefault="0006478A">
            <w:pPr>
              <w:jc w:val="center"/>
              <w:textAlignment w:val="bottom"/>
              <w:rPr>
                <w:rFonts w:ascii="Times New Roman" w:hAnsi="Times New Roman" w:cs="Times New Roman"/>
                <w:b/>
                <w:bCs/>
                <w:sz w:val="18"/>
                <w:szCs w:val="18"/>
              </w:rPr>
            </w:pPr>
            <w:proofErr w:type="spellStart"/>
            <w:r>
              <w:rPr>
                <w:rFonts w:ascii="Times New Roman" w:eastAsia="SimSun" w:hAnsi="Times New Roman" w:cs="Times New Roman"/>
                <w:b/>
                <w:bCs/>
                <w:sz w:val="18"/>
                <w:szCs w:val="18"/>
                <w:lang w:bidi="ar"/>
              </w:rPr>
              <w:t>Silicos</w:t>
            </w:r>
            <w:proofErr w:type="spellEnd"/>
            <w:r>
              <w:rPr>
                <w:rFonts w:ascii="Times New Roman" w:eastAsia="SimSun" w:hAnsi="Times New Roman" w:cs="Times New Roman"/>
                <w:b/>
                <w:bCs/>
                <w:sz w:val="18"/>
                <w:szCs w:val="18"/>
                <w:lang w:bidi="ar"/>
              </w:rPr>
              <w:t>-IT Solubility (mg/ml)</w:t>
            </w:r>
          </w:p>
        </w:tc>
        <w:tc>
          <w:tcPr>
            <w:tcW w:w="1247" w:type="dxa"/>
            <w:vAlign w:val="bottom"/>
          </w:tcPr>
          <w:p w14:paraId="159E5455" w14:textId="77777777" w:rsidR="00651FF7" w:rsidRDefault="0006478A">
            <w:pPr>
              <w:jc w:val="center"/>
              <w:textAlignment w:val="bottom"/>
              <w:rPr>
                <w:rFonts w:ascii="Times New Roman" w:hAnsi="Times New Roman" w:cs="Times New Roman"/>
                <w:b/>
                <w:bCs/>
                <w:sz w:val="18"/>
                <w:szCs w:val="18"/>
              </w:rPr>
            </w:pPr>
            <w:proofErr w:type="spellStart"/>
            <w:r>
              <w:rPr>
                <w:rFonts w:ascii="Times New Roman" w:eastAsia="SimSun" w:hAnsi="Times New Roman" w:cs="Times New Roman"/>
                <w:b/>
                <w:bCs/>
                <w:sz w:val="18"/>
                <w:szCs w:val="18"/>
                <w:lang w:bidi="ar"/>
              </w:rPr>
              <w:t>Silicos</w:t>
            </w:r>
            <w:proofErr w:type="spellEnd"/>
            <w:r>
              <w:rPr>
                <w:rFonts w:ascii="Times New Roman" w:eastAsia="SimSun" w:hAnsi="Times New Roman" w:cs="Times New Roman"/>
                <w:b/>
                <w:bCs/>
                <w:sz w:val="18"/>
                <w:szCs w:val="18"/>
                <w:lang w:bidi="ar"/>
              </w:rPr>
              <w:t>-IT Solubility (mol/l)</w:t>
            </w:r>
          </w:p>
        </w:tc>
        <w:tc>
          <w:tcPr>
            <w:tcW w:w="1333" w:type="dxa"/>
            <w:vAlign w:val="bottom"/>
          </w:tcPr>
          <w:p w14:paraId="7615F22E" w14:textId="77777777" w:rsidR="00651FF7" w:rsidRDefault="0006478A">
            <w:pPr>
              <w:jc w:val="center"/>
              <w:textAlignment w:val="bottom"/>
              <w:rPr>
                <w:rFonts w:ascii="Times New Roman" w:hAnsi="Times New Roman" w:cs="Times New Roman"/>
                <w:b/>
                <w:bCs/>
                <w:sz w:val="18"/>
                <w:szCs w:val="18"/>
              </w:rPr>
            </w:pPr>
            <w:proofErr w:type="spellStart"/>
            <w:r>
              <w:rPr>
                <w:rFonts w:ascii="Times New Roman" w:eastAsia="SimSun" w:hAnsi="Times New Roman" w:cs="Times New Roman"/>
                <w:b/>
                <w:bCs/>
                <w:sz w:val="18"/>
                <w:szCs w:val="18"/>
                <w:lang w:bidi="ar"/>
              </w:rPr>
              <w:t>Silicos</w:t>
            </w:r>
            <w:proofErr w:type="spellEnd"/>
            <w:r>
              <w:rPr>
                <w:rFonts w:ascii="Times New Roman" w:eastAsia="SimSun" w:hAnsi="Times New Roman" w:cs="Times New Roman"/>
                <w:b/>
                <w:bCs/>
                <w:sz w:val="18"/>
                <w:szCs w:val="18"/>
                <w:lang w:bidi="ar"/>
              </w:rPr>
              <w:t>-IT class</w:t>
            </w:r>
          </w:p>
        </w:tc>
      </w:tr>
      <w:tr w:rsidR="00651FF7" w14:paraId="491A2B60" w14:textId="77777777">
        <w:trPr>
          <w:trHeight w:val="470"/>
        </w:trPr>
        <w:tc>
          <w:tcPr>
            <w:tcW w:w="1362" w:type="dxa"/>
            <w:noWrap/>
            <w:vAlign w:val="bottom"/>
          </w:tcPr>
          <w:p w14:paraId="5B639891" w14:textId="77777777" w:rsidR="00651FF7" w:rsidRDefault="0006478A">
            <w:pPr>
              <w:jc w:val="center"/>
              <w:textAlignment w:val="bottom"/>
              <w:rPr>
                <w:rFonts w:ascii="Times New Roman" w:hAnsi="Times New Roman" w:cs="Times New Roman"/>
                <w:sz w:val="21"/>
                <w:szCs w:val="21"/>
              </w:rPr>
            </w:pPr>
            <w:proofErr w:type="spellStart"/>
            <w:r>
              <w:rPr>
                <w:rFonts w:ascii="Times New Roman" w:eastAsia="SimSun" w:hAnsi="Times New Roman" w:cs="Times New Roman"/>
                <w:sz w:val="21"/>
                <w:szCs w:val="21"/>
                <w:lang w:bidi="ar"/>
              </w:rPr>
              <w:t>Alstonine</w:t>
            </w:r>
            <w:proofErr w:type="spellEnd"/>
          </w:p>
        </w:tc>
        <w:tc>
          <w:tcPr>
            <w:tcW w:w="963" w:type="dxa"/>
            <w:noWrap/>
            <w:vAlign w:val="bottom"/>
          </w:tcPr>
          <w:p w14:paraId="16E0E35F" w14:textId="77777777" w:rsidR="00651FF7" w:rsidRDefault="0006478A">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-3.86</w:t>
            </w:r>
          </w:p>
        </w:tc>
        <w:tc>
          <w:tcPr>
            <w:tcW w:w="1087" w:type="dxa"/>
            <w:noWrap/>
            <w:vAlign w:val="bottom"/>
          </w:tcPr>
          <w:p w14:paraId="4C7F6E2E"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4.77E-02</w:t>
            </w:r>
          </w:p>
        </w:tc>
        <w:tc>
          <w:tcPr>
            <w:tcW w:w="1025" w:type="dxa"/>
            <w:noWrap/>
            <w:vAlign w:val="bottom"/>
          </w:tcPr>
          <w:p w14:paraId="4FB2BD2B"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1.37E-04</w:t>
            </w:r>
          </w:p>
        </w:tc>
        <w:tc>
          <w:tcPr>
            <w:tcW w:w="1188" w:type="dxa"/>
            <w:noWrap/>
            <w:vAlign w:val="bottom"/>
          </w:tcPr>
          <w:p w14:paraId="170FE806"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c>
          <w:tcPr>
            <w:tcW w:w="987" w:type="dxa"/>
            <w:vAlign w:val="bottom"/>
          </w:tcPr>
          <w:p w14:paraId="5844FA02"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-3.35</w:t>
            </w:r>
          </w:p>
        </w:tc>
        <w:tc>
          <w:tcPr>
            <w:tcW w:w="1100" w:type="dxa"/>
            <w:noWrap/>
            <w:vAlign w:val="bottom"/>
          </w:tcPr>
          <w:p w14:paraId="6937F1AC"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1.56E-01</w:t>
            </w:r>
          </w:p>
        </w:tc>
        <w:tc>
          <w:tcPr>
            <w:tcW w:w="1275" w:type="dxa"/>
            <w:noWrap/>
            <w:vAlign w:val="bottom"/>
          </w:tcPr>
          <w:p w14:paraId="223F303F"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4.48E-04</w:t>
            </w:r>
          </w:p>
        </w:tc>
        <w:tc>
          <w:tcPr>
            <w:tcW w:w="1189" w:type="dxa"/>
            <w:noWrap/>
            <w:vAlign w:val="bottom"/>
          </w:tcPr>
          <w:p w14:paraId="6D2AB5C7"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c>
          <w:tcPr>
            <w:tcW w:w="1043" w:type="dxa"/>
            <w:noWrap/>
            <w:vAlign w:val="bottom"/>
          </w:tcPr>
          <w:p w14:paraId="1A8C8BC8"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-4.92</w:t>
            </w:r>
          </w:p>
        </w:tc>
        <w:tc>
          <w:tcPr>
            <w:tcW w:w="1056" w:type="dxa"/>
            <w:noWrap/>
            <w:vAlign w:val="bottom"/>
          </w:tcPr>
          <w:p w14:paraId="1CDB2E22"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4.14E-03</w:t>
            </w:r>
          </w:p>
        </w:tc>
        <w:tc>
          <w:tcPr>
            <w:tcW w:w="1247" w:type="dxa"/>
            <w:noWrap/>
            <w:vAlign w:val="bottom"/>
          </w:tcPr>
          <w:p w14:paraId="1F8583DA"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1.19E-05</w:t>
            </w:r>
          </w:p>
        </w:tc>
        <w:tc>
          <w:tcPr>
            <w:tcW w:w="1333" w:type="dxa"/>
            <w:noWrap/>
            <w:vAlign w:val="bottom"/>
          </w:tcPr>
          <w:p w14:paraId="60201032"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r>
      <w:tr w:rsidR="00651FF7" w14:paraId="6D7576A5" w14:textId="77777777">
        <w:trPr>
          <w:trHeight w:val="470"/>
        </w:trPr>
        <w:tc>
          <w:tcPr>
            <w:tcW w:w="1362" w:type="dxa"/>
            <w:noWrap/>
            <w:vAlign w:val="bottom"/>
          </w:tcPr>
          <w:p w14:paraId="0BFEDA38"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Ajmalicine</w:t>
            </w:r>
          </w:p>
        </w:tc>
        <w:tc>
          <w:tcPr>
            <w:tcW w:w="963" w:type="dxa"/>
            <w:noWrap/>
            <w:vAlign w:val="bottom"/>
          </w:tcPr>
          <w:p w14:paraId="4B064FBD" w14:textId="77777777" w:rsidR="00651FF7" w:rsidRDefault="0006478A">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-3.88</w:t>
            </w:r>
          </w:p>
        </w:tc>
        <w:tc>
          <w:tcPr>
            <w:tcW w:w="1087" w:type="dxa"/>
            <w:noWrap/>
            <w:vAlign w:val="bottom"/>
          </w:tcPr>
          <w:p w14:paraId="4C2DE4BE"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4.63E-02</w:t>
            </w:r>
          </w:p>
        </w:tc>
        <w:tc>
          <w:tcPr>
            <w:tcW w:w="1025" w:type="dxa"/>
            <w:noWrap/>
            <w:vAlign w:val="bottom"/>
          </w:tcPr>
          <w:p w14:paraId="17AD3A1F"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1.31E-04</w:t>
            </w:r>
          </w:p>
        </w:tc>
        <w:tc>
          <w:tcPr>
            <w:tcW w:w="1188" w:type="dxa"/>
            <w:noWrap/>
            <w:vAlign w:val="bottom"/>
          </w:tcPr>
          <w:p w14:paraId="6B9B7CB8"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c>
          <w:tcPr>
            <w:tcW w:w="987" w:type="dxa"/>
            <w:vAlign w:val="bottom"/>
          </w:tcPr>
          <w:p w14:paraId="470C874B"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-3.55</w:t>
            </w:r>
          </w:p>
        </w:tc>
        <w:tc>
          <w:tcPr>
            <w:tcW w:w="1100" w:type="dxa"/>
            <w:noWrap/>
            <w:vAlign w:val="bottom"/>
          </w:tcPr>
          <w:p w14:paraId="46AF2A2D"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9.92E-02</w:t>
            </w:r>
          </w:p>
        </w:tc>
        <w:tc>
          <w:tcPr>
            <w:tcW w:w="1275" w:type="dxa"/>
            <w:noWrap/>
            <w:vAlign w:val="bottom"/>
          </w:tcPr>
          <w:p w14:paraId="48F1E9B2"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2.81E-04</w:t>
            </w:r>
          </w:p>
        </w:tc>
        <w:tc>
          <w:tcPr>
            <w:tcW w:w="1189" w:type="dxa"/>
            <w:noWrap/>
            <w:vAlign w:val="bottom"/>
          </w:tcPr>
          <w:p w14:paraId="039F3A58"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c>
          <w:tcPr>
            <w:tcW w:w="1043" w:type="dxa"/>
            <w:noWrap/>
            <w:vAlign w:val="bottom"/>
          </w:tcPr>
          <w:p w14:paraId="0E8DEBEF"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-4.38</w:t>
            </w:r>
          </w:p>
        </w:tc>
        <w:tc>
          <w:tcPr>
            <w:tcW w:w="1056" w:type="dxa"/>
            <w:noWrap/>
            <w:vAlign w:val="bottom"/>
          </w:tcPr>
          <w:p w14:paraId="75A0D882"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1.47E-02</w:t>
            </w:r>
          </w:p>
        </w:tc>
        <w:tc>
          <w:tcPr>
            <w:tcW w:w="1247" w:type="dxa"/>
            <w:noWrap/>
            <w:vAlign w:val="bottom"/>
          </w:tcPr>
          <w:p w14:paraId="369EE545"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4.16E-05</w:t>
            </w:r>
          </w:p>
        </w:tc>
        <w:tc>
          <w:tcPr>
            <w:tcW w:w="1333" w:type="dxa"/>
            <w:noWrap/>
            <w:vAlign w:val="bottom"/>
          </w:tcPr>
          <w:p w14:paraId="08CE4D3B"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r>
      <w:tr w:rsidR="00651FF7" w14:paraId="11BF7E3A" w14:textId="77777777">
        <w:trPr>
          <w:trHeight w:val="478"/>
        </w:trPr>
        <w:tc>
          <w:tcPr>
            <w:tcW w:w="1362" w:type="dxa"/>
            <w:noWrap/>
            <w:vAlign w:val="bottom"/>
          </w:tcPr>
          <w:p w14:paraId="4E558A35"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Gefitinib</w:t>
            </w:r>
          </w:p>
        </w:tc>
        <w:tc>
          <w:tcPr>
            <w:tcW w:w="963" w:type="dxa"/>
            <w:noWrap/>
            <w:vAlign w:val="bottom"/>
          </w:tcPr>
          <w:p w14:paraId="42A3ED3E" w14:textId="77777777" w:rsidR="00651FF7" w:rsidRDefault="0006478A">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-5.05</w:t>
            </w:r>
          </w:p>
        </w:tc>
        <w:tc>
          <w:tcPr>
            <w:tcW w:w="1087" w:type="dxa"/>
            <w:noWrap/>
            <w:vAlign w:val="bottom"/>
          </w:tcPr>
          <w:p w14:paraId="25D14322"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3.95E-03</w:t>
            </w:r>
          </w:p>
        </w:tc>
        <w:tc>
          <w:tcPr>
            <w:tcW w:w="1025" w:type="dxa"/>
            <w:noWrap/>
            <w:vAlign w:val="bottom"/>
          </w:tcPr>
          <w:p w14:paraId="6809407F"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8.83E-06</w:t>
            </w:r>
          </w:p>
        </w:tc>
        <w:tc>
          <w:tcPr>
            <w:tcW w:w="1188" w:type="dxa"/>
            <w:noWrap/>
            <w:vAlign w:val="bottom"/>
          </w:tcPr>
          <w:p w14:paraId="45FC3D79"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c>
          <w:tcPr>
            <w:tcW w:w="987" w:type="dxa"/>
            <w:vAlign w:val="bottom"/>
          </w:tcPr>
          <w:p w14:paraId="78CF3607"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-5.26</w:t>
            </w:r>
          </w:p>
        </w:tc>
        <w:tc>
          <w:tcPr>
            <w:tcW w:w="1100" w:type="dxa"/>
            <w:noWrap/>
            <w:vAlign w:val="bottom"/>
          </w:tcPr>
          <w:p w14:paraId="40589A09"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2.46E-03</w:t>
            </w:r>
          </w:p>
        </w:tc>
        <w:tc>
          <w:tcPr>
            <w:tcW w:w="1275" w:type="dxa"/>
            <w:noWrap/>
            <w:vAlign w:val="bottom"/>
          </w:tcPr>
          <w:p w14:paraId="221A2FE6"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5.50E-06</w:t>
            </w:r>
          </w:p>
        </w:tc>
        <w:tc>
          <w:tcPr>
            <w:tcW w:w="1189" w:type="dxa"/>
            <w:noWrap/>
            <w:vAlign w:val="bottom"/>
          </w:tcPr>
          <w:p w14:paraId="61AC6238"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c>
          <w:tcPr>
            <w:tcW w:w="1043" w:type="dxa"/>
            <w:noWrap/>
            <w:vAlign w:val="bottom"/>
          </w:tcPr>
          <w:p w14:paraId="2D40EC1D"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-7.94</w:t>
            </w:r>
          </w:p>
        </w:tc>
        <w:tc>
          <w:tcPr>
            <w:tcW w:w="1056" w:type="dxa"/>
            <w:noWrap/>
            <w:vAlign w:val="bottom"/>
          </w:tcPr>
          <w:p w14:paraId="2EAEF259"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5.14E-06</w:t>
            </w:r>
          </w:p>
        </w:tc>
        <w:tc>
          <w:tcPr>
            <w:tcW w:w="1247" w:type="dxa"/>
            <w:noWrap/>
            <w:vAlign w:val="bottom"/>
          </w:tcPr>
          <w:p w14:paraId="089403B2"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1.15E-08</w:t>
            </w:r>
          </w:p>
        </w:tc>
        <w:tc>
          <w:tcPr>
            <w:tcW w:w="1333" w:type="dxa"/>
            <w:noWrap/>
            <w:vAlign w:val="bottom"/>
          </w:tcPr>
          <w:p w14:paraId="315E8275"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Poorly soluble</w:t>
            </w:r>
          </w:p>
        </w:tc>
      </w:tr>
      <w:tr w:rsidR="00651FF7" w14:paraId="77EEC1CC" w14:textId="77777777">
        <w:trPr>
          <w:trHeight w:val="470"/>
        </w:trPr>
        <w:tc>
          <w:tcPr>
            <w:tcW w:w="1362" w:type="dxa"/>
            <w:noWrap/>
            <w:vAlign w:val="bottom"/>
          </w:tcPr>
          <w:p w14:paraId="7A5A21A0" w14:textId="77777777" w:rsidR="00651FF7" w:rsidRDefault="0006478A">
            <w:pPr>
              <w:jc w:val="center"/>
              <w:textAlignment w:val="bottom"/>
              <w:rPr>
                <w:rFonts w:ascii="Times New Roman" w:hAnsi="Times New Roman" w:cs="Times New Roman"/>
                <w:sz w:val="21"/>
                <w:szCs w:val="21"/>
              </w:rPr>
            </w:pPr>
            <w:proofErr w:type="spellStart"/>
            <w:r>
              <w:rPr>
                <w:rFonts w:ascii="Times New Roman" w:eastAsia="SimSun" w:hAnsi="Times New Roman" w:cs="Times New Roman"/>
                <w:sz w:val="21"/>
                <w:szCs w:val="21"/>
                <w:lang w:bidi="ar"/>
              </w:rPr>
              <w:t>Napabucasin</w:t>
            </w:r>
            <w:proofErr w:type="spellEnd"/>
          </w:p>
        </w:tc>
        <w:tc>
          <w:tcPr>
            <w:tcW w:w="963" w:type="dxa"/>
            <w:noWrap/>
            <w:vAlign w:val="bottom"/>
          </w:tcPr>
          <w:p w14:paraId="6EC8FDEB" w14:textId="77777777" w:rsidR="00651FF7" w:rsidRDefault="0006478A">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-3.15</w:t>
            </w:r>
          </w:p>
        </w:tc>
        <w:tc>
          <w:tcPr>
            <w:tcW w:w="1087" w:type="dxa"/>
            <w:noWrap/>
            <w:vAlign w:val="bottom"/>
          </w:tcPr>
          <w:p w14:paraId="2FC217E2"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1.69E-01</w:t>
            </w:r>
          </w:p>
        </w:tc>
        <w:tc>
          <w:tcPr>
            <w:tcW w:w="1025" w:type="dxa"/>
            <w:noWrap/>
            <w:vAlign w:val="bottom"/>
          </w:tcPr>
          <w:p w14:paraId="441B0827"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7.05E-04</w:t>
            </w:r>
          </w:p>
        </w:tc>
        <w:tc>
          <w:tcPr>
            <w:tcW w:w="1188" w:type="dxa"/>
            <w:noWrap/>
            <w:vAlign w:val="bottom"/>
          </w:tcPr>
          <w:p w14:paraId="5C148BD8"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c>
          <w:tcPr>
            <w:tcW w:w="987" w:type="dxa"/>
            <w:vAlign w:val="bottom"/>
          </w:tcPr>
          <w:p w14:paraId="1B45C8D8"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-3.27</w:t>
            </w:r>
          </w:p>
        </w:tc>
        <w:tc>
          <w:tcPr>
            <w:tcW w:w="1100" w:type="dxa"/>
            <w:noWrap/>
            <w:vAlign w:val="bottom"/>
          </w:tcPr>
          <w:p w14:paraId="5F36C51B"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1.29E-01</w:t>
            </w:r>
          </w:p>
        </w:tc>
        <w:tc>
          <w:tcPr>
            <w:tcW w:w="1275" w:type="dxa"/>
            <w:noWrap/>
            <w:vAlign w:val="bottom"/>
          </w:tcPr>
          <w:p w14:paraId="53349751"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5.39E-04</w:t>
            </w:r>
          </w:p>
        </w:tc>
        <w:tc>
          <w:tcPr>
            <w:tcW w:w="1189" w:type="dxa"/>
            <w:noWrap/>
            <w:vAlign w:val="bottom"/>
          </w:tcPr>
          <w:p w14:paraId="239DD798"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c>
          <w:tcPr>
            <w:tcW w:w="1043" w:type="dxa"/>
            <w:noWrap/>
            <w:vAlign w:val="bottom"/>
          </w:tcPr>
          <w:p w14:paraId="79649B89"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-4.8</w:t>
            </w:r>
          </w:p>
        </w:tc>
        <w:tc>
          <w:tcPr>
            <w:tcW w:w="1056" w:type="dxa"/>
            <w:noWrap/>
            <w:vAlign w:val="bottom"/>
          </w:tcPr>
          <w:p w14:paraId="23AFD540"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3.82E-03</w:t>
            </w:r>
          </w:p>
        </w:tc>
        <w:tc>
          <w:tcPr>
            <w:tcW w:w="1247" w:type="dxa"/>
            <w:noWrap/>
            <w:vAlign w:val="bottom"/>
          </w:tcPr>
          <w:p w14:paraId="2B94C31B"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1.59E-05</w:t>
            </w:r>
          </w:p>
        </w:tc>
        <w:tc>
          <w:tcPr>
            <w:tcW w:w="1333" w:type="dxa"/>
            <w:noWrap/>
            <w:vAlign w:val="bottom"/>
          </w:tcPr>
          <w:p w14:paraId="050DA7E5"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r>
      <w:tr w:rsidR="00651FF7" w14:paraId="03E092A0" w14:textId="77777777">
        <w:trPr>
          <w:trHeight w:val="478"/>
        </w:trPr>
        <w:tc>
          <w:tcPr>
            <w:tcW w:w="1362" w:type="dxa"/>
            <w:noWrap/>
            <w:vAlign w:val="bottom"/>
          </w:tcPr>
          <w:p w14:paraId="1D8DA580" w14:textId="77777777" w:rsidR="00651FF7" w:rsidRDefault="0006478A">
            <w:pPr>
              <w:jc w:val="center"/>
              <w:textAlignment w:val="bottom"/>
              <w:rPr>
                <w:rFonts w:ascii="Times New Roman" w:hAnsi="Times New Roman" w:cs="Times New Roman"/>
                <w:sz w:val="21"/>
                <w:szCs w:val="21"/>
              </w:rPr>
            </w:pPr>
            <w:proofErr w:type="spellStart"/>
            <w:r>
              <w:rPr>
                <w:rFonts w:ascii="Times New Roman" w:eastAsia="SimSun" w:hAnsi="Times New Roman" w:cs="Times New Roman"/>
                <w:sz w:val="21"/>
                <w:szCs w:val="21"/>
                <w:lang w:bidi="ar"/>
              </w:rPr>
              <w:t>Alpelisib</w:t>
            </w:r>
            <w:proofErr w:type="spellEnd"/>
          </w:p>
        </w:tc>
        <w:tc>
          <w:tcPr>
            <w:tcW w:w="963" w:type="dxa"/>
            <w:noWrap/>
            <w:vAlign w:val="bottom"/>
          </w:tcPr>
          <w:p w14:paraId="5E12D2AD" w14:textId="77777777" w:rsidR="00651FF7" w:rsidRDefault="0006478A">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-4.42</w:t>
            </w:r>
          </w:p>
        </w:tc>
        <w:tc>
          <w:tcPr>
            <w:tcW w:w="1087" w:type="dxa"/>
            <w:noWrap/>
            <w:vAlign w:val="bottom"/>
          </w:tcPr>
          <w:p w14:paraId="13291303"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1.70E-02</w:t>
            </w:r>
          </w:p>
        </w:tc>
        <w:tc>
          <w:tcPr>
            <w:tcW w:w="1025" w:type="dxa"/>
            <w:noWrap/>
            <w:vAlign w:val="bottom"/>
          </w:tcPr>
          <w:p w14:paraId="29CB1D9A"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3.85E-05</w:t>
            </w:r>
          </w:p>
        </w:tc>
        <w:tc>
          <w:tcPr>
            <w:tcW w:w="1188" w:type="dxa"/>
            <w:noWrap/>
            <w:vAlign w:val="bottom"/>
          </w:tcPr>
          <w:p w14:paraId="703B69AB"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c>
          <w:tcPr>
            <w:tcW w:w="987" w:type="dxa"/>
            <w:vAlign w:val="bottom"/>
          </w:tcPr>
          <w:p w14:paraId="3251C553"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-5.61</w:t>
            </w:r>
          </w:p>
        </w:tc>
        <w:tc>
          <w:tcPr>
            <w:tcW w:w="1100" w:type="dxa"/>
            <w:noWrap/>
            <w:vAlign w:val="bottom"/>
          </w:tcPr>
          <w:p w14:paraId="060BD2E7"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1.08E-03</w:t>
            </w:r>
          </w:p>
        </w:tc>
        <w:tc>
          <w:tcPr>
            <w:tcW w:w="1275" w:type="dxa"/>
            <w:noWrap/>
            <w:vAlign w:val="bottom"/>
          </w:tcPr>
          <w:p w14:paraId="0EA6A1EA"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2.45E-06</w:t>
            </w:r>
          </w:p>
        </w:tc>
        <w:tc>
          <w:tcPr>
            <w:tcW w:w="1189" w:type="dxa"/>
            <w:noWrap/>
            <w:vAlign w:val="bottom"/>
          </w:tcPr>
          <w:p w14:paraId="299E581D"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c>
          <w:tcPr>
            <w:tcW w:w="1043" w:type="dxa"/>
            <w:noWrap/>
            <w:vAlign w:val="bottom"/>
          </w:tcPr>
          <w:p w14:paraId="3AA71CAA"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-5.22</w:t>
            </w:r>
          </w:p>
        </w:tc>
        <w:tc>
          <w:tcPr>
            <w:tcW w:w="1056" w:type="dxa"/>
            <w:noWrap/>
            <w:vAlign w:val="bottom"/>
          </w:tcPr>
          <w:p w14:paraId="38036E37"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2.63E-03</w:t>
            </w:r>
          </w:p>
        </w:tc>
        <w:tc>
          <w:tcPr>
            <w:tcW w:w="1247" w:type="dxa"/>
            <w:noWrap/>
            <w:vAlign w:val="bottom"/>
          </w:tcPr>
          <w:p w14:paraId="76A80041"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5.96E-06</w:t>
            </w:r>
          </w:p>
        </w:tc>
        <w:tc>
          <w:tcPr>
            <w:tcW w:w="1333" w:type="dxa"/>
            <w:noWrap/>
            <w:vAlign w:val="bottom"/>
          </w:tcPr>
          <w:p w14:paraId="261EBA5F"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r>
      <w:tr w:rsidR="00651FF7" w14:paraId="096FCC58" w14:textId="77777777">
        <w:trPr>
          <w:trHeight w:val="470"/>
        </w:trPr>
        <w:tc>
          <w:tcPr>
            <w:tcW w:w="1362" w:type="dxa"/>
            <w:noWrap/>
            <w:vAlign w:val="bottom"/>
          </w:tcPr>
          <w:p w14:paraId="5965BBDF" w14:textId="77777777" w:rsidR="00651FF7" w:rsidRDefault="0006478A">
            <w:pPr>
              <w:jc w:val="center"/>
              <w:textAlignment w:val="bottom"/>
              <w:rPr>
                <w:rFonts w:ascii="Times New Roman" w:hAnsi="Times New Roman" w:cs="Times New Roman"/>
                <w:sz w:val="21"/>
                <w:szCs w:val="21"/>
              </w:rPr>
            </w:pPr>
            <w:proofErr w:type="spellStart"/>
            <w:r>
              <w:rPr>
                <w:rFonts w:ascii="Times New Roman" w:eastAsia="SimSun" w:hAnsi="Times New Roman" w:cs="Times New Roman"/>
                <w:sz w:val="21"/>
                <w:szCs w:val="21"/>
                <w:lang w:bidi="ar"/>
              </w:rPr>
              <w:t>Mesalazine</w:t>
            </w:r>
            <w:proofErr w:type="spellEnd"/>
          </w:p>
        </w:tc>
        <w:tc>
          <w:tcPr>
            <w:tcW w:w="963" w:type="dxa"/>
            <w:noWrap/>
            <w:vAlign w:val="bottom"/>
          </w:tcPr>
          <w:p w14:paraId="2EE5393F" w14:textId="77777777" w:rsidR="00651FF7" w:rsidRDefault="0006478A">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-1.96</w:t>
            </w:r>
          </w:p>
        </w:tc>
        <w:tc>
          <w:tcPr>
            <w:tcW w:w="1087" w:type="dxa"/>
            <w:noWrap/>
            <w:vAlign w:val="bottom"/>
          </w:tcPr>
          <w:p w14:paraId="2AD1FA8F"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1.68E+00</w:t>
            </w:r>
          </w:p>
        </w:tc>
        <w:tc>
          <w:tcPr>
            <w:tcW w:w="1025" w:type="dxa"/>
            <w:noWrap/>
            <w:vAlign w:val="bottom"/>
          </w:tcPr>
          <w:p w14:paraId="5485FD2A"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1.10E-02</w:t>
            </w:r>
          </w:p>
        </w:tc>
        <w:tc>
          <w:tcPr>
            <w:tcW w:w="1188" w:type="dxa"/>
            <w:noWrap/>
            <w:vAlign w:val="bottom"/>
          </w:tcPr>
          <w:p w14:paraId="334E1D75"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Very soluble</w:t>
            </w:r>
          </w:p>
        </w:tc>
        <w:tc>
          <w:tcPr>
            <w:tcW w:w="987" w:type="dxa"/>
            <w:vAlign w:val="bottom"/>
          </w:tcPr>
          <w:p w14:paraId="56CCEC3E"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-2.68</w:t>
            </w:r>
          </w:p>
        </w:tc>
        <w:tc>
          <w:tcPr>
            <w:tcW w:w="1100" w:type="dxa"/>
            <w:noWrap/>
            <w:vAlign w:val="bottom"/>
          </w:tcPr>
          <w:p w14:paraId="0E8FDF18"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3.23E-01</w:t>
            </w:r>
          </w:p>
        </w:tc>
        <w:tc>
          <w:tcPr>
            <w:tcW w:w="1275" w:type="dxa"/>
            <w:noWrap/>
            <w:vAlign w:val="bottom"/>
          </w:tcPr>
          <w:p w14:paraId="406E43A8"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2.11E-03</w:t>
            </w:r>
          </w:p>
        </w:tc>
        <w:tc>
          <w:tcPr>
            <w:tcW w:w="1189" w:type="dxa"/>
            <w:noWrap/>
            <w:vAlign w:val="bottom"/>
          </w:tcPr>
          <w:p w14:paraId="612656C0"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c>
          <w:tcPr>
            <w:tcW w:w="1043" w:type="dxa"/>
            <w:noWrap/>
            <w:vAlign w:val="bottom"/>
          </w:tcPr>
          <w:p w14:paraId="16DAF1F9"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-0.82</w:t>
            </w:r>
          </w:p>
        </w:tc>
        <w:tc>
          <w:tcPr>
            <w:tcW w:w="1056" w:type="dxa"/>
            <w:noWrap/>
            <w:vAlign w:val="bottom"/>
          </w:tcPr>
          <w:p w14:paraId="68819859"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2.31E+01</w:t>
            </w:r>
          </w:p>
        </w:tc>
        <w:tc>
          <w:tcPr>
            <w:tcW w:w="1247" w:type="dxa"/>
            <w:noWrap/>
            <w:vAlign w:val="bottom"/>
          </w:tcPr>
          <w:p w14:paraId="4EBE85B1"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1.51E-01</w:t>
            </w:r>
          </w:p>
        </w:tc>
        <w:tc>
          <w:tcPr>
            <w:tcW w:w="1333" w:type="dxa"/>
            <w:noWrap/>
            <w:vAlign w:val="bottom"/>
          </w:tcPr>
          <w:p w14:paraId="7E1BBEB3"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Soluble</w:t>
            </w:r>
          </w:p>
        </w:tc>
      </w:tr>
      <w:tr w:rsidR="00651FF7" w14:paraId="1A549531" w14:textId="77777777">
        <w:trPr>
          <w:trHeight w:val="478"/>
        </w:trPr>
        <w:tc>
          <w:tcPr>
            <w:tcW w:w="1362" w:type="dxa"/>
            <w:noWrap/>
            <w:vAlign w:val="bottom"/>
          </w:tcPr>
          <w:p w14:paraId="20FF146D" w14:textId="77777777" w:rsidR="00651FF7" w:rsidRDefault="0006478A">
            <w:pPr>
              <w:jc w:val="center"/>
              <w:textAlignment w:val="bottom"/>
              <w:rPr>
                <w:rFonts w:ascii="Times New Roman" w:hAnsi="Times New Roman" w:cs="Times New Roman"/>
                <w:sz w:val="21"/>
                <w:szCs w:val="21"/>
              </w:rPr>
            </w:pPr>
            <w:proofErr w:type="spellStart"/>
            <w:r>
              <w:rPr>
                <w:rFonts w:ascii="Times New Roman" w:eastAsia="SimSun" w:hAnsi="Times New Roman" w:cs="Times New Roman"/>
                <w:sz w:val="21"/>
                <w:szCs w:val="21"/>
                <w:lang w:bidi="ar"/>
              </w:rPr>
              <w:t>Lisaftoclax</w:t>
            </w:r>
            <w:proofErr w:type="spellEnd"/>
          </w:p>
        </w:tc>
        <w:tc>
          <w:tcPr>
            <w:tcW w:w="963" w:type="dxa"/>
            <w:noWrap/>
            <w:vAlign w:val="bottom"/>
          </w:tcPr>
          <w:p w14:paraId="74BF65DF" w14:textId="77777777" w:rsidR="00651FF7" w:rsidRDefault="0006478A">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-9.4</w:t>
            </w:r>
          </w:p>
        </w:tc>
        <w:tc>
          <w:tcPr>
            <w:tcW w:w="1087" w:type="dxa"/>
            <w:noWrap/>
            <w:vAlign w:val="bottom"/>
          </w:tcPr>
          <w:p w14:paraId="6DB418C4"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3.49E-07</w:t>
            </w:r>
          </w:p>
        </w:tc>
        <w:tc>
          <w:tcPr>
            <w:tcW w:w="1025" w:type="dxa"/>
            <w:noWrap/>
            <w:vAlign w:val="bottom"/>
          </w:tcPr>
          <w:p w14:paraId="312701AD"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3.96E-10</w:t>
            </w:r>
          </w:p>
        </w:tc>
        <w:tc>
          <w:tcPr>
            <w:tcW w:w="1188" w:type="dxa"/>
            <w:noWrap/>
            <w:vAlign w:val="bottom"/>
          </w:tcPr>
          <w:p w14:paraId="40782808"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Poorly soluble</w:t>
            </w:r>
          </w:p>
        </w:tc>
        <w:tc>
          <w:tcPr>
            <w:tcW w:w="987" w:type="dxa"/>
            <w:vAlign w:val="bottom"/>
          </w:tcPr>
          <w:p w14:paraId="5CA4A11B"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-11.32</w:t>
            </w:r>
          </w:p>
        </w:tc>
        <w:tc>
          <w:tcPr>
            <w:tcW w:w="1100" w:type="dxa"/>
            <w:noWrap/>
            <w:vAlign w:val="bottom"/>
          </w:tcPr>
          <w:p w14:paraId="32C57FB9"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4.22E-09</w:t>
            </w:r>
          </w:p>
        </w:tc>
        <w:tc>
          <w:tcPr>
            <w:tcW w:w="1275" w:type="dxa"/>
            <w:noWrap/>
            <w:vAlign w:val="bottom"/>
          </w:tcPr>
          <w:p w14:paraId="5DC199CC"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4.78E-12</w:t>
            </w:r>
          </w:p>
        </w:tc>
        <w:tc>
          <w:tcPr>
            <w:tcW w:w="1189" w:type="dxa"/>
            <w:noWrap/>
            <w:vAlign w:val="bottom"/>
          </w:tcPr>
          <w:p w14:paraId="67360CC9"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Insoluble</w:t>
            </w:r>
          </w:p>
        </w:tc>
        <w:tc>
          <w:tcPr>
            <w:tcW w:w="1043" w:type="dxa"/>
            <w:noWrap/>
            <w:vAlign w:val="bottom"/>
          </w:tcPr>
          <w:p w14:paraId="1F956785"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-12.85</w:t>
            </w:r>
          </w:p>
        </w:tc>
        <w:tc>
          <w:tcPr>
            <w:tcW w:w="1056" w:type="dxa"/>
            <w:noWrap/>
            <w:vAlign w:val="bottom"/>
          </w:tcPr>
          <w:p w14:paraId="41B10D64"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1.26E-10</w:t>
            </w:r>
          </w:p>
        </w:tc>
        <w:tc>
          <w:tcPr>
            <w:tcW w:w="1247" w:type="dxa"/>
            <w:noWrap/>
            <w:vAlign w:val="bottom"/>
          </w:tcPr>
          <w:p w14:paraId="405B9862"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1.43E-13</w:t>
            </w:r>
          </w:p>
        </w:tc>
        <w:tc>
          <w:tcPr>
            <w:tcW w:w="1333" w:type="dxa"/>
            <w:noWrap/>
            <w:vAlign w:val="bottom"/>
          </w:tcPr>
          <w:p w14:paraId="14F1C664"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Insoluble</w:t>
            </w:r>
          </w:p>
        </w:tc>
      </w:tr>
      <w:tr w:rsidR="00651FF7" w14:paraId="3BDCBE7A" w14:textId="77777777">
        <w:trPr>
          <w:trHeight w:val="488"/>
        </w:trPr>
        <w:tc>
          <w:tcPr>
            <w:tcW w:w="1362" w:type="dxa"/>
            <w:noWrap/>
            <w:vAlign w:val="bottom"/>
          </w:tcPr>
          <w:p w14:paraId="39EC2862" w14:textId="77777777" w:rsidR="00651FF7" w:rsidRDefault="0006478A">
            <w:pPr>
              <w:jc w:val="center"/>
              <w:textAlignment w:val="bottom"/>
              <w:rPr>
                <w:rFonts w:ascii="Times New Roman" w:hAnsi="Times New Roman" w:cs="Times New Roman"/>
                <w:sz w:val="21"/>
                <w:szCs w:val="21"/>
              </w:rPr>
            </w:pPr>
            <w:proofErr w:type="spellStart"/>
            <w:r>
              <w:rPr>
                <w:rFonts w:ascii="Times New Roman" w:eastAsia="SimSun" w:hAnsi="Times New Roman" w:cs="Times New Roman"/>
                <w:sz w:val="21"/>
                <w:szCs w:val="21"/>
                <w:lang w:bidi="ar"/>
              </w:rPr>
              <w:t>Romidepsin</w:t>
            </w:r>
            <w:proofErr w:type="spellEnd"/>
          </w:p>
        </w:tc>
        <w:tc>
          <w:tcPr>
            <w:tcW w:w="963" w:type="dxa"/>
            <w:noWrap/>
            <w:vAlign w:val="bottom"/>
          </w:tcPr>
          <w:p w14:paraId="33D5F831" w14:textId="77777777" w:rsidR="00651FF7" w:rsidRDefault="0006478A">
            <w:pPr>
              <w:jc w:val="center"/>
              <w:textAlignment w:val="bottom"/>
              <w:rPr>
                <w:rFonts w:ascii="Times New Roman" w:eastAsia="SimSun" w:hAnsi="Times New Roman" w:cs="Times New Roman"/>
                <w:sz w:val="21"/>
                <w:szCs w:val="21"/>
                <w:lang w:bidi="ar"/>
              </w:rPr>
            </w:pPr>
            <w:r>
              <w:rPr>
                <w:rFonts w:ascii="Times New Roman" w:eastAsia="SimSun" w:hAnsi="Times New Roman" w:cs="Times New Roman"/>
                <w:sz w:val="21"/>
                <w:szCs w:val="21"/>
                <w:lang w:bidi="ar"/>
              </w:rPr>
              <w:t>-4.47</w:t>
            </w:r>
          </w:p>
        </w:tc>
        <w:tc>
          <w:tcPr>
            <w:tcW w:w="1087" w:type="dxa"/>
            <w:noWrap/>
            <w:vAlign w:val="bottom"/>
          </w:tcPr>
          <w:p w14:paraId="329F394E"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1.83E-02</w:t>
            </w:r>
          </w:p>
        </w:tc>
        <w:tc>
          <w:tcPr>
            <w:tcW w:w="1025" w:type="dxa"/>
            <w:noWrap/>
            <w:vAlign w:val="bottom"/>
          </w:tcPr>
          <w:p w14:paraId="21664672"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3.38E-05</w:t>
            </w:r>
          </w:p>
        </w:tc>
        <w:tc>
          <w:tcPr>
            <w:tcW w:w="1188" w:type="dxa"/>
            <w:noWrap/>
            <w:vAlign w:val="bottom"/>
          </w:tcPr>
          <w:p w14:paraId="6BA94679"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c>
          <w:tcPr>
            <w:tcW w:w="987" w:type="dxa"/>
            <w:vAlign w:val="bottom"/>
          </w:tcPr>
          <w:p w14:paraId="58017F99"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-5.93</w:t>
            </w:r>
          </w:p>
        </w:tc>
        <w:tc>
          <w:tcPr>
            <w:tcW w:w="1100" w:type="dxa"/>
            <w:noWrap/>
            <w:vAlign w:val="bottom"/>
          </w:tcPr>
          <w:p w14:paraId="4C89034C"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6.28E-04</w:t>
            </w:r>
          </w:p>
        </w:tc>
        <w:tc>
          <w:tcPr>
            <w:tcW w:w="1275" w:type="dxa"/>
            <w:noWrap/>
            <w:vAlign w:val="bottom"/>
          </w:tcPr>
          <w:p w14:paraId="3F5057F8"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1.16E-06</w:t>
            </w:r>
          </w:p>
        </w:tc>
        <w:tc>
          <w:tcPr>
            <w:tcW w:w="1189" w:type="dxa"/>
            <w:noWrap/>
            <w:vAlign w:val="bottom"/>
          </w:tcPr>
          <w:p w14:paraId="084BAB60"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c>
          <w:tcPr>
            <w:tcW w:w="1043" w:type="dxa"/>
            <w:noWrap/>
            <w:vAlign w:val="bottom"/>
          </w:tcPr>
          <w:p w14:paraId="59FA3307"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-4.39</w:t>
            </w:r>
          </w:p>
        </w:tc>
        <w:tc>
          <w:tcPr>
            <w:tcW w:w="1056" w:type="dxa"/>
            <w:noWrap/>
            <w:vAlign w:val="bottom"/>
          </w:tcPr>
          <w:p w14:paraId="6E847360"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2.20E-02</w:t>
            </w:r>
          </w:p>
        </w:tc>
        <w:tc>
          <w:tcPr>
            <w:tcW w:w="1247" w:type="dxa"/>
            <w:noWrap/>
            <w:vAlign w:val="bottom"/>
          </w:tcPr>
          <w:p w14:paraId="6A4B0FED"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4.07E-05</w:t>
            </w:r>
          </w:p>
        </w:tc>
        <w:tc>
          <w:tcPr>
            <w:tcW w:w="1333" w:type="dxa"/>
            <w:noWrap/>
            <w:vAlign w:val="bottom"/>
          </w:tcPr>
          <w:p w14:paraId="5CAEE038" w14:textId="77777777" w:rsidR="00651FF7" w:rsidRDefault="0006478A">
            <w:pPr>
              <w:jc w:val="center"/>
              <w:textAlignment w:val="bottom"/>
              <w:rPr>
                <w:rFonts w:ascii="Times New Roman" w:hAnsi="Times New Roman" w:cs="Times New Roman"/>
                <w:sz w:val="21"/>
                <w:szCs w:val="21"/>
              </w:rPr>
            </w:pPr>
            <w:r>
              <w:rPr>
                <w:rFonts w:ascii="Times New Roman" w:eastAsia="SimSun" w:hAnsi="Times New Roman" w:cs="Times New Roman"/>
                <w:sz w:val="21"/>
                <w:szCs w:val="21"/>
                <w:lang w:bidi="ar"/>
              </w:rPr>
              <w:t>Moderately soluble</w:t>
            </w:r>
          </w:p>
        </w:tc>
      </w:tr>
    </w:tbl>
    <w:p w14:paraId="1E842B02"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p>
    <w:p w14:paraId="4F72B9A7"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p>
    <w:p w14:paraId="7F4911E8"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p>
    <w:p w14:paraId="3140F41B"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p>
    <w:p w14:paraId="23E18F58"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p>
    <w:p w14:paraId="1F44ED26"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b/>
          <w:bCs/>
          <w:sz w:val="24"/>
          <w:szCs w:val="24"/>
        </w:rPr>
      </w:pPr>
    </w:p>
    <w:p w14:paraId="324A9DE7"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Table 4: Predicted pharmacokinetics (ADME) parameters of </w:t>
      </w:r>
      <w:proofErr w:type="spellStart"/>
      <w:r>
        <w:rPr>
          <w:rFonts w:ascii="Times New Roman" w:eastAsia="Times New Roman" w:hAnsi="Times New Roman"/>
          <w:b/>
          <w:sz w:val="24"/>
          <w:szCs w:val="24"/>
        </w:rPr>
        <w:t>Ajmalcine</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Alstonine</w:t>
      </w:r>
      <w:proofErr w:type="spellEnd"/>
      <w:r>
        <w:rPr>
          <w:rFonts w:ascii="Times New Roman" w:eastAsia="Times New Roman" w:hAnsi="Times New Roman"/>
          <w:b/>
          <w:sz w:val="24"/>
          <w:szCs w:val="24"/>
        </w:rPr>
        <w:t xml:space="preserve"> and the </w:t>
      </w:r>
      <w:r>
        <w:rPr>
          <w:rFonts w:ascii="Times New Roman" w:eastAsia="Times New Roman" w:hAnsi="Times New Roman" w:cs="Times New Roman"/>
          <w:b/>
          <w:sz w:val="24"/>
          <w:szCs w:val="24"/>
        </w:rPr>
        <w:t>six known inhibitors</w:t>
      </w:r>
    </w:p>
    <w:tbl>
      <w:tblPr>
        <w:tblW w:w="13875" w:type="dxa"/>
        <w:jc w:val="center"/>
        <w:tblLook w:val="04A0" w:firstRow="1" w:lastRow="0" w:firstColumn="1" w:lastColumn="0" w:noHBand="0" w:noVBand="1"/>
      </w:tblPr>
      <w:tblGrid>
        <w:gridCol w:w="1567"/>
        <w:gridCol w:w="1350"/>
        <w:gridCol w:w="1385"/>
        <w:gridCol w:w="1369"/>
        <w:gridCol w:w="1374"/>
        <w:gridCol w:w="1399"/>
        <w:gridCol w:w="1371"/>
        <w:gridCol w:w="1374"/>
        <w:gridCol w:w="1374"/>
        <w:gridCol w:w="1312"/>
      </w:tblGrid>
      <w:tr w:rsidR="00651FF7" w14:paraId="52B66D63" w14:textId="77777777">
        <w:trPr>
          <w:trHeight w:val="815"/>
          <w:jc w:val="center"/>
        </w:trPr>
        <w:tc>
          <w:tcPr>
            <w:tcW w:w="1567" w:type="dxa"/>
            <w:tcBorders>
              <w:top w:val="single" w:sz="4" w:space="0" w:color="000000"/>
              <w:bottom w:val="single" w:sz="4" w:space="0" w:color="000000"/>
              <w:right w:val="single" w:sz="4" w:space="0" w:color="000000"/>
            </w:tcBorders>
            <w:vAlign w:val="bottom"/>
          </w:tcPr>
          <w:p w14:paraId="73986B40"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Compound</w:t>
            </w:r>
          </w:p>
        </w:tc>
        <w:tc>
          <w:tcPr>
            <w:tcW w:w="1350" w:type="dxa"/>
            <w:tcBorders>
              <w:top w:val="single" w:sz="4" w:space="0" w:color="000000"/>
              <w:left w:val="single" w:sz="4" w:space="0" w:color="000000"/>
              <w:bottom w:val="single" w:sz="4" w:space="0" w:color="000000"/>
              <w:right w:val="single" w:sz="4" w:space="0" w:color="000000"/>
            </w:tcBorders>
            <w:vAlign w:val="bottom"/>
          </w:tcPr>
          <w:p w14:paraId="39576944"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GI absorption</w:t>
            </w:r>
          </w:p>
        </w:tc>
        <w:tc>
          <w:tcPr>
            <w:tcW w:w="1385" w:type="dxa"/>
            <w:tcBorders>
              <w:top w:val="single" w:sz="4" w:space="0" w:color="000000"/>
              <w:left w:val="single" w:sz="4" w:space="0" w:color="000000"/>
              <w:bottom w:val="single" w:sz="4" w:space="0" w:color="000000"/>
              <w:right w:val="single" w:sz="4" w:space="0" w:color="000000"/>
            </w:tcBorders>
            <w:vAlign w:val="bottom"/>
          </w:tcPr>
          <w:p w14:paraId="696E28A6"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BBB permeant</w:t>
            </w:r>
          </w:p>
        </w:tc>
        <w:tc>
          <w:tcPr>
            <w:tcW w:w="1369" w:type="dxa"/>
            <w:tcBorders>
              <w:top w:val="single" w:sz="4" w:space="0" w:color="000000"/>
              <w:left w:val="single" w:sz="4" w:space="0" w:color="000000"/>
              <w:bottom w:val="single" w:sz="4" w:space="0" w:color="000000"/>
              <w:right w:val="single" w:sz="4" w:space="0" w:color="000000"/>
            </w:tcBorders>
            <w:vAlign w:val="bottom"/>
          </w:tcPr>
          <w:p w14:paraId="421A4511" w14:textId="77777777" w:rsidR="00651FF7" w:rsidRDefault="0006478A">
            <w:pPr>
              <w:jc w:val="center"/>
              <w:textAlignment w:val="bottom"/>
              <w:rPr>
                <w:rFonts w:ascii="Times New Roman" w:hAnsi="Times New Roman" w:cs="Times New Roman"/>
                <w:b/>
                <w:bCs/>
                <w:sz w:val="24"/>
                <w:szCs w:val="24"/>
              </w:rPr>
            </w:pPr>
            <w:proofErr w:type="spellStart"/>
            <w:r>
              <w:rPr>
                <w:rFonts w:ascii="Times New Roman" w:eastAsia="SimSun" w:hAnsi="Times New Roman" w:cs="Times New Roman"/>
                <w:b/>
                <w:bCs/>
                <w:sz w:val="24"/>
                <w:szCs w:val="24"/>
                <w:lang w:bidi="ar"/>
              </w:rPr>
              <w:t>Pgp</w:t>
            </w:r>
            <w:proofErr w:type="spellEnd"/>
            <w:r>
              <w:rPr>
                <w:rFonts w:ascii="Times New Roman" w:eastAsia="SimSun" w:hAnsi="Times New Roman" w:cs="Times New Roman"/>
                <w:b/>
                <w:bCs/>
                <w:sz w:val="24"/>
                <w:szCs w:val="24"/>
                <w:lang w:bidi="ar"/>
              </w:rPr>
              <w:t xml:space="preserve"> substrate</w:t>
            </w:r>
          </w:p>
        </w:tc>
        <w:tc>
          <w:tcPr>
            <w:tcW w:w="1374" w:type="dxa"/>
            <w:tcBorders>
              <w:top w:val="single" w:sz="4" w:space="0" w:color="000000"/>
              <w:left w:val="single" w:sz="4" w:space="0" w:color="000000"/>
              <w:bottom w:val="single" w:sz="4" w:space="0" w:color="000000"/>
              <w:right w:val="single" w:sz="4" w:space="0" w:color="000000"/>
            </w:tcBorders>
            <w:vAlign w:val="bottom"/>
          </w:tcPr>
          <w:p w14:paraId="04D87213"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CYP1A2 inhibitor</w:t>
            </w:r>
          </w:p>
        </w:tc>
        <w:tc>
          <w:tcPr>
            <w:tcW w:w="1399" w:type="dxa"/>
            <w:tcBorders>
              <w:top w:val="single" w:sz="4" w:space="0" w:color="000000"/>
              <w:left w:val="single" w:sz="4" w:space="0" w:color="000000"/>
              <w:bottom w:val="single" w:sz="4" w:space="0" w:color="000000"/>
              <w:right w:val="single" w:sz="4" w:space="0" w:color="000000"/>
            </w:tcBorders>
            <w:vAlign w:val="bottom"/>
          </w:tcPr>
          <w:p w14:paraId="7E9CEEA8"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CYP2C19 inhibitor</w:t>
            </w:r>
          </w:p>
        </w:tc>
        <w:tc>
          <w:tcPr>
            <w:tcW w:w="1371" w:type="dxa"/>
            <w:tcBorders>
              <w:top w:val="single" w:sz="4" w:space="0" w:color="000000"/>
              <w:left w:val="single" w:sz="4" w:space="0" w:color="000000"/>
              <w:bottom w:val="single" w:sz="4" w:space="0" w:color="000000"/>
              <w:right w:val="single" w:sz="4" w:space="0" w:color="000000"/>
            </w:tcBorders>
            <w:vAlign w:val="bottom"/>
          </w:tcPr>
          <w:p w14:paraId="657CA63B"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CYP2C9 inhibitor</w:t>
            </w:r>
          </w:p>
        </w:tc>
        <w:tc>
          <w:tcPr>
            <w:tcW w:w="1374" w:type="dxa"/>
            <w:tcBorders>
              <w:top w:val="single" w:sz="4" w:space="0" w:color="000000"/>
              <w:left w:val="single" w:sz="4" w:space="0" w:color="000000"/>
              <w:bottom w:val="single" w:sz="4" w:space="0" w:color="000000"/>
              <w:right w:val="single" w:sz="4" w:space="0" w:color="000000"/>
            </w:tcBorders>
            <w:vAlign w:val="bottom"/>
          </w:tcPr>
          <w:p w14:paraId="7A02015E"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CYP2D6 inhibitor</w:t>
            </w:r>
          </w:p>
        </w:tc>
        <w:tc>
          <w:tcPr>
            <w:tcW w:w="1374" w:type="dxa"/>
            <w:tcBorders>
              <w:top w:val="single" w:sz="4" w:space="0" w:color="000000"/>
              <w:left w:val="single" w:sz="4" w:space="0" w:color="000000"/>
              <w:bottom w:val="single" w:sz="4" w:space="0" w:color="000000"/>
              <w:right w:val="single" w:sz="4" w:space="0" w:color="000000"/>
            </w:tcBorders>
            <w:vAlign w:val="bottom"/>
          </w:tcPr>
          <w:p w14:paraId="39FB6E7B"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CYP3A4 inhibitor</w:t>
            </w:r>
          </w:p>
        </w:tc>
        <w:tc>
          <w:tcPr>
            <w:tcW w:w="1312" w:type="dxa"/>
            <w:tcBorders>
              <w:top w:val="single" w:sz="4" w:space="0" w:color="000000"/>
              <w:left w:val="single" w:sz="4" w:space="0" w:color="000000"/>
              <w:bottom w:val="single" w:sz="4" w:space="0" w:color="000000"/>
            </w:tcBorders>
            <w:vAlign w:val="bottom"/>
          </w:tcPr>
          <w:p w14:paraId="7DCA3DEB" w14:textId="77777777" w:rsidR="00651FF7" w:rsidRDefault="0006478A">
            <w:pPr>
              <w:jc w:val="center"/>
              <w:textAlignment w:val="bottom"/>
              <w:rPr>
                <w:rFonts w:ascii="Times New Roman" w:hAnsi="Times New Roman" w:cs="Times New Roman"/>
                <w:b/>
                <w:bCs/>
                <w:sz w:val="24"/>
                <w:szCs w:val="24"/>
              </w:rPr>
            </w:pPr>
            <w:r>
              <w:rPr>
                <w:rFonts w:ascii="Times New Roman" w:eastAsia="SimSun" w:hAnsi="Times New Roman" w:cs="Times New Roman"/>
                <w:b/>
                <w:bCs/>
                <w:sz w:val="24"/>
                <w:szCs w:val="24"/>
                <w:lang w:bidi="ar"/>
              </w:rPr>
              <w:t xml:space="preserve">log </w:t>
            </w:r>
            <w:proofErr w:type="spellStart"/>
            <w:r>
              <w:rPr>
                <w:rFonts w:ascii="Times New Roman" w:eastAsia="SimSun" w:hAnsi="Times New Roman" w:cs="Times New Roman"/>
                <w:b/>
                <w:bCs/>
                <w:sz w:val="24"/>
                <w:szCs w:val="24"/>
                <w:lang w:bidi="ar"/>
              </w:rPr>
              <w:t>Kp</w:t>
            </w:r>
            <w:proofErr w:type="spellEnd"/>
            <w:r>
              <w:rPr>
                <w:rFonts w:ascii="Times New Roman" w:eastAsia="SimSun" w:hAnsi="Times New Roman" w:cs="Times New Roman"/>
                <w:b/>
                <w:bCs/>
                <w:sz w:val="24"/>
                <w:szCs w:val="24"/>
                <w:lang w:bidi="ar"/>
              </w:rPr>
              <w:t xml:space="preserve"> (cm/s)</w:t>
            </w:r>
          </w:p>
        </w:tc>
      </w:tr>
      <w:tr w:rsidR="00651FF7" w14:paraId="3A8C746F" w14:textId="77777777">
        <w:trPr>
          <w:trHeight w:val="263"/>
          <w:jc w:val="center"/>
        </w:trPr>
        <w:tc>
          <w:tcPr>
            <w:tcW w:w="0" w:type="auto"/>
            <w:tcBorders>
              <w:top w:val="single" w:sz="4" w:space="0" w:color="000000"/>
              <w:bottom w:val="single" w:sz="4" w:space="0" w:color="000000"/>
              <w:right w:val="single" w:sz="4" w:space="0" w:color="000000"/>
            </w:tcBorders>
            <w:noWrap/>
            <w:vAlign w:val="bottom"/>
          </w:tcPr>
          <w:p w14:paraId="3B8F431C"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Alstonine</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14:paraId="020E625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High</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CDF5CEC"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FFCC83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F99C7E9"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9971EFF"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58CDEF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851E09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82242FF"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tcBorders>
            <w:noWrap/>
            <w:vAlign w:val="bottom"/>
          </w:tcPr>
          <w:p w14:paraId="6570FC5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-6.59</w:t>
            </w:r>
          </w:p>
        </w:tc>
      </w:tr>
      <w:tr w:rsidR="00651FF7" w14:paraId="52AB4862" w14:textId="77777777">
        <w:trPr>
          <w:trHeight w:val="263"/>
          <w:jc w:val="center"/>
        </w:trPr>
        <w:tc>
          <w:tcPr>
            <w:tcW w:w="0" w:type="auto"/>
            <w:tcBorders>
              <w:top w:val="single" w:sz="4" w:space="0" w:color="000000"/>
              <w:bottom w:val="single" w:sz="4" w:space="0" w:color="000000"/>
              <w:right w:val="single" w:sz="4" w:space="0" w:color="000000"/>
            </w:tcBorders>
            <w:noWrap/>
            <w:vAlign w:val="bottom"/>
          </w:tcPr>
          <w:p w14:paraId="395BAB5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Ajmalicine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CC889A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High</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455F19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020DAA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77050F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ADF04F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8CDA35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400EC8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27F6E7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tcBorders>
            <w:noWrap/>
            <w:vAlign w:val="bottom"/>
          </w:tcPr>
          <w:p w14:paraId="2DBD4FC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-6.5</w:t>
            </w:r>
          </w:p>
        </w:tc>
      </w:tr>
      <w:tr w:rsidR="00651FF7" w14:paraId="65280DEB" w14:textId="77777777">
        <w:trPr>
          <w:trHeight w:val="263"/>
          <w:jc w:val="center"/>
        </w:trPr>
        <w:tc>
          <w:tcPr>
            <w:tcW w:w="0" w:type="auto"/>
            <w:tcBorders>
              <w:top w:val="single" w:sz="4" w:space="0" w:color="000000"/>
              <w:bottom w:val="single" w:sz="4" w:space="0" w:color="000000"/>
              <w:right w:val="single" w:sz="4" w:space="0" w:color="000000"/>
            </w:tcBorders>
            <w:noWrap/>
            <w:vAlign w:val="bottom"/>
          </w:tcPr>
          <w:p w14:paraId="1004BA6F"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Gefitinib</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070FE3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High</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9D4EE7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8CD932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192973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FC0936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9E33ED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DEDA97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18A6C3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tcBorders>
            <w:noWrap/>
            <w:vAlign w:val="bottom"/>
          </w:tcPr>
          <w:p w14:paraId="7666E9E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-6.11</w:t>
            </w:r>
          </w:p>
        </w:tc>
      </w:tr>
      <w:tr w:rsidR="00651FF7" w14:paraId="35563594" w14:textId="77777777">
        <w:trPr>
          <w:trHeight w:val="263"/>
          <w:jc w:val="center"/>
        </w:trPr>
        <w:tc>
          <w:tcPr>
            <w:tcW w:w="0" w:type="auto"/>
            <w:tcBorders>
              <w:top w:val="single" w:sz="4" w:space="0" w:color="000000"/>
              <w:bottom w:val="single" w:sz="4" w:space="0" w:color="000000"/>
              <w:right w:val="single" w:sz="4" w:space="0" w:color="000000"/>
            </w:tcBorders>
            <w:noWrap/>
            <w:vAlign w:val="bottom"/>
          </w:tcPr>
          <w:p w14:paraId="4CAAE9D4"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Napabucasin</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14:paraId="53D954B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High</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393BD2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5CB943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E02248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33F1B8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70F68B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5307B6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FFA4F1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tcBorders>
            <w:noWrap/>
            <w:vAlign w:val="bottom"/>
          </w:tcPr>
          <w:p w14:paraId="00B831AC"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-6.15</w:t>
            </w:r>
          </w:p>
        </w:tc>
      </w:tr>
      <w:tr w:rsidR="00651FF7" w14:paraId="3681D340" w14:textId="77777777">
        <w:trPr>
          <w:trHeight w:val="263"/>
          <w:jc w:val="center"/>
        </w:trPr>
        <w:tc>
          <w:tcPr>
            <w:tcW w:w="0" w:type="auto"/>
            <w:tcBorders>
              <w:top w:val="single" w:sz="4" w:space="0" w:color="000000"/>
              <w:bottom w:val="single" w:sz="4" w:space="0" w:color="000000"/>
              <w:right w:val="single" w:sz="4" w:space="0" w:color="000000"/>
            </w:tcBorders>
            <w:noWrap/>
            <w:vAlign w:val="bottom"/>
          </w:tcPr>
          <w:p w14:paraId="47523B0B"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Alpelisib</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14:paraId="38AFF6E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Low</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19F5B8C"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987F81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044F88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0FEFDAE"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156BD4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7A70D3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EB24C4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tcBorders>
            <w:noWrap/>
            <w:vAlign w:val="bottom"/>
          </w:tcPr>
          <w:p w14:paraId="1924DEBE"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-6.71</w:t>
            </w:r>
          </w:p>
        </w:tc>
      </w:tr>
      <w:tr w:rsidR="00651FF7" w14:paraId="3AFF00F6" w14:textId="77777777">
        <w:trPr>
          <w:trHeight w:val="263"/>
          <w:jc w:val="center"/>
        </w:trPr>
        <w:tc>
          <w:tcPr>
            <w:tcW w:w="0" w:type="auto"/>
            <w:tcBorders>
              <w:top w:val="single" w:sz="4" w:space="0" w:color="000000"/>
              <w:bottom w:val="single" w:sz="4" w:space="0" w:color="000000"/>
              <w:right w:val="single" w:sz="4" w:space="0" w:color="000000"/>
            </w:tcBorders>
            <w:noWrap/>
            <w:vAlign w:val="bottom"/>
          </w:tcPr>
          <w:p w14:paraId="2D9208E1"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Mesalazine</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14:paraId="566B764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High</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3A57A2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E4B12E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12072A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4DAF82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F6F1D0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4B9711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934F17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tcBorders>
            <w:noWrap/>
            <w:vAlign w:val="bottom"/>
          </w:tcPr>
          <w:p w14:paraId="3F1F9E0C"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-6.3</w:t>
            </w:r>
          </w:p>
        </w:tc>
      </w:tr>
      <w:tr w:rsidR="00651FF7" w14:paraId="0E0AE9CB" w14:textId="77777777">
        <w:trPr>
          <w:trHeight w:val="263"/>
          <w:jc w:val="center"/>
        </w:trPr>
        <w:tc>
          <w:tcPr>
            <w:tcW w:w="0" w:type="auto"/>
            <w:tcBorders>
              <w:top w:val="single" w:sz="4" w:space="0" w:color="000000"/>
              <w:bottom w:val="single" w:sz="4" w:space="0" w:color="000000"/>
              <w:right w:val="single" w:sz="4" w:space="0" w:color="000000"/>
            </w:tcBorders>
            <w:noWrap/>
            <w:vAlign w:val="bottom"/>
          </w:tcPr>
          <w:p w14:paraId="63D4A599"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Lisaftoclax</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14:paraId="6FE1BC5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Low</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202522E"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E17982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A343FFF"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187E5F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58EF84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8D7555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7F1E87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tcBorders>
            <w:noWrap/>
            <w:vAlign w:val="bottom"/>
          </w:tcPr>
          <w:p w14:paraId="6670BCE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-6.39</w:t>
            </w:r>
          </w:p>
        </w:tc>
      </w:tr>
      <w:tr w:rsidR="00651FF7" w14:paraId="51A11C75" w14:textId="77777777">
        <w:trPr>
          <w:trHeight w:val="279"/>
          <w:jc w:val="center"/>
        </w:trPr>
        <w:tc>
          <w:tcPr>
            <w:tcW w:w="0" w:type="auto"/>
            <w:tcBorders>
              <w:top w:val="single" w:sz="4" w:space="0" w:color="000000"/>
              <w:bottom w:val="single" w:sz="4" w:space="0" w:color="000000"/>
              <w:right w:val="single" w:sz="4" w:space="0" w:color="000000"/>
            </w:tcBorders>
            <w:noWrap/>
            <w:vAlign w:val="bottom"/>
          </w:tcPr>
          <w:p w14:paraId="53B7D35B"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Romidepsin</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14:paraId="4E34364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Low</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412408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B42E1A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Yes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FD860C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B0544E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430210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56F4F8C"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A4B976E"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No</w:t>
            </w:r>
          </w:p>
        </w:tc>
        <w:tc>
          <w:tcPr>
            <w:tcW w:w="0" w:type="auto"/>
            <w:tcBorders>
              <w:top w:val="single" w:sz="4" w:space="0" w:color="000000"/>
              <w:left w:val="single" w:sz="4" w:space="0" w:color="000000"/>
              <w:bottom w:val="single" w:sz="4" w:space="0" w:color="000000"/>
            </w:tcBorders>
            <w:noWrap/>
            <w:vAlign w:val="bottom"/>
          </w:tcPr>
          <w:p w14:paraId="40FD548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-8.01</w:t>
            </w:r>
          </w:p>
        </w:tc>
      </w:tr>
    </w:tbl>
    <w:p w14:paraId="2CCD84AE"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p>
    <w:p w14:paraId="6367C852"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Table 5: Predicted drug-likeness, medicinal chemistry and lead-likeness pharmacokinetics parameters of </w:t>
      </w:r>
      <w:proofErr w:type="spellStart"/>
      <w:r>
        <w:rPr>
          <w:rFonts w:ascii="Times New Roman" w:eastAsia="Times New Roman" w:hAnsi="Times New Roman"/>
          <w:b/>
          <w:sz w:val="24"/>
          <w:szCs w:val="24"/>
        </w:rPr>
        <w:t>Ajmalcine</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Alstonine</w:t>
      </w:r>
      <w:proofErr w:type="spellEnd"/>
      <w:r>
        <w:rPr>
          <w:rFonts w:ascii="Times New Roman" w:eastAsia="Times New Roman" w:hAnsi="Times New Roman"/>
          <w:b/>
          <w:sz w:val="24"/>
          <w:szCs w:val="24"/>
        </w:rPr>
        <w:t xml:space="preserve"> and the </w:t>
      </w:r>
      <w:r>
        <w:rPr>
          <w:rFonts w:ascii="Times New Roman" w:eastAsia="Times New Roman" w:hAnsi="Times New Roman" w:cs="Times New Roman"/>
          <w:b/>
          <w:sz w:val="24"/>
          <w:szCs w:val="24"/>
        </w:rPr>
        <w:t>six known</w:t>
      </w:r>
      <w:r>
        <w:rPr>
          <w:rFonts w:ascii="Times New Roman" w:eastAsia="Times New Roman" w:hAnsi="Times New Roman" w:cs="Times New Roman"/>
          <w:b/>
          <w:sz w:val="24"/>
          <w:szCs w:val="24"/>
        </w:rPr>
        <w:t xml:space="preserve"> inhibitors</w:t>
      </w:r>
    </w:p>
    <w:tbl>
      <w:tblPr>
        <w:tblW w:w="14862" w:type="dxa"/>
        <w:tblInd w:w="-404" w:type="dxa"/>
        <w:tblLayout w:type="fixed"/>
        <w:tblLook w:val="04A0" w:firstRow="1" w:lastRow="0" w:firstColumn="1" w:lastColumn="0" w:noHBand="0" w:noVBand="1"/>
      </w:tblPr>
      <w:tblGrid>
        <w:gridCol w:w="1475"/>
        <w:gridCol w:w="1475"/>
        <w:gridCol w:w="1287"/>
        <w:gridCol w:w="1338"/>
        <w:gridCol w:w="1350"/>
        <w:gridCol w:w="1300"/>
        <w:gridCol w:w="1650"/>
        <w:gridCol w:w="1037"/>
        <w:gridCol w:w="963"/>
        <w:gridCol w:w="1475"/>
        <w:gridCol w:w="1512"/>
      </w:tblGrid>
      <w:tr w:rsidR="00651FF7" w14:paraId="5354FD24" w14:textId="77777777">
        <w:trPr>
          <w:trHeight w:val="871"/>
        </w:trPr>
        <w:tc>
          <w:tcPr>
            <w:tcW w:w="1475" w:type="dxa"/>
            <w:tcBorders>
              <w:top w:val="single" w:sz="4" w:space="0" w:color="000000"/>
              <w:bottom w:val="single" w:sz="4" w:space="0" w:color="000000"/>
              <w:right w:val="single" w:sz="4" w:space="0" w:color="000000"/>
            </w:tcBorders>
            <w:vAlign w:val="bottom"/>
          </w:tcPr>
          <w:p w14:paraId="1F7CEC1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Compound</w:t>
            </w:r>
          </w:p>
        </w:tc>
        <w:tc>
          <w:tcPr>
            <w:tcW w:w="1475" w:type="dxa"/>
            <w:tcBorders>
              <w:top w:val="single" w:sz="4" w:space="0" w:color="000000"/>
              <w:left w:val="single" w:sz="4" w:space="0" w:color="000000"/>
              <w:bottom w:val="single" w:sz="4" w:space="0" w:color="000000"/>
              <w:right w:val="single" w:sz="4" w:space="0" w:color="000000"/>
            </w:tcBorders>
            <w:vAlign w:val="bottom"/>
          </w:tcPr>
          <w:p w14:paraId="1679592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Lipinski #violations</w:t>
            </w:r>
          </w:p>
        </w:tc>
        <w:tc>
          <w:tcPr>
            <w:tcW w:w="1287" w:type="dxa"/>
            <w:tcBorders>
              <w:top w:val="single" w:sz="4" w:space="0" w:color="000000"/>
              <w:left w:val="single" w:sz="4" w:space="0" w:color="000000"/>
              <w:bottom w:val="single" w:sz="4" w:space="0" w:color="000000"/>
              <w:right w:val="single" w:sz="4" w:space="0" w:color="000000"/>
            </w:tcBorders>
            <w:vAlign w:val="bottom"/>
          </w:tcPr>
          <w:p w14:paraId="485E65F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Ghose #violations</w:t>
            </w:r>
          </w:p>
        </w:tc>
        <w:tc>
          <w:tcPr>
            <w:tcW w:w="1338" w:type="dxa"/>
            <w:tcBorders>
              <w:top w:val="single" w:sz="4" w:space="0" w:color="000000"/>
              <w:left w:val="single" w:sz="4" w:space="0" w:color="000000"/>
              <w:bottom w:val="single" w:sz="4" w:space="0" w:color="000000"/>
              <w:right w:val="single" w:sz="4" w:space="0" w:color="000000"/>
            </w:tcBorders>
            <w:vAlign w:val="bottom"/>
          </w:tcPr>
          <w:p w14:paraId="6879A58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Veber #violations</w:t>
            </w:r>
          </w:p>
        </w:tc>
        <w:tc>
          <w:tcPr>
            <w:tcW w:w="1350" w:type="dxa"/>
            <w:tcBorders>
              <w:top w:val="single" w:sz="4" w:space="0" w:color="000000"/>
              <w:left w:val="single" w:sz="4" w:space="0" w:color="000000"/>
              <w:bottom w:val="single" w:sz="4" w:space="0" w:color="000000"/>
              <w:right w:val="single" w:sz="4" w:space="0" w:color="000000"/>
            </w:tcBorders>
            <w:vAlign w:val="bottom"/>
          </w:tcPr>
          <w:p w14:paraId="1DD09AE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Egan #violations</w:t>
            </w:r>
          </w:p>
        </w:tc>
        <w:tc>
          <w:tcPr>
            <w:tcW w:w="1300" w:type="dxa"/>
            <w:tcBorders>
              <w:top w:val="single" w:sz="4" w:space="0" w:color="000000"/>
              <w:left w:val="single" w:sz="4" w:space="0" w:color="000000"/>
              <w:bottom w:val="single" w:sz="4" w:space="0" w:color="000000"/>
              <w:right w:val="single" w:sz="4" w:space="0" w:color="000000"/>
            </w:tcBorders>
            <w:vAlign w:val="bottom"/>
          </w:tcPr>
          <w:p w14:paraId="66D3DF8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Muegge #violations</w:t>
            </w:r>
          </w:p>
        </w:tc>
        <w:tc>
          <w:tcPr>
            <w:tcW w:w="1650" w:type="dxa"/>
            <w:tcBorders>
              <w:top w:val="single" w:sz="4" w:space="0" w:color="000000"/>
              <w:left w:val="single" w:sz="4" w:space="0" w:color="000000"/>
              <w:bottom w:val="single" w:sz="4" w:space="0" w:color="000000"/>
              <w:right w:val="single" w:sz="4" w:space="0" w:color="000000"/>
            </w:tcBorders>
            <w:vAlign w:val="bottom"/>
          </w:tcPr>
          <w:p w14:paraId="6933BDD9"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Bioavailability Score</w:t>
            </w:r>
          </w:p>
        </w:tc>
        <w:tc>
          <w:tcPr>
            <w:tcW w:w="1037" w:type="dxa"/>
            <w:tcBorders>
              <w:top w:val="single" w:sz="4" w:space="0" w:color="000000"/>
              <w:left w:val="single" w:sz="4" w:space="0" w:color="000000"/>
              <w:bottom w:val="single" w:sz="4" w:space="0" w:color="000000"/>
              <w:right w:val="single" w:sz="4" w:space="0" w:color="000000"/>
            </w:tcBorders>
            <w:vAlign w:val="bottom"/>
          </w:tcPr>
          <w:p w14:paraId="01070C5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PAINS #alerts</w:t>
            </w:r>
          </w:p>
        </w:tc>
        <w:tc>
          <w:tcPr>
            <w:tcW w:w="963" w:type="dxa"/>
            <w:tcBorders>
              <w:top w:val="single" w:sz="4" w:space="0" w:color="000000"/>
              <w:left w:val="single" w:sz="4" w:space="0" w:color="000000"/>
              <w:bottom w:val="single" w:sz="4" w:space="0" w:color="000000"/>
              <w:right w:val="single" w:sz="4" w:space="0" w:color="000000"/>
            </w:tcBorders>
            <w:vAlign w:val="bottom"/>
          </w:tcPr>
          <w:p w14:paraId="06705B2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Brenk #alerts</w:t>
            </w:r>
          </w:p>
        </w:tc>
        <w:tc>
          <w:tcPr>
            <w:tcW w:w="1475" w:type="dxa"/>
            <w:tcBorders>
              <w:top w:val="single" w:sz="4" w:space="0" w:color="000000"/>
              <w:left w:val="single" w:sz="4" w:space="0" w:color="000000"/>
              <w:bottom w:val="single" w:sz="4" w:space="0" w:color="000000"/>
              <w:right w:val="single" w:sz="4" w:space="0" w:color="000000"/>
            </w:tcBorders>
            <w:vAlign w:val="bottom"/>
          </w:tcPr>
          <w:p w14:paraId="1F653425"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Leadlikeness</w:t>
            </w:r>
            <w:proofErr w:type="spellEnd"/>
            <w:r>
              <w:rPr>
                <w:rFonts w:ascii="Times New Roman" w:eastAsia="SimSun" w:hAnsi="Times New Roman" w:cs="Times New Roman"/>
                <w:sz w:val="24"/>
                <w:szCs w:val="24"/>
                <w:lang w:bidi="ar"/>
              </w:rPr>
              <w:t xml:space="preserve"> #violations</w:t>
            </w:r>
          </w:p>
        </w:tc>
        <w:tc>
          <w:tcPr>
            <w:tcW w:w="1512" w:type="dxa"/>
            <w:tcBorders>
              <w:top w:val="single" w:sz="4" w:space="0" w:color="000000"/>
              <w:left w:val="single" w:sz="4" w:space="0" w:color="000000"/>
              <w:bottom w:val="single" w:sz="4" w:space="0" w:color="000000"/>
            </w:tcBorders>
            <w:vAlign w:val="bottom"/>
          </w:tcPr>
          <w:p w14:paraId="088E3A0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Synthetic Accessibility</w:t>
            </w:r>
          </w:p>
        </w:tc>
      </w:tr>
      <w:tr w:rsidR="00651FF7" w14:paraId="60CE1D7E" w14:textId="77777777">
        <w:trPr>
          <w:trHeight w:val="275"/>
        </w:trPr>
        <w:tc>
          <w:tcPr>
            <w:tcW w:w="1475" w:type="dxa"/>
            <w:tcBorders>
              <w:top w:val="single" w:sz="4" w:space="0" w:color="000000"/>
              <w:bottom w:val="single" w:sz="4" w:space="0" w:color="000000"/>
              <w:right w:val="single" w:sz="4" w:space="0" w:color="000000"/>
            </w:tcBorders>
            <w:noWrap/>
            <w:vAlign w:val="bottom"/>
          </w:tcPr>
          <w:p w14:paraId="7E80210F"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Alstonine</w:t>
            </w:r>
            <w:proofErr w:type="spellEnd"/>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14812FD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287" w:type="dxa"/>
            <w:tcBorders>
              <w:top w:val="single" w:sz="4" w:space="0" w:color="000000"/>
              <w:left w:val="single" w:sz="4" w:space="0" w:color="000000"/>
              <w:bottom w:val="single" w:sz="4" w:space="0" w:color="000000"/>
              <w:right w:val="single" w:sz="4" w:space="0" w:color="000000"/>
            </w:tcBorders>
            <w:noWrap/>
            <w:vAlign w:val="bottom"/>
          </w:tcPr>
          <w:p w14:paraId="3B151A7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38" w:type="dxa"/>
            <w:tcBorders>
              <w:top w:val="single" w:sz="4" w:space="0" w:color="000000"/>
              <w:left w:val="single" w:sz="4" w:space="0" w:color="000000"/>
              <w:bottom w:val="single" w:sz="4" w:space="0" w:color="000000"/>
              <w:right w:val="single" w:sz="4" w:space="0" w:color="000000"/>
            </w:tcBorders>
            <w:noWrap/>
            <w:vAlign w:val="bottom"/>
          </w:tcPr>
          <w:p w14:paraId="33A4BBB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50" w:type="dxa"/>
            <w:tcBorders>
              <w:top w:val="single" w:sz="4" w:space="0" w:color="000000"/>
              <w:left w:val="single" w:sz="4" w:space="0" w:color="000000"/>
              <w:bottom w:val="single" w:sz="4" w:space="0" w:color="000000"/>
              <w:right w:val="single" w:sz="4" w:space="0" w:color="000000"/>
            </w:tcBorders>
            <w:noWrap/>
            <w:vAlign w:val="bottom"/>
          </w:tcPr>
          <w:p w14:paraId="51C1503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00" w:type="dxa"/>
            <w:tcBorders>
              <w:top w:val="single" w:sz="4" w:space="0" w:color="000000"/>
              <w:left w:val="single" w:sz="4" w:space="0" w:color="000000"/>
              <w:bottom w:val="single" w:sz="4" w:space="0" w:color="000000"/>
              <w:right w:val="single" w:sz="4" w:space="0" w:color="000000"/>
            </w:tcBorders>
            <w:noWrap/>
            <w:vAlign w:val="bottom"/>
          </w:tcPr>
          <w:p w14:paraId="002E27F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650" w:type="dxa"/>
            <w:tcBorders>
              <w:top w:val="single" w:sz="4" w:space="0" w:color="000000"/>
              <w:left w:val="single" w:sz="4" w:space="0" w:color="000000"/>
              <w:bottom w:val="single" w:sz="4" w:space="0" w:color="000000"/>
              <w:right w:val="single" w:sz="4" w:space="0" w:color="000000"/>
            </w:tcBorders>
            <w:noWrap/>
            <w:vAlign w:val="bottom"/>
          </w:tcPr>
          <w:p w14:paraId="05BF0E9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0.85</w:t>
            </w:r>
          </w:p>
        </w:tc>
        <w:tc>
          <w:tcPr>
            <w:tcW w:w="1037" w:type="dxa"/>
            <w:tcBorders>
              <w:top w:val="single" w:sz="4" w:space="0" w:color="000000"/>
              <w:left w:val="single" w:sz="4" w:space="0" w:color="000000"/>
              <w:bottom w:val="single" w:sz="4" w:space="0" w:color="000000"/>
              <w:right w:val="single" w:sz="4" w:space="0" w:color="000000"/>
            </w:tcBorders>
            <w:noWrap/>
            <w:vAlign w:val="bottom"/>
          </w:tcPr>
          <w:p w14:paraId="0DA04A2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963" w:type="dxa"/>
            <w:tcBorders>
              <w:top w:val="single" w:sz="4" w:space="0" w:color="000000"/>
              <w:left w:val="single" w:sz="4" w:space="0" w:color="000000"/>
              <w:bottom w:val="single" w:sz="4" w:space="0" w:color="000000"/>
              <w:right w:val="single" w:sz="4" w:space="0" w:color="000000"/>
            </w:tcBorders>
            <w:noWrap/>
            <w:vAlign w:val="bottom"/>
          </w:tcPr>
          <w:p w14:paraId="59493CA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69A7AF3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512" w:type="dxa"/>
            <w:tcBorders>
              <w:top w:val="single" w:sz="4" w:space="0" w:color="000000"/>
              <w:left w:val="single" w:sz="4" w:space="0" w:color="000000"/>
              <w:bottom w:val="single" w:sz="4" w:space="0" w:color="000000"/>
            </w:tcBorders>
            <w:noWrap/>
            <w:vAlign w:val="bottom"/>
          </w:tcPr>
          <w:p w14:paraId="60F98E1F"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4.32</w:t>
            </w:r>
          </w:p>
        </w:tc>
      </w:tr>
      <w:tr w:rsidR="00651FF7" w14:paraId="652BA005" w14:textId="77777777">
        <w:trPr>
          <w:trHeight w:val="275"/>
        </w:trPr>
        <w:tc>
          <w:tcPr>
            <w:tcW w:w="1475" w:type="dxa"/>
            <w:tcBorders>
              <w:top w:val="single" w:sz="4" w:space="0" w:color="000000"/>
              <w:bottom w:val="single" w:sz="4" w:space="0" w:color="000000"/>
              <w:right w:val="single" w:sz="4" w:space="0" w:color="000000"/>
            </w:tcBorders>
            <w:noWrap/>
            <w:vAlign w:val="bottom"/>
          </w:tcPr>
          <w:p w14:paraId="5E4E49A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Ajmalicine</w:t>
            </w:r>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7C6BA40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287" w:type="dxa"/>
            <w:tcBorders>
              <w:top w:val="single" w:sz="4" w:space="0" w:color="000000"/>
              <w:left w:val="single" w:sz="4" w:space="0" w:color="000000"/>
              <w:bottom w:val="single" w:sz="4" w:space="0" w:color="000000"/>
              <w:right w:val="single" w:sz="4" w:space="0" w:color="000000"/>
            </w:tcBorders>
            <w:noWrap/>
            <w:vAlign w:val="bottom"/>
          </w:tcPr>
          <w:p w14:paraId="48810BD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38" w:type="dxa"/>
            <w:tcBorders>
              <w:top w:val="single" w:sz="4" w:space="0" w:color="000000"/>
              <w:left w:val="single" w:sz="4" w:space="0" w:color="000000"/>
              <w:bottom w:val="single" w:sz="4" w:space="0" w:color="000000"/>
              <w:right w:val="single" w:sz="4" w:space="0" w:color="000000"/>
            </w:tcBorders>
            <w:noWrap/>
            <w:vAlign w:val="bottom"/>
          </w:tcPr>
          <w:p w14:paraId="19AF384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50" w:type="dxa"/>
            <w:tcBorders>
              <w:top w:val="single" w:sz="4" w:space="0" w:color="000000"/>
              <w:left w:val="single" w:sz="4" w:space="0" w:color="000000"/>
              <w:bottom w:val="single" w:sz="4" w:space="0" w:color="000000"/>
              <w:right w:val="single" w:sz="4" w:space="0" w:color="000000"/>
            </w:tcBorders>
            <w:noWrap/>
            <w:vAlign w:val="bottom"/>
          </w:tcPr>
          <w:p w14:paraId="720DDB9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00" w:type="dxa"/>
            <w:tcBorders>
              <w:top w:val="single" w:sz="4" w:space="0" w:color="000000"/>
              <w:left w:val="single" w:sz="4" w:space="0" w:color="000000"/>
              <w:bottom w:val="single" w:sz="4" w:space="0" w:color="000000"/>
              <w:right w:val="single" w:sz="4" w:space="0" w:color="000000"/>
            </w:tcBorders>
            <w:noWrap/>
            <w:vAlign w:val="bottom"/>
          </w:tcPr>
          <w:p w14:paraId="18AE491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650" w:type="dxa"/>
            <w:tcBorders>
              <w:top w:val="single" w:sz="4" w:space="0" w:color="000000"/>
              <w:left w:val="single" w:sz="4" w:space="0" w:color="000000"/>
              <w:bottom w:val="single" w:sz="4" w:space="0" w:color="000000"/>
              <w:right w:val="single" w:sz="4" w:space="0" w:color="000000"/>
            </w:tcBorders>
            <w:noWrap/>
            <w:vAlign w:val="bottom"/>
          </w:tcPr>
          <w:p w14:paraId="7136960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0.55</w:t>
            </w:r>
          </w:p>
        </w:tc>
        <w:tc>
          <w:tcPr>
            <w:tcW w:w="1037" w:type="dxa"/>
            <w:tcBorders>
              <w:top w:val="single" w:sz="4" w:space="0" w:color="000000"/>
              <w:left w:val="single" w:sz="4" w:space="0" w:color="000000"/>
              <w:bottom w:val="single" w:sz="4" w:space="0" w:color="000000"/>
              <w:right w:val="single" w:sz="4" w:space="0" w:color="000000"/>
            </w:tcBorders>
            <w:noWrap/>
            <w:vAlign w:val="bottom"/>
          </w:tcPr>
          <w:p w14:paraId="5625630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963" w:type="dxa"/>
            <w:tcBorders>
              <w:top w:val="single" w:sz="4" w:space="0" w:color="000000"/>
              <w:left w:val="single" w:sz="4" w:space="0" w:color="000000"/>
              <w:bottom w:val="single" w:sz="4" w:space="0" w:color="000000"/>
              <w:right w:val="single" w:sz="4" w:space="0" w:color="000000"/>
            </w:tcBorders>
            <w:noWrap/>
            <w:vAlign w:val="bottom"/>
          </w:tcPr>
          <w:p w14:paraId="7353F18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7664E16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512" w:type="dxa"/>
            <w:tcBorders>
              <w:top w:val="single" w:sz="4" w:space="0" w:color="000000"/>
              <w:left w:val="single" w:sz="4" w:space="0" w:color="000000"/>
              <w:bottom w:val="single" w:sz="4" w:space="0" w:color="000000"/>
            </w:tcBorders>
            <w:noWrap/>
            <w:vAlign w:val="bottom"/>
          </w:tcPr>
          <w:p w14:paraId="1727992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4.57</w:t>
            </w:r>
          </w:p>
        </w:tc>
      </w:tr>
      <w:tr w:rsidR="00651FF7" w14:paraId="550F757B" w14:textId="77777777">
        <w:trPr>
          <w:trHeight w:val="275"/>
        </w:trPr>
        <w:tc>
          <w:tcPr>
            <w:tcW w:w="1475" w:type="dxa"/>
            <w:tcBorders>
              <w:top w:val="single" w:sz="4" w:space="0" w:color="000000"/>
              <w:bottom w:val="single" w:sz="4" w:space="0" w:color="000000"/>
              <w:right w:val="single" w:sz="4" w:space="0" w:color="000000"/>
            </w:tcBorders>
            <w:noWrap/>
            <w:vAlign w:val="bottom"/>
          </w:tcPr>
          <w:p w14:paraId="55A6CFC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Gefitinib</w:t>
            </w:r>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7B7D2D8C"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287" w:type="dxa"/>
            <w:tcBorders>
              <w:top w:val="single" w:sz="4" w:space="0" w:color="000000"/>
              <w:left w:val="single" w:sz="4" w:space="0" w:color="000000"/>
              <w:bottom w:val="single" w:sz="4" w:space="0" w:color="000000"/>
              <w:right w:val="single" w:sz="4" w:space="0" w:color="000000"/>
            </w:tcBorders>
            <w:noWrap/>
            <w:vAlign w:val="bottom"/>
          </w:tcPr>
          <w:p w14:paraId="0C495F8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38" w:type="dxa"/>
            <w:tcBorders>
              <w:top w:val="single" w:sz="4" w:space="0" w:color="000000"/>
              <w:left w:val="single" w:sz="4" w:space="0" w:color="000000"/>
              <w:bottom w:val="single" w:sz="4" w:space="0" w:color="000000"/>
              <w:right w:val="single" w:sz="4" w:space="0" w:color="000000"/>
            </w:tcBorders>
            <w:noWrap/>
            <w:vAlign w:val="bottom"/>
          </w:tcPr>
          <w:p w14:paraId="75E287B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50" w:type="dxa"/>
            <w:tcBorders>
              <w:top w:val="single" w:sz="4" w:space="0" w:color="000000"/>
              <w:left w:val="single" w:sz="4" w:space="0" w:color="000000"/>
              <w:bottom w:val="single" w:sz="4" w:space="0" w:color="000000"/>
              <w:right w:val="single" w:sz="4" w:space="0" w:color="000000"/>
            </w:tcBorders>
            <w:noWrap/>
            <w:vAlign w:val="bottom"/>
          </w:tcPr>
          <w:p w14:paraId="0E7CA6B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00" w:type="dxa"/>
            <w:tcBorders>
              <w:top w:val="single" w:sz="4" w:space="0" w:color="000000"/>
              <w:left w:val="single" w:sz="4" w:space="0" w:color="000000"/>
              <w:bottom w:val="single" w:sz="4" w:space="0" w:color="000000"/>
              <w:right w:val="single" w:sz="4" w:space="0" w:color="000000"/>
            </w:tcBorders>
            <w:noWrap/>
            <w:vAlign w:val="bottom"/>
          </w:tcPr>
          <w:p w14:paraId="5F144F1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650" w:type="dxa"/>
            <w:tcBorders>
              <w:top w:val="single" w:sz="4" w:space="0" w:color="000000"/>
              <w:left w:val="single" w:sz="4" w:space="0" w:color="000000"/>
              <w:bottom w:val="single" w:sz="4" w:space="0" w:color="000000"/>
              <w:right w:val="single" w:sz="4" w:space="0" w:color="000000"/>
            </w:tcBorders>
            <w:noWrap/>
            <w:vAlign w:val="bottom"/>
          </w:tcPr>
          <w:p w14:paraId="292AD6F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0.55</w:t>
            </w:r>
          </w:p>
        </w:tc>
        <w:tc>
          <w:tcPr>
            <w:tcW w:w="1037" w:type="dxa"/>
            <w:tcBorders>
              <w:top w:val="single" w:sz="4" w:space="0" w:color="000000"/>
              <w:left w:val="single" w:sz="4" w:space="0" w:color="000000"/>
              <w:bottom w:val="single" w:sz="4" w:space="0" w:color="000000"/>
              <w:right w:val="single" w:sz="4" w:space="0" w:color="000000"/>
            </w:tcBorders>
            <w:noWrap/>
            <w:vAlign w:val="bottom"/>
          </w:tcPr>
          <w:p w14:paraId="6B85584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963" w:type="dxa"/>
            <w:tcBorders>
              <w:top w:val="single" w:sz="4" w:space="0" w:color="000000"/>
              <w:left w:val="single" w:sz="4" w:space="0" w:color="000000"/>
              <w:bottom w:val="single" w:sz="4" w:space="0" w:color="000000"/>
              <w:right w:val="single" w:sz="4" w:space="0" w:color="000000"/>
            </w:tcBorders>
            <w:noWrap/>
            <w:vAlign w:val="bottom"/>
          </w:tcPr>
          <w:p w14:paraId="7598B5D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7E850AB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1512" w:type="dxa"/>
            <w:tcBorders>
              <w:top w:val="single" w:sz="4" w:space="0" w:color="000000"/>
              <w:left w:val="single" w:sz="4" w:space="0" w:color="000000"/>
              <w:bottom w:val="single" w:sz="4" w:space="0" w:color="000000"/>
            </w:tcBorders>
            <w:noWrap/>
            <w:vAlign w:val="bottom"/>
          </w:tcPr>
          <w:p w14:paraId="50F7FF7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3.26</w:t>
            </w:r>
          </w:p>
        </w:tc>
      </w:tr>
      <w:tr w:rsidR="00651FF7" w14:paraId="5C544EBF" w14:textId="77777777">
        <w:trPr>
          <w:trHeight w:val="275"/>
        </w:trPr>
        <w:tc>
          <w:tcPr>
            <w:tcW w:w="1475" w:type="dxa"/>
            <w:tcBorders>
              <w:top w:val="single" w:sz="4" w:space="0" w:color="000000"/>
              <w:bottom w:val="single" w:sz="4" w:space="0" w:color="000000"/>
              <w:right w:val="single" w:sz="4" w:space="0" w:color="000000"/>
            </w:tcBorders>
            <w:noWrap/>
            <w:vAlign w:val="bottom"/>
          </w:tcPr>
          <w:p w14:paraId="4D1ACAF2"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Napabucasin</w:t>
            </w:r>
            <w:proofErr w:type="spellEnd"/>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17E888E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287" w:type="dxa"/>
            <w:tcBorders>
              <w:top w:val="single" w:sz="4" w:space="0" w:color="000000"/>
              <w:left w:val="single" w:sz="4" w:space="0" w:color="000000"/>
              <w:bottom w:val="single" w:sz="4" w:space="0" w:color="000000"/>
              <w:right w:val="single" w:sz="4" w:space="0" w:color="000000"/>
            </w:tcBorders>
            <w:noWrap/>
            <w:vAlign w:val="bottom"/>
          </w:tcPr>
          <w:p w14:paraId="4ED8910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38" w:type="dxa"/>
            <w:tcBorders>
              <w:top w:val="single" w:sz="4" w:space="0" w:color="000000"/>
              <w:left w:val="single" w:sz="4" w:space="0" w:color="000000"/>
              <w:bottom w:val="single" w:sz="4" w:space="0" w:color="000000"/>
              <w:right w:val="single" w:sz="4" w:space="0" w:color="000000"/>
            </w:tcBorders>
            <w:noWrap/>
            <w:vAlign w:val="bottom"/>
          </w:tcPr>
          <w:p w14:paraId="653FCF11"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50" w:type="dxa"/>
            <w:tcBorders>
              <w:top w:val="single" w:sz="4" w:space="0" w:color="000000"/>
              <w:left w:val="single" w:sz="4" w:space="0" w:color="000000"/>
              <w:bottom w:val="single" w:sz="4" w:space="0" w:color="000000"/>
              <w:right w:val="single" w:sz="4" w:space="0" w:color="000000"/>
            </w:tcBorders>
            <w:noWrap/>
            <w:vAlign w:val="bottom"/>
          </w:tcPr>
          <w:p w14:paraId="5BF7BB1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00" w:type="dxa"/>
            <w:tcBorders>
              <w:top w:val="single" w:sz="4" w:space="0" w:color="000000"/>
              <w:left w:val="single" w:sz="4" w:space="0" w:color="000000"/>
              <w:bottom w:val="single" w:sz="4" w:space="0" w:color="000000"/>
              <w:right w:val="single" w:sz="4" w:space="0" w:color="000000"/>
            </w:tcBorders>
            <w:noWrap/>
            <w:vAlign w:val="bottom"/>
          </w:tcPr>
          <w:p w14:paraId="49D1E54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650" w:type="dxa"/>
            <w:tcBorders>
              <w:top w:val="single" w:sz="4" w:space="0" w:color="000000"/>
              <w:left w:val="single" w:sz="4" w:space="0" w:color="000000"/>
              <w:bottom w:val="single" w:sz="4" w:space="0" w:color="000000"/>
              <w:right w:val="single" w:sz="4" w:space="0" w:color="000000"/>
            </w:tcBorders>
            <w:noWrap/>
            <w:vAlign w:val="bottom"/>
          </w:tcPr>
          <w:p w14:paraId="1455D94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0.55</w:t>
            </w:r>
          </w:p>
        </w:tc>
        <w:tc>
          <w:tcPr>
            <w:tcW w:w="1037" w:type="dxa"/>
            <w:tcBorders>
              <w:top w:val="single" w:sz="4" w:space="0" w:color="000000"/>
              <w:left w:val="single" w:sz="4" w:space="0" w:color="000000"/>
              <w:bottom w:val="single" w:sz="4" w:space="0" w:color="000000"/>
              <w:right w:val="single" w:sz="4" w:space="0" w:color="000000"/>
            </w:tcBorders>
            <w:noWrap/>
            <w:vAlign w:val="bottom"/>
          </w:tcPr>
          <w:p w14:paraId="3C7CE4F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963" w:type="dxa"/>
            <w:tcBorders>
              <w:top w:val="single" w:sz="4" w:space="0" w:color="000000"/>
              <w:left w:val="single" w:sz="4" w:space="0" w:color="000000"/>
              <w:bottom w:val="single" w:sz="4" w:space="0" w:color="000000"/>
              <w:right w:val="single" w:sz="4" w:space="0" w:color="000000"/>
            </w:tcBorders>
            <w:noWrap/>
            <w:vAlign w:val="bottom"/>
          </w:tcPr>
          <w:p w14:paraId="1E679FDC"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086C782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512" w:type="dxa"/>
            <w:tcBorders>
              <w:top w:val="single" w:sz="4" w:space="0" w:color="000000"/>
              <w:left w:val="single" w:sz="4" w:space="0" w:color="000000"/>
              <w:bottom w:val="single" w:sz="4" w:space="0" w:color="000000"/>
            </w:tcBorders>
            <w:noWrap/>
            <w:vAlign w:val="bottom"/>
          </w:tcPr>
          <w:p w14:paraId="4449BFE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3.09</w:t>
            </w:r>
          </w:p>
        </w:tc>
      </w:tr>
      <w:tr w:rsidR="00651FF7" w14:paraId="66247B43" w14:textId="77777777">
        <w:trPr>
          <w:trHeight w:val="275"/>
        </w:trPr>
        <w:tc>
          <w:tcPr>
            <w:tcW w:w="1475" w:type="dxa"/>
            <w:tcBorders>
              <w:top w:val="single" w:sz="4" w:space="0" w:color="000000"/>
              <w:bottom w:val="single" w:sz="4" w:space="0" w:color="000000"/>
              <w:right w:val="single" w:sz="4" w:space="0" w:color="000000"/>
            </w:tcBorders>
            <w:noWrap/>
            <w:vAlign w:val="bottom"/>
          </w:tcPr>
          <w:p w14:paraId="295DCDF4"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Alpelisib</w:t>
            </w:r>
            <w:proofErr w:type="spellEnd"/>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0EB2D7F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287" w:type="dxa"/>
            <w:tcBorders>
              <w:top w:val="single" w:sz="4" w:space="0" w:color="000000"/>
              <w:left w:val="single" w:sz="4" w:space="0" w:color="000000"/>
              <w:bottom w:val="single" w:sz="4" w:space="0" w:color="000000"/>
              <w:right w:val="single" w:sz="4" w:space="0" w:color="000000"/>
            </w:tcBorders>
            <w:noWrap/>
            <w:vAlign w:val="bottom"/>
          </w:tcPr>
          <w:p w14:paraId="7E130B4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38" w:type="dxa"/>
            <w:tcBorders>
              <w:top w:val="single" w:sz="4" w:space="0" w:color="000000"/>
              <w:left w:val="single" w:sz="4" w:space="0" w:color="000000"/>
              <w:bottom w:val="single" w:sz="4" w:space="0" w:color="000000"/>
              <w:right w:val="single" w:sz="4" w:space="0" w:color="000000"/>
            </w:tcBorders>
            <w:noWrap/>
            <w:vAlign w:val="bottom"/>
          </w:tcPr>
          <w:p w14:paraId="3BA44449"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50" w:type="dxa"/>
            <w:tcBorders>
              <w:top w:val="single" w:sz="4" w:space="0" w:color="000000"/>
              <w:left w:val="single" w:sz="4" w:space="0" w:color="000000"/>
              <w:bottom w:val="single" w:sz="4" w:space="0" w:color="000000"/>
              <w:right w:val="single" w:sz="4" w:space="0" w:color="000000"/>
            </w:tcBorders>
            <w:noWrap/>
            <w:vAlign w:val="bottom"/>
          </w:tcPr>
          <w:p w14:paraId="27DC85D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00" w:type="dxa"/>
            <w:tcBorders>
              <w:top w:val="single" w:sz="4" w:space="0" w:color="000000"/>
              <w:left w:val="single" w:sz="4" w:space="0" w:color="000000"/>
              <w:bottom w:val="single" w:sz="4" w:space="0" w:color="000000"/>
              <w:right w:val="single" w:sz="4" w:space="0" w:color="000000"/>
            </w:tcBorders>
            <w:noWrap/>
            <w:vAlign w:val="bottom"/>
          </w:tcPr>
          <w:p w14:paraId="5207D429"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650" w:type="dxa"/>
            <w:tcBorders>
              <w:top w:val="single" w:sz="4" w:space="0" w:color="000000"/>
              <w:left w:val="single" w:sz="4" w:space="0" w:color="000000"/>
              <w:bottom w:val="single" w:sz="4" w:space="0" w:color="000000"/>
              <w:right w:val="single" w:sz="4" w:space="0" w:color="000000"/>
            </w:tcBorders>
            <w:noWrap/>
            <w:vAlign w:val="bottom"/>
          </w:tcPr>
          <w:p w14:paraId="11630C2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0.55</w:t>
            </w:r>
          </w:p>
        </w:tc>
        <w:tc>
          <w:tcPr>
            <w:tcW w:w="1037" w:type="dxa"/>
            <w:tcBorders>
              <w:top w:val="single" w:sz="4" w:space="0" w:color="000000"/>
              <w:left w:val="single" w:sz="4" w:space="0" w:color="000000"/>
              <w:bottom w:val="single" w:sz="4" w:space="0" w:color="000000"/>
              <w:right w:val="single" w:sz="4" w:space="0" w:color="000000"/>
            </w:tcBorders>
            <w:noWrap/>
            <w:vAlign w:val="bottom"/>
          </w:tcPr>
          <w:p w14:paraId="1FD6E7A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963" w:type="dxa"/>
            <w:tcBorders>
              <w:top w:val="single" w:sz="4" w:space="0" w:color="000000"/>
              <w:left w:val="single" w:sz="4" w:space="0" w:color="000000"/>
              <w:bottom w:val="single" w:sz="4" w:space="0" w:color="000000"/>
              <w:right w:val="single" w:sz="4" w:space="0" w:color="000000"/>
            </w:tcBorders>
            <w:noWrap/>
            <w:vAlign w:val="bottom"/>
          </w:tcPr>
          <w:p w14:paraId="12829CB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37C2A2D2"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512" w:type="dxa"/>
            <w:tcBorders>
              <w:top w:val="single" w:sz="4" w:space="0" w:color="000000"/>
              <w:left w:val="single" w:sz="4" w:space="0" w:color="000000"/>
              <w:bottom w:val="single" w:sz="4" w:space="0" w:color="000000"/>
            </w:tcBorders>
            <w:noWrap/>
            <w:vAlign w:val="bottom"/>
          </w:tcPr>
          <w:p w14:paraId="40ED2EA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3.95</w:t>
            </w:r>
          </w:p>
        </w:tc>
      </w:tr>
      <w:tr w:rsidR="00651FF7" w14:paraId="11404593" w14:textId="77777777">
        <w:trPr>
          <w:trHeight w:val="275"/>
        </w:trPr>
        <w:tc>
          <w:tcPr>
            <w:tcW w:w="1475" w:type="dxa"/>
            <w:tcBorders>
              <w:top w:val="single" w:sz="4" w:space="0" w:color="000000"/>
              <w:bottom w:val="single" w:sz="4" w:space="0" w:color="000000"/>
              <w:right w:val="single" w:sz="4" w:space="0" w:color="000000"/>
            </w:tcBorders>
            <w:noWrap/>
            <w:vAlign w:val="bottom"/>
          </w:tcPr>
          <w:p w14:paraId="2099A012"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Mesalazine</w:t>
            </w:r>
            <w:proofErr w:type="spellEnd"/>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409E872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287" w:type="dxa"/>
            <w:tcBorders>
              <w:top w:val="single" w:sz="4" w:space="0" w:color="000000"/>
              <w:left w:val="single" w:sz="4" w:space="0" w:color="000000"/>
              <w:bottom w:val="single" w:sz="4" w:space="0" w:color="000000"/>
              <w:right w:val="single" w:sz="4" w:space="0" w:color="000000"/>
            </w:tcBorders>
            <w:noWrap/>
            <w:vAlign w:val="bottom"/>
          </w:tcPr>
          <w:p w14:paraId="1CB3373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1338" w:type="dxa"/>
            <w:tcBorders>
              <w:top w:val="single" w:sz="4" w:space="0" w:color="000000"/>
              <w:left w:val="single" w:sz="4" w:space="0" w:color="000000"/>
              <w:bottom w:val="single" w:sz="4" w:space="0" w:color="000000"/>
              <w:right w:val="single" w:sz="4" w:space="0" w:color="000000"/>
            </w:tcBorders>
            <w:noWrap/>
            <w:vAlign w:val="bottom"/>
          </w:tcPr>
          <w:p w14:paraId="2258EE6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50" w:type="dxa"/>
            <w:tcBorders>
              <w:top w:val="single" w:sz="4" w:space="0" w:color="000000"/>
              <w:left w:val="single" w:sz="4" w:space="0" w:color="000000"/>
              <w:bottom w:val="single" w:sz="4" w:space="0" w:color="000000"/>
              <w:right w:val="single" w:sz="4" w:space="0" w:color="000000"/>
            </w:tcBorders>
            <w:noWrap/>
            <w:vAlign w:val="bottom"/>
          </w:tcPr>
          <w:p w14:paraId="48BDACB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1300" w:type="dxa"/>
            <w:tcBorders>
              <w:top w:val="single" w:sz="4" w:space="0" w:color="000000"/>
              <w:left w:val="single" w:sz="4" w:space="0" w:color="000000"/>
              <w:bottom w:val="single" w:sz="4" w:space="0" w:color="000000"/>
              <w:right w:val="single" w:sz="4" w:space="0" w:color="000000"/>
            </w:tcBorders>
            <w:noWrap/>
            <w:vAlign w:val="bottom"/>
          </w:tcPr>
          <w:p w14:paraId="2F97F28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650" w:type="dxa"/>
            <w:tcBorders>
              <w:top w:val="single" w:sz="4" w:space="0" w:color="000000"/>
              <w:left w:val="single" w:sz="4" w:space="0" w:color="000000"/>
              <w:bottom w:val="single" w:sz="4" w:space="0" w:color="000000"/>
              <w:right w:val="single" w:sz="4" w:space="0" w:color="000000"/>
            </w:tcBorders>
            <w:noWrap/>
            <w:vAlign w:val="bottom"/>
          </w:tcPr>
          <w:p w14:paraId="733EE24D"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0.56</w:t>
            </w:r>
          </w:p>
        </w:tc>
        <w:tc>
          <w:tcPr>
            <w:tcW w:w="1037" w:type="dxa"/>
            <w:tcBorders>
              <w:top w:val="single" w:sz="4" w:space="0" w:color="000000"/>
              <w:left w:val="single" w:sz="4" w:space="0" w:color="000000"/>
              <w:bottom w:val="single" w:sz="4" w:space="0" w:color="000000"/>
              <w:right w:val="single" w:sz="4" w:space="0" w:color="000000"/>
            </w:tcBorders>
            <w:noWrap/>
            <w:vAlign w:val="bottom"/>
          </w:tcPr>
          <w:p w14:paraId="4E7CA0F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963" w:type="dxa"/>
            <w:tcBorders>
              <w:top w:val="single" w:sz="4" w:space="0" w:color="000000"/>
              <w:left w:val="single" w:sz="4" w:space="0" w:color="000000"/>
              <w:bottom w:val="single" w:sz="4" w:space="0" w:color="000000"/>
              <w:right w:val="single" w:sz="4" w:space="0" w:color="000000"/>
            </w:tcBorders>
            <w:noWrap/>
            <w:vAlign w:val="bottom"/>
          </w:tcPr>
          <w:p w14:paraId="1E37899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53A5E3E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512" w:type="dxa"/>
            <w:tcBorders>
              <w:top w:val="single" w:sz="4" w:space="0" w:color="000000"/>
              <w:left w:val="single" w:sz="4" w:space="0" w:color="000000"/>
              <w:bottom w:val="single" w:sz="4" w:space="0" w:color="000000"/>
            </w:tcBorders>
            <w:noWrap/>
            <w:vAlign w:val="bottom"/>
          </w:tcPr>
          <w:p w14:paraId="1E251FC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1.03</w:t>
            </w:r>
          </w:p>
        </w:tc>
      </w:tr>
      <w:tr w:rsidR="00651FF7" w14:paraId="0E169218" w14:textId="77777777">
        <w:trPr>
          <w:trHeight w:val="275"/>
        </w:trPr>
        <w:tc>
          <w:tcPr>
            <w:tcW w:w="1475" w:type="dxa"/>
            <w:tcBorders>
              <w:top w:val="single" w:sz="4" w:space="0" w:color="000000"/>
              <w:bottom w:val="single" w:sz="4" w:space="0" w:color="000000"/>
              <w:right w:val="single" w:sz="4" w:space="0" w:color="000000"/>
            </w:tcBorders>
            <w:noWrap/>
            <w:vAlign w:val="bottom"/>
          </w:tcPr>
          <w:p w14:paraId="69B9C1B0"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Lisaftoclax</w:t>
            </w:r>
            <w:proofErr w:type="spellEnd"/>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16485A00"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1287" w:type="dxa"/>
            <w:tcBorders>
              <w:top w:val="single" w:sz="4" w:space="0" w:color="000000"/>
              <w:left w:val="single" w:sz="4" w:space="0" w:color="000000"/>
              <w:bottom w:val="single" w:sz="4" w:space="0" w:color="000000"/>
              <w:right w:val="single" w:sz="4" w:space="0" w:color="000000"/>
            </w:tcBorders>
            <w:noWrap/>
            <w:vAlign w:val="bottom"/>
          </w:tcPr>
          <w:p w14:paraId="70B17C6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w:t>
            </w:r>
          </w:p>
        </w:tc>
        <w:tc>
          <w:tcPr>
            <w:tcW w:w="1338" w:type="dxa"/>
            <w:tcBorders>
              <w:top w:val="single" w:sz="4" w:space="0" w:color="000000"/>
              <w:left w:val="single" w:sz="4" w:space="0" w:color="000000"/>
              <w:bottom w:val="single" w:sz="4" w:space="0" w:color="000000"/>
              <w:right w:val="single" w:sz="4" w:space="0" w:color="000000"/>
            </w:tcBorders>
            <w:noWrap/>
            <w:vAlign w:val="bottom"/>
          </w:tcPr>
          <w:p w14:paraId="63FE636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1350" w:type="dxa"/>
            <w:tcBorders>
              <w:top w:val="single" w:sz="4" w:space="0" w:color="000000"/>
              <w:left w:val="single" w:sz="4" w:space="0" w:color="000000"/>
              <w:bottom w:val="single" w:sz="4" w:space="0" w:color="000000"/>
              <w:right w:val="single" w:sz="4" w:space="0" w:color="000000"/>
            </w:tcBorders>
            <w:noWrap/>
            <w:vAlign w:val="bottom"/>
          </w:tcPr>
          <w:p w14:paraId="3138DE3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1300" w:type="dxa"/>
            <w:tcBorders>
              <w:top w:val="single" w:sz="4" w:space="0" w:color="000000"/>
              <w:left w:val="single" w:sz="4" w:space="0" w:color="000000"/>
              <w:bottom w:val="single" w:sz="4" w:space="0" w:color="000000"/>
              <w:right w:val="single" w:sz="4" w:space="0" w:color="000000"/>
            </w:tcBorders>
            <w:noWrap/>
            <w:vAlign w:val="bottom"/>
          </w:tcPr>
          <w:p w14:paraId="6DB1650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4</w:t>
            </w:r>
          </w:p>
        </w:tc>
        <w:tc>
          <w:tcPr>
            <w:tcW w:w="1650" w:type="dxa"/>
            <w:tcBorders>
              <w:top w:val="single" w:sz="4" w:space="0" w:color="000000"/>
              <w:left w:val="single" w:sz="4" w:space="0" w:color="000000"/>
              <w:bottom w:val="single" w:sz="4" w:space="0" w:color="000000"/>
              <w:right w:val="single" w:sz="4" w:space="0" w:color="000000"/>
            </w:tcBorders>
            <w:noWrap/>
            <w:vAlign w:val="bottom"/>
          </w:tcPr>
          <w:p w14:paraId="497DAC3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0.17</w:t>
            </w:r>
          </w:p>
        </w:tc>
        <w:tc>
          <w:tcPr>
            <w:tcW w:w="1037" w:type="dxa"/>
            <w:tcBorders>
              <w:top w:val="single" w:sz="4" w:space="0" w:color="000000"/>
              <w:left w:val="single" w:sz="4" w:space="0" w:color="000000"/>
              <w:bottom w:val="single" w:sz="4" w:space="0" w:color="000000"/>
              <w:right w:val="single" w:sz="4" w:space="0" w:color="000000"/>
            </w:tcBorders>
            <w:noWrap/>
            <w:vAlign w:val="bottom"/>
          </w:tcPr>
          <w:p w14:paraId="7544786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963" w:type="dxa"/>
            <w:tcBorders>
              <w:top w:val="single" w:sz="4" w:space="0" w:color="000000"/>
              <w:left w:val="single" w:sz="4" w:space="0" w:color="000000"/>
              <w:bottom w:val="single" w:sz="4" w:space="0" w:color="000000"/>
              <w:right w:val="single" w:sz="4" w:space="0" w:color="000000"/>
            </w:tcBorders>
            <w:noWrap/>
            <w:vAlign w:val="bottom"/>
          </w:tcPr>
          <w:p w14:paraId="5ECBA04B"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2</w:t>
            </w:r>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44D142C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1512" w:type="dxa"/>
            <w:tcBorders>
              <w:top w:val="single" w:sz="4" w:space="0" w:color="000000"/>
              <w:left w:val="single" w:sz="4" w:space="0" w:color="000000"/>
              <w:bottom w:val="single" w:sz="4" w:space="0" w:color="000000"/>
            </w:tcBorders>
            <w:noWrap/>
            <w:vAlign w:val="bottom"/>
          </w:tcPr>
          <w:p w14:paraId="2AFB847E"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6.95</w:t>
            </w:r>
          </w:p>
        </w:tc>
      </w:tr>
      <w:tr w:rsidR="00651FF7" w14:paraId="67FE340A" w14:textId="77777777">
        <w:trPr>
          <w:trHeight w:val="284"/>
        </w:trPr>
        <w:tc>
          <w:tcPr>
            <w:tcW w:w="1475" w:type="dxa"/>
            <w:tcBorders>
              <w:top w:val="single" w:sz="4" w:space="0" w:color="000000"/>
              <w:bottom w:val="single" w:sz="4" w:space="0" w:color="000000"/>
              <w:right w:val="single" w:sz="4" w:space="0" w:color="000000"/>
            </w:tcBorders>
            <w:noWrap/>
            <w:vAlign w:val="bottom"/>
          </w:tcPr>
          <w:p w14:paraId="12EF5EAA" w14:textId="77777777" w:rsidR="00651FF7" w:rsidRDefault="0006478A">
            <w:pPr>
              <w:jc w:val="center"/>
              <w:textAlignment w:val="bottom"/>
              <w:rPr>
                <w:rFonts w:ascii="Times New Roman" w:hAnsi="Times New Roman" w:cs="Times New Roman"/>
                <w:sz w:val="24"/>
                <w:szCs w:val="24"/>
              </w:rPr>
            </w:pPr>
            <w:proofErr w:type="spellStart"/>
            <w:r>
              <w:rPr>
                <w:rFonts w:ascii="Times New Roman" w:eastAsia="SimSun" w:hAnsi="Times New Roman" w:cs="Times New Roman"/>
                <w:sz w:val="24"/>
                <w:szCs w:val="24"/>
                <w:lang w:bidi="ar"/>
              </w:rPr>
              <w:t>Romidepsin</w:t>
            </w:r>
            <w:proofErr w:type="spellEnd"/>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040F5F3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287" w:type="dxa"/>
            <w:tcBorders>
              <w:top w:val="single" w:sz="4" w:space="0" w:color="000000"/>
              <w:left w:val="single" w:sz="4" w:space="0" w:color="000000"/>
              <w:bottom w:val="single" w:sz="4" w:space="0" w:color="000000"/>
              <w:right w:val="single" w:sz="4" w:space="0" w:color="000000"/>
            </w:tcBorders>
            <w:noWrap/>
            <w:vAlign w:val="bottom"/>
          </w:tcPr>
          <w:p w14:paraId="5CC4E1C6"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1338" w:type="dxa"/>
            <w:tcBorders>
              <w:top w:val="single" w:sz="4" w:space="0" w:color="000000"/>
              <w:left w:val="single" w:sz="4" w:space="0" w:color="000000"/>
              <w:bottom w:val="single" w:sz="4" w:space="0" w:color="000000"/>
              <w:right w:val="single" w:sz="4" w:space="0" w:color="000000"/>
            </w:tcBorders>
            <w:noWrap/>
            <w:vAlign w:val="bottom"/>
          </w:tcPr>
          <w:p w14:paraId="0816617E"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noWrap/>
            <w:vAlign w:val="bottom"/>
          </w:tcPr>
          <w:p w14:paraId="5DA6DC37"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300" w:type="dxa"/>
            <w:tcBorders>
              <w:top w:val="single" w:sz="4" w:space="0" w:color="000000"/>
              <w:left w:val="single" w:sz="4" w:space="0" w:color="000000"/>
              <w:bottom w:val="single" w:sz="4" w:space="0" w:color="000000"/>
              <w:right w:val="single" w:sz="4" w:space="0" w:color="000000"/>
            </w:tcBorders>
            <w:noWrap/>
            <w:vAlign w:val="bottom"/>
          </w:tcPr>
          <w:p w14:paraId="655B01B8"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650" w:type="dxa"/>
            <w:tcBorders>
              <w:top w:val="single" w:sz="4" w:space="0" w:color="000000"/>
              <w:left w:val="single" w:sz="4" w:space="0" w:color="000000"/>
              <w:bottom w:val="single" w:sz="4" w:space="0" w:color="000000"/>
              <w:right w:val="single" w:sz="4" w:space="0" w:color="000000"/>
            </w:tcBorders>
            <w:noWrap/>
            <w:vAlign w:val="bottom"/>
          </w:tcPr>
          <w:p w14:paraId="6F5DE494"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0.55</w:t>
            </w:r>
          </w:p>
        </w:tc>
        <w:tc>
          <w:tcPr>
            <w:tcW w:w="1037" w:type="dxa"/>
            <w:tcBorders>
              <w:top w:val="single" w:sz="4" w:space="0" w:color="000000"/>
              <w:left w:val="single" w:sz="4" w:space="0" w:color="000000"/>
              <w:bottom w:val="single" w:sz="4" w:space="0" w:color="000000"/>
              <w:right w:val="single" w:sz="4" w:space="0" w:color="000000"/>
            </w:tcBorders>
            <w:noWrap/>
            <w:vAlign w:val="bottom"/>
          </w:tcPr>
          <w:p w14:paraId="001701D3"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0</w:t>
            </w:r>
          </w:p>
        </w:tc>
        <w:tc>
          <w:tcPr>
            <w:tcW w:w="963" w:type="dxa"/>
            <w:tcBorders>
              <w:top w:val="single" w:sz="4" w:space="0" w:color="000000"/>
              <w:left w:val="single" w:sz="4" w:space="0" w:color="000000"/>
              <w:bottom w:val="single" w:sz="4" w:space="0" w:color="000000"/>
              <w:right w:val="single" w:sz="4" w:space="0" w:color="000000"/>
            </w:tcBorders>
            <w:noWrap/>
            <w:vAlign w:val="bottom"/>
          </w:tcPr>
          <w:p w14:paraId="0DAD991A"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3</w:t>
            </w:r>
          </w:p>
        </w:tc>
        <w:tc>
          <w:tcPr>
            <w:tcW w:w="1475" w:type="dxa"/>
            <w:tcBorders>
              <w:top w:val="single" w:sz="4" w:space="0" w:color="000000"/>
              <w:left w:val="single" w:sz="4" w:space="0" w:color="000000"/>
              <w:bottom w:val="single" w:sz="4" w:space="0" w:color="000000"/>
              <w:right w:val="single" w:sz="4" w:space="0" w:color="000000"/>
            </w:tcBorders>
            <w:noWrap/>
            <w:vAlign w:val="bottom"/>
          </w:tcPr>
          <w:p w14:paraId="57D73CAF"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1</w:t>
            </w:r>
          </w:p>
        </w:tc>
        <w:tc>
          <w:tcPr>
            <w:tcW w:w="1512" w:type="dxa"/>
            <w:tcBorders>
              <w:top w:val="single" w:sz="4" w:space="0" w:color="000000"/>
              <w:left w:val="single" w:sz="4" w:space="0" w:color="000000"/>
              <w:bottom w:val="single" w:sz="4" w:space="0" w:color="000000"/>
            </w:tcBorders>
            <w:noWrap/>
            <w:vAlign w:val="bottom"/>
          </w:tcPr>
          <w:p w14:paraId="773FDC95" w14:textId="77777777" w:rsidR="00651FF7" w:rsidRDefault="0006478A">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bidi="ar"/>
              </w:rPr>
              <w:t>7.19</w:t>
            </w:r>
          </w:p>
        </w:tc>
      </w:tr>
    </w:tbl>
    <w:p w14:paraId="1E1F63D6"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center"/>
        <w:rPr>
          <w:rFonts w:ascii="Times New Roman" w:eastAsia="Times New Roman" w:hAnsi="Times New Roman"/>
          <w:b/>
          <w:bCs/>
          <w:sz w:val="24"/>
          <w:szCs w:val="24"/>
        </w:rPr>
        <w:sectPr w:rsidR="00651FF7">
          <w:pgSz w:w="15840" w:h="12240" w:orient="landscape"/>
          <w:pgMar w:top="1440" w:right="1440" w:bottom="1440" w:left="1440" w:header="720" w:footer="720" w:gutter="0"/>
          <w:cols w:space="720"/>
        </w:sectPr>
      </w:pPr>
    </w:p>
    <w:p w14:paraId="3545DA6A" w14:textId="77777777" w:rsidR="00651FF7" w:rsidRDefault="0006478A">
      <w:pPr>
        <w:pStyle w:val="Heading2"/>
      </w:pPr>
      <w:bookmarkStart w:id="22" w:name="_Toc19505"/>
      <w:r>
        <w:lastRenderedPageBreak/>
        <w:t>In-Silico Toxicity Prediction</w:t>
      </w:r>
      <w:bookmarkEnd w:id="22"/>
    </w:p>
    <w:p w14:paraId="53D8EDE5"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Toxicity profiles were predicted using the </w:t>
      </w:r>
      <w:proofErr w:type="spellStart"/>
      <w:r>
        <w:rPr>
          <w:rFonts w:ascii="Times New Roman" w:eastAsia="Times New Roman" w:hAnsi="Times New Roman" w:cs="Times New Roman"/>
          <w:sz w:val="24"/>
          <w:szCs w:val="24"/>
        </w:rPr>
        <w:t>ProTox</w:t>
      </w:r>
      <w:proofErr w:type="spellEnd"/>
      <w:r>
        <w:rPr>
          <w:rFonts w:ascii="Times New Roman" w:eastAsia="Times New Roman" w:hAnsi="Times New Roman" w:cs="Times New Roman"/>
          <w:sz w:val="24"/>
          <w:szCs w:val="24"/>
        </w:rPr>
        <w:t>-III online platform for all compounds. The results for the oral median lethal dose (LD₅₀) and corresponding toxicity class are presented in Table 6.</w:t>
      </w:r>
    </w:p>
    <w:p w14:paraId="442B5EC8"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6: </w:t>
      </w:r>
      <w:r>
        <w:rPr>
          <w:rFonts w:ascii="Times New Roman" w:eastAsia="Times New Roman" w:hAnsi="Times New Roman" w:cs="Times New Roman"/>
          <w:b/>
          <w:sz w:val="24"/>
          <w:szCs w:val="24"/>
        </w:rPr>
        <w:t>Predicted LD₅₀ and Toxicity Class</w:t>
      </w:r>
    </w:p>
    <w:tbl>
      <w:tblPr>
        <w:tblStyle w:val="Style12"/>
        <w:tblpPr w:leftFromText="180" w:rightFromText="180" w:vertAnchor="text"/>
        <w:tblW w:w="6098" w:type="dxa"/>
        <w:tblInd w:w="0" w:type="dxa"/>
        <w:tblBorders>
          <w:top w:val="single" w:sz="4" w:space="0" w:color="000000"/>
          <w:left w:val="none" w:sz="0" w:space="0" w:color="000000"/>
          <w:bottom w:val="single" w:sz="4"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645"/>
        <w:gridCol w:w="2654"/>
        <w:gridCol w:w="1799"/>
      </w:tblGrid>
      <w:tr w:rsidR="00651FF7" w14:paraId="33526809" w14:textId="77777777">
        <w:trPr>
          <w:tblHeader/>
        </w:trPr>
        <w:tc>
          <w:tcPr>
            <w:tcW w:w="1645" w:type="dxa"/>
            <w:tcBorders>
              <w:bottom w:val="single" w:sz="4" w:space="0" w:color="000000"/>
            </w:tcBorders>
            <w:tcMar>
              <w:top w:w="120" w:type="dxa"/>
              <w:left w:w="180" w:type="dxa"/>
              <w:bottom w:w="120" w:type="dxa"/>
              <w:right w:w="180" w:type="dxa"/>
            </w:tcMar>
            <w:vAlign w:val="center"/>
          </w:tcPr>
          <w:p w14:paraId="4EDFEA68" w14:textId="77777777" w:rsidR="00651FF7" w:rsidRDefault="000647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Compound</w:t>
            </w:r>
          </w:p>
        </w:tc>
        <w:tc>
          <w:tcPr>
            <w:tcW w:w="2654" w:type="dxa"/>
            <w:tcBorders>
              <w:bottom w:val="single" w:sz="4" w:space="0" w:color="000000"/>
            </w:tcBorders>
            <w:tcMar>
              <w:top w:w="120" w:type="dxa"/>
              <w:left w:w="180" w:type="dxa"/>
              <w:bottom w:w="120" w:type="dxa"/>
              <w:right w:w="180" w:type="dxa"/>
            </w:tcMar>
            <w:vAlign w:val="center"/>
          </w:tcPr>
          <w:p w14:paraId="7F308A1E" w14:textId="77777777" w:rsidR="00651FF7" w:rsidRDefault="000647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LD₅₀ (mg/kg)</w:t>
            </w:r>
          </w:p>
        </w:tc>
        <w:tc>
          <w:tcPr>
            <w:tcW w:w="1799" w:type="dxa"/>
            <w:tcBorders>
              <w:bottom w:val="single" w:sz="4" w:space="0" w:color="000000"/>
            </w:tcBorders>
            <w:tcMar>
              <w:top w:w="120" w:type="dxa"/>
              <w:left w:w="180" w:type="dxa"/>
              <w:bottom w:w="120" w:type="dxa"/>
              <w:right w:w="180" w:type="dxa"/>
            </w:tcMar>
            <w:vAlign w:val="center"/>
          </w:tcPr>
          <w:p w14:paraId="042FA826" w14:textId="77777777" w:rsidR="00651FF7" w:rsidRDefault="0006478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Toxicity Class</w:t>
            </w:r>
          </w:p>
        </w:tc>
      </w:tr>
      <w:tr w:rsidR="00651FF7" w14:paraId="6D9F7A85" w14:textId="77777777">
        <w:tc>
          <w:tcPr>
            <w:tcW w:w="1645" w:type="dxa"/>
            <w:tcBorders>
              <w:top w:val="single" w:sz="4" w:space="0" w:color="000000"/>
              <w:bottom w:val="single" w:sz="4" w:space="0" w:color="000000"/>
            </w:tcBorders>
            <w:tcMar>
              <w:top w:w="120" w:type="dxa"/>
              <w:left w:w="180" w:type="dxa"/>
              <w:bottom w:w="120" w:type="dxa"/>
              <w:right w:w="180" w:type="dxa"/>
            </w:tcMar>
            <w:vAlign w:val="center"/>
          </w:tcPr>
          <w:p w14:paraId="7B6DFDE1" w14:textId="77777777" w:rsidR="00651FF7" w:rsidRDefault="0006478A">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Alstonine</w:t>
            </w:r>
            <w:proofErr w:type="spellEnd"/>
          </w:p>
        </w:tc>
        <w:tc>
          <w:tcPr>
            <w:tcW w:w="2654" w:type="dxa"/>
            <w:tcBorders>
              <w:top w:val="single" w:sz="4" w:space="0" w:color="000000"/>
              <w:bottom w:val="single" w:sz="4" w:space="0" w:color="000000"/>
            </w:tcBorders>
            <w:tcMar>
              <w:top w:w="120" w:type="dxa"/>
              <w:left w:w="180" w:type="dxa"/>
              <w:bottom w:w="120" w:type="dxa"/>
              <w:right w:w="180" w:type="dxa"/>
            </w:tcMar>
            <w:vAlign w:val="center"/>
          </w:tcPr>
          <w:p w14:paraId="45B18E0F"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799" w:type="dxa"/>
            <w:tcBorders>
              <w:top w:val="single" w:sz="4" w:space="0" w:color="000000"/>
              <w:bottom w:val="single" w:sz="4" w:space="0" w:color="000000"/>
            </w:tcBorders>
            <w:tcMar>
              <w:top w:w="120" w:type="dxa"/>
              <w:left w:w="180" w:type="dxa"/>
              <w:bottom w:w="120" w:type="dxa"/>
              <w:right w:w="180" w:type="dxa"/>
            </w:tcMar>
            <w:vAlign w:val="center"/>
          </w:tcPr>
          <w:p w14:paraId="47A3AFE3"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51FF7" w14:paraId="046415A9" w14:textId="77777777">
        <w:tc>
          <w:tcPr>
            <w:tcW w:w="1645" w:type="dxa"/>
            <w:tcBorders>
              <w:top w:val="single" w:sz="4" w:space="0" w:color="000000"/>
              <w:bottom w:val="single" w:sz="4" w:space="0" w:color="000000"/>
            </w:tcBorders>
            <w:tcMar>
              <w:top w:w="120" w:type="dxa"/>
              <w:left w:w="180" w:type="dxa"/>
              <w:bottom w:w="120" w:type="dxa"/>
              <w:right w:w="180" w:type="dxa"/>
            </w:tcMar>
            <w:vAlign w:val="center"/>
          </w:tcPr>
          <w:p w14:paraId="1A2C1F1A"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Ajmalicine</w:t>
            </w:r>
          </w:p>
        </w:tc>
        <w:tc>
          <w:tcPr>
            <w:tcW w:w="2654" w:type="dxa"/>
            <w:tcBorders>
              <w:top w:val="single" w:sz="4" w:space="0" w:color="000000"/>
              <w:bottom w:val="single" w:sz="4" w:space="0" w:color="000000"/>
            </w:tcBorders>
            <w:tcMar>
              <w:top w:w="120" w:type="dxa"/>
              <w:left w:w="180" w:type="dxa"/>
              <w:bottom w:w="120" w:type="dxa"/>
              <w:right w:w="180" w:type="dxa"/>
            </w:tcMar>
            <w:vAlign w:val="center"/>
          </w:tcPr>
          <w:p w14:paraId="29B1F9BF"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799" w:type="dxa"/>
            <w:tcBorders>
              <w:top w:val="single" w:sz="4" w:space="0" w:color="000000"/>
              <w:bottom w:val="single" w:sz="4" w:space="0" w:color="000000"/>
            </w:tcBorders>
            <w:tcMar>
              <w:top w:w="120" w:type="dxa"/>
              <w:left w:w="180" w:type="dxa"/>
              <w:bottom w:w="120" w:type="dxa"/>
              <w:right w:w="180" w:type="dxa"/>
            </w:tcMar>
            <w:vAlign w:val="center"/>
          </w:tcPr>
          <w:p w14:paraId="2BC6CAF0"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51FF7" w14:paraId="6CBFFFC4" w14:textId="77777777">
        <w:tc>
          <w:tcPr>
            <w:tcW w:w="1645" w:type="dxa"/>
            <w:tcBorders>
              <w:top w:val="single" w:sz="4" w:space="0" w:color="000000"/>
              <w:bottom w:val="single" w:sz="4" w:space="0" w:color="000000"/>
            </w:tcBorders>
            <w:tcMar>
              <w:top w:w="120" w:type="dxa"/>
              <w:left w:w="180" w:type="dxa"/>
              <w:bottom w:w="120" w:type="dxa"/>
              <w:right w:w="180" w:type="dxa"/>
            </w:tcMar>
            <w:vAlign w:val="center"/>
          </w:tcPr>
          <w:p w14:paraId="0E9F97EA" w14:textId="77777777" w:rsidR="00651FF7" w:rsidRDefault="0006478A">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Alpelisib</w:t>
            </w:r>
            <w:proofErr w:type="spellEnd"/>
          </w:p>
        </w:tc>
        <w:tc>
          <w:tcPr>
            <w:tcW w:w="2654" w:type="dxa"/>
            <w:tcBorders>
              <w:top w:val="single" w:sz="4" w:space="0" w:color="000000"/>
              <w:bottom w:val="single" w:sz="4" w:space="0" w:color="000000"/>
            </w:tcBorders>
            <w:tcMar>
              <w:top w:w="120" w:type="dxa"/>
              <w:left w:w="180" w:type="dxa"/>
              <w:bottom w:w="120" w:type="dxa"/>
              <w:right w:w="180" w:type="dxa"/>
            </w:tcMar>
            <w:vAlign w:val="center"/>
          </w:tcPr>
          <w:p w14:paraId="1B93A33C"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799" w:type="dxa"/>
            <w:tcBorders>
              <w:top w:val="single" w:sz="4" w:space="0" w:color="000000"/>
              <w:bottom w:val="single" w:sz="4" w:space="0" w:color="000000"/>
            </w:tcBorders>
            <w:tcMar>
              <w:top w:w="120" w:type="dxa"/>
              <w:left w:w="180" w:type="dxa"/>
              <w:bottom w:w="120" w:type="dxa"/>
              <w:right w:w="180" w:type="dxa"/>
            </w:tcMar>
            <w:vAlign w:val="center"/>
          </w:tcPr>
          <w:p w14:paraId="09E9E342"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51FF7" w14:paraId="60D8B6DC" w14:textId="77777777">
        <w:tc>
          <w:tcPr>
            <w:tcW w:w="1645" w:type="dxa"/>
            <w:tcBorders>
              <w:top w:val="single" w:sz="4" w:space="0" w:color="000000"/>
              <w:bottom w:val="single" w:sz="4" w:space="0" w:color="000000"/>
            </w:tcBorders>
            <w:tcMar>
              <w:top w:w="120" w:type="dxa"/>
              <w:left w:w="180" w:type="dxa"/>
              <w:bottom w:w="120" w:type="dxa"/>
              <w:right w:w="180" w:type="dxa"/>
            </w:tcMar>
            <w:vAlign w:val="center"/>
          </w:tcPr>
          <w:p w14:paraId="1CC3E32A"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Gefitinib</w:t>
            </w:r>
          </w:p>
        </w:tc>
        <w:tc>
          <w:tcPr>
            <w:tcW w:w="2654" w:type="dxa"/>
            <w:tcBorders>
              <w:top w:val="single" w:sz="4" w:space="0" w:color="000000"/>
              <w:bottom w:val="single" w:sz="4" w:space="0" w:color="000000"/>
            </w:tcBorders>
            <w:tcMar>
              <w:top w:w="120" w:type="dxa"/>
              <w:left w:w="180" w:type="dxa"/>
              <w:bottom w:w="120" w:type="dxa"/>
              <w:right w:w="180" w:type="dxa"/>
            </w:tcMar>
            <w:vAlign w:val="center"/>
          </w:tcPr>
          <w:p w14:paraId="21EE7789"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2935</w:t>
            </w:r>
          </w:p>
        </w:tc>
        <w:tc>
          <w:tcPr>
            <w:tcW w:w="1799" w:type="dxa"/>
            <w:tcBorders>
              <w:top w:val="single" w:sz="4" w:space="0" w:color="000000"/>
              <w:bottom w:val="single" w:sz="4" w:space="0" w:color="000000"/>
            </w:tcBorders>
            <w:tcMar>
              <w:top w:w="120" w:type="dxa"/>
              <w:left w:w="180" w:type="dxa"/>
              <w:bottom w:w="120" w:type="dxa"/>
              <w:right w:w="180" w:type="dxa"/>
            </w:tcMar>
            <w:vAlign w:val="center"/>
          </w:tcPr>
          <w:p w14:paraId="546C7BDD"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51FF7" w14:paraId="40662B2F" w14:textId="77777777">
        <w:tc>
          <w:tcPr>
            <w:tcW w:w="1645" w:type="dxa"/>
            <w:tcBorders>
              <w:top w:val="single" w:sz="4" w:space="0" w:color="000000"/>
              <w:bottom w:val="single" w:sz="4" w:space="0" w:color="000000"/>
            </w:tcBorders>
            <w:tcMar>
              <w:top w:w="120" w:type="dxa"/>
              <w:left w:w="180" w:type="dxa"/>
              <w:bottom w:w="120" w:type="dxa"/>
              <w:right w:w="180" w:type="dxa"/>
            </w:tcMar>
            <w:vAlign w:val="center"/>
          </w:tcPr>
          <w:p w14:paraId="74EBED23" w14:textId="77777777" w:rsidR="00651FF7" w:rsidRDefault="0006478A">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Napabucasin</w:t>
            </w:r>
            <w:proofErr w:type="spellEnd"/>
          </w:p>
        </w:tc>
        <w:tc>
          <w:tcPr>
            <w:tcW w:w="2654" w:type="dxa"/>
            <w:tcBorders>
              <w:top w:val="single" w:sz="4" w:space="0" w:color="000000"/>
              <w:bottom w:val="single" w:sz="4" w:space="0" w:color="000000"/>
            </w:tcBorders>
            <w:tcMar>
              <w:top w:w="120" w:type="dxa"/>
              <w:left w:w="180" w:type="dxa"/>
              <w:bottom w:w="120" w:type="dxa"/>
              <w:right w:w="180" w:type="dxa"/>
            </w:tcMar>
            <w:vAlign w:val="center"/>
          </w:tcPr>
          <w:p w14:paraId="19F5420A"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c>
          <w:tcPr>
            <w:tcW w:w="1799" w:type="dxa"/>
            <w:tcBorders>
              <w:top w:val="single" w:sz="4" w:space="0" w:color="000000"/>
              <w:bottom w:val="single" w:sz="4" w:space="0" w:color="000000"/>
            </w:tcBorders>
            <w:tcMar>
              <w:top w:w="120" w:type="dxa"/>
              <w:left w:w="180" w:type="dxa"/>
              <w:bottom w:w="120" w:type="dxa"/>
              <w:right w:w="180" w:type="dxa"/>
            </w:tcMar>
            <w:vAlign w:val="center"/>
          </w:tcPr>
          <w:p w14:paraId="70F349E1"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51FF7" w14:paraId="68A2447A" w14:textId="77777777">
        <w:tc>
          <w:tcPr>
            <w:tcW w:w="1645" w:type="dxa"/>
            <w:tcBorders>
              <w:top w:val="single" w:sz="4" w:space="0" w:color="000000"/>
              <w:bottom w:val="single" w:sz="4" w:space="0" w:color="000000"/>
            </w:tcBorders>
            <w:tcMar>
              <w:top w:w="120" w:type="dxa"/>
              <w:left w:w="180" w:type="dxa"/>
              <w:bottom w:w="120" w:type="dxa"/>
              <w:right w:w="180" w:type="dxa"/>
            </w:tcMar>
            <w:vAlign w:val="center"/>
          </w:tcPr>
          <w:p w14:paraId="2A937A06" w14:textId="77777777" w:rsidR="00651FF7" w:rsidRDefault="0006478A">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Mesalazine</w:t>
            </w:r>
            <w:proofErr w:type="spellEnd"/>
          </w:p>
        </w:tc>
        <w:tc>
          <w:tcPr>
            <w:tcW w:w="2654" w:type="dxa"/>
            <w:tcBorders>
              <w:top w:val="single" w:sz="4" w:space="0" w:color="000000"/>
              <w:bottom w:val="single" w:sz="4" w:space="0" w:color="000000"/>
            </w:tcBorders>
            <w:tcMar>
              <w:top w:w="120" w:type="dxa"/>
              <w:left w:w="180" w:type="dxa"/>
              <w:bottom w:w="120" w:type="dxa"/>
              <w:right w:w="180" w:type="dxa"/>
            </w:tcMar>
            <w:vAlign w:val="center"/>
          </w:tcPr>
          <w:p w14:paraId="76BD0ABF"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2800</w:t>
            </w:r>
          </w:p>
        </w:tc>
        <w:tc>
          <w:tcPr>
            <w:tcW w:w="1799" w:type="dxa"/>
            <w:tcBorders>
              <w:top w:val="single" w:sz="4" w:space="0" w:color="000000"/>
              <w:bottom w:val="single" w:sz="4" w:space="0" w:color="000000"/>
            </w:tcBorders>
            <w:tcMar>
              <w:top w:w="120" w:type="dxa"/>
              <w:left w:w="180" w:type="dxa"/>
              <w:bottom w:w="120" w:type="dxa"/>
              <w:right w:w="180" w:type="dxa"/>
            </w:tcMar>
            <w:vAlign w:val="center"/>
          </w:tcPr>
          <w:p w14:paraId="4D524808"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651FF7" w14:paraId="1F4AE31F" w14:textId="77777777">
        <w:tc>
          <w:tcPr>
            <w:tcW w:w="1645" w:type="dxa"/>
            <w:tcBorders>
              <w:top w:val="single" w:sz="4" w:space="0" w:color="000000"/>
              <w:bottom w:val="single" w:sz="4" w:space="0" w:color="000000"/>
            </w:tcBorders>
            <w:tcMar>
              <w:top w:w="120" w:type="dxa"/>
              <w:left w:w="180" w:type="dxa"/>
              <w:bottom w:w="120" w:type="dxa"/>
              <w:right w:w="180" w:type="dxa"/>
            </w:tcMar>
            <w:vAlign w:val="center"/>
          </w:tcPr>
          <w:p w14:paraId="3429F9E7" w14:textId="77777777" w:rsidR="00651FF7" w:rsidRDefault="0006478A">
            <w:pPr>
              <w:spacing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Lisaftoclax</w:t>
            </w:r>
            <w:proofErr w:type="spellEnd"/>
          </w:p>
        </w:tc>
        <w:tc>
          <w:tcPr>
            <w:tcW w:w="2654" w:type="dxa"/>
            <w:tcBorders>
              <w:top w:val="single" w:sz="4" w:space="0" w:color="000000"/>
              <w:bottom w:val="single" w:sz="4" w:space="0" w:color="000000"/>
            </w:tcBorders>
            <w:tcMar>
              <w:top w:w="120" w:type="dxa"/>
              <w:left w:w="180" w:type="dxa"/>
              <w:bottom w:w="120" w:type="dxa"/>
              <w:right w:w="180" w:type="dxa"/>
            </w:tcMar>
            <w:vAlign w:val="center"/>
          </w:tcPr>
          <w:p w14:paraId="4964D6E1"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611</w:t>
            </w:r>
          </w:p>
        </w:tc>
        <w:tc>
          <w:tcPr>
            <w:tcW w:w="1799" w:type="dxa"/>
            <w:tcBorders>
              <w:top w:val="single" w:sz="4" w:space="0" w:color="000000"/>
              <w:bottom w:val="single" w:sz="4" w:space="0" w:color="000000"/>
            </w:tcBorders>
            <w:tcMar>
              <w:top w:w="120" w:type="dxa"/>
              <w:left w:w="180" w:type="dxa"/>
              <w:bottom w:w="120" w:type="dxa"/>
              <w:right w:w="180" w:type="dxa"/>
            </w:tcMar>
            <w:vAlign w:val="center"/>
          </w:tcPr>
          <w:p w14:paraId="3C9445E9"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51FF7" w14:paraId="0C2A9A18" w14:textId="77777777">
        <w:tc>
          <w:tcPr>
            <w:tcW w:w="1645" w:type="dxa"/>
            <w:tcBorders>
              <w:top w:val="single" w:sz="4" w:space="0" w:color="000000"/>
            </w:tcBorders>
            <w:tcMar>
              <w:top w:w="120" w:type="dxa"/>
              <w:left w:w="180" w:type="dxa"/>
              <w:bottom w:w="120" w:type="dxa"/>
              <w:right w:w="180" w:type="dxa"/>
            </w:tcMar>
            <w:vAlign w:val="center"/>
          </w:tcPr>
          <w:p w14:paraId="16F7F02F" w14:textId="77777777" w:rsidR="00651FF7" w:rsidRDefault="0006478A">
            <w:pPr>
              <w:spacing w:line="360" w:lineRule="auto"/>
              <w:jc w:val="center"/>
              <w:rPr>
                <w:rFonts w:ascii="Times New Roman" w:eastAsia="Times New Roman" w:hAnsi="Times New Roman" w:cs="Times New Roman"/>
                <w:sz w:val="24"/>
                <w:szCs w:val="24"/>
              </w:rPr>
            </w:pPr>
            <w:proofErr w:type="spellStart"/>
            <w:r>
              <w:rPr>
                <w:rFonts w:ascii="Times New Roman" w:eastAsia="SimSun" w:hAnsi="Times New Roman" w:cs="Times New Roman"/>
                <w:sz w:val="24"/>
                <w:szCs w:val="24"/>
                <w:lang w:bidi="ar"/>
              </w:rPr>
              <w:t>Romidepsin</w:t>
            </w:r>
            <w:proofErr w:type="spellEnd"/>
          </w:p>
        </w:tc>
        <w:tc>
          <w:tcPr>
            <w:tcW w:w="2654" w:type="dxa"/>
            <w:tcBorders>
              <w:top w:val="single" w:sz="4" w:space="0" w:color="000000"/>
            </w:tcBorders>
            <w:tcMar>
              <w:top w:w="120" w:type="dxa"/>
              <w:left w:w="180" w:type="dxa"/>
              <w:bottom w:w="120" w:type="dxa"/>
              <w:right w:w="180" w:type="dxa"/>
            </w:tcMar>
            <w:vAlign w:val="center"/>
          </w:tcPr>
          <w:p w14:paraId="40C5FF56"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1799" w:type="dxa"/>
            <w:tcBorders>
              <w:top w:val="single" w:sz="4" w:space="0" w:color="000000"/>
            </w:tcBorders>
            <w:tcMar>
              <w:top w:w="120" w:type="dxa"/>
              <w:left w:w="180" w:type="dxa"/>
              <w:bottom w:w="120" w:type="dxa"/>
              <w:right w:w="180" w:type="dxa"/>
            </w:tcMar>
            <w:vAlign w:val="center"/>
          </w:tcPr>
          <w:p w14:paraId="06E14BEE" w14:textId="77777777" w:rsidR="00651FF7" w:rsidRDefault="00064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14:paraId="596639C6"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14:paraId="41C33D77"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p>
    <w:p w14:paraId="7A19E494"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p>
    <w:p w14:paraId="4E63069D"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p>
    <w:p w14:paraId="480190D2"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p>
    <w:p w14:paraId="7F1DB5AE"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p>
    <w:p w14:paraId="31CFDBE8"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14:paraId="0E342B53"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14:paraId="026ED30B"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14:paraId="70A2EFD6"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14:paraId="35D7D058"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14:paraId="3360843B"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and Ajmalicine were predicted to be more toxic (Class 3) than all the known inhibitors, which were classified in either Class 4 or 5.  For organ toxicity,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was predicted to be active for neurotoxicity, nephrotoxicity, respiratory toxicity, and im</w:t>
      </w:r>
      <w:r>
        <w:rPr>
          <w:rFonts w:ascii="Times New Roman" w:eastAsia="Times New Roman" w:hAnsi="Times New Roman" w:cs="Times New Roman"/>
          <w:sz w:val="24"/>
          <w:szCs w:val="24"/>
        </w:rPr>
        <w:t>munotoxicity. Ajmalicine was predicted to be active for neurotoxicity, nephrotoxicity, respiratory toxicity, carcinogenicity, immunotoxicity, and clinical toxicity. In contrast, Gefitinib was predicted to be active for hepatotoxicity, neurotoxicity, respir</w:t>
      </w:r>
      <w:r>
        <w:rPr>
          <w:rFonts w:ascii="Times New Roman" w:eastAsia="Times New Roman" w:hAnsi="Times New Roman" w:cs="Times New Roman"/>
          <w:sz w:val="24"/>
          <w:szCs w:val="24"/>
        </w:rPr>
        <w:t>atory toxicity, immunotoxicity, and clinical toxicity.</w:t>
      </w:r>
    </w:p>
    <w:p w14:paraId="18BD911F" w14:textId="77777777" w:rsidR="00651FF7" w:rsidRDefault="0006478A">
      <w:pPr>
        <w:pStyle w:val="Heading2"/>
      </w:pPr>
      <w:bookmarkStart w:id="23" w:name="_Toc18044"/>
      <w:r>
        <w:lastRenderedPageBreak/>
        <w:t>Molecular Docking and Binding Affinity Analysis</w:t>
      </w:r>
      <w:bookmarkEnd w:id="23"/>
    </w:p>
    <w:p w14:paraId="3B7502E4"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Molecular docking simulations were performed to evaluate the binding affinity of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against six key cancer-associated proteins. The binding poses and interactions were analyzed to understand their potential as inhibitors. The results, including key scoring metrics, are compiled in a single table for comprehensive comparison.</w:t>
      </w:r>
    </w:p>
    <w:p w14:paraId="12FCBA40" w14:textId="77777777" w:rsidR="00651FF7" w:rsidRDefault="0006478A">
      <w:pPr>
        <w:pStyle w:val="Heading3"/>
        <w:rPr>
          <w:color w:val="auto"/>
        </w:rPr>
      </w:pPr>
      <w:bookmarkStart w:id="24" w:name="_Toc1221"/>
      <w:r>
        <w:rPr>
          <w:color w:val="auto"/>
        </w:rPr>
        <w:t>3.3.1. Docki</w:t>
      </w:r>
      <w:r>
        <w:rPr>
          <w:color w:val="auto"/>
        </w:rPr>
        <w:t>ng to the BCL-2 Protein</w:t>
      </w:r>
      <w:bookmarkEnd w:id="24"/>
    </w:p>
    <w:p w14:paraId="0481DF6D"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docking scores for the BCL-2 protein showed that the known inhibitor, </w:t>
      </w:r>
      <w:proofErr w:type="spellStart"/>
      <w:r>
        <w:rPr>
          <w:rFonts w:ascii="Times New Roman" w:eastAsia="Times New Roman" w:hAnsi="Times New Roman" w:cs="Times New Roman"/>
          <w:sz w:val="24"/>
          <w:szCs w:val="24"/>
        </w:rPr>
        <w:t>Lisaftoclax</w:t>
      </w:r>
      <w:proofErr w:type="spellEnd"/>
      <w:r>
        <w:rPr>
          <w:rFonts w:ascii="Times New Roman" w:eastAsia="Times New Roman" w:hAnsi="Times New Roman" w:cs="Times New Roman"/>
          <w:sz w:val="24"/>
          <w:szCs w:val="24"/>
        </w:rPr>
        <w:t xml:space="preserve"> 1, had the most favorable binding affinity with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-5.782 and an impressive MMGBSA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-61.56 (Table 7). This was significantly more favorable than the natural alkaloids. Among the alkaloids,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showed a better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(-5.042) than Ajmalicine 1 (-3.789). However, Ajmalicine 1 had a more negative MMGBSA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-37.94</w:t>
      </w:r>
      <w:r>
        <w:rPr>
          <w:rFonts w:ascii="Times New Roman" w:eastAsia="Times New Roman" w:hAnsi="Times New Roman" w:cs="Times New Roman"/>
          <w:sz w:val="24"/>
          <w:szCs w:val="24"/>
        </w:rPr>
        <w:t>, suggesting a potentially more stable binding interaction despite the lower Glide score. The docking analysis for Ajmalicine revealed three different poses, with Ajmalicine 1 exhibiting key interactions, including a Pi-pi stacking with the PHE 71 residue.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Lisaftoclax</w:t>
      </w:r>
      <w:proofErr w:type="spellEnd"/>
      <w:r>
        <w:rPr>
          <w:rFonts w:ascii="Times New Roman" w:eastAsia="Times New Roman" w:hAnsi="Times New Roman" w:cs="Times New Roman"/>
          <w:sz w:val="24"/>
          <w:szCs w:val="24"/>
        </w:rPr>
        <w:t xml:space="preserve"> 1 also showed a strong Pi-pi stacking interaction with PHE 63, in addition to multiple hydrogen and halogen bonds (Figure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w:t>
      </w:r>
    </w:p>
    <w:p w14:paraId="05651897"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490B5AD1" wp14:editId="53A7DCCA">
            <wp:extent cx="5557520" cy="2811780"/>
            <wp:effectExtent l="0" t="0" r="5080" b="7620"/>
            <wp:docPr id="24" name="image18.png"/>
            <wp:cNvGraphicFramePr/>
            <a:graphic xmlns:a="http://schemas.openxmlformats.org/drawingml/2006/main">
              <a:graphicData uri="http://schemas.openxmlformats.org/drawingml/2006/picture">
                <pic:pic xmlns:pic="http://schemas.openxmlformats.org/drawingml/2006/picture">
                  <pic:nvPicPr>
                    <pic:cNvPr id="24" name="image18.png"/>
                    <pic:cNvPicPr preferRelativeResize="0"/>
                  </pic:nvPicPr>
                  <pic:blipFill>
                    <a:blip r:embed="rId16"/>
                    <a:srcRect/>
                    <a:stretch>
                      <a:fillRect/>
                    </a:stretch>
                  </pic:blipFill>
                  <pic:spPr>
                    <a:xfrm>
                      <a:off x="0" y="0"/>
                      <a:ext cx="5557520" cy="2811780"/>
                    </a:xfrm>
                    <a:prstGeom prst="rect">
                      <a:avLst/>
                    </a:prstGeom>
                  </pic:spPr>
                </pic:pic>
              </a:graphicData>
            </a:graphic>
          </wp:inline>
        </w:drawing>
      </w:r>
    </w:p>
    <w:p w14:paraId="126D10FB"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The docked poses of Ajmalicine,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and the known inhibitor Lisaftoclax1 and 2 with the BCL-2 pro</w:t>
      </w:r>
      <w:r>
        <w:rPr>
          <w:rFonts w:ascii="Times New Roman" w:eastAsia="Times New Roman" w:hAnsi="Times New Roman" w:cs="Times New Roman"/>
          <w:sz w:val="24"/>
          <w:szCs w:val="24"/>
        </w:rPr>
        <w:t>tein (PDB ID: 2W3L).</w:t>
      </w:r>
    </w:p>
    <w:p w14:paraId="7D312287" w14:textId="77777777" w:rsidR="00651FF7" w:rsidRDefault="00651FF7">
      <w:pPr>
        <w:jc w:val="both"/>
        <w:rPr>
          <w:rFonts w:ascii="Times New Roman" w:eastAsia="Times New Roman" w:hAnsi="Times New Roman" w:cs="Times New Roman"/>
          <w:sz w:val="24"/>
          <w:szCs w:val="24"/>
        </w:rPr>
      </w:pPr>
    </w:p>
    <w:p w14:paraId="6106A1D5" w14:textId="77777777" w:rsidR="00651FF7" w:rsidRDefault="0006478A">
      <w:pPr>
        <w:pStyle w:val="Heading3"/>
        <w:rPr>
          <w:color w:val="auto"/>
        </w:rPr>
      </w:pPr>
      <w:bookmarkStart w:id="25" w:name="_Toc17184"/>
      <w:r>
        <w:rPr>
          <w:color w:val="auto"/>
        </w:rPr>
        <w:t>3.3.2. Docking to the PI3K Protein</w:t>
      </w:r>
      <w:bookmarkEnd w:id="25"/>
    </w:p>
    <w:p w14:paraId="567B4DE8"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PI3K protein docking results highlighted </w:t>
      </w:r>
      <w:proofErr w:type="spellStart"/>
      <w:r>
        <w:rPr>
          <w:rFonts w:ascii="Times New Roman" w:eastAsia="Times New Roman" w:hAnsi="Times New Roman" w:cs="Times New Roman"/>
          <w:sz w:val="24"/>
          <w:szCs w:val="24"/>
        </w:rPr>
        <w:t>Alpelisib</w:t>
      </w:r>
      <w:proofErr w:type="spellEnd"/>
      <w:r>
        <w:rPr>
          <w:rFonts w:ascii="Times New Roman" w:eastAsia="Times New Roman" w:hAnsi="Times New Roman" w:cs="Times New Roman"/>
          <w:sz w:val="24"/>
          <w:szCs w:val="24"/>
        </w:rPr>
        <w:t xml:space="preserve"> (Figure 2) as the most potent binder with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-9.706 and an MMGBSA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-60.10 (Table 7).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showed a comparable affi</w:t>
      </w:r>
      <w:r>
        <w:rPr>
          <w:rFonts w:ascii="Times New Roman" w:eastAsia="Times New Roman" w:hAnsi="Times New Roman" w:cs="Times New Roman"/>
          <w:sz w:val="24"/>
          <w:szCs w:val="24"/>
        </w:rPr>
        <w:t xml:space="preserve">nity with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-6.017 and 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-53.33. It formed hydrogen bonds with VAL 826 and SER 831. Ajmalicine 1 had a less favorable score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-5.023; MMGBSA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-51.27).</w:t>
      </w:r>
    </w:p>
    <w:p w14:paraId="53689BD7"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69CE1B8E" wp14:editId="2303FF30">
            <wp:extent cx="5907405" cy="3125470"/>
            <wp:effectExtent l="0" t="0" r="17145" b="17780"/>
            <wp:docPr id="25" name="image11.png"/>
            <wp:cNvGraphicFramePr/>
            <a:graphic xmlns:a="http://schemas.openxmlformats.org/drawingml/2006/main">
              <a:graphicData uri="http://schemas.openxmlformats.org/drawingml/2006/picture">
                <pic:pic xmlns:pic="http://schemas.openxmlformats.org/drawingml/2006/picture">
                  <pic:nvPicPr>
                    <pic:cNvPr id="25" name="image11.png"/>
                    <pic:cNvPicPr preferRelativeResize="0"/>
                  </pic:nvPicPr>
                  <pic:blipFill>
                    <a:blip r:embed="rId17"/>
                    <a:srcRect/>
                    <a:stretch>
                      <a:fillRect/>
                    </a:stretch>
                  </pic:blipFill>
                  <pic:spPr>
                    <a:xfrm>
                      <a:off x="0" y="0"/>
                      <a:ext cx="5907405" cy="3125470"/>
                    </a:xfrm>
                    <a:prstGeom prst="rect">
                      <a:avLst/>
                    </a:prstGeom>
                  </pic:spPr>
                </pic:pic>
              </a:graphicData>
            </a:graphic>
          </wp:inline>
        </w:drawing>
      </w:r>
    </w:p>
    <w:p w14:paraId="6F2F69C9" w14:textId="77777777" w:rsidR="00651FF7" w:rsidRDefault="0006478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The docked poses of Ajmalicine,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an</w:t>
      </w:r>
      <w:r>
        <w:rPr>
          <w:rFonts w:ascii="Times New Roman" w:eastAsia="Times New Roman" w:hAnsi="Times New Roman" w:cs="Times New Roman"/>
          <w:sz w:val="24"/>
          <w:szCs w:val="24"/>
        </w:rPr>
        <w:t xml:space="preserve">d the known inhibitor </w:t>
      </w:r>
      <w:proofErr w:type="spellStart"/>
      <w:r>
        <w:rPr>
          <w:rFonts w:ascii="Times New Roman" w:eastAsia="Times New Roman" w:hAnsi="Times New Roman" w:cs="Times New Roman"/>
          <w:sz w:val="24"/>
          <w:szCs w:val="24"/>
        </w:rPr>
        <w:t>Alpelisib</w:t>
      </w:r>
      <w:proofErr w:type="spellEnd"/>
      <w:r>
        <w:rPr>
          <w:rFonts w:ascii="Times New Roman" w:eastAsia="Times New Roman" w:hAnsi="Times New Roman" w:cs="Times New Roman"/>
          <w:sz w:val="24"/>
          <w:szCs w:val="24"/>
        </w:rPr>
        <w:t xml:space="preserve"> with the PI3K protein (PDB ID: 5DXU).</w:t>
      </w:r>
    </w:p>
    <w:p w14:paraId="08FA2654" w14:textId="77777777" w:rsidR="00651FF7" w:rsidRDefault="00651FF7">
      <w:pPr>
        <w:jc w:val="both"/>
        <w:rPr>
          <w:rFonts w:ascii="Times New Roman" w:eastAsia="Times New Roman" w:hAnsi="Times New Roman" w:cs="Times New Roman"/>
          <w:sz w:val="24"/>
          <w:szCs w:val="24"/>
        </w:rPr>
      </w:pPr>
    </w:p>
    <w:p w14:paraId="7F9D23FA" w14:textId="77777777" w:rsidR="00651FF7" w:rsidRDefault="0006478A">
      <w:pPr>
        <w:pStyle w:val="Heading3"/>
        <w:rPr>
          <w:color w:val="auto"/>
        </w:rPr>
      </w:pPr>
      <w:bookmarkStart w:id="26" w:name="_Toc23129"/>
      <w:r>
        <w:rPr>
          <w:color w:val="auto"/>
        </w:rPr>
        <w:t>3.3.3. Docking to the EGFR Protein</w:t>
      </w:r>
      <w:bookmarkEnd w:id="26"/>
    </w:p>
    <w:p w14:paraId="4A7A2841"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Gefitinib, the known inhibitor, displayed the highest binding affinity for the EGFR protein, with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-10.456 and an MMGBSA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w:t>
      </w:r>
      <w:r>
        <w:rPr>
          <w:rFonts w:ascii="Times New Roman" w:eastAsia="Times New Roman" w:hAnsi="Times New Roman" w:cs="Times New Roman"/>
          <w:sz w:val="24"/>
          <w:szCs w:val="24"/>
        </w:rPr>
        <w:t xml:space="preserve">61.02 (Table 7). Both Ajmalicine 1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showed significantly weaker binding to EGFR (Figure 3). Ajmalicine 1 had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-4.624 and 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-39.14, forming hydrogen bonds with THR 766, MET 769, and ASP 831.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had a slightly </w:t>
      </w:r>
      <w:r>
        <w:rPr>
          <w:rFonts w:ascii="Times New Roman" w:eastAsia="Times New Roman" w:hAnsi="Times New Roman" w:cs="Times New Roman"/>
          <w:sz w:val="24"/>
          <w:szCs w:val="24"/>
        </w:rPr>
        <w:t xml:space="preserve">better Glide score of -4.959 and 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-45.96, along with salt bridges and aromatic H-bonds with ASP 831</w:t>
      </w:r>
      <w:r>
        <w:rPr>
          <w:rFonts w:ascii="Times New Roman" w:eastAsia="Times New Roman" w:hAnsi="Times New Roman" w:cs="Times New Roman"/>
          <w:b/>
          <w:sz w:val="24"/>
          <w:szCs w:val="24"/>
        </w:rPr>
        <w:t>.</w:t>
      </w:r>
    </w:p>
    <w:p w14:paraId="4B6717F6"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p>
    <w:p w14:paraId="4D0F03BF"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b/>
          <w:sz w:val="24"/>
          <w:szCs w:val="24"/>
        </w:rPr>
      </w:pPr>
    </w:p>
    <w:p w14:paraId="540F85E2"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14:paraId="72902496"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6B619DCA" wp14:editId="1AEF47EB">
            <wp:extent cx="5883910" cy="3004820"/>
            <wp:effectExtent l="0" t="0" r="2540" b="5080"/>
            <wp:docPr id="22" name="image19.png"/>
            <wp:cNvGraphicFramePr/>
            <a:graphic xmlns:a="http://schemas.openxmlformats.org/drawingml/2006/main">
              <a:graphicData uri="http://schemas.openxmlformats.org/drawingml/2006/picture">
                <pic:pic xmlns:pic="http://schemas.openxmlformats.org/drawingml/2006/picture">
                  <pic:nvPicPr>
                    <pic:cNvPr id="22" name="image19.png"/>
                    <pic:cNvPicPr preferRelativeResize="0"/>
                  </pic:nvPicPr>
                  <pic:blipFill>
                    <a:blip r:embed="rId18"/>
                    <a:srcRect r="408"/>
                    <a:stretch>
                      <a:fillRect/>
                    </a:stretch>
                  </pic:blipFill>
                  <pic:spPr>
                    <a:xfrm>
                      <a:off x="0" y="0"/>
                      <a:ext cx="5883910" cy="3004820"/>
                    </a:xfrm>
                    <a:prstGeom prst="rect">
                      <a:avLst/>
                    </a:prstGeom>
                  </pic:spPr>
                </pic:pic>
              </a:graphicData>
            </a:graphic>
          </wp:inline>
        </w:drawing>
      </w:r>
    </w:p>
    <w:p w14:paraId="1ED88781"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The docked poses of Ajmalicine,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and the known inhibitor Gefitinib with the Epidermal Growth Factor Receptor (EGFR) pr</w:t>
      </w:r>
      <w:r>
        <w:rPr>
          <w:rFonts w:ascii="Times New Roman" w:eastAsia="Times New Roman" w:hAnsi="Times New Roman" w:cs="Times New Roman"/>
          <w:sz w:val="24"/>
          <w:szCs w:val="24"/>
        </w:rPr>
        <w:t>otein (PDB ID: 1M17).</w:t>
      </w:r>
    </w:p>
    <w:p w14:paraId="73D320D3" w14:textId="77777777" w:rsidR="00651FF7" w:rsidRDefault="0006478A">
      <w:pPr>
        <w:pStyle w:val="Heading3"/>
        <w:rPr>
          <w:color w:val="auto"/>
        </w:rPr>
      </w:pPr>
      <w:bookmarkStart w:id="27" w:name="_Toc9211"/>
      <w:r>
        <w:rPr>
          <w:color w:val="auto"/>
        </w:rPr>
        <w:t>3.3.4. Docking to STAT3, HDAC, and NF-</w:t>
      </w:r>
      <w:proofErr w:type="spellStart"/>
      <w:r>
        <w:rPr>
          <w:color w:val="auto"/>
        </w:rPr>
        <w:t>κB</w:t>
      </w:r>
      <w:proofErr w:type="spellEnd"/>
      <w:r>
        <w:rPr>
          <w:color w:val="auto"/>
        </w:rPr>
        <w:t xml:space="preserve"> Proteins</w:t>
      </w:r>
      <w:bookmarkEnd w:id="27"/>
    </w:p>
    <w:p w14:paraId="059F2B01" w14:textId="77777777" w:rsidR="00651FF7" w:rsidRDefault="0006478A">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STAT3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exhibited a comparable binding affinity to the known inhibitor, </w:t>
      </w:r>
      <w:proofErr w:type="spellStart"/>
      <w:r>
        <w:rPr>
          <w:rFonts w:ascii="Times New Roman" w:eastAsia="Times New Roman" w:hAnsi="Times New Roman" w:cs="Times New Roman"/>
          <w:sz w:val="24"/>
          <w:szCs w:val="24"/>
        </w:rPr>
        <w:t>Napabucasin</w:t>
      </w:r>
      <w:proofErr w:type="spellEnd"/>
      <w:r>
        <w:rPr>
          <w:rFonts w:ascii="Times New Roman" w:eastAsia="Times New Roman" w:hAnsi="Times New Roman" w:cs="Times New Roman"/>
          <w:sz w:val="24"/>
          <w:szCs w:val="24"/>
        </w:rPr>
        <w:t xml:space="preserve">, with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-5.877 and an MMGBSA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-48.51, which was slightly better than </w:t>
      </w:r>
      <w:proofErr w:type="spellStart"/>
      <w:r>
        <w:rPr>
          <w:rFonts w:ascii="Times New Roman" w:eastAsia="Times New Roman" w:hAnsi="Times New Roman" w:cs="Times New Roman"/>
          <w:sz w:val="24"/>
          <w:szCs w:val="24"/>
        </w:rPr>
        <w:t>Napabucasin's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-5.467 and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-48.33.</w:t>
      </w:r>
    </w:p>
    <w:p w14:paraId="46416BA7" w14:textId="77777777" w:rsidR="00651FF7" w:rsidRDefault="0006478A">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HDAC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Romidepsin</w:t>
      </w:r>
      <w:proofErr w:type="spellEnd"/>
      <w:r>
        <w:rPr>
          <w:rFonts w:ascii="Times New Roman" w:eastAsia="Times New Roman" w:hAnsi="Times New Roman" w:cs="Times New Roman"/>
          <w:sz w:val="24"/>
          <w:szCs w:val="24"/>
        </w:rPr>
        <w:t xml:space="preserve">, the known inhibitor, showed the strongest binding with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-6.215 and 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-34.82, which was a higher affinity tha</w:t>
      </w:r>
      <w:r>
        <w:rPr>
          <w:rFonts w:ascii="Times New Roman" w:eastAsia="Times New Roman" w:hAnsi="Times New Roman" w:cs="Times New Roman"/>
          <w:sz w:val="24"/>
          <w:szCs w:val="24"/>
        </w:rPr>
        <w:t>n both natural compounds.</w:t>
      </w:r>
    </w:p>
    <w:p w14:paraId="56CBB88A" w14:textId="77777777" w:rsidR="00651FF7" w:rsidRDefault="0006478A">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NF-</w:t>
      </w:r>
      <w:proofErr w:type="spellStart"/>
      <w:r>
        <w:rPr>
          <w:rFonts w:ascii="Times New Roman" w:eastAsia="Times New Roman" w:hAnsi="Times New Roman" w:cs="Times New Roman"/>
          <w:b/>
          <w:sz w:val="24"/>
          <w:szCs w:val="24"/>
        </w:rPr>
        <w:t>κB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Mesalazine</w:t>
      </w:r>
      <w:proofErr w:type="spellEnd"/>
      <w:r>
        <w:rPr>
          <w:rFonts w:ascii="Times New Roman" w:eastAsia="Times New Roman" w:hAnsi="Times New Roman" w:cs="Times New Roman"/>
          <w:sz w:val="24"/>
          <w:szCs w:val="24"/>
        </w:rPr>
        <w:t xml:space="preserve"> showed the most favorable binding with a Glide </w:t>
      </w:r>
      <w:proofErr w:type="spellStart"/>
      <w:r>
        <w:rPr>
          <w:rFonts w:ascii="Times New Roman" w:eastAsia="Times New Roman" w:hAnsi="Times New Roman" w:cs="Times New Roman"/>
          <w:sz w:val="24"/>
          <w:szCs w:val="24"/>
        </w:rPr>
        <w:t>GScore</w:t>
      </w:r>
      <w:proofErr w:type="spellEnd"/>
      <w:r>
        <w:rPr>
          <w:rFonts w:ascii="Times New Roman" w:eastAsia="Times New Roman" w:hAnsi="Times New Roman" w:cs="Times New Roman"/>
          <w:sz w:val="24"/>
          <w:szCs w:val="24"/>
        </w:rPr>
        <w:t xml:space="preserve"> of -3.683 and a </w:t>
      </w:r>
      <w:proofErr w:type="spellStart"/>
      <w:r>
        <w:rPr>
          <w:rFonts w:ascii="Times New Roman" w:eastAsia="Times New Roman" w:hAnsi="Times New Roman" w:cs="Times New Roman"/>
          <w:sz w:val="24"/>
          <w:szCs w:val="24"/>
        </w:rPr>
        <w:t>dG</w:t>
      </w:r>
      <w:proofErr w:type="spellEnd"/>
      <w:r>
        <w:rPr>
          <w:rFonts w:ascii="Times New Roman" w:eastAsia="Times New Roman" w:hAnsi="Times New Roman" w:cs="Times New Roman"/>
          <w:sz w:val="24"/>
          <w:szCs w:val="24"/>
        </w:rPr>
        <w:t xml:space="preserve"> Bind of -11.27, a higher affinity than both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w:t>
      </w:r>
    </w:p>
    <w:p w14:paraId="60735BED"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449A6C1D"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73326647"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6F8AB883"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37D56A35"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11584D65"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039DE2E1" w14:textId="77777777" w:rsidR="00651FF7" w:rsidRDefault="0006478A">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68A6CDD2" wp14:editId="6232EE1E">
            <wp:extent cx="5325745" cy="2811145"/>
            <wp:effectExtent l="0" t="0" r="8255" b="8255"/>
            <wp:docPr id="29" name="image14.png"/>
            <wp:cNvGraphicFramePr/>
            <a:graphic xmlns:a="http://schemas.openxmlformats.org/drawingml/2006/main">
              <a:graphicData uri="http://schemas.openxmlformats.org/drawingml/2006/picture">
                <pic:pic xmlns:pic="http://schemas.openxmlformats.org/drawingml/2006/picture">
                  <pic:nvPicPr>
                    <pic:cNvPr id="29" name="image14.png"/>
                    <pic:cNvPicPr preferRelativeResize="0"/>
                  </pic:nvPicPr>
                  <pic:blipFill>
                    <a:blip r:embed="rId19"/>
                    <a:srcRect/>
                    <a:stretch>
                      <a:fillRect/>
                    </a:stretch>
                  </pic:blipFill>
                  <pic:spPr>
                    <a:xfrm>
                      <a:off x="0" y="0"/>
                      <a:ext cx="5325745" cy="2811145"/>
                    </a:xfrm>
                    <a:prstGeom prst="rect">
                      <a:avLst/>
                    </a:prstGeom>
                  </pic:spPr>
                </pic:pic>
              </a:graphicData>
            </a:graphic>
          </wp:inline>
        </w:drawing>
      </w:r>
    </w:p>
    <w:p w14:paraId="5B157447"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The docked poses of Ajmalicine,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and the </w:t>
      </w:r>
      <w:r>
        <w:rPr>
          <w:rFonts w:ascii="Times New Roman" w:eastAsia="Times New Roman" w:hAnsi="Times New Roman" w:cs="Times New Roman"/>
          <w:sz w:val="24"/>
          <w:szCs w:val="24"/>
        </w:rPr>
        <w:t xml:space="preserve">known inhibitor </w:t>
      </w:r>
      <w:proofErr w:type="spellStart"/>
      <w:r>
        <w:rPr>
          <w:rFonts w:ascii="Times New Roman" w:eastAsia="Times New Roman" w:hAnsi="Times New Roman" w:cs="Times New Roman"/>
          <w:sz w:val="24"/>
          <w:szCs w:val="24"/>
        </w:rPr>
        <w:t>Napabucasin</w:t>
      </w:r>
      <w:proofErr w:type="spellEnd"/>
      <w:r>
        <w:rPr>
          <w:rFonts w:ascii="Times New Roman" w:eastAsia="Times New Roman" w:hAnsi="Times New Roman" w:cs="Times New Roman"/>
          <w:sz w:val="24"/>
          <w:szCs w:val="24"/>
        </w:rPr>
        <w:t xml:space="preserve"> with the STAT 3 protein.</w:t>
      </w:r>
    </w:p>
    <w:p w14:paraId="611ABDE1" w14:textId="77777777" w:rsidR="00651FF7" w:rsidRDefault="00651FF7">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p>
    <w:p w14:paraId="59F344C4" w14:textId="77777777" w:rsidR="00651FF7" w:rsidRDefault="0006478A">
      <w:pPr>
        <w:pBdr>
          <w:top w:val="none" w:sz="0" w:space="0" w:color="1B1C1D"/>
          <w:left w:val="none" w:sz="0" w:space="0" w:color="1B1C1D"/>
          <w:bottom w:val="none" w:sz="0" w:space="0" w:color="1B1C1D"/>
          <w:right w:val="none" w:sz="0" w:space="0" w:color="1B1C1D"/>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14:anchorId="56E5E644" wp14:editId="4CBF91B9">
            <wp:extent cx="5771515" cy="3054350"/>
            <wp:effectExtent l="0" t="0" r="635" b="12700"/>
            <wp:docPr id="36" name="image5.png"/>
            <wp:cNvGraphicFramePr/>
            <a:graphic xmlns:a="http://schemas.openxmlformats.org/drawingml/2006/main">
              <a:graphicData uri="http://schemas.openxmlformats.org/drawingml/2006/picture">
                <pic:pic xmlns:pic="http://schemas.openxmlformats.org/drawingml/2006/picture">
                  <pic:nvPicPr>
                    <pic:cNvPr id="36" name="image5.png"/>
                    <pic:cNvPicPr preferRelativeResize="0"/>
                  </pic:nvPicPr>
                  <pic:blipFill>
                    <a:blip r:embed="rId20"/>
                    <a:srcRect/>
                    <a:stretch>
                      <a:fillRect/>
                    </a:stretch>
                  </pic:blipFill>
                  <pic:spPr>
                    <a:xfrm>
                      <a:off x="0" y="0"/>
                      <a:ext cx="5771515" cy="3054350"/>
                    </a:xfrm>
                    <a:prstGeom prst="rect">
                      <a:avLst/>
                    </a:prstGeom>
                  </pic:spPr>
                </pic:pic>
              </a:graphicData>
            </a:graphic>
          </wp:inline>
        </w:drawing>
      </w:r>
    </w:p>
    <w:p w14:paraId="64A1FFD9" w14:textId="77777777" w:rsidR="00651FF7" w:rsidRDefault="0006478A">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The docked poses of Ajmalicine,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and the known inhibitor </w:t>
      </w:r>
      <w:proofErr w:type="spellStart"/>
      <w:r>
        <w:rPr>
          <w:rFonts w:ascii="Times New Roman" w:eastAsia="Times New Roman" w:hAnsi="Times New Roman" w:cs="Times New Roman"/>
          <w:sz w:val="24"/>
          <w:szCs w:val="24"/>
        </w:rPr>
        <w:t>Romidepsin</w:t>
      </w:r>
      <w:proofErr w:type="spellEnd"/>
      <w:r>
        <w:rPr>
          <w:rFonts w:ascii="Times New Roman" w:eastAsia="Times New Roman" w:hAnsi="Times New Roman" w:cs="Times New Roman"/>
          <w:sz w:val="24"/>
          <w:szCs w:val="24"/>
        </w:rPr>
        <w:t xml:space="preserve"> with the HDAC protein (PDB ID: 1T67).</w:t>
      </w:r>
    </w:p>
    <w:p w14:paraId="35E11035"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16379C12" w14:textId="77777777" w:rsidR="00651FF7" w:rsidRDefault="0006478A">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6C4649EF" wp14:editId="5F8F4CF5">
            <wp:extent cx="5482590" cy="2816860"/>
            <wp:effectExtent l="0" t="0" r="3810" b="2540"/>
            <wp:docPr id="23" name="image21.png"/>
            <wp:cNvGraphicFramePr/>
            <a:graphic xmlns:a="http://schemas.openxmlformats.org/drawingml/2006/main">
              <a:graphicData uri="http://schemas.openxmlformats.org/drawingml/2006/picture">
                <pic:pic xmlns:pic="http://schemas.openxmlformats.org/drawingml/2006/picture">
                  <pic:nvPicPr>
                    <pic:cNvPr id="23" name="image21.png"/>
                    <pic:cNvPicPr preferRelativeResize="0"/>
                  </pic:nvPicPr>
                  <pic:blipFill>
                    <a:blip r:embed="rId21"/>
                    <a:srcRect/>
                    <a:stretch>
                      <a:fillRect/>
                    </a:stretch>
                  </pic:blipFill>
                  <pic:spPr>
                    <a:xfrm>
                      <a:off x="0" y="0"/>
                      <a:ext cx="5482590" cy="2816860"/>
                    </a:xfrm>
                    <a:prstGeom prst="rect">
                      <a:avLst/>
                    </a:prstGeom>
                  </pic:spPr>
                </pic:pic>
              </a:graphicData>
            </a:graphic>
          </wp:inline>
        </w:drawing>
      </w:r>
    </w:p>
    <w:p w14:paraId="6E6B17B5"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1D796B4C" w14:textId="77777777" w:rsidR="00651FF7" w:rsidRDefault="0006478A">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The docked poses of Ajmalicine,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and the known inh</w:t>
      </w:r>
      <w:r>
        <w:rPr>
          <w:rFonts w:ascii="Times New Roman" w:eastAsia="Times New Roman" w:hAnsi="Times New Roman" w:cs="Times New Roman"/>
          <w:sz w:val="24"/>
          <w:szCs w:val="24"/>
        </w:rPr>
        <w:t xml:space="preserve">ibitor </w:t>
      </w:r>
      <w:proofErr w:type="spellStart"/>
      <w:r>
        <w:rPr>
          <w:rFonts w:ascii="Times New Roman" w:eastAsia="Times New Roman" w:hAnsi="Times New Roman" w:cs="Times New Roman"/>
          <w:sz w:val="24"/>
          <w:szCs w:val="24"/>
        </w:rPr>
        <w:t>Mesalazine</w:t>
      </w:r>
      <w:proofErr w:type="spellEnd"/>
      <w:r>
        <w:rPr>
          <w:rFonts w:ascii="Times New Roman" w:eastAsia="Times New Roman" w:hAnsi="Times New Roman" w:cs="Times New Roman"/>
          <w:sz w:val="24"/>
          <w:szCs w:val="24"/>
        </w:rPr>
        <w:t xml:space="preserve"> with the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xml:space="preserve"> protein (PDB ID: 8QTD).</w:t>
      </w:r>
    </w:p>
    <w:p w14:paraId="561615DB"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285144D5"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50CA63CA"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7F631000"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1669C51E"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72BBBFC6"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27B911C2"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01EAF8A7"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2E51C27C"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119EE226"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175680C8"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sectPr w:rsidR="00651FF7">
          <w:pgSz w:w="12240" w:h="15840"/>
          <w:pgMar w:top="1440" w:right="1440" w:bottom="1440" w:left="1440" w:header="720" w:footer="720" w:gutter="0"/>
          <w:cols w:space="720"/>
        </w:sectPr>
      </w:pPr>
    </w:p>
    <w:p w14:paraId="6C973C3D"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jc w:val="both"/>
        <w:rPr>
          <w:rFonts w:ascii="Times New Roman" w:eastAsia="Times New Roman" w:hAnsi="Times New Roman" w:cs="Times New Roman"/>
          <w:sz w:val="24"/>
          <w:szCs w:val="24"/>
        </w:rPr>
      </w:pPr>
    </w:p>
    <w:p w14:paraId="00EEEA39" w14:textId="77777777" w:rsidR="00651FF7" w:rsidRDefault="0006478A">
      <w:pPr>
        <w:pBdr>
          <w:top w:val="none" w:sz="0" w:space="0" w:color="1B1C1D"/>
          <w:left w:val="none" w:sz="0" w:space="0" w:color="1B1C1D"/>
          <w:bottom w:val="none" w:sz="0" w:space="0" w:color="1B1C1D"/>
          <w:right w:val="none" w:sz="0" w:space="0" w:color="1B1C1D"/>
        </w:pBdr>
        <w:spacing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7: Molecular Docking Scores and Binding Affinity of Compounds to Target Proteins</w:t>
      </w:r>
    </w:p>
    <w:tbl>
      <w:tblPr>
        <w:tblStyle w:val="Style13"/>
        <w:tblpPr w:leftFromText="180" w:rightFromText="180" w:vertAnchor="text" w:tblpXSpec="center"/>
        <w:tblW w:w="1053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1213"/>
        <w:gridCol w:w="937"/>
        <w:gridCol w:w="938"/>
        <w:gridCol w:w="925"/>
        <w:gridCol w:w="1050"/>
        <w:gridCol w:w="1212"/>
        <w:gridCol w:w="1300"/>
        <w:gridCol w:w="2025"/>
      </w:tblGrid>
      <w:tr w:rsidR="00651FF7" w14:paraId="34181B64" w14:textId="77777777" w:rsidTr="00096E11">
        <w:trPr>
          <w:trHeight w:val="768"/>
          <w:tblHeader/>
          <w:jc w:val="center"/>
        </w:trPr>
        <w:tc>
          <w:tcPr>
            <w:tcW w:w="930" w:type="dxa"/>
            <w:tcMar>
              <w:top w:w="120" w:type="dxa"/>
              <w:left w:w="180" w:type="dxa"/>
              <w:bottom w:w="120" w:type="dxa"/>
              <w:right w:w="180" w:type="dxa"/>
            </w:tcMar>
            <w:vAlign w:val="center"/>
          </w:tcPr>
          <w:p w14:paraId="689C3C22" w14:textId="77777777" w:rsidR="00651FF7" w:rsidRDefault="0006478A">
            <w:pPr>
              <w:rPr>
                <w:rFonts w:ascii="Times New Roman" w:eastAsia="Times New Roman" w:hAnsi="Times New Roman" w:cs="Times New Roman"/>
                <w:sz w:val="16"/>
                <w:szCs w:val="16"/>
              </w:rPr>
            </w:pPr>
            <w:r>
              <w:rPr>
                <w:rFonts w:ascii="Times New Roman" w:eastAsia="Times New Roman" w:hAnsi="Times New Roman" w:cs="Times New Roman"/>
                <w:sz w:val="16"/>
                <w:szCs w:val="16"/>
              </w:rPr>
              <w:t>Protein</w:t>
            </w:r>
          </w:p>
        </w:tc>
        <w:tc>
          <w:tcPr>
            <w:tcW w:w="1213" w:type="dxa"/>
            <w:tcMar>
              <w:top w:w="120" w:type="dxa"/>
              <w:left w:w="180" w:type="dxa"/>
              <w:bottom w:w="120" w:type="dxa"/>
              <w:right w:w="180" w:type="dxa"/>
            </w:tcMar>
            <w:vAlign w:val="center"/>
          </w:tcPr>
          <w:p w14:paraId="4CBBE3BB" w14:textId="77777777" w:rsidR="00651FF7" w:rsidRDefault="0006478A">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Target Compound</w:t>
            </w:r>
          </w:p>
        </w:tc>
        <w:tc>
          <w:tcPr>
            <w:tcW w:w="937" w:type="dxa"/>
            <w:tcMar>
              <w:top w:w="120" w:type="dxa"/>
              <w:left w:w="180" w:type="dxa"/>
              <w:bottom w:w="120" w:type="dxa"/>
              <w:right w:w="180" w:type="dxa"/>
            </w:tcMar>
          </w:tcPr>
          <w:p w14:paraId="5F1C5A2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b/>
                <w:sz w:val="16"/>
                <w:szCs w:val="16"/>
              </w:rPr>
              <w:t>Docking Score</w:t>
            </w:r>
          </w:p>
        </w:tc>
        <w:tc>
          <w:tcPr>
            <w:tcW w:w="938" w:type="dxa"/>
            <w:tcMar>
              <w:top w:w="120" w:type="dxa"/>
              <w:left w:w="180" w:type="dxa"/>
              <w:bottom w:w="120" w:type="dxa"/>
              <w:right w:w="180" w:type="dxa"/>
            </w:tcMar>
          </w:tcPr>
          <w:p w14:paraId="5DBB15C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b/>
                <w:sz w:val="16"/>
                <w:szCs w:val="16"/>
              </w:rPr>
              <w:t xml:space="preserve">XP </w:t>
            </w:r>
            <w:proofErr w:type="spellStart"/>
            <w:r>
              <w:rPr>
                <w:rFonts w:ascii="Times New Roman" w:hAnsi="Times New Roman" w:cs="Times New Roman"/>
                <w:b/>
                <w:sz w:val="16"/>
                <w:szCs w:val="16"/>
              </w:rPr>
              <w:t>GScore</w:t>
            </w:r>
            <w:proofErr w:type="spellEnd"/>
          </w:p>
        </w:tc>
        <w:tc>
          <w:tcPr>
            <w:tcW w:w="925" w:type="dxa"/>
            <w:tcMar>
              <w:top w:w="120" w:type="dxa"/>
              <w:left w:w="180" w:type="dxa"/>
              <w:bottom w:w="120" w:type="dxa"/>
              <w:right w:w="180" w:type="dxa"/>
            </w:tcMar>
          </w:tcPr>
          <w:p w14:paraId="6D3F796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b/>
                <w:sz w:val="16"/>
                <w:szCs w:val="16"/>
              </w:rPr>
              <w:t xml:space="preserve">Glide </w:t>
            </w:r>
            <w:proofErr w:type="spellStart"/>
            <w:r>
              <w:rPr>
                <w:rFonts w:ascii="Times New Roman" w:hAnsi="Times New Roman" w:cs="Times New Roman"/>
                <w:b/>
                <w:sz w:val="16"/>
                <w:szCs w:val="16"/>
              </w:rPr>
              <w:t>GScore</w:t>
            </w:r>
            <w:proofErr w:type="spellEnd"/>
          </w:p>
        </w:tc>
        <w:tc>
          <w:tcPr>
            <w:tcW w:w="1050" w:type="dxa"/>
            <w:tcMar>
              <w:top w:w="120" w:type="dxa"/>
              <w:left w:w="180" w:type="dxa"/>
              <w:bottom w:w="120" w:type="dxa"/>
              <w:right w:w="180" w:type="dxa"/>
            </w:tcMar>
          </w:tcPr>
          <w:p w14:paraId="3721B69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b/>
                <w:sz w:val="16"/>
                <w:szCs w:val="16"/>
              </w:rPr>
              <w:t xml:space="preserve">Glide </w:t>
            </w:r>
            <w:proofErr w:type="spellStart"/>
            <w:r>
              <w:rPr>
                <w:rFonts w:ascii="Times New Roman" w:hAnsi="Times New Roman" w:cs="Times New Roman"/>
                <w:b/>
                <w:sz w:val="16"/>
                <w:szCs w:val="16"/>
              </w:rPr>
              <w:t>Emodel</w:t>
            </w:r>
            <w:proofErr w:type="spellEnd"/>
          </w:p>
        </w:tc>
        <w:tc>
          <w:tcPr>
            <w:tcW w:w="1212" w:type="dxa"/>
            <w:tcMar>
              <w:top w:w="120" w:type="dxa"/>
              <w:left w:w="180" w:type="dxa"/>
              <w:bottom w:w="120" w:type="dxa"/>
              <w:right w:w="180" w:type="dxa"/>
            </w:tcMar>
          </w:tcPr>
          <w:p w14:paraId="2366AC0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b/>
                <w:sz w:val="16"/>
                <w:szCs w:val="16"/>
              </w:rPr>
              <w:t>Prime Energy</w:t>
            </w:r>
          </w:p>
        </w:tc>
        <w:tc>
          <w:tcPr>
            <w:tcW w:w="1300" w:type="dxa"/>
            <w:tcMar>
              <w:top w:w="120" w:type="dxa"/>
              <w:left w:w="180" w:type="dxa"/>
              <w:bottom w:w="120" w:type="dxa"/>
              <w:right w:w="180" w:type="dxa"/>
            </w:tcMar>
          </w:tcPr>
          <w:p w14:paraId="34E254F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b/>
                <w:sz w:val="16"/>
                <w:szCs w:val="16"/>
              </w:rPr>
              <w:t xml:space="preserve">MMGBSA </w:t>
            </w:r>
            <w:proofErr w:type="spellStart"/>
            <w:r>
              <w:rPr>
                <w:rFonts w:ascii="Times New Roman" w:hAnsi="Times New Roman" w:cs="Times New Roman"/>
                <w:b/>
                <w:sz w:val="16"/>
                <w:szCs w:val="16"/>
              </w:rPr>
              <w:t>dG</w:t>
            </w:r>
            <w:proofErr w:type="spellEnd"/>
            <w:r>
              <w:rPr>
                <w:rFonts w:ascii="Times New Roman" w:hAnsi="Times New Roman" w:cs="Times New Roman"/>
                <w:b/>
                <w:sz w:val="16"/>
                <w:szCs w:val="16"/>
              </w:rPr>
              <w:t xml:space="preserve"> Bind</w:t>
            </w:r>
          </w:p>
        </w:tc>
        <w:tc>
          <w:tcPr>
            <w:tcW w:w="2025" w:type="dxa"/>
            <w:tcMar>
              <w:top w:w="120" w:type="dxa"/>
              <w:left w:w="180" w:type="dxa"/>
              <w:bottom w:w="120" w:type="dxa"/>
              <w:right w:w="180" w:type="dxa"/>
            </w:tcMar>
          </w:tcPr>
          <w:p w14:paraId="69E2926C"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b/>
                <w:sz w:val="16"/>
                <w:szCs w:val="16"/>
              </w:rPr>
              <w:t>H-Bonds Length</w:t>
            </w:r>
          </w:p>
        </w:tc>
      </w:tr>
      <w:tr w:rsidR="00651FF7" w14:paraId="4AF3DA6B" w14:textId="77777777" w:rsidTr="00096E11">
        <w:trPr>
          <w:trHeight w:val="495"/>
          <w:jc w:val="center"/>
        </w:trPr>
        <w:tc>
          <w:tcPr>
            <w:tcW w:w="930" w:type="dxa"/>
            <w:vMerge w:val="restart"/>
            <w:tcMar>
              <w:top w:w="120" w:type="dxa"/>
              <w:left w:w="180" w:type="dxa"/>
              <w:bottom w:w="120" w:type="dxa"/>
              <w:right w:w="180" w:type="dxa"/>
            </w:tcMar>
            <w:vAlign w:val="center"/>
          </w:tcPr>
          <w:p w14:paraId="1BDFA339" w14:textId="77777777" w:rsidR="00651FF7" w:rsidRDefault="0006478A">
            <w:pPr>
              <w:rPr>
                <w:rFonts w:ascii="Times New Roman" w:eastAsia="Times New Roman" w:hAnsi="Times New Roman" w:cs="Times New Roman"/>
                <w:sz w:val="16"/>
                <w:szCs w:val="16"/>
              </w:rPr>
            </w:pPr>
            <w:r>
              <w:rPr>
                <w:rFonts w:ascii="Times New Roman" w:eastAsia="Times New Roman" w:hAnsi="Times New Roman" w:cs="Times New Roman"/>
                <w:b/>
                <w:sz w:val="16"/>
                <w:szCs w:val="16"/>
              </w:rPr>
              <w:t>BCL-2</w:t>
            </w:r>
          </w:p>
        </w:tc>
        <w:tc>
          <w:tcPr>
            <w:tcW w:w="1213" w:type="dxa"/>
            <w:tcMar>
              <w:top w:w="120" w:type="dxa"/>
              <w:left w:w="180" w:type="dxa"/>
              <w:bottom w:w="120" w:type="dxa"/>
              <w:right w:w="180" w:type="dxa"/>
            </w:tcMar>
          </w:tcPr>
          <w:p w14:paraId="6D8577A7" w14:textId="77777777" w:rsidR="00651FF7" w:rsidRDefault="0006478A">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Alstonine</w:t>
            </w:r>
            <w:proofErr w:type="spellEnd"/>
          </w:p>
        </w:tc>
        <w:tc>
          <w:tcPr>
            <w:tcW w:w="937" w:type="dxa"/>
            <w:tcMar>
              <w:top w:w="120" w:type="dxa"/>
              <w:left w:w="180" w:type="dxa"/>
              <w:bottom w:w="120" w:type="dxa"/>
              <w:right w:w="180" w:type="dxa"/>
            </w:tcMar>
          </w:tcPr>
          <w:p w14:paraId="344C397B"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-5.042</w:t>
            </w:r>
          </w:p>
        </w:tc>
        <w:tc>
          <w:tcPr>
            <w:tcW w:w="938" w:type="dxa"/>
            <w:tcMar>
              <w:top w:w="120" w:type="dxa"/>
              <w:left w:w="180" w:type="dxa"/>
              <w:bottom w:w="120" w:type="dxa"/>
              <w:right w:w="180" w:type="dxa"/>
            </w:tcMar>
          </w:tcPr>
          <w:p w14:paraId="6B45E83E"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-5.042</w:t>
            </w:r>
          </w:p>
        </w:tc>
        <w:tc>
          <w:tcPr>
            <w:tcW w:w="925" w:type="dxa"/>
            <w:tcMar>
              <w:top w:w="120" w:type="dxa"/>
              <w:left w:w="180" w:type="dxa"/>
              <w:bottom w:w="120" w:type="dxa"/>
              <w:right w:w="180" w:type="dxa"/>
            </w:tcMar>
          </w:tcPr>
          <w:p w14:paraId="73EB741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-5.042</w:t>
            </w:r>
          </w:p>
        </w:tc>
        <w:tc>
          <w:tcPr>
            <w:tcW w:w="1050" w:type="dxa"/>
            <w:tcMar>
              <w:top w:w="120" w:type="dxa"/>
              <w:left w:w="180" w:type="dxa"/>
              <w:bottom w:w="120" w:type="dxa"/>
              <w:right w:w="180" w:type="dxa"/>
            </w:tcMar>
          </w:tcPr>
          <w:p w14:paraId="2AD1104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-33.231</w:t>
            </w:r>
          </w:p>
        </w:tc>
        <w:tc>
          <w:tcPr>
            <w:tcW w:w="1212" w:type="dxa"/>
            <w:tcMar>
              <w:top w:w="120" w:type="dxa"/>
              <w:left w:w="180" w:type="dxa"/>
              <w:bottom w:w="120" w:type="dxa"/>
              <w:right w:w="180" w:type="dxa"/>
            </w:tcMar>
          </w:tcPr>
          <w:p w14:paraId="316AA573"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-6275.1</w:t>
            </w:r>
          </w:p>
        </w:tc>
        <w:tc>
          <w:tcPr>
            <w:tcW w:w="1300" w:type="dxa"/>
            <w:tcMar>
              <w:top w:w="120" w:type="dxa"/>
              <w:left w:w="180" w:type="dxa"/>
              <w:bottom w:w="120" w:type="dxa"/>
              <w:right w:w="180" w:type="dxa"/>
            </w:tcMar>
          </w:tcPr>
          <w:p w14:paraId="6359F9F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-31.05</w:t>
            </w:r>
          </w:p>
        </w:tc>
        <w:tc>
          <w:tcPr>
            <w:tcW w:w="2025" w:type="dxa"/>
            <w:tcMar>
              <w:top w:w="120" w:type="dxa"/>
              <w:left w:w="180" w:type="dxa"/>
              <w:bottom w:w="120" w:type="dxa"/>
              <w:right w:w="180" w:type="dxa"/>
            </w:tcMar>
          </w:tcPr>
          <w:p w14:paraId="0DD6E2EE"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AGR 88 - 1.84A</w:t>
            </w:r>
          </w:p>
          <w:p w14:paraId="07CC7D6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AGR 88 - 2.73A</w:t>
            </w:r>
          </w:p>
        </w:tc>
      </w:tr>
      <w:tr w:rsidR="00651FF7" w14:paraId="057E6934" w14:textId="77777777" w:rsidTr="00096E11">
        <w:trPr>
          <w:trHeight w:val="495"/>
          <w:jc w:val="center"/>
        </w:trPr>
        <w:tc>
          <w:tcPr>
            <w:tcW w:w="930" w:type="dxa"/>
            <w:vMerge/>
            <w:tcMar>
              <w:top w:w="120" w:type="dxa"/>
              <w:left w:w="180" w:type="dxa"/>
              <w:bottom w:w="120" w:type="dxa"/>
              <w:right w:w="180" w:type="dxa"/>
            </w:tcMar>
            <w:vAlign w:val="center"/>
          </w:tcPr>
          <w:p w14:paraId="080F1A55"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4671F21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1</w:t>
            </w:r>
          </w:p>
        </w:tc>
        <w:tc>
          <w:tcPr>
            <w:tcW w:w="937" w:type="dxa"/>
            <w:tcMar>
              <w:top w:w="120" w:type="dxa"/>
              <w:left w:w="180" w:type="dxa"/>
              <w:bottom w:w="120" w:type="dxa"/>
              <w:right w:w="180" w:type="dxa"/>
            </w:tcMar>
          </w:tcPr>
          <w:p w14:paraId="1C613393"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-3.240</w:t>
            </w:r>
          </w:p>
        </w:tc>
        <w:tc>
          <w:tcPr>
            <w:tcW w:w="938" w:type="dxa"/>
            <w:tcMar>
              <w:top w:w="120" w:type="dxa"/>
              <w:left w:w="180" w:type="dxa"/>
              <w:bottom w:w="120" w:type="dxa"/>
              <w:right w:w="180" w:type="dxa"/>
            </w:tcMar>
          </w:tcPr>
          <w:p w14:paraId="5804525C"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-3.789</w:t>
            </w:r>
          </w:p>
        </w:tc>
        <w:tc>
          <w:tcPr>
            <w:tcW w:w="925" w:type="dxa"/>
            <w:tcMar>
              <w:top w:w="120" w:type="dxa"/>
              <w:left w:w="180" w:type="dxa"/>
              <w:bottom w:w="120" w:type="dxa"/>
              <w:right w:w="180" w:type="dxa"/>
            </w:tcMar>
          </w:tcPr>
          <w:p w14:paraId="38D889F6"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-3.789</w:t>
            </w:r>
          </w:p>
        </w:tc>
        <w:tc>
          <w:tcPr>
            <w:tcW w:w="1050" w:type="dxa"/>
            <w:tcMar>
              <w:top w:w="120" w:type="dxa"/>
              <w:left w:w="180" w:type="dxa"/>
              <w:bottom w:w="120" w:type="dxa"/>
              <w:right w:w="180" w:type="dxa"/>
            </w:tcMar>
          </w:tcPr>
          <w:p w14:paraId="6631637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-42.074</w:t>
            </w:r>
          </w:p>
        </w:tc>
        <w:tc>
          <w:tcPr>
            <w:tcW w:w="1212" w:type="dxa"/>
            <w:tcMar>
              <w:top w:w="120" w:type="dxa"/>
              <w:left w:w="180" w:type="dxa"/>
              <w:bottom w:w="120" w:type="dxa"/>
              <w:right w:w="180" w:type="dxa"/>
            </w:tcMar>
          </w:tcPr>
          <w:p w14:paraId="0FC2399B"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-6278.6</w:t>
            </w:r>
          </w:p>
        </w:tc>
        <w:tc>
          <w:tcPr>
            <w:tcW w:w="1300" w:type="dxa"/>
            <w:tcMar>
              <w:top w:w="120" w:type="dxa"/>
              <w:left w:w="180" w:type="dxa"/>
              <w:bottom w:w="120" w:type="dxa"/>
              <w:right w:w="180" w:type="dxa"/>
            </w:tcMar>
          </w:tcPr>
          <w:p w14:paraId="2928B39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-37.94</w:t>
            </w:r>
          </w:p>
        </w:tc>
        <w:tc>
          <w:tcPr>
            <w:tcW w:w="2025" w:type="dxa"/>
            <w:tcMar>
              <w:top w:w="120" w:type="dxa"/>
              <w:left w:w="180" w:type="dxa"/>
              <w:bottom w:w="120" w:type="dxa"/>
              <w:right w:w="180" w:type="dxa"/>
            </w:tcMar>
          </w:tcPr>
          <w:p w14:paraId="197DADB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ARG 105 - 2.73A</w:t>
            </w:r>
          </w:p>
        </w:tc>
      </w:tr>
      <w:tr w:rsidR="00651FF7" w14:paraId="7DB749D5" w14:textId="77777777" w:rsidTr="00096E11">
        <w:trPr>
          <w:trHeight w:val="495"/>
          <w:jc w:val="center"/>
        </w:trPr>
        <w:tc>
          <w:tcPr>
            <w:tcW w:w="930" w:type="dxa"/>
            <w:vMerge/>
            <w:tcMar>
              <w:top w:w="120" w:type="dxa"/>
              <w:left w:w="180" w:type="dxa"/>
              <w:bottom w:w="120" w:type="dxa"/>
              <w:right w:w="180" w:type="dxa"/>
            </w:tcMar>
            <w:vAlign w:val="center"/>
          </w:tcPr>
          <w:p w14:paraId="5D969EF2"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765C8673"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2</w:t>
            </w:r>
          </w:p>
        </w:tc>
        <w:tc>
          <w:tcPr>
            <w:tcW w:w="937" w:type="dxa"/>
            <w:tcMar>
              <w:top w:w="120" w:type="dxa"/>
              <w:left w:w="180" w:type="dxa"/>
              <w:bottom w:w="120" w:type="dxa"/>
              <w:right w:w="180" w:type="dxa"/>
            </w:tcMar>
          </w:tcPr>
          <w:p w14:paraId="569ED021"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-4.154</w:t>
            </w:r>
          </w:p>
        </w:tc>
        <w:tc>
          <w:tcPr>
            <w:tcW w:w="938" w:type="dxa"/>
            <w:tcMar>
              <w:top w:w="120" w:type="dxa"/>
              <w:left w:w="180" w:type="dxa"/>
              <w:bottom w:w="120" w:type="dxa"/>
              <w:right w:w="180" w:type="dxa"/>
            </w:tcMar>
          </w:tcPr>
          <w:p w14:paraId="25A360A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-4.703</w:t>
            </w:r>
          </w:p>
        </w:tc>
        <w:tc>
          <w:tcPr>
            <w:tcW w:w="925" w:type="dxa"/>
            <w:tcMar>
              <w:top w:w="120" w:type="dxa"/>
              <w:left w:w="180" w:type="dxa"/>
              <w:bottom w:w="120" w:type="dxa"/>
              <w:right w:w="180" w:type="dxa"/>
            </w:tcMar>
          </w:tcPr>
          <w:p w14:paraId="07BE9D6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-4.703</w:t>
            </w:r>
          </w:p>
        </w:tc>
        <w:tc>
          <w:tcPr>
            <w:tcW w:w="1050" w:type="dxa"/>
            <w:tcMar>
              <w:top w:w="120" w:type="dxa"/>
              <w:left w:w="180" w:type="dxa"/>
              <w:bottom w:w="120" w:type="dxa"/>
              <w:right w:w="180" w:type="dxa"/>
            </w:tcMar>
          </w:tcPr>
          <w:p w14:paraId="36A9A35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-41.662</w:t>
            </w:r>
          </w:p>
        </w:tc>
        <w:tc>
          <w:tcPr>
            <w:tcW w:w="1212" w:type="dxa"/>
            <w:tcMar>
              <w:top w:w="120" w:type="dxa"/>
              <w:left w:w="180" w:type="dxa"/>
              <w:bottom w:w="120" w:type="dxa"/>
              <w:right w:w="180" w:type="dxa"/>
            </w:tcMar>
          </w:tcPr>
          <w:p w14:paraId="24EBB3B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-6274.4</w:t>
            </w:r>
          </w:p>
        </w:tc>
        <w:tc>
          <w:tcPr>
            <w:tcW w:w="1300" w:type="dxa"/>
            <w:tcMar>
              <w:top w:w="120" w:type="dxa"/>
              <w:left w:w="180" w:type="dxa"/>
              <w:bottom w:w="120" w:type="dxa"/>
              <w:right w:w="180" w:type="dxa"/>
            </w:tcMar>
          </w:tcPr>
          <w:p w14:paraId="015A6A6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-34.63</w:t>
            </w:r>
          </w:p>
        </w:tc>
        <w:tc>
          <w:tcPr>
            <w:tcW w:w="2025" w:type="dxa"/>
            <w:tcMar>
              <w:top w:w="120" w:type="dxa"/>
              <w:left w:w="180" w:type="dxa"/>
              <w:bottom w:w="120" w:type="dxa"/>
              <w:right w:w="180" w:type="dxa"/>
            </w:tcMar>
          </w:tcPr>
          <w:p w14:paraId="04B0624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Nil</w:t>
            </w:r>
          </w:p>
        </w:tc>
      </w:tr>
      <w:tr w:rsidR="00651FF7" w14:paraId="4126B4E9" w14:textId="77777777" w:rsidTr="00096E11">
        <w:trPr>
          <w:trHeight w:val="495"/>
          <w:jc w:val="center"/>
        </w:trPr>
        <w:tc>
          <w:tcPr>
            <w:tcW w:w="930" w:type="dxa"/>
            <w:vMerge/>
            <w:tcMar>
              <w:top w:w="120" w:type="dxa"/>
              <w:left w:w="180" w:type="dxa"/>
              <w:bottom w:w="120" w:type="dxa"/>
              <w:right w:w="180" w:type="dxa"/>
            </w:tcMar>
            <w:vAlign w:val="center"/>
          </w:tcPr>
          <w:p w14:paraId="7B98685E"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20E8E5F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3</w:t>
            </w:r>
          </w:p>
        </w:tc>
        <w:tc>
          <w:tcPr>
            <w:tcW w:w="937" w:type="dxa"/>
            <w:tcMar>
              <w:top w:w="120" w:type="dxa"/>
              <w:left w:w="180" w:type="dxa"/>
              <w:bottom w:w="120" w:type="dxa"/>
              <w:right w:w="180" w:type="dxa"/>
            </w:tcMar>
          </w:tcPr>
          <w:p w14:paraId="21CC2741"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-4.004</w:t>
            </w:r>
          </w:p>
        </w:tc>
        <w:tc>
          <w:tcPr>
            <w:tcW w:w="938" w:type="dxa"/>
            <w:tcMar>
              <w:top w:w="120" w:type="dxa"/>
              <w:left w:w="180" w:type="dxa"/>
              <w:bottom w:w="120" w:type="dxa"/>
              <w:right w:w="180" w:type="dxa"/>
            </w:tcMar>
          </w:tcPr>
          <w:p w14:paraId="300AA44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-4.303</w:t>
            </w:r>
          </w:p>
        </w:tc>
        <w:tc>
          <w:tcPr>
            <w:tcW w:w="925" w:type="dxa"/>
            <w:tcMar>
              <w:top w:w="120" w:type="dxa"/>
              <w:left w:w="180" w:type="dxa"/>
              <w:bottom w:w="120" w:type="dxa"/>
              <w:right w:w="180" w:type="dxa"/>
            </w:tcMar>
          </w:tcPr>
          <w:p w14:paraId="234C41E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-4.303</w:t>
            </w:r>
          </w:p>
        </w:tc>
        <w:tc>
          <w:tcPr>
            <w:tcW w:w="1050" w:type="dxa"/>
            <w:tcMar>
              <w:top w:w="120" w:type="dxa"/>
              <w:left w:w="180" w:type="dxa"/>
              <w:bottom w:w="120" w:type="dxa"/>
              <w:right w:w="180" w:type="dxa"/>
            </w:tcMar>
          </w:tcPr>
          <w:p w14:paraId="3F8A2C0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-34.924</w:t>
            </w:r>
          </w:p>
        </w:tc>
        <w:tc>
          <w:tcPr>
            <w:tcW w:w="1212" w:type="dxa"/>
            <w:tcMar>
              <w:top w:w="120" w:type="dxa"/>
              <w:left w:w="180" w:type="dxa"/>
              <w:bottom w:w="120" w:type="dxa"/>
              <w:right w:w="180" w:type="dxa"/>
            </w:tcMar>
          </w:tcPr>
          <w:p w14:paraId="32C7662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-6271.2</w:t>
            </w:r>
          </w:p>
        </w:tc>
        <w:tc>
          <w:tcPr>
            <w:tcW w:w="1300" w:type="dxa"/>
            <w:tcMar>
              <w:top w:w="120" w:type="dxa"/>
              <w:left w:w="180" w:type="dxa"/>
              <w:bottom w:w="120" w:type="dxa"/>
              <w:right w:w="180" w:type="dxa"/>
            </w:tcMar>
          </w:tcPr>
          <w:p w14:paraId="26A6B1B3"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-26.17</w:t>
            </w:r>
          </w:p>
        </w:tc>
        <w:tc>
          <w:tcPr>
            <w:tcW w:w="2025" w:type="dxa"/>
            <w:tcMar>
              <w:top w:w="120" w:type="dxa"/>
              <w:left w:w="180" w:type="dxa"/>
              <w:bottom w:w="120" w:type="dxa"/>
              <w:right w:w="180" w:type="dxa"/>
            </w:tcMar>
          </w:tcPr>
          <w:p w14:paraId="63FBD719"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ARG 105 - 1.96A</w:t>
            </w:r>
          </w:p>
          <w:p w14:paraId="4F77C75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ARG 105 - 2.12A</w:t>
            </w:r>
          </w:p>
        </w:tc>
      </w:tr>
      <w:tr w:rsidR="00651FF7" w14:paraId="6CA2E3CE" w14:textId="77777777" w:rsidTr="00096E11">
        <w:trPr>
          <w:trHeight w:val="495"/>
          <w:jc w:val="center"/>
        </w:trPr>
        <w:tc>
          <w:tcPr>
            <w:tcW w:w="930" w:type="dxa"/>
            <w:vMerge/>
            <w:tcMar>
              <w:top w:w="120" w:type="dxa"/>
              <w:left w:w="180" w:type="dxa"/>
              <w:bottom w:w="120" w:type="dxa"/>
              <w:right w:w="180" w:type="dxa"/>
            </w:tcMar>
            <w:vAlign w:val="center"/>
          </w:tcPr>
          <w:p w14:paraId="04F72EDB"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19CD43BB" w14:textId="77777777" w:rsidR="00651FF7" w:rsidRDefault="0006478A">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Lisaftoclax</w:t>
            </w:r>
            <w:proofErr w:type="spellEnd"/>
            <w:r>
              <w:rPr>
                <w:rFonts w:ascii="Times New Roman" w:hAnsi="Times New Roman" w:cs="Times New Roman"/>
                <w:sz w:val="16"/>
                <w:szCs w:val="16"/>
              </w:rPr>
              <w:t xml:space="preserve"> 1</w:t>
            </w:r>
          </w:p>
        </w:tc>
        <w:tc>
          <w:tcPr>
            <w:tcW w:w="937" w:type="dxa"/>
            <w:tcMar>
              <w:top w:w="120" w:type="dxa"/>
              <w:left w:w="180" w:type="dxa"/>
              <w:bottom w:w="120" w:type="dxa"/>
              <w:right w:w="180" w:type="dxa"/>
            </w:tcMar>
          </w:tcPr>
          <w:p w14:paraId="72AC0AF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-3.568</w:t>
            </w:r>
          </w:p>
        </w:tc>
        <w:tc>
          <w:tcPr>
            <w:tcW w:w="938" w:type="dxa"/>
            <w:tcMar>
              <w:top w:w="120" w:type="dxa"/>
              <w:left w:w="180" w:type="dxa"/>
              <w:bottom w:w="120" w:type="dxa"/>
              <w:right w:w="180" w:type="dxa"/>
            </w:tcMar>
          </w:tcPr>
          <w:p w14:paraId="4D2C874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-5.782</w:t>
            </w:r>
          </w:p>
        </w:tc>
        <w:tc>
          <w:tcPr>
            <w:tcW w:w="925" w:type="dxa"/>
            <w:tcMar>
              <w:top w:w="120" w:type="dxa"/>
              <w:left w:w="180" w:type="dxa"/>
              <w:bottom w:w="120" w:type="dxa"/>
              <w:right w:w="180" w:type="dxa"/>
            </w:tcMar>
          </w:tcPr>
          <w:p w14:paraId="404DC25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-5.782</w:t>
            </w:r>
          </w:p>
        </w:tc>
        <w:tc>
          <w:tcPr>
            <w:tcW w:w="1050" w:type="dxa"/>
            <w:tcMar>
              <w:top w:w="120" w:type="dxa"/>
              <w:left w:w="180" w:type="dxa"/>
              <w:bottom w:w="120" w:type="dxa"/>
              <w:right w:w="180" w:type="dxa"/>
            </w:tcMar>
          </w:tcPr>
          <w:p w14:paraId="022696B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-75.884</w:t>
            </w:r>
          </w:p>
        </w:tc>
        <w:tc>
          <w:tcPr>
            <w:tcW w:w="1212" w:type="dxa"/>
            <w:tcMar>
              <w:top w:w="120" w:type="dxa"/>
              <w:left w:w="180" w:type="dxa"/>
              <w:bottom w:w="120" w:type="dxa"/>
              <w:right w:w="180" w:type="dxa"/>
            </w:tcMar>
          </w:tcPr>
          <w:p w14:paraId="1D70F36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-6257.2</w:t>
            </w:r>
          </w:p>
        </w:tc>
        <w:tc>
          <w:tcPr>
            <w:tcW w:w="1300" w:type="dxa"/>
            <w:tcMar>
              <w:top w:w="120" w:type="dxa"/>
              <w:left w:w="180" w:type="dxa"/>
              <w:bottom w:w="120" w:type="dxa"/>
              <w:right w:w="180" w:type="dxa"/>
            </w:tcMar>
          </w:tcPr>
          <w:p w14:paraId="11357E4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-61.56</w:t>
            </w:r>
          </w:p>
        </w:tc>
        <w:tc>
          <w:tcPr>
            <w:tcW w:w="2025" w:type="dxa"/>
            <w:tcMar>
              <w:top w:w="120" w:type="dxa"/>
              <w:left w:w="180" w:type="dxa"/>
              <w:bottom w:w="120" w:type="dxa"/>
              <w:right w:w="180" w:type="dxa"/>
            </w:tcMar>
          </w:tcPr>
          <w:p w14:paraId="4C391598"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ARG 105 - 2.22A</w:t>
            </w:r>
          </w:p>
          <w:p w14:paraId="44FE58D6"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ASN 105 - 1.55A</w:t>
            </w:r>
          </w:p>
        </w:tc>
      </w:tr>
      <w:tr w:rsidR="00651FF7" w14:paraId="3E3452F8" w14:textId="77777777" w:rsidTr="00096E11">
        <w:trPr>
          <w:trHeight w:val="495"/>
          <w:jc w:val="center"/>
        </w:trPr>
        <w:tc>
          <w:tcPr>
            <w:tcW w:w="930" w:type="dxa"/>
            <w:vMerge/>
            <w:tcMar>
              <w:top w:w="120" w:type="dxa"/>
              <w:left w:w="180" w:type="dxa"/>
              <w:bottom w:w="120" w:type="dxa"/>
              <w:right w:w="180" w:type="dxa"/>
            </w:tcMar>
            <w:vAlign w:val="center"/>
          </w:tcPr>
          <w:p w14:paraId="400A3C6A"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63BC7B9B" w14:textId="77777777" w:rsidR="00651FF7" w:rsidRDefault="0006478A">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Lisaftoclax</w:t>
            </w:r>
            <w:proofErr w:type="spellEnd"/>
            <w:r>
              <w:rPr>
                <w:rFonts w:ascii="Times New Roman" w:hAnsi="Times New Roman" w:cs="Times New Roman"/>
                <w:sz w:val="16"/>
                <w:szCs w:val="16"/>
              </w:rPr>
              <w:t xml:space="preserve"> 2</w:t>
            </w:r>
          </w:p>
        </w:tc>
        <w:tc>
          <w:tcPr>
            <w:tcW w:w="937" w:type="dxa"/>
            <w:tcMar>
              <w:top w:w="120" w:type="dxa"/>
              <w:left w:w="180" w:type="dxa"/>
              <w:bottom w:w="120" w:type="dxa"/>
              <w:right w:w="180" w:type="dxa"/>
            </w:tcMar>
          </w:tcPr>
          <w:p w14:paraId="50DEE5F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-0.375</w:t>
            </w:r>
          </w:p>
        </w:tc>
        <w:tc>
          <w:tcPr>
            <w:tcW w:w="938" w:type="dxa"/>
            <w:tcMar>
              <w:top w:w="120" w:type="dxa"/>
              <w:left w:w="180" w:type="dxa"/>
              <w:bottom w:w="120" w:type="dxa"/>
              <w:right w:w="180" w:type="dxa"/>
            </w:tcMar>
          </w:tcPr>
          <w:p w14:paraId="1229FE5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-0.389</w:t>
            </w:r>
          </w:p>
        </w:tc>
        <w:tc>
          <w:tcPr>
            <w:tcW w:w="925" w:type="dxa"/>
            <w:tcMar>
              <w:top w:w="120" w:type="dxa"/>
              <w:left w:w="180" w:type="dxa"/>
              <w:bottom w:w="120" w:type="dxa"/>
              <w:right w:w="180" w:type="dxa"/>
            </w:tcMar>
          </w:tcPr>
          <w:p w14:paraId="700F2ADE"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-0.389</w:t>
            </w:r>
          </w:p>
        </w:tc>
        <w:tc>
          <w:tcPr>
            <w:tcW w:w="1050" w:type="dxa"/>
            <w:tcMar>
              <w:top w:w="120" w:type="dxa"/>
              <w:left w:w="180" w:type="dxa"/>
              <w:bottom w:w="120" w:type="dxa"/>
              <w:right w:w="180" w:type="dxa"/>
            </w:tcMar>
          </w:tcPr>
          <w:p w14:paraId="10EC69A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-86.587</w:t>
            </w:r>
          </w:p>
        </w:tc>
        <w:tc>
          <w:tcPr>
            <w:tcW w:w="1212" w:type="dxa"/>
            <w:tcMar>
              <w:top w:w="120" w:type="dxa"/>
              <w:left w:w="180" w:type="dxa"/>
              <w:bottom w:w="120" w:type="dxa"/>
              <w:right w:w="180" w:type="dxa"/>
            </w:tcMar>
          </w:tcPr>
          <w:p w14:paraId="589D1D61"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-6265.5</w:t>
            </w:r>
          </w:p>
        </w:tc>
        <w:tc>
          <w:tcPr>
            <w:tcW w:w="1300" w:type="dxa"/>
            <w:tcMar>
              <w:top w:w="120" w:type="dxa"/>
              <w:left w:w="180" w:type="dxa"/>
              <w:bottom w:w="120" w:type="dxa"/>
              <w:right w:w="180" w:type="dxa"/>
            </w:tcMar>
          </w:tcPr>
          <w:p w14:paraId="1E7CEE8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-60.36</w:t>
            </w:r>
          </w:p>
        </w:tc>
        <w:tc>
          <w:tcPr>
            <w:tcW w:w="2025" w:type="dxa"/>
            <w:tcMar>
              <w:top w:w="120" w:type="dxa"/>
              <w:left w:w="180" w:type="dxa"/>
              <w:bottom w:w="120" w:type="dxa"/>
              <w:right w:w="180" w:type="dxa"/>
            </w:tcMar>
          </w:tcPr>
          <w:p w14:paraId="39D868AC"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ASP 99 - 1.58A</w:t>
            </w:r>
          </w:p>
        </w:tc>
      </w:tr>
      <w:tr w:rsidR="00651FF7" w14:paraId="5354F8DF" w14:textId="77777777" w:rsidTr="00096E11">
        <w:trPr>
          <w:trHeight w:val="495"/>
          <w:jc w:val="center"/>
        </w:trPr>
        <w:tc>
          <w:tcPr>
            <w:tcW w:w="930" w:type="dxa"/>
            <w:vMerge w:val="restart"/>
            <w:tcMar>
              <w:top w:w="120" w:type="dxa"/>
              <w:left w:w="180" w:type="dxa"/>
              <w:bottom w:w="120" w:type="dxa"/>
              <w:right w:w="180" w:type="dxa"/>
            </w:tcMar>
            <w:vAlign w:val="center"/>
          </w:tcPr>
          <w:p w14:paraId="785FCEAE" w14:textId="77777777" w:rsidR="00651FF7" w:rsidRDefault="0006478A">
            <w:pPr>
              <w:rPr>
                <w:rFonts w:ascii="Times New Roman" w:eastAsia="Times New Roman" w:hAnsi="Times New Roman" w:cs="Times New Roman"/>
                <w:sz w:val="16"/>
                <w:szCs w:val="16"/>
              </w:rPr>
            </w:pPr>
            <w:r>
              <w:rPr>
                <w:rFonts w:ascii="Times New Roman" w:eastAsia="Times New Roman" w:hAnsi="Times New Roman" w:cs="Times New Roman"/>
                <w:b/>
                <w:sz w:val="16"/>
                <w:szCs w:val="16"/>
              </w:rPr>
              <w:t>PI3K</w:t>
            </w:r>
          </w:p>
        </w:tc>
        <w:tc>
          <w:tcPr>
            <w:tcW w:w="1213" w:type="dxa"/>
            <w:tcMar>
              <w:top w:w="120" w:type="dxa"/>
              <w:left w:w="180" w:type="dxa"/>
              <w:bottom w:w="120" w:type="dxa"/>
              <w:right w:w="180" w:type="dxa"/>
            </w:tcMar>
          </w:tcPr>
          <w:p w14:paraId="0E88DA35" w14:textId="77777777" w:rsidR="00651FF7" w:rsidRDefault="0006478A">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Alstonine</w:t>
            </w:r>
            <w:proofErr w:type="spellEnd"/>
          </w:p>
        </w:tc>
        <w:tc>
          <w:tcPr>
            <w:tcW w:w="937" w:type="dxa"/>
            <w:tcMar>
              <w:top w:w="120" w:type="dxa"/>
              <w:left w:w="180" w:type="dxa"/>
              <w:bottom w:w="120" w:type="dxa"/>
              <w:right w:w="180" w:type="dxa"/>
            </w:tcMar>
          </w:tcPr>
          <w:p w14:paraId="3327D36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-6.017</w:t>
            </w:r>
          </w:p>
        </w:tc>
        <w:tc>
          <w:tcPr>
            <w:tcW w:w="938" w:type="dxa"/>
            <w:tcMar>
              <w:top w:w="120" w:type="dxa"/>
              <w:left w:w="180" w:type="dxa"/>
              <w:bottom w:w="120" w:type="dxa"/>
              <w:right w:w="180" w:type="dxa"/>
            </w:tcMar>
          </w:tcPr>
          <w:p w14:paraId="19E71B4C"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-6.017</w:t>
            </w:r>
          </w:p>
        </w:tc>
        <w:tc>
          <w:tcPr>
            <w:tcW w:w="925" w:type="dxa"/>
            <w:tcMar>
              <w:top w:w="120" w:type="dxa"/>
              <w:left w:w="180" w:type="dxa"/>
              <w:bottom w:w="120" w:type="dxa"/>
              <w:right w:w="180" w:type="dxa"/>
            </w:tcMar>
          </w:tcPr>
          <w:p w14:paraId="520F018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-6.017</w:t>
            </w:r>
          </w:p>
        </w:tc>
        <w:tc>
          <w:tcPr>
            <w:tcW w:w="1050" w:type="dxa"/>
            <w:tcMar>
              <w:top w:w="120" w:type="dxa"/>
              <w:left w:w="180" w:type="dxa"/>
              <w:bottom w:w="120" w:type="dxa"/>
              <w:right w:w="180" w:type="dxa"/>
            </w:tcMar>
          </w:tcPr>
          <w:p w14:paraId="24B9BC5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-51.841</w:t>
            </w:r>
          </w:p>
        </w:tc>
        <w:tc>
          <w:tcPr>
            <w:tcW w:w="1212" w:type="dxa"/>
            <w:tcMar>
              <w:top w:w="120" w:type="dxa"/>
              <w:left w:w="180" w:type="dxa"/>
              <w:bottom w:w="120" w:type="dxa"/>
              <w:right w:w="180" w:type="dxa"/>
            </w:tcMar>
          </w:tcPr>
          <w:p w14:paraId="047AD62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-40547.7</w:t>
            </w:r>
          </w:p>
        </w:tc>
        <w:tc>
          <w:tcPr>
            <w:tcW w:w="1300" w:type="dxa"/>
            <w:tcMar>
              <w:top w:w="120" w:type="dxa"/>
              <w:left w:w="180" w:type="dxa"/>
              <w:bottom w:w="120" w:type="dxa"/>
              <w:right w:w="180" w:type="dxa"/>
            </w:tcMar>
          </w:tcPr>
          <w:p w14:paraId="7775943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-53.33</w:t>
            </w:r>
          </w:p>
        </w:tc>
        <w:tc>
          <w:tcPr>
            <w:tcW w:w="2025" w:type="dxa"/>
            <w:tcMar>
              <w:top w:w="120" w:type="dxa"/>
              <w:left w:w="180" w:type="dxa"/>
              <w:bottom w:w="120" w:type="dxa"/>
              <w:right w:w="180" w:type="dxa"/>
            </w:tcMar>
          </w:tcPr>
          <w:p w14:paraId="74C4E9B5"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VAL 826 - 2.71A</w:t>
            </w:r>
          </w:p>
          <w:p w14:paraId="4146C73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SER 831 - 2.07A</w:t>
            </w:r>
          </w:p>
        </w:tc>
      </w:tr>
      <w:tr w:rsidR="00651FF7" w14:paraId="47ED4233" w14:textId="77777777" w:rsidTr="00096E11">
        <w:trPr>
          <w:trHeight w:val="495"/>
          <w:jc w:val="center"/>
        </w:trPr>
        <w:tc>
          <w:tcPr>
            <w:tcW w:w="930" w:type="dxa"/>
            <w:vMerge/>
            <w:tcMar>
              <w:top w:w="120" w:type="dxa"/>
              <w:left w:w="180" w:type="dxa"/>
              <w:bottom w:w="120" w:type="dxa"/>
              <w:right w:w="180" w:type="dxa"/>
            </w:tcMar>
            <w:vAlign w:val="center"/>
          </w:tcPr>
          <w:p w14:paraId="7DDC5AD3"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09954C5D" w14:textId="77777777" w:rsidR="00651FF7" w:rsidRDefault="0006478A">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Alpesilib</w:t>
            </w:r>
            <w:proofErr w:type="spellEnd"/>
          </w:p>
        </w:tc>
        <w:tc>
          <w:tcPr>
            <w:tcW w:w="937" w:type="dxa"/>
            <w:tcMar>
              <w:top w:w="120" w:type="dxa"/>
              <w:left w:w="180" w:type="dxa"/>
              <w:bottom w:w="120" w:type="dxa"/>
              <w:right w:w="180" w:type="dxa"/>
            </w:tcMar>
          </w:tcPr>
          <w:p w14:paraId="3F9F3B11"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-9.706</w:t>
            </w:r>
          </w:p>
        </w:tc>
        <w:tc>
          <w:tcPr>
            <w:tcW w:w="938" w:type="dxa"/>
            <w:tcMar>
              <w:top w:w="120" w:type="dxa"/>
              <w:left w:w="180" w:type="dxa"/>
              <w:bottom w:w="120" w:type="dxa"/>
              <w:right w:w="180" w:type="dxa"/>
            </w:tcMar>
          </w:tcPr>
          <w:p w14:paraId="5AA9C641"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-9.706</w:t>
            </w:r>
          </w:p>
        </w:tc>
        <w:tc>
          <w:tcPr>
            <w:tcW w:w="925" w:type="dxa"/>
            <w:tcMar>
              <w:top w:w="120" w:type="dxa"/>
              <w:left w:w="180" w:type="dxa"/>
              <w:bottom w:w="120" w:type="dxa"/>
              <w:right w:w="180" w:type="dxa"/>
            </w:tcMar>
          </w:tcPr>
          <w:p w14:paraId="3E27859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-9.706</w:t>
            </w:r>
          </w:p>
        </w:tc>
        <w:tc>
          <w:tcPr>
            <w:tcW w:w="1050" w:type="dxa"/>
            <w:tcMar>
              <w:top w:w="120" w:type="dxa"/>
              <w:left w:w="180" w:type="dxa"/>
              <w:bottom w:w="120" w:type="dxa"/>
              <w:right w:w="180" w:type="dxa"/>
            </w:tcMar>
          </w:tcPr>
          <w:p w14:paraId="0D3D448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-87.451</w:t>
            </w:r>
          </w:p>
        </w:tc>
        <w:tc>
          <w:tcPr>
            <w:tcW w:w="1212" w:type="dxa"/>
            <w:tcMar>
              <w:top w:w="120" w:type="dxa"/>
              <w:left w:w="180" w:type="dxa"/>
              <w:bottom w:w="120" w:type="dxa"/>
              <w:right w:w="180" w:type="dxa"/>
            </w:tcMar>
          </w:tcPr>
          <w:p w14:paraId="027BCCB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-40580.1</w:t>
            </w:r>
          </w:p>
        </w:tc>
        <w:tc>
          <w:tcPr>
            <w:tcW w:w="1300" w:type="dxa"/>
            <w:tcMar>
              <w:top w:w="120" w:type="dxa"/>
              <w:left w:w="180" w:type="dxa"/>
              <w:bottom w:w="120" w:type="dxa"/>
              <w:right w:w="180" w:type="dxa"/>
            </w:tcMar>
          </w:tcPr>
          <w:p w14:paraId="626A174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-60.10</w:t>
            </w:r>
          </w:p>
        </w:tc>
        <w:tc>
          <w:tcPr>
            <w:tcW w:w="2025" w:type="dxa"/>
            <w:tcMar>
              <w:top w:w="120" w:type="dxa"/>
              <w:left w:w="180" w:type="dxa"/>
              <w:bottom w:w="120" w:type="dxa"/>
              <w:right w:w="180" w:type="dxa"/>
            </w:tcMar>
          </w:tcPr>
          <w:p w14:paraId="1B0B9D25"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VAL 828 - 2.59A and 2.41A</w:t>
            </w:r>
          </w:p>
          <w:p w14:paraId="27984E37"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ASP 832 - 2.38A</w:t>
            </w:r>
          </w:p>
          <w:p w14:paraId="18FD492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SER 831 - 1.80A</w:t>
            </w:r>
          </w:p>
        </w:tc>
      </w:tr>
      <w:tr w:rsidR="00651FF7" w14:paraId="6365CBAF" w14:textId="77777777" w:rsidTr="00096E11">
        <w:trPr>
          <w:trHeight w:val="495"/>
          <w:jc w:val="center"/>
        </w:trPr>
        <w:tc>
          <w:tcPr>
            <w:tcW w:w="930" w:type="dxa"/>
            <w:vMerge/>
            <w:tcMar>
              <w:top w:w="120" w:type="dxa"/>
              <w:left w:w="180" w:type="dxa"/>
              <w:bottom w:w="120" w:type="dxa"/>
              <w:right w:w="180" w:type="dxa"/>
            </w:tcMar>
            <w:vAlign w:val="center"/>
          </w:tcPr>
          <w:p w14:paraId="74118C38"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603D3D8C"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1</w:t>
            </w:r>
          </w:p>
        </w:tc>
        <w:tc>
          <w:tcPr>
            <w:tcW w:w="937" w:type="dxa"/>
            <w:tcMar>
              <w:top w:w="120" w:type="dxa"/>
              <w:left w:w="180" w:type="dxa"/>
              <w:bottom w:w="120" w:type="dxa"/>
              <w:right w:w="180" w:type="dxa"/>
            </w:tcMar>
          </w:tcPr>
          <w:p w14:paraId="286F11C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-4.475</w:t>
            </w:r>
          </w:p>
        </w:tc>
        <w:tc>
          <w:tcPr>
            <w:tcW w:w="938" w:type="dxa"/>
            <w:tcMar>
              <w:top w:w="120" w:type="dxa"/>
              <w:left w:w="180" w:type="dxa"/>
              <w:bottom w:w="120" w:type="dxa"/>
              <w:right w:w="180" w:type="dxa"/>
            </w:tcMar>
          </w:tcPr>
          <w:p w14:paraId="4809EB0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-5.023</w:t>
            </w:r>
          </w:p>
        </w:tc>
        <w:tc>
          <w:tcPr>
            <w:tcW w:w="925" w:type="dxa"/>
            <w:tcMar>
              <w:top w:w="120" w:type="dxa"/>
              <w:left w:w="180" w:type="dxa"/>
              <w:bottom w:w="120" w:type="dxa"/>
              <w:right w:w="180" w:type="dxa"/>
            </w:tcMar>
          </w:tcPr>
          <w:p w14:paraId="3F8AC01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-5.023</w:t>
            </w:r>
          </w:p>
        </w:tc>
        <w:tc>
          <w:tcPr>
            <w:tcW w:w="1050" w:type="dxa"/>
            <w:tcMar>
              <w:top w:w="120" w:type="dxa"/>
              <w:left w:w="180" w:type="dxa"/>
              <w:bottom w:w="120" w:type="dxa"/>
              <w:right w:w="180" w:type="dxa"/>
            </w:tcMar>
          </w:tcPr>
          <w:p w14:paraId="48F8FE7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-45.232</w:t>
            </w:r>
          </w:p>
        </w:tc>
        <w:tc>
          <w:tcPr>
            <w:tcW w:w="1212" w:type="dxa"/>
            <w:tcMar>
              <w:top w:w="120" w:type="dxa"/>
              <w:left w:w="180" w:type="dxa"/>
              <w:bottom w:w="120" w:type="dxa"/>
              <w:right w:w="180" w:type="dxa"/>
            </w:tcMar>
          </w:tcPr>
          <w:p w14:paraId="1345E9B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-40525.4</w:t>
            </w:r>
          </w:p>
        </w:tc>
        <w:tc>
          <w:tcPr>
            <w:tcW w:w="1300" w:type="dxa"/>
            <w:tcMar>
              <w:top w:w="120" w:type="dxa"/>
              <w:left w:w="180" w:type="dxa"/>
              <w:bottom w:w="120" w:type="dxa"/>
              <w:right w:w="180" w:type="dxa"/>
            </w:tcMar>
          </w:tcPr>
          <w:p w14:paraId="7C2452A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-34.11</w:t>
            </w:r>
          </w:p>
        </w:tc>
        <w:tc>
          <w:tcPr>
            <w:tcW w:w="2025" w:type="dxa"/>
            <w:tcMar>
              <w:top w:w="120" w:type="dxa"/>
              <w:left w:w="180" w:type="dxa"/>
              <w:bottom w:w="120" w:type="dxa"/>
              <w:right w:w="180" w:type="dxa"/>
            </w:tcMar>
          </w:tcPr>
          <w:p w14:paraId="18836820"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ASN 836 - 2.06A</w:t>
            </w:r>
          </w:p>
          <w:p w14:paraId="043E418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SER 831 - 2.36A</w:t>
            </w:r>
          </w:p>
        </w:tc>
      </w:tr>
      <w:tr w:rsidR="00651FF7" w14:paraId="467006A8" w14:textId="77777777" w:rsidTr="00096E11">
        <w:trPr>
          <w:trHeight w:val="495"/>
          <w:jc w:val="center"/>
        </w:trPr>
        <w:tc>
          <w:tcPr>
            <w:tcW w:w="930" w:type="dxa"/>
            <w:vMerge/>
            <w:tcMar>
              <w:top w:w="120" w:type="dxa"/>
              <w:left w:w="180" w:type="dxa"/>
              <w:bottom w:w="120" w:type="dxa"/>
              <w:right w:w="180" w:type="dxa"/>
            </w:tcMar>
            <w:vAlign w:val="center"/>
          </w:tcPr>
          <w:p w14:paraId="5343F661"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714FC01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2</w:t>
            </w:r>
          </w:p>
        </w:tc>
        <w:tc>
          <w:tcPr>
            <w:tcW w:w="937" w:type="dxa"/>
            <w:tcMar>
              <w:top w:w="120" w:type="dxa"/>
              <w:left w:w="180" w:type="dxa"/>
              <w:bottom w:w="120" w:type="dxa"/>
              <w:right w:w="180" w:type="dxa"/>
            </w:tcMar>
          </w:tcPr>
          <w:p w14:paraId="1B898F9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-2.517</w:t>
            </w:r>
          </w:p>
        </w:tc>
        <w:tc>
          <w:tcPr>
            <w:tcW w:w="938" w:type="dxa"/>
            <w:tcMar>
              <w:top w:w="120" w:type="dxa"/>
              <w:left w:w="180" w:type="dxa"/>
              <w:bottom w:w="120" w:type="dxa"/>
              <w:right w:w="180" w:type="dxa"/>
            </w:tcMar>
          </w:tcPr>
          <w:p w14:paraId="0757891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-3.065</w:t>
            </w:r>
          </w:p>
        </w:tc>
        <w:tc>
          <w:tcPr>
            <w:tcW w:w="925" w:type="dxa"/>
            <w:tcMar>
              <w:top w:w="120" w:type="dxa"/>
              <w:left w:w="180" w:type="dxa"/>
              <w:bottom w:w="120" w:type="dxa"/>
              <w:right w:w="180" w:type="dxa"/>
            </w:tcMar>
          </w:tcPr>
          <w:p w14:paraId="44326E3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-3.065</w:t>
            </w:r>
          </w:p>
        </w:tc>
        <w:tc>
          <w:tcPr>
            <w:tcW w:w="1050" w:type="dxa"/>
            <w:tcMar>
              <w:top w:w="120" w:type="dxa"/>
              <w:left w:w="180" w:type="dxa"/>
              <w:bottom w:w="120" w:type="dxa"/>
              <w:right w:w="180" w:type="dxa"/>
            </w:tcMar>
          </w:tcPr>
          <w:p w14:paraId="5DBB761E"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-41.853</w:t>
            </w:r>
          </w:p>
        </w:tc>
        <w:tc>
          <w:tcPr>
            <w:tcW w:w="1212" w:type="dxa"/>
            <w:tcMar>
              <w:top w:w="120" w:type="dxa"/>
              <w:left w:w="180" w:type="dxa"/>
              <w:bottom w:w="120" w:type="dxa"/>
              <w:right w:w="180" w:type="dxa"/>
            </w:tcMar>
          </w:tcPr>
          <w:p w14:paraId="7BAF4EF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-40524.0</w:t>
            </w:r>
          </w:p>
        </w:tc>
        <w:tc>
          <w:tcPr>
            <w:tcW w:w="1300" w:type="dxa"/>
            <w:tcMar>
              <w:top w:w="120" w:type="dxa"/>
              <w:left w:w="180" w:type="dxa"/>
              <w:bottom w:w="120" w:type="dxa"/>
              <w:right w:w="180" w:type="dxa"/>
            </w:tcMar>
          </w:tcPr>
          <w:p w14:paraId="0F74389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-33.74</w:t>
            </w:r>
          </w:p>
        </w:tc>
        <w:tc>
          <w:tcPr>
            <w:tcW w:w="2025" w:type="dxa"/>
            <w:tcMar>
              <w:top w:w="120" w:type="dxa"/>
              <w:left w:w="180" w:type="dxa"/>
              <w:bottom w:w="120" w:type="dxa"/>
              <w:right w:w="180" w:type="dxa"/>
            </w:tcMar>
          </w:tcPr>
          <w:p w14:paraId="78AAAB06"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ASN 836 - 2.03A</w:t>
            </w:r>
          </w:p>
        </w:tc>
      </w:tr>
      <w:tr w:rsidR="00651FF7" w14:paraId="704A6F22" w14:textId="77777777" w:rsidTr="00096E11">
        <w:trPr>
          <w:trHeight w:val="495"/>
          <w:jc w:val="center"/>
        </w:trPr>
        <w:tc>
          <w:tcPr>
            <w:tcW w:w="930" w:type="dxa"/>
            <w:vMerge/>
            <w:tcMar>
              <w:top w:w="120" w:type="dxa"/>
              <w:left w:w="180" w:type="dxa"/>
              <w:bottom w:w="120" w:type="dxa"/>
              <w:right w:w="180" w:type="dxa"/>
            </w:tcMar>
            <w:vAlign w:val="center"/>
          </w:tcPr>
          <w:p w14:paraId="52BC3013"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188D28F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3</w:t>
            </w:r>
          </w:p>
        </w:tc>
        <w:tc>
          <w:tcPr>
            <w:tcW w:w="937" w:type="dxa"/>
            <w:tcMar>
              <w:top w:w="120" w:type="dxa"/>
              <w:left w:w="180" w:type="dxa"/>
              <w:bottom w:w="120" w:type="dxa"/>
              <w:right w:w="180" w:type="dxa"/>
            </w:tcMar>
          </w:tcPr>
          <w:p w14:paraId="7A6939F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-6.066</w:t>
            </w:r>
          </w:p>
        </w:tc>
        <w:tc>
          <w:tcPr>
            <w:tcW w:w="938" w:type="dxa"/>
            <w:tcMar>
              <w:top w:w="120" w:type="dxa"/>
              <w:left w:w="180" w:type="dxa"/>
              <w:bottom w:w="120" w:type="dxa"/>
              <w:right w:w="180" w:type="dxa"/>
            </w:tcMar>
          </w:tcPr>
          <w:p w14:paraId="31E16EFB"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-6.364</w:t>
            </w:r>
          </w:p>
        </w:tc>
        <w:tc>
          <w:tcPr>
            <w:tcW w:w="925" w:type="dxa"/>
            <w:tcMar>
              <w:top w:w="120" w:type="dxa"/>
              <w:left w:w="180" w:type="dxa"/>
              <w:bottom w:w="120" w:type="dxa"/>
              <w:right w:w="180" w:type="dxa"/>
            </w:tcMar>
          </w:tcPr>
          <w:p w14:paraId="306B5A2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-6.364</w:t>
            </w:r>
          </w:p>
        </w:tc>
        <w:tc>
          <w:tcPr>
            <w:tcW w:w="1050" w:type="dxa"/>
            <w:tcMar>
              <w:top w:w="120" w:type="dxa"/>
              <w:left w:w="180" w:type="dxa"/>
              <w:bottom w:w="120" w:type="dxa"/>
              <w:right w:w="180" w:type="dxa"/>
            </w:tcMar>
          </w:tcPr>
          <w:p w14:paraId="216DF17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-42.210</w:t>
            </w:r>
          </w:p>
        </w:tc>
        <w:tc>
          <w:tcPr>
            <w:tcW w:w="1212" w:type="dxa"/>
            <w:tcMar>
              <w:top w:w="120" w:type="dxa"/>
              <w:left w:w="180" w:type="dxa"/>
              <w:bottom w:w="120" w:type="dxa"/>
              <w:right w:w="180" w:type="dxa"/>
            </w:tcMar>
          </w:tcPr>
          <w:p w14:paraId="11D4582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-40516.1</w:t>
            </w:r>
          </w:p>
        </w:tc>
        <w:tc>
          <w:tcPr>
            <w:tcW w:w="1300" w:type="dxa"/>
            <w:tcMar>
              <w:top w:w="120" w:type="dxa"/>
              <w:left w:w="180" w:type="dxa"/>
              <w:bottom w:w="120" w:type="dxa"/>
              <w:right w:w="180" w:type="dxa"/>
            </w:tcMar>
          </w:tcPr>
          <w:p w14:paraId="1A46199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-20.51</w:t>
            </w:r>
          </w:p>
        </w:tc>
        <w:tc>
          <w:tcPr>
            <w:tcW w:w="2025" w:type="dxa"/>
            <w:tcMar>
              <w:top w:w="120" w:type="dxa"/>
              <w:left w:w="180" w:type="dxa"/>
              <w:bottom w:w="120" w:type="dxa"/>
              <w:right w:w="180" w:type="dxa"/>
            </w:tcMar>
          </w:tcPr>
          <w:p w14:paraId="0E51B99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ASN 836 - 2.27A</w:t>
            </w:r>
          </w:p>
        </w:tc>
      </w:tr>
      <w:tr w:rsidR="00651FF7" w14:paraId="0D383643" w14:textId="77777777" w:rsidTr="00096E11">
        <w:trPr>
          <w:trHeight w:val="495"/>
          <w:jc w:val="center"/>
        </w:trPr>
        <w:tc>
          <w:tcPr>
            <w:tcW w:w="930" w:type="dxa"/>
            <w:vMerge w:val="restart"/>
            <w:tcMar>
              <w:top w:w="120" w:type="dxa"/>
              <w:left w:w="180" w:type="dxa"/>
              <w:bottom w:w="120" w:type="dxa"/>
              <w:right w:w="180" w:type="dxa"/>
            </w:tcMar>
            <w:vAlign w:val="center"/>
          </w:tcPr>
          <w:p w14:paraId="729666E8" w14:textId="77777777" w:rsidR="00651FF7" w:rsidRDefault="0006478A">
            <w:pPr>
              <w:rPr>
                <w:rFonts w:ascii="Times New Roman" w:eastAsia="Times New Roman" w:hAnsi="Times New Roman" w:cs="Times New Roman"/>
                <w:sz w:val="16"/>
                <w:szCs w:val="16"/>
              </w:rPr>
            </w:pPr>
            <w:r>
              <w:rPr>
                <w:rFonts w:ascii="Times New Roman" w:eastAsia="Times New Roman" w:hAnsi="Times New Roman" w:cs="Times New Roman"/>
                <w:b/>
                <w:sz w:val="16"/>
                <w:szCs w:val="16"/>
              </w:rPr>
              <w:t>EGFR</w:t>
            </w:r>
          </w:p>
        </w:tc>
        <w:tc>
          <w:tcPr>
            <w:tcW w:w="1213" w:type="dxa"/>
            <w:tcMar>
              <w:top w:w="120" w:type="dxa"/>
              <w:left w:w="180" w:type="dxa"/>
              <w:bottom w:w="120" w:type="dxa"/>
              <w:right w:w="180" w:type="dxa"/>
            </w:tcMar>
          </w:tcPr>
          <w:p w14:paraId="0EF6C05B" w14:textId="77777777" w:rsidR="00651FF7" w:rsidRDefault="0006478A">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Alstonine</w:t>
            </w:r>
            <w:proofErr w:type="spellEnd"/>
          </w:p>
        </w:tc>
        <w:tc>
          <w:tcPr>
            <w:tcW w:w="937" w:type="dxa"/>
            <w:tcMar>
              <w:top w:w="120" w:type="dxa"/>
              <w:left w:w="180" w:type="dxa"/>
              <w:bottom w:w="120" w:type="dxa"/>
              <w:right w:w="180" w:type="dxa"/>
            </w:tcMar>
          </w:tcPr>
          <w:p w14:paraId="2B3E101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-4.959</w:t>
            </w:r>
          </w:p>
        </w:tc>
        <w:tc>
          <w:tcPr>
            <w:tcW w:w="938" w:type="dxa"/>
            <w:tcMar>
              <w:top w:w="120" w:type="dxa"/>
              <w:left w:w="180" w:type="dxa"/>
              <w:bottom w:w="120" w:type="dxa"/>
              <w:right w:w="180" w:type="dxa"/>
            </w:tcMar>
          </w:tcPr>
          <w:p w14:paraId="06FC2291"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-4.959</w:t>
            </w:r>
          </w:p>
        </w:tc>
        <w:tc>
          <w:tcPr>
            <w:tcW w:w="925" w:type="dxa"/>
            <w:tcMar>
              <w:top w:w="120" w:type="dxa"/>
              <w:left w:w="180" w:type="dxa"/>
              <w:bottom w:w="120" w:type="dxa"/>
              <w:right w:w="180" w:type="dxa"/>
            </w:tcMar>
          </w:tcPr>
          <w:p w14:paraId="11C6D0D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--4.959</w:t>
            </w:r>
          </w:p>
        </w:tc>
        <w:tc>
          <w:tcPr>
            <w:tcW w:w="1050" w:type="dxa"/>
            <w:tcMar>
              <w:top w:w="120" w:type="dxa"/>
              <w:left w:w="180" w:type="dxa"/>
              <w:bottom w:w="120" w:type="dxa"/>
              <w:right w:w="180" w:type="dxa"/>
            </w:tcMar>
          </w:tcPr>
          <w:p w14:paraId="1346C2D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-52.582</w:t>
            </w:r>
          </w:p>
        </w:tc>
        <w:tc>
          <w:tcPr>
            <w:tcW w:w="1212" w:type="dxa"/>
            <w:tcMar>
              <w:top w:w="120" w:type="dxa"/>
              <w:left w:w="180" w:type="dxa"/>
              <w:bottom w:w="120" w:type="dxa"/>
              <w:right w:w="180" w:type="dxa"/>
            </w:tcMar>
          </w:tcPr>
          <w:p w14:paraId="1CAD79D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-45.96</w:t>
            </w:r>
          </w:p>
        </w:tc>
        <w:tc>
          <w:tcPr>
            <w:tcW w:w="1300" w:type="dxa"/>
            <w:tcMar>
              <w:top w:w="120" w:type="dxa"/>
              <w:left w:w="180" w:type="dxa"/>
              <w:bottom w:w="120" w:type="dxa"/>
              <w:right w:w="180" w:type="dxa"/>
            </w:tcMar>
          </w:tcPr>
          <w:p w14:paraId="4626F3E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-12531.9</w:t>
            </w:r>
          </w:p>
        </w:tc>
        <w:tc>
          <w:tcPr>
            <w:tcW w:w="2025" w:type="dxa"/>
            <w:tcMar>
              <w:top w:w="120" w:type="dxa"/>
              <w:left w:w="180" w:type="dxa"/>
              <w:bottom w:w="120" w:type="dxa"/>
              <w:right w:w="180" w:type="dxa"/>
            </w:tcMar>
          </w:tcPr>
          <w:p w14:paraId="5F66FE5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Nil</w:t>
            </w:r>
          </w:p>
        </w:tc>
      </w:tr>
      <w:tr w:rsidR="00651FF7" w14:paraId="50290A7B" w14:textId="77777777" w:rsidTr="00096E11">
        <w:trPr>
          <w:trHeight w:val="495"/>
          <w:jc w:val="center"/>
        </w:trPr>
        <w:tc>
          <w:tcPr>
            <w:tcW w:w="930" w:type="dxa"/>
            <w:vMerge/>
            <w:tcMar>
              <w:top w:w="120" w:type="dxa"/>
              <w:left w:w="180" w:type="dxa"/>
              <w:bottom w:w="120" w:type="dxa"/>
              <w:right w:w="180" w:type="dxa"/>
            </w:tcMar>
            <w:vAlign w:val="center"/>
          </w:tcPr>
          <w:p w14:paraId="408655F9"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7C9CFCA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1</w:t>
            </w:r>
          </w:p>
        </w:tc>
        <w:tc>
          <w:tcPr>
            <w:tcW w:w="937" w:type="dxa"/>
            <w:tcMar>
              <w:top w:w="120" w:type="dxa"/>
              <w:left w:w="180" w:type="dxa"/>
              <w:bottom w:w="120" w:type="dxa"/>
              <w:right w:w="180" w:type="dxa"/>
            </w:tcMar>
          </w:tcPr>
          <w:p w14:paraId="2D96AD8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-4.075</w:t>
            </w:r>
          </w:p>
        </w:tc>
        <w:tc>
          <w:tcPr>
            <w:tcW w:w="938" w:type="dxa"/>
            <w:tcMar>
              <w:top w:w="120" w:type="dxa"/>
              <w:left w:w="180" w:type="dxa"/>
              <w:bottom w:w="120" w:type="dxa"/>
              <w:right w:w="180" w:type="dxa"/>
            </w:tcMar>
          </w:tcPr>
          <w:p w14:paraId="088ADEF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-4.624</w:t>
            </w:r>
          </w:p>
        </w:tc>
        <w:tc>
          <w:tcPr>
            <w:tcW w:w="925" w:type="dxa"/>
            <w:tcMar>
              <w:top w:w="120" w:type="dxa"/>
              <w:left w:w="180" w:type="dxa"/>
              <w:bottom w:w="120" w:type="dxa"/>
              <w:right w:w="180" w:type="dxa"/>
            </w:tcMar>
          </w:tcPr>
          <w:p w14:paraId="52979C6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-4.624</w:t>
            </w:r>
          </w:p>
        </w:tc>
        <w:tc>
          <w:tcPr>
            <w:tcW w:w="1050" w:type="dxa"/>
            <w:tcMar>
              <w:top w:w="120" w:type="dxa"/>
              <w:left w:w="180" w:type="dxa"/>
              <w:bottom w:w="120" w:type="dxa"/>
              <w:right w:w="180" w:type="dxa"/>
            </w:tcMar>
          </w:tcPr>
          <w:p w14:paraId="1D5878A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-53.093</w:t>
            </w:r>
          </w:p>
        </w:tc>
        <w:tc>
          <w:tcPr>
            <w:tcW w:w="1212" w:type="dxa"/>
            <w:tcMar>
              <w:top w:w="120" w:type="dxa"/>
              <w:left w:w="180" w:type="dxa"/>
              <w:bottom w:w="120" w:type="dxa"/>
              <w:right w:w="180" w:type="dxa"/>
            </w:tcMar>
          </w:tcPr>
          <w:p w14:paraId="661A93C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-12521.9</w:t>
            </w:r>
          </w:p>
        </w:tc>
        <w:tc>
          <w:tcPr>
            <w:tcW w:w="1300" w:type="dxa"/>
            <w:tcMar>
              <w:top w:w="120" w:type="dxa"/>
              <w:left w:w="180" w:type="dxa"/>
              <w:bottom w:w="120" w:type="dxa"/>
              <w:right w:w="180" w:type="dxa"/>
            </w:tcMar>
          </w:tcPr>
          <w:p w14:paraId="24A55BEB"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-39.14</w:t>
            </w:r>
          </w:p>
        </w:tc>
        <w:tc>
          <w:tcPr>
            <w:tcW w:w="2025" w:type="dxa"/>
            <w:tcMar>
              <w:top w:w="120" w:type="dxa"/>
              <w:left w:w="180" w:type="dxa"/>
              <w:bottom w:w="120" w:type="dxa"/>
              <w:right w:w="180" w:type="dxa"/>
            </w:tcMar>
          </w:tcPr>
          <w:p w14:paraId="76C4198A"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THR 766 - 2.06A</w:t>
            </w:r>
          </w:p>
          <w:p w14:paraId="5C14B4CC"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MET 769 - 2.38A</w:t>
            </w:r>
          </w:p>
          <w:p w14:paraId="2168E51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ASP 831 - 2.44A</w:t>
            </w:r>
          </w:p>
        </w:tc>
      </w:tr>
      <w:tr w:rsidR="00651FF7" w14:paraId="29A170D7" w14:textId="77777777" w:rsidTr="00096E11">
        <w:trPr>
          <w:trHeight w:val="495"/>
          <w:jc w:val="center"/>
        </w:trPr>
        <w:tc>
          <w:tcPr>
            <w:tcW w:w="930" w:type="dxa"/>
            <w:vMerge/>
            <w:tcMar>
              <w:top w:w="120" w:type="dxa"/>
              <w:left w:w="180" w:type="dxa"/>
              <w:bottom w:w="120" w:type="dxa"/>
              <w:right w:w="180" w:type="dxa"/>
            </w:tcMar>
            <w:vAlign w:val="center"/>
          </w:tcPr>
          <w:p w14:paraId="5183DED5"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4B087C8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2</w:t>
            </w:r>
          </w:p>
        </w:tc>
        <w:tc>
          <w:tcPr>
            <w:tcW w:w="937" w:type="dxa"/>
            <w:tcMar>
              <w:top w:w="120" w:type="dxa"/>
              <w:left w:w="180" w:type="dxa"/>
              <w:bottom w:w="120" w:type="dxa"/>
              <w:right w:w="180" w:type="dxa"/>
            </w:tcMar>
          </w:tcPr>
          <w:p w14:paraId="1F9E172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-2.581</w:t>
            </w:r>
          </w:p>
        </w:tc>
        <w:tc>
          <w:tcPr>
            <w:tcW w:w="938" w:type="dxa"/>
            <w:tcMar>
              <w:top w:w="120" w:type="dxa"/>
              <w:left w:w="180" w:type="dxa"/>
              <w:bottom w:w="120" w:type="dxa"/>
              <w:right w:w="180" w:type="dxa"/>
            </w:tcMar>
          </w:tcPr>
          <w:p w14:paraId="0EEAA09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-3.130</w:t>
            </w:r>
          </w:p>
        </w:tc>
        <w:tc>
          <w:tcPr>
            <w:tcW w:w="925" w:type="dxa"/>
            <w:tcMar>
              <w:top w:w="120" w:type="dxa"/>
              <w:left w:w="180" w:type="dxa"/>
              <w:bottom w:w="120" w:type="dxa"/>
              <w:right w:w="180" w:type="dxa"/>
            </w:tcMar>
          </w:tcPr>
          <w:p w14:paraId="5A1F728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-3.130</w:t>
            </w:r>
          </w:p>
        </w:tc>
        <w:tc>
          <w:tcPr>
            <w:tcW w:w="1050" w:type="dxa"/>
            <w:tcMar>
              <w:top w:w="120" w:type="dxa"/>
              <w:left w:w="180" w:type="dxa"/>
              <w:bottom w:w="120" w:type="dxa"/>
              <w:right w:w="180" w:type="dxa"/>
            </w:tcMar>
          </w:tcPr>
          <w:p w14:paraId="0379B5A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-47.126</w:t>
            </w:r>
          </w:p>
        </w:tc>
        <w:tc>
          <w:tcPr>
            <w:tcW w:w="1212" w:type="dxa"/>
            <w:tcMar>
              <w:top w:w="120" w:type="dxa"/>
              <w:left w:w="180" w:type="dxa"/>
              <w:bottom w:w="120" w:type="dxa"/>
              <w:right w:w="180" w:type="dxa"/>
            </w:tcMar>
          </w:tcPr>
          <w:p w14:paraId="6F3AB73C"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-12514.3</w:t>
            </w:r>
          </w:p>
        </w:tc>
        <w:tc>
          <w:tcPr>
            <w:tcW w:w="1300" w:type="dxa"/>
            <w:tcMar>
              <w:top w:w="120" w:type="dxa"/>
              <w:left w:w="180" w:type="dxa"/>
              <w:bottom w:w="120" w:type="dxa"/>
              <w:right w:w="180" w:type="dxa"/>
            </w:tcMar>
          </w:tcPr>
          <w:p w14:paraId="3A94646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-32.55</w:t>
            </w:r>
          </w:p>
        </w:tc>
        <w:tc>
          <w:tcPr>
            <w:tcW w:w="2025" w:type="dxa"/>
            <w:tcMar>
              <w:top w:w="120" w:type="dxa"/>
              <w:left w:w="180" w:type="dxa"/>
              <w:bottom w:w="120" w:type="dxa"/>
              <w:right w:w="180" w:type="dxa"/>
            </w:tcMar>
          </w:tcPr>
          <w:p w14:paraId="69DC4A3C"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THR 766 - 2.09A</w:t>
            </w:r>
          </w:p>
          <w:p w14:paraId="4318CDF1"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MET 769 - 2.01A</w:t>
            </w:r>
          </w:p>
        </w:tc>
      </w:tr>
      <w:tr w:rsidR="00651FF7" w14:paraId="197B7D14" w14:textId="77777777" w:rsidTr="00096E11">
        <w:trPr>
          <w:trHeight w:val="495"/>
          <w:jc w:val="center"/>
        </w:trPr>
        <w:tc>
          <w:tcPr>
            <w:tcW w:w="930" w:type="dxa"/>
            <w:vMerge/>
            <w:tcMar>
              <w:top w:w="120" w:type="dxa"/>
              <w:left w:w="180" w:type="dxa"/>
              <w:bottom w:w="120" w:type="dxa"/>
              <w:right w:w="180" w:type="dxa"/>
            </w:tcMar>
            <w:vAlign w:val="center"/>
          </w:tcPr>
          <w:p w14:paraId="3172BD3A"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19D21ABC"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3</w:t>
            </w:r>
          </w:p>
        </w:tc>
        <w:tc>
          <w:tcPr>
            <w:tcW w:w="937" w:type="dxa"/>
            <w:tcMar>
              <w:top w:w="120" w:type="dxa"/>
              <w:left w:w="180" w:type="dxa"/>
              <w:bottom w:w="120" w:type="dxa"/>
              <w:right w:w="180" w:type="dxa"/>
            </w:tcMar>
          </w:tcPr>
          <w:p w14:paraId="2C586EC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-4.309</w:t>
            </w:r>
          </w:p>
        </w:tc>
        <w:tc>
          <w:tcPr>
            <w:tcW w:w="938" w:type="dxa"/>
            <w:tcMar>
              <w:top w:w="120" w:type="dxa"/>
              <w:left w:w="180" w:type="dxa"/>
              <w:bottom w:w="120" w:type="dxa"/>
              <w:right w:w="180" w:type="dxa"/>
            </w:tcMar>
          </w:tcPr>
          <w:p w14:paraId="579E588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-4.608</w:t>
            </w:r>
          </w:p>
        </w:tc>
        <w:tc>
          <w:tcPr>
            <w:tcW w:w="925" w:type="dxa"/>
            <w:tcMar>
              <w:top w:w="120" w:type="dxa"/>
              <w:left w:w="180" w:type="dxa"/>
              <w:bottom w:w="120" w:type="dxa"/>
              <w:right w:w="180" w:type="dxa"/>
            </w:tcMar>
          </w:tcPr>
          <w:p w14:paraId="70B8030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-4.608</w:t>
            </w:r>
          </w:p>
        </w:tc>
        <w:tc>
          <w:tcPr>
            <w:tcW w:w="1050" w:type="dxa"/>
            <w:tcMar>
              <w:top w:w="120" w:type="dxa"/>
              <w:left w:w="180" w:type="dxa"/>
              <w:bottom w:w="120" w:type="dxa"/>
              <w:right w:w="180" w:type="dxa"/>
            </w:tcMar>
          </w:tcPr>
          <w:p w14:paraId="5E58C2F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-53.146</w:t>
            </w:r>
          </w:p>
        </w:tc>
        <w:tc>
          <w:tcPr>
            <w:tcW w:w="1212" w:type="dxa"/>
            <w:tcMar>
              <w:top w:w="120" w:type="dxa"/>
              <w:left w:w="180" w:type="dxa"/>
              <w:bottom w:w="120" w:type="dxa"/>
              <w:right w:w="180" w:type="dxa"/>
            </w:tcMar>
          </w:tcPr>
          <w:p w14:paraId="0E3B4F3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-12516.1</w:t>
            </w:r>
          </w:p>
        </w:tc>
        <w:tc>
          <w:tcPr>
            <w:tcW w:w="1300" w:type="dxa"/>
            <w:tcMar>
              <w:top w:w="120" w:type="dxa"/>
              <w:left w:w="180" w:type="dxa"/>
              <w:bottom w:w="120" w:type="dxa"/>
              <w:right w:w="180" w:type="dxa"/>
            </w:tcMar>
          </w:tcPr>
          <w:p w14:paraId="145B15F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-29.09</w:t>
            </w:r>
          </w:p>
        </w:tc>
        <w:tc>
          <w:tcPr>
            <w:tcW w:w="2025" w:type="dxa"/>
            <w:tcMar>
              <w:top w:w="120" w:type="dxa"/>
              <w:left w:w="180" w:type="dxa"/>
              <w:bottom w:w="120" w:type="dxa"/>
              <w:right w:w="180" w:type="dxa"/>
            </w:tcMar>
          </w:tcPr>
          <w:p w14:paraId="0566CA40"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THR 766 - 2.00A</w:t>
            </w:r>
          </w:p>
          <w:p w14:paraId="5369B61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MET 769 - 2.14A</w:t>
            </w:r>
          </w:p>
        </w:tc>
      </w:tr>
      <w:tr w:rsidR="00651FF7" w14:paraId="2EF5F9DE" w14:textId="77777777" w:rsidTr="00096E11">
        <w:trPr>
          <w:trHeight w:val="724"/>
          <w:jc w:val="center"/>
        </w:trPr>
        <w:tc>
          <w:tcPr>
            <w:tcW w:w="930" w:type="dxa"/>
            <w:vMerge/>
            <w:tcMar>
              <w:top w:w="120" w:type="dxa"/>
              <w:left w:w="180" w:type="dxa"/>
              <w:bottom w:w="120" w:type="dxa"/>
              <w:right w:w="180" w:type="dxa"/>
            </w:tcMar>
            <w:vAlign w:val="center"/>
          </w:tcPr>
          <w:p w14:paraId="317A313F"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37C0149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Gefitinib 1</w:t>
            </w:r>
          </w:p>
        </w:tc>
        <w:tc>
          <w:tcPr>
            <w:tcW w:w="937" w:type="dxa"/>
            <w:tcMar>
              <w:top w:w="120" w:type="dxa"/>
              <w:left w:w="180" w:type="dxa"/>
              <w:bottom w:w="120" w:type="dxa"/>
              <w:right w:w="180" w:type="dxa"/>
            </w:tcMar>
          </w:tcPr>
          <w:p w14:paraId="5EE251AC"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-8.656</w:t>
            </w:r>
          </w:p>
        </w:tc>
        <w:tc>
          <w:tcPr>
            <w:tcW w:w="938" w:type="dxa"/>
            <w:tcMar>
              <w:top w:w="120" w:type="dxa"/>
              <w:left w:w="180" w:type="dxa"/>
              <w:bottom w:w="120" w:type="dxa"/>
              <w:right w:w="180" w:type="dxa"/>
            </w:tcMar>
          </w:tcPr>
          <w:p w14:paraId="2B64208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-9.071</w:t>
            </w:r>
          </w:p>
        </w:tc>
        <w:tc>
          <w:tcPr>
            <w:tcW w:w="925" w:type="dxa"/>
            <w:tcMar>
              <w:top w:w="120" w:type="dxa"/>
              <w:left w:w="180" w:type="dxa"/>
              <w:bottom w:w="120" w:type="dxa"/>
              <w:right w:w="180" w:type="dxa"/>
            </w:tcMar>
          </w:tcPr>
          <w:p w14:paraId="3B3FD9B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-9.071</w:t>
            </w:r>
          </w:p>
        </w:tc>
        <w:tc>
          <w:tcPr>
            <w:tcW w:w="1050" w:type="dxa"/>
            <w:tcMar>
              <w:top w:w="120" w:type="dxa"/>
              <w:left w:w="180" w:type="dxa"/>
              <w:bottom w:w="120" w:type="dxa"/>
              <w:right w:w="180" w:type="dxa"/>
            </w:tcMar>
          </w:tcPr>
          <w:p w14:paraId="1B902E0E"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-76.716</w:t>
            </w:r>
          </w:p>
        </w:tc>
        <w:tc>
          <w:tcPr>
            <w:tcW w:w="1212" w:type="dxa"/>
            <w:tcMar>
              <w:top w:w="120" w:type="dxa"/>
              <w:left w:w="180" w:type="dxa"/>
              <w:bottom w:w="120" w:type="dxa"/>
              <w:right w:w="180" w:type="dxa"/>
            </w:tcMar>
          </w:tcPr>
          <w:p w14:paraId="05438A2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-12550.2</w:t>
            </w:r>
          </w:p>
        </w:tc>
        <w:tc>
          <w:tcPr>
            <w:tcW w:w="1300" w:type="dxa"/>
            <w:tcMar>
              <w:top w:w="120" w:type="dxa"/>
              <w:left w:w="180" w:type="dxa"/>
              <w:bottom w:w="120" w:type="dxa"/>
              <w:right w:w="180" w:type="dxa"/>
            </w:tcMar>
          </w:tcPr>
          <w:p w14:paraId="0B16F2E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-58.25</w:t>
            </w:r>
          </w:p>
        </w:tc>
        <w:tc>
          <w:tcPr>
            <w:tcW w:w="2025" w:type="dxa"/>
            <w:tcMar>
              <w:top w:w="120" w:type="dxa"/>
              <w:left w:w="180" w:type="dxa"/>
              <w:bottom w:w="120" w:type="dxa"/>
              <w:right w:w="180" w:type="dxa"/>
            </w:tcMar>
          </w:tcPr>
          <w:p w14:paraId="0A7226E6"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MET 769 - 2.16A</w:t>
            </w:r>
          </w:p>
          <w:p w14:paraId="584AECE4"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ASP 831 - 2.09A</w:t>
            </w:r>
          </w:p>
          <w:p w14:paraId="4D6ECE87" w14:textId="77777777" w:rsidR="00651FF7" w:rsidRDefault="00651FF7">
            <w:pPr>
              <w:jc w:val="center"/>
              <w:rPr>
                <w:rFonts w:ascii="Times New Roman" w:eastAsia="Times New Roman" w:hAnsi="Times New Roman" w:cs="Times New Roman"/>
                <w:sz w:val="16"/>
                <w:szCs w:val="16"/>
              </w:rPr>
            </w:pPr>
          </w:p>
        </w:tc>
      </w:tr>
      <w:tr w:rsidR="00651FF7" w14:paraId="1503F379" w14:textId="77777777" w:rsidTr="00096E11">
        <w:trPr>
          <w:trHeight w:val="495"/>
          <w:jc w:val="center"/>
        </w:trPr>
        <w:tc>
          <w:tcPr>
            <w:tcW w:w="930" w:type="dxa"/>
            <w:vMerge w:val="restart"/>
            <w:tcMar>
              <w:top w:w="120" w:type="dxa"/>
              <w:left w:w="180" w:type="dxa"/>
              <w:bottom w:w="120" w:type="dxa"/>
              <w:right w:w="180" w:type="dxa"/>
            </w:tcMar>
            <w:vAlign w:val="center"/>
          </w:tcPr>
          <w:p w14:paraId="2D7F97E9" w14:textId="77777777" w:rsidR="00651FF7" w:rsidRDefault="0006478A">
            <w:pPr>
              <w:rPr>
                <w:rFonts w:ascii="Times New Roman" w:eastAsia="Times New Roman" w:hAnsi="Times New Roman" w:cs="Times New Roman"/>
                <w:sz w:val="16"/>
                <w:szCs w:val="16"/>
              </w:rPr>
            </w:pPr>
            <w:r>
              <w:rPr>
                <w:rFonts w:ascii="Times New Roman" w:eastAsia="Times New Roman" w:hAnsi="Times New Roman" w:cs="Times New Roman"/>
                <w:b/>
                <w:sz w:val="16"/>
                <w:szCs w:val="16"/>
              </w:rPr>
              <w:t>STAT3</w:t>
            </w:r>
          </w:p>
        </w:tc>
        <w:tc>
          <w:tcPr>
            <w:tcW w:w="1213" w:type="dxa"/>
            <w:tcMar>
              <w:top w:w="120" w:type="dxa"/>
              <w:left w:w="180" w:type="dxa"/>
              <w:bottom w:w="120" w:type="dxa"/>
              <w:right w:w="180" w:type="dxa"/>
            </w:tcMar>
          </w:tcPr>
          <w:p w14:paraId="12F38C74" w14:textId="77777777" w:rsidR="00651FF7" w:rsidRDefault="0006478A">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Alstonine</w:t>
            </w:r>
            <w:proofErr w:type="spellEnd"/>
          </w:p>
        </w:tc>
        <w:tc>
          <w:tcPr>
            <w:tcW w:w="937" w:type="dxa"/>
            <w:tcMar>
              <w:top w:w="120" w:type="dxa"/>
              <w:left w:w="180" w:type="dxa"/>
              <w:bottom w:w="120" w:type="dxa"/>
              <w:right w:w="180" w:type="dxa"/>
            </w:tcMar>
          </w:tcPr>
          <w:p w14:paraId="24600A9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-2.505</w:t>
            </w:r>
          </w:p>
        </w:tc>
        <w:tc>
          <w:tcPr>
            <w:tcW w:w="938" w:type="dxa"/>
            <w:tcMar>
              <w:top w:w="120" w:type="dxa"/>
              <w:left w:w="180" w:type="dxa"/>
              <w:bottom w:w="120" w:type="dxa"/>
              <w:right w:w="180" w:type="dxa"/>
            </w:tcMar>
          </w:tcPr>
          <w:p w14:paraId="1382410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-2.505</w:t>
            </w:r>
          </w:p>
        </w:tc>
        <w:tc>
          <w:tcPr>
            <w:tcW w:w="925" w:type="dxa"/>
            <w:tcMar>
              <w:top w:w="120" w:type="dxa"/>
              <w:left w:w="180" w:type="dxa"/>
              <w:bottom w:w="120" w:type="dxa"/>
              <w:right w:w="180" w:type="dxa"/>
            </w:tcMar>
          </w:tcPr>
          <w:p w14:paraId="0704A586"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-2.505</w:t>
            </w:r>
          </w:p>
        </w:tc>
        <w:tc>
          <w:tcPr>
            <w:tcW w:w="1050" w:type="dxa"/>
            <w:tcMar>
              <w:top w:w="120" w:type="dxa"/>
              <w:left w:w="180" w:type="dxa"/>
              <w:bottom w:w="120" w:type="dxa"/>
              <w:right w:w="180" w:type="dxa"/>
            </w:tcMar>
          </w:tcPr>
          <w:p w14:paraId="584EB73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-35.884</w:t>
            </w:r>
          </w:p>
        </w:tc>
        <w:tc>
          <w:tcPr>
            <w:tcW w:w="1212" w:type="dxa"/>
            <w:tcMar>
              <w:top w:w="120" w:type="dxa"/>
              <w:left w:w="180" w:type="dxa"/>
              <w:bottom w:w="120" w:type="dxa"/>
              <w:right w:w="180" w:type="dxa"/>
            </w:tcMar>
          </w:tcPr>
          <w:p w14:paraId="5ED7489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-23221.4</w:t>
            </w:r>
          </w:p>
        </w:tc>
        <w:tc>
          <w:tcPr>
            <w:tcW w:w="1300" w:type="dxa"/>
            <w:tcMar>
              <w:top w:w="120" w:type="dxa"/>
              <w:left w:w="180" w:type="dxa"/>
              <w:bottom w:w="120" w:type="dxa"/>
              <w:right w:w="180" w:type="dxa"/>
            </w:tcMar>
          </w:tcPr>
          <w:p w14:paraId="0407B42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-36.53</w:t>
            </w:r>
          </w:p>
        </w:tc>
        <w:tc>
          <w:tcPr>
            <w:tcW w:w="2025" w:type="dxa"/>
            <w:tcMar>
              <w:top w:w="120" w:type="dxa"/>
              <w:left w:w="180" w:type="dxa"/>
              <w:bottom w:w="120" w:type="dxa"/>
              <w:right w:w="180" w:type="dxa"/>
            </w:tcMar>
          </w:tcPr>
          <w:p w14:paraId="3695F41C"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TYR 657 - 2.08A</w:t>
            </w:r>
          </w:p>
          <w:p w14:paraId="31C2B0C3"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MET 660 - 2.71A</w:t>
            </w:r>
          </w:p>
        </w:tc>
      </w:tr>
      <w:tr w:rsidR="00651FF7" w14:paraId="09C192D7" w14:textId="77777777" w:rsidTr="00096E11">
        <w:trPr>
          <w:trHeight w:val="495"/>
          <w:jc w:val="center"/>
        </w:trPr>
        <w:tc>
          <w:tcPr>
            <w:tcW w:w="930" w:type="dxa"/>
            <w:vMerge/>
            <w:tcMar>
              <w:top w:w="120" w:type="dxa"/>
              <w:left w:w="180" w:type="dxa"/>
              <w:bottom w:w="120" w:type="dxa"/>
              <w:right w:w="180" w:type="dxa"/>
            </w:tcMar>
            <w:vAlign w:val="center"/>
          </w:tcPr>
          <w:p w14:paraId="53A01923"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3FF125B0" w14:textId="77777777" w:rsidR="00651FF7" w:rsidRDefault="0006478A">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Napabucasin</w:t>
            </w:r>
            <w:proofErr w:type="spellEnd"/>
          </w:p>
        </w:tc>
        <w:tc>
          <w:tcPr>
            <w:tcW w:w="937" w:type="dxa"/>
            <w:tcMar>
              <w:top w:w="120" w:type="dxa"/>
              <w:left w:w="180" w:type="dxa"/>
              <w:bottom w:w="120" w:type="dxa"/>
              <w:right w:w="180" w:type="dxa"/>
            </w:tcMar>
          </w:tcPr>
          <w:p w14:paraId="213F9FD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-4.141</w:t>
            </w:r>
          </w:p>
        </w:tc>
        <w:tc>
          <w:tcPr>
            <w:tcW w:w="938" w:type="dxa"/>
            <w:tcMar>
              <w:top w:w="120" w:type="dxa"/>
              <w:left w:w="180" w:type="dxa"/>
              <w:bottom w:w="120" w:type="dxa"/>
              <w:right w:w="180" w:type="dxa"/>
            </w:tcMar>
          </w:tcPr>
          <w:p w14:paraId="20E3B8D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-4.141</w:t>
            </w:r>
          </w:p>
        </w:tc>
        <w:tc>
          <w:tcPr>
            <w:tcW w:w="925" w:type="dxa"/>
            <w:tcMar>
              <w:top w:w="120" w:type="dxa"/>
              <w:left w:w="180" w:type="dxa"/>
              <w:bottom w:w="120" w:type="dxa"/>
              <w:right w:w="180" w:type="dxa"/>
            </w:tcMar>
          </w:tcPr>
          <w:p w14:paraId="5B372A1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-4.141</w:t>
            </w:r>
          </w:p>
        </w:tc>
        <w:tc>
          <w:tcPr>
            <w:tcW w:w="1050" w:type="dxa"/>
            <w:tcMar>
              <w:top w:w="120" w:type="dxa"/>
              <w:left w:w="180" w:type="dxa"/>
              <w:bottom w:w="120" w:type="dxa"/>
              <w:right w:w="180" w:type="dxa"/>
            </w:tcMar>
          </w:tcPr>
          <w:p w14:paraId="6E564BE1"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-35.601</w:t>
            </w:r>
          </w:p>
        </w:tc>
        <w:tc>
          <w:tcPr>
            <w:tcW w:w="1212" w:type="dxa"/>
            <w:tcMar>
              <w:top w:w="120" w:type="dxa"/>
              <w:left w:w="180" w:type="dxa"/>
              <w:bottom w:w="120" w:type="dxa"/>
              <w:right w:w="180" w:type="dxa"/>
            </w:tcMar>
          </w:tcPr>
          <w:p w14:paraId="7FA9F84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23181.1</w:t>
            </w:r>
          </w:p>
        </w:tc>
        <w:tc>
          <w:tcPr>
            <w:tcW w:w="1300" w:type="dxa"/>
            <w:tcMar>
              <w:top w:w="120" w:type="dxa"/>
              <w:left w:w="180" w:type="dxa"/>
              <w:bottom w:w="120" w:type="dxa"/>
              <w:right w:w="180" w:type="dxa"/>
            </w:tcMar>
          </w:tcPr>
          <w:p w14:paraId="36A70AF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-29.50</w:t>
            </w:r>
          </w:p>
        </w:tc>
        <w:tc>
          <w:tcPr>
            <w:tcW w:w="2025" w:type="dxa"/>
            <w:tcMar>
              <w:top w:w="120" w:type="dxa"/>
              <w:left w:w="180" w:type="dxa"/>
              <w:bottom w:w="120" w:type="dxa"/>
              <w:right w:w="180" w:type="dxa"/>
            </w:tcMar>
          </w:tcPr>
          <w:p w14:paraId="415CAF13"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SER 613 - 2.25A and 2.41A</w:t>
            </w:r>
          </w:p>
          <w:p w14:paraId="1BB543B9"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SER 611 -1.96A</w:t>
            </w:r>
          </w:p>
          <w:p w14:paraId="13F3BF31"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GLU 612 - 2.06A</w:t>
            </w:r>
          </w:p>
          <w:p w14:paraId="08FA6A0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LYS 557 - 2.23A</w:t>
            </w:r>
          </w:p>
        </w:tc>
      </w:tr>
      <w:tr w:rsidR="00651FF7" w14:paraId="7BE61CAA" w14:textId="77777777" w:rsidTr="00096E11">
        <w:trPr>
          <w:trHeight w:val="495"/>
          <w:jc w:val="center"/>
        </w:trPr>
        <w:tc>
          <w:tcPr>
            <w:tcW w:w="930" w:type="dxa"/>
            <w:vMerge/>
            <w:tcMar>
              <w:top w:w="120" w:type="dxa"/>
              <w:left w:w="180" w:type="dxa"/>
              <w:bottom w:w="120" w:type="dxa"/>
              <w:right w:w="180" w:type="dxa"/>
            </w:tcMar>
            <w:vAlign w:val="center"/>
          </w:tcPr>
          <w:p w14:paraId="622AF9DA"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25BFFF6E"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2</w:t>
            </w:r>
          </w:p>
        </w:tc>
        <w:tc>
          <w:tcPr>
            <w:tcW w:w="937" w:type="dxa"/>
            <w:tcMar>
              <w:top w:w="120" w:type="dxa"/>
              <w:left w:w="180" w:type="dxa"/>
              <w:bottom w:w="120" w:type="dxa"/>
              <w:right w:w="180" w:type="dxa"/>
            </w:tcMar>
          </w:tcPr>
          <w:p w14:paraId="51B6F3A1"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-2.885</w:t>
            </w:r>
          </w:p>
        </w:tc>
        <w:tc>
          <w:tcPr>
            <w:tcW w:w="938" w:type="dxa"/>
            <w:tcMar>
              <w:top w:w="120" w:type="dxa"/>
              <w:left w:w="180" w:type="dxa"/>
              <w:bottom w:w="120" w:type="dxa"/>
              <w:right w:w="180" w:type="dxa"/>
            </w:tcMar>
          </w:tcPr>
          <w:p w14:paraId="72AD4B11"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-3.434</w:t>
            </w:r>
          </w:p>
        </w:tc>
        <w:tc>
          <w:tcPr>
            <w:tcW w:w="925" w:type="dxa"/>
            <w:tcMar>
              <w:top w:w="120" w:type="dxa"/>
              <w:left w:w="180" w:type="dxa"/>
              <w:bottom w:w="120" w:type="dxa"/>
              <w:right w:w="180" w:type="dxa"/>
            </w:tcMar>
          </w:tcPr>
          <w:p w14:paraId="7D25B45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-3.434</w:t>
            </w:r>
          </w:p>
        </w:tc>
        <w:tc>
          <w:tcPr>
            <w:tcW w:w="1050" w:type="dxa"/>
            <w:tcMar>
              <w:top w:w="120" w:type="dxa"/>
              <w:left w:w="180" w:type="dxa"/>
              <w:bottom w:w="120" w:type="dxa"/>
              <w:right w:w="180" w:type="dxa"/>
            </w:tcMar>
          </w:tcPr>
          <w:p w14:paraId="2A85A19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-37.223</w:t>
            </w:r>
          </w:p>
        </w:tc>
        <w:tc>
          <w:tcPr>
            <w:tcW w:w="1212" w:type="dxa"/>
            <w:tcMar>
              <w:top w:w="120" w:type="dxa"/>
              <w:left w:w="180" w:type="dxa"/>
              <w:bottom w:w="120" w:type="dxa"/>
              <w:right w:w="180" w:type="dxa"/>
            </w:tcMar>
          </w:tcPr>
          <w:p w14:paraId="6395DCAC"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-23203.3</w:t>
            </w:r>
          </w:p>
        </w:tc>
        <w:tc>
          <w:tcPr>
            <w:tcW w:w="1300" w:type="dxa"/>
            <w:tcMar>
              <w:top w:w="120" w:type="dxa"/>
              <w:left w:w="180" w:type="dxa"/>
              <w:bottom w:w="120" w:type="dxa"/>
              <w:right w:w="180" w:type="dxa"/>
            </w:tcMar>
          </w:tcPr>
          <w:p w14:paraId="073FAE1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-23.18</w:t>
            </w:r>
          </w:p>
        </w:tc>
        <w:tc>
          <w:tcPr>
            <w:tcW w:w="2025" w:type="dxa"/>
            <w:tcMar>
              <w:top w:w="120" w:type="dxa"/>
              <w:left w:w="180" w:type="dxa"/>
              <w:bottom w:w="120" w:type="dxa"/>
              <w:right w:w="180" w:type="dxa"/>
            </w:tcMar>
          </w:tcPr>
          <w:p w14:paraId="31078380"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SER 613 - 2.78A and 1.95A</w:t>
            </w:r>
          </w:p>
          <w:p w14:paraId="084C8DBC"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GLU 638 - 1.87A</w:t>
            </w:r>
          </w:p>
        </w:tc>
      </w:tr>
      <w:tr w:rsidR="00651FF7" w14:paraId="5ACEF9B0" w14:textId="77777777" w:rsidTr="00096E11">
        <w:trPr>
          <w:trHeight w:val="495"/>
          <w:jc w:val="center"/>
        </w:trPr>
        <w:tc>
          <w:tcPr>
            <w:tcW w:w="930" w:type="dxa"/>
            <w:vMerge/>
            <w:tcMar>
              <w:top w:w="120" w:type="dxa"/>
              <w:left w:w="180" w:type="dxa"/>
              <w:bottom w:w="120" w:type="dxa"/>
              <w:right w:w="180" w:type="dxa"/>
            </w:tcMar>
            <w:vAlign w:val="center"/>
          </w:tcPr>
          <w:p w14:paraId="45E6AEE0"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3DCFB0C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3</w:t>
            </w:r>
          </w:p>
        </w:tc>
        <w:tc>
          <w:tcPr>
            <w:tcW w:w="937" w:type="dxa"/>
            <w:tcMar>
              <w:top w:w="120" w:type="dxa"/>
              <w:left w:w="180" w:type="dxa"/>
              <w:bottom w:w="120" w:type="dxa"/>
              <w:right w:w="180" w:type="dxa"/>
            </w:tcMar>
          </w:tcPr>
          <w:p w14:paraId="63BE71C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-1.532</w:t>
            </w:r>
          </w:p>
        </w:tc>
        <w:tc>
          <w:tcPr>
            <w:tcW w:w="938" w:type="dxa"/>
            <w:tcMar>
              <w:top w:w="120" w:type="dxa"/>
              <w:left w:w="180" w:type="dxa"/>
              <w:bottom w:w="120" w:type="dxa"/>
              <w:right w:w="180" w:type="dxa"/>
            </w:tcMar>
          </w:tcPr>
          <w:p w14:paraId="1C1EC551"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-1.831</w:t>
            </w:r>
          </w:p>
        </w:tc>
        <w:tc>
          <w:tcPr>
            <w:tcW w:w="925" w:type="dxa"/>
            <w:tcMar>
              <w:top w:w="120" w:type="dxa"/>
              <w:left w:w="180" w:type="dxa"/>
              <w:bottom w:w="120" w:type="dxa"/>
              <w:right w:w="180" w:type="dxa"/>
            </w:tcMar>
          </w:tcPr>
          <w:p w14:paraId="638483D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-1.831</w:t>
            </w:r>
          </w:p>
        </w:tc>
        <w:tc>
          <w:tcPr>
            <w:tcW w:w="1050" w:type="dxa"/>
            <w:tcMar>
              <w:top w:w="120" w:type="dxa"/>
              <w:left w:w="180" w:type="dxa"/>
              <w:bottom w:w="120" w:type="dxa"/>
              <w:right w:w="180" w:type="dxa"/>
            </w:tcMar>
          </w:tcPr>
          <w:p w14:paraId="6DC30A5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-37.983</w:t>
            </w:r>
          </w:p>
        </w:tc>
        <w:tc>
          <w:tcPr>
            <w:tcW w:w="1212" w:type="dxa"/>
            <w:tcMar>
              <w:top w:w="120" w:type="dxa"/>
              <w:left w:w="180" w:type="dxa"/>
              <w:bottom w:w="120" w:type="dxa"/>
              <w:right w:w="180" w:type="dxa"/>
            </w:tcMar>
          </w:tcPr>
          <w:p w14:paraId="6E70F576"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-23210.8</w:t>
            </w:r>
          </w:p>
        </w:tc>
        <w:tc>
          <w:tcPr>
            <w:tcW w:w="1300" w:type="dxa"/>
            <w:tcMar>
              <w:top w:w="120" w:type="dxa"/>
              <w:left w:w="180" w:type="dxa"/>
              <w:bottom w:w="120" w:type="dxa"/>
              <w:right w:w="180" w:type="dxa"/>
            </w:tcMar>
          </w:tcPr>
          <w:p w14:paraId="7E8596E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-25.44</w:t>
            </w:r>
          </w:p>
        </w:tc>
        <w:tc>
          <w:tcPr>
            <w:tcW w:w="2025" w:type="dxa"/>
            <w:tcMar>
              <w:top w:w="120" w:type="dxa"/>
              <w:left w:w="180" w:type="dxa"/>
              <w:bottom w:w="120" w:type="dxa"/>
              <w:right w:w="180" w:type="dxa"/>
            </w:tcMar>
          </w:tcPr>
          <w:p w14:paraId="65FA9FB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SER 613 - 1.84A, 2.02A, and 2.08A</w:t>
            </w:r>
          </w:p>
        </w:tc>
      </w:tr>
      <w:tr w:rsidR="00651FF7" w14:paraId="6748345B" w14:textId="77777777" w:rsidTr="00096E11">
        <w:trPr>
          <w:trHeight w:val="1557"/>
          <w:jc w:val="center"/>
        </w:trPr>
        <w:tc>
          <w:tcPr>
            <w:tcW w:w="930" w:type="dxa"/>
            <w:vMerge/>
            <w:tcMar>
              <w:top w:w="120" w:type="dxa"/>
              <w:left w:w="180" w:type="dxa"/>
              <w:bottom w:w="120" w:type="dxa"/>
              <w:right w:w="180" w:type="dxa"/>
            </w:tcMar>
            <w:vAlign w:val="center"/>
          </w:tcPr>
          <w:p w14:paraId="514DC195"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2F085981"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1</w:t>
            </w:r>
          </w:p>
        </w:tc>
        <w:tc>
          <w:tcPr>
            <w:tcW w:w="937" w:type="dxa"/>
            <w:tcMar>
              <w:top w:w="120" w:type="dxa"/>
              <w:left w:w="180" w:type="dxa"/>
              <w:bottom w:w="120" w:type="dxa"/>
              <w:right w:w="180" w:type="dxa"/>
            </w:tcMar>
          </w:tcPr>
          <w:p w14:paraId="6E5E84A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0.267</w:t>
            </w:r>
          </w:p>
        </w:tc>
        <w:tc>
          <w:tcPr>
            <w:tcW w:w="938" w:type="dxa"/>
            <w:tcMar>
              <w:top w:w="120" w:type="dxa"/>
              <w:left w:w="180" w:type="dxa"/>
              <w:bottom w:w="120" w:type="dxa"/>
              <w:right w:w="180" w:type="dxa"/>
            </w:tcMar>
          </w:tcPr>
          <w:p w14:paraId="3B14C06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-1.192</w:t>
            </w:r>
          </w:p>
        </w:tc>
        <w:tc>
          <w:tcPr>
            <w:tcW w:w="925" w:type="dxa"/>
            <w:tcMar>
              <w:top w:w="120" w:type="dxa"/>
              <w:left w:w="180" w:type="dxa"/>
              <w:bottom w:w="120" w:type="dxa"/>
              <w:right w:w="180" w:type="dxa"/>
            </w:tcMar>
          </w:tcPr>
          <w:p w14:paraId="262539DB"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-1.192</w:t>
            </w:r>
          </w:p>
        </w:tc>
        <w:tc>
          <w:tcPr>
            <w:tcW w:w="1050" w:type="dxa"/>
            <w:tcMar>
              <w:top w:w="120" w:type="dxa"/>
              <w:left w:w="180" w:type="dxa"/>
              <w:bottom w:w="120" w:type="dxa"/>
              <w:right w:w="180" w:type="dxa"/>
            </w:tcMar>
          </w:tcPr>
          <w:p w14:paraId="7D29609E"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-43.651</w:t>
            </w:r>
          </w:p>
        </w:tc>
        <w:tc>
          <w:tcPr>
            <w:tcW w:w="1212" w:type="dxa"/>
            <w:tcMar>
              <w:top w:w="120" w:type="dxa"/>
              <w:left w:w="180" w:type="dxa"/>
              <w:bottom w:w="120" w:type="dxa"/>
              <w:right w:w="180" w:type="dxa"/>
            </w:tcMar>
          </w:tcPr>
          <w:p w14:paraId="376C9A5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23230.0</w:t>
            </w:r>
          </w:p>
        </w:tc>
        <w:tc>
          <w:tcPr>
            <w:tcW w:w="1300" w:type="dxa"/>
            <w:tcMar>
              <w:top w:w="120" w:type="dxa"/>
              <w:left w:w="180" w:type="dxa"/>
              <w:bottom w:w="120" w:type="dxa"/>
              <w:right w:w="180" w:type="dxa"/>
            </w:tcMar>
          </w:tcPr>
          <w:p w14:paraId="5C69C8B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-34.86</w:t>
            </w:r>
          </w:p>
        </w:tc>
        <w:tc>
          <w:tcPr>
            <w:tcW w:w="2025" w:type="dxa"/>
            <w:tcMar>
              <w:top w:w="120" w:type="dxa"/>
              <w:left w:w="180" w:type="dxa"/>
              <w:bottom w:w="120" w:type="dxa"/>
              <w:right w:w="180" w:type="dxa"/>
            </w:tcMar>
          </w:tcPr>
          <w:p w14:paraId="61459E12"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GLU 616 - 1.74A</w:t>
            </w:r>
          </w:p>
          <w:p w14:paraId="46CDFBF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LYS 615 - 2.02A</w:t>
            </w:r>
          </w:p>
        </w:tc>
      </w:tr>
      <w:tr w:rsidR="00651FF7" w14:paraId="2F99F0BE" w14:textId="77777777" w:rsidTr="00096E11">
        <w:trPr>
          <w:trHeight w:val="495"/>
          <w:jc w:val="center"/>
        </w:trPr>
        <w:tc>
          <w:tcPr>
            <w:tcW w:w="930" w:type="dxa"/>
            <w:vMerge w:val="restart"/>
            <w:tcMar>
              <w:top w:w="120" w:type="dxa"/>
              <w:left w:w="180" w:type="dxa"/>
              <w:bottom w:w="120" w:type="dxa"/>
              <w:right w:w="180" w:type="dxa"/>
            </w:tcMar>
            <w:vAlign w:val="center"/>
          </w:tcPr>
          <w:p w14:paraId="580D6A0A" w14:textId="77777777" w:rsidR="00651FF7" w:rsidRDefault="0006478A">
            <w:pPr>
              <w:rPr>
                <w:rFonts w:ascii="Times New Roman" w:eastAsia="Times New Roman" w:hAnsi="Times New Roman" w:cs="Times New Roman"/>
                <w:sz w:val="16"/>
                <w:szCs w:val="16"/>
              </w:rPr>
            </w:pPr>
            <w:r>
              <w:rPr>
                <w:rFonts w:ascii="Times New Roman" w:eastAsia="Times New Roman" w:hAnsi="Times New Roman" w:cs="Times New Roman"/>
                <w:b/>
                <w:sz w:val="16"/>
                <w:szCs w:val="16"/>
              </w:rPr>
              <w:t>HDAC</w:t>
            </w:r>
          </w:p>
        </w:tc>
        <w:tc>
          <w:tcPr>
            <w:tcW w:w="1213" w:type="dxa"/>
            <w:tcMar>
              <w:top w:w="120" w:type="dxa"/>
              <w:left w:w="180" w:type="dxa"/>
              <w:bottom w:w="120" w:type="dxa"/>
              <w:right w:w="180" w:type="dxa"/>
            </w:tcMar>
          </w:tcPr>
          <w:p w14:paraId="15A9D974" w14:textId="77777777" w:rsidR="00651FF7" w:rsidRDefault="0006478A">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Alstonine</w:t>
            </w:r>
            <w:proofErr w:type="spellEnd"/>
          </w:p>
        </w:tc>
        <w:tc>
          <w:tcPr>
            <w:tcW w:w="937" w:type="dxa"/>
            <w:tcMar>
              <w:top w:w="120" w:type="dxa"/>
              <w:left w:w="180" w:type="dxa"/>
              <w:bottom w:w="120" w:type="dxa"/>
              <w:right w:w="180" w:type="dxa"/>
            </w:tcMar>
          </w:tcPr>
          <w:p w14:paraId="3007E61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-3.422</w:t>
            </w:r>
          </w:p>
        </w:tc>
        <w:tc>
          <w:tcPr>
            <w:tcW w:w="938" w:type="dxa"/>
            <w:tcMar>
              <w:top w:w="120" w:type="dxa"/>
              <w:left w:w="180" w:type="dxa"/>
              <w:bottom w:w="120" w:type="dxa"/>
              <w:right w:w="180" w:type="dxa"/>
            </w:tcMar>
          </w:tcPr>
          <w:p w14:paraId="3A1408D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-3.422</w:t>
            </w:r>
          </w:p>
        </w:tc>
        <w:tc>
          <w:tcPr>
            <w:tcW w:w="925" w:type="dxa"/>
            <w:tcMar>
              <w:top w:w="120" w:type="dxa"/>
              <w:left w:w="180" w:type="dxa"/>
              <w:bottom w:w="120" w:type="dxa"/>
              <w:right w:w="180" w:type="dxa"/>
            </w:tcMar>
          </w:tcPr>
          <w:p w14:paraId="2DA3977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-3.422</w:t>
            </w:r>
          </w:p>
        </w:tc>
        <w:tc>
          <w:tcPr>
            <w:tcW w:w="1050" w:type="dxa"/>
            <w:tcMar>
              <w:top w:w="120" w:type="dxa"/>
              <w:left w:w="180" w:type="dxa"/>
              <w:bottom w:w="120" w:type="dxa"/>
              <w:right w:w="180" w:type="dxa"/>
            </w:tcMar>
          </w:tcPr>
          <w:p w14:paraId="77F7748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-28.716</w:t>
            </w:r>
          </w:p>
        </w:tc>
        <w:tc>
          <w:tcPr>
            <w:tcW w:w="1212" w:type="dxa"/>
            <w:tcMar>
              <w:top w:w="120" w:type="dxa"/>
              <w:left w:w="180" w:type="dxa"/>
              <w:bottom w:w="120" w:type="dxa"/>
              <w:right w:w="180" w:type="dxa"/>
            </w:tcMar>
          </w:tcPr>
          <w:p w14:paraId="6B3DF18C"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-14477.6</w:t>
            </w:r>
          </w:p>
        </w:tc>
        <w:tc>
          <w:tcPr>
            <w:tcW w:w="1300" w:type="dxa"/>
            <w:tcMar>
              <w:top w:w="120" w:type="dxa"/>
              <w:left w:w="180" w:type="dxa"/>
              <w:bottom w:w="120" w:type="dxa"/>
              <w:right w:w="180" w:type="dxa"/>
            </w:tcMar>
          </w:tcPr>
          <w:p w14:paraId="426882F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-22.46</w:t>
            </w:r>
          </w:p>
        </w:tc>
        <w:tc>
          <w:tcPr>
            <w:tcW w:w="2025" w:type="dxa"/>
            <w:tcMar>
              <w:top w:w="120" w:type="dxa"/>
              <w:left w:w="180" w:type="dxa"/>
              <w:bottom w:w="120" w:type="dxa"/>
              <w:right w:w="180" w:type="dxa"/>
            </w:tcMar>
          </w:tcPr>
          <w:p w14:paraId="3E75285B"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TYR -1.80A</w:t>
            </w:r>
          </w:p>
        </w:tc>
      </w:tr>
      <w:tr w:rsidR="00651FF7" w14:paraId="3624083A" w14:textId="77777777" w:rsidTr="00096E11">
        <w:trPr>
          <w:trHeight w:val="495"/>
          <w:jc w:val="center"/>
        </w:trPr>
        <w:tc>
          <w:tcPr>
            <w:tcW w:w="930" w:type="dxa"/>
            <w:vMerge/>
            <w:tcMar>
              <w:top w:w="120" w:type="dxa"/>
              <w:left w:w="180" w:type="dxa"/>
              <w:bottom w:w="120" w:type="dxa"/>
              <w:right w:w="180" w:type="dxa"/>
            </w:tcMar>
            <w:vAlign w:val="center"/>
          </w:tcPr>
          <w:p w14:paraId="3FB58004"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30FCEED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1</w:t>
            </w:r>
          </w:p>
        </w:tc>
        <w:tc>
          <w:tcPr>
            <w:tcW w:w="937" w:type="dxa"/>
            <w:tcMar>
              <w:top w:w="120" w:type="dxa"/>
              <w:left w:w="180" w:type="dxa"/>
              <w:bottom w:w="120" w:type="dxa"/>
              <w:right w:w="180" w:type="dxa"/>
            </w:tcMar>
          </w:tcPr>
          <w:p w14:paraId="7264BD8C"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-3.533</w:t>
            </w:r>
          </w:p>
        </w:tc>
        <w:tc>
          <w:tcPr>
            <w:tcW w:w="938" w:type="dxa"/>
            <w:tcMar>
              <w:top w:w="120" w:type="dxa"/>
              <w:left w:w="180" w:type="dxa"/>
              <w:bottom w:w="120" w:type="dxa"/>
              <w:right w:w="180" w:type="dxa"/>
            </w:tcMar>
          </w:tcPr>
          <w:p w14:paraId="1DC88A3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-4.082</w:t>
            </w:r>
          </w:p>
        </w:tc>
        <w:tc>
          <w:tcPr>
            <w:tcW w:w="925" w:type="dxa"/>
            <w:tcMar>
              <w:top w:w="120" w:type="dxa"/>
              <w:left w:w="180" w:type="dxa"/>
              <w:bottom w:w="120" w:type="dxa"/>
              <w:right w:w="180" w:type="dxa"/>
            </w:tcMar>
          </w:tcPr>
          <w:p w14:paraId="316B1841"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-4.082</w:t>
            </w:r>
          </w:p>
        </w:tc>
        <w:tc>
          <w:tcPr>
            <w:tcW w:w="1050" w:type="dxa"/>
            <w:tcMar>
              <w:top w:w="120" w:type="dxa"/>
              <w:left w:w="180" w:type="dxa"/>
              <w:bottom w:w="120" w:type="dxa"/>
              <w:right w:w="180" w:type="dxa"/>
            </w:tcMar>
          </w:tcPr>
          <w:p w14:paraId="748E38E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-32.470</w:t>
            </w:r>
          </w:p>
        </w:tc>
        <w:tc>
          <w:tcPr>
            <w:tcW w:w="1212" w:type="dxa"/>
            <w:tcMar>
              <w:top w:w="120" w:type="dxa"/>
              <w:left w:w="180" w:type="dxa"/>
              <w:bottom w:w="120" w:type="dxa"/>
              <w:right w:w="180" w:type="dxa"/>
            </w:tcMar>
          </w:tcPr>
          <w:p w14:paraId="0F29ADBE"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-14476.7</w:t>
            </w:r>
          </w:p>
        </w:tc>
        <w:tc>
          <w:tcPr>
            <w:tcW w:w="1300" w:type="dxa"/>
            <w:tcMar>
              <w:top w:w="120" w:type="dxa"/>
              <w:left w:w="180" w:type="dxa"/>
              <w:bottom w:w="120" w:type="dxa"/>
              <w:right w:w="180" w:type="dxa"/>
            </w:tcMar>
          </w:tcPr>
          <w:p w14:paraId="4CFB11F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-25.14</w:t>
            </w:r>
          </w:p>
        </w:tc>
        <w:tc>
          <w:tcPr>
            <w:tcW w:w="2025" w:type="dxa"/>
            <w:tcMar>
              <w:top w:w="120" w:type="dxa"/>
              <w:left w:w="180" w:type="dxa"/>
              <w:bottom w:w="120" w:type="dxa"/>
              <w:right w:w="180" w:type="dxa"/>
            </w:tcMar>
          </w:tcPr>
          <w:p w14:paraId="56EBFBB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ASP 101 - 1.97A</w:t>
            </w:r>
          </w:p>
        </w:tc>
      </w:tr>
      <w:tr w:rsidR="00651FF7" w14:paraId="7F9CE665" w14:textId="77777777" w:rsidTr="00096E11">
        <w:trPr>
          <w:trHeight w:val="495"/>
          <w:jc w:val="center"/>
        </w:trPr>
        <w:tc>
          <w:tcPr>
            <w:tcW w:w="930" w:type="dxa"/>
            <w:vMerge/>
            <w:tcMar>
              <w:top w:w="120" w:type="dxa"/>
              <w:left w:w="180" w:type="dxa"/>
              <w:bottom w:w="120" w:type="dxa"/>
              <w:right w:w="180" w:type="dxa"/>
            </w:tcMar>
            <w:vAlign w:val="center"/>
          </w:tcPr>
          <w:p w14:paraId="1F5C58C3"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34C5F37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2</w:t>
            </w:r>
          </w:p>
        </w:tc>
        <w:tc>
          <w:tcPr>
            <w:tcW w:w="937" w:type="dxa"/>
            <w:tcMar>
              <w:top w:w="120" w:type="dxa"/>
              <w:left w:w="180" w:type="dxa"/>
              <w:bottom w:w="120" w:type="dxa"/>
              <w:right w:w="180" w:type="dxa"/>
            </w:tcMar>
          </w:tcPr>
          <w:p w14:paraId="29196EF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-2.140</w:t>
            </w:r>
          </w:p>
        </w:tc>
        <w:tc>
          <w:tcPr>
            <w:tcW w:w="938" w:type="dxa"/>
            <w:tcMar>
              <w:top w:w="120" w:type="dxa"/>
              <w:left w:w="180" w:type="dxa"/>
              <w:bottom w:w="120" w:type="dxa"/>
              <w:right w:w="180" w:type="dxa"/>
            </w:tcMar>
          </w:tcPr>
          <w:p w14:paraId="4FC32B63"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-2.689</w:t>
            </w:r>
          </w:p>
        </w:tc>
        <w:tc>
          <w:tcPr>
            <w:tcW w:w="925" w:type="dxa"/>
            <w:tcMar>
              <w:top w:w="120" w:type="dxa"/>
              <w:left w:w="180" w:type="dxa"/>
              <w:bottom w:w="120" w:type="dxa"/>
              <w:right w:w="180" w:type="dxa"/>
            </w:tcMar>
          </w:tcPr>
          <w:p w14:paraId="0D64422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-2.689</w:t>
            </w:r>
          </w:p>
        </w:tc>
        <w:tc>
          <w:tcPr>
            <w:tcW w:w="1050" w:type="dxa"/>
            <w:tcMar>
              <w:top w:w="120" w:type="dxa"/>
              <w:left w:w="180" w:type="dxa"/>
              <w:bottom w:w="120" w:type="dxa"/>
              <w:right w:w="180" w:type="dxa"/>
            </w:tcMar>
          </w:tcPr>
          <w:p w14:paraId="5A4A3C5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-38.411</w:t>
            </w:r>
          </w:p>
        </w:tc>
        <w:tc>
          <w:tcPr>
            <w:tcW w:w="1212" w:type="dxa"/>
            <w:tcMar>
              <w:top w:w="120" w:type="dxa"/>
              <w:left w:w="180" w:type="dxa"/>
              <w:bottom w:w="120" w:type="dxa"/>
              <w:right w:w="180" w:type="dxa"/>
            </w:tcMar>
          </w:tcPr>
          <w:p w14:paraId="6CFA9B1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-14473.1</w:t>
            </w:r>
          </w:p>
        </w:tc>
        <w:tc>
          <w:tcPr>
            <w:tcW w:w="1300" w:type="dxa"/>
            <w:tcMar>
              <w:top w:w="120" w:type="dxa"/>
              <w:left w:w="180" w:type="dxa"/>
              <w:bottom w:w="120" w:type="dxa"/>
              <w:right w:w="180" w:type="dxa"/>
            </w:tcMar>
          </w:tcPr>
          <w:p w14:paraId="651CC35B"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-22.68</w:t>
            </w:r>
          </w:p>
        </w:tc>
        <w:tc>
          <w:tcPr>
            <w:tcW w:w="2025" w:type="dxa"/>
            <w:tcMar>
              <w:top w:w="120" w:type="dxa"/>
              <w:left w:w="180" w:type="dxa"/>
              <w:bottom w:w="120" w:type="dxa"/>
              <w:right w:w="180" w:type="dxa"/>
            </w:tcMar>
          </w:tcPr>
          <w:p w14:paraId="1B7F599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ASP 101 - 1.76A</w:t>
            </w:r>
          </w:p>
        </w:tc>
      </w:tr>
      <w:tr w:rsidR="00651FF7" w14:paraId="1AEDAF81" w14:textId="77777777" w:rsidTr="00096E11">
        <w:trPr>
          <w:trHeight w:val="495"/>
          <w:jc w:val="center"/>
        </w:trPr>
        <w:tc>
          <w:tcPr>
            <w:tcW w:w="930" w:type="dxa"/>
            <w:vMerge/>
            <w:tcMar>
              <w:top w:w="120" w:type="dxa"/>
              <w:left w:w="180" w:type="dxa"/>
              <w:bottom w:w="120" w:type="dxa"/>
              <w:right w:w="180" w:type="dxa"/>
            </w:tcMar>
            <w:vAlign w:val="center"/>
          </w:tcPr>
          <w:p w14:paraId="413FAA27"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426F5E9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3</w:t>
            </w:r>
          </w:p>
        </w:tc>
        <w:tc>
          <w:tcPr>
            <w:tcW w:w="937" w:type="dxa"/>
            <w:tcMar>
              <w:top w:w="120" w:type="dxa"/>
              <w:left w:w="180" w:type="dxa"/>
              <w:bottom w:w="120" w:type="dxa"/>
              <w:right w:w="180" w:type="dxa"/>
            </w:tcMar>
          </w:tcPr>
          <w:p w14:paraId="458C2763"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-2.116</w:t>
            </w:r>
          </w:p>
        </w:tc>
        <w:tc>
          <w:tcPr>
            <w:tcW w:w="938" w:type="dxa"/>
            <w:tcMar>
              <w:top w:w="120" w:type="dxa"/>
              <w:left w:w="180" w:type="dxa"/>
              <w:bottom w:w="120" w:type="dxa"/>
              <w:right w:w="180" w:type="dxa"/>
            </w:tcMar>
          </w:tcPr>
          <w:p w14:paraId="2CCFCFB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-1.817</w:t>
            </w:r>
          </w:p>
        </w:tc>
        <w:tc>
          <w:tcPr>
            <w:tcW w:w="925" w:type="dxa"/>
            <w:tcMar>
              <w:top w:w="120" w:type="dxa"/>
              <w:left w:w="180" w:type="dxa"/>
              <w:bottom w:w="120" w:type="dxa"/>
              <w:right w:w="180" w:type="dxa"/>
            </w:tcMar>
          </w:tcPr>
          <w:p w14:paraId="3B6075A6"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-1.817</w:t>
            </w:r>
          </w:p>
        </w:tc>
        <w:tc>
          <w:tcPr>
            <w:tcW w:w="1050" w:type="dxa"/>
            <w:tcMar>
              <w:top w:w="120" w:type="dxa"/>
              <w:left w:w="180" w:type="dxa"/>
              <w:bottom w:w="120" w:type="dxa"/>
              <w:right w:w="180" w:type="dxa"/>
            </w:tcMar>
          </w:tcPr>
          <w:p w14:paraId="7E8E36CB"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-33.235</w:t>
            </w:r>
          </w:p>
        </w:tc>
        <w:tc>
          <w:tcPr>
            <w:tcW w:w="1212" w:type="dxa"/>
            <w:tcMar>
              <w:top w:w="120" w:type="dxa"/>
              <w:left w:w="180" w:type="dxa"/>
              <w:bottom w:w="120" w:type="dxa"/>
              <w:right w:w="180" w:type="dxa"/>
            </w:tcMar>
          </w:tcPr>
          <w:p w14:paraId="30D9139E"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-14472.5</w:t>
            </w:r>
          </w:p>
        </w:tc>
        <w:tc>
          <w:tcPr>
            <w:tcW w:w="1300" w:type="dxa"/>
            <w:tcMar>
              <w:top w:w="120" w:type="dxa"/>
              <w:left w:w="180" w:type="dxa"/>
              <w:bottom w:w="120" w:type="dxa"/>
              <w:right w:w="180" w:type="dxa"/>
            </w:tcMar>
          </w:tcPr>
          <w:p w14:paraId="12D25045"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-25.06</w:t>
            </w:r>
          </w:p>
        </w:tc>
        <w:tc>
          <w:tcPr>
            <w:tcW w:w="2025" w:type="dxa"/>
            <w:tcMar>
              <w:top w:w="120" w:type="dxa"/>
              <w:left w:w="180" w:type="dxa"/>
              <w:bottom w:w="120" w:type="dxa"/>
              <w:right w:w="180" w:type="dxa"/>
            </w:tcMar>
          </w:tcPr>
          <w:p w14:paraId="295E1F9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HIE 180 - 2.12A</w:t>
            </w:r>
          </w:p>
        </w:tc>
      </w:tr>
      <w:tr w:rsidR="00651FF7" w14:paraId="327D2336" w14:textId="77777777" w:rsidTr="00096E11">
        <w:trPr>
          <w:trHeight w:val="495"/>
          <w:jc w:val="center"/>
        </w:trPr>
        <w:tc>
          <w:tcPr>
            <w:tcW w:w="930" w:type="dxa"/>
            <w:vMerge/>
            <w:tcMar>
              <w:top w:w="120" w:type="dxa"/>
              <w:left w:w="180" w:type="dxa"/>
              <w:bottom w:w="120" w:type="dxa"/>
              <w:right w:w="180" w:type="dxa"/>
            </w:tcMar>
            <w:vAlign w:val="center"/>
          </w:tcPr>
          <w:p w14:paraId="2B72B9B0"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6B4A55E6" w14:textId="77777777" w:rsidR="00651FF7" w:rsidRDefault="0006478A">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Romidepsin</w:t>
            </w:r>
            <w:proofErr w:type="spellEnd"/>
          </w:p>
        </w:tc>
        <w:tc>
          <w:tcPr>
            <w:tcW w:w="937" w:type="dxa"/>
            <w:tcMar>
              <w:top w:w="120" w:type="dxa"/>
              <w:left w:w="180" w:type="dxa"/>
              <w:bottom w:w="120" w:type="dxa"/>
              <w:right w:w="180" w:type="dxa"/>
            </w:tcMar>
          </w:tcPr>
          <w:p w14:paraId="1DCE44E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-2.895</w:t>
            </w:r>
          </w:p>
        </w:tc>
        <w:tc>
          <w:tcPr>
            <w:tcW w:w="938" w:type="dxa"/>
            <w:tcMar>
              <w:top w:w="120" w:type="dxa"/>
              <w:left w:w="180" w:type="dxa"/>
              <w:bottom w:w="120" w:type="dxa"/>
              <w:right w:w="180" w:type="dxa"/>
            </w:tcMar>
          </w:tcPr>
          <w:p w14:paraId="0D361E93"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-2.895</w:t>
            </w:r>
          </w:p>
        </w:tc>
        <w:tc>
          <w:tcPr>
            <w:tcW w:w="925" w:type="dxa"/>
            <w:tcMar>
              <w:top w:w="120" w:type="dxa"/>
              <w:left w:w="180" w:type="dxa"/>
              <w:bottom w:w="120" w:type="dxa"/>
              <w:right w:w="180" w:type="dxa"/>
            </w:tcMar>
          </w:tcPr>
          <w:p w14:paraId="703F99E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-2.895</w:t>
            </w:r>
          </w:p>
        </w:tc>
        <w:tc>
          <w:tcPr>
            <w:tcW w:w="1050" w:type="dxa"/>
            <w:tcMar>
              <w:top w:w="120" w:type="dxa"/>
              <w:left w:w="180" w:type="dxa"/>
              <w:bottom w:w="120" w:type="dxa"/>
              <w:right w:w="180" w:type="dxa"/>
            </w:tcMar>
          </w:tcPr>
          <w:p w14:paraId="5300557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-33.136</w:t>
            </w:r>
          </w:p>
        </w:tc>
        <w:tc>
          <w:tcPr>
            <w:tcW w:w="1212" w:type="dxa"/>
            <w:tcMar>
              <w:top w:w="120" w:type="dxa"/>
              <w:left w:w="180" w:type="dxa"/>
              <w:bottom w:w="120" w:type="dxa"/>
              <w:right w:w="180" w:type="dxa"/>
            </w:tcMar>
          </w:tcPr>
          <w:p w14:paraId="4EDA82C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-14521.3</w:t>
            </w:r>
          </w:p>
        </w:tc>
        <w:tc>
          <w:tcPr>
            <w:tcW w:w="1300" w:type="dxa"/>
            <w:tcMar>
              <w:top w:w="120" w:type="dxa"/>
              <w:left w:w="180" w:type="dxa"/>
              <w:bottom w:w="120" w:type="dxa"/>
              <w:right w:w="180" w:type="dxa"/>
            </w:tcMar>
          </w:tcPr>
          <w:p w14:paraId="2FD7E50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-18.81</w:t>
            </w:r>
          </w:p>
        </w:tc>
        <w:tc>
          <w:tcPr>
            <w:tcW w:w="2025" w:type="dxa"/>
            <w:tcMar>
              <w:top w:w="120" w:type="dxa"/>
              <w:left w:w="180" w:type="dxa"/>
              <w:bottom w:w="120" w:type="dxa"/>
              <w:right w:w="180" w:type="dxa"/>
            </w:tcMar>
          </w:tcPr>
          <w:p w14:paraId="087959F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 xml:space="preserve">HIE 180 - </w:t>
            </w:r>
            <w:r>
              <w:rPr>
                <w:rFonts w:ascii="Times New Roman" w:hAnsi="Times New Roman" w:cs="Times New Roman"/>
                <w:sz w:val="16"/>
                <w:szCs w:val="16"/>
              </w:rPr>
              <w:t>2.12A</w:t>
            </w:r>
          </w:p>
        </w:tc>
      </w:tr>
      <w:tr w:rsidR="00651FF7" w14:paraId="698F5875" w14:textId="77777777" w:rsidTr="00096E11">
        <w:trPr>
          <w:trHeight w:val="495"/>
          <w:jc w:val="center"/>
        </w:trPr>
        <w:tc>
          <w:tcPr>
            <w:tcW w:w="930" w:type="dxa"/>
            <w:vMerge w:val="restart"/>
            <w:tcMar>
              <w:top w:w="120" w:type="dxa"/>
              <w:left w:w="180" w:type="dxa"/>
              <w:bottom w:w="120" w:type="dxa"/>
              <w:right w:w="180" w:type="dxa"/>
            </w:tcMar>
            <w:vAlign w:val="center"/>
          </w:tcPr>
          <w:p w14:paraId="05BC973A" w14:textId="77777777" w:rsidR="00651FF7" w:rsidRDefault="0006478A">
            <w:pPr>
              <w:rPr>
                <w:rFonts w:ascii="Times New Roman" w:eastAsia="Times New Roman" w:hAnsi="Times New Roman" w:cs="Times New Roman"/>
                <w:sz w:val="16"/>
                <w:szCs w:val="16"/>
              </w:rPr>
            </w:pPr>
            <w:r>
              <w:rPr>
                <w:rFonts w:ascii="Times New Roman" w:eastAsia="Times New Roman" w:hAnsi="Times New Roman" w:cs="Times New Roman"/>
                <w:b/>
                <w:sz w:val="16"/>
                <w:szCs w:val="16"/>
              </w:rPr>
              <w:t>NF-</w:t>
            </w:r>
            <w:proofErr w:type="spellStart"/>
            <w:r>
              <w:rPr>
                <w:rFonts w:ascii="Times New Roman" w:eastAsia="Times New Roman" w:hAnsi="Times New Roman" w:cs="Times New Roman"/>
                <w:b/>
                <w:sz w:val="16"/>
                <w:szCs w:val="16"/>
              </w:rPr>
              <w:t>κB</w:t>
            </w:r>
            <w:proofErr w:type="spellEnd"/>
          </w:p>
        </w:tc>
        <w:tc>
          <w:tcPr>
            <w:tcW w:w="1213" w:type="dxa"/>
            <w:tcMar>
              <w:top w:w="120" w:type="dxa"/>
              <w:left w:w="180" w:type="dxa"/>
              <w:bottom w:w="120" w:type="dxa"/>
              <w:right w:w="180" w:type="dxa"/>
            </w:tcMar>
          </w:tcPr>
          <w:p w14:paraId="2F023FEC" w14:textId="77777777" w:rsidR="00651FF7" w:rsidRDefault="0006478A">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Alstonine</w:t>
            </w:r>
            <w:proofErr w:type="spellEnd"/>
          </w:p>
        </w:tc>
        <w:tc>
          <w:tcPr>
            <w:tcW w:w="937" w:type="dxa"/>
            <w:tcMar>
              <w:top w:w="120" w:type="dxa"/>
              <w:left w:w="180" w:type="dxa"/>
              <w:bottom w:w="120" w:type="dxa"/>
              <w:right w:w="180" w:type="dxa"/>
            </w:tcMar>
          </w:tcPr>
          <w:p w14:paraId="045B0EE3"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-2.225</w:t>
            </w:r>
          </w:p>
        </w:tc>
        <w:tc>
          <w:tcPr>
            <w:tcW w:w="938" w:type="dxa"/>
            <w:tcMar>
              <w:top w:w="120" w:type="dxa"/>
              <w:left w:w="180" w:type="dxa"/>
              <w:bottom w:w="120" w:type="dxa"/>
              <w:right w:w="180" w:type="dxa"/>
            </w:tcMar>
          </w:tcPr>
          <w:p w14:paraId="3456DF4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-2.225</w:t>
            </w:r>
          </w:p>
        </w:tc>
        <w:tc>
          <w:tcPr>
            <w:tcW w:w="925" w:type="dxa"/>
            <w:tcMar>
              <w:top w:w="120" w:type="dxa"/>
              <w:left w:w="180" w:type="dxa"/>
              <w:bottom w:w="120" w:type="dxa"/>
              <w:right w:w="180" w:type="dxa"/>
            </w:tcMar>
          </w:tcPr>
          <w:p w14:paraId="03BF6A5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-2.225</w:t>
            </w:r>
          </w:p>
        </w:tc>
        <w:tc>
          <w:tcPr>
            <w:tcW w:w="1050" w:type="dxa"/>
            <w:tcMar>
              <w:top w:w="120" w:type="dxa"/>
              <w:left w:w="180" w:type="dxa"/>
              <w:bottom w:w="120" w:type="dxa"/>
              <w:right w:w="180" w:type="dxa"/>
            </w:tcMar>
          </w:tcPr>
          <w:p w14:paraId="615FB8D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-37.151</w:t>
            </w:r>
          </w:p>
        </w:tc>
        <w:tc>
          <w:tcPr>
            <w:tcW w:w="1212" w:type="dxa"/>
            <w:tcMar>
              <w:top w:w="120" w:type="dxa"/>
              <w:left w:w="180" w:type="dxa"/>
              <w:bottom w:w="120" w:type="dxa"/>
              <w:right w:w="180" w:type="dxa"/>
            </w:tcMar>
          </w:tcPr>
          <w:p w14:paraId="3042E826"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-8086.9</w:t>
            </w:r>
          </w:p>
        </w:tc>
        <w:tc>
          <w:tcPr>
            <w:tcW w:w="1300" w:type="dxa"/>
            <w:tcMar>
              <w:top w:w="120" w:type="dxa"/>
              <w:left w:w="180" w:type="dxa"/>
              <w:bottom w:w="120" w:type="dxa"/>
              <w:right w:w="180" w:type="dxa"/>
            </w:tcMar>
          </w:tcPr>
          <w:p w14:paraId="11D0BDB1"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-28.09</w:t>
            </w:r>
          </w:p>
        </w:tc>
        <w:tc>
          <w:tcPr>
            <w:tcW w:w="2025" w:type="dxa"/>
            <w:tcMar>
              <w:top w:w="120" w:type="dxa"/>
              <w:left w:w="180" w:type="dxa"/>
              <w:bottom w:w="120" w:type="dxa"/>
              <w:right w:w="180" w:type="dxa"/>
            </w:tcMar>
          </w:tcPr>
          <w:p w14:paraId="1009F88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Nil</w:t>
            </w:r>
          </w:p>
        </w:tc>
      </w:tr>
      <w:tr w:rsidR="00651FF7" w14:paraId="6C1F0C1B" w14:textId="77777777" w:rsidTr="00096E11">
        <w:trPr>
          <w:trHeight w:val="495"/>
          <w:jc w:val="center"/>
        </w:trPr>
        <w:tc>
          <w:tcPr>
            <w:tcW w:w="930" w:type="dxa"/>
            <w:vMerge/>
            <w:tcMar>
              <w:top w:w="120" w:type="dxa"/>
              <w:left w:w="180" w:type="dxa"/>
              <w:bottom w:w="120" w:type="dxa"/>
              <w:right w:w="180" w:type="dxa"/>
            </w:tcMar>
            <w:vAlign w:val="center"/>
          </w:tcPr>
          <w:p w14:paraId="3B417A6A"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5A01FC4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1</w:t>
            </w:r>
          </w:p>
        </w:tc>
        <w:tc>
          <w:tcPr>
            <w:tcW w:w="937" w:type="dxa"/>
            <w:tcMar>
              <w:top w:w="120" w:type="dxa"/>
              <w:left w:w="180" w:type="dxa"/>
              <w:bottom w:w="120" w:type="dxa"/>
              <w:right w:w="180" w:type="dxa"/>
            </w:tcMar>
          </w:tcPr>
          <w:p w14:paraId="19387D2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-1.486</w:t>
            </w:r>
          </w:p>
        </w:tc>
        <w:tc>
          <w:tcPr>
            <w:tcW w:w="938" w:type="dxa"/>
            <w:tcMar>
              <w:top w:w="120" w:type="dxa"/>
              <w:left w:w="180" w:type="dxa"/>
              <w:bottom w:w="120" w:type="dxa"/>
              <w:right w:w="180" w:type="dxa"/>
            </w:tcMar>
          </w:tcPr>
          <w:p w14:paraId="2726D61B"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-2.035</w:t>
            </w:r>
          </w:p>
        </w:tc>
        <w:tc>
          <w:tcPr>
            <w:tcW w:w="925" w:type="dxa"/>
            <w:tcMar>
              <w:top w:w="120" w:type="dxa"/>
              <w:left w:w="180" w:type="dxa"/>
              <w:bottom w:w="120" w:type="dxa"/>
              <w:right w:w="180" w:type="dxa"/>
            </w:tcMar>
          </w:tcPr>
          <w:p w14:paraId="17F08A7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-2.035</w:t>
            </w:r>
          </w:p>
        </w:tc>
        <w:tc>
          <w:tcPr>
            <w:tcW w:w="1050" w:type="dxa"/>
            <w:tcMar>
              <w:top w:w="120" w:type="dxa"/>
              <w:left w:w="180" w:type="dxa"/>
              <w:bottom w:w="120" w:type="dxa"/>
              <w:right w:w="180" w:type="dxa"/>
            </w:tcMar>
          </w:tcPr>
          <w:p w14:paraId="01FD146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-34.473</w:t>
            </w:r>
          </w:p>
        </w:tc>
        <w:tc>
          <w:tcPr>
            <w:tcW w:w="1212" w:type="dxa"/>
            <w:tcMar>
              <w:top w:w="120" w:type="dxa"/>
              <w:left w:w="180" w:type="dxa"/>
              <w:bottom w:w="120" w:type="dxa"/>
              <w:right w:w="180" w:type="dxa"/>
            </w:tcMar>
          </w:tcPr>
          <w:p w14:paraId="65059CF2"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-8082.2</w:t>
            </w:r>
          </w:p>
        </w:tc>
        <w:tc>
          <w:tcPr>
            <w:tcW w:w="1300" w:type="dxa"/>
            <w:tcMar>
              <w:top w:w="120" w:type="dxa"/>
              <w:left w:w="180" w:type="dxa"/>
              <w:bottom w:w="120" w:type="dxa"/>
              <w:right w:w="180" w:type="dxa"/>
            </w:tcMar>
          </w:tcPr>
          <w:p w14:paraId="2362D9B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-29.91</w:t>
            </w:r>
          </w:p>
        </w:tc>
        <w:tc>
          <w:tcPr>
            <w:tcW w:w="2025" w:type="dxa"/>
            <w:tcMar>
              <w:top w:w="120" w:type="dxa"/>
              <w:left w:w="180" w:type="dxa"/>
              <w:bottom w:w="120" w:type="dxa"/>
              <w:right w:w="180" w:type="dxa"/>
            </w:tcMar>
          </w:tcPr>
          <w:p w14:paraId="22471E3E"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HIS 117 - 1.99A</w:t>
            </w:r>
          </w:p>
          <w:p w14:paraId="1D60056B"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GLU 119 - 2.80A</w:t>
            </w:r>
          </w:p>
          <w:p w14:paraId="07BCABF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CYS 118 - 2.21A</w:t>
            </w:r>
          </w:p>
        </w:tc>
      </w:tr>
      <w:tr w:rsidR="00651FF7" w14:paraId="6B0BEF7E" w14:textId="77777777" w:rsidTr="00096E11">
        <w:trPr>
          <w:trHeight w:val="530"/>
          <w:jc w:val="center"/>
        </w:trPr>
        <w:tc>
          <w:tcPr>
            <w:tcW w:w="930" w:type="dxa"/>
            <w:vMerge/>
            <w:tcMar>
              <w:top w:w="120" w:type="dxa"/>
              <w:left w:w="180" w:type="dxa"/>
              <w:bottom w:w="120" w:type="dxa"/>
              <w:right w:w="180" w:type="dxa"/>
            </w:tcMar>
            <w:vAlign w:val="center"/>
          </w:tcPr>
          <w:p w14:paraId="7E206A08"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3C90A96C"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2</w:t>
            </w:r>
          </w:p>
        </w:tc>
        <w:tc>
          <w:tcPr>
            <w:tcW w:w="937" w:type="dxa"/>
            <w:tcMar>
              <w:top w:w="120" w:type="dxa"/>
              <w:left w:w="180" w:type="dxa"/>
              <w:bottom w:w="120" w:type="dxa"/>
              <w:right w:w="180" w:type="dxa"/>
            </w:tcMar>
          </w:tcPr>
          <w:p w14:paraId="14C0591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-2.668</w:t>
            </w:r>
          </w:p>
        </w:tc>
        <w:tc>
          <w:tcPr>
            <w:tcW w:w="938" w:type="dxa"/>
            <w:tcMar>
              <w:top w:w="120" w:type="dxa"/>
              <w:left w:w="180" w:type="dxa"/>
              <w:bottom w:w="120" w:type="dxa"/>
              <w:right w:w="180" w:type="dxa"/>
            </w:tcMar>
          </w:tcPr>
          <w:p w14:paraId="3226C4C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-3.217</w:t>
            </w:r>
          </w:p>
        </w:tc>
        <w:tc>
          <w:tcPr>
            <w:tcW w:w="925" w:type="dxa"/>
            <w:tcMar>
              <w:top w:w="120" w:type="dxa"/>
              <w:left w:w="180" w:type="dxa"/>
              <w:bottom w:w="120" w:type="dxa"/>
              <w:right w:w="180" w:type="dxa"/>
            </w:tcMar>
          </w:tcPr>
          <w:p w14:paraId="14582F6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-3.217</w:t>
            </w:r>
          </w:p>
        </w:tc>
        <w:tc>
          <w:tcPr>
            <w:tcW w:w="1050" w:type="dxa"/>
            <w:tcMar>
              <w:top w:w="120" w:type="dxa"/>
              <w:left w:w="180" w:type="dxa"/>
              <w:bottom w:w="120" w:type="dxa"/>
              <w:right w:w="180" w:type="dxa"/>
            </w:tcMar>
          </w:tcPr>
          <w:p w14:paraId="161F8133"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-29.289</w:t>
            </w:r>
          </w:p>
        </w:tc>
        <w:tc>
          <w:tcPr>
            <w:tcW w:w="1212" w:type="dxa"/>
            <w:tcMar>
              <w:top w:w="120" w:type="dxa"/>
              <w:left w:w="180" w:type="dxa"/>
              <w:bottom w:w="120" w:type="dxa"/>
              <w:right w:w="180" w:type="dxa"/>
            </w:tcMar>
          </w:tcPr>
          <w:p w14:paraId="51AC41E4"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-8064.1</w:t>
            </w:r>
          </w:p>
        </w:tc>
        <w:tc>
          <w:tcPr>
            <w:tcW w:w="1300" w:type="dxa"/>
            <w:tcMar>
              <w:top w:w="120" w:type="dxa"/>
              <w:left w:w="180" w:type="dxa"/>
              <w:bottom w:w="120" w:type="dxa"/>
              <w:right w:w="180" w:type="dxa"/>
            </w:tcMar>
          </w:tcPr>
          <w:p w14:paraId="5868A2C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-12.61</w:t>
            </w:r>
          </w:p>
        </w:tc>
        <w:tc>
          <w:tcPr>
            <w:tcW w:w="2025" w:type="dxa"/>
            <w:tcMar>
              <w:top w:w="120" w:type="dxa"/>
              <w:left w:w="180" w:type="dxa"/>
              <w:bottom w:w="120" w:type="dxa"/>
              <w:right w:w="180" w:type="dxa"/>
            </w:tcMar>
          </w:tcPr>
          <w:p w14:paraId="413A0CDA"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Nil</w:t>
            </w:r>
          </w:p>
        </w:tc>
      </w:tr>
      <w:tr w:rsidR="00651FF7" w14:paraId="50FDCF5C" w14:textId="77777777" w:rsidTr="00096E11">
        <w:trPr>
          <w:trHeight w:val="530"/>
          <w:jc w:val="center"/>
        </w:trPr>
        <w:tc>
          <w:tcPr>
            <w:tcW w:w="930" w:type="dxa"/>
            <w:vMerge/>
            <w:tcMar>
              <w:top w:w="120" w:type="dxa"/>
              <w:left w:w="180" w:type="dxa"/>
              <w:bottom w:w="120" w:type="dxa"/>
              <w:right w:w="180" w:type="dxa"/>
            </w:tcMar>
            <w:vAlign w:val="center"/>
          </w:tcPr>
          <w:p w14:paraId="43EFAEFB"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5D18B6E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Ajmalicine 3</w:t>
            </w:r>
          </w:p>
        </w:tc>
        <w:tc>
          <w:tcPr>
            <w:tcW w:w="937" w:type="dxa"/>
            <w:tcMar>
              <w:top w:w="120" w:type="dxa"/>
              <w:left w:w="180" w:type="dxa"/>
              <w:bottom w:w="120" w:type="dxa"/>
              <w:right w:w="180" w:type="dxa"/>
            </w:tcMar>
          </w:tcPr>
          <w:p w14:paraId="182DFFC9"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-1.518</w:t>
            </w:r>
          </w:p>
        </w:tc>
        <w:tc>
          <w:tcPr>
            <w:tcW w:w="938" w:type="dxa"/>
            <w:tcMar>
              <w:top w:w="120" w:type="dxa"/>
              <w:left w:w="180" w:type="dxa"/>
              <w:bottom w:w="120" w:type="dxa"/>
              <w:right w:w="180" w:type="dxa"/>
            </w:tcMar>
          </w:tcPr>
          <w:p w14:paraId="37BA6E2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-1.817</w:t>
            </w:r>
          </w:p>
        </w:tc>
        <w:tc>
          <w:tcPr>
            <w:tcW w:w="925" w:type="dxa"/>
            <w:tcMar>
              <w:top w:w="120" w:type="dxa"/>
              <w:left w:w="180" w:type="dxa"/>
              <w:bottom w:w="120" w:type="dxa"/>
              <w:right w:w="180" w:type="dxa"/>
            </w:tcMar>
          </w:tcPr>
          <w:p w14:paraId="0620A77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-1.817</w:t>
            </w:r>
          </w:p>
        </w:tc>
        <w:tc>
          <w:tcPr>
            <w:tcW w:w="1050" w:type="dxa"/>
            <w:tcMar>
              <w:top w:w="120" w:type="dxa"/>
              <w:left w:w="180" w:type="dxa"/>
              <w:bottom w:w="120" w:type="dxa"/>
              <w:right w:w="180" w:type="dxa"/>
            </w:tcMar>
          </w:tcPr>
          <w:p w14:paraId="2DC6074E"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-37.444</w:t>
            </w:r>
          </w:p>
        </w:tc>
        <w:tc>
          <w:tcPr>
            <w:tcW w:w="1212" w:type="dxa"/>
            <w:tcMar>
              <w:top w:w="120" w:type="dxa"/>
              <w:left w:w="180" w:type="dxa"/>
              <w:bottom w:w="120" w:type="dxa"/>
              <w:right w:w="180" w:type="dxa"/>
            </w:tcMar>
          </w:tcPr>
          <w:p w14:paraId="21130B36"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-8080.0</w:t>
            </w:r>
          </w:p>
        </w:tc>
        <w:tc>
          <w:tcPr>
            <w:tcW w:w="1300" w:type="dxa"/>
            <w:tcMar>
              <w:top w:w="120" w:type="dxa"/>
              <w:left w:w="180" w:type="dxa"/>
              <w:bottom w:w="120" w:type="dxa"/>
              <w:right w:w="180" w:type="dxa"/>
            </w:tcMar>
          </w:tcPr>
          <w:p w14:paraId="72A1E238"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-20.59</w:t>
            </w:r>
          </w:p>
        </w:tc>
        <w:tc>
          <w:tcPr>
            <w:tcW w:w="2025" w:type="dxa"/>
            <w:tcMar>
              <w:top w:w="120" w:type="dxa"/>
              <w:left w:w="180" w:type="dxa"/>
              <w:bottom w:w="120" w:type="dxa"/>
              <w:right w:w="180" w:type="dxa"/>
            </w:tcMar>
          </w:tcPr>
          <w:p w14:paraId="477062BF"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ARG 163 - 2.10A</w:t>
            </w:r>
          </w:p>
          <w:p w14:paraId="3D892283"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PHE 227 - 1.95A</w:t>
            </w:r>
          </w:p>
        </w:tc>
      </w:tr>
      <w:tr w:rsidR="00651FF7" w14:paraId="28D7D8BA" w14:textId="77777777" w:rsidTr="00096E11">
        <w:trPr>
          <w:trHeight w:val="530"/>
          <w:jc w:val="center"/>
        </w:trPr>
        <w:tc>
          <w:tcPr>
            <w:tcW w:w="930" w:type="dxa"/>
            <w:vMerge/>
            <w:tcMar>
              <w:top w:w="120" w:type="dxa"/>
              <w:left w:w="180" w:type="dxa"/>
              <w:bottom w:w="120" w:type="dxa"/>
              <w:right w:w="180" w:type="dxa"/>
            </w:tcMar>
            <w:vAlign w:val="center"/>
          </w:tcPr>
          <w:p w14:paraId="3408D91C" w14:textId="77777777" w:rsidR="00651FF7" w:rsidRDefault="00651FF7">
            <w:pPr>
              <w:rPr>
                <w:rFonts w:ascii="Times New Roman" w:eastAsia="Times New Roman" w:hAnsi="Times New Roman" w:cs="Times New Roman"/>
                <w:sz w:val="16"/>
                <w:szCs w:val="16"/>
              </w:rPr>
            </w:pPr>
          </w:p>
        </w:tc>
        <w:tc>
          <w:tcPr>
            <w:tcW w:w="1213" w:type="dxa"/>
            <w:tcMar>
              <w:top w:w="120" w:type="dxa"/>
              <w:left w:w="180" w:type="dxa"/>
              <w:bottom w:w="120" w:type="dxa"/>
              <w:right w:w="180" w:type="dxa"/>
            </w:tcMar>
          </w:tcPr>
          <w:p w14:paraId="527DD519" w14:textId="77777777" w:rsidR="00651FF7" w:rsidRDefault="0006478A">
            <w:pPr>
              <w:jc w:val="center"/>
              <w:rPr>
                <w:rFonts w:ascii="Times New Roman" w:eastAsia="Times New Roman" w:hAnsi="Times New Roman" w:cs="Times New Roman"/>
                <w:sz w:val="16"/>
                <w:szCs w:val="16"/>
              </w:rPr>
            </w:pPr>
            <w:proofErr w:type="spellStart"/>
            <w:r>
              <w:rPr>
                <w:rFonts w:ascii="Times New Roman" w:hAnsi="Times New Roman" w:cs="Times New Roman"/>
                <w:sz w:val="16"/>
                <w:szCs w:val="16"/>
              </w:rPr>
              <w:t>Mesalazine</w:t>
            </w:r>
            <w:proofErr w:type="spellEnd"/>
          </w:p>
        </w:tc>
        <w:tc>
          <w:tcPr>
            <w:tcW w:w="937" w:type="dxa"/>
            <w:tcMar>
              <w:top w:w="120" w:type="dxa"/>
              <w:left w:w="180" w:type="dxa"/>
              <w:bottom w:w="120" w:type="dxa"/>
              <w:right w:w="180" w:type="dxa"/>
            </w:tcMar>
          </w:tcPr>
          <w:p w14:paraId="4064F653"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-3.679</w:t>
            </w:r>
          </w:p>
        </w:tc>
        <w:tc>
          <w:tcPr>
            <w:tcW w:w="938" w:type="dxa"/>
            <w:tcMar>
              <w:top w:w="120" w:type="dxa"/>
              <w:left w:w="180" w:type="dxa"/>
              <w:bottom w:w="120" w:type="dxa"/>
              <w:right w:w="180" w:type="dxa"/>
            </w:tcMar>
          </w:tcPr>
          <w:p w14:paraId="7C4AAA9C"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-3.683</w:t>
            </w:r>
          </w:p>
        </w:tc>
        <w:tc>
          <w:tcPr>
            <w:tcW w:w="925" w:type="dxa"/>
            <w:tcMar>
              <w:top w:w="120" w:type="dxa"/>
              <w:left w:w="180" w:type="dxa"/>
              <w:bottom w:w="120" w:type="dxa"/>
              <w:right w:w="180" w:type="dxa"/>
            </w:tcMar>
          </w:tcPr>
          <w:p w14:paraId="5780286B"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-3.683</w:t>
            </w:r>
          </w:p>
        </w:tc>
        <w:tc>
          <w:tcPr>
            <w:tcW w:w="1050" w:type="dxa"/>
            <w:tcMar>
              <w:top w:w="120" w:type="dxa"/>
              <w:left w:w="180" w:type="dxa"/>
              <w:bottom w:w="120" w:type="dxa"/>
              <w:right w:w="180" w:type="dxa"/>
            </w:tcMar>
          </w:tcPr>
          <w:p w14:paraId="6A9B738D"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-20.151</w:t>
            </w:r>
          </w:p>
        </w:tc>
        <w:tc>
          <w:tcPr>
            <w:tcW w:w="1212" w:type="dxa"/>
            <w:tcMar>
              <w:top w:w="120" w:type="dxa"/>
              <w:left w:w="180" w:type="dxa"/>
              <w:bottom w:w="120" w:type="dxa"/>
              <w:right w:w="180" w:type="dxa"/>
            </w:tcMar>
          </w:tcPr>
          <w:p w14:paraId="68ACCA87"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-8104.5</w:t>
            </w:r>
          </w:p>
        </w:tc>
        <w:tc>
          <w:tcPr>
            <w:tcW w:w="1300" w:type="dxa"/>
            <w:tcMar>
              <w:top w:w="120" w:type="dxa"/>
              <w:left w:w="180" w:type="dxa"/>
              <w:bottom w:w="120" w:type="dxa"/>
              <w:right w:w="180" w:type="dxa"/>
            </w:tcMar>
          </w:tcPr>
          <w:p w14:paraId="47E282DF"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-11.27</w:t>
            </w:r>
          </w:p>
        </w:tc>
        <w:tc>
          <w:tcPr>
            <w:tcW w:w="2025" w:type="dxa"/>
            <w:tcMar>
              <w:top w:w="120" w:type="dxa"/>
              <w:left w:w="180" w:type="dxa"/>
              <w:bottom w:w="120" w:type="dxa"/>
              <w:right w:w="180" w:type="dxa"/>
            </w:tcMar>
          </w:tcPr>
          <w:p w14:paraId="57C37915"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GLY 119 - 2.72A</w:t>
            </w:r>
          </w:p>
          <w:p w14:paraId="0108ECD4"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TYR 165 - 2.02A</w:t>
            </w:r>
          </w:p>
          <w:p w14:paraId="4E723E75" w14:textId="77777777" w:rsidR="00651FF7" w:rsidRDefault="0006478A">
            <w:pPr>
              <w:jc w:val="center"/>
              <w:rPr>
                <w:rFonts w:ascii="Times New Roman" w:hAnsi="Times New Roman" w:cs="Times New Roman"/>
                <w:sz w:val="16"/>
                <w:szCs w:val="16"/>
              </w:rPr>
            </w:pPr>
            <w:r>
              <w:rPr>
                <w:rFonts w:ascii="Times New Roman" w:hAnsi="Times New Roman" w:cs="Times New Roman"/>
                <w:sz w:val="16"/>
                <w:szCs w:val="16"/>
              </w:rPr>
              <w:t>THR 124 - 1.69A</w:t>
            </w:r>
          </w:p>
          <w:p w14:paraId="0FD2E640" w14:textId="77777777" w:rsidR="00651FF7" w:rsidRDefault="0006478A">
            <w:pPr>
              <w:jc w:val="center"/>
              <w:rPr>
                <w:rFonts w:ascii="Times New Roman" w:eastAsia="Times New Roman" w:hAnsi="Times New Roman" w:cs="Times New Roman"/>
                <w:sz w:val="16"/>
                <w:szCs w:val="16"/>
              </w:rPr>
            </w:pPr>
            <w:r>
              <w:rPr>
                <w:rFonts w:ascii="Times New Roman" w:hAnsi="Times New Roman" w:cs="Times New Roman"/>
                <w:sz w:val="16"/>
                <w:szCs w:val="16"/>
              </w:rPr>
              <w:t>ASP 120 -1.94A</w:t>
            </w:r>
          </w:p>
        </w:tc>
      </w:tr>
    </w:tbl>
    <w:p w14:paraId="7BA2293D" w14:textId="77777777" w:rsidR="00651FF7" w:rsidRDefault="00651FF7">
      <w:pPr>
        <w:pBdr>
          <w:top w:val="none" w:sz="0" w:space="0" w:color="1B1C1D"/>
          <w:left w:val="none" w:sz="0" w:space="0" w:color="1B1C1D"/>
          <w:bottom w:val="none" w:sz="0" w:space="0" w:color="1B1C1D"/>
          <w:right w:val="none" w:sz="0" w:space="0" w:color="1B1C1D"/>
        </w:pBdr>
        <w:spacing w:after="120" w:line="360" w:lineRule="auto"/>
        <w:ind w:left="-360"/>
        <w:jc w:val="both"/>
        <w:rPr>
          <w:rFonts w:ascii="Times New Roman" w:eastAsia="Times New Roman" w:hAnsi="Times New Roman" w:cs="Times New Roman"/>
          <w:sz w:val="24"/>
          <w:szCs w:val="24"/>
        </w:rPr>
      </w:pPr>
    </w:p>
    <w:p w14:paraId="171508EA" w14:textId="77777777" w:rsidR="00651FF7" w:rsidRDefault="00651FF7">
      <w:pPr>
        <w:pStyle w:val="Heading1"/>
        <w:keepNext w:val="0"/>
        <w:keepLines w:val="0"/>
        <w:spacing w:line="480" w:lineRule="auto"/>
        <w:jc w:val="both"/>
        <w:rPr>
          <w:rFonts w:eastAsia="Times New Roman"/>
        </w:rPr>
        <w:sectPr w:rsidR="00651FF7">
          <w:pgSz w:w="12240" w:h="15840"/>
          <w:pgMar w:top="1440" w:right="1440" w:bottom="1440" w:left="1440" w:header="720" w:footer="720" w:gutter="0"/>
          <w:cols w:space="720"/>
        </w:sectPr>
      </w:pPr>
    </w:p>
    <w:p w14:paraId="3501F46C" w14:textId="77777777" w:rsidR="00651FF7" w:rsidRDefault="0006478A">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present study employed a comparative in-silico approach to evaluate the anticancer potential of two naturally derived indole alkaloids,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against six cancer-associated proteins. The integrated use of pharmacokinetic profiling, t</w:t>
      </w:r>
      <w:r>
        <w:rPr>
          <w:rFonts w:ascii="Times New Roman" w:eastAsia="Times New Roman" w:hAnsi="Times New Roman" w:cs="Times New Roman"/>
          <w:sz w:val="24"/>
          <w:szCs w:val="24"/>
        </w:rPr>
        <w:t>oxicity prediction, and molecular docking simulations provided insights into their potential as lead candidates relative to established anticancer drugs.</w:t>
      </w:r>
    </w:p>
    <w:p w14:paraId="270A9B18" w14:textId="77777777" w:rsidR="00651FF7" w:rsidRDefault="0006478A">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SwissADME</w:t>
      </w:r>
      <w:proofErr w:type="spellEnd"/>
      <w:r>
        <w:rPr>
          <w:rFonts w:ascii="Times New Roman" w:eastAsia="Times New Roman" w:hAnsi="Times New Roman" w:cs="Times New Roman"/>
          <w:sz w:val="24"/>
          <w:szCs w:val="24"/>
        </w:rPr>
        <w:t xml:space="preserve"> predictions demonstrated that both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possess favorable pharmacokinetic properties, including high gastrointestinal absorption and compliance with Lipinski’s rule of five. These findings align with earlier reports suggesting that alkaloid scaffolds often exhibit drug-like characteristics, mak</w:t>
      </w:r>
      <w:r>
        <w:rPr>
          <w:rFonts w:ascii="Times New Roman" w:eastAsia="Times New Roman" w:hAnsi="Times New Roman" w:cs="Times New Roman"/>
          <w:sz w:val="24"/>
          <w:szCs w:val="24"/>
        </w:rPr>
        <w:t>ing them attractive candidates for further development (20, 21). Notably, both compounds were predicted to cross the blood-brain barrier (BBB), a feature that could expand their therapeutic potential to malignancies with central nervous system involvement.</w:t>
      </w:r>
      <w:r>
        <w:rPr>
          <w:rFonts w:ascii="Times New Roman" w:eastAsia="Times New Roman" w:hAnsi="Times New Roman" w:cs="Times New Roman"/>
          <w:sz w:val="24"/>
          <w:szCs w:val="24"/>
        </w:rPr>
        <w:t xml:space="preserve"> However, BBB penetration also raises concerns about off-target neurological effects, warranting careful experimental validation (22).</w:t>
      </w:r>
    </w:p>
    <w:p w14:paraId="5CECA29C" w14:textId="77777777" w:rsidR="00651FF7" w:rsidRDefault="0006478A">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toxicity predictions revealed that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were classified as Class 3 toxicants (LD₅₀ between 200–30</w:t>
      </w:r>
      <w:r>
        <w:rPr>
          <w:rFonts w:ascii="Times New Roman" w:eastAsia="Times New Roman" w:hAnsi="Times New Roman" w:cs="Times New Roman"/>
          <w:sz w:val="24"/>
          <w:szCs w:val="24"/>
        </w:rPr>
        <w:t xml:space="preserve">0 mg/kg), indicating higher toxicity compared to several reference inhibitors such as Gefitinib and </w:t>
      </w:r>
      <w:proofErr w:type="spellStart"/>
      <w:r>
        <w:rPr>
          <w:rFonts w:ascii="Times New Roman" w:eastAsia="Times New Roman" w:hAnsi="Times New Roman" w:cs="Times New Roman"/>
          <w:sz w:val="24"/>
          <w:szCs w:val="24"/>
        </w:rPr>
        <w:t>Napabucasin</w:t>
      </w:r>
      <w:proofErr w:type="spellEnd"/>
      <w:r>
        <w:rPr>
          <w:rFonts w:ascii="Times New Roman" w:eastAsia="Times New Roman" w:hAnsi="Times New Roman" w:cs="Times New Roman"/>
          <w:sz w:val="24"/>
          <w:szCs w:val="24"/>
        </w:rPr>
        <w:t>. This finding underscores the importance of balancing efficacy with safety when developing plant-derived compounds (23). Furthermore, Ajmalicine</w:t>
      </w:r>
      <w:r>
        <w:rPr>
          <w:rFonts w:ascii="Times New Roman" w:eastAsia="Times New Roman" w:hAnsi="Times New Roman" w:cs="Times New Roman"/>
          <w:sz w:val="24"/>
          <w:szCs w:val="24"/>
        </w:rPr>
        <w:t xml:space="preserve"> was predicted to exhibit multiple toxicities, including carcinogenicity and immunotoxicity, which may limit its therapeutic window. In contrast,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showed a slightly lower toxicity profile, suggesting that structural modifications could enhance its</w:t>
      </w:r>
      <w:r>
        <w:rPr>
          <w:rFonts w:ascii="Times New Roman" w:eastAsia="Times New Roman" w:hAnsi="Times New Roman" w:cs="Times New Roman"/>
          <w:sz w:val="24"/>
          <w:szCs w:val="24"/>
        </w:rPr>
        <w:t xml:space="preserve"> safety while retaining anticancer activity.</w:t>
      </w:r>
    </w:p>
    <w:p w14:paraId="7D273207" w14:textId="77777777" w:rsidR="00651FF7" w:rsidRDefault="0006478A">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docking studies highlighted distinct differences in the binding affinities of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across the six target proteins. For BCL-2, a key anti-apoptotic protein,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demonstrated stronger</w:t>
      </w:r>
      <w:r>
        <w:rPr>
          <w:rFonts w:ascii="Times New Roman" w:eastAsia="Times New Roman" w:hAnsi="Times New Roman" w:cs="Times New Roman"/>
          <w:sz w:val="24"/>
          <w:szCs w:val="24"/>
        </w:rPr>
        <w:t xml:space="preserve"> binding than Ajmalicine, although </w:t>
      </w:r>
      <w:proofErr w:type="spellStart"/>
      <w:r>
        <w:rPr>
          <w:rFonts w:ascii="Times New Roman" w:eastAsia="Times New Roman" w:hAnsi="Times New Roman" w:cs="Times New Roman"/>
          <w:sz w:val="24"/>
          <w:szCs w:val="24"/>
        </w:rPr>
        <w:t>Lisaftoclax</w:t>
      </w:r>
      <w:proofErr w:type="spellEnd"/>
      <w:r>
        <w:rPr>
          <w:rFonts w:ascii="Times New Roman" w:eastAsia="Times New Roman" w:hAnsi="Times New Roman" w:cs="Times New Roman"/>
          <w:sz w:val="24"/>
          <w:szCs w:val="24"/>
        </w:rPr>
        <w:t xml:space="preserve"> outperformed both. This is consistent with previous findings where small molecules with high-affinity interactions at the BH3 binding groove of BCL-2 induced apoptosis in cancer cells (24).</w:t>
      </w:r>
    </w:p>
    <w:p w14:paraId="63B7444E" w14:textId="77777777" w:rsidR="00651FF7" w:rsidRDefault="0006478A">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case of PI3K</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again showed promising binding affinity, approaching that of </w:t>
      </w:r>
      <w:proofErr w:type="spellStart"/>
      <w:r>
        <w:rPr>
          <w:rFonts w:ascii="Times New Roman" w:eastAsia="Times New Roman" w:hAnsi="Times New Roman" w:cs="Times New Roman"/>
          <w:sz w:val="24"/>
          <w:szCs w:val="24"/>
        </w:rPr>
        <w:t>Alpelisib</w:t>
      </w:r>
      <w:proofErr w:type="spellEnd"/>
      <w:r>
        <w:rPr>
          <w:rFonts w:ascii="Times New Roman" w:eastAsia="Times New Roman" w:hAnsi="Times New Roman" w:cs="Times New Roman"/>
          <w:sz w:val="24"/>
          <w:szCs w:val="24"/>
        </w:rPr>
        <w:t xml:space="preserve">, a clinically approved PI3K inhibitor. This suggests a possible role for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in modulating PI3K-driven oncogenic pathways, which are implicated in tumor progression an</w:t>
      </w:r>
      <w:r>
        <w:rPr>
          <w:rFonts w:ascii="Times New Roman" w:eastAsia="Times New Roman" w:hAnsi="Times New Roman" w:cs="Times New Roman"/>
          <w:sz w:val="24"/>
          <w:szCs w:val="24"/>
        </w:rPr>
        <w:t>d therapy resistance (25). Conversely, the weak binding of both compounds to EGFR highlights their limited utility against EGFR-driven malignancies, in contrast to the potent binding observed with Gefitinib.</w:t>
      </w:r>
    </w:p>
    <w:p w14:paraId="08C457A7" w14:textId="77777777" w:rsidR="00651FF7" w:rsidRDefault="0006478A">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STAT3,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showed binding comparable t</w:t>
      </w:r>
      <w:r>
        <w:rPr>
          <w:rFonts w:ascii="Times New Roman" w:eastAsia="Times New Roman" w:hAnsi="Times New Roman" w:cs="Times New Roman"/>
          <w:sz w:val="24"/>
          <w:szCs w:val="24"/>
        </w:rPr>
        <w:t xml:space="preserve">o </w:t>
      </w:r>
      <w:proofErr w:type="spellStart"/>
      <w:r>
        <w:rPr>
          <w:rFonts w:ascii="Times New Roman" w:eastAsia="Times New Roman" w:hAnsi="Times New Roman" w:cs="Times New Roman"/>
          <w:sz w:val="24"/>
          <w:szCs w:val="24"/>
        </w:rPr>
        <w:t>Napabucasin</w:t>
      </w:r>
      <w:proofErr w:type="spellEnd"/>
      <w:r>
        <w:rPr>
          <w:rFonts w:ascii="Times New Roman" w:eastAsia="Times New Roman" w:hAnsi="Times New Roman" w:cs="Times New Roman"/>
          <w:sz w:val="24"/>
          <w:szCs w:val="24"/>
        </w:rPr>
        <w:t>, a known STAT3 inhibitor, supporting the potential of natural alkaloids to modulate transcription factors central to cancer progression (26). However, both compounds exhibited poor docking scores against HDAC and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suggesting limited rol</w:t>
      </w:r>
      <w:r>
        <w:rPr>
          <w:rFonts w:ascii="Times New Roman" w:eastAsia="Times New Roman" w:hAnsi="Times New Roman" w:cs="Times New Roman"/>
          <w:sz w:val="24"/>
          <w:szCs w:val="24"/>
        </w:rPr>
        <w:t>es in epigenetic or inflammatory signaling inhibition. These results reflect the compound-specific nature of alkaloid-protein interactions and emphasize the need for target prioritization.</w:t>
      </w:r>
    </w:p>
    <w:p w14:paraId="6F636A0C" w14:textId="77777777" w:rsidR="00651FF7" w:rsidRDefault="0006478A">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compared with standard inhibitors, Ajmalicine and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z w:val="24"/>
          <w:szCs w:val="24"/>
        </w:rPr>
        <w:t xml:space="preserve">splayed moderate docking scores, suggesting that while they may not rival synthetic drugs in potency, they could serve as lead scaffolds for drug optimization. The multifunctional binding capacity of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particularly across BCL-2, PI3K, and STAT3, p</w:t>
      </w:r>
      <w:r>
        <w:rPr>
          <w:rFonts w:ascii="Times New Roman" w:eastAsia="Times New Roman" w:hAnsi="Times New Roman" w:cs="Times New Roman"/>
          <w:sz w:val="24"/>
          <w:szCs w:val="24"/>
        </w:rPr>
        <w:t xml:space="preserve">ositions it as a more promising candidate than Ajmalicine. Previous research has </w:t>
      </w:r>
      <w:r>
        <w:rPr>
          <w:rFonts w:ascii="Times New Roman" w:eastAsia="Times New Roman" w:hAnsi="Times New Roman" w:cs="Times New Roman"/>
          <w:sz w:val="24"/>
          <w:szCs w:val="24"/>
        </w:rPr>
        <w:lastRenderedPageBreak/>
        <w:t>documented similar multitarget potential for plant-derived alkaloids, often providing a basis for semi-synthetic derivative development (3).</w:t>
      </w:r>
    </w:p>
    <w:p w14:paraId="53E83A08" w14:textId="77777777" w:rsidR="00651FF7" w:rsidRDefault="0006478A">
      <w:pPr>
        <w:spacing w:before="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Hydrogen bonding is one of the mos</w:t>
      </w:r>
      <w:r>
        <w:rPr>
          <w:rFonts w:ascii="Times New Roman" w:eastAsia="Times New Roman" w:hAnsi="Times New Roman" w:cs="Times New Roman"/>
          <w:sz w:val="24"/>
          <w:szCs w:val="24"/>
        </w:rPr>
        <w:t>t important non-covalent forces that govern molecular recognition and stability in protein–ligand interactions. The length of a hydrogen bond is a critical determinant of its strength, with shorter bonds (&lt;2.0 Å) generally regarded as strong and highly sta</w:t>
      </w:r>
      <w:r>
        <w:rPr>
          <w:rFonts w:ascii="Times New Roman" w:eastAsia="Times New Roman" w:hAnsi="Times New Roman" w:cs="Times New Roman"/>
          <w:sz w:val="24"/>
          <w:szCs w:val="24"/>
        </w:rPr>
        <w:t>bilizing, whereas longer bonds (&gt;2.5 Å) are weaker and contribute less to overall binding affinity (27, 28). In this study, evaluation of H-bond lengths across BCL-2, PI3K, EGFR, STAT3, HDAC, and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xml:space="preserve"> revealed a consistent trend linking H-bond geometry to</w:t>
      </w:r>
      <w:r>
        <w:rPr>
          <w:rFonts w:ascii="Times New Roman" w:eastAsia="Times New Roman" w:hAnsi="Times New Roman" w:cs="Times New Roman"/>
          <w:sz w:val="24"/>
          <w:szCs w:val="24"/>
        </w:rPr>
        <w:t xml:space="preserve"> binding </w:t>
      </w:r>
      <w:proofErr w:type="spellStart"/>
      <w:proofErr w:type="gramStart"/>
      <w:r>
        <w:rPr>
          <w:rFonts w:ascii="Times New Roman" w:eastAsia="Times New Roman" w:hAnsi="Times New Roman" w:cs="Times New Roman"/>
          <w:sz w:val="24"/>
          <w:szCs w:val="24"/>
        </w:rPr>
        <w:t>energies.Compounds</w:t>
      </w:r>
      <w:proofErr w:type="spellEnd"/>
      <w:proofErr w:type="gramEnd"/>
      <w:r>
        <w:rPr>
          <w:rFonts w:ascii="Times New Roman" w:eastAsia="Times New Roman" w:hAnsi="Times New Roman" w:cs="Times New Roman"/>
          <w:sz w:val="24"/>
          <w:szCs w:val="24"/>
        </w:rPr>
        <w:t xml:space="preserve"> forming short H-bonds, particularly those &lt;2.0 Å, demonstrated enhanced stability within their binding pockets. For instance, </w:t>
      </w:r>
      <w:proofErr w:type="spellStart"/>
      <w:r>
        <w:rPr>
          <w:rFonts w:ascii="Times New Roman" w:eastAsia="Times New Roman" w:hAnsi="Times New Roman" w:cs="Times New Roman"/>
          <w:sz w:val="24"/>
          <w:szCs w:val="24"/>
        </w:rPr>
        <w:t>Lisaftoclax</w:t>
      </w:r>
      <w:proofErr w:type="spellEnd"/>
      <w:r>
        <w:rPr>
          <w:rFonts w:ascii="Times New Roman" w:eastAsia="Times New Roman" w:hAnsi="Times New Roman" w:cs="Times New Roman"/>
          <w:sz w:val="24"/>
          <w:szCs w:val="24"/>
        </w:rPr>
        <w:t xml:space="preserve"> established a very strong H-bond with ASN 105 at 1.55 Å in BCL-2, correlating with its sup</w:t>
      </w:r>
      <w:r>
        <w:rPr>
          <w:rFonts w:ascii="Times New Roman" w:eastAsia="Times New Roman" w:hAnsi="Times New Roman" w:cs="Times New Roman"/>
          <w:sz w:val="24"/>
          <w:szCs w:val="24"/>
        </w:rPr>
        <w:t>erior MMGBSA binding energy. Similarly, Ajmalicine showed strong interactions with ARG 105 at 1.96 Å and 2.12 Å in BCL-2, supporting the idea that such short-range interactions anchor ligands effectively (29). By contrast, ligands with fewer or no H-bonds,</w:t>
      </w:r>
      <w:r>
        <w:rPr>
          <w:rFonts w:ascii="Times New Roman" w:eastAsia="Times New Roman" w:hAnsi="Times New Roman" w:cs="Times New Roman"/>
          <w:sz w:val="24"/>
          <w:szCs w:val="24"/>
        </w:rPr>
        <w:t xml:space="preserve"> such as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with EGFR and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xml:space="preserve">, demonstrated weaker binding, highlighting the central role of hydrogen bonding in stabilizing ligand–protein complexes (30).                        </w:t>
      </w:r>
    </w:p>
    <w:p w14:paraId="0F071F7F" w14:textId="77777777" w:rsidR="00651FF7" w:rsidRDefault="0006478A">
      <w:pPr>
        <w:spacing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positive association between the number and quality of H-bonds an</w:t>
      </w:r>
      <w:r>
        <w:rPr>
          <w:rFonts w:ascii="Times New Roman" w:eastAsia="Times New Roman" w:hAnsi="Times New Roman" w:cs="Times New Roman"/>
          <w:sz w:val="24"/>
          <w:szCs w:val="24"/>
        </w:rPr>
        <w:t xml:space="preserve">d the binding free energy was also evident. </w:t>
      </w:r>
      <w:proofErr w:type="spellStart"/>
      <w:r>
        <w:rPr>
          <w:rFonts w:ascii="Times New Roman" w:eastAsia="Times New Roman" w:hAnsi="Times New Roman" w:cs="Times New Roman"/>
          <w:sz w:val="24"/>
          <w:szCs w:val="24"/>
        </w:rPr>
        <w:t>Napabucasin</w:t>
      </w:r>
      <w:proofErr w:type="spellEnd"/>
      <w:r>
        <w:rPr>
          <w:rFonts w:ascii="Times New Roman" w:eastAsia="Times New Roman" w:hAnsi="Times New Roman" w:cs="Times New Roman"/>
          <w:sz w:val="24"/>
          <w:szCs w:val="24"/>
        </w:rPr>
        <w:t>, for example, formed multiple H-bonds with STAT3 (1.96–2.41 Å), aligning with its favorable binding free energy. This supports the notion that multiple moderate-strength bonds (2.0–2.5 Å) can collecti</w:t>
      </w:r>
      <w:r>
        <w:rPr>
          <w:rFonts w:ascii="Times New Roman" w:eastAsia="Times New Roman" w:hAnsi="Times New Roman" w:cs="Times New Roman"/>
          <w:sz w:val="24"/>
          <w:szCs w:val="24"/>
        </w:rPr>
        <w:t xml:space="preserve">vely stabilize the complex, compensating for the absence of ultra-strong interactions (31, 32). Residue-specific contributions were also apparent. In BCL-2, ARG 105 consistently acted as a hydrogen bond donor/acceptor across ligands, while in PI3K, </w:t>
      </w:r>
      <w:r>
        <w:rPr>
          <w:rFonts w:ascii="Times New Roman" w:eastAsia="Times New Roman" w:hAnsi="Times New Roman" w:cs="Times New Roman"/>
          <w:sz w:val="24"/>
          <w:szCs w:val="24"/>
        </w:rPr>
        <w:lastRenderedPageBreak/>
        <w:t>ASN 836</w:t>
      </w:r>
      <w:r>
        <w:rPr>
          <w:rFonts w:ascii="Times New Roman" w:eastAsia="Times New Roman" w:hAnsi="Times New Roman" w:cs="Times New Roman"/>
          <w:sz w:val="24"/>
          <w:szCs w:val="24"/>
        </w:rPr>
        <w:t xml:space="preserve"> and SER 831 were frequently involved in short and stabilizing interactions. In EGFR, MET 769 and ASP 831 facilitated strong H-bonds with Gefitinib, consistent with previously reported binding mechanisms of EGFR inhibitors (33). In contrast, HDAC and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xml:space="preserve"> exhibited fewer strong H-bonds, suggesting that in these targets, hydrophobic or van der Waals forces may contribute more significantly to ligand stability, as observed in prior structural studies (34, 35).</w:t>
      </w:r>
    </w:p>
    <w:p w14:paraId="1F5015C5" w14:textId="77777777" w:rsidR="00651FF7" w:rsidRDefault="0006478A">
      <w:pPr>
        <w:pStyle w:val="Heading2"/>
      </w:pPr>
      <w:bookmarkStart w:id="28" w:name="_Toc4622"/>
      <w:r>
        <w:t>Limitations and Future Directions</w:t>
      </w:r>
      <w:bookmarkEnd w:id="28"/>
    </w:p>
    <w:p w14:paraId="5E5FD6BE" w14:textId="77777777" w:rsidR="00651FF7" w:rsidRDefault="0006478A">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in-si</w:t>
      </w:r>
      <w:r>
        <w:rPr>
          <w:rFonts w:ascii="Times New Roman" w:eastAsia="Times New Roman" w:hAnsi="Times New Roman" w:cs="Times New Roman"/>
          <w:sz w:val="24"/>
          <w:szCs w:val="24"/>
        </w:rPr>
        <w:t>lico methods offer a rapid and cost-effective means of drug discovery, the predictive models employed in this study have inherent limitations. The docking scores do not fully capture protein flexibility or the dynamics of ligand-protein interactions in viv</w:t>
      </w:r>
      <w:r>
        <w:rPr>
          <w:rFonts w:ascii="Times New Roman" w:eastAsia="Times New Roman" w:hAnsi="Times New Roman" w:cs="Times New Roman"/>
          <w:sz w:val="24"/>
          <w:szCs w:val="24"/>
        </w:rPr>
        <w:t>o. Additionally, ADMET and toxicity predictions require experimental validation in cellular and animal models. Future work should include molecular dynamics simulations, in vitro cytotoxicity assays, and structure-activity relationship (SAR) studies to ref</w:t>
      </w:r>
      <w:r>
        <w:rPr>
          <w:rFonts w:ascii="Times New Roman" w:eastAsia="Times New Roman" w:hAnsi="Times New Roman" w:cs="Times New Roman"/>
          <w:sz w:val="24"/>
          <w:szCs w:val="24"/>
        </w:rPr>
        <w:t>ine the pharmacological potential of these alkaloids.</w:t>
      </w:r>
    </w:p>
    <w:p w14:paraId="1DBE2F5C" w14:textId="77777777" w:rsidR="00651FF7" w:rsidRDefault="0006478A">
      <w:pPr>
        <w:pStyle w:val="Heading2"/>
        <w:rPr>
          <w:rFonts w:eastAsia="Times New Roman"/>
        </w:rPr>
      </w:pPr>
      <w:bookmarkStart w:id="29" w:name="_Toc20273"/>
      <w:r>
        <w:t>Conclusion</w:t>
      </w:r>
      <w:bookmarkEnd w:id="29"/>
    </w:p>
    <w:p w14:paraId="242BAB53" w14:textId="77777777" w:rsidR="00651FF7" w:rsidRDefault="0006478A">
      <w:pPr>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this study demonstrated that </w:t>
      </w:r>
      <w:proofErr w:type="spellStart"/>
      <w:r>
        <w:rPr>
          <w:rFonts w:ascii="Times New Roman" w:eastAsia="Times New Roman" w:hAnsi="Times New Roman" w:cs="Times New Roman"/>
          <w:sz w:val="24"/>
          <w:szCs w:val="24"/>
        </w:rPr>
        <w:t>Alstonine</w:t>
      </w:r>
      <w:proofErr w:type="spellEnd"/>
      <w:r>
        <w:rPr>
          <w:rFonts w:ascii="Times New Roman" w:eastAsia="Times New Roman" w:hAnsi="Times New Roman" w:cs="Times New Roman"/>
          <w:sz w:val="24"/>
          <w:szCs w:val="24"/>
        </w:rPr>
        <w:t xml:space="preserve"> shows greater promise than Ajmalicine as an anticancer scaffold, with favorable pharmacokinetic properties and notable activity against BCL-2, </w:t>
      </w:r>
      <w:r>
        <w:rPr>
          <w:rFonts w:ascii="Times New Roman" w:eastAsia="Times New Roman" w:hAnsi="Times New Roman" w:cs="Times New Roman"/>
          <w:sz w:val="24"/>
          <w:szCs w:val="24"/>
        </w:rPr>
        <w:t>PI3K, and STAT3. Despite predicted toxicity concerns, these findings highlight the potential of indole alkaloids as sources of novel anticancer agents. Experimental validation and structural optimization are essential next steps to translate these computat</w:t>
      </w:r>
      <w:r>
        <w:rPr>
          <w:rFonts w:ascii="Times New Roman" w:eastAsia="Times New Roman" w:hAnsi="Times New Roman" w:cs="Times New Roman"/>
          <w:sz w:val="24"/>
          <w:szCs w:val="24"/>
        </w:rPr>
        <w:t>ional predictions into clinically relevant outcomes.</w:t>
      </w:r>
    </w:p>
    <w:p w14:paraId="03ACE4F8" w14:textId="77777777" w:rsidR="00FA1776" w:rsidRDefault="00FA1776">
      <w:pPr>
        <w:spacing w:before="280" w:after="280" w:line="480" w:lineRule="auto"/>
        <w:jc w:val="both"/>
        <w:rPr>
          <w:rFonts w:ascii="Times New Roman" w:eastAsia="Times New Roman" w:hAnsi="Times New Roman" w:cs="Times New Roman"/>
          <w:sz w:val="24"/>
          <w:szCs w:val="24"/>
        </w:rPr>
      </w:pPr>
    </w:p>
    <w:p w14:paraId="08C48153" w14:textId="77777777" w:rsidR="00FA1776" w:rsidRDefault="00FA1776">
      <w:pPr>
        <w:spacing w:before="280" w:after="280" w:line="480" w:lineRule="auto"/>
        <w:jc w:val="both"/>
        <w:rPr>
          <w:rFonts w:ascii="Times New Roman" w:eastAsia="Times New Roman" w:hAnsi="Times New Roman" w:cs="Times New Roman"/>
          <w:sz w:val="24"/>
          <w:szCs w:val="24"/>
        </w:rPr>
      </w:pPr>
    </w:p>
    <w:p w14:paraId="6186631A" w14:textId="77777777" w:rsidR="00FA1776" w:rsidRDefault="00FA1776">
      <w:pPr>
        <w:spacing w:before="280" w:after="280" w:line="480" w:lineRule="auto"/>
        <w:jc w:val="both"/>
        <w:rPr>
          <w:rFonts w:ascii="Times New Roman" w:eastAsia="Times New Roman" w:hAnsi="Times New Roman" w:cs="Times New Roman"/>
          <w:sz w:val="24"/>
          <w:szCs w:val="24"/>
        </w:rPr>
      </w:pPr>
    </w:p>
    <w:p w14:paraId="79B9FBF6" w14:textId="77777777" w:rsidR="00FA1776" w:rsidRPr="00FA1776" w:rsidRDefault="00FA1776" w:rsidP="00FA1776">
      <w:pPr>
        <w:spacing w:after="200" w:line="276" w:lineRule="auto"/>
        <w:jc w:val="both"/>
        <w:outlineLvl w:val="0"/>
        <w:rPr>
          <w:rFonts w:ascii="Arial" w:eastAsia="Times New Roman" w:hAnsi="Arial" w:cs="Arial"/>
          <w:sz w:val="22"/>
          <w:szCs w:val="22"/>
          <w:lang w:val="en-GB" w:eastAsia="en-GB"/>
        </w:rPr>
      </w:pPr>
      <w:r w:rsidRPr="00FA1776">
        <w:rPr>
          <w:rFonts w:ascii="Arial" w:eastAsia="Times New Roman" w:hAnsi="Arial" w:cs="Arial"/>
          <w:b/>
          <w:bCs/>
          <w:sz w:val="22"/>
          <w:szCs w:val="22"/>
          <w:lang w:val="en-GB" w:eastAsia="en-GB"/>
        </w:rPr>
        <w:t>COMPETING INTERESTS DISCLAIMER:</w:t>
      </w:r>
    </w:p>
    <w:p w14:paraId="6F040FB7" w14:textId="77777777" w:rsidR="00FA1776" w:rsidRPr="00FA1776" w:rsidRDefault="00FA1776" w:rsidP="00FA1776">
      <w:pPr>
        <w:spacing w:after="200" w:line="276" w:lineRule="auto"/>
        <w:rPr>
          <w:rFonts w:ascii="Calibri" w:eastAsia="Times New Roman" w:hAnsi="Calibri" w:cs="Times New Roman"/>
          <w:sz w:val="22"/>
          <w:szCs w:val="22"/>
          <w:lang w:val="en-GB" w:eastAsia="en-GB"/>
        </w:rPr>
      </w:pPr>
      <w:r w:rsidRPr="00FA1776">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37DDC0E" w14:textId="77777777" w:rsidR="00FA1776" w:rsidRDefault="00FA1776">
      <w:pPr>
        <w:spacing w:before="280" w:after="280" w:line="480" w:lineRule="auto"/>
        <w:jc w:val="both"/>
        <w:rPr>
          <w:rFonts w:ascii="Times New Roman" w:eastAsia="Times New Roman" w:hAnsi="Times New Roman" w:cs="Times New Roman"/>
          <w:sz w:val="24"/>
          <w:szCs w:val="24"/>
        </w:rPr>
      </w:pPr>
    </w:p>
    <w:p w14:paraId="3A584CE5" w14:textId="77777777" w:rsidR="00651FF7" w:rsidRDefault="00651FF7">
      <w:pPr>
        <w:spacing w:line="360" w:lineRule="auto"/>
        <w:jc w:val="both"/>
        <w:rPr>
          <w:rFonts w:ascii="Times New Roman" w:eastAsia="Times New Roman" w:hAnsi="Times New Roman" w:cs="Times New Roman"/>
          <w:sz w:val="24"/>
          <w:szCs w:val="24"/>
        </w:rPr>
      </w:pPr>
    </w:p>
    <w:p w14:paraId="688ABA71" w14:textId="77777777" w:rsidR="00651FF7" w:rsidRDefault="0006478A">
      <w:pPr>
        <w:spacing w:before="240" w:after="240" w:line="360" w:lineRule="auto"/>
        <w:jc w:val="both"/>
        <w:rPr>
          <w:rFonts w:ascii="Times New Roman" w:eastAsia="Segoe UI" w:hAnsi="Times New Roman" w:cs="Times New Roman"/>
          <w:b/>
          <w:bCs/>
          <w:color w:val="212121"/>
          <w:sz w:val="24"/>
          <w:szCs w:val="24"/>
          <w:shd w:val="clear" w:color="auto" w:fill="FFFFFF"/>
        </w:rPr>
      </w:pPr>
      <w:r>
        <w:rPr>
          <w:rFonts w:ascii="Times New Roman" w:eastAsia="Segoe UI" w:hAnsi="Times New Roman" w:cs="Times New Roman"/>
          <w:b/>
          <w:bCs/>
          <w:color w:val="212121"/>
          <w:sz w:val="24"/>
          <w:szCs w:val="24"/>
          <w:shd w:val="clear" w:color="auto" w:fill="FFFFFF"/>
        </w:rPr>
        <w:t>REFERENCES</w:t>
      </w:r>
    </w:p>
    <w:p w14:paraId="2D1F654E" w14:textId="77777777" w:rsidR="00651FF7" w:rsidRDefault="0006478A">
      <w:pPr>
        <w:pStyle w:val="NormalWeb"/>
        <w:numPr>
          <w:ilvl w:val="0"/>
          <w:numId w:val="1"/>
        </w:numPr>
        <w:spacing w:before="240" w:beforeAutospacing="0" w:after="240" w:afterAutospacing="0" w:line="360" w:lineRule="auto"/>
        <w:jc w:val="both"/>
      </w:pPr>
      <w:r>
        <w:rPr>
          <w:color w:val="212121"/>
        </w:rPr>
        <w:t xml:space="preserve">Sung, H., </w:t>
      </w:r>
      <w:proofErr w:type="spellStart"/>
      <w:r>
        <w:rPr>
          <w:color w:val="212121"/>
        </w:rPr>
        <w:t>Ferlay</w:t>
      </w:r>
      <w:proofErr w:type="spellEnd"/>
      <w:r>
        <w:rPr>
          <w:color w:val="212121"/>
        </w:rPr>
        <w:t xml:space="preserve">, J., Siegel, R. L., </w:t>
      </w:r>
      <w:proofErr w:type="spellStart"/>
      <w:r>
        <w:rPr>
          <w:color w:val="212121"/>
        </w:rPr>
        <w:t>Laversanne</w:t>
      </w:r>
      <w:proofErr w:type="spellEnd"/>
      <w:r>
        <w:rPr>
          <w:color w:val="212121"/>
        </w:rPr>
        <w:t xml:space="preserve">, M., </w:t>
      </w:r>
      <w:proofErr w:type="spellStart"/>
      <w:r>
        <w:rPr>
          <w:color w:val="212121"/>
        </w:rPr>
        <w:t>Soerjomataram</w:t>
      </w:r>
      <w:proofErr w:type="spellEnd"/>
      <w:r>
        <w:rPr>
          <w:color w:val="212121"/>
        </w:rPr>
        <w:t xml:space="preserve">, I., Jemal, A., &amp; Bray, F. (2021). Global cancer statistics 2020: GLOBOCAN estimates of incidence and mortality worldwide for 36 cancers in 185 countries. </w:t>
      </w:r>
      <w:r>
        <w:rPr>
          <w:i/>
          <w:iCs/>
          <w:color w:val="212121"/>
        </w:rPr>
        <w:t>CA: A Cancer Journal for Clinicians</w:t>
      </w:r>
      <w:r>
        <w:rPr>
          <w:color w:val="212121"/>
        </w:rPr>
        <w:t xml:space="preserve">, </w:t>
      </w:r>
      <w:r>
        <w:rPr>
          <w:i/>
          <w:iCs/>
          <w:color w:val="212121"/>
        </w:rPr>
        <w:t>71</w:t>
      </w:r>
      <w:r>
        <w:rPr>
          <w:color w:val="212121"/>
        </w:rPr>
        <w:t>(3), 209–249.</w:t>
      </w:r>
      <w:hyperlink r:id="rId22" w:history="1">
        <w:r>
          <w:rPr>
            <w:rStyle w:val="Hyperlink"/>
            <w:color w:val="212121"/>
            <w:u w:val="none"/>
          </w:rPr>
          <w:t xml:space="preserve"> </w:t>
        </w:r>
        <w:r>
          <w:rPr>
            <w:rStyle w:val="Hyperlink"/>
          </w:rPr>
          <w:t>https://doi.org/10.3322/caac.21660</w:t>
        </w:r>
      </w:hyperlink>
    </w:p>
    <w:p w14:paraId="287E3C87" w14:textId="77777777" w:rsidR="00651FF7" w:rsidRDefault="0006478A">
      <w:pPr>
        <w:pStyle w:val="NormalWeb"/>
        <w:spacing w:before="240" w:beforeAutospacing="0" w:after="240" w:afterAutospacing="0" w:line="360" w:lineRule="auto"/>
        <w:jc w:val="both"/>
      </w:pPr>
      <w:r>
        <w:rPr>
          <w:color w:val="212121"/>
        </w:rPr>
        <w:t xml:space="preserve">2. Zaharie, F., Lupan, I., &amp; Cojocneanu, R. (2020). Drug resistance mechanisms in breast cancer and their potential therapeutic implications. </w:t>
      </w:r>
      <w:r>
        <w:rPr>
          <w:i/>
          <w:iCs/>
          <w:color w:val="212121"/>
        </w:rPr>
        <w:t>Biomedicine &amp; Pharmacotherapy</w:t>
      </w:r>
      <w:r>
        <w:rPr>
          <w:color w:val="212121"/>
        </w:rPr>
        <w:t xml:space="preserve">, </w:t>
      </w:r>
      <w:r>
        <w:rPr>
          <w:i/>
          <w:iCs/>
          <w:color w:val="212121"/>
        </w:rPr>
        <w:t>124</w:t>
      </w:r>
      <w:r>
        <w:rPr>
          <w:color w:val="212121"/>
        </w:rPr>
        <w:t>, 109835.</w:t>
      </w:r>
    </w:p>
    <w:p w14:paraId="0DE4BCB2" w14:textId="77777777" w:rsidR="00651FF7" w:rsidRDefault="0006478A">
      <w:pPr>
        <w:pStyle w:val="NormalWeb"/>
        <w:spacing w:before="240" w:beforeAutospacing="0" w:after="240" w:afterAutospacing="0" w:line="360" w:lineRule="auto"/>
        <w:jc w:val="both"/>
      </w:pPr>
      <w:r>
        <w:rPr>
          <w:color w:val="212121"/>
        </w:rPr>
        <w:t xml:space="preserve">3.  Newman, D. J., &amp; Cragg, G. </w:t>
      </w:r>
      <w:r>
        <w:rPr>
          <w:color w:val="212121"/>
        </w:rPr>
        <w:t xml:space="preserve">M. (2020). Natural Products as Sources of New Drugs over the Nearly Four Decades from 01/1981 to 09/2019. </w:t>
      </w:r>
      <w:r>
        <w:rPr>
          <w:i/>
          <w:iCs/>
          <w:color w:val="212121"/>
        </w:rPr>
        <w:t>Journal of natural products</w:t>
      </w:r>
      <w:r>
        <w:rPr>
          <w:color w:val="212121"/>
        </w:rPr>
        <w:t xml:space="preserve">, </w:t>
      </w:r>
      <w:r>
        <w:rPr>
          <w:i/>
          <w:iCs/>
          <w:color w:val="212121"/>
        </w:rPr>
        <w:t>83</w:t>
      </w:r>
      <w:r>
        <w:rPr>
          <w:color w:val="212121"/>
        </w:rPr>
        <w:t>(3), 770–803.</w:t>
      </w:r>
      <w:hyperlink r:id="rId23" w:history="1">
        <w:r>
          <w:rPr>
            <w:rStyle w:val="Hyperlink"/>
            <w:color w:val="212121"/>
            <w:u w:val="none"/>
          </w:rPr>
          <w:t xml:space="preserve"> </w:t>
        </w:r>
        <w:r>
          <w:rPr>
            <w:rStyle w:val="Hyperlink"/>
          </w:rPr>
          <w:t>https://doi.org/10.1021/acs.jnatprod.9b01285</w:t>
        </w:r>
      </w:hyperlink>
    </w:p>
    <w:p w14:paraId="1B27AE3E" w14:textId="77777777" w:rsidR="00651FF7" w:rsidRDefault="0006478A">
      <w:pPr>
        <w:pStyle w:val="NormalWeb"/>
        <w:spacing w:beforeAutospacing="0" w:afterAutospacing="0" w:line="360" w:lineRule="auto"/>
        <w:ind w:right="100"/>
        <w:jc w:val="both"/>
      </w:pPr>
      <w:r>
        <w:rPr>
          <w:color w:val="212121"/>
        </w:rPr>
        <w:t xml:space="preserve">4. Enyi, E. O. &amp; </w:t>
      </w:r>
      <w:proofErr w:type="spellStart"/>
      <w:r>
        <w:rPr>
          <w:color w:val="212121"/>
        </w:rPr>
        <w:t>Ekpunobi</w:t>
      </w:r>
      <w:proofErr w:type="spellEnd"/>
      <w:r>
        <w:rPr>
          <w:color w:val="212121"/>
        </w:rPr>
        <w:t xml:space="preserve">, N. F. (2022). Secondary metabolites from endophytic fungi of </w:t>
      </w:r>
      <w:r>
        <w:rPr>
          <w:i/>
          <w:iCs/>
          <w:color w:val="212121"/>
        </w:rPr>
        <w:t>Moringa oleifera</w:t>
      </w:r>
      <w:r>
        <w:rPr>
          <w:color w:val="212121"/>
        </w:rPr>
        <w:t xml:space="preserve">: antimicrobial and antioxidant properties. </w:t>
      </w:r>
      <w:r>
        <w:rPr>
          <w:i/>
          <w:iCs/>
          <w:color w:val="212121"/>
        </w:rPr>
        <w:t xml:space="preserve">Journal of Microbiology and Experimentation </w:t>
      </w:r>
      <w:r>
        <w:rPr>
          <w:color w:val="212121"/>
        </w:rPr>
        <w:t>10(5):150‒154.</w:t>
      </w:r>
      <w:hyperlink r:id="rId24" w:history="1">
        <w:r>
          <w:rPr>
            <w:rStyle w:val="Hyperlink"/>
            <w:color w:val="212121"/>
            <w:u w:val="none"/>
          </w:rPr>
          <w:t xml:space="preserve"> </w:t>
        </w:r>
        <w:r>
          <w:rPr>
            <w:rStyle w:val="Hyperlink"/>
          </w:rPr>
          <w:t>https://doi.org/10.15406/jmen.2022.10.00367</w:t>
        </w:r>
      </w:hyperlink>
    </w:p>
    <w:p w14:paraId="5C542F21" w14:textId="77777777" w:rsidR="00651FF7" w:rsidRDefault="0006478A">
      <w:pPr>
        <w:pStyle w:val="NormalWeb"/>
        <w:spacing w:before="240" w:beforeAutospacing="0" w:after="240" w:afterAutospacing="0" w:line="360" w:lineRule="auto"/>
        <w:jc w:val="both"/>
      </w:pPr>
      <w:r>
        <w:rPr>
          <w:color w:val="212121"/>
        </w:rPr>
        <w:t xml:space="preserve"> 5. </w:t>
      </w:r>
      <w:proofErr w:type="spellStart"/>
      <w:r>
        <w:rPr>
          <w:color w:val="212121"/>
        </w:rPr>
        <w:t>Ferlay</w:t>
      </w:r>
      <w:proofErr w:type="spellEnd"/>
      <w:r>
        <w:rPr>
          <w:color w:val="212121"/>
        </w:rPr>
        <w:t xml:space="preserve">, J., </w:t>
      </w:r>
      <w:proofErr w:type="spellStart"/>
      <w:r>
        <w:rPr>
          <w:color w:val="212121"/>
        </w:rPr>
        <w:t>Laversanne</w:t>
      </w:r>
      <w:proofErr w:type="spellEnd"/>
      <w:r>
        <w:rPr>
          <w:color w:val="212121"/>
        </w:rPr>
        <w:t xml:space="preserve">, M., Ervik, M., Lam, F., </w:t>
      </w:r>
      <w:proofErr w:type="spellStart"/>
      <w:r>
        <w:rPr>
          <w:color w:val="212121"/>
        </w:rPr>
        <w:t>Colombet</w:t>
      </w:r>
      <w:proofErr w:type="spellEnd"/>
      <w:r>
        <w:rPr>
          <w:color w:val="212121"/>
        </w:rPr>
        <w:t xml:space="preserve">, M., Mery, L., &amp; Bray, F. (2021). Global cancer observatory: Cancer today. </w:t>
      </w:r>
      <w:r>
        <w:rPr>
          <w:i/>
          <w:iCs/>
          <w:color w:val="212121"/>
        </w:rPr>
        <w:t>International Agency for Research on Cancer</w:t>
      </w:r>
      <w:r>
        <w:rPr>
          <w:color w:val="212121"/>
        </w:rPr>
        <w:t>. Retrieved from</w:t>
      </w:r>
      <w:hyperlink r:id="rId25" w:history="1">
        <w:r>
          <w:rPr>
            <w:rStyle w:val="Hyperlink"/>
            <w:color w:val="212121"/>
            <w:u w:val="none"/>
          </w:rPr>
          <w:t xml:space="preserve"> </w:t>
        </w:r>
        <w:r>
          <w:rPr>
            <w:rStyle w:val="Hyperlink"/>
          </w:rPr>
          <w:t>https://gco.iarc.fr/</w:t>
        </w:r>
      </w:hyperlink>
    </w:p>
    <w:p w14:paraId="24A0DE14" w14:textId="77777777" w:rsidR="00651FF7" w:rsidRDefault="0006478A">
      <w:pPr>
        <w:pStyle w:val="NormalWeb"/>
        <w:spacing w:beforeAutospacing="0" w:afterAutospacing="0" w:line="360" w:lineRule="auto"/>
        <w:ind w:right="100"/>
        <w:jc w:val="both"/>
      </w:pPr>
      <w:r>
        <w:rPr>
          <w:color w:val="212121"/>
          <w:shd w:val="clear" w:color="auto" w:fill="FFFFFF"/>
        </w:rPr>
        <w:lastRenderedPageBreak/>
        <w:t xml:space="preserve">6. </w:t>
      </w:r>
      <w:proofErr w:type="spellStart"/>
      <w:r>
        <w:rPr>
          <w:color w:val="212121"/>
          <w:shd w:val="clear" w:color="auto" w:fill="FFFFFF"/>
        </w:rPr>
        <w:t>Ekpunobi</w:t>
      </w:r>
      <w:proofErr w:type="spellEnd"/>
      <w:r>
        <w:rPr>
          <w:color w:val="212121"/>
          <w:shd w:val="clear" w:color="auto" w:fill="FFFFFF"/>
        </w:rPr>
        <w:t xml:space="preserve">, N. F., </w:t>
      </w:r>
      <w:proofErr w:type="spellStart"/>
      <w:r>
        <w:rPr>
          <w:color w:val="212121"/>
          <w:shd w:val="clear" w:color="auto" w:fill="FFFFFF"/>
        </w:rPr>
        <w:t>Obidi</w:t>
      </w:r>
      <w:proofErr w:type="spellEnd"/>
      <w:r>
        <w:rPr>
          <w:color w:val="212121"/>
          <w:shd w:val="clear" w:color="auto" w:fill="FFFFFF"/>
        </w:rPr>
        <w:t xml:space="preserve">, N. O., Idowu, O., Okoye, L. C., Agu, C. K., Ogunsanya, T., Ogbodo, U. C., &amp; </w:t>
      </w:r>
      <w:proofErr w:type="spellStart"/>
      <w:r>
        <w:rPr>
          <w:color w:val="212121"/>
          <w:shd w:val="clear" w:color="auto" w:fill="FFFFFF"/>
        </w:rPr>
        <w:t>Uwanta</w:t>
      </w:r>
      <w:proofErr w:type="spellEnd"/>
      <w:r>
        <w:rPr>
          <w:color w:val="212121"/>
          <w:shd w:val="clear" w:color="auto" w:fill="FFFFFF"/>
        </w:rPr>
        <w:t>, L. I. (2025). Knowledge and awareness of breast cancer symptoms, risk factors, and early de</w:t>
      </w:r>
      <w:r>
        <w:rPr>
          <w:color w:val="212121"/>
          <w:shd w:val="clear" w:color="auto" w:fill="FFFFFF"/>
        </w:rPr>
        <w:t xml:space="preserve">tection methods among Nigerian university students. </w:t>
      </w:r>
      <w:r>
        <w:rPr>
          <w:i/>
          <w:iCs/>
          <w:color w:val="212121"/>
          <w:shd w:val="clear" w:color="auto" w:fill="FFFFFF"/>
        </w:rPr>
        <w:t>World Journal of Advanced Research and Reviews, 25</w:t>
      </w:r>
      <w:r>
        <w:rPr>
          <w:color w:val="212121"/>
          <w:shd w:val="clear" w:color="auto" w:fill="FFFFFF"/>
        </w:rPr>
        <w:t>(2), 1129-1138.</w:t>
      </w:r>
      <w:r>
        <w:rPr>
          <w:color w:val="2B3222"/>
          <w:shd w:val="clear" w:color="auto" w:fill="FFFFFF"/>
        </w:rPr>
        <w:t xml:space="preserve"> </w:t>
      </w:r>
      <w:hyperlink r:id="rId26" w:history="1">
        <w:r>
          <w:rPr>
            <w:rStyle w:val="Hyperlink"/>
            <w:shd w:val="clear" w:color="auto" w:fill="FFFFFF"/>
          </w:rPr>
          <w:t>https://doi.org/10.30574/wjarr.2025.25.2.0332</w:t>
        </w:r>
      </w:hyperlink>
    </w:p>
    <w:p w14:paraId="4A747DFB" w14:textId="77777777" w:rsidR="00651FF7" w:rsidRDefault="0006478A">
      <w:pPr>
        <w:pStyle w:val="NormalWeb"/>
        <w:spacing w:beforeAutospacing="0" w:afterAutospacing="0" w:line="360" w:lineRule="auto"/>
        <w:jc w:val="both"/>
      </w:pPr>
      <w:r>
        <w:rPr>
          <w:color w:val="212121"/>
          <w:shd w:val="clear" w:color="auto" w:fill="FFFFFF"/>
        </w:rPr>
        <w:t> </w:t>
      </w:r>
    </w:p>
    <w:p w14:paraId="7211E26B" w14:textId="77777777" w:rsidR="00651FF7" w:rsidRDefault="0006478A">
      <w:pPr>
        <w:pStyle w:val="NormalWeb"/>
        <w:spacing w:beforeAutospacing="0" w:afterAutospacing="0" w:line="360" w:lineRule="auto"/>
        <w:ind w:right="100"/>
        <w:jc w:val="both"/>
      </w:pPr>
      <w:r>
        <w:rPr>
          <w:color w:val="212121"/>
          <w:shd w:val="clear" w:color="auto" w:fill="FFFFFF"/>
        </w:rPr>
        <w:t xml:space="preserve">7. Sunmonu, A. and </w:t>
      </w:r>
      <w:proofErr w:type="spellStart"/>
      <w:r>
        <w:rPr>
          <w:color w:val="212121"/>
          <w:shd w:val="clear" w:color="auto" w:fill="FFFFFF"/>
        </w:rPr>
        <w:t>Ekpunobi</w:t>
      </w:r>
      <w:proofErr w:type="spellEnd"/>
      <w:r>
        <w:rPr>
          <w:color w:val="212121"/>
          <w:shd w:val="clear" w:color="auto" w:fill="FFFFFF"/>
        </w:rPr>
        <w:t xml:space="preserve">, N. (2023). Larvicidal potential of silver nanoparticles synthesized from </w:t>
      </w:r>
      <w:proofErr w:type="spellStart"/>
      <w:r>
        <w:rPr>
          <w:i/>
          <w:iCs/>
          <w:color w:val="212121"/>
          <w:shd w:val="clear" w:color="auto" w:fill="FFFFFF"/>
        </w:rPr>
        <w:t>Ocimum</w:t>
      </w:r>
      <w:proofErr w:type="spellEnd"/>
      <w:r>
        <w:rPr>
          <w:i/>
          <w:iCs/>
          <w:color w:val="212121"/>
          <w:shd w:val="clear" w:color="auto" w:fill="FFFFFF"/>
        </w:rPr>
        <w:t xml:space="preserve"> </w:t>
      </w:r>
      <w:proofErr w:type="spellStart"/>
      <w:r>
        <w:rPr>
          <w:i/>
          <w:iCs/>
          <w:color w:val="212121"/>
          <w:shd w:val="clear" w:color="auto" w:fill="FFFFFF"/>
        </w:rPr>
        <w:t>gratissimum</w:t>
      </w:r>
      <w:proofErr w:type="spellEnd"/>
      <w:r>
        <w:rPr>
          <w:color w:val="212121"/>
          <w:shd w:val="clear" w:color="auto" w:fill="FFFFFF"/>
        </w:rPr>
        <w:t xml:space="preserve"> leaf extracts against anopheles' mosquito.</w:t>
      </w:r>
      <w:r>
        <w:rPr>
          <w:color w:val="212121"/>
        </w:rPr>
        <w:t xml:space="preserve"> </w:t>
      </w:r>
      <w:r>
        <w:rPr>
          <w:i/>
          <w:iCs/>
          <w:color w:val="212121"/>
        </w:rPr>
        <w:t>GSC Biological and Pharmaceutical Sciences</w:t>
      </w:r>
      <w:r>
        <w:rPr>
          <w:color w:val="212121"/>
        </w:rPr>
        <w:t xml:space="preserve">. 25. 41-48. </w:t>
      </w:r>
      <w:hyperlink r:id="rId27" w:history="1">
        <w:r>
          <w:rPr>
            <w:rStyle w:val="Hyperlink"/>
          </w:rPr>
          <w:t>h</w:t>
        </w:r>
        <w:r>
          <w:rPr>
            <w:rStyle w:val="Hyperlink"/>
          </w:rPr>
          <w:t>ttps://doi.org/10.30574/gscbps.2023.25.3.0517</w:t>
        </w:r>
      </w:hyperlink>
    </w:p>
    <w:p w14:paraId="332813B7" w14:textId="77777777" w:rsidR="00651FF7" w:rsidRDefault="0006478A">
      <w:pPr>
        <w:pStyle w:val="NormalWeb"/>
        <w:spacing w:beforeAutospacing="0" w:afterAutospacing="0" w:line="360" w:lineRule="auto"/>
        <w:jc w:val="both"/>
      </w:pPr>
      <w:r>
        <w:rPr>
          <w:color w:val="212121"/>
        </w:rPr>
        <w:t> </w:t>
      </w:r>
    </w:p>
    <w:p w14:paraId="23891C3D" w14:textId="77777777" w:rsidR="00651FF7" w:rsidRDefault="0006478A">
      <w:pPr>
        <w:pStyle w:val="NormalWeb"/>
        <w:spacing w:before="240" w:beforeAutospacing="0" w:after="240" w:afterAutospacing="0" w:line="360" w:lineRule="auto"/>
        <w:jc w:val="both"/>
      </w:pPr>
      <w:r>
        <w:rPr>
          <w:color w:val="1B1B1B"/>
        </w:rPr>
        <w:t xml:space="preserve">8. Oluwasanu, M. M., Adejumo, P. O., Sun, Y., Onwuka, C., Ntekim, A., </w:t>
      </w:r>
      <w:proofErr w:type="spellStart"/>
      <w:r>
        <w:rPr>
          <w:color w:val="1B1B1B"/>
        </w:rPr>
        <w:t>Awolude</w:t>
      </w:r>
      <w:proofErr w:type="spellEnd"/>
      <w:r>
        <w:rPr>
          <w:color w:val="1B1B1B"/>
        </w:rPr>
        <w:t xml:space="preserve">, O. A., </w:t>
      </w:r>
      <w:proofErr w:type="spellStart"/>
      <w:r>
        <w:rPr>
          <w:color w:val="1B1B1B"/>
        </w:rPr>
        <w:t>Aniagwu</w:t>
      </w:r>
      <w:proofErr w:type="spellEnd"/>
      <w:r>
        <w:rPr>
          <w:color w:val="1B1B1B"/>
        </w:rPr>
        <w:t xml:space="preserve">, T. I., Kotila, O. A., Brown, B. J., </w:t>
      </w:r>
      <w:proofErr w:type="spellStart"/>
      <w:r>
        <w:rPr>
          <w:color w:val="1B1B1B"/>
        </w:rPr>
        <w:t>Ogbole</w:t>
      </w:r>
      <w:proofErr w:type="spellEnd"/>
      <w:r>
        <w:rPr>
          <w:color w:val="1B1B1B"/>
        </w:rPr>
        <w:t xml:space="preserve">, G. I., </w:t>
      </w:r>
      <w:proofErr w:type="spellStart"/>
      <w:r>
        <w:rPr>
          <w:color w:val="1B1B1B"/>
        </w:rPr>
        <w:t>Dzekem</w:t>
      </w:r>
      <w:proofErr w:type="spellEnd"/>
      <w:r>
        <w:rPr>
          <w:color w:val="1B1B1B"/>
        </w:rPr>
        <w:t xml:space="preserve">, B. S., Ajani, O., Huo, D., Babalola, C. P., </w:t>
      </w:r>
      <w:proofErr w:type="spellStart"/>
      <w:r>
        <w:rPr>
          <w:color w:val="1B1B1B"/>
        </w:rPr>
        <w:t>Ojengbede</w:t>
      </w:r>
      <w:proofErr w:type="spellEnd"/>
      <w:r>
        <w:rPr>
          <w:color w:val="1B1B1B"/>
        </w:rPr>
        <w:t>,</w:t>
      </w:r>
      <w:r>
        <w:rPr>
          <w:color w:val="1B1B1B"/>
        </w:rPr>
        <w:t xml:space="preserve"> O., Hammad, N., &amp; Olopade, O. I. (2024). Challenges and Recommendations for Improving Cancer Research and Practice in Nigeria: </w:t>
      </w:r>
      <w:r>
        <w:rPr>
          <w:i/>
          <w:iCs/>
          <w:color w:val="1B1B1B"/>
        </w:rPr>
        <w:t xml:space="preserve">A Qualitative Study </w:t>
      </w:r>
      <w:proofErr w:type="gramStart"/>
      <w:r>
        <w:rPr>
          <w:i/>
          <w:iCs/>
          <w:color w:val="1B1B1B"/>
        </w:rPr>
        <w:t>With</w:t>
      </w:r>
      <w:proofErr w:type="gramEnd"/>
      <w:r>
        <w:rPr>
          <w:i/>
          <w:iCs/>
          <w:color w:val="1B1B1B"/>
        </w:rPr>
        <w:t xml:space="preserve"> Multi-Stakeholders in Oncology Research and Practice</w:t>
      </w:r>
      <w:r>
        <w:rPr>
          <w:color w:val="1B1B1B"/>
        </w:rPr>
        <w:t xml:space="preserve">. </w:t>
      </w:r>
      <w:r>
        <w:rPr>
          <w:i/>
          <w:iCs/>
          <w:color w:val="1B1B1B"/>
        </w:rPr>
        <w:t xml:space="preserve">Cancer </w:t>
      </w:r>
      <w:proofErr w:type="gramStart"/>
      <w:r>
        <w:rPr>
          <w:i/>
          <w:iCs/>
          <w:color w:val="1B1B1B"/>
        </w:rPr>
        <w:t>control :</w:t>
      </w:r>
      <w:proofErr w:type="gramEnd"/>
      <w:r>
        <w:rPr>
          <w:i/>
          <w:iCs/>
          <w:color w:val="1B1B1B"/>
        </w:rPr>
        <w:t xml:space="preserve"> journal of the Moffitt Cancer Ce</w:t>
      </w:r>
      <w:r>
        <w:rPr>
          <w:i/>
          <w:iCs/>
          <w:color w:val="1B1B1B"/>
        </w:rPr>
        <w:t>nter</w:t>
      </w:r>
      <w:r>
        <w:rPr>
          <w:color w:val="1B1B1B"/>
        </w:rPr>
        <w:t xml:space="preserve">, </w:t>
      </w:r>
      <w:r>
        <w:rPr>
          <w:i/>
          <w:iCs/>
          <w:color w:val="1B1B1B"/>
        </w:rPr>
        <w:t>31</w:t>
      </w:r>
      <w:r>
        <w:rPr>
          <w:color w:val="1B1B1B"/>
        </w:rPr>
        <w:t>, 10732748241298331.</w:t>
      </w:r>
      <w:hyperlink r:id="rId28" w:history="1">
        <w:r>
          <w:rPr>
            <w:rStyle w:val="Hyperlink"/>
            <w:color w:val="1B1B1B"/>
            <w:u w:val="none"/>
          </w:rPr>
          <w:t xml:space="preserve"> </w:t>
        </w:r>
        <w:r>
          <w:rPr>
            <w:rStyle w:val="Hyperlink"/>
          </w:rPr>
          <w:t>https://doi.org/10.1177/10732748241298331</w:t>
        </w:r>
      </w:hyperlink>
    </w:p>
    <w:p w14:paraId="5E0D11F2" w14:textId="77777777" w:rsidR="00651FF7" w:rsidRDefault="0006478A">
      <w:pPr>
        <w:pStyle w:val="NormalWeb"/>
        <w:spacing w:before="240" w:beforeAutospacing="0" w:after="240" w:afterAutospacing="0" w:line="360" w:lineRule="auto"/>
        <w:jc w:val="both"/>
      </w:pPr>
      <w:r>
        <w:rPr>
          <w:color w:val="212121"/>
        </w:rPr>
        <w:t xml:space="preserve">9. </w:t>
      </w:r>
      <w:proofErr w:type="spellStart"/>
      <w:r>
        <w:rPr>
          <w:color w:val="212121"/>
        </w:rPr>
        <w:t>Ogbole</w:t>
      </w:r>
      <w:proofErr w:type="spellEnd"/>
      <w:r>
        <w:rPr>
          <w:color w:val="212121"/>
        </w:rPr>
        <w:t xml:space="preserve">, O. O., Akinleye, T. E., Segun, P. A., </w:t>
      </w:r>
      <w:proofErr w:type="spellStart"/>
      <w:r>
        <w:rPr>
          <w:color w:val="212121"/>
        </w:rPr>
        <w:t>Faleye</w:t>
      </w:r>
      <w:proofErr w:type="spellEnd"/>
      <w:r>
        <w:rPr>
          <w:color w:val="212121"/>
        </w:rPr>
        <w:t>, T. C., &amp; Adeniji, A. J. (2018). In vitro antiviral activity of twenty-</w:t>
      </w:r>
      <w:r>
        <w:rPr>
          <w:color w:val="212121"/>
        </w:rPr>
        <w:t xml:space="preserve">seven medicinal plant extracts from Southwest Nigeria against three serotypes of echoviruses. </w:t>
      </w:r>
      <w:r>
        <w:rPr>
          <w:i/>
          <w:iCs/>
          <w:color w:val="212121"/>
        </w:rPr>
        <w:t>Virology journal</w:t>
      </w:r>
      <w:r>
        <w:rPr>
          <w:color w:val="212121"/>
        </w:rPr>
        <w:t xml:space="preserve">, </w:t>
      </w:r>
      <w:r>
        <w:rPr>
          <w:i/>
          <w:iCs/>
          <w:color w:val="212121"/>
        </w:rPr>
        <w:t>15</w:t>
      </w:r>
      <w:r>
        <w:rPr>
          <w:color w:val="212121"/>
        </w:rPr>
        <w:t>(1), 110.</w:t>
      </w:r>
      <w:hyperlink r:id="rId29" w:history="1">
        <w:r>
          <w:rPr>
            <w:rStyle w:val="Hyperlink"/>
            <w:color w:val="212121"/>
            <w:u w:val="none"/>
          </w:rPr>
          <w:t xml:space="preserve"> </w:t>
        </w:r>
        <w:r>
          <w:rPr>
            <w:rStyle w:val="Hyperlink"/>
          </w:rPr>
          <w:t>https://doi.org/10.1186/s12985-018-1022-7</w:t>
        </w:r>
      </w:hyperlink>
    </w:p>
    <w:p w14:paraId="36765D30" w14:textId="77777777" w:rsidR="00651FF7" w:rsidRDefault="0006478A">
      <w:pPr>
        <w:pStyle w:val="NormalWeb"/>
        <w:spacing w:before="240" w:beforeAutospacing="0" w:after="240" w:afterAutospacing="0" w:line="360" w:lineRule="auto"/>
        <w:jc w:val="both"/>
      </w:pPr>
      <w:r>
        <w:rPr>
          <w:color w:val="212121"/>
        </w:rPr>
        <w:t xml:space="preserve">10. Ajayi, G. O., </w:t>
      </w:r>
      <w:proofErr w:type="spellStart"/>
      <w:r>
        <w:rPr>
          <w:color w:val="212121"/>
        </w:rPr>
        <w:t>Aibinu</w:t>
      </w:r>
      <w:proofErr w:type="spellEnd"/>
      <w:r>
        <w:rPr>
          <w:color w:val="212121"/>
        </w:rPr>
        <w:t xml:space="preserve">, I. E., Adeniyi, B. A., &amp; </w:t>
      </w:r>
      <w:proofErr w:type="spellStart"/>
      <w:r>
        <w:rPr>
          <w:color w:val="212121"/>
        </w:rPr>
        <w:t>Atolani</w:t>
      </w:r>
      <w:proofErr w:type="spellEnd"/>
      <w:r>
        <w:rPr>
          <w:color w:val="212121"/>
        </w:rPr>
        <w:t xml:space="preserve">, O. (2019). Traditional uses and potential pharmacological activities of </w:t>
      </w:r>
      <w:r>
        <w:rPr>
          <w:i/>
          <w:iCs/>
          <w:color w:val="212121"/>
        </w:rPr>
        <w:t>Rauwolfia vomitoria</w:t>
      </w:r>
      <w:r>
        <w:rPr>
          <w:color w:val="212121"/>
        </w:rPr>
        <w:t xml:space="preserve">: A review. </w:t>
      </w:r>
      <w:r>
        <w:rPr>
          <w:i/>
          <w:iCs/>
          <w:color w:val="212121"/>
        </w:rPr>
        <w:t>Journal of Pharmacognosy and Phytotherapy</w:t>
      </w:r>
      <w:r>
        <w:rPr>
          <w:color w:val="212121"/>
        </w:rPr>
        <w:t>, 11(4), 65–72.</w:t>
      </w:r>
    </w:p>
    <w:p w14:paraId="75E1BFF8" w14:textId="77777777" w:rsidR="00651FF7" w:rsidRDefault="0006478A">
      <w:pPr>
        <w:pStyle w:val="NormalWeb"/>
        <w:spacing w:before="240" w:beforeAutospacing="0" w:after="240" w:afterAutospacing="0" w:line="360" w:lineRule="auto"/>
        <w:jc w:val="both"/>
      </w:pPr>
      <w:r>
        <w:rPr>
          <w:color w:val="212121"/>
          <w:shd w:val="clear" w:color="auto" w:fill="FFFFFF"/>
        </w:rPr>
        <w:t>11. Yu J, Chen Q. Antitumor Activities of Rauwolfia vomitori</w:t>
      </w:r>
      <w:r>
        <w:rPr>
          <w:color w:val="212121"/>
          <w:shd w:val="clear" w:color="auto" w:fill="FFFFFF"/>
        </w:rPr>
        <w:t xml:space="preserve">a Extract and Potentiation of Gemcitabine Effects Against Pancreatic Cancer. </w:t>
      </w:r>
      <w:proofErr w:type="spellStart"/>
      <w:r>
        <w:rPr>
          <w:color w:val="212121"/>
          <w:shd w:val="clear" w:color="auto" w:fill="FFFFFF"/>
        </w:rPr>
        <w:t>Integr</w:t>
      </w:r>
      <w:proofErr w:type="spellEnd"/>
      <w:r>
        <w:rPr>
          <w:color w:val="212121"/>
          <w:shd w:val="clear" w:color="auto" w:fill="FFFFFF"/>
        </w:rPr>
        <w:t xml:space="preserve"> Cancer </w:t>
      </w:r>
      <w:proofErr w:type="spellStart"/>
      <w:r>
        <w:rPr>
          <w:color w:val="212121"/>
          <w:shd w:val="clear" w:color="auto" w:fill="FFFFFF"/>
        </w:rPr>
        <w:t>Ther</w:t>
      </w:r>
      <w:proofErr w:type="spellEnd"/>
      <w:r>
        <w:rPr>
          <w:color w:val="212121"/>
          <w:shd w:val="clear" w:color="auto" w:fill="FFFFFF"/>
        </w:rPr>
        <w:t xml:space="preserve">. </w:t>
      </w:r>
      <w:proofErr w:type="gramStart"/>
      <w:r>
        <w:rPr>
          <w:color w:val="212121"/>
          <w:shd w:val="clear" w:color="auto" w:fill="FFFFFF"/>
        </w:rPr>
        <w:t>2014;13:217</w:t>
      </w:r>
      <w:proofErr w:type="gramEnd"/>
      <w:r>
        <w:rPr>
          <w:color w:val="212121"/>
          <w:shd w:val="clear" w:color="auto" w:fill="FFFFFF"/>
        </w:rPr>
        <w:t>–225.</w:t>
      </w:r>
    </w:p>
    <w:p w14:paraId="708E7C82" w14:textId="77777777" w:rsidR="00651FF7" w:rsidRDefault="0006478A">
      <w:pPr>
        <w:pStyle w:val="NormalWeb"/>
        <w:spacing w:before="240" w:beforeAutospacing="0" w:after="240" w:afterAutospacing="0" w:line="360" w:lineRule="auto"/>
        <w:jc w:val="both"/>
      </w:pPr>
      <w:r>
        <w:rPr>
          <w:color w:val="212121"/>
          <w:shd w:val="clear" w:color="auto" w:fill="FFFFFF"/>
        </w:rPr>
        <w:t>12. Yu, J., Ma, Y., Drisko, J., &amp; Chen, Q. (2013). Antitumor Activities of Rauwolfia vomitoria Extract and Potentiation of Carboplatin Effects</w:t>
      </w:r>
      <w:r>
        <w:rPr>
          <w:color w:val="212121"/>
          <w:shd w:val="clear" w:color="auto" w:fill="FFFFFF"/>
        </w:rPr>
        <w:t xml:space="preserve"> Against Ovarian Cancer. </w:t>
      </w:r>
      <w:r>
        <w:rPr>
          <w:i/>
          <w:iCs/>
          <w:color w:val="212121"/>
          <w:shd w:val="clear" w:color="auto" w:fill="FFFFFF"/>
        </w:rPr>
        <w:lastRenderedPageBreak/>
        <w:t>Current therapeutic research, clinical and experimental</w:t>
      </w:r>
      <w:r>
        <w:rPr>
          <w:color w:val="212121"/>
          <w:shd w:val="clear" w:color="auto" w:fill="FFFFFF"/>
        </w:rPr>
        <w:t xml:space="preserve">, </w:t>
      </w:r>
      <w:r>
        <w:rPr>
          <w:i/>
          <w:iCs/>
          <w:color w:val="212121"/>
          <w:shd w:val="clear" w:color="auto" w:fill="FFFFFF"/>
        </w:rPr>
        <w:t>75</w:t>
      </w:r>
      <w:r>
        <w:rPr>
          <w:color w:val="212121"/>
          <w:shd w:val="clear" w:color="auto" w:fill="FFFFFF"/>
        </w:rPr>
        <w:t>, 8–14.</w:t>
      </w:r>
      <w:hyperlink r:id="rId30" w:history="1">
        <w:r>
          <w:rPr>
            <w:rStyle w:val="Hyperlink"/>
            <w:color w:val="212121"/>
            <w:u w:val="none"/>
            <w:shd w:val="clear" w:color="auto" w:fill="FFFFFF"/>
          </w:rPr>
          <w:t xml:space="preserve"> </w:t>
        </w:r>
        <w:r>
          <w:rPr>
            <w:rStyle w:val="Hyperlink"/>
            <w:shd w:val="clear" w:color="auto" w:fill="FFFFFF"/>
          </w:rPr>
          <w:t>https://doi.org/10.1016/j.curtheres.2013.04.001</w:t>
        </w:r>
      </w:hyperlink>
    </w:p>
    <w:p w14:paraId="254B8B54" w14:textId="77777777" w:rsidR="00651FF7" w:rsidRDefault="0006478A">
      <w:pPr>
        <w:pStyle w:val="NormalWeb"/>
        <w:spacing w:before="240" w:beforeAutospacing="0" w:after="240" w:afterAutospacing="0" w:line="360" w:lineRule="auto"/>
        <w:jc w:val="both"/>
      </w:pPr>
      <w:r>
        <w:rPr>
          <w:color w:val="2E414F"/>
          <w:shd w:val="clear" w:color="auto" w:fill="FFFFFF"/>
        </w:rPr>
        <w:t xml:space="preserve">13. Dong, R., Chen, P., &amp; Chen, Q. (2018). Inhibition of pancreatic cancer stem cells by Rauwolfia vomitoria extract. </w:t>
      </w:r>
      <w:r>
        <w:rPr>
          <w:i/>
          <w:iCs/>
          <w:color w:val="2E414F"/>
          <w:shd w:val="clear" w:color="auto" w:fill="FFFFFF"/>
        </w:rPr>
        <w:t>Oncology Reports, 40</w:t>
      </w:r>
      <w:r>
        <w:rPr>
          <w:color w:val="2E414F"/>
          <w:shd w:val="clear" w:color="auto" w:fill="FFFFFF"/>
        </w:rPr>
        <w:t>, 3144 - 3154.</w:t>
      </w:r>
    </w:p>
    <w:p w14:paraId="5E2CD1FB" w14:textId="77777777" w:rsidR="00651FF7" w:rsidRDefault="0006478A">
      <w:pPr>
        <w:pStyle w:val="NormalWeb"/>
        <w:spacing w:before="240" w:beforeAutospacing="0" w:after="240" w:afterAutospacing="0" w:line="360" w:lineRule="auto"/>
        <w:jc w:val="both"/>
      </w:pPr>
      <w:r>
        <w:rPr>
          <w:color w:val="2E414F"/>
          <w:shd w:val="clear" w:color="auto" w:fill="FFFFFF"/>
        </w:rPr>
        <w:t xml:space="preserve">14. </w:t>
      </w:r>
      <w:r>
        <w:rPr>
          <w:color w:val="212121"/>
          <w:shd w:val="clear" w:color="auto" w:fill="FFFFFF"/>
        </w:rPr>
        <w:t xml:space="preserve">Fang, T., Xue, Z. S., Li, J. X., Liu, J. K., Wu, D., Li, M. Q., Song, Y. T., Yun, S. F., &amp; Yan, J. </w:t>
      </w:r>
      <w:r>
        <w:rPr>
          <w:color w:val="212121"/>
          <w:shd w:val="clear" w:color="auto" w:fill="FFFFFF"/>
        </w:rPr>
        <w:t xml:space="preserve">(2021). Rauwolfia vomitoria extract suppresses benign prostatic hyperplasia by reducing expression of androgen receptor and 5α-reductase in a rat model. </w:t>
      </w:r>
      <w:r>
        <w:rPr>
          <w:i/>
          <w:iCs/>
          <w:color w:val="212121"/>
          <w:shd w:val="clear" w:color="auto" w:fill="FFFFFF"/>
        </w:rPr>
        <w:t>Journal of integrative medicine</w:t>
      </w:r>
      <w:r>
        <w:rPr>
          <w:color w:val="212121"/>
          <w:shd w:val="clear" w:color="auto" w:fill="FFFFFF"/>
        </w:rPr>
        <w:t xml:space="preserve">, </w:t>
      </w:r>
      <w:r>
        <w:rPr>
          <w:i/>
          <w:iCs/>
          <w:color w:val="212121"/>
          <w:shd w:val="clear" w:color="auto" w:fill="FFFFFF"/>
        </w:rPr>
        <w:t>19</w:t>
      </w:r>
      <w:r>
        <w:rPr>
          <w:color w:val="212121"/>
          <w:shd w:val="clear" w:color="auto" w:fill="FFFFFF"/>
        </w:rPr>
        <w:t>(3), 258–264.</w:t>
      </w:r>
      <w:hyperlink r:id="rId31" w:history="1">
        <w:r>
          <w:rPr>
            <w:rStyle w:val="Hyperlink"/>
            <w:color w:val="212121"/>
            <w:u w:val="none"/>
            <w:shd w:val="clear" w:color="auto" w:fill="FFFFFF"/>
          </w:rPr>
          <w:t xml:space="preserve"> </w:t>
        </w:r>
        <w:r>
          <w:rPr>
            <w:rStyle w:val="Hyperlink"/>
            <w:shd w:val="clear" w:color="auto" w:fill="FFFFFF"/>
          </w:rPr>
          <w:t>https://doi.org/10.1016/j.joim.2020.12.002</w:t>
        </w:r>
      </w:hyperlink>
    </w:p>
    <w:p w14:paraId="78807A6C" w14:textId="77777777" w:rsidR="00651FF7" w:rsidRDefault="0006478A">
      <w:pPr>
        <w:pStyle w:val="NormalWeb"/>
        <w:spacing w:before="240" w:beforeAutospacing="0" w:after="240" w:afterAutospacing="0" w:line="360" w:lineRule="auto"/>
        <w:jc w:val="both"/>
      </w:pPr>
      <w:r>
        <w:rPr>
          <w:color w:val="212121"/>
          <w:shd w:val="clear" w:color="auto" w:fill="FFFFFF"/>
        </w:rPr>
        <w:t xml:space="preserve">15. Wang, Y. X., Lin, C., Cui, L. J., Yang, W. H., Li, Q. M., Liu, Z. J., &amp; Miao, X. P. (2021). Rauwolfia vomitoria Extract Represses Colorectal Cancer Cell Autophagy and Promotes Apoptosis. </w:t>
      </w:r>
      <w:r>
        <w:rPr>
          <w:i/>
          <w:iCs/>
          <w:color w:val="212121"/>
          <w:shd w:val="clear" w:color="auto" w:fill="FFFFFF"/>
        </w:rPr>
        <w:t>Pharmacology</w:t>
      </w:r>
      <w:r>
        <w:rPr>
          <w:color w:val="212121"/>
          <w:shd w:val="clear" w:color="auto" w:fill="FFFFFF"/>
        </w:rPr>
        <w:t xml:space="preserve">, </w:t>
      </w:r>
      <w:r>
        <w:rPr>
          <w:i/>
          <w:iCs/>
          <w:color w:val="212121"/>
          <w:shd w:val="clear" w:color="auto" w:fill="FFFFFF"/>
        </w:rPr>
        <w:t>106</w:t>
      </w:r>
      <w:r>
        <w:rPr>
          <w:color w:val="212121"/>
          <w:shd w:val="clear" w:color="auto" w:fill="FFFFFF"/>
        </w:rPr>
        <w:t>(9-10), 488–497. https://doi.org/10.1159/000512614</w:t>
      </w:r>
    </w:p>
    <w:p w14:paraId="73E5852E" w14:textId="77777777" w:rsidR="00651FF7" w:rsidRDefault="0006478A">
      <w:pPr>
        <w:pStyle w:val="NormalWeb"/>
        <w:spacing w:before="240" w:beforeAutospacing="0" w:after="240" w:afterAutospacing="0" w:line="360" w:lineRule="auto"/>
        <w:jc w:val="both"/>
      </w:pPr>
      <w:r>
        <w:rPr>
          <w:color w:val="212121"/>
        </w:rPr>
        <w:t xml:space="preserve">16. Shode, F. O., &amp; </w:t>
      </w:r>
      <w:proofErr w:type="spellStart"/>
      <w:r>
        <w:rPr>
          <w:color w:val="212121"/>
        </w:rPr>
        <w:t>Ojewole</w:t>
      </w:r>
      <w:proofErr w:type="spellEnd"/>
      <w:r>
        <w:rPr>
          <w:color w:val="212121"/>
        </w:rPr>
        <w:t xml:space="preserve">, J. A. (2002). </w:t>
      </w:r>
      <w:proofErr w:type="spellStart"/>
      <w:r>
        <w:rPr>
          <w:color w:val="212121"/>
        </w:rPr>
        <w:t>Alstonine</w:t>
      </w:r>
      <w:proofErr w:type="spellEnd"/>
      <w:r>
        <w:rPr>
          <w:color w:val="212121"/>
        </w:rPr>
        <w:t xml:space="preserve">: A plant-derived indole alkaloid with potential antipsychotic properties. </w:t>
      </w:r>
      <w:r>
        <w:rPr>
          <w:i/>
          <w:iCs/>
          <w:color w:val="212121"/>
        </w:rPr>
        <w:t>Phytomedicine</w:t>
      </w:r>
      <w:r>
        <w:rPr>
          <w:color w:val="212121"/>
        </w:rPr>
        <w:t xml:space="preserve">, </w:t>
      </w:r>
      <w:r>
        <w:rPr>
          <w:i/>
          <w:iCs/>
          <w:color w:val="212121"/>
        </w:rPr>
        <w:t>9</w:t>
      </w:r>
      <w:r>
        <w:rPr>
          <w:color w:val="212121"/>
        </w:rPr>
        <w:t>(4), 305–310.</w:t>
      </w:r>
    </w:p>
    <w:p w14:paraId="473330F8" w14:textId="77777777" w:rsidR="00651FF7" w:rsidRDefault="0006478A">
      <w:pPr>
        <w:pStyle w:val="NormalWeb"/>
        <w:spacing w:before="240" w:beforeAutospacing="0" w:after="240" w:afterAutospacing="0" w:line="360" w:lineRule="auto"/>
        <w:jc w:val="both"/>
      </w:pPr>
      <w:r>
        <w:rPr>
          <w:color w:val="212121"/>
        </w:rPr>
        <w:t xml:space="preserve">17. </w:t>
      </w:r>
      <w:proofErr w:type="spellStart"/>
      <w:r>
        <w:rPr>
          <w:color w:val="212121"/>
        </w:rPr>
        <w:t>Onigbanjo</w:t>
      </w:r>
      <w:proofErr w:type="spellEnd"/>
      <w:r>
        <w:rPr>
          <w:color w:val="212121"/>
        </w:rPr>
        <w:t xml:space="preserve">, H. O., Idowu, O. A., &amp; Ayeni, E. </w:t>
      </w:r>
      <w:r>
        <w:rPr>
          <w:color w:val="212121"/>
        </w:rPr>
        <w:t xml:space="preserve">A. (2020). Potential of </w:t>
      </w:r>
      <w:r>
        <w:rPr>
          <w:i/>
          <w:iCs/>
          <w:color w:val="212121"/>
        </w:rPr>
        <w:t>Rauwolfia vomitoria</w:t>
      </w:r>
      <w:r>
        <w:rPr>
          <w:color w:val="212121"/>
        </w:rPr>
        <w:t xml:space="preserve"> extract and its bioactive components in neuropharmacology and oncology: A mini-review. </w:t>
      </w:r>
      <w:r>
        <w:rPr>
          <w:i/>
          <w:iCs/>
          <w:color w:val="212121"/>
        </w:rPr>
        <w:t>Journal of Ethnopharmacology</w:t>
      </w:r>
      <w:r>
        <w:rPr>
          <w:color w:val="212121"/>
        </w:rPr>
        <w:t xml:space="preserve">, </w:t>
      </w:r>
      <w:r>
        <w:rPr>
          <w:i/>
          <w:iCs/>
          <w:color w:val="212121"/>
        </w:rPr>
        <w:t>253</w:t>
      </w:r>
      <w:r>
        <w:rPr>
          <w:color w:val="212121"/>
        </w:rPr>
        <w:t>, 112638.</w:t>
      </w:r>
    </w:p>
    <w:p w14:paraId="11EA6C4B" w14:textId="77777777" w:rsidR="00651FF7" w:rsidRDefault="0006478A">
      <w:pPr>
        <w:pStyle w:val="NormalWeb"/>
        <w:spacing w:before="240" w:beforeAutospacing="0" w:after="240" w:afterAutospacing="0" w:line="360" w:lineRule="auto"/>
        <w:jc w:val="both"/>
      </w:pPr>
      <w:r>
        <w:rPr>
          <w:color w:val="212121"/>
        </w:rPr>
        <w:t xml:space="preserve">18. Pires, D. E., Blundell, T. L., &amp; Ascher, D. B. (2015). </w:t>
      </w:r>
      <w:proofErr w:type="spellStart"/>
      <w:r>
        <w:rPr>
          <w:color w:val="212121"/>
        </w:rPr>
        <w:t>pkCSM</w:t>
      </w:r>
      <w:proofErr w:type="spellEnd"/>
      <w:r>
        <w:rPr>
          <w:color w:val="212121"/>
        </w:rPr>
        <w:t>: Predicting Small</w:t>
      </w:r>
      <w:r>
        <w:rPr>
          <w:color w:val="212121"/>
        </w:rPr>
        <w:t xml:space="preserve">-Molecule Pharmacokinetic and Toxicity Properties Using Graph-Based Signatures. </w:t>
      </w:r>
      <w:r>
        <w:rPr>
          <w:i/>
          <w:iCs/>
          <w:color w:val="212121"/>
        </w:rPr>
        <w:t>Journal of medicinal chemistry</w:t>
      </w:r>
      <w:r>
        <w:rPr>
          <w:color w:val="212121"/>
        </w:rPr>
        <w:t xml:space="preserve">, </w:t>
      </w:r>
      <w:r>
        <w:rPr>
          <w:i/>
          <w:iCs/>
          <w:color w:val="212121"/>
        </w:rPr>
        <w:t>58</w:t>
      </w:r>
      <w:r>
        <w:rPr>
          <w:color w:val="212121"/>
        </w:rPr>
        <w:t>(9), 4066–4072.</w:t>
      </w:r>
      <w:hyperlink r:id="rId32" w:history="1">
        <w:r>
          <w:rPr>
            <w:rStyle w:val="Hyperlink"/>
            <w:color w:val="212121"/>
            <w:u w:val="none"/>
          </w:rPr>
          <w:t xml:space="preserve"> </w:t>
        </w:r>
        <w:r>
          <w:rPr>
            <w:rStyle w:val="Hyperlink"/>
          </w:rPr>
          <w:t>https://doi.org/10.1021/acs.jmedchem.5b00104</w:t>
        </w:r>
      </w:hyperlink>
    </w:p>
    <w:p w14:paraId="694936AF" w14:textId="77777777" w:rsidR="00651FF7" w:rsidRDefault="0006478A">
      <w:pPr>
        <w:pStyle w:val="NormalWeb"/>
        <w:spacing w:beforeAutospacing="0" w:afterAutospacing="0" w:line="360" w:lineRule="auto"/>
        <w:jc w:val="both"/>
      </w:pPr>
      <w:r>
        <w:rPr>
          <w:color w:val="212121"/>
        </w:rPr>
        <w:t>19. Ferreira, L. G.,</w:t>
      </w:r>
      <w:r>
        <w:rPr>
          <w:color w:val="212121"/>
        </w:rPr>
        <w:t xml:space="preserve"> Dos Santos, R. N., Oliva, G., &amp; </w:t>
      </w:r>
      <w:proofErr w:type="spellStart"/>
      <w:r>
        <w:rPr>
          <w:color w:val="212121"/>
        </w:rPr>
        <w:t>Andricopulo</w:t>
      </w:r>
      <w:proofErr w:type="spellEnd"/>
      <w:r>
        <w:rPr>
          <w:color w:val="212121"/>
        </w:rPr>
        <w:t xml:space="preserve">, A. D. (2015). Molecular docking and structure-based drug design strategies. </w:t>
      </w:r>
      <w:r>
        <w:rPr>
          <w:i/>
          <w:iCs/>
          <w:color w:val="212121"/>
        </w:rPr>
        <w:t>Molecules (Basel, Switzerland)</w:t>
      </w:r>
      <w:r>
        <w:rPr>
          <w:color w:val="212121"/>
        </w:rPr>
        <w:t xml:space="preserve">, </w:t>
      </w:r>
      <w:r>
        <w:rPr>
          <w:i/>
          <w:iCs/>
          <w:color w:val="212121"/>
        </w:rPr>
        <w:t>20</w:t>
      </w:r>
      <w:r>
        <w:rPr>
          <w:color w:val="212121"/>
        </w:rPr>
        <w:t>(7), 13384–13421.</w:t>
      </w:r>
      <w:hyperlink r:id="rId33" w:history="1">
        <w:r>
          <w:rPr>
            <w:rStyle w:val="Hyperlink"/>
            <w:color w:val="212121"/>
            <w:u w:val="none"/>
          </w:rPr>
          <w:t xml:space="preserve"> </w:t>
        </w:r>
        <w:r>
          <w:rPr>
            <w:rStyle w:val="Hyperlink"/>
          </w:rPr>
          <w:t>https://doi.org/10.3390/molecules200713384</w:t>
        </w:r>
      </w:hyperlink>
    </w:p>
    <w:p w14:paraId="38C3D5AE" w14:textId="77777777" w:rsidR="00651FF7" w:rsidRDefault="0006478A">
      <w:pPr>
        <w:pStyle w:val="NormalWeb"/>
        <w:numPr>
          <w:ilvl w:val="0"/>
          <w:numId w:val="2"/>
        </w:numPr>
        <w:spacing w:before="240" w:beforeAutospacing="0" w:after="240" w:afterAutospacing="0" w:line="360" w:lineRule="auto"/>
        <w:jc w:val="both"/>
      </w:pPr>
      <w:r>
        <w:rPr>
          <w:color w:val="212121"/>
        </w:rPr>
        <w:t xml:space="preserve">Lipinski C. A. (2004). Lead- and drug-like compounds: the rule-of-five revolution. </w:t>
      </w:r>
      <w:r>
        <w:rPr>
          <w:i/>
          <w:iCs/>
          <w:color w:val="212121"/>
        </w:rPr>
        <w:t>Drug discovery today. Technologies</w:t>
      </w:r>
      <w:r>
        <w:rPr>
          <w:color w:val="212121"/>
        </w:rPr>
        <w:t xml:space="preserve">, </w:t>
      </w:r>
      <w:r>
        <w:rPr>
          <w:i/>
          <w:iCs/>
          <w:color w:val="212121"/>
        </w:rPr>
        <w:t>1</w:t>
      </w:r>
      <w:r>
        <w:rPr>
          <w:color w:val="212121"/>
        </w:rPr>
        <w:t>(4), 337–341.</w:t>
      </w:r>
      <w:hyperlink r:id="rId34" w:history="1">
        <w:r>
          <w:rPr>
            <w:rStyle w:val="Hyperlink"/>
            <w:color w:val="212121"/>
            <w:u w:val="none"/>
          </w:rPr>
          <w:t xml:space="preserve"> </w:t>
        </w:r>
        <w:r>
          <w:rPr>
            <w:rStyle w:val="Hyperlink"/>
            <w:color w:val="1155CC"/>
          </w:rPr>
          <w:t>https://doi.org/10.</w:t>
        </w:r>
        <w:r>
          <w:rPr>
            <w:rStyle w:val="Hyperlink"/>
            <w:color w:val="1155CC"/>
          </w:rPr>
          <w:t>1016/j.ddtec.2004.11.007</w:t>
        </w:r>
      </w:hyperlink>
    </w:p>
    <w:p w14:paraId="4BE94296" w14:textId="77777777" w:rsidR="00651FF7" w:rsidRDefault="0006478A">
      <w:pPr>
        <w:pStyle w:val="NormalWeb"/>
        <w:spacing w:before="240" w:beforeAutospacing="0" w:after="240" w:afterAutospacing="0" w:line="360" w:lineRule="auto"/>
        <w:jc w:val="both"/>
      </w:pPr>
      <w:r>
        <w:rPr>
          <w:color w:val="212121"/>
        </w:rPr>
        <w:lastRenderedPageBreak/>
        <w:t xml:space="preserve">21. Daina, A., </w:t>
      </w:r>
      <w:proofErr w:type="spellStart"/>
      <w:r>
        <w:rPr>
          <w:color w:val="212121"/>
        </w:rPr>
        <w:t>Michielin</w:t>
      </w:r>
      <w:proofErr w:type="spellEnd"/>
      <w:r>
        <w:rPr>
          <w:color w:val="212121"/>
        </w:rPr>
        <w:t xml:space="preserve">, O., &amp; Zoete, V. (2017). </w:t>
      </w:r>
      <w:proofErr w:type="spellStart"/>
      <w:r>
        <w:rPr>
          <w:color w:val="212121"/>
        </w:rPr>
        <w:t>SwissADME</w:t>
      </w:r>
      <w:proofErr w:type="spellEnd"/>
      <w:r>
        <w:rPr>
          <w:color w:val="212121"/>
        </w:rPr>
        <w:t xml:space="preserve">: a free web tool to evaluate pharmacokinetics, drug-likeness and medicinal chemistry friendliness of small molecules. </w:t>
      </w:r>
      <w:r>
        <w:rPr>
          <w:i/>
          <w:iCs/>
          <w:color w:val="212121"/>
        </w:rPr>
        <w:t>Scientific reports</w:t>
      </w:r>
      <w:r>
        <w:rPr>
          <w:color w:val="212121"/>
        </w:rPr>
        <w:t xml:space="preserve">, </w:t>
      </w:r>
      <w:r>
        <w:rPr>
          <w:i/>
          <w:iCs/>
          <w:color w:val="212121"/>
        </w:rPr>
        <w:t>7</w:t>
      </w:r>
      <w:r>
        <w:rPr>
          <w:color w:val="212121"/>
        </w:rPr>
        <w:t>, 42717.</w:t>
      </w:r>
      <w:hyperlink r:id="rId35" w:history="1">
        <w:r>
          <w:rPr>
            <w:rStyle w:val="Hyperlink"/>
            <w:color w:val="212121"/>
            <w:u w:val="none"/>
          </w:rPr>
          <w:t xml:space="preserve"> </w:t>
        </w:r>
        <w:r>
          <w:rPr>
            <w:rStyle w:val="Hyperlink"/>
          </w:rPr>
          <w:t>https://doi.org/10.1038/srep42717</w:t>
        </w:r>
      </w:hyperlink>
    </w:p>
    <w:p w14:paraId="4EAC4E2E" w14:textId="77777777" w:rsidR="00651FF7" w:rsidRDefault="0006478A">
      <w:pPr>
        <w:pStyle w:val="NormalWeb"/>
        <w:spacing w:before="240" w:beforeAutospacing="0" w:after="240" w:afterAutospacing="0" w:line="360" w:lineRule="auto"/>
        <w:jc w:val="both"/>
      </w:pPr>
      <w:r>
        <w:rPr>
          <w:color w:val="212121"/>
        </w:rPr>
        <w:t xml:space="preserve">22. </w:t>
      </w:r>
      <w:proofErr w:type="spellStart"/>
      <w:r>
        <w:rPr>
          <w:color w:val="212121"/>
        </w:rPr>
        <w:t>Pardridge</w:t>
      </w:r>
      <w:proofErr w:type="spellEnd"/>
      <w:r>
        <w:rPr>
          <w:color w:val="212121"/>
        </w:rPr>
        <w:t xml:space="preserve"> W. M. (2012). Drug transport across the blood-brain barrier. </w:t>
      </w:r>
      <w:r>
        <w:rPr>
          <w:i/>
          <w:iCs/>
          <w:color w:val="212121"/>
        </w:rPr>
        <w:t xml:space="preserve">Journal of cerebral blood flow and </w:t>
      </w:r>
      <w:proofErr w:type="gramStart"/>
      <w:r>
        <w:rPr>
          <w:i/>
          <w:iCs/>
          <w:color w:val="212121"/>
        </w:rPr>
        <w:t>metabolism :</w:t>
      </w:r>
      <w:proofErr w:type="gramEnd"/>
      <w:r>
        <w:rPr>
          <w:i/>
          <w:iCs/>
          <w:color w:val="212121"/>
        </w:rPr>
        <w:t xml:space="preserve"> official journal of the International Society of Cerebral Blood Flow and</w:t>
      </w:r>
      <w:r>
        <w:rPr>
          <w:i/>
          <w:iCs/>
          <w:color w:val="212121"/>
        </w:rPr>
        <w:t xml:space="preserve"> Metabolism</w:t>
      </w:r>
      <w:r>
        <w:rPr>
          <w:color w:val="212121"/>
        </w:rPr>
        <w:t xml:space="preserve">, </w:t>
      </w:r>
      <w:r>
        <w:rPr>
          <w:i/>
          <w:iCs/>
          <w:color w:val="212121"/>
        </w:rPr>
        <w:t>32</w:t>
      </w:r>
      <w:r>
        <w:rPr>
          <w:color w:val="212121"/>
        </w:rPr>
        <w:t>(11), 1959–1972. https://doi.org/10.1038/jcbfm.2012.126</w:t>
      </w:r>
    </w:p>
    <w:p w14:paraId="434024CF" w14:textId="77777777" w:rsidR="00651FF7" w:rsidRDefault="0006478A">
      <w:pPr>
        <w:pStyle w:val="NormalWeb"/>
        <w:spacing w:beforeAutospacing="0" w:afterAutospacing="0" w:line="360" w:lineRule="auto"/>
        <w:jc w:val="both"/>
      </w:pPr>
      <w:r>
        <w:rPr>
          <w:color w:val="1B1B1B"/>
        </w:rPr>
        <w:t xml:space="preserve">24. Kale, J., Osterlund, E. J., &amp; Andrews, D. W. (2018). BCL-2 family proteins: changing partners in the dance towards death. </w:t>
      </w:r>
      <w:r>
        <w:rPr>
          <w:i/>
          <w:iCs/>
          <w:color w:val="1B1B1B"/>
        </w:rPr>
        <w:t>Cell death and differentiation</w:t>
      </w:r>
      <w:r>
        <w:rPr>
          <w:color w:val="1B1B1B"/>
        </w:rPr>
        <w:t xml:space="preserve">, </w:t>
      </w:r>
      <w:r>
        <w:rPr>
          <w:i/>
          <w:iCs/>
          <w:color w:val="1B1B1B"/>
        </w:rPr>
        <w:t>25</w:t>
      </w:r>
      <w:r>
        <w:rPr>
          <w:color w:val="1B1B1B"/>
        </w:rPr>
        <w:t>(1), 65–80.</w:t>
      </w:r>
      <w:hyperlink r:id="rId36" w:history="1">
        <w:r>
          <w:rPr>
            <w:rStyle w:val="Hyperlink"/>
            <w:color w:val="1B1B1B"/>
            <w:u w:val="none"/>
          </w:rPr>
          <w:t xml:space="preserve"> </w:t>
        </w:r>
        <w:r>
          <w:rPr>
            <w:rStyle w:val="Hyperlink"/>
            <w:color w:val="1155CC"/>
          </w:rPr>
          <w:t>https://doi.org/10.1038/cdd.2017.186</w:t>
        </w:r>
      </w:hyperlink>
    </w:p>
    <w:p w14:paraId="0ED0FAD6" w14:textId="77777777" w:rsidR="00651FF7" w:rsidRDefault="0006478A">
      <w:pPr>
        <w:pStyle w:val="NormalWeb"/>
        <w:spacing w:beforeAutospacing="0" w:afterAutospacing="0" w:line="360" w:lineRule="auto"/>
        <w:jc w:val="both"/>
      </w:pPr>
      <w:r>
        <w:rPr>
          <w:color w:val="212121"/>
        </w:rPr>
        <w:t> </w:t>
      </w:r>
    </w:p>
    <w:p w14:paraId="02338ADC" w14:textId="77777777" w:rsidR="00651FF7" w:rsidRDefault="0006478A">
      <w:pPr>
        <w:pStyle w:val="NormalWeb"/>
        <w:spacing w:beforeAutospacing="0" w:afterAutospacing="0" w:line="360" w:lineRule="auto"/>
        <w:jc w:val="both"/>
      </w:pPr>
      <w:r>
        <w:rPr>
          <w:color w:val="212121"/>
        </w:rPr>
        <w:t xml:space="preserve">25. Fruman, D. A., Chiu, H., Hopkins, B. D., </w:t>
      </w:r>
      <w:proofErr w:type="spellStart"/>
      <w:r>
        <w:rPr>
          <w:color w:val="212121"/>
        </w:rPr>
        <w:t>Bagrodia</w:t>
      </w:r>
      <w:proofErr w:type="spellEnd"/>
      <w:r>
        <w:rPr>
          <w:color w:val="212121"/>
        </w:rPr>
        <w:t xml:space="preserve">, S., Cantley, L. C., &amp; Abraham, R. T. (2017). The PI3K Pathway in Human Disease. </w:t>
      </w:r>
      <w:r>
        <w:rPr>
          <w:i/>
          <w:iCs/>
          <w:color w:val="212121"/>
        </w:rPr>
        <w:t>Cell</w:t>
      </w:r>
      <w:r>
        <w:rPr>
          <w:color w:val="212121"/>
        </w:rPr>
        <w:t xml:space="preserve">, </w:t>
      </w:r>
      <w:r>
        <w:rPr>
          <w:i/>
          <w:iCs/>
          <w:color w:val="212121"/>
        </w:rPr>
        <w:t>170</w:t>
      </w:r>
      <w:r>
        <w:rPr>
          <w:color w:val="212121"/>
        </w:rPr>
        <w:t>(4), 605–635.</w:t>
      </w:r>
      <w:hyperlink r:id="rId37" w:history="1">
        <w:r>
          <w:rPr>
            <w:rStyle w:val="Hyperlink"/>
            <w:color w:val="212121"/>
            <w:u w:val="none"/>
          </w:rPr>
          <w:t xml:space="preserve"> </w:t>
        </w:r>
        <w:r>
          <w:rPr>
            <w:rStyle w:val="Hyperlink"/>
          </w:rPr>
          <w:t>https://doi.org/10.1016/j.cell.2017.07.029</w:t>
        </w:r>
      </w:hyperlink>
    </w:p>
    <w:p w14:paraId="0E62C65C" w14:textId="77777777" w:rsidR="00651FF7" w:rsidRDefault="0006478A">
      <w:pPr>
        <w:pStyle w:val="NormalWeb"/>
        <w:spacing w:beforeAutospacing="0" w:afterAutospacing="0" w:line="360" w:lineRule="auto"/>
        <w:jc w:val="both"/>
      </w:pPr>
      <w:r>
        <w:rPr>
          <w:color w:val="212121"/>
          <w:shd w:val="clear" w:color="auto" w:fill="FFFFFF"/>
        </w:rPr>
        <w:t> </w:t>
      </w:r>
    </w:p>
    <w:p w14:paraId="7E605FE2" w14:textId="77777777" w:rsidR="00651FF7" w:rsidRDefault="0006478A">
      <w:pPr>
        <w:pStyle w:val="NormalWeb"/>
        <w:spacing w:beforeAutospacing="0" w:afterAutospacing="0" w:line="360" w:lineRule="auto"/>
        <w:jc w:val="both"/>
      </w:pPr>
      <w:r>
        <w:rPr>
          <w:color w:val="212121"/>
        </w:rPr>
        <w:t xml:space="preserve">26. Yu, H., </w:t>
      </w:r>
      <w:proofErr w:type="spellStart"/>
      <w:r>
        <w:rPr>
          <w:color w:val="212121"/>
        </w:rPr>
        <w:t>Pardoll</w:t>
      </w:r>
      <w:proofErr w:type="spellEnd"/>
      <w:r>
        <w:rPr>
          <w:color w:val="212121"/>
        </w:rPr>
        <w:t xml:space="preserve">, D., &amp; Jove, R. (2009). STATs in cancer inflammation and immunity: a leading role for STAT3. </w:t>
      </w:r>
      <w:r>
        <w:rPr>
          <w:i/>
          <w:iCs/>
          <w:color w:val="212121"/>
        </w:rPr>
        <w:t>Nature reviews. Cancer</w:t>
      </w:r>
      <w:r>
        <w:rPr>
          <w:color w:val="212121"/>
        </w:rPr>
        <w:t xml:space="preserve">, </w:t>
      </w:r>
      <w:r>
        <w:rPr>
          <w:i/>
          <w:iCs/>
          <w:color w:val="212121"/>
        </w:rPr>
        <w:t>9</w:t>
      </w:r>
      <w:r>
        <w:rPr>
          <w:color w:val="212121"/>
        </w:rPr>
        <w:t>(11), 798–809.</w:t>
      </w:r>
      <w:hyperlink r:id="rId38" w:history="1">
        <w:r>
          <w:rPr>
            <w:rStyle w:val="Hyperlink"/>
            <w:color w:val="212121"/>
            <w:u w:val="none"/>
          </w:rPr>
          <w:t xml:space="preserve"> </w:t>
        </w:r>
        <w:r>
          <w:rPr>
            <w:rStyle w:val="Hyperlink"/>
          </w:rPr>
          <w:t>https://doi.org/10.1038/nrc2734</w:t>
        </w:r>
      </w:hyperlink>
    </w:p>
    <w:p w14:paraId="524B553D" w14:textId="77777777" w:rsidR="00651FF7" w:rsidRDefault="0006478A">
      <w:pPr>
        <w:pStyle w:val="NormalWeb"/>
        <w:spacing w:before="240" w:beforeAutospacing="0" w:after="240" w:afterAutospacing="0" w:line="360" w:lineRule="auto"/>
        <w:jc w:val="both"/>
      </w:pPr>
      <w:r>
        <w:rPr>
          <w:color w:val="212121"/>
        </w:rPr>
        <w:t xml:space="preserve">27. McDonald, I. K., &amp; Thornton, J. M. (1994). Satisfying hydrogen bonding potential in proteins. </w:t>
      </w:r>
      <w:r>
        <w:rPr>
          <w:i/>
          <w:iCs/>
          <w:color w:val="212121"/>
        </w:rPr>
        <w:t>Journal of Molecular Biology, 238</w:t>
      </w:r>
      <w:r>
        <w:rPr>
          <w:color w:val="212121"/>
        </w:rPr>
        <w:t>(5), 777–793.</w:t>
      </w:r>
      <w:r>
        <w:rPr>
          <w:color w:val="212121"/>
        </w:rPr>
        <w:br/>
        <w:t xml:space="preserve">28. Jeffrey, G. A. (1997). </w:t>
      </w:r>
      <w:r>
        <w:rPr>
          <w:i/>
          <w:iCs/>
          <w:color w:val="212121"/>
        </w:rPr>
        <w:t xml:space="preserve">An Introduction to </w:t>
      </w:r>
      <w:r>
        <w:rPr>
          <w:i/>
          <w:iCs/>
          <w:color w:val="212121"/>
        </w:rPr>
        <w:t>Hydrogen Bonding</w:t>
      </w:r>
      <w:r>
        <w:rPr>
          <w:color w:val="212121"/>
        </w:rPr>
        <w:t>. Oxford University Press.</w:t>
      </w:r>
    </w:p>
    <w:p w14:paraId="2F11F3FB" w14:textId="77777777" w:rsidR="00651FF7" w:rsidRDefault="0006478A">
      <w:pPr>
        <w:pStyle w:val="NormalWeb"/>
        <w:spacing w:before="240" w:beforeAutospacing="0" w:after="240" w:afterAutospacing="0" w:line="360" w:lineRule="auto"/>
        <w:jc w:val="both"/>
      </w:pPr>
      <w:r>
        <w:rPr>
          <w:color w:val="212121"/>
        </w:rPr>
        <w:t xml:space="preserve">29. </w:t>
      </w:r>
      <w:proofErr w:type="spellStart"/>
      <w:r>
        <w:rPr>
          <w:color w:val="212121"/>
        </w:rPr>
        <w:t>Desiraju</w:t>
      </w:r>
      <w:proofErr w:type="spellEnd"/>
      <w:r>
        <w:rPr>
          <w:color w:val="212121"/>
        </w:rPr>
        <w:t xml:space="preserve">, G. R., &amp; Steiner, T. (2001). </w:t>
      </w:r>
      <w:r>
        <w:rPr>
          <w:i/>
          <w:iCs/>
          <w:color w:val="212121"/>
        </w:rPr>
        <w:t>The Weak Hydrogen Bond</w:t>
      </w:r>
      <w:r>
        <w:rPr>
          <w:color w:val="212121"/>
        </w:rPr>
        <w:t>. Oxford University Press</w:t>
      </w:r>
    </w:p>
    <w:p w14:paraId="5EC9B076" w14:textId="77777777" w:rsidR="00651FF7" w:rsidRDefault="0006478A">
      <w:pPr>
        <w:pStyle w:val="NormalWeb"/>
        <w:spacing w:before="240" w:beforeAutospacing="0" w:after="240" w:afterAutospacing="0" w:line="360" w:lineRule="auto"/>
        <w:jc w:val="both"/>
      </w:pPr>
      <w:r>
        <w:rPr>
          <w:color w:val="212121"/>
        </w:rPr>
        <w:t xml:space="preserve">30. Bissantz, C., Kuhn, B., &amp; Stahl, M. (2010). A medicinal chemist’s guide to molecular interactions. </w:t>
      </w:r>
      <w:r>
        <w:rPr>
          <w:i/>
          <w:iCs/>
          <w:color w:val="212121"/>
        </w:rPr>
        <w:t>Journal of Medicina</w:t>
      </w:r>
      <w:r>
        <w:rPr>
          <w:i/>
          <w:iCs/>
          <w:color w:val="212121"/>
        </w:rPr>
        <w:t>l Chemistry, 53</w:t>
      </w:r>
      <w:r>
        <w:rPr>
          <w:color w:val="212121"/>
        </w:rPr>
        <w:t>(14), 5061–5084.</w:t>
      </w:r>
    </w:p>
    <w:p w14:paraId="7A837542" w14:textId="77777777" w:rsidR="00651FF7" w:rsidRDefault="0006478A">
      <w:pPr>
        <w:pStyle w:val="NormalWeb"/>
        <w:spacing w:before="240" w:beforeAutospacing="0" w:after="240" w:afterAutospacing="0" w:line="360" w:lineRule="auto"/>
        <w:jc w:val="both"/>
      </w:pPr>
      <w:r>
        <w:rPr>
          <w:color w:val="212121"/>
        </w:rPr>
        <w:t xml:space="preserve">31. </w:t>
      </w:r>
      <w:proofErr w:type="spellStart"/>
      <w:r>
        <w:rPr>
          <w:color w:val="212121"/>
        </w:rPr>
        <w:t>Fersht</w:t>
      </w:r>
      <w:proofErr w:type="spellEnd"/>
      <w:r>
        <w:rPr>
          <w:color w:val="212121"/>
        </w:rPr>
        <w:t xml:space="preserve">, A. (1999). </w:t>
      </w:r>
      <w:r>
        <w:rPr>
          <w:i/>
          <w:iCs/>
          <w:color w:val="212121"/>
        </w:rPr>
        <w:t>Structure and Mechanism in Protein Science: A Guide to Enzyme Catalysis and Protein Folding</w:t>
      </w:r>
      <w:r>
        <w:rPr>
          <w:color w:val="212121"/>
        </w:rPr>
        <w:t>. W. H. Freeman.</w:t>
      </w:r>
    </w:p>
    <w:p w14:paraId="20364F61" w14:textId="77777777" w:rsidR="00651FF7" w:rsidRDefault="0006478A">
      <w:pPr>
        <w:pStyle w:val="NormalWeb"/>
        <w:spacing w:before="240" w:beforeAutospacing="0" w:after="240" w:afterAutospacing="0" w:line="360" w:lineRule="auto"/>
        <w:jc w:val="both"/>
      </w:pPr>
      <w:r>
        <w:rPr>
          <w:color w:val="212121"/>
        </w:rPr>
        <w:lastRenderedPageBreak/>
        <w:t>32. Hubbard, R. E., &amp; Haider, M. K. (2010). Hydrogen bonds in proteins: role and strength. In</w:t>
      </w:r>
      <w:r>
        <w:rPr>
          <w:color w:val="212121"/>
        </w:rPr>
        <w:t xml:space="preserve"> </w:t>
      </w:r>
      <w:r>
        <w:rPr>
          <w:i/>
          <w:iCs/>
          <w:color w:val="212121"/>
        </w:rPr>
        <w:t>Encyclopedia of Life Sciences</w:t>
      </w:r>
      <w:r>
        <w:rPr>
          <w:color w:val="212121"/>
        </w:rPr>
        <w:t>. Wiley.</w:t>
      </w:r>
    </w:p>
    <w:p w14:paraId="5E8FED04" w14:textId="77777777" w:rsidR="00651FF7" w:rsidRDefault="0006478A">
      <w:pPr>
        <w:pStyle w:val="NormalWeb"/>
        <w:spacing w:beforeAutospacing="0" w:afterAutospacing="0" w:line="360" w:lineRule="auto"/>
        <w:jc w:val="both"/>
      </w:pPr>
      <w:r>
        <w:rPr>
          <w:color w:val="212121"/>
        </w:rPr>
        <w:t xml:space="preserve">33. Stamos, J., </w:t>
      </w:r>
      <w:proofErr w:type="spellStart"/>
      <w:r>
        <w:rPr>
          <w:color w:val="212121"/>
        </w:rPr>
        <w:t>Sliwkowski</w:t>
      </w:r>
      <w:proofErr w:type="spellEnd"/>
      <w:r>
        <w:rPr>
          <w:color w:val="212121"/>
        </w:rPr>
        <w:t xml:space="preserve">, M. X., &amp; </w:t>
      </w:r>
      <w:proofErr w:type="spellStart"/>
      <w:r>
        <w:rPr>
          <w:color w:val="212121"/>
        </w:rPr>
        <w:t>Eigenbrot</w:t>
      </w:r>
      <w:proofErr w:type="spellEnd"/>
      <w:r>
        <w:rPr>
          <w:color w:val="212121"/>
        </w:rPr>
        <w:t xml:space="preserve">, C. (2002). Structure of the epidermal growth factor receptor kinase domain alone and in complex with a 4-anilinoquinazoline inhibitor. </w:t>
      </w:r>
      <w:r>
        <w:rPr>
          <w:i/>
          <w:iCs/>
          <w:color w:val="212121"/>
        </w:rPr>
        <w:t>Journal of Biological Chemistry, 2</w:t>
      </w:r>
      <w:r>
        <w:rPr>
          <w:i/>
          <w:iCs/>
          <w:color w:val="212121"/>
        </w:rPr>
        <w:t>77</w:t>
      </w:r>
      <w:r>
        <w:rPr>
          <w:color w:val="212121"/>
        </w:rPr>
        <w:t>(48), 46265–46272.</w:t>
      </w:r>
    </w:p>
    <w:p w14:paraId="528495CF" w14:textId="77777777" w:rsidR="00651FF7" w:rsidRDefault="0006478A">
      <w:pPr>
        <w:pStyle w:val="NormalWeb"/>
        <w:spacing w:beforeAutospacing="0" w:afterAutospacing="0" w:line="360" w:lineRule="auto"/>
        <w:jc w:val="both"/>
      </w:pPr>
      <w:r>
        <w:rPr>
          <w:color w:val="212121"/>
        </w:rPr>
        <w:t> </w:t>
      </w:r>
    </w:p>
    <w:p w14:paraId="4373FA7E" w14:textId="77777777" w:rsidR="00651FF7" w:rsidRDefault="0006478A">
      <w:pPr>
        <w:pStyle w:val="NormalWeb"/>
        <w:spacing w:beforeAutospacing="0" w:afterAutospacing="0" w:line="360" w:lineRule="auto"/>
        <w:jc w:val="both"/>
      </w:pPr>
      <w:r>
        <w:rPr>
          <w:color w:val="212121"/>
        </w:rPr>
        <w:t xml:space="preserve">34. Marks, P. A., &amp; Breslow, R. (2007). Dimethyl sulfoxide to </w:t>
      </w:r>
      <w:proofErr w:type="spellStart"/>
      <w:r>
        <w:rPr>
          <w:color w:val="212121"/>
        </w:rPr>
        <w:t>vorinostat</w:t>
      </w:r>
      <w:proofErr w:type="spellEnd"/>
      <w:r>
        <w:rPr>
          <w:color w:val="212121"/>
        </w:rPr>
        <w:t xml:space="preserve">: development of this histone deacetylase inhibitor as an anticancer drug. </w:t>
      </w:r>
      <w:r>
        <w:rPr>
          <w:i/>
          <w:iCs/>
          <w:color w:val="212121"/>
        </w:rPr>
        <w:t>Nature Biotechnology, 25</w:t>
      </w:r>
      <w:r>
        <w:rPr>
          <w:color w:val="212121"/>
        </w:rPr>
        <w:t>(1), 84–90.</w:t>
      </w:r>
    </w:p>
    <w:p w14:paraId="535D9AE0" w14:textId="77777777" w:rsidR="00651FF7" w:rsidRDefault="0006478A">
      <w:pPr>
        <w:pStyle w:val="NormalWeb"/>
        <w:spacing w:before="240" w:beforeAutospacing="0" w:after="240" w:afterAutospacing="0" w:line="360" w:lineRule="auto"/>
        <w:jc w:val="both"/>
        <w:rPr>
          <w:color w:val="000000"/>
          <w:shd w:val="clear" w:color="auto" w:fill="FFFF00"/>
        </w:rPr>
      </w:pPr>
      <w:r>
        <w:rPr>
          <w:color w:val="212121"/>
        </w:rPr>
        <w:t xml:space="preserve">35. Gilmore, T. D., &amp; </w:t>
      </w:r>
      <w:proofErr w:type="spellStart"/>
      <w:r>
        <w:rPr>
          <w:color w:val="212121"/>
        </w:rPr>
        <w:t>Gerondakis</w:t>
      </w:r>
      <w:proofErr w:type="spellEnd"/>
      <w:r>
        <w:rPr>
          <w:color w:val="212121"/>
        </w:rPr>
        <w:t xml:space="preserve">, S. (2011). The c-Rel transcription factor in development and disease. </w:t>
      </w:r>
      <w:r>
        <w:rPr>
          <w:i/>
          <w:iCs/>
          <w:color w:val="212121"/>
        </w:rPr>
        <w:t>Genes &amp; Cancer, 2</w:t>
      </w:r>
      <w:r>
        <w:rPr>
          <w:color w:val="212121"/>
        </w:rPr>
        <w:t>(7), 695–711.</w:t>
      </w:r>
    </w:p>
    <w:sectPr w:rsidR="00651FF7">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6DBDF" w14:textId="77777777" w:rsidR="0006478A" w:rsidRDefault="0006478A" w:rsidP="00D22D60">
      <w:r>
        <w:separator/>
      </w:r>
    </w:p>
  </w:endnote>
  <w:endnote w:type="continuationSeparator" w:id="0">
    <w:p w14:paraId="796C79D9" w14:textId="77777777" w:rsidR="0006478A" w:rsidRDefault="0006478A" w:rsidP="00D22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ABA42" w14:textId="77777777" w:rsidR="00D22D60" w:rsidRDefault="00D22D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3B687" w14:textId="77777777" w:rsidR="00D22D60" w:rsidRDefault="00D22D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A264B" w14:textId="77777777" w:rsidR="00D22D60" w:rsidRDefault="00D22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38A4D" w14:textId="77777777" w:rsidR="0006478A" w:rsidRDefault="0006478A" w:rsidP="00D22D60">
      <w:r>
        <w:separator/>
      </w:r>
    </w:p>
  </w:footnote>
  <w:footnote w:type="continuationSeparator" w:id="0">
    <w:p w14:paraId="04DB209A" w14:textId="77777777" w:rsidR="0006478A" w:rsidRDefault="0006478A" w:rsidP="00D22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AA1E0" w14:textId="3EC1E482" w:rsidR="00D22D60" w:rsidRDefault="00D22D60">
    <w:pPr>
      <w:pStyle w:val="Header"/>
    </w:pPr>
    <w:r>
      <w:rPr>
        <w:noProof/>
      </w:rPr>
      <w:pict w14:anchorId="35815C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895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9EEFC" w14:textId="0E63A5A6" w:rsidR="00D22D60" w:rsidRDefault="00D22D60">
    <w:pPr>
      <w:pStyle w:val="Header"/>
    </w:pPr>
    <w:r>
      <w:rPr>
        <w:noProof/>
      </w:rPr>
      <w:pict w14:anchorId="68408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895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2C4F8" w14:textId="71F13C0B" w:rsidR="00D22D60" w:rsidRDefault="00D22D60">
    <w:pPr>
      <w:pStyle w:val="Header"/>
    </w:pPr>
    <w:r>
      <w:rPr>
        <w:noProof/>
      </w:rPr>
      <w:pict w14:anchorId="68B48F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895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CB0CA"/>
    <w:multiLevelType w:val="singleLevel"/>
    <w:tmpl w:val="166CB0CA"/>
    <w:lvl w:ilvl="0">
      <w:start w:val="1"/>
      <w:numFmt w:val="decimal"/>
      <w:suff w:val="space"/>
      <w:lvlText w:val="%1."/>
      <w:lvlJc w:val="left"/>
    </w:lvl>
  </w:abstractNum>
  <w:abstractNum w:abstractNumId="1" w15:restartNumberingAfterBreak="0">
    <w:nsid w:val="17A62C4C"/>
    <w:multiLevelType w:val="singleLevel"/>
    <w:tmpl w:val="17A62C4C"/>
    <w:lvl w:ilvl="0">
      <w:start w:val="20"/>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4DB6556"/>
    <w:rsid w:val="0006478A"/>
    <w:rsid w:val="00065DA4"/>
    <w:rsid w:val="00096E11"/>
    <w:rsid w:val="00205C54"/>
    <w:rsid w:val="00247DC9"/>
    <w:rsid w:val="003712F0"/>
    <w:rsid w:val="00651FF7"/>
    <w:rsid w:val="00783216"/>
    <w:rsid w:val="00825DC2"/>
    <w:rsid w:val="008A7B9D"/>
    <w:rsid w:val="00B719B1"/>
    <w:rsid w:val="00D22D60"/>
    <w:rsid w:val="00E1546F"/>
    <w:rsid w:val="00EC2EB8"/>
    <w:rsid w:val="00FA1776"/>
    <w:rsid w:val="04DB6556"/>
    <w:rsid w:val="168E458F"/>
    <w:rsid w:val="16B6444E"/>
    <w:rsid w:val="22FE09DE"/>
    <w:rsid w:val="287326EC"/>
    <w:rsid w:val="3F272154"/>
    <w:rsid w:val="41333305"/>
    <w:rsid w:val="41D028AB"/>
    <w:rsid w:val="422B5A9B"/>
    <w:rsid w:val="491621F6"/>
    <w:rsid w:val="4CD32F17"/>
    <w:rsid w:val="50AF1F6D"/>
    <w:rsid w:val="5167648E"/>
    <w:rsid w:val="542E0C2A"/>
    <w:rsid w:val="544D5C5C"/>
    <w:rsid w:val="59882670"/>
    <w:rsid w:val="76474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E9302C"/>
  <w15:docId w15:val="{1C00C71D-4DAB-4155-924F-3FE47F767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keepNext/>
      <w:keepLines/>
      <w:spacing w:before="400" w:after="120"/>
      <w:outlineLvl w:val="0"/>
    </w:pPr>
    <w:rPr>
      <w:rFonts w:ascii="Times New Roman" w:hAnsi="Times New Roman" w:cs="Times New Roman"/>
      <w:b/>
      <w:bCs/>
      <w:sz w:val="24"/>
      <w:szCs w:val="24"/>
    </w:rPr>
  </w:style>
  <w:style w:type="paragraph" w:styleId="Heading2">
    <w:name w:val="heading 2"/>
    <w:basedOn w:val="Normal"/>
    <w:next w:val="Normal"/>
    <w:qFormat/>
    <w:pPr>
      <w:keepNext/>
      <w:keepLines/>
      <w:spacing w:before="360" w:after="120"/>
      <w:jc w:val="both"/>
      <w:outlineLvl w:val="1"/>
    </w:pPr>
    <w:rPr>
      <w:rFonts w:ascii="Times New Roman" w:hAnsi="Times New Roman" w:cs="Times New Roman"/>
      <w:b/>
      <w:bCs/>
      <w:sz w:val="24"/>
      <w:szCs w:val="24"/>
    </w:rPr>
  </w:style>
  <w:style w:type="paragraph" w:styleId="Heading3">
    <w:name w:val="heading 3"/>
    <w:basedOn w:val="Normal"/>
    <w:next w:val="Normal"/>
    <w:qFormat/>
    <w:pPr>
      <w:keepNext/>
      <w:keepLines/>
      <w:spacing w:before="320" w:after="80"/>
      <w:outlineLvl w:val="2"/>
    </w:pPr>
    <w:rPr>
      <w:rFonts w:ascii="Times New Roman" w:hAnsi="Times New Roman" w:cs="Times New Roman"/>
      <w:b/>
      <w:bCs/>
      <w:color w:val="434343"/>
      <w:sz w:val="24"/>
      <w:szCs w:val="24"/>
    </w:rPr>
  </w:style>
  <w:style w:type="paragraph" w:styleId="Heading4">
    <w:name w:val="heading 4"/>
    <w:basedOn w:val="Normal"/>
    <w:next w:val="Normal"/>
    <w:qFormat/>
    <w:pPr>
      <w:keepNext/>
      <w:keepLines/>
      <w:spacing w:before="280" w:after="80"/>
      <w:outlineLvl w:val="3"/>
    </w:pPr>
    <w:rPr>
      <w:rFonts w:ascii="Times New Roman" w:eastAsia="Arial"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paragraph" w:styleId="NormalWeb">
    <w:name w:val="Normal (Web)"/>
    <w:pPr>
      <w:spacing w:beforeAutospacing="1" w:afterAutospacing="1"/>
    </w:pPr>
    <w:rPr>
      <w:sz w:val="24"/>
      <w:szCs w:val="24"/>
      <w:lang w:eastAsia="zh-CN"/>
    </w:rPr>
  </w:style>
  <w:style w:type="character" w:styleId="Strong">
    <w:name w:val="Strong"/>
    <w:basedOn w:val="DefaultParagraphFont"/>
    <w:qFormat/>
    <w:rPr>
      <w:b/>
      <w:bCs/>
    </w:rPr>
  </w:style>
  <w:style w:type="table" w:customStyle="1" w:styleId="Style11">
    <w:name w:val="_Style 11"/>
    <w:basedOn w:val="TableNormal0"/>
    <w:qFormat/>
    <w:tblPr>
      <w:tblCellMar>
        <w:top w:w="0" w:type="dxa"/>
        <w:left w:w="0" w:type="dxa"/>
        <w:bottom w:w="0" w:type="dxa"/>
        <w:right w:w="0" w:type="dxa"/>
      </w:tblCellMar>
    </w:tblPr>
  </w:style>
  <w:style w:type="table" w:customStyle="1" w:styleId="TableNormal0">
    <w:name w:val="TableNormal"/>
    <w:qFormat/>
    <w:tblPr>
      <w:tblCellMar>
        <w:top w:w="100" w:type="dxa"/>
        <w:left w:w="100" w:type="dxa"/>
        <w:bottom w:w="100" w:type="dxa"/>
        <w:right w:w="100" w:type="dxa"/>
      </w:tblCellMar>
    </w:tblPr>
  </w:style>
  <w:style w:type="table" w:customStyle="1" w:styleId="Style12">
    <w:name w:val="_Style 12"/>
    <w:basedOn w:val="TableNormal0"/>
    <w:qFormat/>
    <w:tblPr>
      <w:tblCellMar>
        <w:top w:w="0" w:type="dxa"/>
        <w:left w:w="0" w:type="dxa"/>
        <w:bottom w:w="0" w:type="dxa"/>
        <w:right w:w="0" w:type="dxa"/>
      </w:tblCellMar>
    </w:tblPr>
  </w:style>
  <w:style w:type="table" w:customStyle="1" w:styleId="Style13">
    <w:name w:val="_Style 13"/>
    <w:basedOn w:val="TableNormal0"/>
    <w:qFormat/>
    <w:tblPr>
      <w:tblCellMar>
        <w:top w:w="0" w:type="dxa"/>
        <w:left w:w="0" w:type="dxa"/>
        <w:bottom w:w="0" w:type="dxa"/>
        <w:right w:w="0" w:type="dxa"/>
      </w:tblCellMar>
    </w:tblPr>
  </w:style>
  <w:style w:type="table" w:customStyle="1" w:styleId="Style10">
    <w:name w:val="_Style 10"/>
    <w:basedOn w:val="TableNormal0"/>
    <w:qFormat/>
    <w:tblPr/>
  </w:style>
  <w:style w:type="table" w:customStyle="1" w:styleId="Style14">
    <w:name w:val="_Style 14"/>
    <w:basedOn w:val="TableNormal0"/>
    <w:qFormat/>
    <w:tblPr/>
  </w:style>
  <w:style w:type="table" w:customStyle="1" w:styleId="Style15">
    <w:name w:val="_Style 15"/>
    <w:basedOn w:val="TableNormal0"/>
    <w:qFormat/>
    <w:tblPr/>
  </w:style>
  <w:style w:type="paragraph" w:styleId="ListParagraph">
    <w:name w:val="List Paragraph"/>
    <w:basedOn w:val="Normal"/>
    <w:uiPriority w:val="1"/>
    <w:qFormat/>
    <w:pPr>
      <w:ind w:left="2659" w:hanging="420"/>
    </w:pPr>
    <w:rPr>
      <w:rFonts w:ascii="Times New Roman" w:eastAsia="Times New Roman" w:hAnsi="Times New Roman" w:cs="Times New Roman"/>
      <w:lang w:eastAsia="en-US"/>
    </w:rPr>
  </w:style>
  <w:style w:type="character" w:styleId="UnresolvedMention">
    <w:name w:val="Unresolved Mention"/>
    <w:basedOn w:val="DefaultParagraphFont"/>
    <w:uiPriority w:val="99"/>
    <w:semiHidden/>
    <w:unhideWhenUsed/>
    <w:rsid w:val="00096E11"/>
    <w:rPr>
      <w:color w:val="605E5C"/>
      <w:shd w:val="clear" w:color="auto" w:fill="E1DFDD"/>
    </w:rPr>
  </w:style>
  <w:style w:type="paragraph" w:styleId="Header">
    <w:name w:val="header"/>
    <w:basedOn w:val="Normal"/>
    <w:link w:val="HeaderChar"/>
    <w:rsid w:val="00D22D60"/>
    <w:pPr>
      <w:tabs>
        <w:tab w:val="center" w:pos="4680"/>
        <w:tab w:val="right" w:pos="9360"/>
      </w:tabs>
    </w:pPr>
  </w:style>
  <w:style w:type="character" w:customStyle="1" w:styleId="HeaderChar">
    <w:name w:val="Header Char"/>
    <w:basedOn w:val="DefaultParagraphFont"/>
    <w:link w:val="Header"/>
    <w:rsid w:val="00D22D60"/>
    <w:rPr>
      <w:rFonts w:asciiTheme="minorHAnsi" w:eastAsiaTheme="minorEastAsia" w:hAnsiTheme="minorHAnsi" w:cstheme="minorBidi"/>
      <w:lang w:eastAsia="zh-CN"/>
    </w:rPr>
  </w:style>
  <w:style w:type="paragraph" w:styleId="Footer">
    <w:name w:val="footer"/>
    <w:basedOn w:val="Normal"/>
    <w:link w:val="FooterChar"/>
    <w:rsid w:val="00D22D60"/>
    <w:pPr>
      <w:tabs>
        <w:tab w:val="center" w:pos="4680"/>
        <w:tab w:val="right" w:pos="9360"/>
      </w:tabs>
    </w:pPr>
  </w:style>
  <w:style w:type="character" w:customStyle="1" w:styleId="FooterChar">
    <w:name w:val="Footer Char"/>
    <w:basedOn w:val="DefaultParagraphFont"/>
    <w:link w:val="Footer"/>
    <w:rsid w:val="00D22D60"/>
    <w:rPr>
      <w:rFonts w:asciiTheme="minorHAnsi" w:eastAsiaTheme="minorEastAsia" w:hAnsiTheme="minorHAnsi" w:cstheme="minorBid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swissadme.ch" TargetMode="External"/><Relationship Id="rId18" Type="http://schemas.openxmlformats.org/officeDocument/2006/relationships/image" Target="media/image3.png"/><Relationship Id="rId26" Type="http://schemas.openxmlformats.org/officeDocument/2006/relationships/hyperlink" Target="https://doi.org/10.30574/wjarr.2025.25.2.0332"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s://doi.org/10.1016/j.ddtec.2004.11.007"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yperlink" Target="https://gco.iarc.fr/" TargetMode="External"/><Relationship Id="rId33" Type="http://schemas.openxmlformats.org/officeDocument/2006/relationships/hyperlink" Target="https://doi.org/10.3390/molecules200713384" TargetMode="External"/><Relationship Id="rId38" Type="http://schemas.openxmlformats.org/officeDocument/2006/relationships/hyperlink" Target="https://doi.org/10.1038/nrc2734"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doi.org/10.1186/s12985-018-102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5406/jmen.2022.10.00367" TargetMode="External"/><Relationship Id="rId32" Type="http://schemas.openxmlformats.org/officeDocument/2006/relationships/hyperlink" Target="https://doi.org/10.1021/acs.jmedchem.5b00104" TargetMode="External"/><Relationship Id="rId37" Type="http://schemas.openxmlformats.org/officeDocument/2006/relationships/hyperlink" Target="https://doi.org/10.1016/j.cell.2017.07.029"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mc.ncbi.nlm.nih.gov/articles/PMC9645566/" TargetMode="External"/><Relationship Id="rId23" Type="http://schemas.openxmlformats.org/officeDocument/2006/relationships/hyperlink" Target="https://doi.org/10.1021/acs.jnatprod.9b01285" TargetMode="External"/><Relationship Id="rId28" Type="http://schemas.openxmlformats.org/officeDocument/2006/relationships/hyperlink" Target="https://doi.org/10.1177/10732748241298331" TargetMode="External"/><Relationship Id="rId36" Type="http://schemas.openxmlformats.org/officeDocument/2006/relationships/hyperlink" Target="https://doi.org/10.1038/cdd.2017.186" TargetMode="Externa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hyperlink" Target="https://doi.org/10.1016/j.joim.2020.12.00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tox.charite.de/protox3/index.php?site=compound_input" TargetMode="External"/><Relationship Id="rId22" Type="http://schemas.openxmlformats.org/officeDocument/2006/relationships/hyperlink" Target="https://doi.org/10.3322/caac.21660" TargetMode="External"/><Relationship Id="rId27" Type="http://schemas.openxmlformats.org/officeDocument/2006/relationships/hyperlink" Target="https://doi.org/10.30574/gscbps.2023.25.3.0517" TargetMode="External"/><Relationship Id="rId30" Type="http://schemas.openxmlformats.org/officeDocument/2006/relationships/hyperlink" Target="https://doi.org/10.1016/j.curtheres.2013.04.001" TargetMode="External"/><Relationship Id="rId35" Type="http://schemas.openxmlformats.org/officeDocument/2006/relationships/hyperlink" Target="https://doi.org/10.1038/srep42717" TargetMode="Externa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30</Pages>
  <Words>5778</Words>
  <Characters>32940</Characters>
  <Application>Microsoft Office Word</Application>
  <DocSecurity>0</DocSecurity>
  <Lines>274</Lines>
  <Paragraphs>77</Paragraphs>
  <ScaleCrop>false</ScaleCrop>
  <Company/>
  <LinksUpToDate>false</LinksUpToDate>
  <CharactersWithSpaces>38641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nzube ekpunobi</dc:creator>
  <cp:lastModifiedBy>SDI 1084</cp:lastModifiedBy>
  <cp:revision>18</cp:revision>
  <dcterms:created xsi:type="dcterms:W3CDTF">2025-09-24T10:20:00Z</dcterms:created>
  <dcterms:modified xsi:type="dcterms:W3CDTF">2025-10-09T08:52:00Z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AAFC2A3FC01747D3ABE41641FCE006C0_11</vt:lpwstr>
  </property>
</Properties>
</file>