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594D6" w14:textId="77777777" w:rsidR="000350D5" w:rsidRDefault="000350D5" w:rsidP="00652131">
      <w:pPr>
        <w:spacing w:after="0" w:line="360" w:lineRule="auto"/>
        <w:jc w:val="center"/>
        <w:rPr>
          <w:rFonts w:ascii="Times New Roman" w:hAnsi="Times New Roman" w:cs="Times New Roman"/>
          <w:b/>
          <w:bCs/>
          <w:sz w:val="28"/>
          <w:szCs w:val="28"/>
        </w:rPr>
      </w:pPr>
      <w:r w:rsidRPr="000350D5">
        <w:rPr>
          <w:rFonts w:ascii="Times New Roman" w:hAnsi="Times New Roman" w:cs="Times New Roman"/>
          <w:b/>
          <w:bCs/>
          <w:sz w:val="28"/>
          <w:szCs w:val="28"/>
        </w:rPr>
        <w:t>Review Article</w:t>
      </w:r>
    </w:p>
    <w:p w14:paraId="7E29FFD2" w14:textId="4E30EB74" w:rsidR="005D4800" w:rsidRDefault="00476613" w:rsidP="00652131">
      <w:pPr>
        <w:spacing w:after="0" w:line="360" w:lineRule="auto"/>
        <w:jc w:val="center"/>
        <w:rPr>
          <w:rFonts w:ascii="Times New Roman" w:hAnsi="Times New Roman" w:cs="Times New Roman"/>
          <w:b/>
          <w:bCs/>
          <w:sz w:val="28"/>
          <w:szCs w:val="28"/>
        </w:rPr>
      </w:pPr>
      <w:r w:rsidRPr="00476613">
        <w:rPr>
          <w:rFonts w:ascii="Times New Roman" w:hAnsi="Times New Roman" w:cs="Times New Roman"/>
          <w:b/>
          <w:bCs/>
          <w:sz w:val="28"/>
          <w:szCs w:val="28"/>
        </w:rPr>
        <w:t>AN UPDATED REVIEW ON DIABETIC NEPHROPATHY</w:t>
      </w:r>
    </w:p>
    <w:p w14:paraId="01D464C3" w14:textId="77777777" w:rsidR="007A6ED8" w:rsidRDefault="007A6ED8" w:rsidP="00652131">
      <w:pPr>
        <w:spacing w:after="0" w:line="360" w:lineRule="auto"/>
        <w:jc w:val="both"/>
        <w:rPr>
          <w:rFonts w:ascii="Times New Roman" w:hAnsi="Times New Roman" w:cs="Times New Roman"/>
          <w:b/>
          <w:bCs/>
        </w:rPr>
      </w:pPr>
      <w:bookmarkStart w:id="0" w:name="_GoBack"/>
      <w:bookmarkEnd w:id="0"/>
    </w:p>
    <w:p w14:paraId="0BD58D65" w14:textId="77777777" w:rsidR="007A6ED8" w:rsidRDefault="007A6ED8" w:rsidP="00652131">
      <w:pPr>
        <w:spacing w:after="0" w:line="360" w:lineRule="auto"/>
        <w:jc w:val="both"/>
        <w:rPr>
          <w:rFonts w:ascii="Times New Roman" w:hAnsi="Times New Roman" w:cs="Times New Roman"/>
          <w:b/>
          <w:bCs/>
        </w:rPr>
      </w:pPr>
    </w:p>
    <w:p w14:paraId="59F4DE63" w14:textId="1A9E00DC" w:rsidR="00476613" w:rsidRDefault="00476613" w:rsidP="00652131">
      <w:pPr>
        <w:spacing w:after="0" w:line="360" w:lineRule="auto"/>
        <w:jc w:val="both"/>
        <w:rPr>
          <w:rFonts w:ascii="Times New Roman" w:hAnsi="Times New Roman" w:cs="Times New Roman"/>
          <w:b/>
          <w:bCs/>
        </w:rPr>
      </w:pPr>
      <w:r>
        <w:rPr>
          <w:rFonts w:ascii="Times New Roman" w:hAnsi="Times New Roman" w:cs="Times New Roman"/>
          <w:b/>
          <w:bCs/>
        </w:rPr>
        <w:t xml:space="preserve">Abstract: </w:t>
      </w:r>
    </w:p>
    <w:p w14:paraId="6629AD58" w14:textId="67D9A4C2" w:rsidR="00476613" w:rsidRPr="00476613" w:rsidRDefault="00476613" w:rsidP="00652131">
      <w:pPr>
        <w:spacing w:after="0" w:line="360" w:lineRule="auto"/>
        <w:jc w:val="both"/>
        <w:rPr>
          <w:rFonts w:ascii="Times New Roman" w:hAnsi="Times New Roman" w:cs="Times New Roman"/>
        </w:rPr>
      </w:pPr>
      <w:r>
        <w:rPr>
          <w:rFonts w:ascii="Times New Roman" w:hAnsi="Times New Roman" w:cs="Times New Roman"/>
        </w:rPr>
        <w:t xml:space="preserve">                    </w:t>
      </w:r>
      <w:r w:rsidRPr="00476613">
        <w:rPr>
          <w:rFonts w:ascii="Times New Roman" w:hAnsi="Times New Roman" w:cs="Times New Roman"/>
        </w:rPr>
        <w:t xml:space="preserve">Diabetic nephropathy (DN), a common and severe complication of diabetes, is the leading cause of end-stage kidney disease (ESKD). The present review is to explore the underlying mechanisms, molecular </w:t>
      </w:r>
      <w:proofErr w:type="spellStart"/>
      <w:r w:rsidRPr="00476613">
        <w:rPr>
          <w:rFonts w:ascii="Times New Roman" w:hAnsi="Times New Roman" w:cs="Times New Roman"/>
        </w:rPr>
        <w:t>signaling</w:t>
      </w:r>
      <w:proofErr w:type="spellEnd"/>
      <w:r w:rsidRPr="00476613">
        <w:rPr>
          <w:rFonts w:ascii="Times New Roman" w:hAnsi="Times New Roman" w:cs="Times New Roman"/>
        </w:rPr>
        <w:t xml:space="preserve"> pathways, biomarkers, therapeutic targets, and interventional strategies involved in DN. Chronic </w:t>
      </w:r>
      <w:proofErr w:type="spellStart"/>
      <w:r w:rsidRPr="00476613">
        <w:rPr>
          <w:rFonts w:ascii="Times New Roman" w:hAnsi="Times New Roman" w:cs="Times New Roman"/>
        </w:rPr>
        <w:t>hyperglycemia</w:t>
      </w:r>
      <w:proofErr w:type="spellEnd"/>
      <w:r w:rsidRPr="00476613">
        <w:rPr>
          <w:rFonts w:ascii="Times New Roman" w:hAnsi="Times New Roman" w:cs="Times New Roman"/>
        </w:rPr>
        <w:t xml:space="preserve"> induces metabolic and hemodynamic disturbances that promote oxidative stress, </w:t>
      </w:r>
      <w:r w:rsidR="00CD4729">
        <w:rPr>
          <w:rFonts w:ascii="Times New Roman" w:hAnsi="Times New Roman" w:cs="Times New Roman"/>
        </w:rPr>
        <w:t>inflammation and fibrosis</w:t>
      </w:r>
      <w:r w:rsidRPr="00476613">
        <w:rPr>
          <w:rFonts w:ascii="Times New Roman" w:hAnsi="Times New Roman" w:cs="Times New Roman"/>
        </w:rPr>
        <w:t xml:space="preserve"> through key </w:t>
      </w:r>
      <w:r w:rsidR="00CD4729">
        <w:rPr>
          <w:rFonts w:ascii="Times New Roman" w:hAnsi="Times New Roman" w:cs="Times New Roman"/>
        </w:rPr>
        <w:t>pathways</w:t>
      </w:r>
      <w:r w:rsidRPr="00476613">
        <w:rPr>
          <w:rFonts w:ascii="Times New Roman" w:hAnsi="Times New Roman" w:cs="Times New Roman"/>
        </w:rPr>
        <w:t xml:space="preserve"> such as the polyol pathway, advanced glycation end-products (AGEs), protein kinase C (PKC) and the renin-angiotensin-aldosterone system (RAAS). Biomarkers including albuminuria, serum creatinine, TGF-β, IL-6, and KIM-1 are valuable for early diagnosis and disease monitoring. Targeting ANG-II, AGE</w:t>
      </w:r>
      <w:r w:rsidR="00CD4729">
        <w:rPr>
          <w:rFonts w:ascii="Times New Roman" w:hAnsi="Times New Roman" w:cs="Times New Roman"/>
        </w:rPr>
        <w:t>’</w:t>
      </w:r>
      <w:r w:rsidRPr="00476613">
        <w:rPr>
          <w:rFonts w:ascii="Times New Roman" w:hAnsi="Times New Roman" w:cs="Times New Roman"/>
        </w:rPr>
        <w:t xml:space="preserve">s and PKC forms </w:t>
      </w:r>
      <w:r w:rsidR="00CD4729">
        <w:rPr>
          <w:rFonts w:ascii="Times New Roman" w:hAnsi="Times New Roman" w:cs="Times New Roman"/>
        </w:rPr>
        <w:t>the</w:t>
      </w:r>
      <w:r w:rsidRPr="00476613">
        <w:rPr>
          <w:rFonts w:ascii="Times New Roman" w:hAnsi="Times New Roman" w:cs="Times New Roman"/>
        </w:rPr>
        <w:t xml:space="preserve"> basis </w:t>
      </w:r>
      <w:r w:rsidR="00CD4729">
        <w:rPr>
          <w:rFonts w:ascii="Times New Roman" w:hAnsi="Times New Roman" w:cs="Times New Roman"/>
        </w:rPr>
        <w:t>for multiple</w:t>
      </w:r>
      <w:r w:rsidRPr="00476613">
        <w:rPr>
          <w:rFonts w:ascii="Times New Roman" w:hAnsi="Times New Roman" w:cs="Times New Roman"/>
        </w:rPr>
        <w:t xml:space="preserve"> treatment strategies</w:t>
      </w:r>
      <w:r w:rsidR="00CD4729">
        <w:rPr>
          <w:rFonts w:ascii="Times New Roman" w:hAnsi="Times New Roman" w:cs="Times New Roman"/>
        </w:rPr>
        <w:t xml:space="preserve"> along</w:t>
      </w:r>
      <w:r w:rsidRPr="00476613">
        <w:rPr>
          <w:rFonts w:ascii="Times New Roman" w:hAnsi="Times New Roman" w:cs="Times New Roman"/>
        </w:rPr>
        <w:t xml:space="preserve"> with combination therapies</w:t>
      </w:r>
      <w:r w:rsidR="00CB5B3F">
        <w:rPr>
          <w:rFonts w:ascii="Times New Roman" w:hAnsi="Times New Roman" w:cs="Times New Roman"/>
        </w:rPr>
        <w:t xml:space="preserve"> </w:t>
      </w:r>
      <w:r w:rsidRPr="00476613">
        <w:rPr>
          <w:rFonts w:ascii="Times New Roman" w:hAnsi="Times New Roman" w:cs="Times New Roman"/>
        </w:rPr>
        <w:t>particularly sodium-glucose cotransporter-2 (SGLT2) inhibitors and RAAS blockers</w:t>
      </w:r>
      <w:r>
        <w:rPr>
          <w:rFonts w:ascii="Times New Roman" w:hAnsi="Times New Roman" w:cs="Times New Roman"/>
        </w:rPr>
        <w:t xml:space="preserve"> </w:t>
      </w:r>
      <w:r w:rsidRPr="00476613">
        <w:rPr>
          <w:rFonts w:ascii="Times New Roman" w:hAnsi="Times New Roman" w:cs="Times New Roman"/>
        </w:rPr>
        <w:t>offering superior outcomes. Additionally, emerging interventions like dietary modulation and cell-based therapies hold therapeutic potential. A multifaceted, early-intervention approach is crucial for effective DN management and slowing disease progression.</w:t>
      </w:r>
    </w:p>
    <w:p w14:paraId="67EBFF21" w14:textId="79776B0F" w:rsidR="00476613" w:rsidRPr="00476613" w:rsidRDefault="00476613" w:rsidP="00652131">
      <w:pPr>
        <w:spacing w:after="0" w:line="360" w:lineRule="auto"/>
        <w:jc w:val="both"/>
        <w:rPr>
          <w:rFonts w:ascii="Times New Roman" w:hAnsi="Times New Roman" w:cs="Times New Roman"/>
          <w:b/>
          <w:bCs/>
        </w:rPr>
      </w:pPr>
      <w:r w:rsidRPr="00476613">
        <w:rPr>
          <w:rFonts w:ascii="Times New Roman" w:hAnsi="Times New Roman" w:cs="Times New Roman"/>
          <w:b/>
          <w:bCs/>
        </w:rPr>
        <w:t>Keywords:</w:t>
      </w:r>
      <w:r w:rsidRPr="00476613">
        <w:rPr>
          <w:rFonts w:ascii="Times New Roman" w:hAnsi="Times New Roman" w:cs="Times New Roman"/>
          <w:b/>
          <w:bCs/>
        </w:rPr>
        <w:br/>
      </w:r>
      <w:r>
        <w:rPr>
          <w:rFonts w:ascii="Times New Roman" w:hAnsi="Times New Roman" w:cs="Times New Roman"/>
        </w:rPr>
        <w:t xml:space="preserve">           </w:t>
      </w:r>
      <w:r w:rsidRPr="00476613">
        <w:rPr>
          <w:rFonts w:ascii="Times New Roman" w:hAnsi="Times New Roman" w:cs="Times New Roman"/>
        </w:rPr>
        <w:t>Diabetic nephropathy, biomarkers, molecular pathways, RAAS, SGLT2 inhibitors, therapeutic targets, cell therapy</w:t>
      </w:r>
    </w:p>
    <w:p w14:paraId="659E48B6" w14:textId="77777777" w:rsidR="007A6ED8" w:rsidRDefault="007A6ED8" w:rsidP="00652131">
      <w:pPr>
        <w:spacing w:after="0" w:line="360" w:lineRule="auto"/>
        <w:jc w:val="both"/>
        <w:rPr>
          <w:rFonts w:ascii="Times New Roman" w:hAnsi="Times New Roman" w:cs="Times New Roman"/>
          <w:b/>
          <w:bCs/>
        </w:rPr>
      </w:pPr>
    </w:p>
    <w:p w14:paraId="63A77FFC" w14:textId="4EAD3385" w:rsidR="00476613" w:rsidRDefault="00476613" w:rsidP="00652131">
      <w:pPr>
        <w:spacing w:after="0" w:line="360" w:lineRule="auto"/>
        <w:jc w:val="both"/>
        <w:rPr>
          <w:rFonts w:ascii="Times New Roman" w:hAnsi="Times New Roman" w:cs="Times New Roman"/>
          <w:b/>
          <w:bCs/>
        </w:rPr>
      </w:pPr>
      <w:r>
        <w:rPr>
          <w:rFonts w:ascii="Times New Roman" w:hAnsi="Times New Roman" w:cs="Times New Roman"/>
          <w:b/>
          <w:bCs/>
        </w:rPr>
        <w:t>Introduction:</w:t>
      </w:r>
    </w:p>
    <w:p w14:paraId="76697C33" w14:textId="3397526A" w:rsidR="00476613" w:rsidRPr="00476613" w:rsidRDefault="00476613" w:rsidP="00652131">
      <w:pPr>
        <w:spacing w:after="0" w:line="360" w:lineRule="auto"/>
        <w:jc w:val="both"/>
        <w:rPr>
          <w:rFonts w:ascii="Times New Roman" w:hAnsi="Times New Roman" w:cs="Times New Roman"/>
        </w:rPr>
      </w:pPr>
      <w:r w:rsidRPr="00476613">
        <w:rPr>
          <w:rFonts w:ascii="Times New Roman" w:hAnsi="Times New Roman" w:cs="Times New Roman"/>
        </w:rPr>
        <w:t xml:space="preserve">Diabetic nephropathy (DN), a major microvascular complication of diabetes mellitus, significantly contributes to the global burden of chronic kidney disease (CKD) and end-stage renal disease (ESRD). It is characterized by elevated urinary albumin excretion and a progressive decline in glomerular filtration rate (GFR) [1]. The onset and </w:t>
      </w:r>
      <w:r w:rsidR="000C55EA" w:rsidRPr="00476613">
        <w:rPr>
          <w:rFonts w:ascii="Times New Roman" w:hAnsi="Times New Roman" w:cs="Times New Roman"/>
        </w:rPr>
        <w:t>development</w:t>
      </w:r>
      <w:r w:rsidRPr="00476613">
        <w:rPr>
          <w:rFonts w:ascii="Times New Roman" w:hAnsi="Times New Roman" w:cs="Times New Roman"/>
        </w:rPr>
        <w:t xml:space="preserve"> of DN result</w:t>
      </w:r>
      <w:r w:rsidR="000C55EA">
        <w:rPr>
          <w:rFonts w:ascii="Times New Roman" w:hAnsi="Times New Roman" w:cs="Times New Roman"/>
        </w:rPr>
        <w:t>s</w:t>
      </w:r>
      <w:r w:rsidRPr="00476613">
        <w:rPr>
          <w:rFonts w:ascii="Times New Roman" w:hAnsi="Times New Roman" w:cs="Times New Roman"/>
        </w:rPr>
        <w:t xml:space="preserve"> from a complex interplay between genetic predisposition and environmental factors [2]. Histopathological changes associated with DN include</w:t>
      </w:r>
      <w:r w:rsidR="000C55EA">
        <w:rPr>
          <w:rFonts w:ascii="Times New Roman" w:hAnsi="Times New Roman" w:cs="Times New Roman"/>
        </w:rPr>
        <w:t xml:space="preserve"> thickening of the glomerular</w:t>
      </w:r>
      <w:r w:rsidRPr="00476613">
        <w:rPr>
          <w:rFonts w:ascii="Times New Roman" w:hAnsi="Times New Roman" w:cs="Times New Roman"/>
        </w:rPr>
        <w:t xml:space="preserve"> and tubular basement membranes, mesangial matrix </w:t>
      </w:r>
      <w:r w:rsidR="000C55EA" w:rsidRPr="00476613">
        <w:rPr>
          <w:rFonts w:ascii="Times New Roman" w:hAnsi="Times New Roman" w:cs="Times New Roman"/>
        </w:rPr>
        <w:t>growth</w:t>
      </w:r>
      <w:r w:rsidRPr="00476613">
        <w:rPr>
          <w:rFonts w:ascii="Times New Roman" w:hAnsi="Times New Roman" w:cs="Times New Roman"/>
        </w:rPr>
        <w:t>, podocyte injury and loss, tubulointerstitial fibrosis, and arteriolar hyalinosis. Additionally, DN is strongly linked with an increased risk of cardiovascular disease, which is a leading cause of mortality among affected individuals [3].</w:t>
      </w:r>
    </w:p>
    <w:p w14:paraId="47CEAB2F" w14:textId="6C6589EA" w:rsidR="00476613" w:rsidRPr="00476613" w:rsidRDefault="00476613" w:rsidP="00652131">
      <w:pPr>
        <w:spacing w:after="0" w:line="360" w:lineRule="auto"/>
        <w:jc w:val="both"/>
        <w:rPr>
          <w:rFonts w:ascii="Times New Roman" w:hAnsi="Times New Roman" w:cs="Times New Roman"/>
        </w:rPr>
      </w:pPr>
      <w:r w:rsidRPr="00476613">
        <w:rPr>
          <w:rFonts w:ascii="Times New Roman" w:hAnsi="Times New Roman" w:cs="Times New Roman"/>
        </w:rPr>
        <w:lastRenderedPageBreak/>
        <w:t xml:space="preserve">Epidemiologically, DN affects approximately one-third of individuals </w:t>
      </w:r>
      <w:r w:rsidR="000C55EA">
        <w:rPr>
          <w:rFonts w:ascii="Times New Roman" w:hAnsi="Times New Roman" w:cs="Times New Roman"/>
        </w:rPr>
        <w:t xml:space="preserve">who are suffering </w:t>
      </w:r>
      <w:r w:rsidRPr="00476613">
        <w:rPr>
          <w:rFonts w:ascii="Times New Roman" w:hAnsi="Times New Roman" w:cs="Times New Roman"/>
        </w:rPr>
        <w:t>with type 1 diabetes mellitus and about 25% of those with type 2 diabetes [4]. The global prevalence of diabetes is expected to rise from 6.4% (285 million) in 2010 to 7.7% (439 million) by 2030, with developing countries accounting for the majority (approximately 69%) of this increase [5</w:t>
      </w:r>
      <w:r>
        <w:rPr>
          <w:rFonts w:ascii="Times New Roman" w:hAnsi="Times New Roman" w:cs="Times New Roman"/>
        </w:rPr>
        <w:t>,6</w:t>
      </w:r>
      <w:r w:rsidRPr="00476613">
        <w:rPr>
          <w:rFonts w:ascii="Times New Roman" w:hAnsi="Times New Roman" w:cs="Times New Roman"/>
        </w:rPr>
        <w:t xml:space="preserve">]. </w:t>
      </w:r>
    </w:p>
    <w:p w14:paraId="5E8A1140" w14:textId="28F242A1" w:rsidR="00476613" w:rsidRPr="00476613" w:rsidRDefault="00476613" w:rsidP="00652131">
      <w:pPr>
        <w:spacing w:after="0" w:line="360" w:lineRule="auto"/>
        <w:jc w:val="both"/>
        <w:rPr>
          <w:rFonts w:ascii="Times New Roman" w:hAnsi="Times New Roman" w:cs="Times New Roman"/>
        </w:rPr>
      </w:pPr>
      <w:r w:rsidRPr="00476613">
        <w:rPr>
          <w:rFonts w:ascii="Times New Roman" w:hAnsi="Times New Roman" w:cs="Times New Roman"/>
        </w:rPr>
        <w:t xml:space="preserve">At the molecular level, chronic </w:t>
      </w:r>
      <w:proofErr w:type="spellStart"/>
      <w:r w:rsidRPr="00476613">
        <w:rPr>
          <w:rFonts w:ascii="Times New Roman" w:hAnsi="Times New Roman" w:cs="Times New Roman"/>
        </w:rPr>
        <w:t>hyperglycemia</w:t>
      </w:r>
      <w:proofErr w:type="spellEnd"/>
      <w:r w:rsidRPr="00476613">
        <w:rPr>
          <w:rFonts w:ascii="Times New Roman" w:hAnsi="Times New Roman" w:cs="Times New Roman"/>
        </w:rPr>
        <w:t xml:space="preserve"> initiates several intracellular pathways, including increased activity of the polyol and hexosamine pathways, formation of advanced glycation end-products (AGEs), generation of reactive oxygen species (ROS)</w:t>
      </w:r>
      <w:r w:rsidR="00E271FE">
        <w:rPr>
          <w:rFonts w:ascii="Times New Roman" w:hAnsi="Times New Roman" w:cs="Times New Roman"/>
        </w:rPr>
        <w:t xml:space="preserve"> and activation of protein kinase C (PKC)</w:t>
      </w:r>
      <w:r w:rsidRPr="00476613">
        <w:rPr>
          <w:rFonts w:ascii="Times New Roman" w:hAnsi="Times New Roman" w:cs="Times New Roman"/>
        </w:rPr>
        <w:t xml:space="preserve">. These changes </w:t>
      </w:r>
      <w:r w:rsidR="00E271FE">
        <w:rPr>
          <w:rFonts w:ascii="Times New Roman" w:hAnsi="Times New Roman" w:cs="Times New Roman"/>
        </w:rPr>
        <w:t>get</w:t>
      </w:r>
      <w:r w:rsidRPr="00476613">
        <w:rPr>
          <w:rFonts w:ascii="Times New Roman" w:hAnsi="Times New Roman" w:cs="Times New Roman"/>
        </w:rPr>
        <w:t xml:space="preserve"> stimulate</w:t>
      </w:r>
      <w:r w:rsidR="00E271FE">
        <w:rPr>
          <w:rFonts w:ascii="Times New Roman" w:hAnsi="Times New Roman" w:cs="Times New Roman"/>
        </w:rPr>
        <w:t>d by</w:t>
      </w:r>
      <w:r w:rsidRPr="00476613">
        <w:rPr>
          <w:rFonts w:ascii="Times New Roman" w:hAnsi="Times New Roman" w:cs="Times New Roman"/>
        </w:rPr>
        <w:t xml:space="preserve"> </w:t>
      </w:r>
      <w:r w:rsidR="00E271FE" w:rsidRPr="00476613">
        <w:rPr>
          <w:rFonts w:ascii="Times New Roman" w:hAnsi="Times New Roman" w:cs="Times New Roman"/>
        </w:rPr>
        <w:t>altering</w:t>
      </w:r>
      <w:r w:rsidRPr="00476613">
        <w:rPr>
          <w:rFonts w:ascii="Times New Roman" w:hAnsi="Times New Roman" w:cs="Times New Roman"/>
        </w:rPr>
        <w:t xml:space="preserve"> growth factor-β (TGF-β), mitogen-activated protein kinase (MAPK), G-protein </w:t>
      </w:r>
      <w:proofErr w:type="spellStart"/>
      <w:r w:rsidRPr="00476613">
        <w:rPr>
          <w:rFonts w:ascii="Times New Roman" w:hAnsi="Times New Roman" w:cs="Times New Roman"/>
        </w:rPr>
        <w:t>signaling</w:t>
      </w:r>
      <w:proofErr w:type="spellEnd"/>
      <w:r w:rsidRPr="00476613">
        <w:rPr>
          <w:rFonts w:ascii="Times New Roman" w:hAnsi="Times New Roman" w:cs="Times New Roman"/>
        </w:rPr>
        <w:t>, the JAK-STAT pathway and cyclin-dependent kinases. Aberrant expression of matrix metalloproteinases (MMPs), extracellular matrix (ECM) components and their inhibitors has also been observed in DN [7].</w:t>
      </w:r>
    </w:p>
    <w:p w14:paraId="22351532" w14:textId="64724075" w:rsidR="00D93203" w:rsidRDefault="00D93203" w:rsidP="00652131">
      <w:pPr>
        <w:spacing w:after="0" w:line="360" w:lineRule="auto"/>
        <w:jc w:val="both"/>
        <w:rPr>
          <w:rFonts w:ascii="Times New Roman" w:hAnsi="Times New Roman" w:cs="Times New Roman"/>
          <w:b/>
          <w:bCs/>
        </w:rPr>
      </w:pPr>
      <w:r>
        <w:rPr>
          <w:rFonts w:ascii="Times New Roman" w:hAnsi="Times New Roman" w:cs="Times New Roman"/>
          <w:b/>
          <w:bCs/>
        </w:rPr>
        <w:t>Potential Mechanisms:</w:t>
      </w:r>
    </w:p>
    <w:p w14:paraId="0700FCEA" w14:textId="4786DC8A"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Cellular and Molecular Mechanisms in Disease Progression</w:t>
      </w:r>
      <w:r>
        <w:rPr>
          <w:rFonts w:ascii="Times New Roman" w:hAnsi="Times New Roman" w:cs="Times New Roman"/>
          <w:b/>
          <w:bCs/>
        </w:rPr>
        <w:t>:</w:t>
      </w:r>
    </w:p>
    <w:p w14:paraId="4BF35EF2" w14:textId="2923DF1B"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Diabetic nephropathy (DN), a major microvascular complication of diabetes mellitus, is characterized by progressive renal damage resulting from chronic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 The underlying </w:t>
      </w:r>
      <w:r w:rsidR="00846D1C">
        <w:rPr>
          <w:rFonts w:ascii="Times New Roman" w:hAnsi="Times New Roman" w:cs="Times New Roman"/>
        </w:rPr>
        <w:t>molecular</w:t>
      </w:r>
      <w:r w:rsidR="00D756A6">
        <w:rPr>
          <w:rFonts w:ascii="Times New Roman" w:hAnsi="Times New Roman" w:cs="Times New Roman"/>
        </w:rPr>
        <w:t xml:space="preserve"> and cellular</w:t>
      </w:r>
      <w:r w:rsidRPr="00652131">
        <w:rPr>
          <w:rFonts w:ascii="Times New Roman" w:hAnsi="Times New Roman" w:cs="Times New Roman"/>
        </w:rPr>
        <w:t xml:space="preserve"> mechanisms contributing to DN are multifactorial and intricately interconnected. Key pathological processes include the </w:t>
      </w:r>
      <w:r w:rsidR="00D756A6">
        <w:rPr>
          <w:rFonts w:ascii="Times New Roman" w:hAnsi="Times New Roman" w:cs="Times New Roman"/>
        </w:rPr>
        <w:t>accumulation</w:t>
      </w:r>
      <w:r w:rsidRPr="00652131">
        <w:rPr>
          <w:rFonts w:ascii="Times New Roman" w:hAnsi="Times New Roman" w:cs="Times New Roman"/>
        </w:rPr>
        <w:t xml:space="preserve"> of advanced glycation end products (AGEs), excessive production of reactive oxygen species (ROS), </w:t>
      </w:r>
      <w:r w:rsidR="00D756A6" w:rsidRPr="00652131">
        <w:rPr>
          <w:rFonts w:ascii="Times New Roman" w:hAnsi="Times New Roman" w:cs="Times New Roman"/>
        </w:rPr>
        <w:t>initiation</w:t>
      </w:r>
      <w:r w:rsidRPr="00652131">
        <w:rPr>
          <w:rFonts w:ascii="Times New Roman" w:hAnsi="Times New Roman" w:cs="Times New Roman"/>
        </w:rPr>
        <w:t xml:space="preserve"> of the diacylglycerol–protein kinase C (DAG–PKC) </w:t>
      </w:r>
      <w:proofErr w:type="spellStart"/>
      <w:r w:rsidRPr="00652131">
        <w:rPr>
          <w:rFonts w:ascii="Times New Roman" w:hAnsi="Times New Roman" w:cs="Times New Roman"/>
        </w:rPr>
        <w:t>signaling</w:t>
      </w:r>
      <w:proofErr w:type="spellEnd"/>
      <w:r w:rsidRPr="00652131">
        <w:rPr>
          <w:rFonts w:ascii="Times New Roman" w:hAnsi="Times New Roman" w:cs="Times New Roman"/>
        </w:rPr>
        <w:t xml:space="preserve"> pathway, dysregulation of autophagy, and </w:t>
      </w:r>
      <w:r w:rsidR="00CB7AE9" w:rsidRPr="00652131">
        <w:rPr>
          <w:rFonts w:ascii="Times New Roman" w:hAnsi="Times New Roman" w:cs="Times New Roman"/>
        </w:rPr>
        <w:t>stimulation</w:t>
      </w:r>
      <w:r w:rsidRPr="00652131">
        <w:rPr>
          <w:rFonts w:ascii="Times New Roman" w:hAnsi="Times New Roman" w:cs="Times New Roman"/>
        </w:rPr>
        <w:t xml:space="preserve"> of the renin–angiotensin–aldosterone system (RAAS). These mechanisms collectively contribute to glomerular injury, mesangial expansion, tubulointerstitial fibrosis, and eventual decline in renal function [</w:t>
      </w:r>
      <w:r w:rsidR="00EC4704">
        <w:rPr>
          <w:rFonts w:ascii="Times New Roman" w:hAnsi="Times New Roman" w:cs="Times New Roman"/>
        </w:rPr>
        <w:t>8,9,10.</w:t>
      </w:r>
      <w:r w:rsidRPr="00652131">
        <w:rPr>
          <w:rFonts w:ascii="Times New Roman" w:hAnsi="Times New Roman" w:cs="Times New Roman"/>
        </w:rPr>
        <w:t>11].</w:t>
      </w:r>
    </w:p>
    <w:p w14:paraId="35E41F22" w14:textId="6D39A4E2"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Renin–Angiotensin–Aldosterone System (RAAS)</w:t>
      </w:r>
    </w:p>
    <w:p w14:paraId="0B8B2529" w14:textId="4DDF2137"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RAAS plays a </w:t>
      </w:r>
      <w:r w:rsidR="00CB7AE9" w:rsidRPr="00652131">
        <w:rPr>
          <w:rFonts w:ascii="Times New Roman" w:hAnsi="Times New Roman" w:cs="Times New Roman"/>
        </w:rPr>
        <w:t>vital</w:t>
      </w:r>
      <w:r w:rsidRPr="00652131">
        <w:rPr>
          <w:rFonts w:ascii="Times New Roman" w:hAnsi="Times New Roman" w:cs="Times New Roman"/>
        </w:rPr>
        <w:t xml:space="preserve"> role in regulating systemic blood pressure, fluid balance, and tissue perfusion. However, in the diabetic milieu, chronic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 leads to persistent activation of RAAS, both systemically and locally within the kidney. This dysregulation contributes significantly to DN pathogenesis by inducing renal vasoconstriction, oxidative stress, inflammation, and fibrotic </w:t>
      </w:r>
      <w:r w:rsidR="00846D1C" w:rsidRPr="00652131">
        <w:rPr>
          <w:rFonts w:ascii="Times New Roman" w:hAnsi="Times New Roman" w:cs="Times New Roman"/>
        </w:rPr>
        <w:t>remodelling</w:t>
      </w:r>
      <w:r w:rsidRPr="00652131">
        <w:rPr>
          <w:rFonts w:ascii="Times New Roman" w:hAnsi="Times New Roman" w:cs="Times New Roman"/>
        </w:rPr>
        <w:t>.</w:t>
      </w:r>
    </w:p>
    <w:p w14:paraId="741D4625" w14:textId="650834D3"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Among the key effectors of RAAS angiotensin II and aldosterone exert profound deleterious effects. Angiotensin II promotes endothelial dysfunction through increased expression of endothelin-1, enhanced production of </w:t>
      </w:r>
      <w:r w:rsidR="00CB7AE9">
        <w:rPr>
          <w:rFonts w:ascii="Times New Roman" w:hAnsi="Times New Roman" w:cs="Times New Roman"/>
        </w:rPr>
        <w:t>nitric oxide</w:t>
      </w:r>
      <w:r w:rsidRPr="00652131">
        <w:rPr>
          <w:rFonts w:ascii="Times New Roman" w:hAnsi="Times New Roman" w:cs="Times New Roman"/>
        </w:rPr>
        <w:t xml:space="preserve"> (NO), activation of cyclooxygenase (COX), and stimulation of </w:t>
      </w:r>
      <w:r w:rsidR="00CB7AE9">
        <w:rPr>
          <w:rFonts w:ascii="Times New Roman" w:hAnsi="Times New Roman" w:cs="Times New Roman"/>
        </w:rPr>
        <w:t xml:space="preserve">protein kinase C </w:t>
      </w:r>
      <w:r w:rsidRPr="00652131">
        <w:rPr>
          <w:rFonts w:ascii="Times New Roman" w:hAnsi="Times New Roman" w:cs="Times New Roman"/>
        </w:rPr>
        <w:t>(PKC). Additionally, it upregulates pro-inflammatory and pro-fibrotic mediators such as transforming growth factor-beta (TGF-β), nuclear factor-kappa B (NF-</w:t>
      </w:r>
      <w:proofErr w:type="spellStart"/>
      <w:r w:rsidRPr="00652131">
        <w:rPr>
          <w:rFonts w:ascii="Times New Roman" w:hAnsi="Times New Roman" w:cs="Times New Roman"/>
        </w:rPr>
        <w:lastRenderedPageBreak/>
        <w:t>κB</w:t>
      </w:r>
      <w:proofErr w:type="spellEnd"/>
      <w:r w:rsidRPr="00652131">
        <w:rPr>
          <w:rFonts w:ascii="Times New Roman" w:hAnsi="Times New Roman" w:cs="Times New Roman"/>
        </w:rPr>
        <w:t xml:space="preserve">), </w:t>
      </w:r>
      <w:proofErr w:type="spellStart"/>
      <w:r w:rsidRPr="00652131">
        <w:rPr>
          <w:rFonts w:ascii="Times New Roman" w:hAnsi="Times New Roman" w:cs="Times New Roman"/>
        </w:rPr>
        <w:t>tumor</w:t>
      </w:r>
      <w:proofErr w:type="spellEnd"/>
      <w:r w:rsidRPr="00652131">
        <w:rPr>
          <w:rFonts w:ascii="Times New Roman" w:hAnsi="Times New Roman" w:cs="Times New Roman"/>
        </w:rPr>
        <w:t xml:space="preserve"> necrosis factor-alpha (TNF-α), and testosterone, leading to increased ROS production and fibrotic matrix deposition [12].</w:t>
      </w:r>
    </w:p>
    <w:p w14:paraId="2218F8BF" w14:textId="2B3567A5"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Aldosterone, through its interaction with the mineralocorticoid receptor (MR), triggers transcription of inflammatory and fibrotic genes, contributing to vascular and myocardial fibrosis. The activation of MR in renal tissues promotes inflammation, tubulointerstitial fibrosis, and structural damage to nephrons, accelerating DN progression. The pathological actions of aldosterone further underscore the </w:t>
      </w:r>
      <w:r w:rsidR="00CB7AE9">
        <w:rPr>
          <w:rFonts w:ascii="Times New Roman" w:hAnsi="Times New Roman" w:cs="Times New Roman"/>
        </w:rPr>
        <w:t>importance</w:t>
      </w:r>
      <w:r w:rsidRPr="00652131">
        <w:rPr>
          <w:rFonts w:ascii="Times New Roman" w:hAnsi="Times New Roman" w:cs="Times New Roman"/>
        </w:rPr>
        <w:t xml:space="preserve"> of MR antagonists in nephroprotective therapy [1</w:t>
      </w:r>
      <w:r w:rsidR="0076245D">
        <w:rPr>
          <w:rFonts w:ascii="Times New Roman" w:hAnsi="Times New Roman" w:cs="Times New Roman"/>
        </w:rPr>
        <w:t>2</w:t>
      </w:r>
      <w:r w:rsidRPr="00652131">
        <w:rPr>
          <w:rFonts w:ascii="Times New Roman" w:hAnsi="Times New Roman" w:cs="Times New Roman"/>
        </w:rPr>
        <w:t>].</w:t>
      </w:r>
    </w:p>
    <w:p w14:paraId="5B90499B" w14:textId="1826C4CA"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Reactive Oxygen Species (ROS)</w:t>
      </w:r>
    </w:p>
    <w:p w14:paraId="4964AB48" w14:textId="77777777"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Reactive oxygen species (ROS) function as intracellular </w:t>
      </w:r>
      <w:proofErr w:type="spellStart"/>
      <w:r w:rsidRPr="00652131">
        <w:rPr>
          <w:rFonts w:ascii="Times New Roman" w:hAnsi="Times New Roman" w:cs="Times New Roman"/>
        </w:rPr>
        <w:t>signaling</w:t>
      </w:r>
      <w:proofErr w:type="spellEnd"/>
      <w:r w:rsidRPr="00652131">
        <w:rPr>
          <w:rFonts w:ascii="Times New Roman" w:hAnsi="Times New Roman" w:cs="Times New Roman"/>
        </w:rPr>
        <w:t xml:space="preserve"> molecules under physiological conditions, playing roles in cell proliferation, differentiation, and survival. However, in the diabetic state, persistent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 disrupts the redox balance, resulting in excessive ROS generation. This oxidative stress is central to the pathophysiology of DN.</w:t>
      </w:r>
    </w:p>
    <w:p w14:paraId="7D3FBA69" w14:textId="489FA2C7"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rPr>
        <w:t xml:space="preserve">Elevated glucose levels enhance ROS production via multiple pathways: mitochondrial oxidative phosphorylation, glucose auto-oxidation, activation of NADPH oxidase and the formation of AGEs. ROS species such as superoxide anion (O₂⁻), hydrogen peroxide (H₂O₂), hydroxyl radical (•OH), and </w:t>
      </w:r>
      <w:proofErr w:type="spellStart"/>
      <w:r w:rsidRPr="00652131">
        <w:rPr>
          <w:rFonts w:ascii="Times New Roman" w:hAnsi="Times New Roman" w:cs="Times New Roman"/>
        </w:rPr>
        <w:t>peroxynitrite</w:t>
      </w:r>
      <w:proofErr w:type="spellEnd"/>
      <w:r w:rsidRPr="00652131">
        <w:rPr>
          <w:rFonts w:ascii="Times New Roman" w:hAnsi="Times New Roman" w:cs="Times New Roman"/>
        </w:rPr>
        <w:t xml:space="preserve"> (ONOO⁻) damage cellular macromolecules and organelles, inducing inflammation, apoptosis, and fibrosis in renal tissues [7].</w:t>
      </w:r>
      <w:r>
        <w:rPr>
          <w:rFonts w:ascii="Times New Roman" w:hAnsi="Times New Roman" w:cs="Times New Roman"/>
        </w:rPr>
        <w:t xml:space="preserve"> </w:t>
      </w:r>
      <w:r w:rsidRPr="00652131">
        <w:rPr>
          <w:rFonts w:ascii="Times New Roman" w:hAnsi="Times New Roman" w:cs="Times New Roman"/>
        </w:rPr>
        <w:t>In glomerular mesangial cells, ROS upregulate extracellular matrix (ECM) proteins, β1 integrins</w:t>
      </w:r>
      <w:r w:rsidR="000A763F">
        <w:rPr>
          <w:rFonts w:ascii="Times New Roman" w:hAnsi="Times New Roman" w:cs="Times New Roman"/>
        </w:rPr>
        <w:t xml:space="preserve"> </w:t>
      </w:r>
      <w:r w:rsidRPr="00652131">
        <w:rPr>
          <w:rFonts w:ascii="Times New Roman" w:hAnsi="Times New Roman" w:cs="Times New Roman"/>
        </w:rPr>
        <w:t xml:space="preserve">and plasminogen activator inhibitor-1 (PAI-1), mimicking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-induced cellular responses. </w:t>
      </w:r>
    </w:p>
    <w:p w14:paraId="5E7AA45C" w14:textId="533033EA"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Advanced Glycation End Products (AGEs)</w:t>
      </w:r>
    </w:p>
    <w:p w14:paraId="23825477" w14:textId="5BCABCFA"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AGEs are formed through a non-enzymatic glycation process known as the Maillard reaction, wherein reducing sugars react with amino groups on proteins, lipids, and nucleic acids. This reaction initially forms a Schiff base which </w:t>
      </w:r>
      <w:r w:rsidR="000A763F" w:rsidRPr="00652131">
        <w:rPr>
          <w:rFonts w:ascii="Times New Roman" w:hAnsi="Times New Roman" w:cs="Times New Roman"/>
        </w:rPr>
        <w:t>reorganizes</w:t>
      </w:r>
      <w:r w:rsidRPr="00652131">
        <w:rPr>
          <w:rFonts w:ascii="Times New Roman" w:hAnsi="Times New Roman" w:cs="Times New Roman"/>
        </w:rPr>
        <w:t xml:space="preserve"> into a more stable </w:t>
      </w:r>
      <w:proofErr w:type="spellStart"/>
      <w:r w:rsidRPr="00652131">
        <w:rPr>
          <w:rFonts w:ascii="Times New Roman" w:hAnsi="Times New Roman" w:cs="Times New Roman"/>
        </w:rPr>
        <w:t>Amadori</w:t>
      </w:r>
      <w:proofErr w:type="spellEnd"/>
      <w:r w:rsidRPr="00652131">
        <w:rPr>
          <w:rFonts w:ascii="Times New Roman" w:hAnsi="Times New Roman" w:cs="Times New Roman"/>
        </w:rPr>
        <w:t xml:space="preserve"> product (e.g., glycated </w:t>
      </w:r>
      <w:proofErr w:type="spellStart"/>
      <w:r w:rsidRPr="00652131">
        <w:rPr>
          <w:rFonts w:ascii="Times New Roman" w:hAnsi="Times New Roman" w:cs="Times New Roman"/>
        </w:rPr>
        <w:t>hemoglobin</w:t>
      </w:r>
      <w:proofErr w:type="spellEnd"/>
      <w:r w:rsidRPr="00652131">
        <w:rPr>
          <w:rFonts w:ascii="Times New Roman" w:hAnsi="Times New Roman" w:cs="Times New Roman"/>
        </w:rPr>
        <w:t xml:space="preserve">, HbA1c), and ultimately gives rise to AGEs through oxidative and structural modifications </w:t>
      </w:r>
    </w:p>
    <w:p w14:paraId="43E3E09F" w14:textId="7207C6AE"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Autophagy</w:t>
      </w:r>
    </w:p>
    <w:p w14:paraId="1B3C073D" w14:textId="3C80A1CF" w:rsidR="009A6F76"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rPr>
        <w:t xml:space="preserve">Autophagy is a highly conserved lysosomal degradation pathway essential for the removal of damaged proteins, organelles, and aggregates, thereby maintaining cellular homeostasis under stress conditions. In the </w:t>
      </w:r>
      <w:r w:rsidR="00FB121F" w:rsidRPr="00652131">
        <w:rPr>
          <w:rFonts w:ascii="Times New Roman" w:hAnsi="Times New Roman" w:cs="Times New Roman"/>
        </w:rPr>
        <w:t>framework</w:t>
      </w:r>
      <w:r w:rsidRPr="00652131">
        <w:rPr>
          <w:rFonts w:ascii="Times New Roman" w:hAnsi="Times New Roman" w:cs="Times New Roman"/>
        </w:rPr>
        <w:t xml:space="preserve"> of DN, autophagic activity is markedly impaired due to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oxidative stress</w:t>
      </w:r>
      <w:r w:rsidR="00FB121F">
        <w:rPr>
          <w:rFonts w:ascii="Times New Roman" w:hAnsi="Times New Roman" w:cs="Times New Roman"/>
        </w:rPr>
        <w:t xml:space="preserve"> </w:t>
      </w:r>
      <w:r w:rsidRPr="00652131">
        <w:rPr>
          <w:rFonts w:ascii="Times New Roman" w:hAnsi="Times New Roman" w:cs="Times New Roman"/>
        </w:rPr>
        <w:t>and AGE accumulation [</w:t>
      </w:r>
      <w:r w:rsidR="00EC4704">
        <w:rPr>
          <w:rFonts w:ascii="Times New Roman" w:hAnsi="Times New Roman" w:cs="Times New Roman"/>
        </w:rPr>
        <w:t>1,7</w:t>
      </w:r>
      <w:r w:rsidRPr="00652131">
        <w:rPr>
          <w:rFonts w:ascii="Times New Roman" w:hAnsi="Times New Roman" w:cs="Times New Roman"/>
        </w:rPr>
        <w:t>].</w:t>
      </w:r>
      <w:r>
        <w:rPr>
          <w:rFonts w:ascii="Times New Roman" w:hAnsi="Times New Roman" w:cs="Times New Roman"/>
        </w:rPr>
        <w:t xml:space="preserve"> </w:t>
      </w:r>
      <w:r w:rsidRPr="00652131">
        <w:rPr>
          <w:rFonts w:ascii="Times New Roman" w:hAnsi="Times New Roman" w:cs="Times New Roman"/>
        </w:rPr>
        <w:t>In renal cells</w:t>
      </w:r>
      <w:r>
        <w:rPr>
          <w:rFonts w:ascii="Times New Roman" w:hAnsi="Times New Roman" w:cs="Times New Roman"/>
        </w:rPr>
        <w:t xml:space="preserve"> </w:t>
      </w:r>
      <w:proofErr w:type="gramStart"/>
      <w:r w:rsidRPr="00652131">
        <w:rPr>
          <w:rFonts w:ascii="Times New Roman" w:hAnsi="Times New Roman" w:cs="Times New Roman"/>
        </w:rPr>
        <w:t>particularly</w:t>
      </w:r>
      <w:proofErr w:type="gramEnd"/>
      <w:r w:rsidRPr="00652131">
        <w:rPr>
          <w:rFonts w:ascii="Times New Roman" w:hAnsi="Times New Roman" w:cs="Times New Roman"/>
        </w:rPr>
        <w:t xml:space="preserve"> podocytes and proximal tubular epithelial cells</w:t>
      </w:r>
      <w:r w:rsidR="00FB121F">
        <w:rPr>
          <w:rFonts w:ascii="Times New Roman" w:hAnsi="Times New Roman" w:cs="Times New Roman"/>
        </w:rPr>
        <w:t xml:space="preserve"> </w:t>
      </w:r>
      <w:r w:rsidRPr="00652131">
        <w:rPr>
          <w:rFonts w:ascii="Times New Roman" w:hAnsi="Times New Roman" w:cs="Times New Roman"/>
        </w:rPr>
        <w:t xml:space="preserve">deficient autophagy contributes to the </w:t>
      </w:r>
      <w:r w:rsidR="00FB121F" w:rsidRPr="00652131">
        <w:rPr>
          <w:rFonts w:ascii="Times New Roman" w:hAnsi="Times New Roman" w:cs="Times New Roman"/>
        </w:rPr>
        <w:t>growth</w:t>
      </w:r>
      <w:r w:rsidRPr="00652131">
        <w:rPr>
          <w:rFonts w:ascii="Times New Roman" w:hAnsi="Times New Roman" w:cs="Times New Roman"/>
        </w:rPr>
        <w:t xml:space="preserve"> of cellular debris, mitochondrial dysfunction, and enhanced susceptibility to apoptosis. Podocytes are vital for maintaining the integrity of the glomerular filtration barrier, and their injury leads to proteinuria and glomerulosclerosis. </w:t>
      </w:r>
    </w:p>
    <w:p w14:paraId="1D8DA537" w14:textId="68EE7298"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lastRenderedPageBreak/>
        <w:t>Diacylglycerol–Protein Kinase C (DAG–PKC) Pathway</w:t>
      </w:r>
    </w:p>
    <w:p w14:paraId="45EA141F" w14:textId="5AA00DD6"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The DAG–PKC </w:t>
      </w:r>
      <w:proofErr w:type="spellStart"/>
      <w:r w:rsidRPr="00652131">
        <w:rPr>
          <w:rFonts w:ascii="Times New Roman" w:hAnsi="Times New Roman" w:cs="Times New Roman"/>
        </w:rPr>
        <w:t>signaling</w:t>
      </w:r>
      <w:proofErr w:type="spellEnd"/>
      <w:r w:rsidRPr="00652131">
        <w:rPr>
          <w:rFonts w:ascii="Times New Roman" w:hAnsi="Times New Roman" w:cs="Times New Roman"/>
        </w:rPr>
        <w:t xml:space="preserve"> pathway </w:t>
      </w:r>
      <w:r w:rsidR="00FB121F">
        <w:rPr>
          <w:rFonts w:ascii="Times New Roman" w:hAnsi="Times New Roman" w:cs="Times New Roman"/>
        </w:rPr>
        <w:t>acts as</w:t>
      </w:r>
      <w:r w:rsidRPr="00652131">
        <w:rPr>
          <w:rFonts w:ascii="Times New Roman" w:hAnsi="Times New Roman" w:cs="Times New Roman"/>
        </w:rPr>
        <w:t xml:space="preserve"> a pivotal role in mediating glucose-induced renal injury. Under </w:t>
      </w:r>
      <w:r w:rsidR="00846D1C" w:rsidRPr="00652131">
        <w:rPr>
          <w:rFonts w:ascii="Times New Roman" w:hAnsi="Times New Roman" w:cs="Times New Roman"/>
        </w:rPr>
        <w:t>hyperglycaemic</w:t>
      </w:r>
      <w:r w:rsidRPr="00652131">
        <w:rPr>
          <w:rFonts w:ascii="Times New Roman" w:hAnsi="Times New Roman" w:cs="Times New Roman"/>
        </w:rPr>
        <w:t xml:space="preserve"> conditions, increased glycolytic flux elevates the intracellular concentrations of glyceraldehyde-3-phosphate and glycerol-3-phosphate, leading to enhanced synthesis of diacylglycerol (DAG). DAG, in turn, activates specific isoforms of PKC, particularly PKCα and PKCβ, which are implicated in the development of DN.</w:t>
      </w:r>
      <w:r>
        <w:rPr>
          <w:rFonts w:ascii="Times New Roman" w:hAnsi="Times New Roman" w:cs="Times New Roman"/>
        </w:rPr>
        <w:t xml:space="preserve"> </w:t>
      </w:r>
      <w:r w:rsidRPr="00652131">
        <w:rPr>
          <w:rFonts w:ascii="Times New Roman" w:hAnsi="Times New Roman" w:cs="Times New Roman"/>
        </w:rPr>
        <w:t xml:space="preserve">PKC activation triggers a cascade of events including the upregulation of TGF-β and connective tissue growth factor (CTGF), resulting in increased production of fibronectin and collagen IV. PKCβ also </w:t>
      </w:r>
      <w:r w:rsidR="00FB121F" w:rsidRPr="00652131">
        <w:rPr>
          <w:rFonts w:ascii="Times New Roman" w:hAnsi="Times New Roman" w:cs="Times New Roman"/>
        </w:rPr>
        <w:t>boosts</w:t>
      </w:r>
      <w:r w:rsidRPr="00652131">
        <w:rPr>
          <w:rFonts w:ascii="Times New Roman" w:hAnsi="Times New Roman" w:cs="Times New Roman"/>
        </w:rPr>
        <w:t xml:space="preserve"> the activity of NADPH oxidase, thereby amplifying ROS production and oxidative stress. Both PKCα and PKCβ contribute to increased vascular endothelial growth factor (VEGF) expression and albuminuria, promoting glomerular hypertrophy, capillary leakage, and glomerulosclerosis [</w:t>
      </w:r>
      <w:r w:rsidR="00EC4704">
        <w:rPr>
          <w:rFonts w:ascii="Times New Roman" w:hAnsi="Times New Roman" w:cs="Times New Roman"/>
        </w:rPr>
        <w:t>3,4</w:t>
      </w:r>
      <w:r w:rsidRPr="00652131">
        <w:rPr>
          <w:rFonts w:ascii="Times New Roman" w:hAnsi="Times New Roman" w:cs="Times New Roman"/>
        </w:rPr>
        <w:t>].</w:t>
      </w:r>
      <w:r>
        <w:rPr>
          <w:rFonts w:ascii="Times New Roman" w:hAnsi="Times New Roman" w:cs="Times New Roman"/>
        </w:rPr>
        <w:t xml:space="preserve"> </w:t>
      </w:r>
      <w:r w:rsidR="00EC4704">
        <w:rPr>
          <w:rFonts w:ascii="Times New Roman" w:hAnsi="Times New Roman" w:cs="Times New Roman"/>
        </w:rPr>
        <w:t xml:space="preserve"> </w:t>
      </w:r>
    </w:p>
    <w:p w14:paraId="0CB85E45" w14:textId="77777777"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Epithelial-Mesenchymal Transition (EMT)</w:t>
      </w:r>
    </w:p>
    <w:p w14:paraId="180547C6" w14:textId="0ABD76A7"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 xml:space="preserve">Epithelial-mesenchymal transition (EMT) is a complex biological process in which epithelial cells lose their distinctive structural and functional features, such as tight cell-to-cell adhesion and apical-basal polarity, and acquire mesenchymal characteristics like enhanced motility, invasiveness and increased production of extracellular matrix </w:t>
      </w:r>
      <w:r w:rsidR="00DF00BB" w:rsidRPr="00B13802">
        <w:rPr>
          <w:rFonts w:ascii="Times New Roman" w:hAnsi="Times New Roman" w:cs="Times New Roman"/>
        </w:rPr>
        <w:t>mechanisms</w:t>
      </w:r>
      <w:r w:rsidRPr="00B13802">
        <w:rPr>
          <w:rFonts w:ascii="Times New Roman" w:hAnsi="Times New Roman" w:cs="Times New Roman"/>
        </w:rPr>
        <w:t>. This transformation occurs under both physiological conditions (such as during embryogenesis and wound healing) and pathological conditions, including diabetic nephropathy (DN).</w:t>
      </w:r>
    </w:p>
    <w:p w14:paraId="04001682"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Markers of EMT:</w:t>
      </w:r>
    </w:p>
    <w:p w14:paraId="1D9F2E14" w14:textId="1864B600"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 xml:space="preserve">Epithelial cells are characterized by markers such as E-cadherin and </w:t>
      </w:r>
      <w:r w:rsidR="00846D1C" w:rsidRPr="00B13802">
        <w:rPr>
          <w:rFonts w:ascii="Times New Roman" w:hAnsi="Times New Roman" w:cs="Times New Roman"/>
        </w:rPr>
        <w:t>cytokeratin’s</w:t>
      </w:r>
      <w:r w:rsidRPr="00B13802">
        <w:rPr>
          <w:rFonts w:ascii="Times New Roman" w:hAnsi="Times New Roman" w:cs="Times New Roman"/>
        </w:rPr>
        <w:t>, which maintain epithelial integrity and adhesion. When undergoing EMT, these markers are downregulated, while mesenchymal markers including α-smooth muscle actin (α-SMA), vimentin, and fibroblast-specific protein 1 (FSP1) become upregulated, indicating a shift towards a more fibroblast-like, migratory phenotype.</w:t>
      </w:r>
    </w:p>
    <w:p w14:paraId="15993158"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Classification of EMT:</w:t>
      </w:r>
    </w:p>
    <w:p w14:paraId="612DE52C" w14:textId="77777777"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Type I EMT occurs during embryonic development and generates mesenchymal cells essential for tissue and organ formation.</w:t>
      </w:r>
    </w:p>
    <w:p w14:paraId="38BDA9B8" w14:textId="7E98D4ED"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Type II EMT is associated with tissue regeneration and fibrosis contribut</w:t>
      </w:r>
      <w:r w:rsidR="00CE03E4">
        <w:rPr>
          <w:rFonts w:ascii="Times New Roman" w:hAnsi="Times New Roman" w:cs="Times New Roman"/>
        </w:rPr>
        <w:t>es</w:t>
      </w:r>
      <w:r w:rsidRPr="00B13802">
        <w:rPr>
          <w:rFonts w:ascii="Times New Roman" w:hAnsi="Times New Roman" w:cs="Times New Roman"/>
        </w:rPr>
        <w:t xml:space="preserve"> to the generation of fibroblasts in chronic inflammatory and fibrotic diseases.</w:t>
      </w:r>
    </w:p>
    <w:p w14:paraId="5F24BE6D" w14:textId="29A2A4B4"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rPr>
        <w:t>Type III EMT is linked to cancer progression, where malignant epithelial cells acquire invasive and metastatic abilities through genetic and epigenetic changes.</w:t>
      </w:r>
    </w:p>
    <w:p w14:paraId="1F9F83C1" w14:textId="4EE49B5C"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Molecular Pathways Triggering EMT:</w:t>
      </w:r>
    </w:p>
    <w:p w14:paraId="1FAA397C" w14:textId="64D672D6"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rPr>
        <w:t xml:space="preserve">Multiple intracellular </w:t>
      </w:r>
      <w:proofErr w:type="spellStart"/>
      <w:r w:rsidRPr="00B13802">
        <w:rPr>
          <w:rFonts w:ascii="Times New Roman" w:hAnsi="Times New Roman" w:cs="Times New Roman"/>
        </w:rPr>
        <w:t>signaling</w:t>
      </w:r>
      <w:proofErr w:type="spellEnd"/>
      <w:r w:rsidRPr="00B13802">
        <w:rPr>
          <w:rFonts w:ascii="Times New Roman" w:hAnsi="Times New Roman" w:cs="Times New Roman"/>
        </w:rPr>
        <w:t xml:space="preserve"> pathways contribute to the </w:t>
      </w:r>
      <w:r w:rsidR="00CE03E4" w:rsidRPr="00B13802">
        <w:rPr>
          <w:rFonts w:ascii="Times New Roman" w:hAnsi="Times New Roman" w:cs="Times New Roman"/>
        </w:rPr>
        <w:t>commencement</w:t>
      </w:r>
      <w:r w:rsidRPr="00B13802">
        <w:rPr>
          <w:rFonts w:ascii="Times New Roman" w:hAnsi="Times New Roman" w:cs="Times New Roman"/>
        </w:rPr>
        <w:t xml:space="preserve"> and </w:t>
      </w:r>
      <w:r w:rsidR="00CE03E4" w:rsidRPr="00B13802">
        <w:rPr>
          <w:rFonts w:ascii="Times New Roman" w:hAnsi="Times New Roman" w:cs="Times New Roman"/>
        </w:rPr>
        <w:t>evolution</w:t>
      </w:r>
      <w:r w:rsidRPr="00B13802">
        <w:rPr>
          <w:rFonts w:ascii="Times New Roman" w:hAnsi="Times New Roman" w:cs="Times New Roman"/>
        </w:rPr>
        <w:t xml:space="preserve"> of EMT, often activated by </w:t>
      </w:r>
      <w:proofErr w:type="spellStart"/>
      <w:r w:rsidRPr="00B13802">
        <w:rPr>
          <w:rFonts w:ascii="Times New Roman" w:hAnsi="Times New Roman" w:cs="Times New Roman"/>
        </w:rPr>
        <w:t>hyperglycemia</w:t>
      </w:r>
      <w:proofErr w:type="spellEnd"/>
      <w:r w:rsidRPr="00B13802">
        <w:rPr>
          <w:rFonts w:ascii="Times New Roman" w:hAnsi="Times New Roman" w:cs="Times New Roman"/>
        </w:rPr>
        <w:t xml:space="preserve"> and other stressors in DN. </w:t>
      </w:r>
    </w:p>
    <w:p w14:paraId="606C1460" w14:textId="4ADC86A6"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lastRenderedPageBreak/>
        <w:t>TGF-β/</w:t>
      </w:r>
      <w:proofErr w:type="spellStart"/>
      <w:r w:rsidRPr="00B13802">
        <w:rPr>
          <w:rFonts w:ascii="Times New Roman" w:hAnsi="Times New Roman" w:cs="Times New Roman"/>
          <w:b/>
          <w:bCs/>
        </w:rPr>
        <w:t>Smad</w:t>
      </w:r>
      <w:proofErr w:type="spellEnd"/>
      <w:r w:rsidRPr="00B13802">
        <w:rPr>
          <w:rFonts w:ascii="Times New Roman" w:hAnsi="Times New Roman" w:cs="Times New Roman"/>
          <w:b/>
          <w:bCs/>
        </w:rPr>
        <w:t xml:space="preserve"> Pathway: </w:t>
      </w:r>
      <w:proofErr w:type="spellStart"/>
      <w:r w:rsidRPr="00B13802">
        <w:rPr>
          <w:rFonts w:ascii="Times New Roman" w:hAnsi="Times New Roman" w:cs="Times New Roman"/>
        </w:rPr>
        <w:t>Hyperglycemia</w:t>
      </w:r>
      <w:proofErr w:type="spellEnd"/>
      <w:r w:rsidRPr="00B13802">
        <w:rPr>
          <w:rFonts w:ascii="Times New Roman" w:hAnsi="Times New Roman" w:cs="Times New Roman"/>
        </w:rPr>
        <w:t xml:space="preserve"> activates the transforming growth factor-</w:t>
      </w:r>
      <w:r w:rsidR="00CE03E4" w:rsidRPr="00CE03E4">
        <w:rPr>
          <w:rFonts w:ascii="Times New Roman" w:hAnsi="Times New Roman" w:cs="Times New Roman"/>
        </w:rPr>
        <w:t xml:space="preserve"> </w:t>
      </w:r>
      <w:r w:rsidR="00CE03E4" w:rsidRPr="00B13802">
        <w:rPr>
          <w:rFonts w:ascii="Times New Roman" w:hAnsi="Times New Roman" w:cs="Times New Roman"/>
        </w:rPr>
        <w:t>β</w:t>
      </w:r>
      <w:r w:rsidRPr="00B13802">
        <w:rPr>
          <w:rFonts w:ascii="Times New Roman" w:hAnsi="Times New Roman" w:cs="Times New Roman"/>
        </w:rPr>
        <w:t xml:space="preserve"> (TGF-β) and its downstream </w:t>
      </w:r>
      <w:proofErr w:type="spellStart"/>
      <w:r w:rsidRPr="00B13802">
        <w:rPr>
          <w:rFonts w:ascii="Times New Roman" w:hAnsi="Times New Roman" w:cs="Times New Roman"/>
        </w:rPr>
        <w:t>Smad</w:t>
      </w:r>
      <w:proofErr w:type="spellEnd"/>
      <w:r w:rsidRPr="00B13802">
        <w:rPr>
          <w:rFonts w:ascii="Times New Roman" w:hAnsi="Times New Roman" w:cs="Times New Roman"/>
        </w:rPr>
        <w:t xml:space="preserve"> </w:t>
      </w:r>
      <w:proofErr w:type="spellStart"/>
      <w:r w:rsidRPr="00B13802">
        <w:rPr>
          <w:rFonts w:ascii="Times New Roman" w:hAnsi="Times New Roman" w:cs="Times New Roman"/>
        </w:rPr>
        <w:t>signaling</w:t>
      </w:r>
      <w:proofErr w:type="spellEnd"/>
      <w:r w:rsidRPr="00B13802">
        <w:rPr>
          <w:rFonts w:ascii="Times New Roman" w:hAnsi="Times New Roman" w:cs="Times New Roman"/>
        </w:rPr>
        <w:t xml:space="preserve">, which </w:t>
      </w:r>
      <w:r w:rsidR="00CE03E4" w:rsidRPr="00B13802">
        <w:rPr>
          <w:rFonts w:ascii="Times New Roman" w:hAnsi="Times New Roman" w:cs="Times New Roman"/>
        </w:rPr>
        <w:t>endorses</w:t>
      </w:r>
      <w:r w:rsidRPr="00B13802">
        <w:rPr>
          <w:rFonts w:ascii="Times New Roman" w:hAnsi="Times New Roman" w:cs="Times New Roman"/>
        </w:rPr>
        <w:t xml:space="preserve"> the transcription of EMT-related genes. This pathway stimulates the formation of protein complexes like </w:t>
      </w:r>
      <w:proofErr w:type="spellStart"/>
      <w:r w:rsidRPr="00B13802">
        <w:rPr>
          <w:rFonts w:ascii="Times New Roman" w:hAnsi="Times New Roman" w:cs="Times New Roman"/>
        </w:rPr>
        <w:t>ShcA</w:t>
      </w:r>
      <w:proofErr w:type="spellEnd"/>
      <w:r w:rsidRPr="00B13802">
        <w:rPr>
          <w:rFonts w:ascii="Times New Roman" w:hAnsi="Times New Roman" w:cs="Times New Roman"/>
        </w:rPr>
        <w:t>/Grb2/</w:t>
      </w:r>
      <w:proofErr w:type="spellStart"/>
      <w:r w:rsidRPr="00B13802">
        <w:rPr>
          <w:rFonts w:ascii="Times New Roman" w:hAnsi="Times New Roman" w:cs="Times New Roman"/>
        </w:rPr>
        <w:t>Sos</w:t>
      </w:r>
      <w:proofErr w:type="spellEnd"/>
      <w:r w:rsidRPr="00B13802">
        <w:rPr>
          <w:rFonts w:ascii="Times New Roman" w:hAnsi="Times New Roman" w:cs="Times New Roman"/>
        </w:rPr>
        <w:t>, ultimately leading to EMT activation in podocytes</w:t>
      </w:r>
      <w:r w:rsidR="00CB5B3F">
        <w:rPr>
          <w:rFonts w:ascii="Times New Roman" w:hAnsi="Times New Roman" w:cs="Times New Roman"/>
        </w:rPr>
        <w:t xml:space="preserve"> </w:t>
      </w:r>
      <w:r w:rsidRPr="00B13802">
        <w:rPr>
          <w:rFonts w:ascii="Times New Roman" w:hAnsi="Times New Roman" w:cs="Times New Roman"/>
        </w:rPr>
        <w:t>specialized glomerular epithelial cells essential for maintaining the filtration barrier.</w:t>
      </w:r>
    </w:p>
    <w:p w14:paraId="2D5687E9" w14:textId="43DCD5E8"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PI3K/</w:t>
      </w:r>
      <w:proofErr w:type="spellStart"/>
      <w:r w:rsidRPr="00B13802">
        <w:rPr>
          <w:rFonts w:ascii="Times New Roman" w:hAnsi="Times New Roman" w:cs="Times New Roman"/>
          <w:b/>
          <w:bCs/>
        </w:rPr>
        <w:t>Akt</w:t>
      </w:r>
      <w:proofErr w:type="spellEnd"/>
      <w:r w:rsidRPr="00B13802">
        <w:rPr>
          <w:rFonts w:ascii="Times New Roman" w:hAnsi="Times New Roman" w:cs="Times New Roman"/>
          <w:b/>
          <w:bCs/>
        </w:rPr>
        <w:t xml:space="preserve"> Pathway: </w:t>
      </w:r>
      <w:r w:rsidRPr="00B13802">
        <w:rPr>
          <w:rFonts w:ascii="Times New Roman" w:hAnsi="Times New Roman" w:cs="Times New Roman"/>
        </w:rPr>
        <w:t>TGF-β also enhances phosphoinositide 3-kinase (PI3K)-</w:t>
      </w:r>
      <w:proofErr w:type="spellStart"/>
      <w:r w:rsidRPr="00B13802">
        <w:rPr>
          <w:rFonts w:ascii="Times New Roman" w:hAnsi="Times New Roman" w:cs="Times New Roman"/>
        </w:rPr>
        <w:t>Akt</w:t>
      </w:r>
      <w:proofErr w:type="spellEnd"/>
      <w:r w:rsidRPr="00B13802">
        <w:rPr>
          <w:rFonts w:ascii="Times New Roman" w:hAnsi="Times New Roman" w:cs="Times New Roman"/>
        </w:rPr>
        <w:t xml:space="preserve"> </w:t>
      </w:r>
      <w:proofErr w:type="spellStart"/>
      <w:r w:rsidRPr="00B13802">
        <w:rPr>
          <w:rFonts w:ascii="Times New Roman" w:hAnsi="Times New Roman" w:cs="Times New Roman"/>
        </w:rPr>
        <w:t>signaling</w:t>
      </w:r>
      <w:proofErr w:type="spellEnd"/>
      <w:r w:rsidRPr="00B13802">
        <w:rPr>
          <w:rFonts w:ascii="Times New Roman" w:hAnsi="Times New Roman" w:cs="Times New Roman"/>
        </w:rPr>
        <w:t>, stabilizing and accumulating β-catenin, a transcriptional co-activator that regulates genes necessary for EMT progression in podocytes.</w:t>
      </w:r>
    </w:p>
    <w:p w14:paraId="6BA8B1BC" w14:textId="2157C2F8"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 xml:space="preserve">mTOR </w:t>
      </w:r>
      <w:proofErr w:type="spellStart"/>
      <w:r w:rsidRPr="00B13802">
        <w:rPr>
          <w:rFonts w:ascii="Times New Roman" w:hAnsi="Times New Roman" w:cs="Times New Roman"/>
          <w:b/>
          <w:bCs/>
        </w:rPr>
        <w:t>Signaling</w:t>
      </w:r>
      <w:proofErr w:type="spellEnd"/>
      <w:r w:rsidRPr="00B13802">
        <w:rPr>
          <w:rFonts w:ascii="Times New Roman" w:hAnsi="Times New Roman" w:cs="Times New Roman"/>
          <w:b/>
          <w:bCs/>
        </w:rPr>
        <w:t xml:space="preserve"> and Autophagy: </w:t>
      </w:r>
      <w:r w:rsidRPr="00B13802">
        <w:rPr>
          <w:rFonts w:ascii="Times New Roman" w:hAnsi="Times New Roman" w:cs="Times New Roman"/>
        </w:rPr>
        <w:t xml:space="preserve">Abnormal </w:t>
      </w:r>
      <w:r w:rsidR="00CE03E4" w:rsidRPr="00B13802">
        <w:rPr>
          <w:rFonts w:ascii="Times New Roman" w:hAnsi="Times New Roman" w:cs="Times New Roman"/>
        </w:rPr>
        <w:t>stimulation</w:t>
      </w:r>
      <w:r w:rsidRPr="00B13802">
        <w:rPr>
          <w:rFonts w:ascii="Times New Roman" w:hAnsi="Times New Roman" w:cs="Times New Roman"/>
        </w:rPr>
        <w:t xml:space="preserve"> of the mammalian target of rapamycin complex 1 (mTORC1) disrupts cell junction proteins and induces endoplasmic reticulum (ER) stress, facilitating EMT-like phenotypic changes in podocytes. Conversely, AMP-activated protein kinase (AMPK) promotes autophagy by inhibiting mTORC1 through TSC1/2-Rheb </w:t>
      </w:r>
      <w:proofErr w:type="spellStart"/>
      <w:r w:rsidRPr="00B13802">
        <w:rPr>
          <w:rFonts w:ascii="Times New Roman" w:hAnsi="Times New Roman" w:cs="Times New Roman"/>
        </w:rPr>
        <w:t>signaling</w:t>
      </w:r>
      <w:proofErr w:type="spellEnd"/>
      <w:r w:rsidRPr="00B13802">
        <w:rPr>
          <w:rFonts w:ascii="Times New Roman" w:hAnsi="Times New Roman" w:cs="Times New Roman"/>
        </w:rPr>
        <w:t>, which helps mitigate EMT progression by clearing damaged cellular components.</w:t>
      </w:r>
    </w:p>
    <w:p w14:paraId="41B76D10" w14:textId="0DE49C55"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b/>
          <w:bCs/>
        </w:rPr>
        <w:t xml:space="preserve">Endoplasmic Reticulum Stress (ERS): </w:t>
      </w:r>
      <w:proofErr w:type="spellStart"/>
      <w:r w:rsidRPr="00B13802">
        <w:rPr>
          <w:rFonts w:ascii="Times New Roman" w:hAnsi="Times New Roman" w:cs="Times New Roman"/>
        </w:rPr>
        <w:t>Hyperglycemia</w:t>
      </w:r>
      <w:proofErr w:type="spellEnd"/>
      <w:r w:rsidRPr="00B13802">
        <w:rPr>
          <w:rFonts w:ascii="Times New Roman" w:hAnsi="Times New Roman" w:cs="Times New Roman"/>
        </w:rPr>
        <w:t>-induced ER stress activates pathways such as MAPK and NF-</w:t>
      </w:r>
      <w:proofErr w:type="spellStart"/>
      <w:r w:rsidRPr="00B13802">
        <w:rPr>
          <w:rFonts w:ascii="Times New Roman" w:hAnsi="Times New Roman" w:cs="Times New Roman"/>
        </w:rPr>
        <w:t>κB</w:t>
      </w:r>
      <w:proofErr w:type="spellEnd"/>
      <w:r w:rsidRPr="00B13802">
        <w:rPr>
          <w:rFonts w:ascii="Times New Roman" w:hAnsi="Times New Roman" w:cs="Times New Roman"/>
        </w:rPr>
        <w:t xml:space="preserve"> via TRB3 </w:t>
      </w:r>
      <w:proofErr w:type="spellStart"/>
      <w:r w:rsidRPr="00B13802">
        <w:rPr>
          <w:rFonts w:ascii="Times New Roman" w:hAnsi="Times New Roman" w:cs="Times New Roman"/>
        </w:rPr>
        <w:t>signaling</w:t>
      </w:r>
      <w:proofErr w:type="spellEnd"/>
      <w:r w:rsidRPr="00B13802">
        <w:rPr>
          <w:rFonts w:ascii="Times New Roman" w:hAnsi="Times New Roman" w:cs="Times New Roman"/>
        </w:rPr>
        <w:t>, which can further enhance EMT and inflammatory responses.</w:t>
      </w:r>
    </w:p>
    <w:p w14:paraId="2D19F9A0"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Role of Inflammation and NF-</w:t>
      </w:r>
      <w:proofErr w:type="spellStart"/>
      <w:r w:rsidRPr="00B13802">
        <w:rPr>
          <w:rFonts w:ascii="Times New Roman" w:hAnsi="Times New Roman" w:cs="Times New Roman"/>
          <w:b/>
          <w:bCs/>
        </w:rPr>
        <w:t>κB</w:t>
      </w:r>
      <w:proofErr w:type="spellEnd"/>
      <w:r w:rsidRPr="00B13802">
        <w:rPr>
          <w:rFonts w:ascii="Times New Roman" w:hAnsi="Times New Roman" w:cs="Times New Roman"/>
          <w:b/>
          <w:bCs/>
        </w:rPr>
        <w:t>:</w:t>
      </w:r>
    </w:p>
    <w:p w14:paraId="34DFCAB7" w14:textId="588A2EBD"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rPr>
        <w:t>Inflammatory mediators like advanced glycation end products (AGEs), mechanical stress, and high glucose levels activate nuclear factor kappa B (NF-</w:t>
      </w:r>
      <w:proofErr w:type="spellStart"/>
      <w:r w:rsidRPr="00B13802">
        <w:rPr>
          <w:rFonts w:ascii="Times New Roman" w:hAnsi="Times New Roman" w:cs="Times New Roman"/>
        </w:rPr>
        <w:t>κB</w:t>
      </w:r>
      <w:proofErr w:type="spellEnd"/>
      <w:r w:rsidRPr="00B13802">
        <w:rPr>
          <w:rFonts w:ascii="Times New Roman" w:hAnsi="Times New Roman" w:cs="Times New Roman"/>
        </w:rPr>
        <w:t>), a key transcription factor in DN pathogenesis. NF-</w:t>
      </w:r>
      <w:proofErr w:type="spellStart"/>
      <w:r w:rsidRPr="00B13802">
        <w:rPr>
          <w:rFonts w:ascii="Times New Roman" w:hAnsi="Times New Roman" w:cs="Times New Roman"/>
        </w:rPr>
        <w:t>κB</w:t>
      </w:r>
      <w:proofErr w:type="spellEnd"/>
      <w:r w:rsidRPr="00B13802">
        <w:rPr>
          <w:rFonts w:ascii="Times New Roman" w:hAnsi="Times New Roman" w:cs="Times New Roman"/>
        </w:rPr>
        <w:t xml:space="preserve"> regulates expression of chemokines, adhesion molecules, and pro-inflammatory cytokines, which contribute to kidney tissue injury and EMT induction.</w:t>
      </w:r>
    </w:p>
    <w:p w14:paraId="73D4B277"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JAK-STAT Pathway:</w:t>
      </w:r>
    </w:p>
    <w:p w14:paraId="0870A866" w14:textId="3E0F8214"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 xml:space="preserve">The Janus kinase/signal transducer and activator of transcription (JAK-STAT) </w:t>
      </w:r>
      <w:proofErr w:type="spellStart"/>
      <w:r w:rsidRPr="00B13802">
        <w:rPr>
          <w:rFonts w:ascii="Times New Roman" w:hAnsi="Times New Roman" w:cs="Times New Roman"/>
        </w:rPr>
        <w:t>signaling</w:t>
      </w:r>
      <w:proofErr w:type="spellEnd"/>
      <w:r w:rsidRPr="00B13802">
        <w:rPr>
          <w:rFonts w:ascii="Times New Roman" w:hAnsi="Times New Roman" w:cs="Times New Roman"/>
        </w:rPr>
        <w:t xml:space="preserve"> system is critically involved in mediating inflammatory and fibrotic responses in DN. Overexpression of JAK-STAT components has been </w:t>
      </w:r>
      <w:r w:rsidR="002B3A3D" w:rsidRPr="00B13802">
        <w:rPr>
          <w:rFonts w:ascii="Times New Roman" w:hAnsi="Times New Roman" w:cs="Times New Roman"/>
        </w:rPr>
        <w:t>detected</w:t>
      </w:r>
      <w:r w:rsidRPr="00B13802">
        <w:rPr>
          <w:rFonts w:ascii="Times New Roman" w:hAnsi="Times New Roman" w:cs="Times New Roman"/>
        </w:rPr>
        <w:t xml:space="preserve"> in glomerular cells during early DN, where it promotes NF-</w:t>
      </w:r>
      <w:proofErr w:type="spellStart"/>
      <w:r w:rsidRPr="00B13802">
        <w:rPr>
          <w:rFonts w:ascii="Times New Roman" w:hAnsi="Times New Roman" w:cs="Times New Roman"/>
        </w:rPr>
        <w:t>κB</w:t>
      </w:r>
      <w:proofErr w:type="spellEnd"/>
      <w:r w:rsidRPr="00B13802">
        <w:rPr>
          <w:rFonts w:ascii="Times New Roman" w:hAnsi="Times New Roman" w:cs="Times New Roman"/>
        </w:rPr>
        <w:t xml:space="preserve"> activation </w:t>
      </w:r>
      <w:r w:rsidR="002B3A3D" w:rsidRPr="00B13802">
        <w:rPr>
          <w:rFonts w:ascii="Times New Roman" w:hAnsi="Times New Roman" w:cs="Times New Roman"/>
        </w:rPr>
        <w:t>then</w:t>
      </w:r>
      <w:r w:rsidRPr="00B13802">
        <w:rPr>
          <w:rFonts w:ascii="Times New Roman" w:hAnsi="Times New Roman" w:cs="Times New Roman"/>
        </w:rPr>
        <w:t xml:space="preserve"> amplifies inflammatory cascades, exacerbating EMT and renal damage.</w:t>
      </w:r>
    </w:p>
    <w:p w14:paraId="64F90354" w14:textId="764F9162" w:rsid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b/>
          <w:bCs/>
        </w:rPr>
        <w:lastRenderedPageBreak/>
        <w:t>Nrf2-Keap1 Pathway and Oxidative Stress:</w:t>
      </w:r>
      <w:r w:rsidR="004E2BAB">
        <w:rPr>
          <w:rFonts w:ascii="Times New Roman" w:hAnsi="Times New Roman" w:cs="Times New Roman"/>
          <w:noProof/>
          <w:lang w:val="en-US" w:bidi="te-IN"/>
        </w:rPr>
        <w:drawing>
          <wp:anchor distT="0" distB="0" distL="114300" distR="114300" simplePos="0" relativeHeight="251660288" behindDoc="1" locked="0" layoutInCell="1" allowOverlap="1" wp14:anchorId="53E05AE4" wp14:editId="2CC67992">
            <wp:simplePos x="0" y="0"/>
            <wp:positionH relativeFrom="margin">
              <wp:posOffset>86360</wp:posOffset>
            </wp:positionH>
            <wp:positionV relativeFrom="paragraph">
              <wp:posOffset>2468880</wp:posOffset>
            </wp:positionV>
            <wp:extent cx="5731510" cy="2430145"/>
            <wp:effectExtent l="0" t="0" r="2540" b="8255"/>
            <wp:wrapTight wrapText="bothSides">
              <wp:wrapPolygon edited="0">
                <wp:start x="0" y="0"/>
                <wp:lineTo x="0" y="21504"/>
                <wp:lineTo x="21538" y="21504"/>
                <wp:lineTo x="21538" y="0"/>
                <wp:lineTo x="0" y="0"/>
              </wp:wrapPolygon>
            </wp:wrapTight>
            <wp:docPr id="255047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47570" name="Picture 255047570"/>
                    <pic:cNvPicPr/>
                  </pic:nvPicPr>
                  <pic:blipFill>
                    <a:blip r:embed="rId7"/>
                    <a:stretch>
                      <a:fillRect/>
                    </a:stretch>
                  </pic:blipFill>
                  <pic:spPr>
                    <a:xfrm>
                      <a:off x="0" y="0"/>
                      <a:ext cx="5731510" cy="2430145"/>
                    </a:xfrm>
                    <a:prstGeom prst="rect">
                      <a:avLst/>
                    </a:prstGeom>
                  </pic:spPr>
                </pic:pic>
              </a:graphicData>
            </a:graphic>
            <wp14:sizeRelH relativeFrom="page">
              <wp14:pctWidth>0</wp14:pctWidth>
            </wp14:sizeRelH>
            <wp14:sizeRelV relativeFrom="page">
              <wp14:pctHeight>0</wp14:pctHeight>
            </wp14:sizeRelV>
          </wp:anchor>
        </w:drawing>
      </w:r>
      <w:r w:rsidR="009A6F76">
        <w:rPr>
          <w:rFonts w:ascii="Times New Roman" w:hAnsi="Times New Roman" w:cs="Times New Roman"/>
          <w:b/>
          <w:bCs/>
        </w:rPr>
        <w:t xml:space="preserve"> </w:t>
      </w:r>
      <w:r w:rsidRPr="00B13802">
        <w:rPr>
          <w:rFonts w:ascii="Times New Roman" w:hAnsi="Times New Roman" w:cs="Times New Roman"/>
        </w:rPr>
        <w:t xml:space="preserve">Oxidative stress plays a central role in EMT and DN progression. The transcription factor nuclear factor erythroid 2-related factor 2 (Nrf2) regulates antioxidant </w:t>
      </w:r>
      <w:proofErr w:type="spellStart"/>
      <w:r w:rsidRPr="00B13802">
        <w:rPr>
          <w:rFonts w:ascii="Times New Roman" w:hAnsi="Times New Roman" w:cs="Times New Roman"/>
        </w:rPr>
        <w:t>defense</w:t>
      </w:r>
      <w:proofErr w:type="spellEnd"/>
      <w:r w:rsidRPr="00B13802">
        <w:rPr>
          <w:rFonts w:ascii="Times New Roman" w:hAnsi="Times New Roman" w:cs="Times New Roman"/>
        </w:rPr>
        <w:t xml:space="preserve"> mechanisms by inducing cytoprotective genes. Under normal conditions, Nrf2 is sequestered and degraded by its inhibitor Keap1. Oxidative stress disrupts this interaction, allowing Nrf2 to translocate into the nucleus, bind to antioxidant response elements (ARE), and promote expression of multiple antioxidant enzymes. Activation of the Nrf2/Keap1 pathway thus provides a protective effect against oxidative damage and EMT in renal cells. Studies have demonstrated that Nrf2 deficiency results in aggravated kidney injury, highlighting its potential therapeutic role in DN.</w:t>
      </w:r>
    </w:p>
    <w:p w14:paraId="3564F66F" w14:textId="26559C5F" w:rsidR="00476613" w:rsidRDefault="00953A9F" w:rsidP="00652131">
      <w:pPr>
        <w:spacing w:after="0" w:line="360" w:lineRule="auto"/>
        <w:jc w:val="both"/>
        <w:rPr>
          <w:rFonts w:ascii="Times New Roman" w:hAnsi="Times New Roman" w:cs="Times New Roman"/>
          <w:b/>
          <w:bCs/>
        </w:rPr>
      </w:pPr>
      <w:r>
        <w:rPr>
          <w:rFonts w:ascii="Times New Roman" w:hAnsi="Times New Roman" w:cs="Times New Roman"/>
          <w:b/>
          <w:bCs/>
        </w:rPr>
        <w:t xml:space="preserve">Molecular </w:t>
      </w:r>
      <w:proofErr w:type="spellStart"/>
      <w:r>
        <w:rPr>
          <w:rFonts w:ascii="Times New Roman" w:hAnsi="Times New Roman" w:cs="Times New Roman"/>
          <w:b/>
          <w:bCs/>
        </w:rPr>
        <w:t>Signaling</w:t>
      </w:r>
      <w:proofErr w:type="spellEnd"/>
      <w:r>
        <w:rPr>
          <w:rFonts w:ascii="Times New Roman" w:hAnsi="Times New Roman" w:cs="Times New Roman"/>
          <w:b/>
          <w:bCs/>
        </w:rPr>
        <w:t xml:space="preserve"> Pathways:</w:t>
      </w:r>
    </w:p>
    <w:p w14:paraId="5563CDC3" w14:textId="3F4FFD45" w:rsidR="00953A9F" w:rsidRPr="00953A9F" w:rsidRDefault="00953A9F" w:rsidP="00953A9F">
      <w:pPr>
        <w:spacing w:after="0" w:line="360" w:lineRule="auto"/>
        <w:jc w:val="both"/>
        <w:rPr>
          <w:rFonts w:ascii="Times New Roman" w:hAnsi="Times New Roman" w:cs="Times New Roman"/>
          <w:b/>
          <w:bCs/>
        </w:rPr>
      </w:pPr>
      <w:r w:rsidRPr="00953A9F">
        <w:rPr>
          <w:rFonts w:ascii="Times New Roman" w:hAnsi="Times New Roman" w:cs="Times New Roman"/>
          <w:b/>
          <w:bCs/>
        </w:rPr>
        <w:t xml:space="preserve">MAPK </w:t>
      </w:r>
      <w:proofErr w:type="spellStart"/>
      <w:r w:rsidRPr="00953A9F">
        <w:rPr>
          <w:rFonts w:ascii="Times New Roman" w:hAnsi="Times New Roman" w:cs="Times New Roman"/>
          <w:b/>
          <w:bCs/>
        </w:rPr>
        <w:t>Signaling</w:t>
      </w:r>
      <w:proofErr w:type="spellEnd"/>
      <w:r w:rsidRPr="00953A9F">
        <w:rPr>
          <w:rFonts w:ascii="Times New Roman" w:hAnsi="Times New Roman" w:cs="Times New Roman"/>
          <w:b/>
          <w:bCs/>
        </w:rPr>
        <w:t xml:space="preserve"> Pathway in Diabetic Nephropathy (DN)</w:t>
      </w:r>
    </w:p>
    <w:p w14:paraId="70D99D0F" w14:textId="60D03892"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 xml:space="preserve">The mitogen-activated protein kinase (MAPK) </w:t>
      </w:r>
      <w:proofErr w:type="spellStart"/>
      <w:r w:rsidRPr="00953A9F">
        <w:rPr>
          <w:rFonts w:ascii="Times New Roman" w:hAnsi="Times New Roman" w:cs="Times New Roman"/>
        </w:rPr>
        <w:t>signaling</w:t>
      </w:r>
      <w:proofErr w:type="spellEnd"/>
      <w:r w:rsidRPr="00953A9F">
        <w:rPr>
          <w:rFonts w:ascii="Times New Roman" w:hAnsi="Times New Roman" w:cs="Times New Roman"/>
        </w:rPr>
        <w:t xml:space="preserve"> cascade is a highly conserved intracellular pathway composed of a </w:t>
      </w:r>
      <w:r w:rsidR="002B3A3D" w:rsidRPr="00953A9F">
        <w:rPr>
          <w:rFonts w:ascii="Times New Roman" w:hAnsi="Times New Roman" w:cs="Times New Roman"/>
        </w:rPr>
        <w:t>sequence</w:t>
      </w:r>
      <w:r w:rsidRPr="00953A9F">
        <w:rPr>
          <w:rFonts w:ascii="Times New Roman" w:hAnsi="Times New Roman" w:cs="Times New Roman"/>
        </w:rPr>
        <w:t xml:space="preserve"> of serine/threonine protein kinases. This pathway act as an amplification system that transduces extracellular signals into cellular responses, thereby regulating various cellular processes. The central framework of the MAPK pathway involves a three-tiered kinase module: a MAP kinase (MAP3K) phosphorylates and activates a MAP kinase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(MAP2K), which subsequently phosphorylates and activates MAP kinase (MAPK). The MAPK family is subdivided into four major subgroups based on structure and function: extracellular signal-regulated kinases 1 and 2 (ERK1/2), c-Jun N-terminal kinases (JNK1/2/3 or SAPK), p38 mitogen-activated protein kinases (p38MAPKs), and ERK5/BMK1 [</w:t>
      </w:r>
      <w:r w:rsidR="00130F8F">
        <w:rPr>
          <w:rFonts w:ascii="Times New Roman" w:hAnsi="Times New Roman" w:cs="Times New Roman"/>
        </w:rPr>
        <w:t>3</w:t>
      </w:r>
      <w:r w:rsidRPr="00953A9F">
        <w:rPr>
          <w:rFonts w:ascii="Times New Roman" w:hAnsi="Times New Roman" w:cs="Times New Roman"/>
        </w:rPr>
        <w:t xml:space="preserve">8]. Together with upstream stimuli and downstream effectors, these pathways form a complex and dynamic network that controls gene expression </w:t>
      </w:r>
      <w:r w:rsidR="00983285">
        <w:rPr>
          <w:rFonts w:ascii="Times New Roman" w:hAnsi="Times New Roman" w:cs="Times New Roman"/>
        </w:rPr>
        <w:t>to</w:t>
      </w:r>
      <w:r w:rsidRPr="00953A9F">
        <w:rPr>
          <w:rFonts w:ascii="Times New Roman" w:hAnsi="Times New Roman" w:cs="Times New Roman"/>
        </w:rPr>
        <w:t xml:space="preserve"> coordinate essential cell functions</w:t>
      </w:r>
      <w:r w:rsidR="007A6ED8">
        <w:rPr>
          <w:rFonts w:ascii="Times New Roman" w:hAnsi="Times New Roman" w:cs="Times New Roman"/>
        </w:rPr>
        <w:t xml:space="preserve"> (13).</w:t>
      </w:r>
    </w:p>
    <w:p w14:paraId="452554C8" w14:textId="2C403B8E" w:rsidR="00953A9F" w:rsidRPr="00953A9F" w:rsidRDefault="00953A9F" w:rsidP="00953A9F">
      <w:pPr>
        <w:spacing w:after="0" w:line="360" w:lineRule="auto"/>
        <w:jc w:val="both"/>
        <w:rPr>
          <w:rFonts w:ascii="Times New Roman" w:hAnsi="Times New Roman" w:cs="Times New Roman"/>
          <w:b/>
          <w:bCs/>
        </w:rPr>
      </w:pPr>
      <w:r w:rsidRPr="00953A9F">
        <w:rPr>
          <w:rFonts w:ascii="Times New Roman" w:hAnsi="Times New Roman" w:cs="Times New Roman"/>
          <w:b/>
          <w:bCs/>
        </w:rPr>
        <w:t xml:space="preserve">PK </w:t>
      </w:r>
      <w:proofErr w:type="spellStart"/>
      <w:r w:rsidRPr="00953A9F">
        <w:rPr>
          <w:rFonts w:ascii="Times New Roman" w:hAnsi="Times New Roman" w:cs="Times New Roman"/>
          <w:b/>
          <w:bCs/>
        </w:rPr>
        <w:t>Signaling</w:t>
      </w:r>
      <w:proofErr w:type="spellEnd"/>
      <w:r w:rsidRPr="00953A9F">
        <w:rPr>
          <w:rFonts w:ascii="Times New Roman" w:hAnsi="Times New Roman" w:cs="Times New Roman"/>
          <w:b/>
          <w:bCs/>
        </w:rPr>
        <w:t xml:space="preserve"> Pathway</w:t>
      </w:r>
    </w:p>
    <w:p w14:paraId="44325B24" w14:textId="6A4A29BD"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lastRenderedPageBreak/>
        <w:t xml:space="preserve">The p38MAPK subgroup is crucial in regulating cellular responses to stress and inflammation and plays an indispensable role in DN development. Experimental evidence has revealed that high glucose (HG) conditions induce phosphorylation and </w:t>
      </w:r>
      <w:r w:rsidR="00D426A9" w:rsidRPr="00953A9F">
        <w:rPr>
          <w:rFonts w:ascii="Times New Roman" w:hAnsi="Times New Roman" w:cs="Times New Roman"/>
        </w:rPr>
        <w:t>initiation</w:t>
      </w:r>
      <w:r w:rsidRPr="00953A9F">
        <w:rPr>
          <w:rFonts w:ascii="Times New Roman" w:hAnsi="Times New Roman" w:cs="Times New Roman"/>
        </w:rPr>
        <w:t xml:space="preserve"> of p38MAPK in renal mesangial cells (MCs), which </w:t>
      </w:r>
      <w:r w:rsidR="00D426A9">
        <w:rPr>
          <w:rFonts w:ascii="Times New Roman" w:hAnsi="Times New Roman" w:cs="Times New Roman"/>
        </w:rPr>
        <w:t>outbursts</w:t>
      </w:r>
      <w:r w:rsidRPr="00953A9F">
        <w:rPr>
          <w:rFonts w:ascii="Times New Roman" w:hAnsi="Times New Roman" w:cs="Times New Roman"/>
        </w:rPr>
        <w:t xml:space="preserve"> in increased synthesis of fibronectin (FN), a key </w:t>
      </w:r>
      <w:r w:rsidR="00D426A9" w:rsidRPr="00953A9F">
        <w:rPr>
          <w:rFonts w:ascii="Times New Roman" w:hAnsi="Times New Roman" w:cs="Times New Roman"/>
        </w:rPr>
        <w:t>module</w:t>
      </w:r>
      <w:r w:rsidRPr="00953A9F">
        <w:rPr>
          <w:rFonts w:ascii="Times New Roman" w:hAnsi="Times New Roman" w:cs="Times New Roman"/>
        </w:rPr>
        <w:t xml:space="preserve"> of the extracellular matrix (ECM). Pharmacological inhibition of p38MAPK can attenuate ECM </w:t>
      </w:r>
      <w:proofErr w:type="spellStart"/>
      <w:r w:rsidRPr="00953A9F">
        <w:rPr>
          <w:rFonts w:ascii="Times New Roman" w:hAnsi="Times New Roman" w:cs="Times New Roman"/>
        </w:rPr>
        <w:t>buildup</w:t>
      </w:r>
      <w:proofErr w:type="spellEnd"/>
      <w:r w:rsidRPr="00953A9F">
        <w:rPr>
          <w:rFonts w:ascii="Times New Roman" w:hAnsi="Times New Roman" w:cs="Times New Roman"/>
        </w:rPr>
        <w:t xml:space="preserve"> in MCs, thereby preventing thickening of the glomerular basement membrane (GBM) and slowing DN progression. Additionally, </w:t>
      </w:r>
      <w:proofErr w:type="spellStart"/>
      <w:r w:rsidRPr="00953A9F">
        <w:rPr>
          <w:rFonts w:ascii="Times New Roman" w:hAnsi="Times New Roman" w:cs="Times New Roman"/>
        </w:rPr>
        <w:t>hyperglycemia</w:t>
      </w:r>
      <w:proofErr w:type="spellEnd"/>
      <w:r w:rsidRPr="00953A9F">
        <w:rPr>
          <w:rFonts w:ascii="Times New Roman" w:hAnsi="Times New Roman" w:cs="Times New Roman"/>
        </w:rPr>
        <w:t xml:space="preserve">-induced activation of the renin-angiotensin-aldosterone system (RAAS) further contributes to renal injury through the p38MAPK pathway in diabetic patients. These findings underscore the importance of exploring the p38MAPK </w:t>
      </w:r>
      <w:proofErr w:type="spellStart"/>
      <w:r w:rsidRPr="00953A9F">
        <w:rPr>
          <w:rFonts w:ascii="Times New Roman" w:hAnsi="Times New Roman" w:cs="Times New Roman"/>
        </w:rPr>
        <w:t>signaling</w:t>
      </w:r>
      <w:proofErr w:type="spellEnd"/>
      <w:r w:rsidRPr="00953A9F">
        <w:rPr>
          <w:rFonts w:ascii="Times New Roman" w:hAnsi="Times New Roman" w:cs="Times New Roman"/>
        </w:rPr>
        <w:t xml:space="preserve"> cascade in DN.</w:t>
      </w:r>
    </w:p>
    <w:p w14:paraId="4404DECF" w14:textId="4F21F178"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 xml:space="preserve">The diabetic microenvironment characterized by high glucose concentration encompasses numerous pathological stimuli including pro-inflammatory cytokines, reactive oxygen species (ROS), angiotensin II (Ang-II), hyperosmolarity, and other stress factors. These conditions lead to enhanced expression and activity of upstream kinases such as MAP kinase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3, 6, and 4 (MKK3/6/4), which mediate dual phosphorylation at the TGY motif within the activation loop of p38MAPK, triggering its activation [</w:t>
      </w:r>
      <w:r w:rsidR="00130F8F">
        <w:rPr>
          <w:rFonts w:ascii="Times New Roman" w:hAnsi="Times New Roman" w:cs="Times New Roman"/>
        </w:rPr>
        <w:t>6</w:t>
      </w:r>
      <w:r w:rsidRPr="00953A9F">
        <w:rPr>
          <w:rFonts w:ascii="Times New Roman" w:hAnsi="Times New Roman" w:cs="Times New Roman"/>
        </w:rPr>
        <w:t>].</w:t>
      </w:r>
    </w:p>
    <w:p w14:paraId="2454F9C3" w14:textId="10E65103" w:rsidR="00953A9F" w:rsidRPr="00953A9F" w:rsidRDefault="00953A9F" w:rsidP="00953A9F">
      <w:pPr>
        <w:spacing w:after="0" w:line="360" w:lineRule="auto"/>
        <w:jc w:val="both"/>
        <w:rPr>
          <w:rFonts w:ascii="Times New Roman" w:hAnsi="Times New Roman" w:cs="Times New Roman"/>
          <w:b/>
          <w:bCs/>
        </w:rPr>
      </w:pPr>
      <w:r w:rsidRPr="00953A9F">
        <w:rPr>
          <w:rFonts w:ascii="Times New Roman" w:hAnsi="Times New Roman" w:cs="Times New Roman"/>
          <w:b/>
          <w:bCs/>
        </w:rPr>
        <w:t xml:space="preserve">JNK/SAPK </w:t>
      </w:r>
      <w:proofErr w:type="spellStart"/>
      <w:r w:rsidRPr="00953A9F">
        <w:rPr>
          <w:rFonts w:ascii="Times New Roman" w:hAnsi="Times New Roman" w:cs="Times New Roman"/>
          <w:b/>
          <w:bCs/>
        </w:rPr>
        <w:t>Signaling</w:t>
      </w:r>
      <w:proofErr w:type="spellEnd"/>
      <w:r w:rsidRPr="00953A9F">
        <w:rPr>
          <w:rFonts w:ascii="Times New Roman" w:hAnsi="Times New Roman" w:cs="Times New Roman"/>
          <w:b/>
          <w:bCs/>
        </w:rPr>
        <w:t xml:space="preserve"> Pathway</w:t>
      </w:r>
    </w:p>
    <w:p w14:paraId="6AFE7E29" w14:textId="3476982E"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c-Jun N-terminal kinases (JNKs) are another critical subgroup of the MAPK family, consisting mainly of three isoforms: JNK1 and JNK2, which are ubiquitously expressed, and JNK3, which is predominantly found in neuronal tissue [</w:t>
      </w:r>
      <w:r w:rsidR="00130F8F">
        <w:rPr>
          <w:rFonts w:ascii="Times New Roman" w:hAnsi="Times New Roman" w:cs="Times New Roman"/>
        </w:rPr>
        <w:t>6</w:t>
      </w:r>
      <w:r w:rsidRPr="00953A9F">
        <w:rPr>
          <w:rFonts w:ascii="Times New Roman" w:hAnsi="Times New Roman" w:cs="Times New Roman"/>
        </w:rPr>
        <w:t xml:space="preserve">1]. In type 2 diabetes mellitus (T2DM) patients and diabetic animal models, environmental stresses such as high glucose and ultraviolet light, as well as inflammatory cytokines like TNF-α, activate upstream MAP3Ks, particularly mitogen-activated protein kinase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1 (MEKK1), initiating the JNK </w:t>
      </w:r>
      <w:proofErr w:type="spellStart"/>
      <w:r w:rsidR="00846D1C" w:rsidRPr="00953A9F">
        <w:rPr>
          <w:rFonts w:ascii="Times New Roman" w:hAnsi="Times New Roman" w:cs="Times New Roman"/>
        </w:rPr>
        <w:t>Signaling</w:t>
      </w:r>
      <w:proofErr w:type="spellEnd"/>
      <w:r w:rsidRPr="00953A9F">
        <w:rPr>
          <w:rFonts w:ascii="Times New Roman" w:hAnsi="Times New Roman" w:cs="Times New Roman"/>
        </w:rPr>
        <w:t xml:space="preserve"> cascade.</w:t>
      </w:r>
    </w:p>
    <w:p w14:paraId="403AE04F" w14:textId="0BC0B53D"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 xml:space="preserve">Activated MAP3Ks phosphorylate MAP kinase kinases 4 and 7 (MKK4/7), which in turn phosphorylate and activate JNKs. </w:t>
      </w:r>
    </w:p>
    <w:p w14:paraId="242DD80F" w14:textId="77777777" w:rsidR="000C3B54" w:rsidRPr="000C3B54" w:rsidRDefault="000C3B54" w:rsidP="000C3B54">
      <w:pPr>
        <w:spacing w:after="0" w:line="360" w:lineRule="auto"/>
        <w:jc w:val="both"/>
        <w:rPr>
          <w:rFonts w:ascii="Times New Roman" w:hAnsi="Times New Roman" w:cs="Times New Roman"/>
          <w:b/>
          <w:bCs/>
        </w:rPr>
      </w:pPr>
      <w:r w:rsidRPr="000C3B54">
        <w:rPr>
          <w:rFonts w:ascii="Times New Roman" w:hAnsi="Times New Roman" w:cs="Times New Roman"/>
          <w:b/>
          <w:bCs/>
        </w:rPr>
        <w:t xml:space="preserve">ERK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w:t>
      </w:r>
    </w:p>
    <w:p w14:paraId="3F53DF8F" w14:textId="4FB41E03"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The ERK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pathway is a central regulatory network controlling cell proliferation, transformation, differentiation, and apoptosis. Despite extensive research over the </w:t>
      </w:r>
      <w:r w:rsidR="001757F4" w:rsidRPr="000C3B54">
        <w:rPr>
          <w:rFonts w:ascii="Times New Roman" w:hAnsi="Times New Roman" w:cs="Times New Roman"/>
        </w:rPr>
        <w:t>historical</w:t>
      </w:r>
      <w:r w:rsidRPr="000C3B54">
        <w:rPr>
          <w:rFonts w:ascii="Times New Roman" w:hAnsi="Times New Roman" w:cs="Times New Roman"/>
        </w:rPr>
        <w:t xml:space="preserve"> decade that has expanded our understanding of </w:t>
      </w:r>
      <w:r w:rsidR="001757F4" w:rsidRPr="000C3B54">
        <w:rPr>
          <w:rFonts w:ascii="Times New Roman" w:hAnsi="Times New Roman" w:cs="Times New Roman"/>
        </w:rPr>
        <w:t>numerous</w:t>
      </w:r>
      <w:r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Pr="000C3B54">
        <w:rPr>
          <w:rFonts w:ascii="Times New Roman" w:hAnsi="Times New Roman" w:cs="Times New Roman"/>
        </w:rPr>
        <w:t xml:space="preserve"> pathways, the ERK pathway remains complex and not fully understood. Studies have highlighted ERK’s crucial role in intracellular </w:t>
      </w:r>
      <w:proofErr w:type="spellStart"/>
      <w:r w:rsidRPr="000C3B54">
        <w:rPr>
          <w:rFonts w:ascii="Times New Roman" w:hAnsi="Times New Roman" w:cs="Times New Roman"/>
        </w:rPr>
        <w:t>signaling</w:t>
      </w:r>
      <w:proofErr w:type="spellEnd"/>
      <w:r w:rsidRPr="000C3B54">
        <w:rPr>
          <w:rFonts w:ascii="Times New Roman" w:hAnsi="Times New Roman" w:cs="Times New Roman"/>
        </w:rPr>
        <w:t>, particularly in integrating gene transcription involved in multiple cellular responses relevant to DN [</w:t>
      </w:r>
      <w:r w:rsidR="00130F8F">
        <w:rPr>
          <w:rFonts w:ascii="Times New Roman" w:hAnsi="Times New Roman" w:cs="Times New Roman"/>
        </w:rPr>
        <w:t>6</w:t>
      </w:r>
      <w:r w:rsidRPr="000C3B54">
        <w:rPr>
          <w:rFonts w:ascii="Times New Roman" w:hAnsi="Times New Roman" w:cs="Times New Roman"/>
        </w:rPr>
        <w:t>]. Growing evidence reveals intricate protein interactions within the ERK pathway, and assessing their significance is vital for developing DN treatments.</w:t>
      </w:r>
      <w:r>
        <w:rPr>
          <w:rFonts w:ascii="Times New Roman" w:hAnsi="Times New Roman" w:cs="Times New Roman"/>
        </w:rPr>
        <w:t xml:space="preserve"> </w:t>
      </w:r>
    </w:p>
    <w:p w14:paraId="7B643FCE" w14:textId="77777777" w:rsidR="000C3B54" w:rsidRPr="000C3B54" w:rsidRDefault="000C3B54" w:rsidP="000C3B54">
      <w:pPr>
        <w:spacing w:after="0" w:line="360" w:lineRule="auto"/>
        <w:jc w:val="both"/>
        <w:rPr>
          <w:rFonts w:ascii="Times New Roman" w:hAnsi="Times New Roman" w:cs="Times New Roman"/>
          <w:b/>
          <w:bCs/>
        </w:rPr>
      </w:pPr>
      <w:r w:rsidRPr="000C3B54">
        <w:rPr>
          <w:rFonts w:ascii="Times New Roman" w:hAnsi="Times New Roman" w:cs="Times New Roman"/>
          <w:b/>
          <w:bCs/>
        </w:rPr>
        <w:t xml:space="preserve">TGF-β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w:t>
      </w:r>
    </w:p>
    <w:p w14:paraId="4FF0B35A" w14:textId="56EF5550"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lastRenderedPageBreak/>
        <w:t xml:space="preserve">Transforming growth factor-beta (TGF-β) is a hypertrophic and pro-fibrotic cytokine that is widely expressed across various organs and tissues, playing a </w:t>
      </w:r>
      <w:r w:rsidR="001757F4" w:rsidRPr="000C3B54">
        <w:rPr>
          <w:rFonts w:ascii="Times New Roman" w:hAnsi="Times New Roman" w:cs="Times New Roman"/>
        </w:rPr>
        <w:t>critical</w:t>
      </w:r>
      <w:r w:rsidRPr="000C3B54">
        <w:rPr>
          <w:rFonts w:ascii="Times New Roman" w:hAnsi="Times New Roman" w:cs="Times New Roman"/>
        </w:rPr>
        <w:t xml:space="preserve"> role in numerous cellular functions. Previous studies have </w:t>
      </w:r>
      <w:r w:rsidR="001757F4" w:rsidRPr="000C3B54">
        <w:rPr>
          <w:rFonts w:ascii="Times New Roman" w:hAnsi="Times New Roman" w:cs="Times New Roman"/>
        </w:rPr>
        <w:t>revealed</w:t>
      </w:r>
      <w:r w:rsidRPr="000C3B54">
        <w:rPr>
          <w:rFonts w:ascii="Times New Roman" w:hAnsi="Times New Roman" w:cs="Times New Roman"/>
        </w:rPr>
        <w:t xml:space="preserve"> that TGF-β1 expression is </w:t>
      </w:r>
      <w:r w:rsidR="001757F4" w:rsidRPr="000C3B54">
        <w:rPr>
          <w:rFonts w:ascii="Times New Roman" w:hAnsi="Times New Roman" w:cs="Times New Roman"/>
        </w:rPr>
        <w:t>pointedly</w:t>
      </w:r>
      <w:r w:rsidRPr="000C3B54">
        <w:rPr>
          <w:rFonts w:ascii="Times New Roman" w:hAnsi="Times New Roman" w:cs="Times New Roman"/>
        </w:rPr>
        <w:t xml:space="preserve"> increased in renal cells exposed to high glucose (HG) conditions, as well as in the kidney tissues of diabetic </w:t>
      </w:r>
      <w:proofErr w:type="spellStart"/>
      <w:r w:rsidRPr="000C3B54">
        <w:rPr>
          <w:rFonts w:ascii="Times New Roman" w:hAnsi="Times New Roman" w:cs="Times New Roman"/>
        </w:rPr>
        <w:t>db</w:t>
      </w:r>
      <w:proofErr w:type="spellEnd"/>
      <w:r w:rsidRPr="000C3B54">
        <w:rPr>
          <w:rFonts w:ascii="Times New Roman" w:hAnsi="Times New Roman" w:cs="Times New Roman"/>
        </w:rPr>
        <w:t>/</w:t>
      </w:r>
      <w:proofErr w:type="spellStart"/>
      <w:r w:rsidRPr="000C3B54">
        <w:rPr>
          <w:rFonts w:ascii="Times New Roman" w:hAnsi="Times New Roman" w:cs="Times New Roman"/>
        </w:rPr>
        <w:t>db</w:t>
      </w:r>
      <w:proofErr w:type="spellEnd"/>
      <w:r w:rsidRPr="000C3B54">
        <w:rPr>
          <w:rFonts w:ascii="Times New Roman" w:hAnsi="Times New Roman" w:cs="Times New Roman"/>
        </w:rPr>
        <w:t xml:space="preserve"> mouse models. TGF-β1 is recognized as a potent multifunctional cytokine that promotes extracellular matrix (ECM) synthesis and inhibits its degradation. </w:t>
      </w:r>
    </w:p>
    <w:p w14:paraId="2CDC65B9" w14:textId="77777777" w:rsidR="000C3B54" w:rsidRPr="000C3B54" w:rsidRDefault="000C3B54" w:rsidP="000C3B54">
      <w:pPr>
        <w:spacing w:after="0" w:line="360" w:lineRule="auto"/>
        <w:jc w:val="both"/>
        <w:rPr>
          <w:rFonts w:ascii="Times New Roman" w:hAnsi="Times New Roman" w:cs="Times New Roman"/>
          <w:b/>
          <w:bCs/>
        </w:rPr>
      </w:pPr>
      <w:proofErr w:type="spellStart"/>
      <w:r w:rsidRPr="000C3B54">
        <w:rPr>
          <w:rFonts w:ascii="Times New Roman" w:hAnsi="Times New Roman" w:cs="Times New Roman"/>
          <w:b/>
          <w:bCs/>
        </w:rPr>
        <w:t>RhoA</w:t>
      </w:r>
      <w:proofErr w:type="spellEnd"/>
      <w:r w:rsidRPr="000C3B54">
        <w:rPr>
          <w:rFonts w:ascii="Times New Roman" w:hAnsi="Times New Roman" w:cs="Times New Roman"/>
          <w:b/>
          <w:bCs/>
        </w:rPr>
        <w:t xml:space="preserve">/ROCK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w:t>
      </w:r>
    </w:p>
    <w:p w14:paraId="1E374360" w14:textId="2F1719FF" w:rsidR="000C3B54" w:rsidRPr="000C3B54" w:rsidRDefault="00130F8F" w:rsidP="000C3B54">
      <w:pPr>
        <w:spacing w:after="0" w:line="360" w:lineRule="auto"/>
        <w:jc w:val="both"/>
        <w:rPr>
          <w:rFonts w:ascii="Times New Roman" w:hAnsi="Times New Roman" w:cs="Times New Roman"/>
        </w:rPr>
      </w:pPr>
      <w:r>
        <w:rPr>
          <w:rFonts w:ascii="Times New Roman" w:hAnsi="Times New Roman" w:cs="Times New Roman"/>
        </w:rPr>
        <w:t xml:space="preserve">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 xml:space="preserve">/ROCK </w:t>
      </w:r>
      <w:proofErr w:type="spellStart"/>
      <w:r w:rsidR="00846D1C" w:rsidRPr="000C3B54">
        <w:rPr>
          <w:rFonts w:ascii="Times New Roman" w:hAnsi="Times New Roman" w:cs="Times New Roman"/>
        </w:rPr>
        <w:t>Signaling</w:t>
      </w:r>
      <w:proofErr w:type="spellEnd"/>
      <w:r w:rsidR="000C3B54" w:rsidRPr="000C3B54">
        <w:rPr>
          <w:rFonts w:ascii="Times New Roman" w:hAnsi="Times New Roman" w:cs="Times New Roman"/>
        </w:rPr>
        <w:t xml:space="preserve"> pathway has recently garnered significant attention due to its </w:t>
      </w:r>
      <w:r w:rsidR="00406214" w:rsidRPr="000C3B54">
        <w:rPr>
          <w:rFonts w:ascii="Times New Roman" w:hAnsi="Times New Roman" w:cs="Times New Roman"/>
        </w:rPr>
        <w:t>life-threatening</w:t>
      </w:r>
      <w:r w:rsidR="000C3B54" w:rsidRPr="000C3B54">
        <w:rPr>
          <w:rFonts w:ascii="Times New Roman" w:hAnsi="Times New Roman" w:cs="Times New Roman"/>
        </w:rPr>
        <w:t xml:space="preserve"> role in the </w:t>
      </w:r>
      <w:r w:rsidR="00406214" w:rsidRPr="000C3B54">
        <w:rPr>
          <w:rFonts w:ascii="Times New Roman" w:hAnsi="Times New Roman" w:cs="Times New Roman"/>
        </w:rPr>
        <w:t>progress</w:t>
      </w:r>
      <w:r w:rsidR="000C3B54" w:rsidRPr="000C3B54">
        <w:rPr>
          <w:rFonts w:ascii="Times New Roman" w:hAnsi="Times New Roman" w:cs="Times New Roman"/>
        </w:rPr>
        <w:t xml:space="preserve"> of diabetic complications. Studies have shown increased translocation of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 xml:space="preserve"> to the renal cortex, and inhibition of the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/ROCK pathway has been found to slow the progression of DN [</w:t>
      </w:r>
      <w:r>
        <w:rPr>
          <w:rFonts w:ascii="Times New Roman" w:hAnsi="Times New Roman" w:cs="Times New Roman"/>
        </w:rPr>
        <w:t>9</w:t>
      </w:r>
      <w:r w:rsidR="000C3B54" w:rsidRPr="000C3B54">
        <w:rPr>
          <w:rFonts w:ascii="Times New Roman" w:hAnsi="Times New Roman" w:cs="Times New Roman"/>
        </w:rPr>
        <w:t xml:space="preserve">]. Furthermore, podocyte-specific activation of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 xml:space="preserve"> induces proteinuria and podocyte apoptosis, underscoring the importance of this pathway in DN pathogenesis [</w:t>
      </w:r>
      <w:r>
        <w:rPr>
          <w:rFonts w:ascii="Times New Roman" w:hAnsi="Times New Roman" w:cs="Times New Roman"/>
        </w:rPr>
        <w:t>9</w:t>
      </w:r>
      <w:r w:rsidR="000C3B54" w:rsidRPr="000C3B54">
        <w:rPr>
          <w:rFonts w:ascii="Times New Roman" w:hAnsi="Times New Roman" w:cs="Times New Roman"/>
        </w:rPr>
        <w:t>].</w:t>
      </w:r>
    </w:p>
    <w:p w14:paraId="673C2F4E" w14:textId="77777777"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b/>
          <w:bCs/>
        </w:rPr>
        <w:t>NF-</w:t>
      </w:r>
      <w:proofErr w:type="spellStart"/>
      <w:r w:rsidRPr="000C3B54">
        <w:rPr>
          <w:rFonts w:ascii="Times New Roman" w:hAnsi="Times New Roman" w:cs="Times New Roman"/>
          <w:b/>
          <w:bCs/>
        </w:rPr>
        <w:t>κB</w:t>
      </w:r>
      <w:proofErr w:type="spellEnd"/>
      <w:r w:rsidRPr="000C3B54">
        <w:rPr>
          <w:rFonts w:ascii="Times New Roman" w:hAnsi="Times New Roman" w:cs="Times New Roman"/>
          <w:b/>
          <w:bCs/>
        </w:rPr>
        <w:t xml:space="preserve">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 (DN)</w:t>
      </w:r>
    </w:p>
    <w:p w14:paraId="0AEFB6E1" w14:textId="3C0FEF6C"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The NF-</w:t>
      </w:r>
      <w:proofErr w:type="spellStart"/>
      <w:r w:rsidRPr="000C3B54">
        <w:rPr>
          <w:rFonts w:ascii="Times New Roman" w:hAnsi="Times New Roman" w:cs="Times New Roman"/>
        </w:rPr>
        <w:t>κB</w:t>
      </w:r>
      <w:proofErr w:type="spellEnd"/>
      <w:r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Pr="000C3B54">
        <w:rPr>
          <w:rFonts w:ascii="Times New Roman" w:hAnsi="Times New Roman" w:cs="Times New Roman"/>
        </w:rPr>
        <w:t xml:space="preserve"> pathway plays a </w:t>
      </w:r>
      <w:r w:rsidR="009170DB" w:rsidRPr="000C3B54">
        <w:rPr>
          <w:rFonts w:ascii="Times New Roman" w:hAnsi="Times New Roman" w:cs="Times New Roman"/>
        </w:rPr>
        <w:t>critical</w:t>
      </w:r>
      <w:r w:rsidRPr="000C3B54">
        <w:rPr>
          <w:rFonts w:ascii="Times New Roman" w:hAnsi="Times New Roman" w:cs="Times New Roman"/>
        </w:rPr>
        <w:t xml:space="preserve"> role in chronic inflammatory and autoimmune conditions, including DN. Lee et al. observed that in DN, the activity of the NF-</w:t>
      </w:r>
      <w:proofErr w:type="spellStart"/>
      <w:r w:rsidRPr="000C3B54">
        <w:rPr>
          <w:rFonts w:ascii="Times New Roman" w:hAnsi="Times New Roman" w:cs="Times New Roman"/>
        </w:rPr>
        <w:t>κB</w:t>
      </w:r>
      <w:proofErr w:type="spellEnd"/>
      <w:r w:rsidRPr="000C3B54">
        <w:rPr>
          <w:rFonts w:ascii="Times New Roman" w:hAnsi="Times New Roman" w:cs="Times New Roman"/>
        </w:rPr>
        <w:t xml:space="preserve"> p65 protein is elevated, along with increased expression of MCP-1 mRNA in both tubulointerstitial and glomerular cells. Their study also revealed that activated NF-</w:t>
      </w:r>
      <w:proofErr w:type="spellStart"/>
      <w:r w:rsidRPr="000C3B54">
        <w:rPr>
          <w:rFonts w:ascii="Times New Roman" w:hAnsi="Times New Roman" w:cs="Times New Roman"/>
        </w:rPr>
        <w:t>κB</w:t>
      </w:r>
      <w:proofErr w:type="spellEnd"/>
      <w:r w:rsidRPr="000C3B54">
        <w:rPr>
          <w:rFonts w:ascii="Times New Roman" w:hAnsi="Times New Roman" w:cs="Times New Roman"/>
        </w:rPr>
        <w:t xml:space="preserve"> </w:t>
      </w:r>
      <w:proofErr w:type="spellStart"/>
      <w:r w:rsidRPr="000C3B54">
        <w:rPr>
          <w:rFonts w:ascii="Times New Roman" w:hAnsi="Times New Roman" w:cs="Times New Roman"/>
        </w:rPr>
        <w:t>translocates</w:t>
      </w:r>
      <w:proofErr w:type="spellEnd"/>
      <w:r w:rsidRPr="000C3B54">
        <w:rPr>
          <w:rFonts w:ascii="Times New Roman" w:hAnsi="Times New Roman" w:cs="Times New Roman"/>
        </w:rPr>
        <w:t xml:space="preserve"> to the nucleus, initiating the expression of target genes such as TNF-α, </w:t>
      </w:r>
      <w:proofErr w:type="spellStart"/>
      <w:r w:rsidRPr="000C3B54">
        <w:rPr>
          <w:rFonts w:ascii="Times New Roman" w:hAnsi="Times New Roman" w:cs="Times New Roman"/>
        </w:rPr>
        <w:t>iNOS</w:t>
      </w:r>
      <w:proofErr w:type="spellEnd"/>
      <w:r w:rsidRPr="000C3B54">
        <w:rPr>
          <w:rFonts w:ascii="Times New Roman" w:hAnsi="Times New Roman" w:cs="Times New Roman"/>
        </w:rPr>
        <w:t xml:space="preserve">, TGF-β1, IL-1β, and intercellular adhesion molecule-1 (ICAM-1). These downstream inflammatory mediators contribute to sustained and intensified inflammation, leading to excessive fibronectin (FN) production and extracellular matrix (ECM) </w:t>
      </w:r>
      <w:proofErr w:type="spellStart"/>
      <w:r w:rsidRPr="000C3B54">
        <w:rPr>
          <w:rFonts w:ascii="Times New Roman" w:hAnsi="Times New Roman" w:cs="Times New Roman"/>
        </w:rPr>
        <w:t>buildup</w:t>
      </w:r>
      <w:proofErr w:type="spellEnd"/>
      <w:r w:rsidRPr="000C3B54">
        <w:rPr>
          <w:rFonts w:ascii="Times New Roman" w:hAnsi="Times New Roman" w:cs="Times New Roman"/>
        </w:rPr>
        <w:t xml:space="preserve"> [</w:t>
      </w:r>
      <w:r w:rsidR="00130F8F">
        <w:rPr>
          <w:rFonts w:ascii="Times New Roman" w:hAnsi="Times New Roman" w:cs="Times New Roman"/>
        </w:rPr>
        <w:t>10</w:t>
      </w:r>
      <w:r w:rsidRPr="000C3B54">
        <w:rPr>
          <w:rFonts w:ascii="Times New Roman" w:hAnsi="Times New Roman" w:cs="Times New Roman"/>
        </w:rPr>
        <w:t>]. These findings suggest that NF-</w:t>
      </w:r>
      <w:proofErr w:type="spellStart"/>
      <w:r w:rsidRPr="000C3B54">
        <w:rPr>
          <w:rFonts w:ascii="Times New Roman" w:hAnsi="Times New Roman" w:cs="Times New Roman"/>
        </w:rPr>
        <w:t>κB</w:t>
      </w:r>
      <w:proofErr w:type="spellEnd"/>
      <w:r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Pr="000C3B54">
        <w:rPr>
          <w:rFonts w:ascii="Times New Roman" w:hAnsi="Times New Roman" w:cs="Times New Roman"/>
        </w:rPr>
        <w:t xml:space="preserve"> is a key driver in the pathogenesis and progression of DN.</w:t>
      </w:r>
    </w:p>
    <w:p w14:paraId="0692B92F" w14:textId="77777777" w:rsidR="000C3B54" w:rsidRPr="000C3B54" w:rsidRDefault="000C3B54" w:rsidP="000C3B54">
      <w:pPr>
        <w:spacing w:after="0" w:line="360" w:lineRule="auto"/>
        <w:jc w:val="both"/>
        <w:rPr>
          <w:rFonts w:ascii="Times New Roman" w:hAnsi="Times New Roman" w:cs="Times New Roman"/>
        </w:rPr>
      </w:pPr>
      <w:proofErr w:type="spellStart"/>
      <w:r w:rsidRPr="000C3B54">
        <w:rPr>
          <w:rFonts w:ascii="Times New Roman" w:hAnsi="Times New Roman" w:cs="Times New Roman"/>
          <w:b/>
          <w:bCs/>
        </w:rPr>
        <w:t>Wnt</w:t>
      </w:r>
      <w:proofErr w:type="spellEnd"/>
      <w:r w:rsidRPr="000C3B54">
        <w:rPr>
          <w:rFonts w:ascii="Times New Roman" w:hAnsi="Times New Roman" w:cs="Times New Roman"/>
          <w:b/>
          <w:bCs/>
        </w:rPr>
        <w:t xml:space="preserve">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w:t>
      </w:r>
    </w:p>
    <w:p w14:paraId="5E9AC854" w14:textId="7FD962BA"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The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Pr="000C3B54">
        <w:rPr>
          <w:rFonts w:ascii="Times New Roman" w:hAnsi="Times New Roman" w:cs="Times New Roman"/>
        </w:rPr>
        <w:t xml:space="preserve"> pathway is a highly conserved system that influences cell fate by regulating polarization, branching morphogenesis, and proliferation. It consists mainly of two pathways: canonical and noncanonical. Multiple studies highlight the critical role of the canonical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/β-catenin pathway in fibrosis. TGF-β1, in conjunction with integrin-linked kinase and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activates the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/β-catenin pathway and initiates epithelial-to-mesenchymal transition (EMT), establishing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/β-catenin as a central regulator in DN [3]. One well-known pathological feature of DN is mesangial expansion, which correlates with early renal dysfunction. </w:t>
      </w:r>
    </w:p>
    <w:p w14:paraId="00023AC7" w14:textId="77777777"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b/>
          <w:bCs/>
        </w:rPr>
        <w:t xml:space="preserve">JAK-STAT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 (DN)</w:t>
      </w:r>
    </w:p>
    <w:p w14:paraId="72D11878" w14:textId="49C3F320"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The Janus kinase (JAK) family and signal transducers and activators of transcription (STAT), collectively known as the JAK/STAT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pathway, is a </w:t>
      </w:r>
      <w:r w:rsidR="00DA5FC8" w:rsidRPr="000C3B54">
        <w:rPr>
          <w:rFonts w:ascii="Times New Roman" w:hAnsi="Times New Roman" w:cs="Times New Roman"/>
        </w:rPr>
        <w:t>dangerous</w:t>
      </w:r>
      <w:r w:rsidRPr="000C3B54">
        <w:rPr>
          <w:rFonts w:ascii="Times New Roman" w:hAnsi="Times New Roman" w:cs="Times New Roman"/>
        </w:rPr>
        <w:t xml:space="preserve"> regulator of numerous </w:t>
      </w:r>
      <w:r w:rsidRPr="000C3B54">
        <w:rPr>
          <w:rFonts w:ascii="Times New Roman" w:hAnsi="Times New Roman" w:cs="Times New Roman"/>
        </w:rPr>
        <w:lastRenderedPageBreak/>
        <w:t xml:space="preserve">cellular processes. Previous studies have demonstrated beneficial effects of angiotensin-converting enzyme inhibitors (ACEIs) and HMG-CoA reductase inhibitors in diabetic rodent models, partially due to the </w:t>
      </w:r>
      <w:proofErr w:type="spellStart"/>
      <w:r w:rsidR="00DA5FC8" w:rsidRPr="000C3B54">
        <w:rPr>
          <w:rFonts w:ascii="Times New Roman" w:hAnsi="Times New Roman" w:cs="Times New Roman"/>
        </w:rPr>
        <w:t>hangup</w:t>
      </w:r>
      <w:proofErr w:type="spellEnd"/>
      <w:r w:rsidRPr="000C3B54">
        <w:rPr>
          <w:rFonts w:ascii="Times New Roman" w:hAnsi="Times New Roman" w:cs="Times New Roman"/>
        </w:rPr>
        <w:t xml:space="preserve"> of JAK2. </w:t>
      </w:r>
      <w:proofErr w:type="spellStart"/>
      <w:r w:rsidRPr="000C3B54">
        <w:rPr>
          <w:rFonts w:ascii="Times New Roman" w:hAnsi="Times New Roman" w:cs="Times New Roman"/>
        </w:rPr>
        <w:t>Hyperglycemia</w:t>
      </w:r>
      <w:proofErr w:type="spellEnd"/>
      <w:r w:rsidRPr="000C3B54">
        <w:rPr>
          <w:rFonts w:ascii="Times New Roman" w:hAnsi="Times New Roman" w:cs="Times New Roman"/>
        </w:rPr>
        <w:t xml:space="preserve"> and diabetes-induced effects may be mediated by increased reactive oxygen species (ROS), as mesangial cells exposed to high glucose show enhanced phosphorylation and activation of JAK2 and its downstream substrates [8].</w:t>
      </w:r>
      <w:r>
        <w:rPr>
          <w:rFonts w:ascii="Times New Roman" w:hAnsi="Times New Roman" w:cs="Times New Roman"/>
        </w:rPr>
        <w:t xml:space="preserve"> </w:t>
      </w:r>
    </w:p>
    <w:p w14:paraId="789E6CCA" w14:textId="77777777"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b/>
          <w:bCs/>
        </w:rPr>
        <w:t xml:space="preserve">7. Other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Pathways Related to Diabetic Nephropathy</w:t>
      </w:r>
    </w:p>
    <w:p w14:paraId="35EBBA92" w14:textId="7961702E"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Chronic </w:t>
      </w:r>
      <w:proofErr w:type="spellStart"/>
      <w:r w:rsidRPr="000C3B54">
        <w:rPr>
          <w:rFonts w:ascii="Times New Roman" w:hAnsi="Times New Roman" w:cs="Times New Roman"/>
        </w:rPr>
        <w:t>hyperglycemia</w:t>
      </w:r>
      <w:proofErr w:type="spellEnd"/>
      <w:r w:rsidRPr="000C3B54">
        <w:rPr>
          <w:rFonts w:ascii="Times New Roman" w:hAnsi="Times New Roman" w:cs="Times New Roman"/>
        </w:rPr>
        <w:t xml:space="preserve"> is a principal contributor to DN. In cultured mesangial cells exposed to high glucose, PKC is activated alongside </w:t>
      </w:r>
      <w:r w:rsidR="00DA5FC8" w:rsidRPr="000C3B54">
        <w:rPr>
          <w:rFonts w:ascii="Times New Roman" w:hAnsi="Times New Roman" w:cs="Times New Roman"/>
        </w:rPr>
        <w:t>a</w:t>
      </w:r>
      <w:r w:rsidRPr="000C3B54">
        <w:rPr>
          <w:rFonts w:ascii="Times New Roman" w:hAnsi="Times New Roman" w:cs="Times New Roman"/>
        </w:rPr>
        <w:t xml:space="preserve"> </w:t>
      </w:r>
      <w:r w:rsidR="00DA5FC8" w:rsidRPr="000C3B54">
        <w:rPr>
          <w:rFonts w:ascii="Times New Roman" w:hAnsi="Times New Roman" w:cs="Times New Roman"/>
        </w:rPr>
        <w:t>rise</w:t>
      </w:r>
      <w:r w:rsidRPr="000C3B54">
        <w:rPr>
          <w:rFonts w:ascii="Times New Roman" w:hAnsi="Times New Roman" w:cs="Times New Roman"/>
        </w:rPr>
        <w:t xml:space="preserve"> in intracellular diacylglycerol (DAG). This triggers the DAG/PKC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cascade, which initiates the polyol pathway, oxidative stress (OS), and advanced glycation end-products (AGEs) formation</w:t>
      </w:r>
      <w:r w:rsidR="00EF5B5B">
        <w:rPr>
          <w:rFonts w:ascii="Times New Roman" w:hAnsi="Times New Roman" w:cs="Times New Roman"/>
        </w:rPr>
        <w:t xml:space="preserve"> </w:t>
      </w:r>
      <w:r w:rsidRPr="000C3B54">
        <w:rPr>
          <w:rFonts w:ascii="Times New Roman" w:hAnsi="Times New Roman" w:cs="Times New Roman"/>
        </w:rPr>
        <w:t xml:space="preserve">processes implicated in diabetic microangiopathy. The mammalian target of rapamycin (mTOR) pathway has recently garnered </w:t>
      </w:r>
      <w:r w:rsidR="00DA5FC8" w:rsidRPr="000C3B54">
        <w:rPr>
          <w:rFonts w:ascii="Times New Roman" w:hAnsi="Times New Roman" w:cs="Times New Roman"/>
        </w:rPr>
        <w:t>consideration</w:t>
      </w:r>
      <w:r w:rsidRPr="000C3B54">
        <w:rPr>
          <w:rFonts w:ascii="Times New Roman" w:hAnsi="Times New Roman" w:cs="Times New Roman"/>
        </w:rPr>
        <w:t xml:space="preserve"> in the context of DN pathogenesis. Studies in diabetic animal models have </w:t>
      </w:r>
      <w:r w:rsidR="00DA5FC8" w:rsidRPr="000C3B54">
        <w:rPr>
          <w:rFonts w:ascii="Times New Roman" w:hAnsi="Times New Roman" w:cs="Times New Roman"/>
        </w:rPr>
        <w:t>revealed</w:t>
      </w:r>
      <w:r w:rsidRPr="000C3B54">
        <w:rPr>
          <w:rFonts w:ascii="Times New Roman" w:hAnsi="Times New Roman" w:cs="Times New Roman"/>
        </w:rPr>
        <w:t xml:space="preserve"> that rapamycin, a specific inhibitor of mTOR complex 1 (mTORC1), can reduce glomerular hypertrophy typically observed in early DN stages, as well as mitigate mesangial expansion [3]. Although mTOR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is activated in multiple kidney cell types affected by diabetes, its activation in glomerular mesangial cells appears to be responsible for several key pathological changes.</w:t>
      </w:r>
    </w:p>
    <w:p w14:paraId="28ABEFFD" w14:textId="371747E0" w:rsidR="005978B8" w:rsidRPr="005978B8" w:rsidRDefault="00B96201" w:rsidP="005978B8">
      <w:pPr>
        <w:spacing w:after="0" w:line="360" w:lineRule="auto"/>
        <w:jc w:val="both"/>
        <w:rPr>
          <w:rFonts w:ascii="Times New Roman" w:hAnsi="Times New Roman" w:cs="Times New Roman"/>
          <w:b/>
          <w:bCs/>
        </w:rPr>
      </w:pPr>
      <w:r>
        <w:rPr>
          <w:rFonts w:ascii="Times New Roman" w:hAnsi="Times New Roman" w:cs="Times New Roman"/>
          <w:noProof/>
          <w:lang w:val="en-US" w:bidi="te-IN"/>
        </w:rPr>
        <w:drawing>
          <wp:anchor distT="0" distB="0" distL="114300" distR="114300" simplePos="0" relativeHeight="251659264" behindDoc="1" locked="0" layoutInCell="1" allowOverlap="1" wp14:anchorId="29450C00" wp14:editId="4613B80D">
            <wp:simplePos x="0" y="0"/>
            <wp:positionH relativeFrom="margin">
              <wp:posOffset>168910</wp:posOffset>
            </wp:positionH>
            <wp:positionV relativeFrom="paragraph">
              <wp:posOffset>1031240</wp:posOffset>
            </wp:positionV>
            <wp:extent cx="5731510" cy="3160395"/>
            <wp:effectExtent l="0" t="0" r="2540" b="1905"/>
            <wp:wrapTight wrapText="bothSides">
              <wp:wrapPolygon edited="0">
                <wp:start x="0" y="0"/>
                <wp:lineTo x="0" y="21483"/>
                <wp:lineTo x="21538" y="21483"/>
                <wp:lineTo x="21538" y="0"/>
                <wp:lineTo x="0" y="0"/>
              </wp:wrapPolygon>
            </wp:wrapTight>
            <wp:docPr id="699862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62102" name="Picture 699862102"/>
                    <pic:cNvPicPr/>
                  </pic:nvPicPr>
                  <pic:blipFill>
                    <a:blip r:embed="rId8"/>
                    <a:stretch>
                      <a:fillRect/>
                    </a:stretch>
                  </pic:blipFill>
                  <pic:spPr>
                    <a:xfrm>
                      <a:off x="0" y="0"/>
                      <a:ext cx="5731510" cy="3160395"/>
                    </a:xfrm>
                    <a:prstGeom prst="rect">
                      <a:avLst/>
                    </a:prstGeom>
                  </pic:spPr>
                </pic:pic>
              </a:graphicData>
            </a:graphic>
            <wp14:sizeRelH relativeFrom="page">
              <wp14:pctWidth>0</wp14:pctWidth>
            </wp14:sizeRelH>
            <wp14:sizeRelV relativeFrom="page">
              <wp14:pctHeight>0</wp14:pctHeight>
            </wp14:sizeRelV>
          </wp:anchor>
        </w:drawing>
      </w:r>
      <w:r w:rsidR="005978B8" w:rsidRPr="005978B8">
        <w:rPr>
          <w:rFonts w:ascii="Times New Roman" w:hAnsi="Times New Roman" w:cs="Times New Roman"/>
          <w:b/>
          <w:bCs/>
        </w:rPr>
        <w:t>Therapeutic Targets Based on Molecular Mechanisms of Diabetic Kidney Disease</w:t>
      </w:r>
    </w:p>
    <w:p w14:paraId="672273E8" w14:textId="627115EB"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 xml:space="preserve">The </w:t>
      </w:r>
      <w:r w:rsidR="00DA5FC8">
        <w:rPr>
          <w:rFonts w:ascii="Times New Roman" w:hAnsi="Times New Roman" w:cs="Times New Roman"/>
        </w:rPr>
        <w:t>pathogenesis</w:t>
      </w:r>
      <w:r w:rsidRPr="005978B8">
        <w:rPr>
          <w:rFonts w:ascii="Times New Roman" w:hAnsi="Times New Roman" w:cs="Times New Roman"/>
        </w:rPr>
        <w:t xml:space="preserve"> and </w:t>
      </w:r>
      <w:r w:rsidR="00DA5FC8">
        <w:rPr>
          <w:rFonts w:ascii="Times New Roman" w:hAnsi="Times New Roman" w:cs="Times New Roman"/>
        </w:rPr>
        <w:t>development</w:t>
      </w:r>
      <w:r w:rsidRPr="005978B8">
        <w:rPr>
          <w:rFonts w:ascii="Times New Roman" w:hAnsi="Times New Roman" w:cs="Times New Roman"/>
        </w:rPr>
        <w:t xml:space="preserve"> of diabetic kidney disease (DKD) are driven by a complex interplay of metabolic dysregulation, oxidative stress, inflammation, fibrotic pathways, and hemodynamic alterations. Understanding these molecular mechanisms has facilitated the development of targeted therapeutic strategies. </w:t>
      </w:r>
    </w:p>
    <w:p w14:paraId="44A25277" w14:textId="6772FBCE"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b/>
          <w:bCs/>
        </w:rPr>
        <w:lastRenderedPageBreak/>
        <w:t>RAAS Blockers</w:t>
      </w:r>
    </w:p>
    <w:p w14:paraId="6C116EDD" w14:textId="2CABA3B5"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The CSG Captopril trial demonstrated that captopril halved the risk of doubling serum creatinine and DKD-related events (death, dialysis, or transplantation) over three years in type 1 DM patients. This landmark trial paved the way for angiotensin receptor blockers (ARBs)</w:t>
      </w:r>
      <w:r w:rsidR="007A6ED8">
        <w:rPr>
          <w:rFonts w:ascii="Times New Roman" w:hAnsi="Times New Roman" w:cs="Times New Roman"/>
        </w:rPr>
        <w:t xml:space="preserve"> </w:t>
      </w:r>
      <w:r w:rsidR="007A6ED8" w:rsidRPr="000C3B54">
        <w:rPr>
          <w:rFonts w:ascii="Times New Roman" w:hAnsi="Times New Roman" w:cs="Times New Roman"/>
        </w:rPr>
        <w:t>[</w:t>
      </w:r>
      <w:r w:rsidR="007A6ED8">
        <w:rPr>
          <w:rFonts w:ascii="Times New Roman" w:hAnsi="Times New Roman" w:cs="Times New Roman"/>
        </w:rPr>
        <w:t>15,16</w:t>
      </w:r>
      <w:r w:rsidR="007A6ED8" w:rsidRPr="000C3B54">
        <w:rPr>
          <w:rFonts w:ascii="Times New Roman" w:hAnsi="Times New Roman" w:cs="Times New Roman"/>
        </w:rPr>
        <w:t>].</w:t>
      </w:r>
    </w:p>
    <w:p w14:paraId="44D591DC" w14:textId="30ADCF8E"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In the RENAAL study, losartan reduced serum creatinine doubling by 25%. The IDNT trial showed irbesartan lowered the risk of a composite endpoint (doubling serum creatinine, ESKD, or death) compared to placebo. In early nephropathy, the DETAIL trial found telmisartan slowed GFR decline over five years. The AMADEO study reported that telmisartan lowered the urine albumin–creatinine ratio by 29.8% compared to 21.4% with losartan. The ONTARGET trial found telmisartan had similar renal risks to ramipril, but combination</w:t>
      </w:r>
      <w:r w:rsidR="0021376E">
        <w:rPr>
          <w:rFonts w:ascii="Times New Roman" w:hAnsi="Times New Roman" w:cs="Times New Roman"/>
        </w:rPr>
        <w:t xml:space="preserve"> </w:t>
      </w:r>
      <w:r w:rsidR="0021376E" w:rsidRPr="005978B8">
        <w:rPr>
          <w:rFonts w:ascii="Times New Roman" w:hAnsi="Times New Roman" w:cs="Times New Roman"/>
        </w:rPr>
        <w:t>treatment</w:t>
      </w:r>
      <w:r w:rsidRPr="005978B8">
        <w:rPr>
          <w:rFonts w:ascii="Times New Roman" w:hAnsi="Times New Roman" w:cs="Times New Roman"/>
        </w:rPr>
        <w:t xml:space="preserve"> significantly increased adverse renal outcomes [</w:t>
      </w:r>
      <w:r w:rsidR="00EC4704">
        <w:rPr>
          <w:rFonts w:ascii="Times New Roman" w:hAnsi="Times New Roman" w:cs="Times New Roman"/>
        </w:rPr>
        <w:t>8</w:t>
      </w:r>
      <w:r w:rsidRPr="005978B8">
        <w:rPr>
          <w:rFonts w:ascii="Times New Roman" w:hAnsi="Times New Roman" w:cs="Times New Roman"/>
        </w:rPr>
        <w:t>].</w:t>
      </w:r>
      <w:r>
        <w:rPr>
          <w:rFonts w:ascii="Times New Roman" w:hAnsi="Times New Roman" w:cs="Times New Roman"/>
        </w:rPr>
        <w:t xml:space="preserve"> </w:t>
      </w:r>
    </w:p>
    <w:p w14:paraId="2D184174" w14:textId="1AEB228E" w:rsidR="005978B8" w:rsidRPr="005978B8" w:rsidRDefault="005978B8" w:rsidP="005978B8">
      <w:pPr>
        <w:spacing w:after="0" w:line="360" w:lineRule="auto"/>
        <w:jc w:val="both"/>
        <w:rPr>
          <w:rFonts w:ascii="Times New Roman" w:hAnsi="Times New Roman" w:cs="Times New Roman"/>
          <w:b/>
          <w:bCs/>
        </w:rPr>
      </w:pPr>
      <w:r w:rsidRPr="005978B8">
        <w:rPr>
          <w:rFonts w:ascii="Times New Roman" w:hAnsi="Times New Roman" w:cs="Times New Roman"/>
          <w:b/>
          <w:bCs/>
        </w:rPr>
        <w:t xml:space="preserve"> Mineralocorticoid Receptor Antagonists (MRAs)</w:t>
      </w:r>
    </w:p>
    <w:p w14:paraId="49B346CA" w14:textId="0A95F2DA"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 xml:space="preserve">MRAs block aldosterone-induced activation of mineralocorticoid receptors (MRs), mitigating downstream inflammatory and fibrotic </w:t>
      </w:r>
      <w:r w:rsidR="0076245D" w:rsidRPr="005978B8">
        <w:rPr>
          <w:rFonts w:ascii="Times New Roman" w:hAnsi="Times New Roman" w:cs="Times New Roman"/>
        </w:rPr>
        <w:t>signalling</w:t>
      </w:r>
      <w:r w:rsidRPr="005978B8">
        <w:rPr>
          <w:rFonts w:ascii="Times New Roman" w:hAnsi="Times New Roman" w:cs="Times New Roman"/>
        </w:rPr>
        <w:t xml:space="preserve">. Steroidal MRAs, </w:t>
      </w:r>
      <w:r w:rsidR="00695F62">
        <w:rPr>
          <w:rFonts w:ascii="Times New Roman" w:hAnsi="Times New Roman" w:cs="Times New Roman"/>
        </w:rPr>
        <w:t>probably</w:t>
      </w:r>
      <w:r w:rsidRPr="005978B8">
        <w:rPr>
          <w:rFonts w:ascii="Times New Roman" w:hAnsi="Times New Roman" w:cs="Times New Roman"/>
        </w:rPr>
        <w:t xml:space="preserve"> spironolactone and eplerenone, are partial MR agonists with proven cardiovascular and antiproteinuric benefits. However, their use is limited by side effects like </w:t>
      </w:r>
      <w:r w:rsidR="0076245D" w:rsidRPr="005978B8">
        <w:rPr>
          <w:rFonts w:ascii="Times New Roman" w:hAnsi="Times New Roman" w:cs="Times New Roman"/>
        </w:rPr>
        <w:t>hyperkalaemia</w:t>
      </w:r>
      <w:r w:rsidRPr="005978B8">
        <w:rPr>
          <w:rFonts w:ascii="Times New Roman" w:hAnsi="Times New Roman" w:cs="Times New Roman"/>
        </w:rPr>
        <w:t xml:space="preserve"> and renal impairment.</w:t>
      </w:r>
      <w:r>
        <w:rPr>
          <w:rFonts w:ascii="Times New Roman" w:hAnsi="Times New Roman" w:cs="Times New Roman"/>
        </w:rPr>
        <w:t xml:space="preserve"> </w:t>
      </w:r>
      <w:proofErr w:type="spellStart"/>
      <w:r w:rsidRPr="005978B8">
        <w:rPr>
          <w:rFonts w:ascii="Times New Roman" w:hAnsi="Times New Roman" w:cs="Times New Roman"/>
        </w:rPr>
        <w:t>Finerenone</w:t>
      </w:r>
      <w:proofErr w:type="spellEnd"/>
      <w:r w:rsidRPr="005978B8">
        <w:rPr>
          <w:rFonts w:ascii="Times New Roman" w:hAnsi="Times New Roman" w:cs="Times New Roman"/>
        </w:rPr>
        <w:t xml:space="preserve">, a nonsteroidal MRA, inhibits MR </w:t>
      </w:r>
      <w:r w:rsidR="0076245D" w:rsidRPr="005978B8">
        <w:rPr>
          <w:rFonts w:ascii="Times New Roman" w:hAnsi="Times New Roman" w:cs="Times New Roman"/>
        </w:rPr>
        <w:t>signalling</w:t>
      </w:r>
      <w:r w:rsidRPr="005978B8">
        <w:rPr>
          <w:rFonts w:ascii="Times New Roman" w:hAnsi="Times New Roman" w:cs="Times New Roman"/>
        </w:rPr>
        <w:t xml:space="preserve"> more selectively, with stronger anti-inflammatory, antifibrotic, and antioxidant effects [</w:t>
      </w:r>
      <w:r w:rsidR="00EC4704">
        <w:rPr>
          <w:rFonts w:ascii="Times New Roman" w:hAnsi="Times New Roman" w:cs="Times New Roman"/>
        </w:rPr>
        <w:t>5,9</w:t>
      </w:r>
      <w:r w:rsidRPr="005978B8">
        <w:rPr>
          <w:rFonts w:ascii="Times New Roman" w:hAnsi="Times New Roman" w:cs="Times New Roman"/>
        </w:rPr>
        <w:t xml:space="preserve">]. </w:t>
      </w:r>
    </w:p>
    <w:p w14:paraId="5190437A" w14:textId="19DB5668" w:rsidR="005978B8" w:rsidRPr="005978B8" w:rsidRDefault="005978B8" w:rsidP="005978B8">
      <w:pPr>
        <w:spacing w:after="0" w:line="360" w:lineRule="auto"/>
        <w:jc w:val="both"/>
        <w:rPr>
          <w:rFonts w:ascii="Times New Roman" w:hAnsi="Times New Roman" w:cs="Times New Roman"/>
          <w:b/>
          <w:bCs/>
        </w:rPr>
      </w:pPr>
      <w:r w:rsidRPr="005978B8">
        <w:rPr>
          <w:rFonts w:ascii="Times New Roman" w:hAnsi="Times New Roman" w:cs="Times New Roman"/>
          <w:b/>
          <w:bCs/>
        </w:rPr>
        <w:t xml:space="preserve"> SGLT2 Inhibitors</w:t>
      </w:r>
    </w:p>
    <w:p w14:paraId="15E33FE8" w14:textId="3728E649" w:rsidR="005978B8" w:rsidRPr="005978B8" w:rsidRDefault="005978B8" w:rsidP="005978B8">
      <w:pPr>
        <w:spacing w:after="0" w:line="360" w:lineRule="auto"/>
        <w:jc w:val="both"/>
        <w:rPr>
          <w:rFonts w:ascii="Times New Roman" w:hAnsi="Times New Roman" w:cs="Times New Roman"/>
        </w:rPr>
      </w:pPr>
      <w:r>
        <w:rPr>
          <w:rFonts w:ascii="Times New Roman" w:hAnsi="Times New Roman" w:cs="Times New Roman"/>
        </w:rPr>
        <w:t xml:space="preserve">                    </w:t>
      </w:r>
      <w:r w:rsidRPr="005978B8">
        <w:rPr>
          <w:rFonts w:ascii="Times New Roman" w:hAnsi="Times New Roman" w:cs="Times New Roman"/>
        </w:rPr>
        <w:t>Originally developed as glucose-lowering agents, SGLT2 inhibitors (SGLT2is) have redefined DKD management by providing robust cardiorenal protection [</w:t>
      </w:r>
      <w:r w:rsidR="004C1671">
        <w:rPr>
          <w:rFonts w:ascii="Times New Roman" w:hAnsi="Times New Roman" w:cs="Times New Roman"/>
        </w:rPr>
        <w:t>9</w:t>
      </w:r>
      <w:r w:rsidRPr="005978B8">
        <w:rPr>
          <w:rFonts w:ascii="Times New Roman" w:hAnsi="Times New Roman" w:cs="Times New Roman"/>
        </w:rPr>
        <w:t xml:space="preserve">]. These agents enhance glycosuria, reduce intraglomerular pressure via </w:t>
      </w:r>
      <w:proofErr w:type="spellStart"/>
      <w:r w:rsidRPr="005978B8">
        <w:rPr>
          <w:rFonts w:ascii="Times New Roman" w:hAnsi="Times New Roman" w:cs="Times New Roman"/>
        </w:rPr>
        <w:t>tubuloglomerular</w:t>
      </w:r>
      <w:proofErr w:type="spellEnd"/>
      <w:r w:rsidRPr="005978B8">
        <w:rPr>
          <w:rFonts w:ascii="Times New Roman" w:hAnsi="Times New Roman" w:cs="Times New Roman"/>
        </w:rPr>
        <w:t xml:space="preserve"> feedback, and exert anti-inflammatory and antifibrotic effects.</w:t>
      </w:r>
      <w:r>
        <w:rPr>
          <w:rFonts w:ascii="Times New Roman" w:hAnsi="Times New Roman" w:cs="Times New Roman"/>
        </w:rPr>
        <w:t xml:space="preserve"> </w:t>
      </w:r>
      <w:r w:rsidRPr="005978B8">
        <w:rPr>
          <w:rFonts w:ascii="Times New Roman" w:hAnsi="Times New Roman" w:cs="Times New Roman"/>
        </w:rPr>
        <w:t>The CREDENCE trial was the first dedicated nephropathy trial using canagliflozin, showing a 30% risk reduction in ESKD, doubling of serum creatinine, or renal/cardiovascular death. The DAPA-CKD trial demonstrated a 44% risk reduction for similar endpoints with dapagliflozin. The EMPA-KIDNEY trial confirmed empagliflozin’s benefit across a broad CKD population, with and without diabetes or albuminuria, reducing renal progression or cardiovascular death by 28% [</w:t>
      </w:r>
      <w:r w:rsidR="004C1671">
        <w:rPr>
          <w:rFonts w:ascii="Times New Roman" w:hAnsi="Times New Roman" w:cs="Times New Roman"/>
        </w:rPr>
        <w:t>9</w:t>
      </w:r>
      <w:r w:rsidRPr="005978B8">
        <w:rPr>
          <w:rFonts w:ascii="Times New Roman" w:hAnsi="Times New Roman" w:cs="Times New Roman"/>
        </w:rPr>
        <w:t>].</w:t>
      </w:r>
      <w:r>
        <w:rPr>
          <w:rFonts w:ascii="Times New Roman" w:hAnsi="Times New Roman" w:cs="Times New Roman"/>
        </w:rPr>
        <w:t xml:space="preserve"> </w:t>
      </w:r>
      <w:r w:rsidRPr="005978B8">
        <w:rPr>
          <w:rFonts w:ascii="Times New Roman" w:hAnsi="Times New Roman" w:cs="Times New Roman"/>
        </w:rPr>
        <w:t xml:space="preserve">SGLT2is are now recommended by KDIGO and ADA guidelines as first-line therapy in DKD, especially when added to </w:t>
      </w:r>
      <w:proofErr w:type="spellStart"/>
      <w:r w:rsidRPr="005978B8">
        <w:rPr>
          <w:rFonts w:ascii="Times New Roman" w:hAnsi="Times New Roman" w:cs="Times New Roman"/>
        </w:rPr>
        <w:t>ACEi</w:t>
      </w:r>
      <w:proofErr w:type="spellEnd"/>
      <w:r w:rsidRPr="005978B8">
        <w:rPr>
          <w:rFonts w:ascii="Times New Roman" w:hAnsi="Times New Roman" w:cs="Times New Roman"/>
        </w:rPr>
        <w:t>/ARB therapy</w:t>
      </w:r>
      <w:r w:rsidR="0076245D">
        <w:rPr>
          <w:rFonts w:ascii="Times New Roman" w:hAnsi="Times New Roman" w:cs="Times New Roman"/>
        </w:rPr>
        <w:t>.</w:t>
      </w:r>
    </w:p>
    <w:p w14:paraId="7E1E2957" w14:textId="35376B5E" w:rsidR="005978B8" w:rsidRPr="005978B8" w:rsidRDefault="005978B8" w:rsidP="005978B8">
      <w:pPr>
        <w:spacing w:after="0" w:line="360" w:lineRule="auto"/>
        <w:jc w:val="both"/>
        <w:rPr>
          <w:rFonts w:ascii="Times New Roman" w:hAnsi="Times New Roman" w:cs="Times New Roman"/>
          <w:b/>
          <w:bCs/>
        </w:rPr>
      </w:pPr>
      <w:r w:rsidRPr="005978B8">
        <w:rPr>
          <w:rFonts w:ascii="Times New Roman" w:hAnsi="Times New Roman" w:cs="Times New Roman"/>
          <w:b/>
          <w:bCs/>
        </w:rPr>
        <w:t>GLP-1 Receptor Agonists (GLP-1 RAs)</w:t>
      </w:r>
    </w:p>
    <w:p w14:paraId="6624FC5E" w14:textId="03320B93"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 xml:space="preserve">GLP-1 RAs lower glucose by stimulating insulin and suppressing glucagon secretion, but also demonstrate renal benefits largely independent of </w:t>
      </w:r>
      <w:proofErr w:type="spellStart"/>
      <w:r w:rsidRPr="005978B8">
        <w:rPr>
          <w:rFonts w:ascii="Times New Roman" w:hAnsi="Times New Roman" w:cs="Times New Roman"/>
        </w:rPr>
        <w:t>glycemic</w:t>
      </w:r>
      <w:proofErr w:type="spellEnd"/>
      <w:r w:rsidRPr="005978B8">
        <w:rPr>
          <w:rFonts w:ascii="Times New Roman" w:hAnsi="Times New Roman" w:cs="Times New Roman"/>
        </w:rPr>
        <w:t xml:space="preserve"> control. These agents reduce inflammation, modulate RAGE </w:t>
      </w:r>
      <w:proofErr w:type="spellStart"/>
      <w:r w:rsidRPr="005978B8">
        <w:rPr>
          <w:rFonts w:ascii="Times New Roman" w:hAnsi="Times New Roman" w:cs="Times New Roman"/>
        </w:rPr>
        <w:t>signaling</w:t>
      </w:r>
      <w:proofErr w:type="spellEnd"/>
      <w:r w:rsidRPr="005978B8">
        <w:rPr>
          <w:rFonts w:ascii="Times New Roman" w:hAnsi="Times New Roman" w:cs="Times New Roman"/>
        </w:rPr>
        <w:t>, and attenuate fibrosis in kidney cells</w:t>
      </w:r>
      <w:r w:rsidR="0076245D">
        <w:rPr>
          <w:rFonts w:ascii="Times New Roman" w:hAnsi="Times New Roman" w:cs="Times New Roman"/>
        </w:rPr>
        <w:t>.</w:t>
      </w:r>
    </w:p>
    <w:p w14:paraId="33F29577" w14:textId="7DFBE797"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lastRenderedPageBreak/>
        <w:t>The LEADER trial (liraglutide) showed a 22% reduction in nephropathy events, while SUSTAIN-6 (</w:t>
      </w:r>
      <w:proofErr w:type="spellStart"/>
      <w:r w:rsidRPr="005978B8">
        <w:rPr>
          <w:rFonts w:ascii="Times New Roman" w:hAnsi="Times New Roman" w:cs="Times New Roman"/>
        </w:rPr>
        <w:t>semaglutide</w:t>
      </w:r>
      <w:proofErr w:type="spellEnd"/>
      <w:r w:rsidRPr="005978B8">
        <w:rPr>
          <w:rFonts w:ascii="Times New Roman" w:hAnsi="Times New Roman" w:cs="Times New Roman"/>
        </w:rPr>
        <w:t>) showed a 36% risk reduction, primarily due</w:t>
      </w:r>
      <w:r w:rsidR="0076245D">
        <w:rPr>
          <w:rFonts w:ascii="Times New Roman" w:hAnsi="Times New Roman" w:cs="Times New Roman"/>
        </w:rPr>
        <w:t xml:space="preserve"> </w:t>
      </w:r>
      <w:r w:rsidRPr="005978B8">
        <w:rPr>
          <w:rFonts w:ascii="Times New Roman" w:hAnsi="Times New Roman" w:cs="Times New Roman"/>
        </w:rPr>
        <w:t>macroalbuminuria reduction [</w:t>
      </w:r>
      <w:r w:rsidR="004C1671">
        <w:rPr>
          <w:rFonts w:ascii="Times New Roman" w:hAnsi="Times New Roman" w:cs="Times New Roman"/>
        </w:rPr>
        <w:t>200</w:t>
      </w:r>
      <w:r w:rsidRPr="005978B8">
        <w:rPr>
          <w:rFonts w:ascii="Times New Roman" w:hAnsi="Times New Roman" w:cs="Times New Roman"/>
        </w:rPr>
        <w:t>]. AWARD-7 found that dulaglutide preserved eGFR better than insulin glargine [</w:t>
      </w:r>
      <w:r w:rsidR="004C1671">
        <w:rPr>
          <w:rFonts w:ascii="Times New Roman" w:hAnsi="Times New Roman" w:cs="Times New Roman"/>
        </w:rPr>
        <w:t>201</w:t>
      </w:r>
      <w:r w:rsidRPr="005978B8">
        <w:rPr>
          <w:rFonts w:ascii="Times New Roman" w:hAnsi="Times New Roman" w:cs="Times New Roman"/>
        </w:rPr>
        <w:t xml:space="preserve">]. In the REWIND trial, dulaglutide reduced macroalbuminuria by 23% and the renal composite outcome by 15%. AMPLITUDE-O demonstrated that </w:t>
      </w:r>
      <w:proofErr w:type="spellStart"/>
      <w:r w:rsidRPr="005978B8">
        <w:rPr>
          <w:rFonts w:ascii="Times New Roman" w:hAnsi="Times New Roman" w:cs="Times New Roman"/>
        </w:rPr>
        <w:t>efpeglenatide</w:t>
      </w:r>
      <w:proofErr w:type="spellEnd"/>
      <w:r w:rsidRPr="005978B8">
        <w:rPr>
          <w:rFonts w:ascii="Times New Roman" w:hAnsi="Times New Roman" w:cs="Times New Roman"/>
        </w:rPr>
        <w:t xml:space="preserve"> reduced kidney events by 32%</w:t>
      </w:r>
      <w:r w:rsidR="004C1671">
        <w:rPr>
          <w:rFonts w:ascii="Times New Roman" w:hAnsi="Times New Roman" w:cs="Times New Roman"/>
        </w:rPr>
        <w:t>.</w:t>
      </w:r>
    </w:p>
    <w:p w14:paraId="20F3D04F" w14:textId="1BF65AC7"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b/>
          <w:bCs/>
        </w:rPr>
        <w:t>Endothelin Receptor Antagonists (ERAs)</w:t>
      </w:r>
    </w:p>
    <w:p w14:paraId="448B38AC" w14:textId="5066157C" w:rsidR="005978B8" w:rsidRPr="005978B8" w:rsidRDefault="00280CE2" w:rsidP="005978B8">
      <w:pPr>
        <w:spacing w:after="0" w:line="360" w:lineRule="auto"/>
        <w:jc w:val="both"/>
        <w:rPr>
          <w:rFonts w:ascii="Times New Roman" w:hAnsi="Times New Roman" w:cs="Times New Roman"/>
        </w:rPr>
      </w:pPr>
      <w:r>
        <w:rPr>
          <w:rFonts w:ascii="Times New Roman" w:hAnsi="Times New Roman" w:cs="Times New Roman"/>
          <w:noProof/>
          <w:lang w:val="en-US" w:bidi="te-IN"/>
        </w:rPr>
        <w:drawing>
          <wp:anchor distT="0" distB="0" distL="114300" distR="114300" simplePos="0" relativeHeight="251662336" behindDoc="1" locked="0" layoutInCell="1" allowOverlap="1" wp14:anchorId="702D541C" wp14:editId="503B9D4D">
            <wp:simplePos x="0" y="0"/>
            <wp:positionH relativeFrom="margin">
              <wp:posOffset>228600</wp:posOffset>
            </wp:positionH>
            <wp:positionV relativeFrom="paragraph">
              <wp:posOffset>1052830</wp:posOffset>
            </wp:positionV>
            <wp:extent cx="5492750" cy="2990850"/>
            <wp:effectExtent l="0" t="0" r="0" b="0"/>
            <wp:wrapTight wrapText="bothSides">
              <wp:wrapPolygon edited="0">
                <wp:start x="0" y="0"/>
                <wp:lineTo x="0" y="21462"/>
                <wp:lineTo x="21500" y="21462"/>
                <wp:lineTo x="21500" y="0"/>
                <wp:lineTo x="0" y="0"/>
              </wp:wrapPolygon>
            </wp:wrapTight>
            <wp:docPr id="617509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09147" name="Picture 617509147"/>
                    <pic:cNvPicPr/>
                  </pic:nvPicPr>
                  <pic:blipFill>
                    <a:blip r:embed="rId9"/>
                    <a:stretch>
                      <a:fillRect/>
                    </a:stretch>
                  </pic:blipFill>
                  <pic:spPr>
                    <a:xfrm>
                      <a:off x="0" y="0"/>
                      <a:ext cx="5492750" cy="2990850"/>
                    </a:xfrm>
                    <a:prstGeom prst="rect">
                      <a:avLst/>
                    </a:prstGeom>
                  </pic:spPr>
                </pic:pic>
              </a:graphicData>
            </a:graphic>
            <wp14:sizeRelH relativeFrom="page">
              <wp14:pctWidth>0</wp14:pctWidth>
            </wp14:sizeRelH>
            <wp14:sizeRelV relativeFrom="page">
              <wp14:pctHeight>0</wp14:pctHeight>
            </wp14:sizeRelV>
          </wp:anchor>
        </w:drawing>
      </w:r>
      <w:r w:rsidR="005978B8">
        <w:rPr>
          <w:rFonts w:ascii="Times New Roman" w:hAnsi="Times New Roman" w:cs="Times New Roman"/>
        </w:rPr>
        <w:t xml:space="preserve">                </w:t>
      </w:r>
      <w:r w:rsidR="005978B8" w:rsidRPr="005978B8">
        <w:rPr>
          <w:rFonts w:ascii="Times New Roman" w:hAnsi="Times New Roman" w:cs="Times New Roman"/>
        </w:rPr>
        <w:t>Elevated endothelin-1 (ET-1) levels contribute to vasoconstriction, inflammation and fibrosis in DKD, making ET-1 a viable therapeutic target [5]. (Note: The remaining section of the original text seems to be cut off here. Let me know if you'd like this part continued or summarized as well.)</w:t>
      </w:r>
    </w:p>
    <w:p w14:paraId="189D4FA7" w14:textId="4155635F" w:rsidR="005978B8" w:rsidRDefault="005978B8" w:rsidP="000C3B54">
      <w:pPr>
        <w:spacing w:after="0" w:line="360" w:lineRule="auto"/>
        <w:jc w:val="both"/>
        <w:rPr>
          <w:rFonts w:ascii="Times New Roman" w:hAnsi="Times New Roman" w:cs="Times New Roman"/>
        </w:rPr>
      </w:pPr>
    </w:p>
    <w:p w14:paraId="337119CC" w14:textId="3B58A921" w:rsidR="00454DD3" w:rsidRPr="00454DD3" w:rsidRDefault="00AC12A5" w:rsidP="00E37991">
      <w:pPr>
        <w:jc w:val="center"/>
        <w:rPr>
          <w:rFonts w:ascii="Times New Roman" w:hAnsi="Times New Roman" w:cs="Times New Roman"/>
        </w:rPr>
      </w:pPr>
      <w:r w:rsidRPr="00E37991">
        <w:rPr>
          <w:rFonts w:ascii="Times New Roman" w:hAnsi="Times New Roman" w:cs="Times New Roman"/>
          <w:b/>
          <w:bCs/>
        </w:rPr>
        <w:t>Fig.</w:t>
      </w:r>
      <w:r w:rsidR="000F6FD3">
        <w:rPr>
          <w:rFonts w:ascii="Times New Roman" w:hAnsi="Times New Roman" w:cs="Times New Roman"/>
          <w:b/>
          <w:bCs/>
        </w:rPr>
        <w:t>1</w:t>
      </w:r>
      <w:r w:rsidRPr="00E37991">
        <w:rPr>
          <w:rFonts w:ascii="Times New Roman" w:hAnsi="Times New Roman" w:cs="Times New Roman"/>
          <w:b/>
          <w:bCs/>
        </w:rPr>
        <w:t>:</w:t>
      </w:r>
      <w:r>
        <w:rPr>
          <w:rFonts w:ascii="Times New Roman" w:hAnsi="Times New Roman" w:cs="Times New Roman"/>
        </w:rPr>
        <w:t xml:space="preserve"> </w:t>
      </w:r>
      <w:r w:rsidR="00E37991" w:rsidRPr="005978B8">
        <w:rPr>
          <w:rFonts w:ascii="Times New Roman" w:hAnsi="Times New Roman" w:cs="Times New Roman"/>
          <w:b/>
          <w:bCs/>
        </w:rPr>
        <w:t>Therapeutic Targets Based on Molecular Mechanisms of Diabetic Kidney Disease</w:t>
      </w:r>
    </w:p>
    <w:p w14:paraId="49211A10" w14:textId="4474287D" w:rsidR="00454DD3" w:rsidRDefault="00E37991" w:rsidP="00454DD3">
      <w:pPr>
        <w:rPr>
          <w:rFonts w:ascii="Times New Roman" w:hAnsi="Times New Roman" w:cs="Times New Roman"/>
          <w:b/>
          <w:bCs/>
        </w:rPr>
      </w:pPr>
      <w:r>
        <w:rPr>
          <w:rFonts w:ascii="Times New Roman" w:hAnsi="Times New Roman" w:cs="Times New Roman"/>
          <w:b/>
          <w:bCs/>
          <w:noProof/>
          <w:lang w:val="en-US" w:bidi="te-IN"/>
        </w:rPr>
        <w:lastRenderedPageBreak/>
        <w:drawing>
          <wp:anchor distT="0" distB="0" distL="114300" distR="114300" simplePos="0" relativeHeight="251663360" behindDoc="1" locked="0" layoutInCell="1" allowOverlap="1" wp14:anchorId="72379E2D" wp14:editId="653FB85C">
            <wp:simplePos x="0" y="0"/>
            <wp:positionH relativeFrom="margin">
              <wp:align>right</wp:align>
            </wp:positionH>
            <wp:positionV relativeFrom="paragraph">
              <wp:posOffset>336550</wp:posOffset>
            </wp:positionV>
            <wp:extent cx="5731510" cy="3143250"/>
            <wp:effectExtent l="0" t="0" r="2540" b="0"/>
            <wp:wrapTight wrapText="bothSides">
              <wp:wrapPolygon edited="0">
                <wp:start x="0" y="0"/>
                <wp:lineTo x="0" y="21469"/>
                <wp:lineTo x="21538" y="21469"/>
                <wp:lineTo x="21538" y="0"/>
                <wp:lineTo x="0" y="0"/>
              </wp:wrapPolygon>
            </wp:wrapTight>
            <wp:docPr id="2070032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2540" name="Picture 2070032540"/>
                    <pic:cNvPicPr/>
                  </pic:nvPicPr>
                  <pic:blipFill>
                    <a:blip r:embed="rId10"/>
                    <a:stretch>
                      <a:fillRect/>
                    </a:stretch>
                  </pic:blipFill>
                  <pic:spPr>
                    <a:xfrm>
                      <a:off x="0" y="0"/>
                      <a:ext cx="5731510" cy="3143250"/>
                    </a:xfrm>
                    <a:prstGeom prst="rect">
                      <a:avLst/>
                    </a:prstGeom>
                  </pic:spPr>
                </pic:pic>
              </a:graphicData>
            </a:graphic>
            <wp14:sizeRelH relativeFrom="page">
              <wp14:pctWidth>0</wp14:pctWidth>
            </wp14:sizeRelH>
            <wp14:sizeRelV relativeFrom="page">
              <wp14:pctHeight>0</wp14:pctHeight>
            </wp14:sizeRelV>
          </wp:anchor>
        </w:drawing>
      </w:r>
      <w:r w:rsidR="00454DD3" w:rsidRPr="00454DD3">
        <w:rPr>
          <w:rFonts w:ascii="Times New Roman" w:hAnsi="Times New Roman" w:cs="Times New Roman"/>
          <w:b/>
          <w:bCs/>
        </w:rPr>
        <w:t>Interventional Therapies in DN</w:t>
      </w:r>
      <w:r w:rsidR="00454DD3">
        <w:rPr>
          <w:rFonts w:ascii="Times New Roman" w:hAnsi="Times New Roman" w:cs="Times New Roman"/>
          <w:b/>
          <w:bCs/>
        </w:rPr>
        <w:t>:</w:t>
      </w:r>
    </w:p>
    <w:p w14:paraId="76ACA49A" w14:textId="3915C777" w:rsidR="00FA76BA" w:rsidRDefault="00E37991" w:rsidP="00E37991">
      <w:pPr>
        <w:jc w:val="center"/>
        <w:rPr>
          <w:rFonts w:ascii="Times New Roman" w:hAnsi="Times New Roman" w:cs="Times New Roman"/>
          <w:b/>
          <w:bCs/>
        </w:rPr>
      </w:pPr>
      <w:r>
        <w:rPr>
          <w:rFonts w:ascii="Times New Roman" w:hAnsi="Times New Roman" w:cs="Times New Roman"/>
          <w:b/>
          <w:bCs/>
        </w:rPr>
        <w:t>Fig.</w:t>
      </w:r>
      <w:r w:rsidR="000F6FD3">
        <w:rPr>
          <w:rFonts w:ascii="Times New Roman" w:hAnsi="Times New Roman" w:cs="Times New Roman"/>
          <w:b/>
          <w:bCs/>
        </w:rPr>
        <w:t>2</w:t>
      </w:r>
      <w:r>
        <w:rPr>
          <w:rFonts w:ascii="Times New Roman" w:hAnsi="Times New Roman" w:cs="Times New Roman"/>
          <w:b/>
          <w:bCs/>
        </w:rPr>
        <w:t xml:space="preserve">: </w:t>
      </w:r>
      <w:r w:rsidRPr="00454DD3">
        <w:rPr>
          <w:rFonts w:ascii="Times New Roman" w:hAnsi="Times New Roman" w:cs="Times New Roman"/>
          <w:b/>
          <w:bCs/>
        </w:rPr>
        <w:t>Interventional Therapies in DN</w:t>
      </w:r>
    </w:p>
    <w:p w14:paraId="1907D030" w14:textId="4EA5E4E9" w:rsidR="00FA76BA" w:rsidRPr="00FA76BA" w:rsidRDefault="00FA76BA" w:rsidP="00FA76BA">
      <w:pPr>
        <w:spacing w:after="0" w:line="360" w:lineRule="auto"/>
        <w:jc w:val="both"/>
        <w:rPr>
          <w:rFonts w:ascii="Times New Roman" w:hAnsi="Times New Roman" w:cs="Times New Roman"/>
        </w:rPr>
      </w:pPr>
      <w:r w:rsidRPr="00FA76BA">
        <w:rPr>
          <w:rFonts w:ascii="Times New Roman" w:hAnsi="Times New Roman" w:cs="Times New Roman"/>
        </w:rPr>
        <w:t xml:space="preserve">Botulinum toxin A (BTX-A) has shown promising analgesic effects through inhibition of neurotransmitter release and reduction of peripheral and central sensitization. A randomized </w:t>
      </w:r>
      <w:r w:rsidR="00C7126F" w:rsidRPr="00FA76BA">
        <w:rPr>
          <w:rFonts w:ascii="Times New Roman" w:hAnsi="Times New Roman" w:cs="Times New Roman"/>
        </w:rPr>
        <w:t>meticulous</w:t>
      </w:r>
      <w:r w:rsidRPr="00FA76BA">
        <w:rPr>
          <w:rFonts w:ascii="Times New Roman" w:hAnsi="Times New Roman" w:cs="Times New Roman"/>
        </w:rPr>
        <w:t xml:space="preserve"> trial </w:t>
      </w:r>
      <w:r w:rsidR="004C1671">
        <w:rPr>
          <w:rFonts w:ascii="Times New Roman" w:hAnsi="Times New Roman" w:cs="Times New Roman"/>
        </w:rPr>
        <w:t>[206]</w:t>
      </w:r>
      <w:r w:rsidRPr="00FA76BA">
        <w:rPr>
          <w:rFonts w:ascii="Times New Roman" w:hAnsi="Times New Roman" w:cs="Times New Roman"/>
        </w:rPr>
        <w:t xml:space="preserve"> demonstrated that intradermal BTX-A significantly reduced pain scores in PDN patients over 12 weeks. Acupuncture, rooted in traditional Chinese medicine, modulates endogenous opioid release and neuroinflammation; a meta-analysis confirmed moderate efficacy in reducing PDN symptoms. Lumbar sympathetic block (LSB), which interrupts sympathetic afferents, can improve microcirculation and alleviate pain, as evidenced by a case series reporting sustained relief in diabetic patients after serial blocks. Spinal cord stimulation (SCS), a neuromodulation technique delivering low-voltage electrical currents to the dorsal columns, has shown clinically meaningful pain reduction in PDN. </w:t>
      </w:r>
      <w:r w:rsidR="004C1671">
        <w:rPr>
          <w:rFonts w:ascii="Times New Roman" w:hAnsi="Times New Roman" w:cs="Times New Roman"/>
        </w:rPr>
        <w:t>A</w:t>
      </w:r>
      <w:r w:rsidRPr="00FA76BA">
        <w:rPr>
          <w:rFonts w:ascii="Times New Roman" w:hAnsi="Times New Roman" w:cs="Times New Roman"/>
        </w:rPr>
        <w:t xml:space="preserve"> randomized trial that found 55% of participants had ≥50% pain relief at 6 months with SCS. Dorsal root ganglion (DRG) stimulation, a more targeted form of neuromodulation, provides segmental pain control. The ACCURATE study found DRG stimulation to be superior to SCS in complex regional pain syndrome and is now being investigated for PDN. Lastly, peripheral nerve decompression (PND), based on the hypothesis that chronic compression contributes to neuropathic pain, has shown improvement in pain and sensation post-surgery in selected patients, as reported in diabetic neuropathy cases. Collectively, these interventional options offer varied mechanisms and </w:t>
      </w:r>
      <w:r w:rsidR="00C7126F" w:rsidRPr="00FA76BA">
        <w:rPr>
          <w:rFonts w:ascii="Times New Roman" w:hAnsi="Times New Roman" w:cs="Times New Roman"/>
        </w:rPr>
        <w:t>experimental</w:t>
      </w:r>
      <w:r w:rsidRPr="00FA76BA">
        <w:rPr>
          <w:rFonts w:ascii="Times New Roman" w:hAnsi="Times New Roman" w:cs="Times New Roman"/>
        </w:rPr>
        <w:t xml:space="preserve"> benefits for patients with </w:t>
      </w:r>
      <w:r w:rsidR="00C7126F" w:rsidRPr="00FA76BA">
        <w:rPr>
          <w:rFonts w:ascii="Times New Roman" w:hAnsi="Times New Roman" w:cs="Times New Roman"/>
        </w:rPr>
        <w:t>stubborn</w:t>
      </w:r>
      <w:r w:rsidRPr="00FA76BA">
        <w:rPr>
          <w:rFonts w:ascii="Times New Roman" w:hAnsi="Times New Roman" w:cs="Times New Roman"/>
        </w:rPr>
        <w:t xml:space="preserve"> PDN.</w:t>
      </w:r>
    </w:p>
    <w:tbl>
      <w:tblPr>
        <w:tblStyle w:val="GridTable4-Accent11"/>
        <w:tblW w:w="9329" w:type="dxa"/>
        <w:tblLook w:val="04A0" w:firstRow="1" w:lastRow="0" w:firstColumn="1" w:lastColumn="0" w:noHBand="0" w:noVBand="1"/>
      </w:tblPr>
      <w:tblGrid>
        <w:gridCol w:w="2237"/>
        <w:gridCol w:w="1543"/>
        <w:gridCol w:w="2994"/>
        <w:gridCol w:w="2555"/>
      </w:tblGrid>
      <w:tr w:rsidR="00454DD3" w:rsidRPr="00454DD3" w14:paraId="1FC6A3F9" w14:textId="77777777" w:rsidTr="00FA76BA">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400B82A4"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lastRenderedPageBreak/>
              <w:t>Therapy</w:t>
            </w:r>
          </w:p>
        </w:tc>
        <w:tc>
          <w:tcPr>
            <w:tcW w:w="0" w:type="auto"/>
            <w:hideMark/>
          </w:tcPr>
          <w:p w14:paraId="149F93F0" w14:textId="77777777" w:rsidR="00454DD3" w:rsidRPr="00454DD3" w:rsidRDefault="00454DD3" w:rsidP="00454DD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Level of Evidence</w:t>
            </w:r>
          </w:p>
        </w:tc>
        <w:tc>
          <w:tcPr>
            <w:tcW w:w="0" w:type="auto"/>
            <w:hideMark/>
          </w:tcPr>
          <w:p w14:paraId="48FB272B" w14:textId="77777777" w:rsidR="00454DD3" w:rsidRPr="00454DD3" w:rsidRDefault="00454DD3" w:rsidP="00454DD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Clinical Role</w:t>
            </w:r>
          </w:p>
        </w:tc>
        <w:tc>
          <w:tcPr>
            <w:tcW w:w="0" w:type="auto"/>
            <w:hideMark/>
          </w:tcPr>
          <w:p w14:paraId="661A7350" w14:textId="77777777" w:rsidR="00454DD3" w:rsidRPr="00454DD3" w:rsidRDefault="00454DD3" w:rsidP="00454DD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Limitations</w:t>
            </w:r>
          </w:p>
        </w:tc>
      </w:tr>
      <w:tr w:rsidR="00454DD3" w:rsidRPr="00454DD3" w14:paraId="068EF349" w14:textId="77777777" w:rsidTr="00FA76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228D4E1E"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BTX-A injections</w:t>
            </w:r>
          </w:p>
        </w:tc>
        <w:tc>
          <w:tcPr>
            <w:tcW w:w="0" w:type="auto"/>
            <w:hideMark/>
          </w:tcPr>
          <w:p w14:paraId="21FA9364"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2B+/1B+</w:t>
            </w:r>
          </w:p>
        </w:tc>
        <w:tc>
          <w:tcPr>
            <w:tcW w:w="0" w:type="auto"/>
            <w:hideMark/>
          </w:tcPr>
          <w:p w14:paraId="24F5298A"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Adjunctive for pain and muscle cramps</w:t>
            </w:r>
          </w:p>
        </w:tc>
        <w:tc>
          <w:tcPr>
            <w:tcW w:w="0" w:type="auto"/>
            <w:hideMark/>
          </w:tcPr>
          <w:p w14:paraId="6C474E2D"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Small studies, short follow-up</w:t>
            </w:r>
          </w:p>
        </w:tc>
      </w:tr>
      <w:tr w:rsidR="00454DD3" w:rsidRPr="00454DD3" w14:paraId="3D073452" w14:textId="77777777" w:rsidTr="00FA76BA">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3517F064"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Acupuncture</w:t>
            </w:r>
          </w:p>
        </w:tc>
        <w:tc>
          <w:tcPr>
            <w:tcW w:w="0" w:type="auto"/>
            <w:hideMark/>
          </w:tcPr>
          <w:p w14:paraId="726E00FF"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2B+/1B+</w:t>
            </w:r>
          </w:p>
        </w:tc>
        <w:tc>
          <w:tcPr>
            <w:tcW w:w="0" w:type="auto"/>
            <w:hideMark/>
          </w:tcPr>
          <w:p w14:paraId="01291A38"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Complementary therapy</w:t>
            </w:r>
          </w:p>
        </w:tc>
        <w:tc>
          <w:tcPr>
            <w:tcW w:w="0" w:type="auto"/>
            <w:hideMark/>
          </w:tcPr>
          <w:p w14:paraId="20DF9942"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Variability in methods, potential bias</w:t>
            </w:r>
          </w:p>
        </w:tc>
      </w:tr>
      <w:tr w:rsidR="00454DD3" w:rsidRPr="00454DD3" w14:paraId="398608D1" w14:textId="77777777" w:rsidTr="00FA76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586F0DBC"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Lumbar sympathectomy</w:t>
            </w:r>
          </w:p>
        </w:tc>
        <w:tc>
          <w:tcPr>
            <w:tcW w:w="0" w:type="auto"/>
            <w:hideMark/>
          </w:tcPr>
          <w:p w14:paraId="376EC2A9"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2C+</w:t>
            </w:r>
          </w:p>
        </w:tc>
        <w:tc>
          <w:tcPr>
            <w:tcW w:w="0" w:type="auto"/>
            <w:hideMark/>
          </w:tcPr>
          <w:p w14:paraId="2F2E8D4F"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Salvage option for refractory PDN</w:t>
            </w:r>
          </w:p>
        </w:tc>
        <w:tc>
          <w:tcPr>
            <w:tcW w:w="0" w:type="auto"/>
            <w:hideMark/>
          </w:tcPr>
          <w:p w14:paraId="27EFE738"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Retrospective data, small studies</w:t>
            </w:r>
          </w:p>
        </w:tc>
      </w:tr>
      <w:tr w:rsidR="00454DD3" w:rsidRPr="00454DD3" w14:paraId="652FB1EF" w14:textId="77777777" w:rsidTr="00FA76BA">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660CF99D"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SCS (tonic &amp; HF-10)</w:t>
            </w:r>
          </w:p>
        </w:tc>
        <w:tc>
          <w:tcPr>
            <w:tcW w:w="0" w:type="auto"/>
            <w:hideMark/>
          </w:tcPr>
          <w:p w14:paraId="1AD0E503"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1B+</w:t>
            </w:r>
          </w:p>
        </w:tc>
        <w:tc>
          <w:tcPr>
            <w:tcW w:w="0" w:type="auto"/>
            <w:hideMark/>
          </w:tcPr>
          <w:p w14:paraId="5AEE69EC"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High efficacy for refractory lower limb PDN</w:t>
            </w:r>
          </w:p>
        </w:tc>
        <w:tc>
          <w:tcPr>
            <w:tcW w:w="0" w:type="auto"/>
            <w:hideMark/>
          </w:tcPr>
          <w:p w14:paraId="076267AB"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Expensive, invasive, not blinded</w:t>
            </w:r>
          </w:p>
        </w:tc>
      </w:tr>
      <w:tr w:rsidR="00454DD3" w:rsidRPr="00454DD3" w14:paraId="34067955" w14:textId="77777777" w:rsidTr="00FA76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71C9FB1B"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DRG stimulation</w:t>
            </w:r>
          </w:p>
        </w:tc>
        <w:tc>
          <w:tcPr>
            <w:tcW w:w="0" w:type="auto"/>
            <w:hideMark/>
          </w:tcPr>
          <w:p w14:paraId="6CB3407A"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2C+</w:t>
            </w:r>
          </w:p>
        </w:tc>
        <w:tc>
          <w:tcPr>
            <w:tcW w:w="0" w:type="auto"/>
            <w:hideMark/>
          </w:tcPr>
          <w:p w14:paraId="33BD8A52"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Experimental, for localized neuropathic pain</w:t>
            </w:r>
          </w:p>
        </w:tc>
        <w:tc>
          <w:tcPr>
            <w:tcW w:w="0" w:type="auto"/>
            <w:hideMark/>
          </w:tcPr>
          <w:p w14:paraId="09704B54"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Very limited evidence</w:t>
            </w:r>
          </w:p>
        </w:tc>
      </w:tr>
      <w:tr w:rsidR="00454DD3" w:rsidRPr="00454DD3" w14:paraId="532AB0B5" w14:textId="77777777" w:rsidTr="00FA76BA">
        <w:trPr>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776984F9"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Surgical decompression</w:t>
            </w:r>
          </w:p>
        </w:tc>
        <w:tc>
          <w:tcPr>
            <w:tcW w:w="0" w:type="auto"/>
            <w:hideMark/>
          </w:tcPr>
          <w:p w14:paraId="261F2F28"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2B–2C</w:t>
            </w:r>
          </w:p>
        </w:tc>
        <w:tc>
          <w:tcPr>
            <w:tcW w:w="0" w:type="auto"/>
            <w:hideMark/>
          </w:tcPr>
          <w:p w14:paraId="1560DE30"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Select cases with entrapment symptoms</w:t>
            </w:r>
          </w:p>
        </w:tc>
        <w:tc>
          <w:tcPr>
            <w:tcW w:w="0" w:type="auto"/>
            <w:hideMark/>
          </w:tcPr>
          <w:p w14:paraId="403883F2"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Controversial, lack of sham controls</w:t>
            </w:r>
          </w:p>
        </w:tc>
      </w:tr>
    </w:tbl>
    <w:p w14:paraId="164906CC" w14:textId="77777777" w:rsidR="00E37991" w:rsidRDefault="00E37991" w:rsidP="00393E50">
      <w:pPr>
        <w:spacing w:after="0" w:line="360" w:lineRule="auto"/>
        <w:jc w:val="both"/>
        <w:rPr>
          <w:rFonts w:ascii="Times New Roman" w:hAnsi="Times New Roman" w:cs="Times New Roman"/>
          <w:b/>
          <w:bCs/>
        </w:rPr>
      </w:pPr>
    </w:p>
    <w:p w14:paraId="470F3475" w14:textId="2BDF31A2" w:rsidR="00E37991" w:rsidRDefault="00E37991" w:rsidP="00E37991">
      <w:pPr>
        <w:spacing w:after="0" w:line="360" w:lineRule="auto"/>
        <w:jc w:val="center"/>
        <w:rPr>
          <w:rFonts w:ascii="Times New Roman" w:hAnsi="Times New Roman" w:cs="Times New Roman"/>
          <w:b/>
          <w:bCs/>
        </w:rPr>
      </w:pPr>
      <w:r>
        <w:rPr>
          <w:rFonts w:ascii="Times New Roman" w:hAnsi="Times New Roman" w:cs="Times New Roman"/>
          <w:b/>
          <w:bCs/>
        </w:rPr>
        <w:t xml:space="preserve">Table.1: </w:t>
      </w:r>
      <w:r w:rsidRPr="00454DD3">
        <w:rPr>
          <w:rFonts w:ascii="Times New Roman" w:hAnsi="Times New Roman" w:cs="Times New Roman"/>
          <w:b/>
          <w:bCs/>
        </w:rPr>
        <w:t>Interventional Therapies in D</w:t>
      </w:r>
      <w:r>
        <w:rPr>
          <w:rFonts w:ascii="Times New Roman" w:hAnsi="Times New Roman" w:cs="Times New Roman"/>
          <w:b/>
          <w:bCs/>
        </w:rPr>
        <w:t>iabetic Nephropathy</w:t>
      </w:r>
    </w:p>
    <w:p w14:paraId="03C9BB51" w14:textId="0DD88912" w:rsidR="00393E50" w:rsidRPr="00393E50" w:rsidRDefault="00393E50" w:rsidP="00393E50">
      <w:pPr>
        <w:spacing w:after="0" w:line="360" w:lineRule="auto"/>
        <w:jc w:val="both"/>
        <w:rPr>
          <w:rFonts w:ascii="Times New Roman" w:hAnsi="Times New Roman" w:cs="Times New Roman"/>
          <w:b/>
          <w:bCs/>
        </w:rPr>
      </w:pPr>
      <w:r w:rsidRPr="00393E50">
        <w:rPr>
          <w:rFonts w:ascii="Times New Roman" w:hAnsi="Times New Roman" w:cs="Times New Roman"/>
          <w:b/>
          <w:bCs/>
        </w:rPr>
        <w:t>Discussion</w:t>
      </w:r>
    </w:p>
    <w:p w14:paraId="0F9FE9C6" w14:textId="0B8DE6DD" w:rsidR="00393E50" w:rsidRPr="00393E50" w:rsidRDefault="00393E50" w:rsidP="00393E50">
      <w:pPr>
        <w:spacing w:after="0" w:line="360" w:lineRule="auto"/>
        <w:jc w:val="both"/>
        <w:rPr>
          <w:rFonts w:ascii="Times New Roman" w:hAnsi="Times New Roman" w:cs="Times New Roman"/>
        </w:rPr>
      </w:pPr>
      <w:r>
        <w:rPr>
          <w:rFonts w:ascii="Times New Roman" w:hAnsi="Times New Roman" w:cs="Times New Roman"/>
          <w:b/>
          <w:bCs/>
        </w:rPr>
        <w:t xml:space="preserve">                 </w:t>
      </w:r>
      <w:r w:rsidRPr="00393E50">
        <w:rPr>
          <w:rFonts w:ascii="Times New Roman" w:hAnsi="Times New Roman" w:cs="Times New Roman"/>
        </w:rPr>
        <w:t>Diabetic nephropathy (DN) remains one of the most prevalent and challenging microvascular complications of diabetes mellitus, contributing significantly to end-stage renal disease (ESRD) worldwide. Despite the availability of conventional therapies, the progressive nature of DN underscores the need for a deeper understanding of its molecular and cellular underpinnings to facilitate targeted therapeutic interventions.</w:t>
      </w:r>
      <w:r w:rsidR="004C1671">
        <w:rPr>
          <w:rFonts w:ascii="Times New Roman" w:hAnsi="Times New Roman" w:cs="Times New Roman"/>
        </w:rPr>
        <w:t xml:space="preserve"> </w:t>
      </w:r>
      <w:r w:rsidR="00C7126F">
        <w:rPr>
          <w:rFonts w:ascii="Times New Roman" w:hAnsi="Times New Roman" w:cs="Times New Roman"/>
        </w:rPr>
        <w:t>As t</w:t>
      </w:r>
      <w:r w:rsidRPr="00393E50">
        <w:rPr>
          <w:rFonts w:ascii="Times New Roman" w:hAnsi="Times New Roman" w:cs="Times New Roman"/>
        </w:rPr>
        <w:t xml:space="preserve">he pathogenesis of DN is multifactorial, involving intricate mechanisms </w:t>
      </w:r>
      <w:r w:rsidR="00C7126F">
        <w:rPr>
          <w:rFonts w:ascii="Times New Roman" w:hAnsi="Times New Roman" w:cs="Times New Roman"/>
        </w:rPr>
        <w:t>like</w:t>
      </w:r>
      <w:r w:rsidRPr="00393E50">
        <w:rPr>
          <w:rFonts w:ascii="Times New Roman" w:hAnsi="Times New Roman" w:cs="Times New Roman"/>
        </w:rPr>
        <w:t xml:space="preserve"> the activation of renin-angiotensin-aldosterone system (RAAS), oxidative stress through reactive oxygen species (ROS), formation and accumulation of advanced glycation end-products (AGEs), autophagy dysregulation, and the diacylglycerol-protein kinase C (DAG-PKC) pathway. These pathways collectively induce glomerular hypertrophy, mesangial expansion, podocyte injury, and tubulointerstitial fibrosis, hallmarks of DN progression. Key </w:t>
      </w:r>
      <w:proofErr w:type="spellStart"/>
      <w:r w:rsidRPr="00393E50">
        <w:rPr>
          <w:rFonts w:ascii="Times New Roman" w:hAnsi="Times New Roman" w:cs="Times New Roman"/>
        </w:rPr>
        <w:t>signaling</w:t>
      </w:r>
      <w:proofErr w:type="spellEnd"/>
      <w:r w:rsidRPr="00393E50">
        <w:rPr>
          <w:rFonts w:ascii="Times New Roman" w:hAnsi="Times New Roman" w:cs="Times New Roman"/>
        </w:rPr>
        <w:t xml:space="preserve"> molecules and cascades, including MAPK, NF-</w:t>
      </w:r>
      <w:proofErr w:type="spellStart"/>
      <w:r w:rsidRPr="00393E50">
        <w:rPr>
          <w:rFonts w:ascii="Times New Roman" w:hAnsi="Times New Roman" w:cs="Times New Roman"/>
        </w:rPr>
        <w:t>κB</w:t>
      </w:r>
      <w:proofErr w:type="spellEnd"/>
      <w:r w:rsidRPr="00393E50">
        <w:rPr>
          <w:rFonts w:ascii="Times New Roman" w:hAnsi="Times New Roman" w:cs="Times New Roman"/>
        </w:rPr>
        <w:t>, JAK/STAT, and TGF-β/</w:t>
      </w:r>
      <w:proofErr w:type="spellStart"/>
      <w:r w:rsidRPr="00393E50">
        <w:rPr>
          <w:rFonts w:ascii="Times New Roman" w:hAnsi="Times New Roman" w:cs="Times New Roman"/>
        </w:rPr>
        <w:t>Smad</w:t>
      </w:r>
      <w:proofErr w:type="spellEnd"/>
      <w:r w:rsidRPr="00393E50">
        <w:rPr>
          <w:rFonts w:ascii="Times New Roman" w:hAnsi="Times New Roman" w:cs="Times New Roman"/>
        </w:rPr>
        <w:t xml:space="preserve"> pathways, further mediate inflammation, fibrosis, and apoptosis in renal tissues.</w:t>
      </w:r>
    </w:p>
    <w:p w14:paraId="04D81C16" w14:textId="77777777" w:rsidR="00393E50" w:rsidRPr="00393E50" w:rsidRDefault="00393E50" w:rsidP="00393E50">
      <w:pPr>
        <w:spacing w:after="0" w:line="360" w:lineRule="auto"/>
        <w:jc w:val="both"/>
        <w:rPr>
          <w:rFonts w:ascii="Times New Roman" w:hAnsi="Times New Roman" w:cs="Times New Roman"/>
        </w:rPr>
      </w:pPr>
      <w:r w:rsidRPr="00393E50">
        <w:rPr>
          <w:rFonts w:ascii="Times New Roman" w:hAnsi="Times New Roman" w:cs="Times New Roman"/>
        </w:rPr>
        <w:t>This review has also emphasized the growing relevance of biomarkers for early diagnosis and progression monitoring in DN. The incorporation of urinary and serum biomarkers, including NGAL, KIM-1, L-FABP, and inflammatory cytokines, into clinical practice could enhance early detection and prognosis assessment.</w:t>
      </w:r>
    </w:p>
    <w:p w14:paraId="45C191C8" w14:textId="77777777" w:rsidR="00393E50" w:rsidRPr="00393E50" w:rsidRDefault="00393E50" w:rsidP="00393E50">
      <w:pPr>
        <w:spacing w:after="0" w:line="360" w:lineRule="auto"/>
        <w:jc w:val="both"/>
        <w:rPr>
          <w:rFonts w:ascii="Times New Roman" w:hAnsi="Times New Roman" w:cs="Times New Roman"/>
          <w:b/>
          <w:bCs/>
        </w:rPr>
      </w:pPr>
      <w:r w:rsidRPr="00393E50">
        <w:rPr>
          <w:rFonts w:ascii="Times New Roman" w:hAnsi="Times New Roman" w:cs="Times New Roman"/>
          <w:b/>
          <w:bCs/>
        </w:rPr>
        <w:lastRenderedPageBreak/>
        <w:t>Conclusion</w:t>
      </w:r>
    </w:p>
    <w:p w14:paraId="46DDCD40" w14:textId="340562B2" w:rsidR="00F0497A" w:rsidRDefault="00393E50" w:rsidP="00393E50">
      <w:pPr>
        <w:spacing w:after="0" w:line="360" w:lineRule="auto"/>
        <w:jc w:val="both"/>
        <w:rPr>
          <w:rFonts w:ascii="Times New Roman" w:hAnsi="Times New Roman" w:cs="Times New Roman"/>
        </w:rPr>
      </w:pPr>
      <w:r w:rsidRPr="00393E50">
        <w:rPr>
          <w:rFonts w:ascii="Times New Roman" w:hAnsi="Times New Roman" w:cs="Times New Roman"/>
        </w:rPr>
        <w:t xml:space="preserve">           The complexity of diabetic nephropathy necessitates an integrative therapeutic approach that spans metabolic control, inhibition of key molecular pathways, and organ-protective strategies. Advancements in our understanding of DN pathophysiology have paved the way for targeted therapies and novel interventions that hold promise in delaying progression to ESRD. Future research should prioritize conducting high-quality randomized controlled trials (RCTs) to evaluate the efficacy and safety of both interventional and adjunctive therapies for diabetic nephropathy. Equally important is the standardization and validation of early diagnostic biomarkers to enhance their clinical utility for timely detection and monitoring of disease progression. </w:t>
      </w:r>
    </w:p>
    <w:p w14:paraId="5B447822" w14:textId="77777777" w:rsidR="00F0497A" w:rsidRPr="004C1671" w:rsidRDefault="00F0497A" w:rsidP="00F0497A">
      <w:pPr>
        <w:rPr>
          <w:rFonts w:ascii="Times New Roman" w:hAnsi="Times New Roman" w:cs="Times New Roman"/>
          <w:b/>
          <w:bCs/>
        </w:rPr>
      </w:pPr>
      <w:r w:rsidRPr="004C1671">
        <w:rPr>
          <w:rFonts w:ascii="Times New Roman" w:hAnsi="Times New Roman" w:cs="Times New Roman"/>
          <w:b/>
          <w:bCs/>
        </w:rPr>
        <w:t>References:</w:t>
      </w:r>
    </w:p>
    <w:p w14:paraId="6CC1AA1C"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Lim A. Diabetic nephropathy complications and treatment. Int J </w:t>
      </w:r>
      <w:proofErr w:type="spellStart"/>
      <w:r w:rsidRPr="004C1671">
        <w:rPr>
          <w:rFonts w:ascii="Times New Roman" w:hAnsi="Times New Roman" w:cs="Times New Roman"/>
        </w:rPr>
        <w:t>Nephrol</w:t>
      </w:r>
      <w:proofErr w:type="spellEnd"/>
      <w:r w:rsidRPr="004C1671">
        <w:rPr>
          <w:rFonts w:ascii="Times New Roman" w:hAnsi="Times New Roman" w:cs="Times New Roman"/>
        </w:rPr>
        <w:t xml:space="preserve"> </w:t>
      </w:r>
      <w:proofErr w:type="spellStart"/>
      <w:r w:rsidRPr="004C1671">
        <w:rPr>
          <w:rFonts w:ascii="Times New Roman" w:hAnsi="Times New Roman" w:cs="Times New Roman"/>
        </w:rPr>
        <w:t>Renovasc</w:t>
      </w:r>
      <w:proofErr w:type="spellEnd"/>
      <w:r w:rsidRPr="004C1671">
        <w:rPr>
          <w:rFonts w:ascii="Times New Roman" w:hAnsi="Times New Roman" w:cs="Times New Roman"/>
        </w:rPr>
        <w:t xml:space="preserve"> Dis. </w:t>
      </w:r>
      <w:proofErr w:type="gramStart"/>
      <w:r w:rsidRPr="004C1671">
        <w:rPr>
          <w:rFonts w:ascii="Times New Roman" w:hAnsi="Times New Roman" w:cs="Times New Roman"/>
        </w:rPr>
        <w:t>2014;7:361</w:t>
      </w:r>
      <w:proofErr w:type="gramEnd"/>
      <w:r w:rsidRPr="004C1671">
        <w:rPr>
          <w:rFonts w:ascii="Times New Roman" w:hAnsi="Times New Roman" w:cs="Times New Roman"/>
        </w:rPr>
        <w:t>–81.</w:t>
      </w:r>
      <w:r>
        <w:rPr>
          <w:rFonts w:ascii="Times New Roman" w:hAnsi="Times New Roman" w:cs="Times New Roman"/>
        </w:rPr>
        <w:t xml:space="preserve"> </w:t>
      </w:r>
      <w:r w:rsidRPr="004C1671">
        <w:rPr>
          <w:rFonts w:ascii="Times New Roman" w:hAnsi="Times New Roman" w:cs="Times New Roman"/>
        </w:rPr>
        <w:t xml:space="preserve"> PMID: 25342915</w:t>
      </w:r>
    </w:p>
    <w:p w14:paraId="5CA7D461"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Reidy K, Kang HM, Hostetter T, </w:t>
      </w:r>
      <w:proofErr w:type="spellStart"/>
      <w:r w:rsidRPr="004C1671">
        <w:rPr>
          <w:rFonts w:ascii="Times New Roman" w:hAnsi="Times New Roman" w:cs="Times New Roman"/>
        </w:rPr>
        <w:t>Susztak</w:t>
      </w:r>
      <w:proofErr w:type="spellEnd"/>
      <w:r w:rsidRPr="004C1671">
        <w:rPr>
          <w:rFonts w:ascii="Times New Roman" w:hAnsi="Times New Roman" w:cs="Times New Roman"/>
        </w:rPr>
        <w:t xml:space="preserve"> K. Molecular mechanisms of diabetic kidney disease. J Clin Invest. 2014;124(6):2333–40.</w:t>
      </w:r>
      <w:r>
        <w:rPr>
          <w:rFonts w:ascii="Times New Roman" w:hAnsi="Times New Roman" w:cs="Times New Roman"/>
        </w:rPr>
        <w:t xml:space="preserve"> </w:t>
      </w:r>
      <w:r w:rsidRPr="004C1671">
        <w:rPr>
          <w:rFonts w:ascii="Times New Roman" w:hAnsi="Times New Roman" w:cs="Times New Roman"/>
        </w:rPr>
        <w:t xml:space="preserve"> PMID: 24892707</w:t>
      </w:r>
    </w:p>
    <w:p w14:paraId="2D8B6FC5"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Russo G, </w:t>
      </w:r>
      <w:proofErr w:type="spellStart"/>
      <w:r w:rsidRPr="004C1671">
        <w:rPr>
          <w:rFonts w:ascii="Times New Roman" w:hAnsi="Times New Roman" w:cs="Times New Roman"/>
        </w:rPr>
        <w:t>Piscitelli</w:t>
      </w:r>
      <w:proofErr w:type="spellEnd"/>
      <w:r w:rsidRPr="004C1671">
        <w:rPr>
          <w:rFonts w:ascii="Times New Roman" w:hAnsi="Times New Roman" w:cs="Times New Roman"/>
        </w:rPr>
        <w:t xml:space="preserve"> P, </w:t>
      </w:r>
      <w:proofErr w:type="spellStart"/>
      <w:r w:rsidRPr="004C1671">
        <w:rPr>
          <w:rFonts w:ascii="Times New Roman" w:hAnsi="Times New Roman" w:cs="Times New Roman"/>
        </w:rPr>
        <w:t>Giandalia</w:t>
      </w:r>
      <w:proofErr w:type="spellEnd"/>
      <w:r w:rsidRPr="004C1671">
        <w:rPr>
          <w:rFonts w:ascii="Times New Roman" w:hAnsi="Times New Roman" w:cs="Times New Roman"/>
        </w:rPr>
        <w:t xml:space="preserve"> A, et al. Atherogenic </w:t>
      </w:r>
      <w:proofErr w:type="spellStart"/>
      <w:r w:rsidRPr="004C1671">
        <w:rPr>
          <w:rFonts w:ascii="Times New Roman" w:hAnsi="Times New Roman" w:cs="Times New Roman"/>
        </w:rPr>
        <w:t>dyslipidemia</w:t>
      </w:r>
      <w:proofErr w:type="spellEnd"/>
      <w:r w:rsidRPr="004C1671">
        <w:rPr>
          <w:rFonts w:ascii="Times New Roman" w:hAnsi="Times New Roman" w:cs="Times New Roman"/>
        </w:rPr>
        <w:t xml:space="preserve"> and diabetic nephropathy. J </w:t>
      </w:r>
      <w:proofErr w:type="spellStart"/>
      <w:r w:rsidRPr="004C1671">
        <w:rPr>
          <w:rFonts w:ascii="Times New Roman" w:hAnsi="Times New Roman" w:cs="Times New Roman"/>
        </w:rPr>
        <w:t>Nephrol</w:t>
      </w:r>
      <w:proofErr w:type="spellEnd"/>
      <w:r w:rsidRPr="004C1671">
        <w:rPr>
          <w:rFonts w:ascii="Times New Roman" w:hAnsi="Times New Roman" w:cs="Times New Roman"/>
        </w:rPr>
        <w:t>. 2020;33(5):1001–8.</w:t>
      </w:r>
      <w:r>
        <w:rPr>
          <w:rFonts w:ascii="Times New Roman" w:hAnsi="Times New Roman" w:cs="Times New Roman"/>
        </w:rPr>
        <w:t xml:space="preserve"> </w:t>
      </w:r>
      <w:r w:rsidRPr="004C1671">
        <w:rPr>
          <w:rFonts w:ascii="Times New Roman" w:hAnsi="Times New Roman" w:cs="Times New Roman"/>
        </w:rPr>
        <w:t xml:space="preserve"> PMID: 32328901</w:t>
      </w:r>
    </w:p>
    <w:p w14:paraId="594BACEF"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Duran-Salgado MB, Rubio-Guerra AF. Diabetic nephropathy and inflammation. World J Diabetes. 2014;5(3):393–8.</w:t>
      </w:r>
      <w:r>
        <w:rPr>
          <w:rFonts w:ascii="Times New Roman" w:hAnsi="Times New Roman" w:cs="Times New Roman"/>
        </w:rPr>
        <w:t xml:space="preserve"> </w:t>
      </w:r>
      <w:r w:rsidRPr="004C1671">
        <w:rPr>
          <w:rFonts w:ascii="Times New Roman" w:hAnsi="Times New Roman" w:cs="Times New Roman"/>
        </w:rPr>
        <w:t xml:space="preserve"> PMID: 24936261</w:t>
      </w:r>
    </w:p>
    <w:p w14:paraId="47363AE5"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Reutens</w:t>
      </w:r>
      <w:proofErr w:type="spellEnd"/>
      <w:r w:rsidRPr="004C1671">
        <w:rPr>
          <w:rFonts w:ascii="Times New Roman" w:hAnsi="Times New Roman" w:cs="Times New Roman"/>
        </w:rPr>
        <w:t xml:space="preserve"> AT, Atkins RC. Epidemiology of diabetic nephropathy. In: Lai KN, Tang SCW, editors. Diabetes and the Kidney. Basel: Karger; 2011. p. 1–7.</w:t>
      </w:r>
    </w:p>
    <w:p w14:paraId="067E3684"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International Diabetes Federation. Diabetes Atlas. Available from: (Accessed March 19, 2024).</w:t>
      </w:r>
    </w:p>
    <w:p w14:paraId="32FE18D5"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Cha DR, Kang YS, Han SY, et al. Role of aldosterone in diabetic nephropathy. Nephrology. 2005;10 </w:t>
      </w:r>
      <w:proofErr w:type="spellStart"/>
      <w:r w:rsidRPr="004C1671">
        <w:rPr>
          <w:rFonts w:ascii="Times New Roman" w:hAnsi="Times New Roman" w:cs="Times New Roman"/>
        </w:rPr>
        <w:t>Suppl</w:t>
      </w:r>
      <w:proofErr w:type="spellEnd"/>
      <w:r w:rsidRPr="004C1671">
        <w:rPr>
          <w:rFonts w:ascii="Times New Roman" w:hAnsi="Times New Roman" w:cs="Times New Roman"/>
        </w:rPr>
        <w:t xml:space="preserve"> </w:t>
      </w:r>
      <w:proofErr w:type="gramStart"/>
      <w:r w:rsidRPr="004C1671">
        <w:rPr>
          <w:rFonts w:ascii="Times New Roman" w:hAnsi="Times New Roman" w:cs="Times New Roman"/>
        </w:rPr>
        <w:t>2:S</w:t>
      </w:r>
      <w:proofErr w:type="gramEnd"/>
      <w:r w:rsidRPr="004C1671">
        <w:rPr>
          <w:rFonts w:ascii="Times New Roman" w:hAnsi="Times New Roman" w:cs="Times New Roman"/>
        </w:rPr>
        <w:t>37–9.</w:t>
      </w:r>
      <w:r>
        <w:rPr>
          <w:rFonts w:ascii="Times New Roman" w:hAnsi="Times New Roman" w:cs="Times New Roman"/>
        </w:rPr>
        <w:t xml:space="preserve"> </w:t>
      </w:r>
      <w:r w:rsidRPr="004C1671">
        <w:rPr>
          <w:rFonts w:ascii="Times New Roman" w:hAnsi="Times New Roman" w:cs="Times New Roman"/>
        </w:rPr>
        <w:t xml:space="preserve"> PMID: 16174286</w:t>
      </w:r>
    </w:p>
    <w:p w14:paraId="590B63AB"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Hagiwara S, </w:t>
      </w:r>
      <w:proofErr w:type="spellStart"/>
      <w:r w:rsidRPr="004C1671">
        <w:rPr>
          <w:rFonts w:ascii="Times New Roman" w:hAnsi="Times New Roman" w:cs="Times New Roman"/>
        </w:rPr>
        <w:t>Gohda</w:t>
      </w:r>
      <w:proofErr w:type="spellEnd"/>
      <w:r w:rsidRPr="004C1671">
        <w:rPr>
          <w:rFonts w:ascii="Times New Roman" w:hAnsi="Times New Roman" w:cs="Times New Roman"/>
        </w:rPr>
        <w:t xml:space="preserve"> T, </w:t>
      </w:r>
      <w:proofErr w:type="spellStart"/>
      <w:r w:rsidRPr="004C1671">
        <w:rPr>
          <w:rFonts w:ascii="Times New Roman" w:hAnsi="Times New Roman" w:cs="Times New Roman"/>
        </w:rPr>
        <w:t>Kantharidis</w:t>
      </w:r>
      <w:proofErr w:type="spellEnd"/>
      <w:r w:rsidRPr="004C1671">
        <w:rPr>
          <w:rFonts w:ascii="Times New Roman" w:hAnsi="Times New Roman" w:cs="Times New Roman"/>
        </w:rPr>
        <w:t xml:space="preserve"> P, et al. Potential of modulating aldosterone </w:t>
      </w:r>
      <w:proofErr w:type="spellStart"/>
      <w:r w:rsidRPr="004C1671">
        <w:rPr>
          <w:rFonts w:ascii="Times New Roman" w:hAnsi="Times New Roman" w:cs="Times New Roman"/>
        </w:rPr>
        <w:t>signaling</w:t>
      </w:r>
      <w:proofErr w:type="spellEnd"/>
      <w:r w:rsidRPr="004C1671">
        <w:rPr>
          <w:rFonts w:ascii="Times New Roman" w:hAnsi="Times New Roman" w:cs="Times New Roman"/>
        </w:rPr>
        <w:t xml:space="preserve"> and mineralocorticoid receptor with microRNAs to attenuate diabetic kidney disease. Int J Mol Sci. 2024;25(2):869.</w:t>
      </w:r>
      <w:r>
        <w:rPr>
          <w:rFonts w:ascii="Times New Roman" w:hAnsi="Times New Roman" w:cs="Times New Roman"/>
        </w:rPr>
        <w:t xml:space="preserve"> </w:t>
      </w:r>
      <w:r w:rsidRPr="004C1671">
        <w:rPr>
          <w:rFonts w:ascii="Times New Roman" w:hAnsi="Times New Roman" w:cs="Times New Roman"/>
        </w:rPr>
        <w:t xml:space="preserve"> PMID: 38255942</w:t>
      </w:r>
    </w:p>
    <w:p w14:paraId="24FB6B1E"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Bondeva</w:t>
      </w:r>
      <w:proofErr w:type="spellEnd"/>
      <w:r w:rsidRPr="004C1671">
        <w:rPr>
          <w:rFonts w:ascii="Times New Roman" w:hAnsi="Times New Roman" w:cs="Times New Roman"/>
        </w:rPr>
        <w:t xml:space="preserve"> T, Wolf G. Reactive oxygen species in diabetic nephropathy: friend or foe? </w:t>
      </w:r>
      <w:proofErr w:type="spellStart"/>
      <w:r w:rsidRPr="004C1671">
        <w:rPr>
          <w:rFonts w:ascii="Times New Roman" w:hAnsi="Times New Roman" w:cs="Times New Roman"/>
        </w:rPr>
        <w:t>Nephrol</w:t>
      </w:r>
      <w:proofErr w:type="spellEnd"/>
      <w:r w:rsidRPr="004C1671">
        <w:rPr>
          <w:rFonts w:ascii="Times New Roman" w:hAnsi="Times New Roman" w:cs="Times New Roman"/>
        </w:rPr>
        <w:t xml:space="preserve"> Dial Transplant. 2014;29(11):1998–2003.</w:t>
      </w:r>
      <w:r>
        <w:rPr>
          <w:rFonts w:ascii="Times New Roman" w:hAnsi="Times New Roman" w:cs="Times New Roman"/>
        </w:rPr>
        <w:t xml:space="preserve"> </w:t>
      </w:r>
      <w:r w:rsidRPr="004C1671">
        <w:rPr>
          <w:rFonts w:ascii="Times New Roman" w:hAnsi="Times New Roman" w:cs="Times New Roman"/>
        </w:rPr>
        <w:t xml:space="preserve"> PMID: 24589719</w:t>
      </w:r>
    </w:p>
    <w:p w14:paraId="5C492920"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Kanwar YS, Wada J, Sun L, et al. Diabetic nephropathy: mechanisms of renal disease progression. Exp </w:t>
      </w:r>
      <w:proofErr w:type="spellStart"/>
      <w:r w:rsidRPr="004C1671">
        <w:rPr>
          <w:rFonts w:ascii="Times New Roman" w:hAnsi="Times New Roman" w:cs="Times New Roman"/>
        </w:rPr>
        <w:t>Biol</w:t>
      </w:r>
      <w:proofErr w:type="spellEnd"/>
      <w:r w:rsidRPr="004C1671">
        <w:rPr>
          <w:rFonts w:ascii="Times New Roman" w:hAnsi="Times New Roman" w:cs="Times New Roman"/>
        </w:rPr>
        <w:t xml:space="preserve"> Med (Maywood). 2008;233(1):4–11.</w:t>
      </w:r>
      <w:r>
        <w:rPr>
          <w:rFonts w:ascii="Times New Roman" w:hAnsi="Times New Roman" w:cs="Times New Roman"/>
        </w:rPr>
        <w:t xml:space="preserve"> </w:t>
      </w:r>
      <w:r w:rsidRPr="004C1671">
        <w:rPr>
          <w:rFonts w:ascii="Times New Roman" w:hAnsi="Times New Roman" w:cs="Times New Roman"/>
        </w:rPr>
        <w:t xml:space="preserve"> PMID: 18156300</w:t>
      </w:r>
    </w:p>
    <w:p w14:paraId="7DBB988C"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lastRenderedPageBreak/>
        <w:t xml:space="preserve">Carvalho RH, Ida EI, </w:t>
      </w:r>
      <w:proofErr w:type="spellStart"/>
      <w:r w:rsidRPr="004C1671">
        <w:rPr>
          <w:rFonts w:ascii="Times New Roman" w:hAnsi="Times New Roman" w:cs="Times New Roman"/>
        </w:rPr>
        <w:t>Madruga</w:t>
      </w:r>
      <w:proofErr w:type="spellEnd"/>
      <w:r w:rsidRPr="004C1671">
        <w:rPr>
          <w:rFonts w:ascii="Times New Roman" w:hAnsi="Times New Roman" w:cs="Times New Roman"/>
        </w:rPr>
        <w:t xml:space="preserve"> MS, et al. Collapse of the endogenous antioxidant enzymes in post-mortem broiler thigh muscles triggers oxidative stress and impairs water-holding capacity. J Food Sci Technol. 2019;56(3):1371–9.</w:t>
      </w:r>
      <w:r>
        <w:rPr>
          <w:rFonts w:ascii="Times New Roman" w:hAnsi="Times New Roman" w:cs="Times New Roman"/>
        </w:rPr>
        <w:t xml:space="preserve"> </w:t>
      </w:r>
      <w:r w:rsidRPr="004C1671">
        <w:rPr>
          <w:rFonts w:ascii="Times New Roman" w:hAnsi="Times New Roman" w:cs="Times New Roman"/>
        </w:rPr>
        <w:t xml:space="preserve"> PMID: 30956316</w:t>
      </w:r>
    </w:p>
    <w:p w14:paraId="20D83097"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Thomas MC. Advanced glycation end products. In: Lai KN, Tang SCW, editors. Diabetes and the Kidney. Basel: Karger; 2011. p. 66–74.</w:t>
      </w:r>
    </w:p>
    <w:p w14:paraId="20CCE2C1"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Daroux</w:t>
      </w:r>
      <w:proofErr w:type="spellEnd"/>
      <w:r w:rsidRPr="004C1671">
        <w:rPr>
          <w:rFonts w:ascii="Times New Roman" w:hAnsi="Times New Roman" w:cs="Times New Roman"/>
        </w:rPr>
        <w:t xml:space="preserve"> M, </w:t>
      </w:r>
      <w:proofErr w:type="spellStart"/>
      <w:r w:rsidRPr="004C1671">
        <w:rPr>
          <w:rFonts w:ascii="Times New Roman" w:hAnsi="Times New Roman" w:cs="Times New Roman"/>
        </w:rPr>
        <w:t>Prévost</w:t>
      </w:r>
      <w:proofErr w:type="spellEnd"/>
      <w:r w:rsidRPr="004C1671">
        <w:rPr>
          <w:rFonts w:ascii="Times New Roman" w:hAnsi="Times New Roman" w:cs="Times New Roman"/>
        </w:rPr>
        <w:t xml:space="preserve"> G, Maillard-Lefebvre H, et al. Advanced glycation end-products: implications for diabetic and non-diabetic nephropathies. Diabetes </w:t>
      </w:r>
      <w:proofErr w:type="spellStart"/>
      <w:r w:rsidRPr="004C1671">
        <w:rPr>
          <w:rFonts w:ascii="Times New Roman" w:hAnsi="Times New Roman" w:cs="Times New Roman"/>
        </w:rPr>
        <w:t>Metab</w:t>
      </w:r>
      <w:proofErr w:type="spellEnd"/>
      <w:r w:rsidRPr="004C1671">
        <w:rPr>
          <w:rFonts w:ascii="Times New Roman" w:hAnsi="Times New Roman" w:cs="Times New Roman"/>
        </w:rPr>
        <w:t>. 2010;36(1):1–10.</w:t>
      </w:r>
      <w:r>
        <w:rPr>
          <w:rFonts w:ascii="Times New Roman" w:hAnsi="Times New Roman" w:cs="Times New Roman"/>
        </w:rPr>
        <w:t xml:space="preserve"> </w:t>
      </w:r>
      <w:r w:rsidRPr="004C1671">
        <w:rPr>
          <w:rFonts w:ascii="Times New Roman" w:hAnsi="Times New Roman" w:cs="Times New Roman"/>
        </w:rPr>
        <w:t xml:space="preserve"> PMID: 19932633</w:t>
      </w:r>
    </w:p>
    <w:p w14:paraId="6F23CE0B"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An X, Zhang L, Yao Q, et al. The receptor for advanced glycation </w:t>
      </w:r>
      <w:proofErr w:type="spellStart"/>
      <w:r w:rsidRPr="004C1671">
        <w:rPr>
          <w:rFonts w:ascii="Times New Roman" w:hAnsi="Times New Roman" w:cs="Times New Roman"/>
        </w:rPr>
        <w:t>endproducts</w:t>
      </w:r>
      <w:proofErr w:type="spellEnd"/>
      <w:r w:rsidRPr="004C1671">
        <w:rPr>
          <w:rFonts w:ascii="Times New Roman" w:hAnsi="Times New Roman" w:cs="Times New Roman"/>
        </w:rPr>
        <w:t xml:space="preserve"> mediates podocyte </w:t>
      </w:r>
      <w:proofErr w:type="spellStart"/>
      <w:r w:rsidRPr="004C1671">
        <w:rPr>
          <w:rFonts w:ascii="Times New Roman" w:hAnsi="Times New Roman" w:cs="Times New Roman"/>
        </w:rPr>
        <w:t>heparanase</w:t>
      </w:r>
      <w:proofErr w:type="spellEnd"/>
      <w:r w:rsidRPr="004C1671">
        <w:rPr>
          <w:rFonts w:ascii="Times New Roman" w:hAnsi="Times New Roman" w:cs="Times New Roman"/>
        </w:rPr>
        <w:t xml:space="preserve"> expression through NF-</w:t>
      </w:r>
      <w:proofErr w:type="spellStart"/>
      <w:r w:rsidRPr="004C1671">
        <w:rPr>
          <w:rFonts w:ascii="Times New Roman" w:hAnsi="Times New Roman" w:cs="Times New Roman"/>
        </w:rPr>
        <w:t>κB</w:t>
      </w:r>
      <w:proofErr w:type="spellEnd"/>
      <w:r w:rsidRPr="004C1671">
        <w:rPr>
          <w:rFonts w:ascii="Times New Roman" w:hAnsi="Times New Roman" w:cs="Times New Roman"/>
        </w:rPr>
        <w:t xml:space="preserve"> </w:t>
      </w:r>
      <w:proofErr w:type="spellStart"/>
      <w:r w:rsidRPr="004C1671">
        <w:rPr>
          <w:rFonts w:ascii="Times New Roman" w:hAnsi="Times New Roman" w:cs="Times New Roman"/>
        </w:rPr>
        <w:t>signaling</w:t>
      </w:r>
      <w:proofErr w:type="spellEnd"/>
      <w:r w:rsidRPr="004C1671">
        <w:rPr>
          <w:rFonts w:ascii="Times New Roman" w:hAnsi="Times New Roman" w:cs="Times New Roman"/>
        </w:rPr>
        <w:t xml:space="preserve"> pathway. Mol Cell Endocrinol. </w:t>
      </w:r>
      <w:proofErr w:type="gramStart"/>
      <w:r w:rsidRPr="004C1671">
        <w:rPr>
          <w:rFonts w:ascii="Times New Roman" w:hAnsi="Times New Roman" w:cs="Times New Roman"/>
        </w:rPr>
        <w:t>2018;470:14</w:t>
      </w:r>
      <w:proofErr w:type="gramEnd"/>
      <w:r w:rsidRPr="004C1671">
        <w:rPr>
          <w:rFonts w:ascii="Times New Roman" w:hAnsi="Times New Roman" w:cs="Times New Roman"/>
        </w:rPr>
        <w:t>–25.</w:t>
      </w:r>
      <w:r>
        <w:rPr>
          <w:rFonts w:ascii="Times New Roman" w:hAnsi="Times New Roman" w:cs="Times New Roman"/>
        </w:rPr>
        <w:t xml:space="preserve"> </w:t>
      </w:r>
      <w:r w:rsidRPr="004C1671">
        <w:rPr>
          <w:rFonts w:ascii="Times New Roman" w:hAnsi="Times New Roman" w:cs="Times New Roman"/>
        </w:rPr>
        <w:t xml:space="preserve"> PMID: 28478303</w:t>
      </w:r>
    </w:p>
    <w:p w14:paraId="4BA46439"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Sanajou</w:t>
      </w:r>
      <w:proofErr w:type="spellEnd"/>
      <w:r w:rsidRPr="004C1671">
        <w:rPr>
          <w:rFonts w:ascii="Times New Roman" w:hAnsi="Times New Roman" w:cs="Times New Roman"/>
        </w:rPr>
        <w:t xml:space="preserve"> D, </w:t>
      </w:r>
      <w:proofErr w:type="spellStart"/>
      <w:r w:rsidRPr="004C1671">
        <w:rPr>
          <w:rFonts w:ascii="Times New Roman" w:hAnsi="Times New Roman" w:cs="Times New Roman"/>
        </w:rPr>
        <w:t>Ghorbani</w:t>
      </w:r>
      <w:proofErr w:type="spellEnd"/>
      <w:r w:rsidRPr="004C1671">
        <w:rPr>
          <w:rFonts w:ascii="Times New Roman" w:hAnsi="Times New Roman" w:cs="Times New Roman"/>
        </w:rPr>
        <w:t xml:space="preserve"> </w:t>
      </w:r>
      <w:proofErr w:type="spellStart"/>
      <w:r w:rsidRPr="004C1671">
        <w:rPr>
          <w:rFonts w:ascii="Times New Roman" w:hAnsi="Times New Roman" w:cs="Times New Roman"/>
        </w:rPr>
        <w:t>Haghjo</w:t>
      </w:r>
      <w:proofErr w:type="spellEnd"/>
      <w:r w:rsidRPr="004C1671">
        <w:rPr>
          <w:rFonts w:ascii="Times New Roman" w:hAnsi="Times New Roman" w:cs="Times New Roman"/>
        </w:rPr>
        <w:t xml:space="preserve"> A, </w:t>
      </w:r>
      <w:proofErr w:type="spellStart"/>
      <w:r w:rsidRPr="004C1671">
        <w:rPr>
          <w:rFonts w:ascii="Times New Roman" w:hAnsi="Times New Roman" w:cs="Times New Roman"/>
        </w:rPr>
        <w:t>Argani</w:t>
      </w:r>
      <w:proofErr w:type="spellEnd"/>
      <w:r w:rsidRPr="004C1671">
        <w:rPr>
          <w:rFonts w:ascii="Times New Roman" w:hAnsi="Times New Roman" w:cs="Times New Roman"/>
        </w:rPr>
        <w:t xml:space="preserve"> H, </w:t>
      </w:r>
      <w:proofErr w:type="spellStart"/>
      <w:r w:rsidRPr="004C1671">
        <w:rPr>
          <w:rFonts w:ascii="Times New Roman" w:hAnsi="Times New Roman" w:cs="Times New Roman"/>
        </w:rPr>
        <w:t>Aslani</w:t>
      </w:r>
      <w:proofErr w:type="spellEnd"/>
      <w:r w:rsidRPr="004C1671">
        <w:rPr>
          <w:rFonts w:ascii="Times New Roman" w:hAnsi="Times New Roman" w:cs="Times New Roman"/>
        </w:rPr>
        <w:t xml:space="preserve"> S. AGE-RAGE axis blockade in diabetic nephropathy: current status and future directions. Eur J </w:t>
      </w:r>
      <w:proofErr w:type="spellStart"/>
      <w:r w:rsidRPr="004C1671">
        <w:rPr>
          <w:rFonts w:ascii="Times New Roman" w:hAnsi="Times New Roman" w:cs="Times New Roman"/>
        </w:rPr>
        <w:t>Pharmacol</w:t>
      </w:r>
      <w:proofErr w:type="spellEnd"/>
      <w:r w:rsidRPr="004C1671">
        <w:rPr>
          <w:rFonts w:ascii="Times New Roman" w:hAnsi="Times New Roman" w:cs="Times New Roman"/>
        </w:rPr>
        <w:t xml:space="preserve">. </w:t>
      </w:r>
      <w:proofErr w:type="gramStart"/>
      <w:r w:rsidRPr="004C1671">
        <w:rPr>
          <w:rFonts w:ascii="Times New Roman" w:hAnsi="Times New Roman" w:cs="Times New Roman"/>
        </w:rPr>
        <w:t>2018;833:158</w:t>
      </w:r>
      <w:proofErr w:type="gramEnd"/>
      <w:r w:rsidRPr="004C1671">
        <w:rPr>
          <w:rFonts w:ascii="Times New Roman" w:hAnsi="Times New Roman" w:cs="Times New Roman"/>
        </w:rPr>
        <w:t>–64.</w:t>
      </w:r>
      <w:r w:rsidRPr="004C1671">
        <w:rPr>
          <w:rFonts w:ascii="Times New Roman" w:hAnsi="Times New Roman" w:cs="Times New Roman"/>
        </w:rPr>
        <w:br/>
        <w:t xml:space="preserve"> PMID: 29883668</w:t>
      </w:r>
    </w:p>
    <w:p w14:paraId="7CA5ABA8"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Kumar </w:t>
      </w:r>
      <w:proofErr w:type="spellStart"/>
      <w:r w:rsidRPr="004C1671">
        <w:rPr>
          <w:rFonts w:ascii="Times New Roman" w:hAnsi="Times New Roman" w:cs="Times New Roman"/>
        </w:rPr>
        <w:t>Pasupulati</w:t>
      </w:r>
      <w:proofErr w:type="spellEnd"/>
      <w:r w:rsidRPr="004C1671">
        <w:rPr>
          <w:rFonts w:ascii="Times New Roman" w:hAnsi="Times New Roman" w:cs="Times New Roman"/>
        </w:rPr>
        <w:t xml:space="preserve"> A, Chitra PS, Reddy GB. Advanced glycation end products mediated cellular and molecular events in the pathology of diabetic nephropathy. </w:t>
      </w:r>
      <w:proofErr w:type="spellStart"/>
      <w:r w:rsidRPr="004C1671">
        <w:rPr>
          <w:rFonts w:ascii="Times New Roman" w:hAnsi="Times New Roman" w:cs="Times New Roman"/>
        </w:rPr>
        <w:t>Biomol</w:t>
      </w:r>
      <w:proofErr w:type="spellEnd"/>
      <w:r w:rsidRPr="004C1671">
        <w:rPr>
          <w:rFonts w:ascii="Times New Roman" w:hAnsi="Times New Roman" w:cs="Times New Roman"/>
        </w:rPr>
        <w:t xml:space="preserve"> Concepts. 2016;7(5–6):293–309. PMID: 27816946</w:t>
      </w:r>
    </w:p>
    <w:sectPr w:rsidR="00F0497A" w:rsidRPr="004C1671" w:rsidSect="00CE02CB">
      <w:headerReference w:type="even" r:id="rId11"/>
      <w:headerReference w:type="default" r:id="rId12"/>
      <w:footerReference w:type="even" r:id="rId13"/>
      <w:footerReference w:type="default" r:id="rId14"/>
      <w:headerReference w:type="first" r:id="rId15"/>
      <w:footerReference w:type="first" r:id="rId16"/>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6B715" w14:textId="77777777" w:rsidR="003F1E8D" w:rsidRDefault="003F1E8D" w:rsidP="00633481">
      <w:pPr>
        <w:spacing w:after="0" w:line="240" w:lineRule="auto"/>
      </w:pPr>
      <w:r>
        <w:separator/>
      </w:r>
    </w:p>
  </w:endnote>
  <w:endnote w:type="continuationSeparator" w:id="0">
    <w:p w14:paraId="30EE87FD" w14:textId="77777777" w:rsidR="003F1E8D" w:rsidRDefault="003F1E8D" w:rsidP="00633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BEBA" w14:textId="77777777" w:rsidR="00633481" w:rsidRDefault="00633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D1C7" w14:textId="77777777" w:rsidR="00633481" w:rsidRDefault="00633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CFEC2" w14:textId="77777777" w:rsidR="00633481" w:rsidRDefault="00633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BDA23" w14:textId="77777777" w:rsidR="003F1E8D" w:rsidRDefault="003F1E8D" w:rsidP="00633481">
      <w:pPr>
        <w:spacing w:after="0" w:line="240" w:lineRule="auto"/>
      </w:pPr>
      <w:r>
        <w:separator/>
      </w:r>
    </w:p>
  </w:footnote>
  <w:footnote w:type="continuationSeparator" w:id="0">
    <w:p w14:paraId="6706ECC5" w14:textId="77777777" w:rsidR="003F1E8D" w:rsidRDefault="003F1E8D" w:rsidP="00633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C6794" w14:textId="57573538" w:rsidR="00633481" w:rsidRDefault="00633481">
    <w:pPr>
      <w:pStyle w:val="Header"/>
    </w:pPr>
    <w:r>
      <w:rPr>
        <w:noProof/>
      </w:rPr>
      <w:pict w14:anchorId="57078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209610" o:spid="_x0000_s2050"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94002" w14:textId="5F235542" w:rsidR="00633481" w:rsidRDefault="00633481">
    <w:pPr>
      <w:pStyle w:val="Header"/>
    </w:pPr>
    <w:r>
      <w:rPr>
        <w:noProof/>
      </w:rPr>
      <w:pict w14:anchorId="294BE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209611" o:spid="_x0000_s2051"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3151" w14:textId="47A986E5" w:rsidR="00633481" w:rsidRDefault="00633481">
    <w:pPr>
      <w:pStyle w:val="Header"/>
    </w:pPr>
    <w:r>
      <w:rPr>
        <w:noProof/>
      </w:rPr>
      <w:pict w14:anchorId="5F973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209609" o:spid="_x0000_s2049"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13D56"/>
    <w:multiLevelType w:val="multilevel"/>
    <w:tmpl w:val="B7ACE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41F24"/>
    <w:multiLevelType w:val="hybridMultilevel"/>
    <w:tmpl w:val="D824559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A710382"/>
    <w:multiLevelType w:val="multilevel"/>
    <w:tmpl w:val="8D66FF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ED20E9"/>
    <w:multiLevelType w:val="multilevel"/>
    <w:tmpl w:val="9170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8E79C8"/>
    <w:multiLevelType w:val="multilevel"/>
    <w:tmpl w:val="700A9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5926EC4"/>
    <w:multiLevelType w:val="multilevel"/>
    <w:tmpl w:val="3AF0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B33CE2"/>
    <w:multiLevelType w:val="multilevel"/>
    <w:tmpl w:val="F38017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00"/>
    <w:rsid w:val="000350D5"/>
    <w:rsid w:val="00053A4C"/>
    <w:rsid w:val="000A763F"/>
    <w:rsid w:val="000C3B54"/>
    <w:rsid w:val="000C55EA"/>
    <w:rsid w:val="000F6FD3"/>
    <w:rsid w:val="00102D86"/>
    <w:rsid w:val="00130F8F"/>
    <w:rsid w:val="00136AD0"/>
    <w:rsid w:val="00151907"/>
    <w:rsid w:val="001757F4"/>
    <w:rsid w:val="0021376E"/>
    <w:rsid w:val="00280CE2"/>
    <w:rsid w:val="002B3A3D"/>
    <w:rsid w:val="002C62E8"/>
    <w:rsid w:val="002D6A9D"/>
    <w:rsid w:val="003020CB"/>
    <w:rsid w:val="00371557"/>
    <w:rsid w:val="00393E50"/>
    <w:rsid w:val="003F1E8D"/>
    <w:rsid w:val="00406214"/>
    <w:rsid w:val="004532C0"/>
    <w:rsid w:val="00454DD3"/>
    <w:rsid w:val="00476613"/>
    <w:rsid w:val="00484152"/>
    <w:rsid w:val="004C1671"/>
    <w:rsid w:val="004E2BAB"/>
    <w:rsid w:val="005978B8"/>
    <w:rsid w:val="005D4800"/>
    <w:rsid w:val="00633481"/>
    <w:rsid w:val="00652131"/>
    <w:rsid w:val="00660B3F"/>
    <w:rsid w:val="00695F62"/>
    <w:rsid w:val="0076245D"/>
    <w:rsid w:val="00762DC4"/>
    <w:rsid w:val="007A6ED8"/>
    <w:rsid w:val="00846D1C"/>
    <w:rsid w:val="00891CD0"/>
    <w:rsid w:val="009170DB"/>
    <w:rsid w:val="00943CE4"/>
    <w:rsid w:val="00953A9F"/>
    <w:rsid w:val="009614AF"/>
    <w:rsid w:val="00983285"/>
    <w:rsid w:val="00992FFF"/>
    <w:rsid w:val="009A6F76"/>
    <w:rsid w:val="00A153D2"/>
    <w:rsid w:val="00A870FC"/>
    <w:rsid w:val="00AC12A5"/>
    <w:rsid w:val="00AC6085"/>
    <w:rsid w:val="00B13802"/>
    <w:rsid w:val="00B30E22"/>
    <w:rsid w:val="00B65508"/>
    <w:rsid w:val="00B8598A"/>
    <w:rsid w:val="00B96201"/>
    <w:rsid w:val="00C051DB"/>
    <w:rsid w:val="00C649CD"/>
    <w:rsid w:val="00C7126F"/>
    <w:rsid w:val="00CB5B3F"/>
    <w:rsid w:val="00CB7AE9"/>
    <w:rsid w:val="00CD4729"/>
    <w:rsid w:val="00CE02CB"/>
    <w:rsid w:val="00CE03E4"/>
    <w:rsid w:val="00D426A9"/>
    <w:rsid w:val="00D756A6"/>
    <w:rsid w:val="00D93203"/>
    <w:rsid w:val="00DA5FC8"/>
    <w:rsid w:val="00DF00BB"/>
    <w:rsid w:val="00E271FE"/>
    <w:rsid w:val="00E37991"/>
    <w:rsid w:val="00E7735E"/>
    <w:rsid w:val="00EC4704"/>
    <w:rsid w:val="00EF5B5B"/>
    <w:rsid w:val="00F0497A"/>
    <w:rsid w:val="00FA76BA"/>
    <w:rsid w:val="00FB121F"/>
    <w:rsid w:val="00FD07F2"/>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4A6ED8"/>
  <w15:docId w15:val="{4D6F70E4-B66F-4E2A-8925-6A3AB213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48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48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48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48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48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48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48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48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48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8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48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48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48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48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4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4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4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4800"/>
    <w:rPr>
      <w:rFonts w:eastAsiaTheme="majorEastAsia" w:cstheme="majorBidi"/>
      <w:color w:val="272727" w:themeColor="text1" w:themeTint="D8"/>
    </w:rPr>
  </w:style>
  <w:style w:type="paragraph" w:styleId="Title">
    <w:name w:val="Title"/>
    <w:basedOn w:val="Normal"/>
    <w:next w:val="Normal"/>
    <w:link w:val="TitleChar"/>
    <w:uiPriority w:val="10"/>
    <w:qFormat/>
    <w:rsid w:val="005D4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4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4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4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4800"/>
    <w:pPr>
      <w:spacing w:before="160"/>
      <w:jc w:val="center"/>
    </w:pPr>
    <w:rPr>
      <w:i/>
      <w:iCs/>
      <w:color w:val="404040" w:themeColor="text1" w:themeTint="BF"/>
    </w:rPr>
  </w:style>
  <w:style w:type="character" w:customStyle="1" w:styleId="QuoteChar">
    <w:name w:val="Quote Char"/>
    <w:basedOn w:val="DefaultParagraphFont"/>
    <w:link w:val="Quote"/>
    <w:uiPriority w:val="29"/>
    <w:rsid w:val="005D4800"/>
    <w:rPr>
      <w:i/>
      <w:iCs/>
      <w:color w:val="404040" w:themeColor="text1" w:themeTint="BF"/>
    </w:rPr>
  </w:style>
  <w:style w:type="paragraph" w:styleId="ListParagraph">
    <w:name w:val="List Paragraph"/>
    <w:basedOn w:val="Normal"/>
    <w:uiPriority w:val="34"/>
    <w:qFormat/>
    <w:rsid w:val="005D4800"/>
    <w:pPr>
      <w:ind w:left="720"/>
      <w:contextualSpacing/>
    </w:pPr>
  </w:style>
  <w:style w:type="character" w:styleId="IntenseEmphasis">
    <w:name w:val="Intense Emphasis"/>
    <w:basedOn w:val="DefaultParagraphFont"/>
    <w:uiPriority w:val="21"/>
    <w:qFormat/>
    <w:rsid w:val="005D4800"/>
    <w:rPr>
      <w:i/>
      <w:iCs/>
      <w:color w:val="2F5496" w:themeColor="accent1" w:themeShade="BF"/>
    </w:rPr>
  </w:style>
  <w:style w:type="paragraph" w:styleId="IntenseQuote">
    <w:name w:val="Intense Quote"/>
    <w:basedOn w:val="Normal"/>
    <w:next w:val="Normal"/>
    <w:link w:val="IntenseQuoteChar"/>
    <w:uiPriority w:val="30"/>
    <w:qFormat/>
    <w:rsid w:val="005D48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4800"/>
    <w:rPr>
      <w:i/>
      <w:iCs/>
      <w:color w:val="2F5496" w:themeColor="accent1" w:themeShade="BF"/>
    </w:rPr>
  </w:style>
  <w:style w:type="character" w:styleId="IntenseReference">
    <w:name w:val="Intense Reference"/>
    <w:basedOn w:val="DefaultParagraphFont"/>
    <w:uiPriority w:val="32"/>
    <w:qFormat/>
    <w:rsid w:val="005D4800"/>
    <w:rPr>
      <w:b/>
      <w:bCs/>
      <w:smallCaps/>
      <w:color w:val="2F5496" w:themeColor="accent1" w:themeShade="BF"/>
      <w:spacing w:val="5"/>
    </w:rPr>
  </w:style>
  <w:style w:type="table" w:customStyle="1" w:styleId="GridTable4-Accent11">
    <w:name w:val="Grid Table 4 - Accent 11"/>
    <w:basedOn w:val="TableNormal"/>
    <w:uiPriority w:val="49"/>
    <w:rsid w:val="00FA76B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CE02CB"/>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CE02CB"/>
    <w:rPr>
      <w:i/>
      <w:iCs/>
    </w:rPr>
  </w:style>
  <w:style w:type="character" w:styleId="Hyperlink">
    <w:name w:val="Hyperlink"/>
    <w:basedOn w:val="DefaultParagraphFont"/>
    <w:uiPriority w:val="99"/>
    <w:unhideWhenUsed/>
    <w:rsid w:val="00943CE4"/>
    <w:rPr>
      <w:color w:val="0563C1" w:themeColor="hyperlink"/>
      <w:u w:val="single"/>
    </w:rPr>
  </w:style>
  <w:style w:type="character" w:styleId="UnresolvedMention">
    <w:name w:val="Unresolved Mention"/>
    <w:basedOn w:val="DefaultParagraphFont"/>
    <w:uiPriority w:val="99"/>
    <w:semiHidden/>
    <w:unhideWhenUsed/>
    <w:rsid w:val="00943CE4"/>
    <w:rPr>
      <w:color w:val="605E5C"/>
      <w:shd w:val="clear" w:color="auto" w:fill="E1DFDD"/>
    </w:rPr>
  </w:style>
  <w:style w:type="paragraph" w:styleId="Header">
    <w:name w:val="header"/>
    <w:basedOn w:val="Normal"/>
    <w:link w:val="HeaderChar"/>
    <w:uiPriority w:val="99"/>
    <w:unhideWhenUsed/>
    <w:rsid w:val="00633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481"/>
  </w:style>
  <w:style w:type="paragraph" w:styleId="Footer">
    <w:name w:val="footer"/>
    <w:basedOn w:val="Normal"/>
    <w:link w:val="FooterChar"/>
    <w:uiPriority w:val="99"/>
    <w:unhideWhenUsed/>
    <w:rsid w:val="00633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058">
      <w:bodyDiv w:val="1"/>
      <w:marLeft w:val="0"/>
      <w:marRight w:val="0"/>
      <w:marTop w:val="0"/>
      <w:marBottom w:val="0"/>
      <w:divBdr>
        <w:top w:val="none" w:sz="0" w:space="0" w:color="auto"/>
        <w:left w:val="none" w:sz="0" w:space="0" w:color="auto"/>
        <w:bottom w:val="none" w:sz="0" w:space="0" w:color="auto"/>
        <w:right w:val="none" w:sz="0" w:space="0" w:color="auto"/>
      </w:divBdr>
    </w:div>
    <w:div w:id="36899335">
      <w:bodyDiv w:val="1"/>
      <w:marLeft w:val="0"/>
      <w:marRight w:val="0"/>
      <w:marTop w:val="0"/>
      <w:marBottom w:val="0"/>
      <w:divBdr>
        <w:top w:val="none" w:sz="0" w:space="0" w:color="auto"/>
        <w:left w:val="none" w:sz="0" w:space="0" w:color="auto"/>
        <w:bottom w:val="none" w:sz="0" w:space="0" w:color="auto"/>
        <w:right w:val="none" w:sz="0" w:space="0" w:color="auto"/>
      </w:divBdr>
    </w:div>
    <w:div w:id="129177039">
      <w:bodyDiv w:val="1"/>
      <w:marLeft w:val="0"/>
      <w:marRight w:val="0"/>
      <w:marTop w:val="0"/>
      <w:marBottom w:val="0"/>
      <w:divBdr>
        <w:top w:val="none" w:sz="0" w:space="0" w:color="auto"/>
        <w:left w:val="none" w:sz="0" w:space="0" w:color="auto"/>
        <w:bottom w:val="none" w:sz="0" w:space="0" w:color="auto"/>
        <w:right w:val="none" w:sz="0" w:space="0" w:color="auto"/>
      </w:divBdr>
    </w:div>
    <w:div w:id="163086074">
      <w:bodyDiv w:val="1"/>
      <w:marLeft w:val="0"/>
      <w:marRight w:val="0"/>
      <w:marTop w:val="0"/>
      <w:marBottom w:val="0"/>
      <w:divBdr>
        <w:top w:val="none" w:sz="0" w:space="0" w:color="auto"/>
        <w:left w:val="none" w:sz="0" w:space="0" w:color="auto"/>
        <w:bottom w:val="none" w:sz="0" w:space="0" w:color="auto"/>
        <w:right w:val="none" w:sz="0" w:space="0" w:color="auto"/>
      </w:divBdr>
    </w:div>
    <w:div w:id="270354654">
      <w:bodyDiv w:val="1"/>
      <w:marLeft w:val="0"/>
      <w:marRight w:val="0"/>
      <w:marTop w:val="0"/>
      <w:marBottom w:val="0"/>
      <w:divBdr>
        <w:top w:val="none" w:sz="0" w:space="0" w:color="auto"/>
        <w:left w:val="none" w:sz="0" w:space="0" w:color="auto"/>
        <w:bottom w:val="none" w:sz="0" w:space="0" w:color="auto"/>
        <w:right w:val="none" w:sz="0" w:space="0" w:color="auto"/>
      </w:divBdr>
    </w:div>
    <w:div w:id="306134176">
      <w:bodyDiv w:val="1"/>
      <w:marLeft w:val="0"/>
      <w:marRight w:val="0"/>
      <w:marTop w:val="0"/>
      <w:marBottom w:val="0"/>
      <w:divBdr>
        <w:top w:val="none" w:sz="0" w:space="0" w:color="auto"/>
        <w:left w:val="none" w:sz="0" w:space="0" w:color="auto"/>
        <w:bottom w:val="none" w:sz="0" w:space="0" w:color="auto"/>
        <w:right w:val="none" w:sz="0" w:space="0" w:color="auto"/>
      </w:divBdr>
    </w:div>
    <w:div w:id="387074692">
      <w:bodyDiv w:val="1"/>
      <w:marLeft w:val="0"/>
      <w:marRight w:val="0"/>
      <w:marTop w:val="0"/>
      <w:marBottom w:val="0"/>
      <w:divBdr>
        <w:top w:val="none" w:sz="0" w:space="0" w:color="auto"/>
        <w:left w:val="none" w:sz="0" w:space="0" w:color="auto"/>
        <w:bottom w:val="none" w:sz="0" w:space="0" w:color="auto"/>
        <w:right w:val="none" w:sz="0" w:space="0" w:color="auto"/>
      </w:divBdr>
    </w:div>
    <w:div w:id="466969369">
      <w:bodyDiv w:val="1"/>
      <w:marLeft w:val="0"/>
      <w:marRight w:val="0"/>
      <w:marTop w:val="0"/>
      <w:marBottom w:val="0"/>
      <w:divBdr>
        <w:top w:val="none" w:sz="0" w:space="0" w:color="auto"/>
        <w:left w:val="none" w:sz="0" w:space="0" w:color="auto"/>
        <w:bottom w:val="none" w:sz="0" w:space="0" w:color="auto"/>
        <w:right w:val="none" w:sz="0" w:space="0" w:color="auto"/>
      </w:divBdr>
    </w:div>
    <w:div w:id="546182409">
      <w:bodyDiv w:val="1"/>
      <w:marLeft w:val="0"/>
      <w:marRight w:val="0"/>
      <w:marTop w:val="0"/>
      <w:marBottom w:val="0"/>
      <w:divBdr>
        <w:top w:val="none" w:sz="0" w:space="0" w:color="auto"/>
        <w:left w:val="none" w:sz="0" w:space="0" w:color="auto"/>
        <w:bottom w:val="none" w:sz="0" w:space="0" w:color="auto"/>
        <w:right w:val="none" w:sz="0" w:space="0" w:color="auto"/>
      </w:divBdr>
    </w:div>
    <w:div w:id="621545551">
      <w:bodyDiv w:val="1"/>
      <w:marLeft w:val="0"/>
      <w:marRight w:val="0"/>
      <w:marTop w:val="0"/>
      <w:marBottom w:val="0"/>
      <w:divBdr>
        <w:top w:val="none" w:sz="0" w:space="0" w:color="auto"/>
        <w:left w:val="none" w:sz="0" w:space="0" w:color="auto"/>
        <w:bottom w:val="none" w:sz="0" w:space="0" w:color="auto"/>
        <w:right w:val="none" w:sz="0" w:space="0" w:color="auto"/>
      </w:divBdr>
    </w:div>
    <w:div w:id="681392776">
      <w:bodyDiv w:val="1"/>
      <w:marLeft w:val="0"/>
      <w:marRight w:val="0"/>
      <w:marTop w:val="0"/>
      <w:marBottom w:val="0"/>
      <w:divBdr>
        <w:top w:val="none" w:sz="0" w:space="0" w:color="auto"/>
        <w:left w:val="none" w:sz="0" w:space="0" w:color="auto"/>
        <w:bottom w:val="none" w:sz="0" w:space="0" w:color="auto"/>
        <w:right w:val="none" w:sz="0" w:space="0" w:color="auto"/>
      </w:divBdr>
    </w:div>
    <w:div w:id="724258748">
      <w:bodyDiv w:val="1"/>
      <w:marLeft w:val="0"/>
      <w:marRight w:val="0"/>
      <w:marTop w:val="0"/>
      <w:marBottom w:val="0"/>
      <w:divBdr>
        <w:top w:val="none" w:sz="0" w:space="0" w:color="auto"/>
        <w:left w:val="none" w:sz="0" w:space="0" w:color="auto"/>
        <w:bottom w:val="none" w:sz="0" w:space="0" w:color="auto"/>
        <w:right w:val="none" w:sz="0" w:space="0" w:color="auto"/>
      </w:divBdr>
    </w:div>
    <w:div w:id="795610193">
      <w:bodyDiv w:val="1"/>
      <w:marLeft w:val="0"/>
      <w:marRight w:val="0"/>
      <w:marTop w:val="0"/>
      <w:marBottom w:val="0"/>
      <w:divBdr>
        <w:top w:val="none" w:sz="0" w:space="0" w:color="auto"/>
        <w:left w:val="none" w:sz="0" w:space="0" w:color="auto"/>
        <w:bottom w:val="none" w:sz="0" w:space="0" w:color="auto"/>
        <w:right w:val="none" w:sz="0" w:space="0" w:color="auto"/>
      </w:divBdr>
    </w:div>
    <w:div w:id="817378996">
      <w:bodyDiv w:val="1"/>
      <w:marLeft w:val="0"/>
      <w:marRight w:val="0"/>
      <w:marTop w:val="0"/>
      <w:marBottom w:val="0"/>
      <w:divBdr>
        <w:top w:val="none" w:sz="0" w:space="0" w:color="auto"/>
        <w:left w:val="none" w:sz="0" w:space="0" w:color="auto"/>
        <w:bottom w:val="none" w:sz="0" w:space="0" w:color="auto"/>
        <w:right w:val="none" w:sz="0" w:space="0" w:color="auto"/>
      </w:divBdr>
    </w:div>
    <w:div w:id="859053223">
      <w:bodyDiv w:val="1"/>
      <w:marLeft w:val="0"/>
      <w:marRight w:val="0"/>
      <w:marTop w:val="0"/>
      <w:marBottom w:val="0"/>
      <w:divBdr>
        <w:top w:val="none" w:sz="0" w:space="0" w:color="auto"/>
        <w:left w:val="none" w:sz="0" w:space="0" w:color="auto"/>
        <w:bottom w:val="none" w:sz="0" w:space="0" w:color="auto"/>
        <w:right w:val="none" w:sz="0" w:space="0" w:color="auto"/>
      </w:divBdr>
    </w:div>
    <w:div w:id="921522057">
      <w:bodyDiv w:val="1"/>
      <w:marLeft w:val="0"/>
      <w:marRight w:val="0"/>
      <w:marTop w:val="0"/>
      <w:marBottom w:val="0"/>
      <w:divBdr>
        <w:top w:val="none" w:sz="0" w:space="0" w:color="auto"/>
        <w:left w:val="none" w:sz="0" w:space="0" w:color="auto"/>
        <w:bottom w:val="none" w:sz="0" w:space="0" w:color="auto"/>
        <w:right w:val="none" w:sz="0" w:space="0" w:color="auto"/>
      </w:divBdr>
    </w:div>
    <w:div w:id="928581266">
      <w:bodyDiv w:val="1"/>
      <w:marLeft w:val="0"/>
      <w:marRight w:val="0"/>
      <w:marTop w:val="0"/>
      <w:marBottom w:val="0"/>
      <w:divBdr>
        <w:top w:val="none" w:sz="0" w:space="0" w:color="auto"/>
        <w:left w:val="none" w:sz="0" w:space="0" w:color="auto"/>
        <w:bottom w:val="none" w:sz="0" w:space="0" w:color="auto"/>
        <w:right w:val="none" w:sz="0" w:space="0" w:color="auto"/>
      </w:divBdr>
    </w:div>
    <w:div w:id="991955557">
      <w:bodyDiv w:val="1"/>
      <w:marLeft w:val="0"/>
      <w:marRight w:val="0"/>
      <w:marTop w:val="0"/>
      <w:marBottom w:val="0"/>
      <w:divBdr>
        <w:top w:val="none" w:sz="0" w:space="0" w:color="auto"/>
        <w:left w:val="none" w:sz="0" w:space="0" w:color="auto"/>
        <w:bottom w:val="none" w:sz="0" w:space="0" w:color="auto"/>
        <w:right w:val="none" w:sz="0" w:space="0" w:color="auto"/>
      </w:divBdr>
    </w:div>
    <w:div w:id="1021205490">
      <w:bodyDiv w:val="1"/>
      <w:marLeft w:val="0"/>
      <w:marRight w:val="0"/>
      <w:marTop w:val="0"/>
      <w:marBottom w:val="0"/>
      <w:divBdr>
        <w:top w:val="none" w:sz="0" w:space="0" w:color="auto"/>
        <w:left w:val="none" w:sz="0" w:space="0" w:color="auto"/>
        <w:bottom w:val="none" w:sz="0" w:space="0" w:color="auto"/>
        <w:right w:val="none" w:sz="0" w:space="0" w:color="auto"/>
      </w:divBdr>
    </w:div>
    <w:div w:id="1189685641">
      <w:bodyDiv w:val="1"/>
      <w:marLeft w:val="0"/>
      <w:marRight w:val="0"/>
      <w:marTop w:val="0"/>
      <w:marBottom w:val="0"/>
      <w:divBdr>
        <w:top w:val="none" w:sz="0" w:space="0" w:color="auto"/>
        <w:left w:val="none" w:sz="0" w:space="0" w:color="auto"/>
        <w:bottom w:val="none" w:sz="0" w:space="0" w:color="auto"/>
        <w:right w:val="none" w:sz="0" w:space="0" w:color="auto"/>
      </w:divBdr>
    </w:div>
    <w:div w:id="1322736379">
      <w:bodyDiv w:val="1"/>
      <w:marLeft w:val="0"/>
      <w:marRight w:val="0"/>
      <w:marTop w:val="0"/>
      <w:marBottom w:val="0"/>
      <w:divBdr>
        <w:top w:val="none" w:sz="0" w:space="0" w:color="auto"/>
        <w:left w:val="none" w:sz="0" w:space="0" w:color="auto"/>
        <w:bottom w:val="none" w:sz="0" w:space="0" w:color="auto"/>
        <w:right w:val="none" w:sz="0" w:space="0" w:color="auto"/>
      </w:divBdr>
    </w:div>
    <w:div w:id="1402174600">
      <w:bodyDiv w:val="1"/>
      <w:marLeft w:val="0"/>
      <w:marRight w:val="0"/>
      <w:marTop w:val="0"/>
      <w:marBottom w:val="0"/>
      <w:divBdr>
        <w:top w:val="none" w:sz="0" w:space="0" w:color="auto"/>
        <w:left w:val="none" w:sz="0" w:space="0" w:color="auto"/>
        <w:bottom w:val="none" w:sz="0" w:space="0" w:color="auto"/>
        <w:right w:val="none" w:sz="0" w:space="0" w:color="auto"/>
      </w:divBdr>
    </w:div>
    <w:div w:id="1419323431">
      <w:bodyDiv w:val="1"/>
      <w:marLeft w:val="0"/>
      <w:marRight w:val="0"/>
      <w:marTop w:val="0"/>
      <w:marBottom w:val="0"/>
      <w:divBdr>
        <w:top w:val="none" w:sz="0" w:space="0" w:color="auto"/>
        <w:left w:val="none" w:sz="0" w:space="0" w:color="auto"/>
        <w:bottom w:val="none" w:sz="0" w:space="0" w:color="auto"/>
        <w:right w:val="none" w:sz="0" w:space="0" w:color="auto"/>
      </w:divBdr>
    </w:div>
    <w:div w:id="1482695071">
      <w:bodyDiv w:val="1"/>
      <w:marLeft w:val="0"/>
      <w:marRight w:val="0"/>
      <w:marTop w:val="0"/>
      <w:marBottom w:val="0"/>
      <w:divBdr>
        <w:top w:val="none" w:sz="0" w:space="0" w:color="auto"/>
        <w:left w:val="none" w:sz="0" w:space="0" w:color="auto"/>
        <w:bottom w:val="none" w:sz="0" w:space="0" w:color="auto"/>
        <w:right w:val="none" w:sz="0" w:space="0" w:color="auto"/>
      </w:divBdr>
    </w:div>
    <w:div w:id="1486164244">
      <w:bodyDiv w:val="1"/>
      <w:marLeft w:val="0"/>
      <w:marRight w:val="0"/>
      <w:marTop w:val="0"/>
      <w:marBottom w:val="0"/>
      <w:divBdr>
        <w:top w:val="none" w:sz="0" w:space="0" w:color="auto"/>
        <w:left w:val="none" w:sz="0" w:space="0" w:color="auto"/>
        <w:bottom w:val="none" w:sz="0" w:space="0" w:color="auto"/>
        <w:right w:val="none" w:sz="0" w:space="0" w:color="auto"/>
      </w:divBdr>
    </w:div>
    <w:div w:id="1618443868">
      <w:bodyDiv w:val="1"/>
      <w:marLeft w:val="0"/>
      <w:marRight w:val="0"/>
      <w:marTop w:val="0"/>
      <w:marBottom w:val="0"/>
      <w:divBdr>
        <w:top w:val="none" w:sz="0" w:space="0" w:color="auto"/>
        <w:left w:val="none" w:sz="0" w:space="0" w:color="auto"/>
        <w:bottom w:val="none" w:sz="0" w:space="0" w:color="auto"/>
        <w:right w:val="none" w:sz="0" w:space="0" w:color="auto"/>
      </w:divBdr>
    </w:div>
    <w:div w:id="1769080461">
      <w:bodyDiv w:val="1"/>
      <w:marLeft w:val="0"/>
      <w:marRight w:val="0"/>
      <w:marTop w:val="0"/>
      <w:marBottom w:val="0"/>
      <w:divBdr>
        <w:top w:val="none" w:sz="0" w:space="0" w:color="auto"/>
        <w:left w:val="none" w:sz="0" w:space="0" w:color="auto"/>
        <w:bottom w:val="none" w:sz="0" w:space="0" w:color="auto"/>
        <w:right w:val="none" w:sz="0" w:space="0" w:color="auto"/>
      </w:divBdr>
    </w:div>
    <w:div w:id="1817335586">
      <w:bodyDiv w:val="1"/>
      <w:marLeft w:val="0"/>
      <w:marRight w:val="0"/>
      <w:marTop w:val="0"/>
      <w:marBottom w:val="0"/>
      <w:divBdr>
        <w:top w:val="none" w:sz="0" w:space="0" w:color="auto"/>
        <w:left w:val="none" w:sz="0" w:space="0" w:color="auto"/>
        <w:bottom w:val="none" w:sz="0" w:space="0" w:color="auto"/>
        <w:right w:val="none" w:sz="0" w:space="0" w:color="auto"/>
      </w:divBdr>
    </w:div>
    <w:div w:id="1889880430">
      <w:bodyDiv w:val="1"/>
      <w:marLeft w:val="0"/>
      <w:marRight w:val="0"/>
      <w:marTop w:val="0"/>
      <w:marBottom w:val="0"/>
      <w:divBdr>
        <w:top w:val="none" w:sz="0" w:space="0" w:color="auto"/>
        <w:left w:val="none" w:sz="0" w:space="0" w:color="auto"/>
        <w:bottom w:val="none" w:sz="0" w:space="0" w:color="auto"/>
        <w:right w:val="none" w:sz="0" w:space="0" w:color="auto"/>
      </w:divBdr>
    </w:div>
    <w:div w:id="1940600736">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36783">
      <w:bodyDiv w:val="1"/>
      <w:marLeft w:val="0"/>
      <w:marRight w:val="0"/>
      <w:marTop w:val="0"/>
      <w:marBottom w:val="0"/>
      <w:divBdr>
        <w:top w:val="none" w:sz="0" w:space="0" w:color="auto"/>
        <w:left w:val="none" w:sz="0" w:space="0" w:color="auto"/>
        <w:bottom w:val="none" w:sz="0" w:space="0" w:color="auto"/>
        <w:right w:val="none" w:sz="0" w:space="0" w:color="auto"/>
      </w:divBdr>
    </w:div>
    <w:div w:id="1959339867">
      <w:bodyDiv w:val="1"/>
      <w:marLeft w:val="0"/>
      <w:marRight w:val="0"/>
      <w:marTop w:val="0"/>
      <w:marBottom w:val="0"/>
      <w:divBdr>
        <w:top w:val="none" w:sz="0" w:space="0" w:color="auto"/>
        <w:left w:val="none" w:sz="0" w:space="0" w:color="auto"/>
        <w:bottom w:val="none" w:sz="0" w:space="0" w:color="auto"/>
        <w:right w:val="none" w:sz="0" w:space="0" w:color="auto"/>
      </w:divBdr>
    </w:div>
    <w:div w:id="2025744820">
      <w:bodyDiv w:val="1"/>
      <w:marLeft w:val="0"/>
      <w:marRight w:val="0"/>
      <w:marTop w:val="0"/>
      <w:marBottom w:val="0"/>
      <w:divBdr>
        <w:top w:val="none" w:sz="0" w:space="0" w:color="auto"/>
        <w:left w:val="none" w:sz="0" w:space="0" w:color="auto"/>
        <w:bottom w:val="none" w:sz="0" w:space="0" w:color="auto"/>
        <w:right w:val="none" w:sz="0" w:space="0" w:color="auto"/>
      </w:divBdr>
    </w:div>
    <w:div w:id="2073888540">
      <w:bodyDiv w:val="1"/>
      <w:marLeft w:val="0"/>
      <w:marRight w:val="0"/>
      <w:marTop w:val="0"/>
      <w:marBottom w:val="0"/>
      <w:divBdr>
        <w:top w:val="none" w:sz="0" w:space="0" w:color="auto"/>
        <w:left w:val="none" w:sz="0" w:space="0" w:color="auto"/>
        <w:bottom w:val="none" w:sz="0" w:space="0" w:color="auto"/>
        <w:right w:val="none" w:sz="0" w:space="0" w:color="auto"/>
      </w:divBdr>
    </w:div>
    <w:div w:id="2104451430">
      <w:bodyDiv w:val="1"/>
      <w:marLeft w:val="0"/>
      <w:marRight w:val="0"/>
      <w:marTop w:val="0"/>
      <w:marBottom w:val="0"/>
      <w:divBdr>
        <w:top w:val="none" w:sz="0" w:space="0" w:color="auto"/>
        <w:left w:val="none" w:sz="0" w:space="0" w:color="auto"/>
        <w:bottom w:val="none" w:sz="0" w:space="0" w:color="auto"/>
        <w:right w:val="none" w:sz="0" w:space="0" w:color="auto"/>
      </w:divBdr>
    </w:div>
    <w:div w:id="211971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15</Pages>
  <Words>4844</Words>
  <Characters>27613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 Reddy</dc:creator>
  <cp:keywords/>
  <dc:description/>
  <cp:lastModifiedBy>SDI 1084</cp:lastModifiedBy>
  <cp:revision>13</cp:revision>
  <dcterms:created xsi:type="dcterms:W3CDTF">2025-07-19T03:43:00Z</dcterms:created>
  <dcterms:modified xsi:type="dcterms:W3CDTF">2025-10-08T09:54:00Z</dcterms:modified>
</cp:coreProperties>
</file>