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C5086" w14:textId="77777777" w:rsidR="00754C9A" w:rsidRDefault="00754C9A" w:rsidP="001613EC">
      <w:pPr>
        <w:pStyle w:val="Title"/>
        <w:spacing w:after="0"/>
        <w:jc w:val="both"/>
        <w:rPr>
          <w:rFonts w:ascii="Arial" w:hAnsi="Arial" w:cs="Arial"/>
        </w:rPr>
      </w:pPr>
    </w:p>
    <w:p w14:paraId="60DCE46B" w14:textId="77777777" w:rsidR="00102147" w:rsidRPr="00102147" w:rsidRDefault="00102147" w:rsidP="001613EC">
      <w:pPr>
        <w:pStyle w:val="Author"/>
        <w:spacing w:line="240" w:lineRule="auto"/>
        <w:rPr>
          <w:rFonts w:ascii="Arial" w:hAnsi="Arial" w:cs="Arial"/>
          <w:bCs/>
          <w:i/>
          <w:iCs/>
          <w:kern w:val="28"/>
          <w:sz w:val="36"/>
          <w:u w:val="single"/>
        </w:rPr>
      </w:pPr>
      <w:r w:rsidRPr="00102147">
        <w:rPr>
          <w:rFonts w:ascii="Arial" w:hAnsi="Arial" w:cs="Arial"/>
          <w:bCs/>
          <w:i/>
          <w:iCs/>
          <w:kern w:val="28"/>
          <w:sz w:val="36"/>
          <w:u w:val="single"/>
        </w:rPr>
        <w:t>Original Research Article</w:t>
      </w:r>
    </w:p>
    <w:p w14:paraId="7749DD6A" w14:textId="1E98A41E" w:rsidR="00ED5CC3" w:rsidRPr="00ED5CC3" w:rsidRDefault="00ED5CC3" w:rsidP="001613EC">
      <w:pPr>
        <w:pStyle w:val="Author"/>
        <w:spacing w:line="240" w:lineRule="auto"/>
        <w:rPr>
          <w:rFonts w:ascii="Arial" w:hAnsi="Arial" w:cs="Arial"/>
          <w:bCs/>
          <w:iCs/>
          <w:kern w:val="28"/>
          <w:sz w:val="36"/>
        </w:rPr>
      </w:pPr>
      <w:r w:rsidRPr="00ED5CC3">
        <w:rPr>
          <w:rFonts w:ascii="Arial" w:hAnsi="Arial" w:cs="Arial"/>
          <w:bCs/>
          <w:iCs/>
          <w:kern w:val="28"/>
          <w:sz w:val="36"/>
        </w:rPr>
        <w:t>Comparison of long-term treatment outcomes</w:t>
      </w:r>
    </w:p>
    <w:p w14:paraId="300288A2" w14:textId="5279F83A" w:rsidR="00A258C3" w:rsidRDefault="00ED5CC3" w:rsidP="001613EC">
      <w:pPr>
        <w:pStyle w:val="Author"/>
        <w:spacing w:line="240" w:lineRule="auto"/>
        <w:rPr>
          <w:rFonts w:ascii="Arial" w:hAnsi="Arial" w:cs="Arial"/>
          <w:bCs/>
          <w:iCs/>
          <w:kern w:val="28"/>
          <w:sz w:val="36"/>
        </w:rPr>
      </w:pPr>
      <w:r w:rsidRPr="00ED5CC3">
        <w:rPr>
          <w:rFonts w:ascii="Arial" w:hAnsi="Arial" w:cs="Arial"/>
          <w:bCs/>
          <w:iCs/>
          <w:kern w:val="28"/>
          <w:sz w:val="36"/>
        </w:rPr>
        <w:t xml:space="preserve"> in patients with complicated forms of colon cancer</w:t>
      </w:r>
    </w:p>
    <w:p w14:paraId="2C349CB1" w14:textId="77777777" w:rsidR="00102147" w:rsidRPr="00790ADA" w:rsidRDefault="00102147" w:rsidP="001613EC">
      <w:pPr>
        <w:pStyle w:val="Author"/>
        <w:spacing w:line="240" w:lineRule="auto"/>
        <w:rPr>
          <w:rFonts w:ascii="Arial" w:hAnsi="Arial" w:cs="Arial"/>
          <w:sz w:val="36"/>
        </w:rPr>
      </w:pPr>
    </w:p>
    <w:p w14:paraId="2D3ADD99" w14:textId="77777777" w:rsidR="00391AC9" w:rsidRPr="001613EC" w:rsidRDefault="00391AC9" w:rsidP="001613EC">
      <w:pPr>
        <w:pStyle w:val="Affiliation"/>
        <w:spacing w:after="0" w:line="240" w:lineRule="auto"/>
        <w:rPr>
          <w:rFonts w:ascii="Arial" w:hAnsi="Arial" w:cs="Arial"/>
        </w:rPr>
      </w:pPr>
    </w:p>
    <w:p w14:paraId="00AD5CB6" w14:textId="77777777" w:rsidR="002C57D2" w:rsidRPr="00FB3A86" w:rsidRDefault="002C57D2" w:rsidP="00441B6F">
      <w:pPr>
        <w:pStyle w:val="Affiliation"/>
        <w:spacing w:after="0" w:line="240" w:lineRule="auto"/>
        <w:jc w:val="both"/>
        <w:rPr>
          <w:rFonts w:ascii="Arial" w:hAnsi="Arial" w:cs="Arial"/>
        </w:rPr>
      </w:pPr>
    </w:p>
    <w:p w14:paraId="15CA65BF" w14:textId="2F725548" w:rsidR="00B01FCD" w:rsidRPr="00FB3A86" w:rsidRDefault="00C143A2" w:rsidP="00441B6F">
      <w:pPr>
        <w:pStyle w:val="Copyright"/>
        <w:spacing w:after="0" w:line="240" w:lineRule="auto"/>
        <w:jc w:val="both"/>
        <w:rPr>
          <w:rFonts w:ascii="Arial" w:hAnsi="Arial" w:cs="Arial"/>
        </w:rPr>
        <w:sectPr w:rsidR="00B01FCD" w:rsidRPr="00FB3A86" w:rsidSect="00840B9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2DBEE44" wp14:editId="6F1C6597">
                <wp:extent cx="5303520" cy="635"/>
                <wp:effectExtent l="11430" t="10795" r="9525" b="17780"/>
                <wp:docPr id="80465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986BD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AE09A3" w14:textId="32CC07B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FB468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378CB4A" w14:textId="77777777" w:rsidTr="001E44FE">
        <w:tc>
          <w:tcPr>
            <w:tcW w:w="9576" w:type="dxa"/>
            <w:shd w:val="clear" w:color="auto" w:fill="F2F2F2"/>
          </w:tcPr>
          <w:p w14:paraId="53A51B4D" w14:textId="77777777" w:rsidR="00ED5CC3" w:rsidRPr="00ED5CC3" w:rsidRDefault="00ED5CC3" w:rsidP="00ED5CC3">
            <w:pPr>
              <w:pStyle w:val="Body"/>
              <w:rPr>
                <w:rFonts w:ascii="Arial" w:eastAsia="Calibri" w:hAnsi="Arial" w:cs="Arial"/>
                <w:szCs w:val="22"/>
              </w:rPr>
            </w:pPr>
            <w:r w:rsidRPr="00ED5CC3">
              <w:rPr>
                <w:rFonts w:ascii="Arial" w:eastAsia="Calibri" w:hAnsi="Arial" w:cs="Arial"/>
                <w:szCs w:val="22"/>
              </w:rPr>
              <w:t>Aims: to conduct a comparative analysis of the 1- and 3-year survival of patients with complicated forms of colon cancer, who were treated according to standard approaches and a comprehensive perioperative strategy for managing patients with complicated forms of colon cancer in general surgical hospitals.</w:t>
            </w:r>
          </w:p>
          <w:p w14:paraId="00153FDA" w14:textId="77777777" w:rsidR="00ED5CC3" w:rsidRPr="00ED5CC3" w:rsidRDefault="00ED5CC3" w:rsidP="00ED5CC3">
            <w:pPr>
              <w:pStyle w:val="Body"/>
              <w:rPr>
                <w:rFonts w:ascii="Arial" w:eastAsia="Calibri" w:hAnsi="Arial" w:cs="Arial"/>
                <w:szCs w:val="22"/>
              </w:rPr>
            </w:pPr>
            <w:r w:rsidRPr="00ED5CC3">
              <w:rPr>
                <w:rFonts w:ascii="Arial" w:eastAsia="Calibri" w:hAnsi="Arial" w:cs="Arial"/>
                <w:szCs w:val="22"/>
              </w:rPr>
              <w:t>Methodology: the study group included 180 (100%) patients with complicated forms of colon cancer who were treated in general surgical hospitals. All patients were divided into two groups – main (prospective) – 109 (60.56 %) patients who were treated according to the comprehensive perioperative strategy of managing patients with complicated forms of colon cancer and comparison group (retrospective) – 71 (39.44 %) treated according to the standard approaches to the treatment of complicated colon cancer existing at that time.</w:t>
            </w:r>
          </w:p>
          <w:p w14:paraId="4A3F50BB" w14:textId="77777777" w:rsidR="00ED5CC3" w:rsidRPr="00ED5CC3" w:rsidRDefault="00ED5CC3" w:rsidP="00ED5CC3">
            <w:pPr>
              <w:pStyle w:val="Body"/>
              <w:rPr>
                <w:rFonts w:ascii="Arial" w:eastAsia="Calibri" w:hAnsi="Arial" w:cs="Arial"/>
                <w:szCs w:val="22"/>
              </w:rPr>
            </w:pPr>
            <w:r w:rsidRPr="00ED5CC3">
              <w:rPr>
                <w:rFonts w:ascii="Arial" w:eastAsia="Calibri" w:hAnsi="Arial" w:cs="Arial"/>
                <w:szCs w:val="22"/>
              </w:rPr>
              <w:t>Results: In patients with stage III malignant pathology, the 1-year survival rate in the comparison group was at 65.64 ± 8.41 %, in the main – 75.12 ± 11.73 % (χ2 = 6.70; p = 0.3248); 3-year – 50.02 ± 8.84 % and 59.73 ± 9.68 % respectively (χ2 = 5.90; p = 0.3871). In individuals with stage IV colon cancer, 1-year survival was at 29.23 ± 9.31 % in the comparator group and 37.42 ± 10.19 % – in the core group (χ2 = 4.60; p = 0.4261); 3-year - 8.33 ± 2.62 % and 11.57 ± 3.14 % respectively (χ2 = 3.80; p = 0.5187).</w:t>
            </w:r>
          </w:p>
          <w:p w14:paraId="07DA0EDC" w14:textId="7A08FB29" w:rsidR="00505F06" w:rsidRPr="00BA1B01" w:rsidRDefault="00ED5CC3" w:rsidP="00ED5CC3">
            <w:pPr>
              <w:pStyle w:val="Body"/>
              <w:spacing w:after="0"/>
              <w:rPr>
                <w:rFonts w:ascii="Arial" w:eastAsia="Calibri" w:hAnsi="Arial" w:cs="Arial"/>
                <w:szCs w:val="22"/>
              </w:rPr>
            </w:pPr>
            <w:r w:rsidRPr="00ED5CC3">
              <w:rPr>
                <w:rFonts w:ascii="Arial" w:eastAsia="Calibri" w:hAnsi="Arial" w:cs="Arial"/>
                <w:szCs w:val="22"/>
              </w:rPr>
              <w:t xml:space="preserve">Conclusion: The rate of overall 1-year survival in patients with complicated forms of colon cancer in the comparison group was 56.32 ± 5.91 %, in the main group – 71.16 ± 7.92 </w:t>
            </w:r>
            <w:proofErr w:type="gramStart"/>
            <w:r w:rsidRPr="00ED5CC3">
              <w:rPr>
                <w:rFonts w:ascii="Arial" w:eastAsia="Calibri" w:hAnsi="Arial" w:cs="Arial"/>
                <w:szCs w:val="22"/>
              </w:rPr>
              <w:t>%  (</w:t>
            </w:r>
            <w:proofErr w:type="gramEnd"/>
            <w:r w:rsidRPr="00ED5CC3">
              <w:rPr>
                <w:rFonts w:ascii="Arial" w:eastAsia="Calibri" w:hAnsi="Arial" w:cs="Arial"/>
                <w:szCs w:val="22"/>
              </w:rPr>
              <w:t>p = 0.0341); 3-year – 38.04 ± 5.83 % and 49.45 ± 9.78 %, respectively (p = 0.0294), indicating significantly better long-term treatment results for this category of patients using a comprehensive perioperative management strategy for patients with complicated forms of colon cancer.</w:t>
            </w:r>
          </w:p>
        </w:tc>
      </w:tr>
    </w:tbl>
    <w:p w14:paraId="5C1BA6A7" w14:textId="77777777" w:rsidR="00636EB2" w:rsidRDefault="00636EB2" w:rsidP="00441B6F">
      <w:pPr>
        <w:pStyle w:val="Body"/>
        <w:spacing w:after="0"/>
        <w:rPr>
          <w:rFonts w:ascii="Arial" w:hAnsi="Arial" w:cs="Arial"/>
          <w:i/>
        </w:rPr>
      </w:pPr>
    </w:p>
    <w:p w14:paraId="2871DF99" w14:textId="19C0903D" w:rsidR="00B52896" w:rsidRPr="00ED5CC3" w:rsidRDefault="00A24E7E" w:rsidP="00ED5CC3">
      <w:pPr>
        <w:pStyle w:val="Body"/>
        <w:spacing w:after="0"/>
        <w:rPr>
          <w:rFonts w:ascii="Arial" w:hAnsi="Arial" w:cs="Arial"/>
          <w:i/>
        </w:rPr>
      </w:pPr>
      <w:r>
        <w:rPr>
          <w:rFonts w:ascii="Arial" w:hAnsi="Arial" w:cs="Arial"/>
          <w:i/>
        </w:rPr>
        <w:t xml:space="preserve">Keywords: </w:t>
      </w:r>
      <w:r w:rsidR="0015153E" w:rsidRPr="00ED5CC3">
        <w:rPr>
          <w:rFonts w:ascii="Arial" w:hAnsi="Arial" w:cs="Arial"/>
          <w:i/>
        </w:rPr>
        <w:t xml:space="preserve">Colon </w:t>
      </w:r>
      <w:r w:rsidR="00ED5CC3" w:rsidRPr="00ED5CC3">
        <w:rPr>
          <w:rFonts w:ascii="Arial" w:hAnsi="Arial" w:cs="Arial"/>
          <w:i/>
        </w:rPr>
        <w:t>cancer, complications, surgery, survival, mortality</w:t>
      </w:r>
    </w:p>
    <w:p w14:paraId="339BAEA0" w14:textId="77777777" w:rsidR="0024282C" w:rsidRDefault="0024282C" w:rsidP="00441B6F">
      <w:pPr>
        <w:pStyle w:val="Body"/>
        <w:spacing w:after="0"/>
        <w:rPr>
          <w:rFonts w:ascii="Arial" w:hAnsi="Arial" w:cs="Arial"/>
          <w:i/>
          <w:sz w:val="18"/>
        </w:rPr>
      </w:pPr>
    </w:p>
    <w:p w14:paraId="76870145" w14:textId="77777777" w:rsidR="00505F06" w:rsidRPr="00A24E7E" w:rsidRDefault="00505F06" w:rsidP="00441B6F">
      <w:pPr>
        <w:pStyle w:val="Body"/>
        <w:spacing w:after="0"/>
        <w:rPr>
          <w:rFonts w:ascii="Arial" w:hAnsi="Arial" w:cs="Arial"/>
          <w:i/>
        </w:rPr>
      </w:pPr>
    </w:p>
    <w:p w14:paraId="3448A968" w14:textId="03BFE32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297BFA3" w14:textId="77777777" w:rsidR="00790ADA" w:rsidRPr="00FB3A86" w:rsidRDefault="00790ADA" w:rsidP="00441B6F">
      <w:pPr>
        <w:pStyle w:val="AbstHead"/>
        <w:spacing w:after="0"/>
        <w:jc w:val="both"/>
        <w:rPr>
          <w:rFonts w:ascii="Arial" w:hAnsi="Arial" w:cs="Arial"/>
        </w:rPr>
      </w:pPr>
    </w:p>
    <w:p w14:paraId="70506971" w14:textId="77777777" w:rsidR="00ED5CC3" w:rsidRPr="00ED5CC3" w:rsidRDefault="00ED5CC3" w:rsidP="00ED5CC3">
      <w:pPr>
        <w:pStyle w:val="Body"/>
        <w:rPr>
          <w:rFonts w:ascii="Arial" w:hAnsi="Arial" w:cs="Arial"/>
        </w:rPr>
      </w:pPr>
      <w:r w:rsidRPr="00ED5CC3">
        <w:rPr>
          <w:rFonts w:ascii="Arial" w:hAnsi="Arial" w:cs="Arial"/>
        </w:rPr>
        <w:t>Malignant neoplasms of the colon in Ukraine confidently occupy the second place in the structure of oncological mortality among both women and men [1].</w:t>
      </w:r>
    </w:p>
    <w:p w14:paraId="57EA1048" w14:textId="77777777" w:rsidR="00ED5CC3" w:rsidRPr="00ED5CC3" w:rsidRDefault="00ED5CC3" w:rsidP="00ED5CC3">
      <w:pPr>
        <w:pStyle w:val="Body"/>
        <w:rPr>
          <w:rFonts w:ascii="Arial" w:hAnsi="Arial" w:cs="Arial"/>
        </w:rPr>
      </w:pPr>
      <w:r w:rsidRPr="00ED5CC3">
        <w:rPr>
          <w:rFonts w:ascii="Arial" w:hAnsi="Arial" w:cs="Arial"/>
        </w:rPr>
        <w:t>According to the National Cancer Registry of Ukraine, about 10.0 – 12.0 thousand cases of colon cancer are diagnosed annually for the first time, which is about 24.8 – 26.4 cases per 100 thousand population. Mortality in this case reaches 13.4 – 16.9 cases per 100,000 population [2].</w:t>
      </w:r>
    </w:p>
    <w:p w14:paraId="497F7A4A" w14:textId="77777777" w:rsidR="00ED5CC3" w:rsidRPr="00ED5CC3" w:rsidRDefault="00ED5CC3" w:rsidP="00ED5CC3">
      <w:pPr>
        <w:pStyle w:val="Body"/>
        <w:rPr>
          <w:rFonts w:ascii="Arial" w:hAnsi="Arial" w:cs="Arial"/>
        </w:rPr>
      </w:pPr>
      <w:r w:rsidRPr="00ED5CC3">
        <w:rPr>
          <w:rFonts w:ascii="Arial" w:hAnsi="Arial" w:cs="Arial"/>
        </w:rPr>
        <w:lastRenderedPageBreak/>
        <w:t xml:space="preserve">In almost half of the cases, diagnosis of colon </w:t>
      </w:r>
      <w:proofErr w:type="spellStart"/>
      <w:r w:rsidRPr="00ED5CC3">
        <w:rPr>
          <w:rFonts w:ascii="Arial" w:hAnsi="Arial" w:cs="Arial"/>
        </w:rPr>
        <w:t>oncopathology</w:t>
      </w:r>
      <w:proofErr w:type="spellEnd"/>
      <w:r w:rsidRPr="00ED5CC3">
        <w:rPr>
          <w:rFonts w:ascii="Arial" w:hAnsi="Arial" w:cs="Arial"/>
        </w:rPr>
        <w:t xml:space="preserve"> occurs at stage III – IV due to the appearance of a complicated course of malignant disease [3]. </w:t>
      </w:r>
    </w:p>
    <w:p w14:paraId="3A834472" w14:textId="77777777" w:rsidR="00ED5CC3" w:rsidRPr="00ED5CC3" w:rsidRDefault="00ED5CC3" w:rsidP="00ED5CC3">
      <w:pPr>
        <w:pStyle w:val="Body"/>
        <w:rPr>
          <w:rFonts w:ascii="Arial" w:hAnsi="Arial" w:cs="Arial"/>
        </w:rPr>
      </w:pPr>
      <w:r w:rsidRPr="00ED5CC3">
        <w:rPr>
          <w:rFonts w:ascii="Arial" w:hAnsi="Arial" w:cs="Arial"/>
        </w:rPr>
        <w:t xml:space="preserve">Peculiarities of the treatment of complicated forms of colon cancer, namely the absence of </w:t>
      </w:r>
      <w:proofErr w:type="spellStart"/>
      <w:r w:rsidRPr="00ED5CC3">
        <w:rPr>
          <w:rFonts w:ascii="Arial" w:hAnsi="Arial" w:cs="Arial"/>
        </w:rPr>
        <w:t>oncoradical</w:t>
      </w:r>
      <w:proofErr w:type="spellEnd"/>
      <w:r w:rsidRPr="00ED5CC3">
        <w:rPr>
          <w:rFonts w:ascii="Arial" w:hAnsi="Arial" w:cs="Arial"/>
        </w:rPr>
        <w:t xml:space="preserve"> surgical intervention, the initiation of the </w:t>
      </w:r>
      <w:proofErr w:type="spellStart"/>
      <w:r w:rsidRPr="00ED5CC3">
        <w:rPr>
          <w:rFonts w:ascii="Arial" w:hAnsi="Arial" w:cs="Arial"/>
        </w:rPr>
        <w:t>oncoprocess</w:t>
      </w:r>
      <w:proofErr w:type="spellEnd"/>
      <w:r w:rsidRPr="00ED5CC3">
        <w:rPr>
          <w:rFonts w:ascii="Arial" w:hAnsi="Arial" w:cs="Arial"/>
        </w:rPr>
        <w:t xml:space="preserve"> in most cases (more than 35.0% of complications are associated with metastatic colon cancer), the absence of specific chemotherapeutic treatment of patients, lead to a decrease in survival rates in this category of patients [4, 5].</w:t>
      </w:r>
    </w:p>
    <w:p w14:paraId="404C2E22" w14:textId="58E5A1E7" w:rsidR="00790ADA" w:rsidRDefault="00ED5CC3" w:rsidP="00ED5CC3">
      <w:pPr>
        <w:pStyle w:val="Body"/>
        <w:spacing w:after="0"/>
        <w:rPr>
          <w:rFonts w:ascii="Arial" w:hAnsi="Arial" w:cs="Arial"/>
        </w:rPr>
      </w:pPr>
      <w:r w:rsidRPr="00ED5CC3">
        <w:rPr>
          <w:rFonts w:ascii="Arial" w:hAnsi="Arial" w:cs="Arial"/>
        </w:rPr>
        <w:t xml:space="preserve">Therefore, the development of the latest approaches to the management of patients in this category, which will improve the separate results of the treatment of these patients, is an important task of urgent </w:t>
      </w:r>
      <w:proofErr w:type="spellStart"/>
      <w:r w:rsidRPr="00ED5CC3">
        <w:rPr>
          <w:rFonts w:ascii="Arial" w:hAnsi="Arial" w:cs="Arial"/>
        </w:rPr>
        <w:t>oncosurgery</w:t>
      </w:r>
      <w:proofErr w:type="spellEnd"/>
      <w:r w:rsidRPr="00ED5CC3">
        <w:rPr>
          <w:rFonts w:ascii="Arial" w:hAnsi="Arial" w:cs="Arial"/>
        </w:rPr>
        <w:t>.</w:t>
      </w:r>
    </w:p>
    <w:p w14:paraId="747F1E72" w14:textId="77777777" w:rsidR="00ED5CC3" w:rsidRPr="00FB3A86" w:rsidRDefault="00ED5CC3" w:rsidP="00ED5CC3">
      <w:pPr>
        <w:pStyle w:val="Body"/>
        <w:spacing w:after="0"/>
        <w:rPr>
          <w:rFonts w:ascii="Arial" w:hAnsi="Arial" w:cs="Arial"/>
        </w:rPr>
      </w:pPr>
    </w:p>
    <w:p w14:paraId="4592AC3D" w14:textId="120C970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6E66A7E" w14:textId="77777777" w:rsidR="00790ADA" w:rsidRPr="00FB3A86" w:rsidRDefault="00790ADA" w:rsidP="00441B6F">
      <w:pPr>
        <w:pStyle w:val="AbstHead"/>
        <w:spacing w:after="0"/>
        <w:jc w:val="both"/>
        <w:rPr>
          <w:rFonts w:ascii="Arial" w:hAnsi="Arial" w:cs="Arial"/>
        </w:rPr>
      </w:pPr>
    </w:p>
    <w:p w14:paraId="5143EB18" w14:textId="77777777" w:rsidR="00ED5CC3" w:rsidRPr="00ED5CC3" w:rsidRDefault="00ED5CC3" w:rsidP="00ED5CC3">
      <w:pPr>
        <w:pStyle w:val="Body"/>
        <w:rPr>
          <w:rFonts w:ascii="Arial" w:hAnsi="Arial" w:cs="Arial"/>
        </w:rPr>
      </w:pPr>
      <w:r w:rsidRPr="00ED5CC3">
        <w:rPr>
          <w:rFonts w:ascii="Arial" w:hAnsi="Arial" w:cs="Arial"/>
        </w:rPr>
        <w:t>The study group included 180 (100%) patients with complicated forms of colon cancer who were treated in general surgical hospitals. All patients were divided into two groups – main (prospective) – 109 (60.56 %) patients who were treated according to the comprehensive perioperative strategy of managing patients with complicated forms of colon cancer [6] and comparison group (retrospective) – 71 (39.44 %) treated according to the standard approaches to the treatment of complicated colon cancer existing at that time.</w:t>
      </w:r>
    </w:p>
    <w:p w14:paraId="359EE723" w14:textId="77777777" w:rsidR="00ED5CC3" w:rsidRPr="00ED5CC3" w:rsidRDefault="00ED5CC3" w:rsidP="00ED5CC3">
      <w:pPr>
        <w:pStyle w:val="Body"/>
        <w:rPr>
          <w:rFonts w:ascii="Arial" w:hAnsi="Arial" w:cs="Arial"/>
        </w:rPr>
      </w:pPr>
      <w:r w:rsidRPr="00ED5CC3">
        <w:rPr>
          <w:rFonts w:ascii="Arial" w:hAnsi="Arial" w:cs="Arial"/>
        </w:rPr>
        <w:t xml:space="preserve">There were 57 (52.29 %) women and 52 (47.71 %) men in the main group, 35 (49.29 %) and 36 (50.71 %) patients in the comparison group, respectively, U = 231.50; p = 0.7369. The average age of the patients was 69.78 ± 16.37 years in the main and 67.97 ± 12.71 years in the comparison group, U = 298.00; p = 0.8745. </w:t>
      </w:r>
    </w:p>
    <w:p w14:paraId="2C160760" w14:textId="77777777" w:rsidR="00ED5CC3" w:rsidRPr="00ED5CC3" w:rsidRDefault="00ED5CC3" w:rsidP="00ED5CC3">
      <w:pPr>
        <w:pStyle w:val="Body"/>
        <w:rPr>
          <w:rFonts w:ascii="Arial" w:hAnsi="Arial" w:cs="Arial"/>
        </w:rPr>
      </w:pPr>
      <w:r w:rsidRPr="00ED5CC3">
        <w:rPr>
          <w:rFonts w:ascii="Arial" w:hAnsi="Arial" w:cs="Arial"/>
        </w:rPr>
        <w:t xml:space="preserve">By localization in the main group, </w:t>
      </w:r>
      <w:proofErr w:type="spellStart"/>
      <w:r w:rsidRPr="00ED5CC3">
        <w:rPr>
          <w:rFonts w:ascii="Arial" w:hAnsi="Arial" w:cs="Arial"/>
        </w:rPr>
        <w:t>cecal</w:t>
      </w:r>
      <w:proofErr w:type="spellEnd"/>
      <w:r w:rsidRPr="00ED5CC3">
        <w:rPr>
          <w:rFonts w:ascii="Arial" w:hAnsi="Arial" w:cs="Arial"/>
        </w:rPr>
        <w:t xml:space="preserve"> tumors were found in 13 (11.93 %) patients; ascending colon — 12 (11.01 %); hepatic angle — 8 (7.34 %); transverse colon — 4 (3.67 %) patients; spleen angle — 2 (1.83 %); descending colon — 12 (11.01 %); sigmoid — 43 (39.45 %); rectosigmoid transition — 13 (11.93 %).</w:t>
      </w:r>
    </w:p>
    <w:p w14:paraId="6425C9A9" w14:textId="77777777" w:rsidR="00ED5CC3" w:rsidRPr="00ED5CC3" w:rsidRDefault="00ED5CC3" w:rsidP="00ED5CC3">
      <w:pPr>
        <w:pStyle w:val="Body"/>
        <w:rPr>
          <w:rFonts w:ascii="Arial" w:hAnsi="Arial" w:cs="Arial"/>
        </w:rPr>
      </w:pPr>
      <w:r w:rsidRPr="00ED5CC3">
        <w:rPr>
          <w:rFonts w:ascii="Arial" w:hAnsi="Arial" w:cs="Arial"/>
        </w:rPr>
        <w:t xml:space="preserve">In the comparison group, </w:t>
      </w:r>
      <w:proofErr w:type="spellStart"/>
      <w:r w:rsidRPr="00ED5CC3">
        <w:rPr>
          <w:rFonts w:ascii="Arial" w:hAnsi="Arial" w:cs="Arial"/>
        </w:rPr>
        <w:t>cecal</w:t>
      </w:r>
      <w:proofErr w:type="spellEnd"/>
      <w:r w:rsidRPr="00ED5CC3">
        <w:rPr>
          <w:rFonts w:ascii="Arial" w:hAnsi="Arial" w:cs="Arial"/>
        </w:rPr>
        <w:t xml:space="preserve"> tumor was diagnosed in 8 (11.27 %) patients, ascending colon – in 8 (11.27 %), hepatic angle – in 5 (7.04 %) patients, transverse colon – in 2 (2.82 %), spleen angle – in 1 (1.41 %) operated, descending colon – in 8 (11.27 %), sigmoid colon – in 30 (42.25 %) hospitalized, rectosigmoid – in 9 (12.68 %) patients.</w:t>
      </w:r>
    </w:p>
    <w:p w14:paraId="18B645CB" w14:textId="77777777" w:rsidR="00ED5CC3" w:rsidRPr="00ED5CC3" w:rsidRDefault="00ED5CC3" w:rsidP="00ED5CC3">
      <w:pPr>
        <w:pStyle w:val="Body"/>
        <w:rPr>
          <w:rFonts w:ascii="Arial" w:hAnsi="Arial" w:cs="Arial"/>
        </w:rPr>
      </w:pPr>
      <w:r w:rsidRPr="00ED5CC3">
        <w:rPr>
          <w:rFonts w:ascii="Arial" w:hAnsi="Arial" w:cs="Arial"/>
        </w:rPr>
        <w:t xml:space="preserve">Among the complications of the </w:t>
      </w:r>
      <w:proofErr w:type="spellStart"/>
      <w:r w:rsidRPr="00ED5CC3">
        <w:rPr>
          <w:rFonts w:ascii="Arial" w:hAnsi="Arial" w:cs="Arial"/>
        </w:rPr>
        <w:t>oncoprocess</w:t>
      </w:r>
      <w:proofErr w:type="spellEnd"/>
      <w:r w:rsidRPr="00ED5CC3">
        <w:rPr>
          <w:rFonts w:ascii="Arial" w:hAnsi="Arial" w:cs="Arial"/>
        </w:rPr>
        <w:t xml:space="preserve">, 74 (67.89 %) patients in the main group had acute intestinal obstruction; 21 (19.27 %) — had tumor perforation; </w:t>
      </w:r>
      <w:proofErr w:type="gramStart"/>
      <w:r w:rsidRPr="00ED5CC3">
        <w:rPr>
          <w:rFonts w:ascii="Arial" w:hAnsi="Arial" w:cs="Arial"/>
        </w:rPr>
        <w:t>in  6</w:t>
      </w:r>
      <w:proofErr w:type="gramEnd"/>
      <w:r w:rsidRPr="00ED5CC3">
        <w:rPr>
          <w:rFonts w:ascii="Arial" w:hAnsi="Arial" w:cs="Arial"/>
        </w:rPr>
        <w:t xml:space="preserve"> (5.50 %) — acute intestinal bleeding (ACB); in 3 (2.75 %) — combination of acute intestinal obstruction and perforation; in 5 (4.59 %) — intestinal obstruction and bleeding.</w:t>
      </w:r>
    </w:p>
    <w:p w14:paraId="23A037B7" w14:textId="77777777" w:rsidR="00ED5CC3" w:rsidRPr="00ED5CC3" w:rsidRDefault="00ED5CC3" w:rsidP="00ED5CC3">
      <w:pPr>
        <w:pStyle w:val="Body"/>
        <w:rPr>
          <w:rFonts w:ascii="Arial" w:hAnsi="Arial" w:cs="Arial"/>
        </w:rPr>
      </w:pPr>
      <w:r w:rsidRPr="00ED5CC3">
        <w:rPr>
          <w:rFonts w:ascii="Arial" w:hAnsi="Arial" w:cs="Arial"/>
        </w:rPr>
        <w:t>In the comparison group, 49 (69.01 %) patients showed acute intestinal obstruction, 13 (18.31 %) – had tumor perforation, 3 (4.23 %) patients had acute intestinal bleeding, 4 (5.63 %) hospitalized had a combination of acute intestinal obstruction with tumor perforation, and another 2 (2.82 %) - intestinal obstruction with bleeding.</w:t>
      </w:r>
    </w:p>
    <w:p w14:paraId="54863F72" w14:textId="77777777" w:rsidR="00ED5CC3" w:rsidRPr="00ED5CC3" w:rsidRDefault="00ED5CC3" w:rsidP="00ED5CC3">
      <w:pPr>
        <w:pStyle w:val="Body"/>
        <w:rPr>
          <w:rFonts w:ascii="Arial" w:hAnsi="Arial" w:cs="Arial"/>
        </w:rPr>
      </w:pPr>
      <w:r w:rsidRPr="00ED5CC3">
        <w:rPr>
          <w:rFonts w:ascii="Arial" w:hAnsi="Arial" w:cs="Arial"/>
        </w:rPr>
        <w:t>Radical surgical interventions (complete removal of the oncological process) were performed in 89 (81.65 %) patients of the main and 48 (67.61 %) – of the comparison group, U = 29.50; p = 0.0137. Cytoreductive palliative surgery (reducing tumor volume) has been performed 15 (13.76 %) and 18 (25.4 %) hospitalized, respectively, U = 37.50; p = 0.0429. Symptomatic interventions (elimination of the complication) were performed on 5 (4.59 %) patients of the main group and 5 (7.04 %) – of the comparison group, U = 134.00; p = 0.3814.</w:t>
      </w:r>
    </w:p>
    <w:p w14:paraId="3D3CDBB2" w14:textId="77777777" w:rsidR="00ED5CC3" w:rsidRPr="00ED5CC3" w:rsidRDefault="00ED5CC3" w:rsidP="00ED5CC3">
      <w:pPr>
        <w:pStyle w:val="Body"/>
        <w:rPr>
          <w:rFonts w:ascii="Arial" w:hAnsi="Arial" w:cs="Arial"/>
        </w:rPr>
      </w:pPr>
      <w:r w:rsidRPr="00ED5CC3">
        <w:rPr>
          <w:rFonts w:ascii="Arial" w:hAnsi="Arial" w:cs="Arial"/>
        </w:rPr>
        <w:t xml:space="preserve">The colostomy ended with 16 (21.62 %) surgeries in the main and 42 (59.2 %) – in the comparison group, U = 28.50; p = 0.0081. </w:t>
      </w:r>
    </w:p>
    <w:p w14:paraId="62C508FD" w14:textId="77777777" w:rsidR="00ED5CC3" w:rsidRPr="00ED5CC3" w:rsidRDefault="00ED5CC3" w:rsidP="00ED5CC3">
      <w:pPr>
        <w:pStyle w:val="Body"/>
        <w:rPr>
          <w:rFonts w:ascii="Arial" w:hAnsi="Arial" w:cs="Arial"/>
        </w:rPr>
      </w:pPr>
      <w:r w:rsidRPr="00ED5CC3">
        <w:rPr>
          <w:rFonts w:ascii="Arial" w:hAnsi="Arial" w:cs="Arial"/>
        </w:rPr>
        <w:t xml:space="preserve">According to the results of the staging of the oncology process according to the TNM 8 classification of the 2017 UICC and AJCC revision, the II stage of the disease was diagnosed in 24 (22.01 %) patients of the main and 15 (21.13 %) - comparison groups, III – in 53 (48.62 %) patients of the main and 32 (45.07 %) – of the comparison group, IV stage – in 32 (29.36 %) and 24 (33.80 %) operated on, respectively, U = 218.50; p = 0.7268. There were no patients with stage I disease in the study groups. </w:t>
      </w:r>
    </w:p>
    <w:p w14:paraId="3BF6BD22" w14:textId="77777777" w:rsidR="00ED5CC3" w:rsidRPr="00ED5CC3" w:rsidRDefault="00ED5CC3" w:rsidP="00ED5CC3">
      <w:pPr>
        <w:pStyle w:val="Body"/>
        <w:rPr>
          <w:rFonts w:ascii="Arial" w:hAnsi="Arial" w:cs="Arial"/>
        </w:rPr>
      </w:pPr>
      <w:r w:rsidRPr="00ED5CC3">
        <w:rPr>
          <w:rFonts w:ascii="Arial" w:hAnsi="Arial" w:cs="Arial"/>
        </w:rPr>
        <w:t>In the postoperative period, in 32 (45.07%) patients of the comparison group and in 31 (28.44 %) patients in the main group identified postoperative complications, U = 31.50; p = 0.0384.</w:t>
      </w:r>
    </w:p>
    <w:p w14:paraId="03C2986C" w14:textId="77777777" w:rsidR="00ED5CC3" w:rsidRPr="00ED5CC3" w:rsidRDefault="00ED5CC3" w:rsidP="00ED5CC3">
      <w:pPr>
        <w:pStyle w:val="Body"/>
        <w:rPr>
          <w:rFonts w:ascii="Arial" w:hAnsi="Arial" w:cs="Arial"/>
        </w:rPr>
      </w:pPr>
      <w:r w:rsidRPr="00ED5CC3">
        <w:rPr>
          <w:rFonts w:ascii="Arial" w:hAnsi="Arial" w:cs="Arial"/>
        </w:rPr>
        <w:t>In the fatality comparison group there were 15 (21.13 %), in the main group – 12 (11.01 %), U = 24.00; p = 0.0275.</w:t>
      </w:r>
    </w:p>
    <w:p w14:paraId="5B5E1D42" w14:textId="77777777" w:rsidR="00ED5CC3" w:rsidRPr="00ED5CC3" w:rsidRDefault="00ED5CC3" w:rsidP="00ED5CC3">
      <w:pPr>
        <w:pStyle w:val="Body"/>
        <w:rPr>
          <w:rFonts w:ascii="Arial" w:hAnsi="Arial" w:cs="Arial"/>
        </w:rPr>
      </w:pPr>
      <w:r w:rsidRPr="00ED5CC3">
        <w:rPr>
          <w:rFonts w:ascii="Arial" w:hAnsi="Arial" w:cs="Arial"/>
        </w:rPr>
        <w:lastRenderedPageBreak/>
        <w:t>In the postoperative period, specific therapy (adjuvant chemotherapy) according to treatment protocols for colon carcinoma was given to 17 (30.36 %) surviving patients from the comparator group and 64 (65.98 %) from the main group, U = 19.50; p = 0.0137.</w:t>
      </w:r>
    </w:p>
    <w:p w14:paraId="44954564" w14:textId="77777777" w:rsidR="00ED5CC3" w:rsidRPr="00ED5CC3" w:rsidRDefault="00ED5CC3" w:rsidP="00ED5CC3">
      <w:pPr>
        <w:pStyle w:val="Body"/>
        <w:rPr>
          <w:rFonts w:ascii="Arial" w:hAnsi="Arial" w:cs="Arial"/>
        </w:rPr>
      </w:pPr>
      <w:r w:rsidRPr="00ED5CC3">
        <w:rPr>
          <w:rFonts w:ascii="Arial" w:hAnsi="Arial" w:cs="Arial"/>
        </w:rPr>
        <w:t>The period of observation of patients was 36 months at the time of the operation or before the onset of a fatal event, if this event occurred earlier.</w:t>
      </w:r>
    </w:p>
    <w:p w14:paraId="2D93F40E" w14:textId="77777777" w:rsidR="00ED5CC3" w:rsidRPr="00ED5CC3" w:rsidRDefault="00ED5CC3" w:rsidP="00ED5CC3">
      <w:pPr>
        <w:pStyle w:val="Body"/>
        <w:rPr>
          <w:rFonts w:ascii="Arial" w:hAnsi="Arial" w:cs="Arial"/>
        </w:rPr>
      </w:pPr>
      <w:r w:rsidRPr="00ED5CC3">
        <w:rPr>
          <w:rFonts w:ascii="Arial" w:hAnsi="Arial" w:cs="Arial"/>
        </w:rPr>
        <w:t xml:space="preserve">All procedures carried out in research with the participation of participants met the ethical standards of the institutional research committee of the </w:t>
      </w:r>
      <w:proofErr w:type="spellStart"/>
      <w:r w:rsidRPr="00ED5CC3">
        <w:rPr>
          <w:rFonts w:ascii="Arial" w:hAnsi="Arial" w:cs="Arial"/>
        </w:rPr>
        <w:t>Zaporizhia</w:t>
      </w:r>
      <w:proofErr w:type="spellEnd"/>
      <w:r w:rsidRPr="00ED5CC3">
        <w:rPr>
          <w:rFonts w:ascii="Arial" w:hAnsi="Arial" w:cs="Arial"/>
        </w:rPr>
        <w:t xml:space="preserve"> State Medical and Pharmaceutical University, as well as the Helsinki Declaration of 1964 and its later changes or comparable ethical standards.</w:t>
      </w:r>
    </w:p>
    <w:p w14:paraId="08F98A7B" w14:textId="2006980D" w:rsidR="00790ADA" w:rsidRDefault="00ED5CC3" w:rsidP="00ED5CC3">
      <w:pPr>
        <w:pStyle w:val="Body"/>
        <w:spacing w:after="0"/>
        <w:rPr>
          <w:rFonts w:ascii="Arial" w:hAnsi="Arial" w:cs="Arial"/>
        </w:rPr>
      </w:pPr>
      <w:r w:rsidRPr="00ED5CC3">
        <w:rPr>
          <w:rFonts w:ascii="Arial" w:hAnsi="Arial" w:cs="Arial"/>
        </w:rPr>
        <w:t xml:space="preserve">Statistical processing of the obtained results was carried out using computer programs STATISTICA 13.0, TIBCO Software </w:t>
      </w:r>
      <w:proofErr w:type="spellStart"/>
      <w:r w:rsidRPr="00ED5CC3">
        <w:rPr>
          <w:rFonts w:ascii="Arial" w:hAnsi="Arial" w:cs="Arial"/>
        </w:rPr>
        <w:t>inc.</w:t>
      </w:r>
      <w:proofErr w:type="spellEnd"/>
      <w:r w:rsidRPr="00ED5CC3">
        <w:rPr>
          <w:rFonts w:ascii="Arial" w:hAnsi="Arial" w:cs="Arial"/>
        </w:rPr>
        <w:t xml:space="preserve"> (License JPZ804I382130ARCN10-J) and MICROSOFT EXSEL 2013 (License 00331-10000-00001-AA404). The data in the text and tables are presented in the form of M ± m (arithmetic mean ± standard deviation) in the case of a normal distribution </w:t>
      </w:r>
      <w:proofErr w:type="gramStart"/>
      <w:r w:rsidRPr="00ED5CC3">
        <w:rPr>
          <w:rFonts w:ascii="Arial" w:hAnsi="Arial" w:cs="Arial"/>
        </w:rPr>
        <w:t>and  Me</w:t>
      </w:r>
      <w:proofErr w:type="gramEnd"/>
      <w:r w:rsidRPr="00ED5CC3">
        <w:rPr>
          <w:rFonts w:ascii="Arial" w:hAnsi="Arial" w:cs="Arial"/>
        </w:rPr>
        <w:t xml:space="preserve"> (Q1; Q3) – in the case of a distribution that differed from the normal one. The Kaplan-Meier method from the construction survival curve was used to estimate survival. </w:t>
      </w:r>
      <w:proofErr w:type="spellStart"/>
      <w:r w:rsidRPr="00ED5CC3">
        <w:rPr>
          <w:rFonts w:ascii="Arial" w:hAnsi="Arial" w:cs="Arial"/>
        </w:rPr>
        <w:t>Logrank</w:t>
      </w:r>
      <w:proofErr w:type="spellEnd"/>
      <w:r w:rsidRPr="00ED5CC3">
        <w:rPr>
          <w:rFonts w:ascii="Arial" w:hAnsi="Arial" w:cs="Arial"/>
        </w:rPr>
        <w:t xml:space="preserve"> test (χ2 with one degree of freedom) is used to compare survival curves. The value at p ̶ 0.05 was considered statistically reliable.</w:t>
      </w:r>
    </w:p>
    <w:p w14:paraId="514F6C97" w14:textId="77777777" w:rsidR="00ED5CC3" w:rsidRPr="00FB3A86" w:rsidRDefault="00ED5CC3" w:rsidP="00ED5CC3">
      <w:pPr>
        <w:pStyle w:val="Body"/>
        <w:spacing w:after="0"/>
        <w:rPr>
          <w:rFonts w:ascii="Arial" w:hAnsi="Arial" w:cs="Arial"/>
        </w:rPr>
      </w:pPr>
    </w:p>
    <w:p w14:paraId="699FC73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A9D14F" w14:textId="77777777" w:rsidR="00790ADA" w:rsidRPr="00FB3A86" w:rsidRDefault="00790ADA" w:rsidP="00441B6F">
      <w:pPr>
        <w:pStyle w:val="Head1"/>
        <w:spacing w:after="0"/>
        <w:jc w:val="both"/>
        <w:rPr>
          <w:rFonts w:ascii="Arial" w:hAnsi="Arial" w:cs="Arial"/>
        </w:rPr>
      </w:pPr>
    </w:p>
    <w:p w14:paraId="7EB99021" w14:textId="77777777" w:rsidR="00ED5CC3" w:rsidRPr="00ED5CC3" w:rsidRDefault="00ED5CC3" w:rsidP="00ED5CC3">
      <w:pPr>
        <w:pStyle w:val="Body"/>
        <w:rPr>
          <w:rFonts w:ascii="Arial" w:hAnsi="Arial" w:cs="Arial"/>
        </w:rPr>
      </w:pPr>
      <w:r w:rsidRPr="00ED5CC3">
        <w:rPr>
          <w:rFonts w:ascii="Arial" w:hAnsi="Arial" w:cs="Arial"/>
        </w:rPr>
        <w:t xml:space="preserve">According to the results of the observation, the overall 1-year (12 months) survival in the comparison group was 56.32 ± 5.91 %, in the main group – 71.16 ± 7.92 %, χ2 = 19.20; p = 0.0341.   </w:t>
      </w:r>
    </w:p>
    <w:p w14:paraId="2FDB2C2A" w14:textId="77777777" w:rsidR="00ED5CC3" w:rsidRPr="00ED5CC3" w:rsidRDefault="00ED5CC3" w:rsidP="00ED5CC3">
      <w:pPr>
        <w:pStyle w:val="Body"/>
        <w:rPr>
          <w:rFonts w:ascii="Arial" w:hAnsi="Arial" w:cs="Arial"/>
        </w:rPr>
      </w:pPr>
      <w:r w:rsidRPr="00ED5CC3">
        <w:rPr>
          <w:rFonts w:ascii="Arial" w:hAnsi="Arial" w:cs="Arial"/>
        </w:rPr>
        <w:t>The 3-year (36 months) survival rate in the comparison group was only 38.04 ± 5.83 %, in the main group – 49.45 ± 9.78 %, χ2 = 17.50; p = 0.0294.</w:t>
      </w:r>
    </w:p>
    <w:p w14:paraId="063A0993" w14:textId="77777777" w:rsidR="00ED5CC3" w:rsidRPr="00ED5CC3" w:rsidRDefault="00ED5CC3" w:rsidP="00ED5CC3">
      <w:pPr>
        <w:pStyle w:val="Body"/>
        <w:rPr>
          <w:rFonts w:ascii="Arial" w:hAnsi="Arial" w:cs="Arial"/>
        </w:rPr>
      </w:pPr>
      <w:r w:rsidRPr="00ED5CC3">
        <w:rPr>
          <w:rFonts w:ascii="Arial" w:hAnsi="Arial" w:cs="Arial"/>
        </w:rPr>
        <w:t xml:space="preserve">A more detailed analysis considering the staging of the disease showed that in patients with stage II </w:t>
      </w:r>
      <w:proofErr w:type="spellStart"/>
      <w:r w:rsidRPr="00ED5CC3">
        <w:rPr>
          <w:rFonts w:ascii="Arial" w:hAnsi="Arial" w:cs="Arial"/>
        </w:rPr>
        <w:t>oncoprocess</w:t>
      </w:r>
      <w:proofErr w:type="spellEnd"/>
      <w:r w:rsidRPr="00ED5CC3">
        <w:rPr>
          <w:rFonts w:ascii="Arial" w:hAnsi="Arial" w:cs="Arial"/>
        </w:rPr>
        <w:t>, the 1-year overall survival in the comparison group was 76.92 ± 11.71 %, in the main – 89.74 ± 14.63 % (χ2 = 15.30; p = 0.0638); 3-year – 53.84 ± 13.82 % and 74.28 ± 15.37 %, respectively (χ2 = 9.70; p = 0.2119).</w:t>
      </w:r>
    </w:p>
    <w:p w14:paraId="7B8DF65C" w14:textId="77777777" w:rsidR="00ED5CC3" w:rsidRPr="00ED5CC3" w:rsidRDefault="00ED5CC3" w:rsidP="00ED5CC3">
      <w:pPr>
        <w:pStyle w:val="Body"/>
        <w:rPr>
          <w:rFonts w:ascii="Arial" w:hAnsi="Arial" w:cs="Arial"/>
        </w:rPr>
      </w:pPr>
      <w:r w:rsidRPr="00ED5CC3">
        <w:rPr>
          <w:rFonts w:ascii="Arial" w:hAnsi="Arial" w:cs="Arial"/>
        </w:rPr>
        <w:t>In patients with stage III malignant pathology, the 1-year survival rate in the comparison group was at 65.64 ± 8.41 %, in the main – 75.12 ± 11.73 % (χ2 = 6.70; p = 0.3248); 3-year-old – 50.02 ± 8.84 % and 59.73 ± 9.68 % respectively (χ2 = 5.90; p = 0.3871).</w:t>
      </w:r>
    </w:p>
    <w:p w14:paraId="654FB38D" w14:textId="061E8786" w:rsidR="00790ADA" w:rsidRDefault="00C143A2" w:rsidP="00ED5CC3">
      <w:pPr>
        <w:pStyle w:val="Body"/>
        <w:spacing w:after="0"/>
        <w:rPr>
          <w:rFonts w:ascii="Arial" w:hAnsi="Arial" w:cs="Arial"/>
        </w:rPr>
      </w:pPr>
      <w:r>
        <w:rPr>
          <w:rFonts w:ascii="Arial" w:hAnsi="Arial" w:cs="Arial"/>
          <w:noProof/>
        </w:rPr>
        <w:drawing>
          <wp:anchor distT="0" distB="0" distL="114300" distR="114300" simplePos="0" relativeHeight="251658752" behindDoc="1" locked="0" layoutInCell="1" allowOverlap="1" wp14:anchorId="6144289A" wp14:editId="4FBBFADF">
            <wp:simplePos x="0" y="0"/>
            <wp:positionH relativeFrom="column">
              <wp:posOffset>-66675</wp:posOffset>
            </wp:positionH>
            <wp:positionV relativeFrom="paragraph">
              <wp:posOffset>523240</wp:posOffset>
            </wp:positionV>
            <wp:extent cx="6819900" cy="2554605"/>
            <wp:effectExtent l="0" t="0" r="0" b="0"/>
            <wp:wrapTight wrapText="bothSides">
              <wp:wrapPolygon edited="0">
                <wp:start x="0" y="0"/>
                <wp:lineTo x="0" y="21423"/>
                <wp:lineTo x="21540" y="21423"/>
                <wp:lineTo x="21540" y="0"/>
                <wp:lineTo x="0" y="0"/>
              </wp:wrapPolygon>
            </wp:wrapTight>
            <wp:docPr id="582524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19900" cy="2554605"/>
                    </a:xfrm>
                    <a:prstGeom prst="rect">
                      <a:avLst/>
                    </a:prstGeom>
                    <a:noFill/>
                  </pic:spPr>
                </pic:pic>
              </a:graphicData>
            </a:graphic>
            <wp14:sizeRelH relativeFrom="margin">
              <wp14:pctWidth>0</wp14:pctWidth>
            </wp14:sizeRelH>
          </wp:anchor>
        </w:drawing>
      </w:r>
      <w:r w:rsidR="00ED5CC3" w:rsidRPr="00ED5CC3">
        <w:rPr>
          <w:rFonts w:ascii="Arial" w:hAnsi="Arial" w:cs="Arial"/>
        </w:rPr>
        <w:t>In individuals with stage IV of colon cancer, 1-year survival was at 29.23 ± 9.31 % in the comparator group and 37.42 ± 10.19 % – in the core group (χ2 = 4.60; p = 0.4261); 3-year - 8.33 ± 2.62 % and 11.57 ± 3.14 % respectively (χ2 = 3.80; p = 0.5187), Fig. 1.</w:t>
      </w:r>
    </w:p>
    <w:p w14:paraId="00AC4E77" w14:textId="62A59A55" w:rsidR="00ED5CC3" w:rsidRDefault="00ED5CC3" w:rsidP="00ED5CC3">
      <w:pPr>
        <w:pStyle w:val="Body"/>
        <w:spacing w:after="0"/>
        <w:rPr>
          <w:rFonts w:ascii="Arial" w:hAnsi="Arial" w:cs="Arial"/>
          <w:b/>
          <w:bCs/>
        </w:rPr>
      </w:pPr>
      <w:r w:rsidRPr="00ED5CC3">
        <w:rPr>
          <w:rFonts w:ascii="Arial" w:hAnsi="Arial" w:cs="Arial"/>
          <w:b/>
          <w:bCs/>
        </w:rPr>
        <w:t>Figure 1 – Kaplan-Meier survival curve for comparison group and the main group (n = 180) depending on the stage of the disease</w:t>
      </w:r>
    </w:p>
    <w:p w14:paraId="4D8EA054" w14:textId="77777777" w:rsidR="00ED5CC3" w:rsidRPr="00ED5CC3" w:rsidRDefault="00ED5CC3" w:rsidP="00ED5CC3">
      <w:pPr>
        <w:pStyle w:val="Body"/>
        <w:rPr>
          <w:rFonts w:ascii="Arial" w:hAnsi="Arial" w:cs="Arial"/>
        </w:rPr>
      </w:pPr>
      <w:r w:rsidRPr="00ED5CC3">
        <w:rPr>
          <w:rFonts w:ascii="Arial" w:hAnsi="Arial" w:cs="Arial"/>
        </w:rPr>
        <w:t xml:space="preserve">A more detailed gender-specific analysis showed that in both groups, women have better results in both overall 1-year and 3-year survival. Among male patients, the 1-year survival rate in the comparison group was 51.43 ± 8.51 %, in the main group – 64.28 ± 12.69 %; 3-year – 31.44 ± 7.93 % and 43.86 % ± 11.39 %, respectively (χ2 = 2.4; p = 0.1729). Among </w:t>
      </w:r>
      <w:r w:rsidRPr="00ED5CC3">
        <w:rPr>
          <w:rFonts w:ascii="Arial" w:hAnsi="Arial" w:cs="Arial"/>
        </w:rPr>
        <w:lastRenderedPageBreak/>
        <w:t>women, the 1-year and 3-year survival rates were respectively at 61.12 ± 8.13 % and 44.42 ± 8.32 % in the comparison group and 73.29 ± 14.37 % and 53.18 ± 11.32 % in the main group (χ2 = 2.3; p = 0.1302).</w:t>
      </w:r>
    </w:p>
    <w:p w14:paraId="53422D48" w14:textId="73A98B1B" w:rsidR="00E053D0" w:rsidRDefault="00ED5CC3" w:rsidP="00ED5CC3">
      <w:pPr>
        <w:pStyle w:val="Body"/>
        <w:spacing w:after="0"/>
        <w:rPr>
          <w:rFonts w:ascii="Arial" w:hAnsi="Arial" w:cs="Arial"/>
        </w:rPr>
      </w:pPr>
      <w:r w:rsidRPr="00ED5CC3">
        <w:rPr>
          <w:rFonts w:ascii="Arial" w:hAnsi="Arial" w:cs="Arial"/>
        </w:rPr>
        <w:t>The difference in survival in the localization of the tumor process also draws attention: better indicators of overall survival in the case of cancer of the left parts of the large intestine compared to the right-sided localization of the tumor in both groups of the study, Table. 1.</w:t>
      </w:r>
    </w:p>
    <w:p w14:paraId="69210591" w14:textId="77777777" w:rsidR="00ED5CC3" w:rsidRDefault="00ED5CC3" w:rsidP="00ED5CC3">
      <w:pPr>
        <w:pStyle w:val="Body"/>
        <w:spacing w:after="0"/>
        <w:rPr>
          <w:rFonts w:ascii="Arial" w:hAnsi="Arial" w:cs="Arial"/>
        </w:rPr>
      </w:pPr>
    </w:p>
    <w:p w14:paraId="58D9642D" w14:textId="1A61D4D1" w:rsidR="00ED5CC3" w:rsidRDefault="00ED5CC3" w:rsidP="00ED5CC3">
      <w:pPr>
        <w:pStyle w:val="Body"/>
        <w:spacing w:after="0"/>
        <w:rPr>
          <w:rFonts w:ascii="Arial" w:hAnsi="Arial" w:cs="Arial"/>
          <w:b/>
          <w:bCs/>
        </w:rPr>
      </w:pPr>
      <w:r w:rsidRPr="00ED5CC3">
        <w:rPr>
          <w:rFonts w:ascii="Arial" w:hAnsi="Arial" w:cs="Arial"/>
          <w:b/>
          <w:bCs/>
        </w:rPr>
        <w:t>Table 1 – Indicators of 1-year and 3-year survival depending on the localization of the tumor process in the main and the comparison group (n = 180)</w:t>
      </w:r>
    </w:p>
    <w:p w14:paraId="2E6F9D8C" w14:textId="77777777" w:rsidR="00ED5CC3" w:rsidRDefault="00ED5CC3" w:rsidP="00ED5CC3">
      <w:pPr>
        <w:pStyle w:val="Body"/>
        <w:spacing w:after="0"/>
        <w:rPr>
          <w:rFonts w:ascii="Arial" w:hAnsi="Arial" w:cs="Arial"/>
          <w:b/>
          <w:bCs/>
        </w:rPr>
      </w:pPr>
    </w:p>
    <w:tbl>
      <w:tblPr>
        <w:tblStyle w:val="TableGrid"/>
        <w:tblW w:w="9837" w:type="dxa"/>
        <w:tblLook w:val="04A0" w:firstRow="1" w:lastRow="0" w:firstColumn="1" w:lastColumn="0" w:noHBand="0" w:noVBand="1"/>
      </w:tblPr>
      <w:tblGrid>
        <w:gridCol w:w="1050"/>
        <w:gridCol w:w="2090"/>
        <w:gridCol w:w="2597"/>
        <w:gridCol w:w="2050"/>
        <w:gridCol w:w="2050"/>
      </w:tblGrid>
      <w:tr w:rsidR="00ED5CC3" w:rsidRPr="00231E13" w14:paraId="4EFAC0D1" w14:textId="77777777" w:rsidTr="00903512">
        <w:trPr>
          <w:trHeight w:val="379"/>
        </w:trPr>
        <w:tc>
          <w:tcPr>
            <w:tcW w:w="1050" w:type="dxa"/>
          </w:tcPr>
          <w:p w14:paraId="08018175"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no. of p. </w:t>
            </w:r>
          </w:p>
        </w:tc>
        <w:tc>
          <w:tcPr>
            <w:tcW w:w="2090" w:type="dxa"/>
          </w:tcPr>
          <w:p w14:paraId="3CD01802"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Localization of tumor </w:t>
            </w:r>
          </w:p>
        </w:tc>
        <w:tc>
          <w:tcPr>
            <w:tcW w:w="2597" w:type="dxa"/>
          </w:tcPr>
          <w:p w14:paraId="1635C88A"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Indicator </w:t>
            </w:r>
          </w:p>
        </w:tc>
        <w:tc>
          <w:tcPr>
            <w:tcW w:w="2050" w:type="dxa"/>
          </w:tcPr>
          <w:p w14:paraId="285B185F"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Group comparison </w:t>
            </w:r>
          </w:p>
        </w:tc>
        <w:tc>
          <w:tcPr>
            <w:tcW w:w="2050" w:type="dxa"/>
          </w:tcPr>
          <w:p w14:paraId="49C2BDDE"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The main group </w:t>
            </w:r>
          </w:p>
        </w:tc>
      </w:tr>
      <w:tr w:rsidR="00ED5CC3" w:rsidRPr="00231E13" w14:paraId="08698F79" w14:textId="77777777" w:rsidTr="00903512">
        <w:trPr>
          <w:trHeight w:val="363"/>
        </w:trPr>
        <w:tc>
          <w:tcPr>
            <w:tcW w:w="1050" w:type="dxa"/>
          </w:tcPr>
          <w:p w14:paraId="04C40399"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1.</w:t>
            </w:r>
          </w:p>
        </w:tc>
        <w:tc>
          <w:tcPr>
            <w:tcW w:w="2090" w:type="dxa"/>
            <w:vMerge w:val="restart"/>
          </w:tcPr>
          <w:p w14:paraId="6ECAA6BF"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Left sections of the colon </w:t>
            </w:r>
          </w:p>
        </w:tc>
        <w:tc>
          <w:tcPr>
            <w:tcW w:w="2597" w:type="dxa"/>
          </w:tcPr>
          <w:p w14:paraId="6F6BE6FE"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1-year survival </w:t>
            </w:r>
          </w:p>
        </w:tc>
        <w:tc>
          <w:tcPr>
            <w:tcW w:w="2050" w:type="dxa"/>
          </w:tcPr>
          <w:p w14:paraId="198996FC"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60,43 ± 7,12 %</w:t>
            </w:r>
          </w:p>
        </w:tc>
        <w:tc>
          <w:tcPr>
            <w:tcW w:w="2050" w:type="dxa"/>
          </w:tcPr>
          <w:p w14:paraId="4E720D00"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72,83 ± 14,38 %</w:t>
            </w:r>
          </w:p>
        </w:tc>
      </w:tr>
      <w:tr w:rsidR="00ED5CC3" w:rsidRPr="00231E13" w14:paraId="407E5F4B" w14:textId="77777777" w:rsidTr="00903512">
        <w:trPr>
          <w:trHeight w:val="379"/>
        </w:trPr>
        <w:tc>
          <w:tcPr>
            <w:tcW w:w="1050" w:type="dxa"/>
          </w:tcPr>
          <w:p w14:paraId="54B1B999"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2.</w:t>
            </w:r>
          </w:p>
        </w:tc>
        <w:tc>
          <w:tcPr>
            <w:tcW w:w="2090" w:type="dxa"/>
            <w:vMerge/>
          </w:tcPr>
          <w:p w14:paraId="4129F59A" w14:textId="77777777" w:rsidR="00ED5CC3" w:rsidRPr="00231E13" w:rsidRDefault="00ED5CC3" w:rsidP="00903512">
            <w:pPr>
              <w:spacing w:line="276" w:lineRule="auto"/>
              <w:jc w:val="both"/>
              <w:rPr>
                <w:rFonts w:ascii="Arial" w:hAnsi="Arial" w:cs="Arial"/>
                <w:sz w:val="20"/>
                <w:szCs w:val="20"/>
              </w:rPr>
            </w:pPr>
          </w:p>
        </w:tc>
        <w:tc>
          <w:tcPr>
            <w:tcW w:w="2597" w:type="dxa"/>
          </w:tcPr>
          <w:p w14:paraId="01BFF8AE"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3-year survival </w:t>
            </w:r>
          </w:p>
        </w:tc>
        <w:tc>
          <w:tcPr>
            <w:tcW w:w="2050" w:type="dxa"/>
          </w:tcPr>
          <w:p w14:paraId="3CB3D59F"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39,62 ± 7,15 %</w:t>
            </w:r>
          </w:p>
        </w:tc>
        <w:tc>
          <w:tcPr>
            <w:tcW w:w="2050" w:type="dxa"/>
          </w:tcPr>
          <w:p w14:paraId="5A170742"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52,73 ± 11,71 %</w:t>
            </w:r>
          </w:p>
        </w:tc>
      </w:tr>
      <w:tr w:rsidR="00ED5CC3" w:rsidRPr="00231E13" w14:paraId="303B02F1" w14:textId="77777777" w:rsidTr="00903512">
        <w:trPr>
          <w:trHeight w:val="379"/>
        </w:trPr>
        <w:tc>
          <w:tcPr>
            <w:tcW w:w="1050" w:type="dxa"/>
          </w:tcPr>
          <w:p w14:paraId="4B1AA4CD"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3.</w:t>
            </w:r>
          </w:p>
        </w:tc>
        <w:tc>
          <w:tcPr>
            <w:tcW w:w="2090" w:type="dxa"/>
            <w:vMerge w:val="restart"/>
          </w:tcPr>
          <w:p w14:paraId="58311D2B"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Right sections of the colon </w:t>
            </w:r>
          </w:p>
        </w:tc>
        <w:tc>
          <w:tcPr>
            <w:tcW w:w="2597" w:type="dxa"/>
          </w:tcPr>
          <w:p w14:paraId="6F38EC82"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1-year survival </w:t>
            </w:r>
          </w:p>
        </w:tc>
        <w:tc>
          <w:tcPr>
            <w:tcW w:w="2050" w:type="dxa"/>
          </w:tcPr>
          <w:p w14:paraId="75D63B06"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43,51 ± 10,32 %</w:t>
            </w:r>
          </w:p>
        </w:tc>
        <w:tc>
          <w:tcPr>
            <w:tcW w:w="2050" w:type="dxa"/>
          </w:tcPr>
          <w:p w14:paraId="36A34280"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49,72 ± 12,47 %</w:t>
            </w:r>
          </w:p>
        </w:tc>
      </w:tr>
      <w:tr w:rsidR="00ED5CC3" w:rsidRPr="00231E13" w14:paraId="3758D3D9" w14:textId="77777777" w:rsidTr="00903512">
        <w:trPr>
          <w:trHeight w:val="363"/>
        </w:trPr>
        <w:tc>
          <w:tcPr>
            <w:tcW w:w="1050" w:type="dxa"/>
          </w:tcPr>
          <w:p w14:paraId="62EC943E"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4.</w:t>
            </w:r>
          </w:p>
        </w:tc>
        <w:tc>
          <w:tcPr>
            <w:tcW w:w="2090" w:type="dxa"/>
            <w:vMerge/>
          </w:tcPr>
          <w:p w14:paraId="28FFED4F" w14:textId="77777777" w:rsidR="00ED5CC3" w:rsidRPr="00231E13" w:rsidRDefault="00ED5CC3" w:rsidP="00903512">
            <w:pPr>
              <w:spacing w:line="276" w:lineRule="auto"/>
              <w:jc w:val="both"/>
              <w:rPr>
                <w:rFonts w:ascii="Arial" w:hAnsi="Arial" w:cs="Arial"/>
                <w:sz w:val="20"/>
                <w:szCs w:val="20"/>
              </w:rPr>
            </w:pPr>
          </w:p>
        </w:tc>
        <w:tc>
          <w:tcPr>
            <w:tcW w:w="2597" w:type="dxa"/>
          </w:tcPr>
          <w:p w14:paraId="7D3FC0EB"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 xml:space="preserve">3-year survival </w:t>
            </w:r>
          </w:p>
        </w:tc>
        <w:tc>
          <w:tcPr>
            <w:tcW w:w="2050" w:type="dxa"/>
          </w:tcPr>
          <w:p w14:paraId="11D8F3AE"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30,39 ± 9,58 %</w:t>
            </w:r>
          </w:p>
        </w:tc>
        <w:tc>
          <w:tcPr>
            <w:tcW w:w="2050" w:type="dxa"/>
          </w:tcPr>
          <w:p w14:paraId="4B091AE0" w14:textId="77777777" w:rsidR="00ED5CC3" w:rsidRPr="00231E13" w:rsidRDefault="00ED5CC3" w:rsidP="00903512">
            <w:pPr>
              <w:spacing w:line="276" w:lineRule="auto"/>
              <w:jc w:val="both"/>
              <w:rPr>
                <w:rFonts w:ascii="Arial" w:hAnsi="Arial" w:cs="Arial"/>
                <w:sz w:val="20"/>
                <w:szCs w:val="20"/>
              </w:rPr>
            </w:pPr>
            <w:r w:rsidRPr="00231E13">
              <w:rPr>
                <w:rFonts w:ascii="Arial" w:hAnsi="Arial" w:cs="Arial"/>
                <w:sz w:val="20"/>
                <w:szCs w:val="20"/>
              </w:rPr>
              <w:t>38,65 ± 9,85 %</w:t>
            </w:r>
          </w:p>
        </w:tc>
      </w:tr>
    </w:tbl>
    <w:p w14:paraId="2B652C10" w14:textId="77777777" w:rsidR="00C143A2" w:rsidRPr="00ED5CC3" w:rsidRDefault="00C143A2" w:rsidP="00C143A2">
      <w:pPr>
        <w:pStyle w:val="Body"/>
        <w:rPr>
          <w:rFonts w:ascii="Arial" w:hAnsi="Arial" w:cs="Arial"/>
        </w:rPr>
      </w:pPr>
      <w:r w:rsidRPr="00ED5CC3">
        <w:rPr>
          <w:rFonts w:ascii="Arial" w:hAnsi="Arial" w:cs="Arial"/>
        </w:rPr>
        <w:t>Overall (</w:t>
      </w:r>
      <w:proofErr w:type="spellStart"/>
      <w:r w:rsidRPr="00ED5CC3">
        <w:rPr>
          <w:rFonts w:ascii="Arial" w:hAnsi="Arial" w:cs="Arial"/>
        </w:rPr>
        <w:t>commulative</w:t>
      </w:r>
      <w:proofErr w:type="spellEnd"/>
      <w:r w:rsidRPr="00ED5CC3">
        <w:rPr>
          <w:rFonts w:ascii="Arial" w:hAnsi="Arial" w:cs="Arial"/>
        </w:rPr>
        <w:t>) survival is one of the main criteria for evaluating the effectiveness of treatment of patients with oncological diseases of various localizations [7].</w:t>
      </w:r>
    </w:p>
    <w:p w14:paraId="635838CD" w14:textId="77777777" w:rsidR="00C143A2" w:rsidRPr="00ED5CC3" w:rsidRDefault="00C143A2" w:rsidP="00C143A2">
      <w:pPr>
        <w:pStyle w:val="Body"/>
        <w:rPr>
          <w:rFonts w:ascii="Arial" w:hAnsi="Arial" w:cs="Arial"/>
        </w:rPr>
      </w:pPr>
      <w:r w:rsidRPr="00ED5CC3">
        <w:rPr>
          <w:rFonts w:ascii="Arial" w:hAnsi="Arial" w:cs="Arial"/>
        </w:rPr>
        <w:t>Numerous studies indicate that malignant neoplasms of the colon are quite effectively amenable to complex treatment in the early stages of the disease [8, 9].</w:t>
      </w:r>
    </w:p>
    <w:p w14:paraId="4A880C41" w14:textId="77777777" w:rsidR="00C143A2" w:rsidRPr="00ED5CC3" w:rsidRDefault="00C143A2" w:rsidP="00C143A2">
      <w:pPr>
        <w:pStyle w:val="Body"/>
        <w:rPr>
          <w:rFonts w:ascii="Arial" w:hAnsi="Arial" w:cs="Arial"/>
        </w:rPr>
      </w:pPr>
      <w:r w:rsidRPr="00ED5CC3">
        <w:rPr>
          <w:rFonts w:ascii="Arial" w:hAnsi="Arial" w:cs="Arial"/>
        </w:rPr>
        <w:t>Stage II survival has quite strong results - the 3-year rate reaches 55.0 – 80.0 %, the 5-year – 50.0 – 60.0 % of patients [10]. For stages III and IV, 3-year survival rates are within 45.0 – 55.0 % and 10.0 – 15.0 % respectively, 5-year-old – 35.0 – 45.0 % and 5.0 – 9.0 % [11].</w:t>
      </w:r>
    </w:p>
    <w:p w14:paraId="604AF626" w14:textId="77777777" w:rsidR="00C143A2" w:rsidRPr="00ED5CC3" w:rsidRDefault="00C143A2" w:rsidP="00C143A2">
      <w:pPr>
        <w:pStyle w:val="Body"/>
        <w:rPr>
          <w:rFonts w:ascii="Arial" w:hAnsi="Arial" w:cs="Arial"/>
        </w:rPr>
      </w:pPr>
      <w:r w:rsidRPr="00ED5CC3">
        <w:rPr>
          <w:rFonts w:ascii="Arial" w:hAnsi="Arial" w:cs="Arial"/>
        </w:rPr>
        <w:t xml:space="preserve">The obtained results of our study correlate with the authors' data on survival: in patients of the II stage, the 3-year survival rate was at the </w:t>
      </w:r>
      <w:proofErr w:type="gramStart"/>
      <w:r w:rsidRPr="00ED5CC3">
        <w:rPr>
          <w:rFonts w:ascii="Arial" w:hAnsi="Arial" w:cs="Arial"/>
        </w:rPr>
        <w:t>level  53.84</w:t>
      </w:r>
      <w:proofErr w:type="gramEnd"/>
      <w:r w:rsidRPr="00ED5CC3">
        <w:rPr>
          <w:rFonts w:ascii="Arial" w:hAnsi="Arial" w:cs="Arial"/>
        </w:rPr>
        <w:t xml:space="preserve"> ± 13.82 % in the comparison group and 74.28 ± 15.37 % in the main group, in stage III 50.02 ± 8.84 % and 59.73 ± 9.68 % respectively, in stage IV 8.33 ± 2.62 % in the comparison group and 11.57 ± 3.14 % in the main group.</w:t>
      </w:r>
    </w:p>
    <w:p w14:paraId="36D1F628" w14:textId="77777777" w:rsidR="00C143A2" w:rsidRPr="00ED5CC3" w:rsidRDefault="00C143A2" w:rsidP="00C143A2">
      <w:pPr>
        <w:pStyle w:val="Body"/>
        <w:rPr>
          <w:rFonts w:ascii="Arial" w:hAnsi="Arial" w:cs="Arial"/>
        </w:rPr>
      </w:pPr>
      <w:r w:rsidRPr="00ED5CC3">
        <w:rPr>
          <w:rFonts w:ascii="Arial" w:hAnsi="Arial" w:cs="Arial"/>
        </w:rPr>
        <w:t xml:space="preserve">Also, many authors point to a more favorable course of </w:t>
      </w:r>
      <w:proofErr w:type="spellStart"/>
      <w:r w:rsidRPr="00ED5CC3">
        <w:rPr>
          <w:rFonts w:ascii="Arial" w:hAnsi="Arial" w:cs="Arial"/>
        </w:rPr>
        <w:t>oncopathology</w:t>
      </w:r>
      <w:proofErr w:type="spellEnd"/>
      <w:r w:rsidRPr="00ED5CC3">
        <w:rPr>
          <w:rFonts w:ascii="Arial" w:hAnsi="Arial" w:cs="Arial"/>
        </w:rPr>
        <w:t xml:space="preserve"> in female patients, which was also found in our study: among male patients, the 3-year survival rate was 31.44 ± 7.93 % in the comparison group and 43.86 % ± 11.39 % in the main group, among women - 44.42 ± 8.32 % and 53.18 ± 11.32 %, respectively [12].</w:t>
      </w:r>
    </w:p>
    <w:p w14:paraId="2FDD3B04" w14:textId="77777777" w:rsidR="00C143A2" w:rsidRPr="00ED5CC3" w:rsidRDefault="00C143A2" w:rsidP="00C143A2">
      <w:pPr>
        <w:pStyle w:val="Body"/>
        <w:rPr>
          <w:rFonts w:ascii="Arial" w:hAnsi="Arial" w:cs="Arial"/>
        </w:rPr>
      </w:pPr>
      <w:r w:rsidRPr="00ED5CC3">
        <w:rPr>
          <w:rFonts w:ascii="Arial" w:hAnsi="Arial" w:cs="Arial"/>
        </w:rPr>
        <w:t>Localization of the tumor process is also a factor affecting the survival results of cancer patients. Many researchers noted that the tumor process of the right colon has a more unfavorable course compared to the left colon, which was also reflected in our work - the 3-year survival rate for tumors of the left half of the colon was 39.62 ± 7.15 % in the comparison group and 52.73 ± 11.71 % in the main group, for the right - 30.39 ± 9.58 % and 38,65 ± 9,85 % respectively [13].</w:t>
      </w:r>
    </w:p>
    <w:p w14:paraId="552DE42A" w14:textId="77777777" w:rsidR="00C143A2" w:rsidRPr="00ED5CC3" w:rsidRDefault="00C143A2" w:rsidP="00C143A2">
      <w:pPr>
        <w:pStyle w:val="Body"/>
        <w:rPr>
          <w:rFonts w:ascii="Arial" w:hAnsi="Arial" w:cs="Arial"/>
        </w:rPr>
      </w:pPr>
      <w:r w:rsidRPr="00ED5CC3">
        <w:rPr>
          <w:rFonts w:ascii="Arial" w:hAnsi="Arial" w:cs="Arial"/>
        </w:rPr>
        <w:t xml:space="preserve">A number of authors note that the presence of a complicated course of colon </w:t>
      </w:r>
      <w:proofErr w:type="spellStart"/>
      <w:r w:rsidRPr="00ED5CC3">
        <w:rPr>
          <w:rFonts w:ascii="Arial" w:hAnsi="Arial" w:cs="Arial"/>
        </w:rPr>
        <w:t>oncopathology</w:t>
      </w:r>
      <w:proofErr w:type="spellEnd"/>
      <w:r w:rsidRPr="00ED5CC3">
        <w:rPr>
          <w:rFonts w:ascii="Arial" w:hAnsi="Arial" w:cs="Arial"/>
        </w:rPr>
        <w:t xml:space="preserve"> also affects the survival of cancer patients, reducing it. </w:t>
      </w:r>
    </w:p>
    <w:p w14:paraId="5C9705AF" w14:textId="77777777" w:rsidR="00C143A2" w:rsidRDefault="00C143A2" w:rsidP="00C143A2">
      <w:pPr>
        <w:pStyle w:val="Body"/>
        <w:spacing w:after="0"/>
        <w:rPr>
          <w:rFonts w:ascii="Arial" w:hAnsi="Arial" w:cs="Arial"/>
        </w:rPr>
      </w:pPr>
      <w:r w:rsidRPr="00ED5CC3">
        <w:rPr>
          <w:rFonts w:ascii="Arial" w:hAnsi="Arial" w:cs="Arial"/>
        </w:rPr>
        <w:t>This is because the complication of malignant diseases requires performing urgent and urgent surgical interventions that have a high rate of perioperative mortality, which can reach 20.0 – 25.0 %. Mortality in the early postoperative period reduces overall survival rates of colon cancer patients as a whole [14, 15].</w:t>
      </w:r>
    </w:p>
    <w:p w14:paraId="21C79456" w14:textId="77777777" w:rsidR="00ED5CC3" w:rsidRPr="00ED5CC3" w:rsidRDefault="00ED5CC3" w:rsidP="00ED5CC3">
      <w:pPr>
        <w:pStyle w:val="Body"/>
        <w:spacing w:after="0"/>
        <w:rPr>
          <w:rFonts w:ascii="Arial" w:hAnsi="Arial" w:cs="Arial"/>
          <w:b/>
          <w:bCs/>
        </w:rPr>
      </w:pPr>
    </w:p>
    <w:p w14:paraId="2CD00816" w14:textId="77777777" w:rsidR="00790ADA" w:rsidRPr="00FB3A86" w:rsidRDefault="00790ADA" w:rsidP="00441B6F">
      <w:pPr>
        <w:pStyle w:val="Body"/>
        <w:spacing w:after="0"/>
        <w:rPr>
          <w:rFonts w:ascii="Arial" w:hAnsi="Arial" w:cs="Arial"/>
        </w:rPr>
      </w:pPr>
    </w:p>
    <w:p w14:paraId="43D3012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E0ABE9" w14:textId="77777777" w:rsidR="00790ADA" w:rsidRPr="00FB3A86" w:rsidRDefault="00790ADA" w:rsidP="00441B6F">
      <w:pPr>
        <w:pStyle w:val="ConcHead"/>
        <w:spacing w:after="0"/>
        <w:jc w:val="both"/>
        <w:rPr>
          <w:rFonts w:ascii="Arial" w:hAnsi="Arial" w:cs="Arial"/>
        </w:rPr>
      </w:pPr>
    </w:p>
    <w:p w14:paraId="26E27ECE" w14:textId="77777777" w:rsidR="00C143A2" w:rsidRPr="00C143A2" w:rsidRDefault="00C143A2" w:rsidP="00C143A2">
      <w:pPr>
        <w:pStyle w:val="Body"/>
        <w:rPr>
          <w:rFonts w:ascii="Arial" w:hAnsi="Arial" w:cs="Arial"/>
        </w:rPr>
      </w:pPr>
      <w:r w:rsidRPr="00C143A2">
        <w:rPr>
          <w:rFonts w:ascii="Arial" w:hAnsi="Arial" w:cs="Arial"/>
        </w:rPr>
        <w:t>1. The rate of overall 1-year survival in patients with complicated forms of ROK in the comparison group was 56.32 ± 5.91 %, in the main group – 71.16 ± 7.92 % (p = 0.0341); 3-year-old – 38.04 ± 5.83 % and 49.45 ± 9.78 %, respectively (p = 0.0294), indicating significantly better long-term treatment outcomes for this category of patients using a comprehensive perioperative management strategy for patients with complicated forms of colon cancer.</w:t>
      </w:r>
    </w:p>
    <w:p w14:paraId="5A27795B" w14:textId="77777777" w:rsidR="00C143A2" w:rsidRPr="00C143A2" w:rsidRDefault="00C143A2" w:rsidP="00C143A2">
      <w:pPr>
        <w:pStyle w:val="Body"/>
        <w:rPr>
          <w:rFonts w:ascii="Arial" w:hAnsi="Arial" w:cs="Arial"/>
        </w:rPr>
      </w:pPr>
      <w:r w:rsidRPr="00C143A2">
        <w:rPr>
          <w:rFonts w:ascii="Arial" w:hAnsi="Arial" w:cs="Arial"/>
        </w:rPr>
        <w:t xml:space="preserve">2.  A clear statistical dependence of survival rates with stage of cancer was noted: in patients with stage II of the oncological process, the level in patients of stage II 3-year survival was at the level of 53.84 ± 13.82 % in the comparison group and </w:t>
      </w:r>
      <w:r w:rsidRPr="00C143A2">
        <w:rPr>
          <w:rFonts w:ascii="Arial" w:hAnsi="Arial" w:cs="Arial"/>
        </w:rPr>
        <w:lastRenderedPageBreak/>
        <w:t>74.28 ± 15.37 % - in the main group, in stage III - 50.02 ± 8.84 % and 59.73 ± 9.68 % respectively, in stage IV - 8.33 ± 2.62 % in the comparison group and 11.57 ± 3.14 % - in the main group.</w:t>
      </w:r>
    </w:p>
    <w:p w14:paraId="37676DB4" w14:textId="77777777" w:rsidR="00C143A2" w:rsidRPr="00C143A2" w:rsidRDefault="00C143A2" w:rsidP="00C143A2">
      <w:pPr>
        <w:pStyle w:val="Body"/>
        <w:rPr>
          <w:rFonts w:ascii="Arial" w:hAnsi="Arial" w:cs="Arial"/>
        </w:rPr>
      </w:pPr>
      <w:r w:rsidRPr="00C143A2">
        <w:rPr>
          <w:rFonts w:ascii="Arial" w:hAnsi="Arial" w:cs="Arial"/>
        </w:rPr>
        <w:t>3. Gender-specific analysis showed that women had better overall 1-year and 3-year survival results in both study groups.</w:t>
      </w:r>
    </w:p>
    <w:p w14:paraId="55327134" w14:textId="4020509C" w:rsidR="00315186" w:rsidRPr="00315186" w:rsidRDefault="00C143A2" w:rsidP="00C143A2">
      <w:pPr>
        <w:pStyle w:val="Body"/>
        <w:spacing w:after="0"/>
      </w:pPr>
      <w:r w:rsidRPr="00C143A2">
        <w:rPr>
          <w:rFonts w:ascii="Arial" w:hAnsi="Arial" w:cs="Arial"/>
        </w:rPr>
        <w:t>4. Survival analysis in the main and comparison group by tumor location indicates better indicators in the case of malignant diseases of the left parts of the colon above the right parts.</w:t>
      </w:r>
    </w:p>
    <w:p w14:paraId="0B2DCE0E" w14:textId="77777777" w:rsidR="00315186" w:rsidRPr="00315186" w:rsidRDefault="00315186" w:rsidP="00441B6F"/>
    <w:p w14:paraId="7746B3B8"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E69825E" w14:textId="77777777" w:rsidR="00860000" w:rsidRPr="00786D36" w:rsidRDefault="00860000" w:rsidP="00441B6F">
      <w:pPr>
        <w:pStyle w:val="ReferHead"/>
        <w:spacing w:after="0"/>
        <w:jc w:val="both"/>
        <w:rPr>
          <w:rFonts w:ascii="Arial" w:hAnsi="Arial" w:cs="Arial"/>
        </w:rPr>
      </w:pPr>
    </w:p>
    <w:p w14:paraId="098586CC" w14:textId="587C53E3" w:rsidR="00371FB6" w:rsidRDefault="00C143A2" w:rsidP="00441B6F">
      <w:pPr>
        <w:pStyle w:val="ReferHead"/>
        <w:spacing w:after="0"/>
        <w:jc w:val="both"/>
        <w:rPr>
          <w:rFonts w:ascii="Arial" w:hAnsi="Arial" w:cs="Arial"/>
          <w:b w:val="0"/>
          <w:caps w:val="0"/>
          <w:sz w:val="20"/>
        </w:rPr>
      </w:pPr>
      <w:r w:rsidRPr="00C143A2">
        <w:rPr>
          <w:rFonts w:ascii="Arial" w:hAnsi="Arial" w:cs="Arial"/>
          <w:b w:val="0"/>
          <w:caps w:val="0"/>
          <w:sz w:val="20"/>
        </w:rPr>
        <w:t>The authors declare that there is no conflict of interest.</w:t>
      </w:r>
    </w:p>
    <w:p w14:paraId="120C28FB" w14:textId="77777777" w:rsidR="00C143A2" w:rsidRDefault="00C143A2" w:rsidP="00441B6F">
      <w:pPr>
        <w:pStyle w:val="ReferHead"/>
        <w:spacing w:after="0"/>
        <w:jc w:val="both"/>
        <w:rPr>
          <w:rFonts w:ascii="Arial" w:hAnsi="Arial" w:cs="Arial"/>
          <w:b w:val="0"/>
          <w:caps w:val="0"/>
          <w:sz w:val="20"/>
        </w:rPr>
      </w:pPr>
    </w:p>
    <w:p w14:paraId="0D4513C1" w14:textId="22A0158D"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E138AF0" w14:textId="77777777" w:rsidR="002B685A" w:rsidRPr="002B685A" w:rsidRDefault="002B685A" w:rsidP="00441B6F">
      <w:pPr>
        <w:pStyle w:val="ReferHead"/>
        <w:spacing w:after="0"/>
        <w:jc w:val="both"/>
        <w:rPr>
          <w:rFonts w:ascii="Arial" w:hAnsi="Arial" w:cs="Arial"/>
          <w:bCs/>
        </w:rPr>
      </w:pPr>
    </w:p>
    <w:p w14:paraId="7A6CE1A9" w14:textId="6033FFE2" w:rsidR="001A29D8" w:rsidRPr="00C143A2" w:rsidRDefault="001A29D8" w:rsidP="00441B6F">
      <w:pPr>
        <w:pStyle w:val="ReferHead"/>
        <w:spacing w:after="0"/>
        <w:jc w:val="both"/>
        <w:rPr>
          <w:rFonts w:ascii="Arial" w:hAnsi="Arial" w:cs="Arial"/>
          <w:b w:val="0"/>
          <w:caps w:val="0"/>
          <w:sz w:val="20"/>
        </w:rPr>
      </w:pPr>
      <w:r w:rsidRPr="00C143A2">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r w:rsidR="00C143A2" w:rsidRPr="00C143A2">
        <w:rPr>
          <w:rFonts w:ascii="Arial" w:hAnsi="Arial" w:cs="Arial"/>
          <w:b w:val="0"/>
          <w:caps w:val="0"/>
          <w:sz w:val="20"/>
        </w:rPr>
        <w:t>.</w:t>
      </w:r>
    </w:p>
    <w:p w14:paraId="3E1A07FB" w14:textId="77777777" w:rsidR="001A29D8" w:rsidRDefault="001A29D8" w:rsidP="00441B6F">
      <w:pPr>
        <w:pStyle w:val="ReferHead"/>
        <w:spacing w:after="0"/>
        <w:jc w:val="both"/>
        <w:rPr>
          <w:rFonts w:ascii="Arial" w:hAnsi="Arial" w:cs="Arial"/>
          <w:b w:val="0"/>
          <w:caps w:val="0"/>
          <w:sz w:val="20"/>
        </w:rPr>
      </w:pPr>
    </w:p>
    <w:p w14:paraId="07B0FE21" w14:textId="77777777" w:rsidR="005C784C" w:rsidRDefault="005C784C" w:rsidP="00441B6F">
      <w:pPr>
        <w:pStyle w:val="ReferHead"/>
        <w:spacing w:after="0"/>
        <w:jc w:val="both"/>
        <w:rPr>
          <w:rFonts w:ascii="Arial" w:hAnsi="Arial" w:cs="Arial"/>
          <w:b w:val="0"/>
          <w:caps w:val="0"/>
          <w:sz w:val="20"/>
        </w:rPr>
      </w:pPr>
    </w:p>
    <w:p w14:paraId="32089713" w14:textId="77777777" w:rsidR="00860000" w:rsidRDefault="00860000" w:rsidP="00441B6F">
      <w:pPr>
        <w:pStyle w:val="ReferHead"/>
        <w:spacing w:after="0"/>
        <w:jc w:val="both"/>
        <w:rPr>
          <w:rFonts w:ascii="Arial" w:hAnsi="Arial" w:cs="Arial"/>
        </w:rPr>
      </w:pPr>
    </w:p>
    <w:p w14:paraId="0E98769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0A4BA9" w14:textId="77777777" w:rsidR="00790ADA" w:rsidRPr="00FB3A86" w:rsidRDefault="00790ADA" w:rsidP="00441B6F">
      <w:pPr>
        <w:pStyle w:val="ReferHead"/>
        <w:spacing w:after="0"/>
        <w:jc w:val="both"/>
        <w:rPr>
          <w:rFonts w:ascii="Arial" w:hAnsi="Arial" w:cs="Arial"/>
        </w:rPr>
      </w:pPr>
    </w:p>
    <w:p w14:paraId="7D114917" w14:textId="77777777" w:rsidR="00C143A2" w:rsidRPr="00C143A2" w:rsidRDefault="00C143A2" w:rsidP="00C143A2">
      <w:pPr>
        <w:pStyle w:val="Appendix"/>
        <w:jc w:val="both"/>
        <w:rPr>
          <w:b w:val="0"/>
          <w:caps w:val="0"/>
          <w:sz w:val="20"/>
        </w:rPr>
      </w:pPr>
      <w:r w:rsidRPr="00C143A2">
        <w:rPr>
          <w:b w:val="0"/>
          <w:caps w:val="0"/>
          <w:sz w:val="20"/>
        </w:rPr>
        <w:t xml:space="preserve">1. </w:t>
      </w:r>
      <w:proofErr w:type="spellStart"/>
      <w:r w:rsidRPr="00C143A2">
        <w:rPr>
          <w:b w:val="0"/>
          <w:caps w:val="0"/>
          <w:sz w:val="20"/>
        </w:rPr>
        <w:t>Yakovtsova</w:t>
      </w:r>
      <w:proofErr w:type="spellEnd"/>
      <w:r w:rsidRPr="00C143A2">
        <w:rPr>
          <w:b w:val="0"/>
          <w:caps w:val="0"/>
          <w:sz w:val="20"/>
        </w:rPr>
        <w:t xml:space="preserve"> II, </w:t>
      </w:r>
      <w:proofErr w:type="spellStart"/>
      <w:r w:rsidRPr="00C143A2">
        <w:rPr>
          <w:b w:val="0"/>
          <w:caps w:val="0"/>
          <w:sz w:val="20"/>
        </w:rPr>
        <w:t>Ivakhno</w:t>
      </w:r>
      <w:proofErr w:type="spellEnd"/>
      <w:r w:rsidRPr="00C143A2">
        <w:rPr>
          <w:b w:val="0"/>
          <w:caps w:val="0"/>
          <w:sz w:val="20"/>
        </w:rPr>
        <w:t xml:space="preserve"> IV., </w:t>
      </w:r>
      <w:proofErr w:type="spellStart"/>
      <w:r w:rsidRPr="00C143A2">
        <w:rPr>
          <w:b w:val="0"/>
          <w:caps w:val="0"/>
          <w:sz w:val="20"/>
        </w:rPr>
        <w:t>Yakymenko</w:t>
      </w:r>
      <w:proofErr w:type="spellEnd"/>
      <w:r w:rsidRPr="00C143A2">
        <w:rPr>
          <w:b w:val="0"/>
          <w:caps w:val="0"/>
          <w:sz w:val="20"/>
        </w:rPr>
        <w:t xml:space="preserve"> AS, </w:t>
      </w:r>
      <w:proofErr w:type="spellStart"/>
      <w:r w:rsidRPr="00C143A2">
        <w:rPr>
          <w:b w:val="0"/>
          <w:caps w:val="0"/>
          <w:sz w:val="20"/>
        </w:rPr>
        <w:t>Dolgaia</w:t>
      </w:r>
      <w:proofErr w:type="spellEnd"/>
      <w:r w:rsidRPr="00C143A2">
        <w:rPr>
          <w:b w:val="0"/>
          <w:caps w:val="0"/>
          <w:sz w:val="20"/>
        </w:rPr>
        <w:t xml:space="preserve"> OV, </w:t>
      </w:r>
      <w:proofErr w:type="spellStart"/>
      <w:r w:rsidRPr="00C143A2">
        <w:rPr>
          <w:b w:val="0"/>
          <w:caps w:val="0"/>
          <w:sz w:val="20"/>
        </w:rPr>
        <w:t>Danylyuk</w:t>
      </w:r>
      <w:proofErr w:type="spellEnd"/>
      <w:r w:rsidRPr="00C143A2">
        <w:rPr>
          <w:b w:val="0"/>
          <w:caps w:val="0"/>
          <w:sz w:val="20"/>
        </w:rPr>
        <w:t xml:space="preserve"> SV, </w:t>
      </w:r>
      <w:proofErr w:type="spellStart"/>
      <w:r w:rsidRPr="00C143A2">
        <w:rPr>
          <w:b w:val="0"/>
          <w:caps w:val="0"/>
          <w:sz w:val="20"/>
        </w:rPr>
        <w:t>Chertenko</w:t>
      </w:r>
      <w:proofErr w:type="spellEnd"/>
      <w:r w:rsidRPr="00C143A2">
        <w:rPr>
          <w:b w:val="0"/>
          <w:caps w:val="0"/>
          <w:sz w:val="20"/>
        </w:rPr>
        <w:t xml:space="preserve"> TM. Analysis of mortality of patients with colorectal cancer in multi-specialty hospitals in </w:t>
      </w:r>
      <w:proofErr w:type="spellStart"/>
      <w:r w:rsidRPr="00C143A2">
        <w:rPr>
          <w:b w:val="0"/>
          <w:caps w:val="0"/>
          <w:sz w:val="20"/>
        </w:rPr>
        <w:t>Kharkiv</w:t>
      </w:r>
      <w:proofErr w:type="spellEnd"/>
      <w:r w:rsidRPr="00C143A2">
        <w:rPr>
          <w:b w:val="0"/>
          <w:caps w:val="0"/>
          <w:sz w:val="20"/>
        </w:rPr>
        <w:t>. Clinical Oncology. 2020 Oct 10;3-4(39-40):1-4. https://doi.org/10.32471/clinicaloncology.2663-466X.39-3.27380</w:t>
      </w:r>
    </w:p>
    <w:p w14:paraId="1B2DE2CE" w14:textId="77777777" w:rsidR="00C143A2" w:rsidRPr="00C143A2" w:rsidRDefault="00C143A2" w:rsidP="00C143A2">
      <w:pPr>
        <w:pStyle w:val="Appendix"/>
        <w:jc w:val="both"/>
        <w:rPr>
          <w:b w:val="0"/>
          <w:caps w:val="0"/>
          <w:sz w:val="20"/>
        </w:rPr>
      </w:pPr>
      <w:r w:rsidRPr="00C143A2">
        <w:rPr>
          <w:b w:val="0"/>
          <w:caps w:val="0"/>
          <w:sz w:val="20"/>
        </w:rPr>
        <w:t xml:space="preserve">2. </w:t>
      </w:r>
      <w:proofErr w:type="spellStart"/>
      <w:r w:rsidRPr="00C143A2">
        <w:rPr>
          <w:b w:val="0"/>
          <w:caps w:val="0"/>
          <w:sz w:val="20"/>
        </w:rPr>
        <w:t>Bielikova</w:t>
      </w:r>
      <w:proofErr w:type="spellEnd"/>
      <w:r w:rsidRPr="00C143A2">
        <w:rPr>
          <w:b w:val="0"/>
          <w:caps w:val="0"/>
          <w:sz w:val="20"/>
        </w:rPr>
        <w:t xml:space="preserve"> IV, </w:t>
      </w:r>
      <w:proofErr w:type="spellStart"/>
      <w:r w:rsidRPr="00C143A2">
        <w:rPr>
          <w:b w:val="0"/>
          <w:caps w:val="0"/>
          <w:sz w:val="20"/>
        </w:rPr>
        <w:t>Khorosh</w:t>
      </w:r>
      <w:proofErr w:type="spellEnd"/>
      <w:r w:rsidRPr="00C143A2">
        <w:rPr>
          <w:b w:val="0"/>
          <w:caps w:val="0"/>
          <w:sz w:val="20"/>
        </w:rPr>
        <w:t xml:space="preserve"> MV, </w:t>
      </w:r>
      <w:proofErr w:type="spellStart"/>
      <w:r w:rsidRPr="00C143A2">
        <w:rPr>
          <w:b w:val="0"/>
          <w:caps w:val="0"/>
          <w:sz w:val="20"/>
        </w:rPr>
        <w:t>Radchenko</w:t>
      </w:r>
      <w:proofErr w:type="spellEnd"/>
      <w:r w:rsidRPr="00C143A2">
        <w:rPr>
          <w:b w:val="0"/>
          <w:caps w:val="0"/>
          <w:sz w:val="20"/>
        </w:rPr>
        <w:t xml:space="preserve"> NR, </w:t>
      </w:r>
      <w:proofErr w:type="spellStart"/>
      <w:r w:rsidRPr="00C143A2">
        <w:rPr>
          <w:b w:val="0"/>
          <w:caps w:val="0"/>
          <w:sz w:val="20"/>
        </w:rPr>
        <w:t>Lyakhova</w:t>
      </w:r>
      <w:proofErr w:type="spellEnd"/>
      <w:r w:rsidRPr="00C143A2">
        <w:rPr>
          <w:b w:val="0"/>
          <w:caps w:val="0"/>
          <w:sz w:val="20"/>
        </w:rPr>
        <w:t xml:space="preserve"> NA. STATE OF ORGANIZATION OF PROVIDING ONCOLOGICAL MEDICAL CARE TO THE POPULATION OF UKRAINE. Pol </w:t>
      </w:r>
      <w:proofErr w:type="spellStart"/>
      <w:r w:rsidRPr="00C143A2">
        <w:rPr>
          <w:b w:val="0"/>
          <w:caps w:val="0"/>
          <w:sz w:val="20"/>
        </w:rPr>
        <w:t>Merkur</w:t>
      </w:r>
      <w:proofErr w:type="spellEnd"/>
      <w:r w:rsidRPr="00C143A2">
        <w:rPr>
          <w:b w:val="0"/>
          <w:caps w:val="0"/>
          <w:sz w:val="20"/>
        </w:rPr>
        <w:t xml:space="preserve"> </w:t>
      </w:r>
      <w:proofErr w:type="spellStart"/>
      <w:r w:rsidRPr="00C143A2">
        <w:rPr>
          <w:b w:val="0"/>
          <w:caps w:val="0"/>
          <w:sz w:val="20"/>
        </w:rPr>
        <w:t>Lekarski</w:t>
      </w:r>
      <w:proofErr w:type="spellEnd"/>
      <w:r w:rsidRPr="00C143A2">
        <w:rPr>
          <w:b w:val="0"/>
          <w:caps w:val="0"/>
          <w:sz w:val="20"/>
        </w:rPr>
        <w:t>. 2023;51(6):638-645. https://doi.org/10.36740/Merkur202306110.</w:t>
      </w:r>
    </w:p>
    <w:p w14:paraId="4A62BE98" w14:textId="77777777" w:rsidR="00C143A2" w:rsidRPr="00C143A2" w:rsidRDefault="00C143A2" w:rsidP="00C143A2">
      <w:pPr>
        <w:pStyle w:val="Appendix"/>
        <w:jc w:val="both"/>
        <w:rPr>
          <w:b w:val="0"/>
          <w:caps w:val="0"/>
          <w:sz w:val="20"/>
        </w:rPr>
      </w:pPr>
      <w:r w:rsidRPr="00C143A2">
        <w:rPr>
          <w:b w:val="0"/>
          <w:caps w:val="0"/>
          <w:sz w:val="20"/>
        </w:rPr>
        <w:t xml:space="preserve">3. </w:t>
      </w:r>
      <w:proofErr w:type="spellStart"/>
      <w:r w:rsidRPr="00C143A2">
        <w:rPr>
          <w:b w:val="0"/>
          <w:caps w:val="0"/>
          <w:sz w:val="20"/>
        </w:rPr>
        <w:t>Kolesnik</w:t>
      </w:r>
      <w:proofErr w:type="spellEnd"/>
      <w:r w:rsidRPr="00C143A2">
        <w:rPr>
          <w:b w:val="0"/>
          <w:caps w:val="0"/>
          <w:sz w:val="20"/>
        </w:rPr>
        <w:t xml:space="preserve"> AP, </w:t>
      </w:r>
      <w:proofErr w:type="spellStart"/>
      <w:r w:rsidRPr="00C143A2">
        <w:rPr>
          <w:b w:val="0"/>
          <w:caps w:val="0"/>
          <w:sz w:val="20"/>
        </w:rPr>
        <w:t>Kolesnіk</w:t>
      </w:r>
      <w:proofErr w:type="spellEnd"/>
      <w:r w:rsidRPr="00C143A2">
        <w:rPr>
          <w:b w:val="0"/>
          <w:caps w:val="0"/>
          <w:sz w:val="20"/>
        </w:rPr>
        <w:t xml:space="preserve"> IP, </w:t>
      </w:r>
      <w:proofErr w:type="spellStart"/>
      <w:r w:rsidRPr="00C143A2">
        <w:rPr>
          <w:b w:val="0"/>
          <w:caps w:val="0"/>
          <w:sz w:val="20"/>
        </w:rPr>
        <w:t>Kechedzhyiev</w:t>
      </w:r>
      <w:proofErr w:type="spellEnd"/>
      <w:r w:rsidRPr="00C143A2">
        <w:rPr>
          <w:b w:val="0"/>
          <w:caps w:val="0"/>
          <w:sz w:val="20"/>
        </w:rPr>
        <w:t xml:space="preserve"> VV. Survival Analysis of Elderly and Senile Patients </w:t>
      </w:r>
      <w:proofErr w:type="gramStart"/>
      <w:r w:rsidRPr="00C143A2">
        <w:rPr>
          <w:b w:val="0"/>
          <w:caps w:val="0"/>
          <w:sz w:val="20"/>
        </w:rPr>
        <w:t>With</w:t>
      </w:r>
      <w:proofErr w:type="gramEnd"/>
      <w:r w:rsidRPr="00C143A2">
        <w:rPr>
          <w:b w:val="0"/>
          <w:caps w:val="0"/>
          <w:sz w:val="20"/>
        </w:rPr>
        <w:t xml:space="preserve"> Colon Cancer of II–III Stages. Modern Medical Technology. 2019 </w:t>
      </w:r>
      <w:proofErr w:type="gramStart"/>
      <w:r w:rsidRPr="00C143A2">
        <w:rPr>
          <w:b w:val="0"/>
          <w:caps w:val="0"/>
          <w:sz w:val="20"/>
        </w:rPr>
        <w:t>Apr;1:60</w:t>
      </w:r>
      <w:proofErr w:type="gramEnd"/>
      <w:r w:rsidRPr="00C143A2">
        <w:rPr>
          <w:b w:val="0"/>
          <w:caps w:val="0"/>
          <w:sz w:val="20"/>
        </w:rPr>
        <w:t>-65. https://doi.org/10.34287/MMT.1(40).2019.10.</w:t>
      </w:r>
    </w:p>
    <w:p w14:paraId="4936AB2E" w14:textId="77777777" w:rsidR="00C143A2" w:rsidRPr="00C143A2" w:rsidRDefault="00C143A2" w:rsidP="00C143A2">
      <w:pPr>
        <w:pStyle w:val="Appendix"/>
        <w:jc w:val="both"/>
        <w:rPr>
          <w:b w:val="0"/>
          <w:caps w:val="0"/>
          <w:sz w:val="20"/>
        </w:rPr>
      </w:pPr>
      <w:r w:rsidRPr="00C143A2">
        <w:rPr>
          <w:b w:val="0"/>
          <w:caps w:val="0"/>
          <w:sz w:val="20"/>
        </w:rPr>
        <w:t xml:space="preserve">4. Sung H, </w:t>
      </w:r>
      <w:proofErr w:type="spellStart"/>
      <w:r w:rsidRPr="00C143A2">
        <w:rPr>
          <w:b w:val="0"/>
          <w:caps w:val="0"/>
          <w:sz w:val="20"/>
        </w:rPr>
        <w:t>Ferlay</w:t>
      </w:r>
      <w:proofErr w:type="spellEnd"/>
      <w:r w:rsidRPr="00C143A2">
        <w:rPr>
          <w:b w:val="0"/>
          <w:caps w:val="0"/>
          <w:sz w:val="20"/>
        </w:rPr>
        <w:t xml:space="preserve"> J, Siegel RL, </w:t>
      </w:r>
      <w:proofErr w:type="spellStart"/>
      <w:r w:rsidRPr="00C143A2">
        <w:rPr>
          <w:b w:val="0"/>
          <w:caps w:val="0"/>
          <w:sz w:val="20"/>
        </w:rPr>
        <w:t>Laversanne</w:t>
      </w:r>
      <w:proofErr w:type="spellEnd"/>
      <w:r w:rsidRPr="00C143A2">
        <w:rPr>
          <w:b w:val="0"/>
          <w:caps w:val="0"/>
          <w:sz w:val="20"/>
        </w:rPr>
        <w:t xml:space="preserve"> M, </w:t>
      </w:r>
      <w:proofErr w:type="spellStart"/>
      <w:r w:rsidRPr="00C143A2">
        <w:rPr>
          <w:b w:val="0"/>
          <w:caps w:val="0"/>
          <w:sz w:val="20"/>
        </w:rPr>
        <w:t>Soerjomataram</w:t>
      </w:r>
      <w:proofErr w:type="spellEnd"/>
      <w:r w:rsidRPr="00C143A2">
        <w:rPr>
          <w:b w:val="0"/>
          <w:caps w:val="0"/>
          <w:sz w:val="20"/>
        </w:rPr>
        <w:t xml:space="preserve"> I, Jemal A, Bray F. Global Cancer Statistics 2020: GLOBOCAN Estimates of Incidence and Mortality Worldwide for 36 Cancers in 185 Countries. CA Cancer J Clin. 2021 May;71(3):209-249. https://doi.org/10.3322/caac.21660.</w:t>
      </w:r>
    </w:p>
    <w:p w14:paraId="5151D502" w14:textId="77777777" w:rsidR="00C143A2" w:rsidRPr="00C143A2" w:rsidRDefault="00C143A2" w:rsidP="00C143A2">
      <w:pPr>
        <w:pStyle w:val="Appendix"/>
        <w:jc w:val="both"/>
        <w:rPr>
          <w:b w:val="0"/>
          <w:caps w:val="0"/>
          <w:sz w:val="20"/>
        </w:rPr>
      </w:pPr>
      <w:r w:rsidRPr="00C143A2">
        <w:rPr>
          <w:b w:val="0"/>
          <w:caps w:val="0"/>
          <w:sz w:val="20"/>
        </w:rPr>
        <w:t xml:space="preserve">5. </w:t>
      </w:r>
      <w:proofErr w:type="spellStart"/>
      <w:r w:rsidRPr="00C143A2">
        <w:rPr>
          <w:b w:val="0"/>
          <w:caps w:val="0"/>
          <w:sz w:val="20"/>
        </w:rPr>
        <w:t>Aliseda</w:t>
      </w:r>
      <w:proofErr w:type="spellEnd"/>
      <w:r w:rsidRPr="00C143A2">
        <w:rPr>
          <w:b w:val="0"/>
          <w:caps w:val="0"/>
          <w:sz w:val="20"/>
        </w:rPr>
        <w:t xml:space="preserve"> D, Arredondo J, Sánchez-Justicia C, </w:t>
      </w:r>
      <w:proofErr w:type="spellStart"/>
      <w:r w:rsidRPr="00C143A2">
        <w:rPr>
          <w:b w:val="0"/>
          <w:caps w:val="0"/>
          <w:sz w:val="20"/>
        </w:rPr>
        <w:t>Alvarellos</w:t>
      </w:r>
      <w:proofErr w:type="spellEnd"/>
      <w:r w:rsidRPr="00C143A2">
        <w:rPr>
          <w:b w:val="0"/>
          <w:caps w:val="0"/>
          <w:sz w:val="20"/>
        </w:rPr>
        <w:t xml:space="preserve"> A, Rodríguez J, Matos I, </w:t>
      </w:r>
      <w:proofErr w:type="spellStart"/>
      <w:r w:rsidRPr="00C143A2">
        <w:rPr>
          <w:b w:val="0"/>
          <w:caps w:val="0"/>
          <w:sz w:val="20"/>
        </w:rPr>
        <w:t>Rotellar</w:t>
      </w:r>
      <w:proofErr w:type="spellEnd"/>
      <w:r w:rsidRPr="00C143A2">
        <w:rPr>
          <w:b w:val="0"/>
          <w:caps w:val="0"/>
          <w:sz w:val="20"/>
        </w:rPr>
        <w:t xml:space="preserve"> F, </w:t>
      </w:r>
      <w:proofErr w:type="spellStart"/>
      <w:r w:rsidRPr="00C143A2">
        <w:rPr>
          <w:b w:val="0"/>
          <w:caps w:val="0"/>
          <w:sz w:val="20"/>
        </w:rPr>
        <w:t>Baixauli</w:t>
      </w:r>
      <w:proofErr w:type="spellEnd"/>
      <w:r w:rsidRPr="00C143A2">
        <w:rPr>
          <w:b w:val="0"/>
          <w:caps w:val="0"/>
          <w:sz w:val="20"/>
        </w:rPr>
        <w:t xml:space="preserve"> J, Pastor C. Survival and safety after neoadjuvant chemotherapy or upfront surgery for locally advanced colon cancer: meta-analysis. Br J Surg. 2024 Jan 31;111(2</w:t>
      </w:r>
      <w:proofErr w:type="gramStart"/>
      <w:r w:rsidRPr="00C143A2">
        <w:rPr>
          <w:b w:val="0"/>
          <w:caps w:val="0"/>
          <w:sz w:val="20"/>
        </w:rPr>
        <w:t>):znae</w:t>
      </w:r>
      <w:proofErr w:type="gramEnd"/>
      <w:r w:rsidRPr="00C143A2">
        <w:rPr>
          <w:b w:val="0"/>
          <w:caps w:val="0"/>
          <w:sz w:val="20"/>
        </w:rPr>
        <w:t>021. https://doi.org/10.1093/bjs/znae021.</w:t>
      </w:r>
    </w:p>
    <w:p w14:paraId="4B658AA3" w14:textId="77777777" w:rsidR="00C143A2" w:rsidRPr="00C143A2" w:rsidRDefault="00C143A2" w:rsidP="00C143A2">
      <w:pPr>
        <w:pStyle w:val="Appendix"/>
        <w:jc w:val="both"/>
        <w:rPr>
          <w:b w:val="0"/>
          <w:caps w:val="0"/>
          <w:sz w:val="20"/>
        </w:rPr>
      </w:pPr>
      <w:r w:rsidRPr="00C143A2">
        <w:rPr>
          <w:b w:val="0"/>
          <w:caps w:val="0"/>
          <w:sz w:val="20"/>
        </w:rPr>
        <w:t xml:space="preserve">6. Kubrak MA, </w:t>
      </w:r>
      <w:proofErr w:type="spellStart"/>
      <w:r w:rsidRPr="00C143A2">
        <w:rPr>
          <w:b w:val="0"/>
          <w:caps w:val="0"/>
          <w:sz w:val="20"/>
        </w:rPr>
        <w:t>Zavgorodniy</w:t>
      </w:r>
      <w:proofErr w:type="spellEnd"/>
      <w:r w:rsidRPr="00C143A2">
        <w:rPr>
          <w:b w:val="0"/>
          <w:caps w:val="0"/>
          <w:sz w:val="20"/>
        </w:rPr>
        <w:t xml:space="preserve"> SM, </w:t>
      </w:r>
      <w:proofErr w:type="spellStart"/>
      <w:r w:rsidRPr="00C143A2">
        <w:rPr>
          <w:b w:val="0"/>
          <w:caps w:val="0"/>
          <w:sz w:val="20"/>
        </w:rPr>
        <w:t>Danylyuk</w:t>
      </w:r>
      <w:proofErr w:type="spellEnd"/>
      <w:r w:rsidRPr="00C143A2">
        <w:rPr>
          <w:b w:val="0"/>
          <w:caps w:val="0"/>
          <w:sz w:val="20"/>
        </w:rPr>
        <w:t xml:space="preserve"> MB, </w:t>
      </w:r>
      <w:proofErr w:type="spellStart"/>
      <w:r w:rsidRPr="00C143A2">
        <w:rPr>
          <w:b w:val="0"/>
          <w:caps w:val="0"/>
          <w:sz w:val="20"/>
        </w:rPr>
        <w:t>Chemerys</w:t>
      </w:r>
      <w:proofErr w:type="spellEnd"/>
      <w:r w:rsidRPr="00C143A2">
        <w:rPr>
          <w:b w:val="0"/>
          <w:caps w:val="0"/>
          <w:sz w:val="20"/>
        </w:rPr>
        <w:t xml:space="preserve"> </w:t>
      </w:r>
      <w:proofErr w:type="spellStart"/>
      <w:r w:rsidRPr="00C143A2">
        <w:rPr>
          <w:b w:val="0"/>
          <w:caps w:val="0"/>
          <w:sz w:val="20"/>
        </w:rPr>
        <w:t>YuO</w:t>
      </w:r>
      <w:proofErr w:type="spellEnd"/>
      <w:r w:rsidRPr="00C143A2">
        <w:rPr>
          <w:b w:val="0"/>
          <w:caps w:val="0"/>
          <w:sz w:val="20"/>
        </w:rPr>
        <w:t>. A comprehensive individualized approach to the treatment of patients with acute intestinal obstruction of tumor origin. Ukrainian Journal of Clinical Surgery. 2025;92(1):27-30. https://doi.org/10.26779/2786-832X.2025.1.27.</w:t>
      </w:r>
    </w:p>
    <w:p w14:paraId="1184720C" w14:textId="77777777" w:rsidR="00C143A2" w:rsidRPr="00C143A2" w:rsidRDefault="00C143A2" w:rsidP="00C143A2">
      <w:pPr>
        <w:pStyle w:val="Appendix"/>
        <w:jc w:val="both"/>
        <w:rPr>
          <w:b w:val="0"/>
          <w:caps w:val="0"/>
          <w:sz w:val="20"/>
        </w:rPr>
      </w:pPr>
      <w:r w:rsidRPr="00C143A2">
        <w:rPr>
          <w:b w:val="0"/>
          <w:caps w:val="0"/>
          <w:sz w:val="20"/>
        </w:rPr>
        <w:t xml:space="preserve">7. Yang KM, </w:t>
      </w:r>
      <w:proofErr w:type="spellStart"/>
      <w:r w:rsidRPr="00C143A2">
        <w:rPr>
          <w:b w:val="0"/>
          <w:caps w:val="0"/>
          <w:sz w:val="20"/>
        </w:rPr>
        <w:t>Jeong</w:t>
      </w:r>
      <w:proofErr w:type="spellEnd"/>
      <w:r w:rsidRPr="00C143A2">
        <w:rPr>
          <w:b w:val="0"/>
          <w:caps w:val="0"/>
          <w:sz w:val="20"/>
        </w:rPr>
        <w:t xml:space="preserve"> MJ, Yoon KH, Jung YT, Kwak JY. Oncologic outcome of colon cancer with perforation and obstruction. BMC Gastroenterol. 2022 May 15;22(1):247. https://doi.org/10.1186/s12876-022-02319-5.</w:t>
      </w:r>
    </w:p>
    <w:p w14:paraId="2118003E" w14:textId="77777777" w:rsidR="00C143A2" w:rsidRPr="00C143A2" w:rsidRDefault="00C143A2" w:rsidP="00C143A2">
      <w:pPr>
        <w:pStyle w:val="Appendix"/>
        <w:jc w:val="both"/>
        <w:rPr>
          <w:b w:val="0"/>
          <w:caps w:val="0"/>
          <w:sz w:val="20"/>
        </w:rPr>
      </w:pPr>
      <w:r w:rsidRPr="00C143A2">
        <w:rPr>
          <w:b w:val="0"/>
          <w:caps w:val="0"/>
          <w:sz w:val="20"/>
        </w:rPr>
        <w:t xml:space="preserve">8. </w:t>
      </w:r>
      <w:proofErr w:type="spellStart"/>
      <w:r w:rsidRPr="00C143A2">
        <w:rPr>
          <w:b w:val="0"/>
          <w:caps w:val="0"/>
          <w:sz w:val="20"/>
        </w:rPr>
        <w:t>Sica</w:t>
      </w:r>
      <w:proofErr w:type="spellEnd"/>
      <w:r w:rsidRPr="00C143A2">
        <w:rPr>
          <w:b w:val="0"/>
          <w:caps w:val="0"/>
          <w:sz w:val="20"/>
        </w:rPr>
        <w:t xml:space="preserve"> GS, Vinci D, Siragusa L, </w:t>
      </w:r>
      <w:proofErr w:type="spellStart"/>
      <w:r w:rsidRPr="00C143A2">
        <w:rPr>
          <w:b w:val="0"/>
          <w:caps w:val="0"/>
          <w:sz w:val="20"/>
        </w:rPr>
        <w:t>Sensi</w:t>
      </w:r>
      <w:proofErr w:type="spellEnd"/>
      <w:r w:rsidRPr="00C143A2">
        <w:rPr>
          <w:b w:val="0"/>
          <w:caps w:val="0"/>
          <w:sz w:val="20"/>
        </w:rPr>
        <w:t xml:space="preserve"> B, </w:t>
      </w:r>
      <w:proofErr w:type="spellStart"/>
      <w:r w:rsidRPr="00C143A2">
        <w:rPr>
          <w:b w:val="0"/>
          <w:caps w:val="0"/>
          <w:sz w:val="20"/>
        </w:rPr>
        <w:t>Guida</w:t>
      </w:r>
      <w:proofErr w:type="spellEnd"/>
      <w:r w:rsidRPr="00C143A2">
        <w:rPr>
          <w:b w:val="0"/>
          <w:caps w:val="0"/>
          <w:sz w:val="20"/>
        </w:rPr>
        <w:t xml:space="preserve"> AM, </w:t>
      </w:r>
      <w:proofErr w:type="spellStart"/>
      <w:r w:rsidRPr="00C143A2">
        <w:rPr>
          <w:b w:val="0"/>
          <w:caps w:val="0"/>
          <w:sz w:val="20"/>
        </w:rPr>
        <w:t>Bellato</w:t>
      </w:r>
      <w:proofErr w:type="spellEnd"/>
      <w:r w:rsidRPr="00C143A2">
        <w:rPr>
          <w:b w:val="0"/>
          <w:caps w:val="0"/>
          <w:sz w:val="20"/>
        </w:rPr>
        <w:t xml:space="preserve"> V, García-</w:t>
      </w:r>
      <w:proofErr w:type="spellStart"/>
      <w:r w:rsidRPr="00C143A2">
        <w:rPr>
          <w:b w:val="0"/>
          <w:caps w:val="0"/>
          <w:sz w:val="20"/>
        </w:rPr>
        <w:t>Granero</w:t>
      </w:r>
      <w:proofErr w:type="spellEnd"/>
      <w:r w:rsidRPr="00C143A2">
        <w:rPr>
          <w:b w:val="0"/>
          <w:caps w:val="0"/>
          <w:sz w:val="20"/>
        </w:rPr>
        <w:t xml:space="preserve"> Á, </w:t>
      </w:r>
      <w:proofErr w:type="spellStart"/>
      <w:r w:rsidRPr="00C143A2">
        <w:rPr>
          <w:b w:val="0"/>
          <w:caps w:val="0"/>
          <w:sz w:val="20"/>
        </w:rPr>
        <w:t>Pellino</w:t>
      </w:r>
      <w:proofErr w:type="spellEnd"/>
      <w:r w:rsidRPr="00C143A2">
        <w:rPr>
          <w:b w:val="0"/>
          <w:caps w:val="0"/>
          <w:sz w:val="20"/>
        </w:rPr>
        <w:t xml:space="preserve"> G. Definition and reporting of lymphadenectomy and complete </w:t>
      </w:r>
      <w:proofErr w:type="spellStart"/>
      <w:r w:rsidRPr="00C143A2">
        <w:rPr>
          <w:b w:val="0"/>
          <w:caps w:val="0"/>
          <w:sz w:val="20"/>
        </w:rPr>
        <w:t>mesocolic</w:t>
      </w:r>
      <w:proofErr w:type="spellEnd"/>
      <w:r w:rsidRPr="00C143A2">
        <w:rPr>
          <w:b w:val="0"/>
          <w:caps w:val="0"/>
          <w:sz w:val="20"/>
        </w:rPr>
        <w:t xml:space="preserve"> excision for radical right colectomy: a systematic review. Surg </w:t>
      </w:r>
      <w:proofErr w:type="spellStart"/>
      <w:r w:rsidRPr="00C143A2">
        <w:rPr>
          <w:b w:val="0"/>
          <w:caps w:val="0"/>
          <w:sz w:val="20"/>
        </w:rPr>
        <w:t>Endosc</w:t>
      </w:r>
      <w:proofErr w:type="spellEnd"/>
      <w:r w:rsidRPr="00C143A2">
        <w:rPr>
          <w:b w:val="0"/>
          <w:caps w:val="0"/>
          <w:sz w:val="20"/>
        </w:rPr>
        <w:t xml:space="preserve">. 2023 </w:t>
      </w:r>
      <w:r w:rsidRPr="00C143A2">
        <w:rPr>
          <w:b w:val="0"/>
          <w:caps w:val="0"/>
          <w:sz w:val="20"/>
        </w:rPr>
        <w:lastRenderedPageBreak/>
        <w:t xml:space="preserve">Feb;37(2):846-861. https://doi.org/10.1007/s00464-022-09548-5. </w:t>
      </w:r>
      <w:proofErr w:type="spellStart"/>
      <w:r w:rsidRPr="00C143A2">
        <w:rPr>
          <w:b w:val="0"/>
          <w:caps w:val="0"/>
          <w:sz w:val="20"/>
        </w:rPr>
        <w:t>Epub</w:t>
      </w:r>
      <w:proofErr w:type="spellEnd"/>
      <w:r w:rsidRPr="00C143A2">
        <w:rPr>
          <w:b w:val="0"/>
          <w:caps w:val="0"/>
          <w:sz w:val="20"/>
        </w:rPr>
        <w:t xml:space="preserve"> 2022 Sep 12. Erratum in: Surg </w:t>
      </w:r>
      <w:proofErr w:type="spellStart"/>
      <w:proofErr w:type="gramStart"/>
      <w:r w:rsidRPr="00C143A2">
        <w:rPr>
          <w:b w:val="0"/>
          <w:caps w:val="0"/>
          <w:sz w:val="20"/>
        </w:rPr>
        <w:t>Endosc</w:t>
      </w:r>
      <w:proofErr w:type="spellEnd"/>
      <w:r w:rsidRPr="00C143A2">
        <w:rPr>
          <w:b w:val="0"/>
          <w:caps w:val="0"/>
          <w:sz w:val="20"/>
        </w:rPr>
        <w:t>.=</w:t>
      </w:r>
      <w:proofErr w:type="gramEnd"/>
      <w:r w:rsidRPr="00C143A2">
        <w:rPr>
          <w:b w:val="0"/>
          <w:caps w:val="0"/>
          <w:sz w:val="20"/>
        </w:rPr>
        <w:t xml:space="preserve"> 2023 Mar;37(3):2418. https://doi.org/10.1007/s00464-022-09747-0.</w:t>
      </w:r>
    </w:p>
    <w:p w14:paraId="30CE01BF" w14:textId="77777777" w:rsidR="00C143A2" w:rsidRPr="00C143A2" w:rsidRDefault="00C143A2" w:rsidP="00C143A2">
      <w:pPr>
        <w:pStyle w:val="Appendix"/>
        <w:jc w:val="both"/>
        <w:rPr>
          <w:b w:val="0"/>
          <w:caps w:val="0"/>
          <w:sz w:val="20"/>
        </w:rPr>
      </w:pPr>
      <w:r w:rsidRPr="00C143A2">
        <w:rPr>
          <w:b w:val="0"/>
          <w:caps w:val="0"/>
          <w:sz w:val="20"/>
        </w:rPr>
        <w:t xml:space="preserve">9. Brown KGM, Ng KS, Solomon MJ, </w:t>
      </w:r>
      <w:proofErr w:type="spellStart"/>
      <w:r w:rsidRPr="00C143A2">
        <w:rPr>
          <w:b w:val="0"/>
          <w:caps w:val="0"/>
          <w:sz w:val="20"/>
        </w:rPr>
        <w:t>Chapuis</w:t>
      </w:r>
      <w:proofErr w:type="spellEnd"/>
      <w:r w:rsidRPr="00C143A2">
        <w:rPr>
          <w:b w:val="0"/>
          <w:caps w:val="0"/>
          <w:sz w:val="20"/>
        </w:rPr>
        <w:t xml:space="preserve"> PH, Koh CE, Ahmadi N, Austin KKS. Complete </w:t>
      </w:r>
      <w:proofErr w:type="spellStart"/>
      <w:r w:rsidRPr="00C143A2">
        <w:rPr>
          <w:b w:val="0"/>
          <w:caps w:val="0"/>
          <w:sz w:val="20"/>
        </w:rPr>
        <w:t>mesocolic</w:t>
      </w:r>
      <w:proofErr w:type="spellEnd"/>
      <w:r w:rsidRPr="00C143A2">
        <w:rPr>
          <w:b w:val="0"/>
          <w:caps w:val="0"/>
          <w:sz w:val="20"/>
        </w:rPr>
        <w:t xml:space="preserve"> excision for colon cancer: current status and controversies. ANZ J Surg. 2024 Mar;94(3):309-319. https://doi.org/10.1111/ans.18741.</w:t>
      </w:r>
    </w:p>
    <w:p w14:paraId="6A25D134" w14:textId="77777777" w:rsidR="00C143A2" w:rsidRPr="00C143A2" w:rsidRDefault="00C143A2" w:rsidP="00C143A2">
      <w:pPr>
        <w:pStyle w:val="Appendix"/>
        <w:jc w:val="both"/>
        <w:rPr>
          <w:b w:val="0"/>
          <w:caps w:val="0"/>
          <w:sz w:val="20"/>
        </w:rPr>
      </w:pPr>
      <w:r w:rsidRPr="00C143A2">
        <w:rPr>
          <w:b w:val="0"/>
          <w:caps w:val="0"/>
          <w:sz w:val="20"/>
        </w:rPr>
        <w:t xml:space="preserve">10. Antony P, </w:t>
      </w:r>
      <w:proofErr w:type="spellStart"/>
      <w:r w:rsidRPr="00C143A2">
        <w:rPr>
          <w:b w:val="0"/>
          <w:caps w:val="0"/>
          <w:sz w:val="20"/>
        </w:rPr>
        <w:t>Harnoss</w:t>
      </w:r>
      <w:proofErr w:type="spellEnd"/>
      <w:r w:rsidRPr="00C143A2">
        <w:rPr>
          <w:b w:val="0"/>
          <w:caps w:val="0"/>
          <w:sz w:val="20"/>
        </w:rPr>
        <w:t xml:space="preserve"> JC, </w:t>
      </w:r>
      <w:proofErr w:type="spellStart"/>
      <w:r w:rsidRPr="00C143A2">
        <w:rPr>
          <w:b w:val="0"/>
          <w:caps w:val="0"/>
          <w:sz w:val="20"/>
        </w:rPr>
        <w:t>Warschkow</w:t>
      </w:r>
      <w:proofErr w:type="spellEnd"/>
      <w:r w:rsidRPr="00C143A2">
        <w:rPr>
          <w:b w:val="0"/>
          <w:caps w:val="0"/>
          <w:sz w:val="20"/>
        </w:rPr>
        <w:t xml:space="preserve"> R, </w:t>
      </w:r>
      <w:proofErr w:type="spellStart"/>
      <w:r w:rsidRPr="00C143A2">
        <w:rPr>
          <w:b w:val="0"/>
          <w:caps w:val="0"/>
          <w:sz w:val="20"/>
        </w:rPr>
        <w:t>Schmied</w:t>
      </w:r>
      <w:proofErr w:type="spellEnd"/>
      <w:r w:rsidRPr="00C143A2">
        <w:rPr>
          <w:b w:val="0"/>
          <w:caps w:val="0"/>
          <w:sz w:val="20"/>
        </w:rPr>
        <w:t xml:space="preserve"> BM, Schneider M, Tarantino I, Ulrich A. Urgent surgery in colon cancer has no impact on survival. J Surg Oncol. 2019 Jun;119(8):1170-1178. https://doi.org/10.1002/jso.25469.</w:t>
      </w:r>
    </w:p>
    <w:p w14:paraId="47D7A968" w14:textId="77777777" w:rsidR="00C143A2" w:rsidRPr="00C143A2" w:rsidRDefault="00C143A2" w:rsidP="00C143A2">
      <w:pPr>
        <w:pStyle w:val="Appendix"/>
        <w:jc w:val="both"/>
        <w:rPr>
          <w:b w:val="0"/>
          <w:caps w:val="0"/>
          <w:sz w:val="20"/>
        </w:rPr>
      </w:pPr>
      <w:r w:rsidRPr="00C143A2">
        <w:rPr>
          <w:b w:val="0"/>
          <w:caps w:val="0"/>
          <w:sz w:val="20"/>
        </w:rPr>
        <w:t xml:space="preserve">11. Aguiar Junior S, Oliveira MM, Silva DRME, Mello CAL, </w:t>
      </w:r>
      <w:proofErr w:type="spellStart"/>
      <w:r w:rsidRPr="00C143A2">
        <w:rPr>
          <w:b w:val="0"/>
          <w:caps w:val="0"/>
          <w:sz w:val="20"/>
        </w:rPr>
        <w:t>Calsavara</w:t>
      </w:r>
      <w:proofErr w:type="spellEnd"/>
      <w:r w:rsidRPr="00C143A2">
        <w:rPr>
          <w:b w:val="0"/>
          <w:caps w:val="0"/>
          <w:sz w:val="20"/>
        </w:rPr>
        <w:t xml:space="preserve"> VF, </w:t>
      </w:r>
      <w:proofErr w:type="spellStart"/>
      <w:r w:rsidRPr="00C143A2">
        <w:rPr>
          <w:b w:val="0"/>
          <w:caps w:val="0"/>
          <w:sz w:val="20"/>
        </w:rPr>
        <w:t>Curado</w:t>
      </w:r>
      <w:proofErr w:type="spellEnd"/>
      <w:r w:rsidRPr="00C143A2">
        <w:rPr>
          <w:b w:val="0"/>
          <w:caps w:val="0"/>
          <w:sz w:val="20"/>
        </w:rPr>
        <w:t xml:space="preserve"> MP. SURVIVAL OF PATIENTS WITH COLORECTAL CANCER IN A CANCER CENTER. </w:t>
      </w:r>
      <w:proofErr w:type="spellStart"/>
      <w:r w:rsidRPr="00C143A2">
        <w:rPr>
          <w:b w:val="0"/>
          <w:caps w:val="0"/>
          <w:sz w:val="20"/>
        </w:rPr>
        <w:t>Arq</w:t>
      </w:r>
      <w:proofErr w:type="spellEnd"/>
      <w:r w:rsidRPr="00C143A2">
        <w:rPr>
          <w:b w:val="0"/>
          <w:caps w:val="0"/>
          <w:sz w:val="20"/>
        </w:rPr>
        <w:t xml:space="preserve"> Gastroenterol. 2020 Apr-Jun;57(2):172-177. https://doi.org/10.1590/S0004-2803.202000000-32.</w:t>
      </w:r>
    </w:p>
    <w:p w14:paraId="378ADBBD" w14:textId="77777777" w:rsidR="00C143A2" w:rsidRPr="00C143A2" w:rsidRDefault="00C143A2" w:rsidP="00C143A2">
      <w:pPr>
        <w:pStyle w:val="Appendix"/>
        <w:jc w:val="both"/>
        <w:rPr>
          <w:b w:val="0"/>
          <w:caps w:val="0"/>
          <w:sz w:val="20"/>
        </w:rPr>
      </w:pPr>
      <w:r w:rsidRPr="00C143A2">
        <w:rPr>
          <w:b w:val="0"/>
          <w:caps w:val="0"/>
          <w:sz w:val="20"/>
        </w:rPr>
        <w:t xml:space="preserve">12. Li N, Lu B, Luo C, Cai J, Lu M, Zhang Y, Chen H, Dai M. Incidence, mortality, survival, risk factor and screening of colorectal cancer: A comparison among China, Europe, and northern America. Cancer Lett. 2021 Dec </w:t>
      </w:r>
      <w:proofErr w:type="gramStart"/>
      <w:r w:rsidRPr="00C143A2">
        <w:rPr>
          <w:b w:val="0"/>
          <w:caps w:val="0"/>
          <w:sz w:val="20"/>
        </w:rPr>
        <w:t>1;522:255</w:t>
      </w:r>
      <w:proofErr w:type="gramEnd"/>
      <w:r w:rsidRPr="00C143A2">
        <w:rPr>
          <w:b w:val="0"/>
          <w:caps w:val="0"/>
          <w:sz w:val="20"/>
        </w:rPr>
        <w:t>-268. https://doi.org/10.1016/j.canlet.2021.09.034.</w:t>
      </w:r>
    </w:p>
    <w:p w14:paraId="651CBD25" w14:textId="77777777" w:rsidR="00C143A2" w:rsidRPr="00C143A2" w:rsidRDefault="00C143A2" w:rsidP="00C143A2">
      <w:pPr>
        <w:pStyle w:val="Appendix"/>
        <w:jc w:val="both"/>
        <w:rPr>
          <w:b w:val="0"/>
          <w:caps w:val="0"/>
          <w:sz w:val="20"/>
        </w:rPr>
      </w:pPr>
      <w:r w:rsidRPr="00C143A2">
        <w:rPr>
          <w:b w:val="0"/>
          <w:caps w:val="0"/>
          <w:sz w:val="20"/>
        </w:rPr>
        <w:t>13. Coughlin SS. Social determinants of colorectal cancer risk, stage, and survival: a systematic review. International journal of colorectal disease. 2020;35(6):985–995. https://doi.org/10.1007/s00384-020-03585-z.</w:t>
      </w:r>
    </w:p>
    <w:p w14:paraId="1A912C54" w14:textId="77777777" w:rsidR="00C143A2" w:rsidRPr="00C143A2" w:rsidRDefault="00C143A2" w:rsidP="00C143A2">
      <w:pPr>
        <w:pStyle w:val="Appendix"/>
        <w:jc w:val="both"/>
        <w:rPr>
          <w:b w:val="0"/>
          <w:caps w:val="0"/>
          <w:sz w:val="20"/>
        </w:rPr>
      </w:pPr>
      <w:r w:rsidRPr="00C143A2">
        <w:rPr>
          <w:b w:val="0"/>
          <w:caps w:val="0"/>
          <w:sz w:val="20"/>
        </w:rPr>
        <w:t xml:space="preserve">14. </w:t>
      </w:r>
      <w:proofErr w:type="spellStart"/>
      <w:r w:rsidRPr="00C143A2">
        <w:rPr>
          <w:b w:val="0"/>
          <w:caps w:val="0"/>
          <w:sz w:val="20"/>
        </w:rPr>
        <w:t>Baidoun</w:t>
      </w:r>
      <w:proofErr w:type="spellEnd"/>
      <w:r w:rsidRPr="00C143A2">
        <w:rPr>
          <w:b w:val="0"/>
          <w:caps w:val="0"/>
          <w:sz w:val="20"/>
        </w:rPr>
        <w:t xml:space="preserve"> F, </w:t>
      </w:r>
      <w:proofErr w:type="spellStart"/>
      <w:r w:rsidRPr="00C143A2">
        <w:rPr>
          <w:b w:val="0"/>
          <w:caps w:val="0"/>
          <w:sz w:val="20"/>
        </w:rPr>
        <w:t>Elshiwy</w:t>
      </w:r>
      <w:proofErr w:type="spellEnd"/>
      <w:r w:rsidRPr="00C143A2">
        <w:rPr>
          <w:b w:val="0"/>
          <w:caps w:val="0"/>
          <w:sz w:val="20"/>
        </w:rPr>
        <w:t xml:space="preserve"> K, </w:t>
      </w:r>
      <w:proofErr w:type="spellStart"/>
      <w:r w:rsidRPr="00C143A2">
        <w:rPr>
          <w:b w:val="0"/>
          <w:caps w:val="0"/>
          <w:sz w:val="20"/>
        </w:rPr>
        <w:t>Elkeraie</w:t>
      </w:r>
      <w:proofErr w:type="spellEnd"/>
      <w:r w:rsidRPr="00C143A2">
        <w:rPr>
          <w:b w:val="0"/>
          <w:caps w:val="0"/>
          <w:sz w:val="20"/>
        </w:rPr>
        <w:t xml:space="preserve"> Y, </w:t>
      </w:r>
      <w:proofErr w:type="spellStart"/>
      <w:r w:rsidRPr="00C143A2">
        <w:rPr>
          <w:b w:val="0"/>
          <w:caps w:val="0"/>
          <w:sz w:val="20"/>
        </w:rPr>
        <w:t>Merjaneh</w:t>
      </w:r>
      <w:proofErr w:type="spellEnd"/>
      <w:r w:rsidRPr="00C143A2">
        <w:rPr>
          <w:b w:val="0"/>
          <w:caps w:val="0"/>
          <w:sz w:val="20"/>
        </w:rPr>
        <w:t xml:space="preserve"> Z, </w:t>
      </w:r>
      <w:proofErr w:type="spellStart"/>
      <w:r w:rsidRPr="00C143A2">
        <w:rPr>
          <w:b w:val="0"/>
          <w:caps w:val="0"/>
          <w:sz w:val="20"/>
        </w:rPr>
        <w:t>Khoudari</w:t>
      </w:r>
      <w:proofErr w:type="spellEnd"/>
      <w:r w:rsidRPr="00C143A2">
        <w:rPr>
          <w:b w:val="0"/>
          <w:caps w:val="0"/>
          <w:sz w:val="20"/>
        </w:rPr>
        <w:t xml:space="preserve"> G, </w:t>
      </w:r>
      <w:proofErr w:type="spellStart"/>
      <w:r w:rsidRPr="00C143A2">
        <w:rPr>
          <w:b w:val="0"/>
          <w:caps w:val="0"/>
          <w:sz w:val="20"/>
        </w:rPr>
        <w:t>Sarmini</w:t>
      </w:r>
      <w:proofErr w:type="spellEnd"/>
      <w:r w:rsidRPr="00C143A2">
        <w:rPr>
          <w:b w:val="0"/>
          <w:caps w:val="0"/>
          <w:sz w:val="20"/>
        </w:rPr>
        <w:t xml:space="preserve"> MT, Gad M, Al-Husseini M, Saad A. Colorectal Cancer Epidemiology: Recent Trends and Impact on Outcomes. </w:t>
      </w:r>
      <w:proofErr w:type="spellStart"/>
      <w:r w:rsidRPr="00C143A2">
        <w:rPr>
          <w:b w:val="0"/>
          <w:caps w:val="0"/>
          <w:sz w:val="20"/>
        </w:rPr>
        <w:t>Curr</w:t>
      </w:r>
      <w:proofErr w:type="spellEnd"/>
      <w:r w:rsidRPr="00C143A2">
        <w:rPr>
          <w:b w:val="0"/>
          <w:caps w:val="0"/>
          <w:sz w:val="20"/>
        </w:rPr>
        <w:t xml:space="preserve"> Drug Targets. 2021;22(9):998-1009. https://doi.org/10.2174/1389450121999201117115717.</w:t>
      </w:r>
    </w:p>
    <w:p w14:paraId="62EC007F" w14:textId="4E5E5DF8" w:rsidR="00B01FCD" w:rsidRPr="00FB3A86" w:rsidRDefault="00C143A2" w:rsidP="00C143A2">
      <w:pPr>
        <w:pStyle w:val="Appendix"/>
        <w:spacing w:after="0"/>
        <w:jc w:val="both"/>
        <w:rPr>
          <w:rFonts w:ascii="Arial" w:hAnsi="Arial" w:cs="Arial"/>
          <w:b w:val="0"/>
        </w:rPr>
      </w:pPr>
      <w:r w:rsidRPr="00C143A2">
        <w:rPr>
          <w:b w:val="0"/>
          <w:caps w:val="0"/>
          <w:sz w:val="20"/>
        </w:rPr>
        <w:t xml:space="preserve">15. </w:t>
      </w:r>
      <w:proofErr w:type="spellStart"/>
      <w:r w:rsidRPr="00C143A2">
        <w:rPr>
          <w:b w:val="0"/>
          <w:caps w:val="0"/>
          <w:sz w:val="20"/>
        </w:rPr>
        <w:t>Trewin-Nybråten</w:t>
      </w:r>
      <w:proofErr w:type="spellEnd"/>
      <w:r w:rsidRPr="00C143A2">
        <w:rPr>
          <w:b w:val="0"/>
          <w:caps w:val="0"/>
          <w:sz w:val="20"/>
        </w:rPr>
        <w:t xml:space="preserve"> CB, Larsen IK, </w:t>
      </w:r>
      <w:proofErr w:type="spellStart"/>
      <w:r w:rsidRPr="00C143A2">
        <w:rPr>
          <w:b w:val="0"/>
          <w:caps w:val="0"/>
          <w:sz w:val="20"/>
        </w:rPr>
        <w:t>Møller</w:t>
      </w:r>
      <w:proofErr w:type="spellEnd"/>
      <w:r w:rsidRPr="00C143A2">
        <w:rPr>
          <w:b w:val="0"/>
          <w:caps w:val="0"/>
          <w:sz w:val="20"/>
        </w:rPr>
        <w:t xml:space="preserve"> B, </w:t>
      </w:r>
      <w:proofErr w:type="spellStart"/>
      <w:r w:rsidRPr="00C143A2">
        <w:rPr>
          <w:b w:val="0"/>
          <w:caps w:val="0"/>
          <w:sz w:val="20"/>
        </w:rPr>
        <w:t>Heikkilä</w:t>
      </w:r>
      <w:proofErr w:type="spellEnd"/>
      <w:r w:rsidRPr="00C143A2">
        <w:rPr>
          <w:b w:val="0"/>
          <w:caps w:val="0"/>
          <w:sz w:val="20"/>
        </w:rPr>
        <w:t xml:space="preserve"> R. Hospital surgical volume and colorectal cancer survival in Norway: A nationwide cohort study. Cancer Epidemiol. 2023 </w:t>
      </w:r>
      <w:proofErr w:type="gramStart"/>
      <w:r w:rsidRPr="00C143A2">
        <w:rPr>
          <w:b w:val="0"/>
          <w:caps w:val="0"/>
          <w:sz w:val="20"/>
        </w:rPr>
        <w:t>Aug;85:102404</w:t>
      </w:r>
      <w:proofErr w:type="gramEnd"/>
      <w:r w:rsidRPr="00C143A2">
        <w:rPr>
          <w:b w:val="0"/>
          <w:caps w:val="0"/>
          <w:sz w:val="20"/>
        </w:rPr>
        <w:t>. https://doi.org/10.1016/j.canep.2023.102404.</w:t>
      </w:r>
    </w:p>
    <w:sectPr w:rsidR="00B01FCD" w:rsidRPr="00FB3A86" w:rsidSect="00840B91">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2786D" w14:textId="77777777" w:rsidR="00E526BC" w:rsidRDefault="00E526BC" w:rsidP="00C37E61">
      <w:r>
        <w:separator/>
      </w:r>
    </w:p>
  </w:endnote>
  <w:endnote w:type="continuationSeparator" w:id="0">
    <w:p w14:paraId="773CEABC" w14:textId="77777777" w:rsidR="00E526BC" w:rsidRDefault="00E526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FCD9" w14:textId="77777777" w:rsidR="00840B91" w:rsidRDefault="00840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759F4" w14:textId="77777777" w:rsidR="00840B91" w:rsidRDefault="00840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D916" w14:textId="0B022169" w:rsidR="00754C9A" w:rsidRPr="00840B91" w:rsidRDefault="00754C9A" w:rsidP="00840B9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B35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E60C4" w14:textId="77777777" w:rsidR="00E526BC" w:rsidRDefault="00E526BC" w:rsidP="00C37E61">
      <w:r>
        <w:separator/>
      </w:r>
    </w:p>
  </w:footnote>
  <w:footnote w:type="continuationSeparator" w:id="0">
    <w:p w14:paraId="08A25AD7" w14:textId="77777777" w:rsidR="00E526BC" w:rsidRDefault="00E526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92B19" w14:textId="6166A053" w:rsidR="00840B91" w:rsidRDefault="00840B91">
    <w:pPr>
      <w:pStyle w:val="Header"/>
    </w:pPr>
    <w:r>
      <w:rPr>
        <w:noProof/>
      </w:rPr>
      <w:pict w14:anchorId="565DA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899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3B749" w14:textId="685E3469" w:rsidR="00840B91" w:rsidRDefault="00840B91">
    <w:pPr>
      <w:pStyle w:val="Header"/>
    </w:pPr>
    <w:r>
      <w:rPr>
        <w:noProof/>
      </w:rPr>
      <w:pict w14:anchorId="78A4E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899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9201" w14:textId="4A28ED09" w:rsidR="00296529" w:rsidRPr="00296529" w:rsidRDefault="00840B91" w:rsidP="00296529">
    <w:pPr>
      <w:ind w:left="2160"/>
      <w:jc w:val="center"/>
      <w:rPr>
        <w:rFonts w:ascii="Times New Roman" w:eastAsia="Calibri" w:hAnsi="Times New Roman"/>
        <w:i/>
        <w:sz w:val="18"/>
        <w:szCs w:val="22"/>
      </w:rPr>
    </w:pPr>
    <w:r>
      <w:rPr>
        <w:noProof/>
      </w:rPr>
      <w:pict w14:anchorId="58EAF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899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3EE3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AEE12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00EE0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B7B65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DB0B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62D21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FA8C0" w14:textId="68E3F2B6" w:rsidR="00840B91" w:rsidRDefault="00840B91">
    <w:pPr>
      <w:pStyle w:val="Header"/>
    </w:pPr>
    <w:r>
      <w:rPr>
        <w:noProof/>
      </w:rPr>
      <w:pict w14:anchorId="1E48C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899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8C71" w14:textId="3BD2EF7C" w:rsidR="00840B91" w:rsidRDefault="00840B91">
    <w:pPr>
      <w:pStyle w:val="Header"/>
    </w:pPr>
    <w:r>
      <w:rPr>
        <w:noProof/>
      </w:rPr>
      <w:pict w14:anchorId="0EAA7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899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798D2" w14:textId="4E1B68E4" w:rsidR="00840B91" w:rsidRDefault="00840B91">
    <w:pPr>
      <w:pStyle w:val="Header"/>
    </w:pPr>
    <w:r>
      <w:rPr>
        <w:noProof/>
      </w:rPr>
      <w:pict w14:anchorId="34196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899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1569CD"/>
    <w:multiLevelType w:val="hybridMultilevel"/>
    <w:tmpl w:val="0A68B080"/>
    <w:lvl w:ilvl="0" w:tplc="7722D536">
      <w:start w:val="4"/>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2147"/>
    <w:rsid w:val="00103357"/>
    <w:rsid w:val="00123C9F"/>
    <w:rsid w:val="00126190"/>
    <w:rsid w:val="00130F17"/>
    <w:rsid w:val="001320BF"/>
    <w:rsid w:val="0015153E"/>
    <w:rsid w:val="001613E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1AC9"/>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4A4A"/>
    <w:rsid w:val="004863C1"/>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48AA"/>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0B91"/>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43A2"/>
    <w:rsid w:val="00C166EF"/>
    <w:rsid w:val="00C17EB0"/>
    <w:rsid w:val="00C27F5F"/>
    <w:rsid w:val="00C30A0F"/>
    <w:rsid w:val="00C34AFC"/>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526BC"/>
    <w:rsid w:val="00E66496"/>
    <w:rsid w:val="00E66B35"/>
    <w:rsid w:val="00E66E10"/>
    <w:rsid w:val="00E769F6"/>
    <w:rsid w:val="00E8407C"/>
    <w:rsid w:val="00E84F3C"/>
    <w:rsid w:val="00EA012C"/>
    <w:rsid w:val="00EB2E14"/>
    <w:rsid w:val="00EC6A55"/>
    <w:rsid w:val="00ED0288"/>
    <w:rsid w:val="00ED5CC3"/>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E8F0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4216671">
      <w:bodyDiv w:val="1"/>
      <w:marLeft w:val="0"/>
      <w:marRight w:val="0"/>
      <w:marTop w:val="0"/>
      <w:marBottom w:val="0"/>
      <w:divBdr>
        <w:top w:val="none" w:sz="0" w:space="0" w:color="auto"/>
        <w:left w:val="none" w:sz="0" w:space="0" w:color="auto"/>
        <w:bottom w:val="none" w:sz="0" w:space="0" w:color="auto"/>
        <w:right w:val="none" w:sz="0" w:space="0" w:color="auto"/>
      </w:divBdr>
    </w:div>
    <w:div w:id="96399808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4C616-565D-41BB-86F4-CC8CB0C3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6</Pages>
  <Words>2802</Words>
  <Characters>15974</Characters>
  <Application>Microsoft Office Word</Application>
  <DocSecurity>0</DocSecurity>
  <Lines>133</Lines>
  <Paragraphs>37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18739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2025-09-26T15:42:00Z</dcterms:created>
  <dcterms:modified xsi:type="dcterms:W3CDTF">2025-09-28T07:03:00Z</dcterms:modified>
</cp:coreProperties>
</file>