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D8BF" w14:textId="229CCCE6" w:rsidR="00754C9A" w:rsidRDefault="00241F3F" w:rsidP="00441B6F">
      <w:pPr>
        <w:pStyle w:val="Title"/>
        <w:spacing w:after="0"/>
        <w:jc w:val="both"/>
        <w:rPr>
          <w:rFonts w:ascii="Arial" w:hAnsi="Arial" w:cs="Arial"/>
        </w:rPr>
      </w:pPr>
      <w:r w:rsidRPr="00241F3F">
        <w:rPr>
          <w:rFonts w:ascii="Arial" w:hAnsi="Arial" w:cs="Arial"/>
        </w:rPr>
        <w:t>Study Protocol</w:t>
      </w:r>
    </w:p>
    <w:p w14:paraId="13894115" w14:textId="77777777" w:rsidR="00241F3F" w:rsidRDefault="00241F3F" w:rsidP="00441B6F">
      <w:pPr>
        <w:pStyle w:val="Title"/>
        <w:spacing w:after="0"/>
        <w:jc w:val="both"/>
        <w:rPr>
          <w:rFonts w:ascii="Arial" w:hAnsi="Arial" w:cs="Arial"/>
        </w:rPr>
      </w:pPr>
    </w:p>
    <w:p w14:paraId="3F085C6B" w14:textId="40334ACB" w:rsidR="00A258C3" w:rsidRDefault="00023456" w:rsidP="00441B6F">
      <w:pPr>
        <w:pStyle w:val="Author"/>
        <w:spacing w:line="240" w:lineRule="auto"/>
        <w:jc w:val="both"/>
        <w:rPr>
          <w:rFonts w:ascii="Arial" w:hAnsi="Arial" w:cs="Arial"/>
          <w:bCs/>
          <w:iCs/>
          <w:kern w:val="28"/>
          <w:sz w:val="36"/>
        </w:rPr>
      </w:pPr>
      <w:r w:rsidRPr="00023456">
        <w:rPr>
          <w:rFonts w:ascii="Arial" w:hAnsi="Arial" w:cs="Arial"/>
          <w:bCs/>
          <w:iCs/>
          <w:kern w:val="28"/>
          <w:sz w:val="36"/>
        </w:rPr>
        <w:t>A Mixed-Method Study Protocol on Financing Health in an Ageing Nation: Developing a Healthcare Sustainability Index for Pensioned and Non-Pensioned Military Veterans in Malaysia</w:t>
      </w:r>
    </w:p>
    <w:p w14:paraId="1BF56557" w14:textId="77777777" w:rsidR="00304EAE" w:rsidRPr="00790ADA" w:rsidRDefault="00304EAE" w:rsidP="00441B6F">
      <w:pPr>
        <w:pStyle w:val="Author"/>
        <w:spacing w:line="240" w:lineRule="auto"/>
        <w:jc w:val="both"/>
        <w:rPr>
          <w:rFonts w:ascii="Arial" w:hAnsi="Arial" w:cs="Arial"/>
          <w:sz w:val="36"/>
        </w:rPr>
      </w:pPr>
    </w:p>
    <w:p w14:paraId="0D58CED3" w14:textId="77777777" w:rsidR="00304EAE" w:rsidRPr="00475C91" w:rsidRDefault="00304EAE" w:rsidP="00475C91">
      <w:pPr>
        <w:pStyle w:val="Affiliation"/>
        <w:rPr>
          <w:rFonts w:ascii="Arial" w:hAnsi="Arial" w:cs="Arial"/>
          <w:i/>
          <w:lang w:val="en-GB"/>
        </w:rPr>
      </w:pPr>
    </w:p>
    <w:p w14:paraId="1E635196" w14:textId="77777777" w:rsidR="002C57D2" w:rsidRPr="00FB3A86" w:rsidRDefault="002C57D2" w:rsidP="00441B6F">
      <w:pPr>
        <w:pStyle w:val="Affiliation"/>
        <w:spacing w:after="0" w:line="240" w:lineRule="auto"/>
        <w:jc w:val="both"/>
        <w:rPr>
          <w:rFonts w:ascii="Arial" w:hAnsi="Arial" w:cs="Arial"/>
        </w:rPr>
      </w:pPr>
    </w:p>
    <w:p w14:paraId="633DB14B" w14:textId="77777777" w:rsidR="00B01FCD" w:rsidRPr="00FB3A86" w:rsidRDefault="00D747AF" w:rsidP="00441B6F">
      <w:pPr>
        <w:pStyle w:val="Copyright"/>
        <w:spacing w:after="0" w:line="240" w:lineRule="auto"/>
        <w:jc w:val="both"/>
        <w:rPr>
          <w:rFonts w:ascii="Arial" w:hAnsi="Arial" w:cs="Arial"/>
        </w:rPr>
        <w:sectPr w:rsidR="00B01FCD" w:rsidRPr="00FB3A86" w:rsidSect="004D33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DA39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C7873A" w14:textId="20F07B3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9B950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452B9D" w14:textId="77777777" w:rsidTr="001E44FE">
        <w:tc>
          <w:tcPr>
            <w:tcW w:w="9576" w:type="dxa"/>
            <w:shd w:val="clear" w:color="auto" w:fill="F2F2F2"/>
          </w:tcPr>
          <w:p w14:paraId="16E5FA26" w14:textId="32465EA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23456" w:rsidRPr="00023456">
              <w:rPr>
                <w:rFonts w:ascii="Arial" w:eastAsia="Calibri" w:hAnsi="Arial" w:cs="Arial"/>
                <w:szCs w:val="22"/>
              </w:rPr>
              <w:t>Malaysia’s rapid ascent as an ageing nation with 7.7% of its population now over 65 which heralds unprecedented pressure on its health system. This demographic shift exposes critical vulnerabilities in healthcare financing and access, particularly for distinct subgroups like military veterans. The pension status of Malaysian Armed Forces (MAF) veterans creates a fundamental inequity in their capacity to manage health costs, a key determinant of well-being that remains systematically unexamined.</w:t>
            </w:r>
          </w:p>
          <w:p w14:paraId="0FBA4572" w14:textId="31EAC00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23456">
              <w:rPr>
                <w:rFonts w:ascii="Arial" w:eastAsia="Calibri" w:hAnsi="Arial" w:cs="Arial"/>
                <w:szCs w:val="22"/>
              </w:rPr>
              <w:t>S</w:t>
            </w:r>
            <w:proofErr w:type="spellStart"/>
            <w:r w:rsidR="00023456" w:rsidRPr="00023456">
              <w:rPr>
                <w:rFonts w:ascii="Arial" w:eastAsia="Calibri" w:hAnsi="Arial" w:cs="Arial"/>
                <w:szCs w:val="22"/>
                <w:lang w:val="en-MY"/>
              </w:rPr>
              <w:t>equential</w:t>
            </w:r>
            <w:proofErr w:type="spellEnd"/>
            <w:r w:rsidR="00023456" w:rsidRPr="00023456">
              <w:rPr>
                <w:rFonts w:ascii="Arial" w:eastAsia="Calibri" w:hAnsi="Arial" w:cs="Arial"/>
                <w:szCs w:val="22"/>
                <w:lang w:val="en-MY"/>
              </w:rPr>
              <w:t xml:space="preserve"> exploratory mixed-methods design</w:t>
            </w:r>
            <w:r w:rsidRPr="00BA1B01">
              <w:rPr>
                <w:rFonts w:ascii="Arial" w:eastAsia="Calibri" w:hAnsi="Arial" w:cs="Arial"/>
                <w:szCs w:val="22"/>
              </w:rPr>
              <w:t>.</w:t>
            </w:r>
          </w:p>
          <w:p w14:paraId="7806DE62" w14:textId="7BCAA5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23456">
              <w:rPr>
                <w:rFonts w:ascii="Arial" w:eastAsia="Calibri" w:hAnsi="Arial" w:cs="Arial"/>
                <w:szCs w:val="22"/>
              </w:rPr>
              <w:t xml:space="preserve">All states in Malaysia with department of veteran affairs </w:t>
            </w:r>
            <w:r w:rsidRPr="00BA1B01">
              <w:rPr>
                <w:rFonts w:ascii="Arial" w:eastAsia="Calibri" w:hAnsi="Arial" w:cs="Arial"/>
                <w:szCs w:val="22"/>
              </w:rPr>
              <w:t xml:space="preserve">between </w:t>
            </w:r>
            <w:r w:rsidR="00023456">
              <w:rPr>
                <w:rFonts w:ascii="Arial" w:eastAsia="Calibri" w:hAnsi="Arial" w:cs="Arial"/>
                <w:szCs w:val="22"/>
              </w:rPr>
              <w:t>Dec 2024 to May</w:t>
            </w:r>
            <w:r w:rsidRPr="00BA1B01">
              <w:rPr>
                <w:rFonts w:ascii="Arial" w:eastAsia="Calibri" w:hAnsi="Arial" w:cs="Arial"/>
                <w:szCs w:val="22"/>
              </w:rPr>
              <w:t xml:space="preserve"> 20</w:t>
            </w:r>
            <w:r w:rsidR="00023456">
              <w:rPr>
                <w:rFonts w:ascii="Arial" w:eastAsia="Calibri" w:hAnsi="Arial" w:cs="Arial"/>
                <w:szCs w:val="22"/>
              </w:rPr>
              <w:t>25</w:t>
            </w:r>
            <w:r w:rsidRPr="00BA1B01">
              <w:rPr>
                <w:rFonts w:ascii="Arial" w:eastAsia="Calibri" w:hAnsi="Arial" w:cs="Arial"/>
                <w:szCs w:val="22"/>
              </w:rPr>
              <w:t>.</w:t>
            </w:r>
          </w:p>
          <w:p w14:paraId="3A8E49BE" w14:textId="3B9BD5A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23456" w:rsidRPr="00023456">
              <w:rPr>
                <w:rFonts w:ascii="Arial" w:eastAsia="Calibri" w:hAnsi="Arial" w:cs="Arial"/>
                <w:szCs w:val="22"/>
              </w:rPr>
              <w:t>This study employed a sequential exploratory mixed-methods design. Qualitative themes from in-depth interviews with 10 veterans were used to develop a quantitative survey, which was then administered to a stratified random sample of 475 MAF veterans. The core output of this analysis is the development and validation of a multidimensional Healthcare Sustainability Index (HSI), a composite measure integrating critical domains of workforce capacity, infrastructure, pharmaceutical access, and most critically, fiscal resilience</w:t>
            </w:r>
            <w:r w:rsidRPr="00BA1B01">
              <w:rPr>
                <w:rFonts w:ascii="Arial" w:eastAsia="Calibri" w:hAnsi="Arial" w:cs="Arial"/>
                <w:szCs w:val="22"/>
              </w:rPr>
              <w:t>.</w:t>
            </w:r>
          </w:p>
          <w:p w14:paraId="7FAFC67A" w14:textId="2C6E11D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3456" w:rsidRPr="00023456">
              <w:rPr>
                <w:rFonts w:ascii="Arial" w:eastAsia="Calibri" w:hAnsi="Arial" w:cs="Arial"/>
                <w:szCs w:val="22"/>
              </w:rPr>
              <w:t>The study identifies a significant disparity in healthcare financial sustainability between pensioned and non-pensioned veterans. The validated HSI provides a precise metric to quantify this gap, revealing that non-pensioned veterans face substantially higher risks of catastrophic health expenditure and forgoing necessary care due to cost</w:t>
            </w:r>
            <w:r w:rsidRPr="00BA1B01">
              <w:rPr>
                <w:rFonts w:ascii="Arial" w:eastAsia="Calibri" w:hAnsi="Arial" w:cs="Arial"/>
                <w:szCs w:val="22"/>
              </w:rPr>
              <w:t>.</w:t>
            </w:r>
          </w:p>
          <w:p w14:paraId="58563BE9" w14:textId="2228F23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23456" w:rsidRPr="00023456">
              <w:rPr>
                <w:rFonts w:ascii="Arial" w:eastAsia="Calibri" w:hAnsi="Arial" w:cs="Arial"/>
                <w:szCs w:val="22"/>
              </w:rPr>
              <w:t>This research provides the first empirical evidence of a pension-based healthcare inequity within Malaysia's veteran community. The HSI serves as a vital policy tool for designing targeted, evidence-based interventions. The findings directly inform strategies to strengthen government financing mechanisms, safeguard veteran well-being, and enhance the overall resilience of Malaysia’s health system in the face of demographic ageing. By proposing a replicable model for assessing financial risk protection, this study offers critical insights for policymakers in Malaysia.</w:t>
            </w:r>
          </w:p>
        </w:tc>
      </w:tr>
    </w:tbl>
    <w:p w14:paraId="1BA71B4D" w14:textId="77777777" w:rsidR="00636EB2" w:rsidRDefault="00636EB2" w:rsidP="00441B6F">
      <w:pPr>
        <w:pStyle w:val="Body"/>
        <w:spacing w:after="0"/>
        <w:rPr>
          <w:rFonts w:ascii="Arial" w:hAnsi="Arial" w:cs="Arial"/>
          <w:i/>
        </w:rPr>
      </w:pPr>
    </w:p>
    <w:p w14:paraId="47AA179A" w14:textId="06B7F1F8" w:rsidR="00790ADA" w:rsidRDefault="00A24E7E" w:rsidP="00441B6F">
      <w:pPr>
        <w:pStyle w:val="Body"/>
        <w:spacing w:after="0"/>
        <w:rPr>
          <w:rFonts w:ascii="Arial" w:hAnsi="Arial" w:cs="Arial"/>
          <w:i/>
        </w:rPr>
      </w:pPr>
      <w:r>
        <w:rPr>
          <w:rFonts w:ascii="Arial" w:hAnsi="Arial" w:cs="Arial"/>
          <w:i/>
        </w:rPr>
        <w:t xml:space="preserve">Keywords: </w:t>
      </w:r>
      <w:r w:rsidR="00023456" w:rsidRPr="00023456">
        <w:rPr>
          <w:rFonts w:ascii="Arial" w:hAnsi="Arial" w:cs="Arial"/>
          <w:i/>
        </w:rPr>
        <w:t xml:space="preserve">Veterans Health, Healthcare Financing, Health Policy, Healthcare Sustainability Index, Universal Health Coverage </w:t>
      </w:r>
    </w:p>
    <w:p w14:paraId="6EB6E73A" w14:textId="5F4C191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9D180D8" w14:textId="77777777" w:rsidR="00790ADA" w:rsidRPr="00FB3A86" w:rsidRDefault="00790ADA" w:rsidP="00441B6F">
      <w:pPr>
        <w:pStyle w:val="AbstHead"/>
        <w:spacing w:after="0"/>
        <w:jc w:val="both"/>
        <w:rPr>
          <w:rFonts w:ascii="Arial" w:hAnsi="Arial" w:cs="Arial"/>
        </w:rPr>
      </w:pPr>
    </w:p>
    <w:p w14:paraId="3FFC541A" w14:textId="246FC17B" w:rsidR="0032235B" w:rsidRDefault="00023456" w:rsidP="00B9747A">
      <w:pPr>
        <w:pStyle w:val="Body"/>
        <w:spacing w:after="0"/>
        <w:rPr>
          <w:rFonts w:ascii="Arial" w:hAnsi="Arial"/>
          <w:lang w:val="en-MY"/>
        </w:rPr>
      </w:pPr>
      <w:r w:rsidRPr="00023456">
        <w:rPr>
          <w:rFonts w:ascii="Arial" w:hAnsi="Arial"/>
          <w:lang w:val="en-MY"/>
        </w:rPr>
        <w:t xml:space="preserve">Malaysia’s rapid demographic transition presents one of the most significant health policy and management challenges of the coming decades. Having reached aged nation status (7.7% of the population ≥65 years) by 2025, its elderly cohort is projected to increase by 269% between 2008 and 2040, on a trajectory toward a super-aged society by 2056 </w:t>
      </w:r>
      <w:r w:rsidRPr="00023456">
        <w:rPr>
          <w:rFonts w:ascii="Arial" w:hAnsi="Arial"/>
          <w:lang w:val="en-MY"/>
        </w:rPr>
        <w:fldChar w:fldCharType="begin" w:fldLock="1"/>
      </w:r>
      <w:r w:rsidR="009B1172">
        <w:rPr>
          <w:rFonts w:ascii="Arial" w:hAnsi="Arial"/>
          <w:lang w:val="en-MY"/>
        </w:rPr>
        <w:instrText>ADDIN CSL_CITATION {"citationItems":[{"id":"ITEM-1","itemData":{"URL":"https://www.dosm.gov.my/portal-main/release-content/demographic-statistics-first-quarter-2025","accessed":{"date-parts":[["2025","6","16"]]},"author":[{"dropping-particle":"","family":"Department of Statistic Malaysia","given":"","non-dropping-particle":"","parse-names":false,"suffix":""}],"id":"ITEM-1","issued":{"date-parts":[["2025"]]},"title":"Demographic Statistics, First Quarter 2025","type":"webpage"},"uris":["http://www.mendeley.com/documents/?uuid=e0f7c46d-4238-4c37-a089-54f2156f5813"]},{"id":"ITEM-2","itemData":{"author":[{"dropping-particle":"","family":"Kinsella","given":"Kevin","non-dropping-particle":"","parse-names":false,"suffix":""},{"dropping-particle":"","family":"He","given":"Wan","non-dropping-particle":"","parse-names":false,"suffix":""}],"id":"ITEM-2","issued":{"date-parts":[["2009"]]},"publisher":"US Government Printing Office Washington, DC","title":"An aging world: 2008: International population reports","type":"book"},"uris":["http://www.mendeley.com/documents/?uuid=93eb30d0-8e03-46e3-9b0f-bf64009379c8"]},{"id":"ITEM-3","itemData":{"URL":"https://www.undp.org/malaysia/blog/interconnections-between-climate-change-and-population-aging-implications-more-inclusive-and-sustainable-development-malaysia","accessed":{"date-parts":[["2025","6","16"]]},"author":[{"dropping-particle":"","family":"Khalid","given":"Haniza","non-dropping-particle":"","parse-names":false,"suffix":""},{"dropping-particle":"","family":"Tan","given":"David","non-dropping-particle":"","parse-names":false,"suffix":""}],"container-title":"United Nations Development Programme","id":"ITEM-3","issued":{"date-parts":[["2023"]]},"title":"Interconnections between Climate Change and Population Aging: Implications for a More Inclusive and Sustainable Development in Malaysia","type":"webpage"},"uris":["http://www.mendeley.com/documents/?uuid=ad7581ae-7129-4629-b48b-18b97c13c106"]}],"mendeley":{"formattedCitation":"[1], [2], [3]","plainTextFormattedCitation":"[1], [2], [3]","previouslyFormattedCitation":"[1], [2], [3]"},"properties":{"noteIndex":0},"schema":"https://github.com/citation-style-language/schema/raw/master/csl-citation.json"}</w:instrText>
      </w:r>
      <w:r w:rsidRPr="00023456">
        <w:rPr>
          <w:rFonts w:ascii="Arial" w:hAnsi="Arial"/>
          <w:lang w:val="en-MY"/>
        </w:rPr>
        <w:fldChar w:fldCharType="separate"/>
      </w:r>
      <w:r w:rsidR="00B9747A" w:rsidRPr="00B9747A">
        <w:rPr>
          <w:rFonts w:ascii="Arial" w:hAnsi="Arial"/>
          <w:noProof/>
          <w:lang w:val="en-MY"/>
        </w:rPr>
        <w:t>[1], [2], [3]</w:t>
      </w:r>
      <w:r w:rsidRPr="00023456">
        <w:rPr>
          <w:rFonts w:ascii="Arial" w:hAnsi="Arial"/>
          <w:lang w:val="en-GB"/>
        </w:rPr>
        <w:fldChar w:fldCharType="end"/>
      </w:r>
      <w:r w:rsidRPr="00023456">
        <w:rPr>
          <w:rFonts w:ascii="Arial" w:hAnsi="Arial"/>
          <w:lang w:val="en-MY"/>
        </w:rPr>
        <w:t xml:space="preserve">. While the country's health system has historically contributed to excellent outcomes </w:t>
      </w:r>
      <w:r w:rsidRPr="00023456">
        <w:rPr>
          <w:rFonts w:ascii="Arial" w:hAnsi="Arial"/>
          <w:lang w:val="en-MY"/>
        </w:rPr>
        <w:fldChar w:fldCharType="begin" w:fldLock="1"/>
      </w:r>
      <w:r w:rsidR="009B1172">
        <w:rPr>
          <w:rFonts w:ascii="Arial" w:hAnsi="Arial"/>
          <w:lang w:val="en-MY"/>
        </w:rPr>
        <w:instrText>ADDIN CSL_CITATION {"citationItems":[{"id":"ITEM-1","itemData":{"author":[{"dropping-particle":"","family":"Ministry of Health Malaysia.","given":"","non-dropping-particle":"","parse-names":false,"suffix":""}],"id":"ITEM-1","issued":{"date-parts":[["2024"]]},"title":"Health White Paper for Malaysia","type":"report"},"uris":["http://www.mendeley.com/documents/?uuid=25e2d040-8077-429e-9477-012b44ea62d7"]}],"mendeley":{"formattedCitation":"[4]","plainTextFormattedCitation":"[4]","previouslyFormattedCitation":"[4]"},"properties":{"noteIndex":0},"schema":"https://github.com/citation-style-language/schema/raw/master/csl-citation.json"}</w:instrText>
      </w:r>
      <w:r w:rsidRPr="00023456">
        <w:rPr>
          <w:rFonts w:ascii="Arial" w:hAnsi="Arial"/>
          <w:lang w:val="en-MY"/>
        </w:rPr>
        <w:fldChar w:fldCharType="separate"/>
      </w:r>
      <w:r w:rsidR="00B9747A" w:rsidRPr="00B9747A">
        <w:rPr>
          <w:rFonts w:ascii="Arial" w:hAnsi="Arial"/>
          <w:noProof/>
          <w:lang w:val="en-MY"/>
        </w:rPr>
        <w:t>[4]</w:t>
      </w:r>
      <w:r w:rsidRPr="00023456">
        <w:rPr>
          <w:rFonts w:ascii="Arial" w:hAnsi="Arial"/>
          <w:lang w:val="en-GB"/>
        </w:rPr>
        <w:fldChar w:fldCharType="end"/>
      </w:r>
      <w:r w:rsidRPr="00023456">
        <w:rPr>
          <w:rFonts w:ascii="Arial" w:hAnsi="Arial"/>
          <w:lang w:val="en-MY"/>
        </w:rPr>
        <w:t xml:space="preserve">, its financial and operational sustainability is now under unprecedented threat. This demographic shift translates into direct system strain: it exacerbates the burden of non-communicable diseases, projects a rise in dementia cases to 668,000 by 2050, and follows healthcare costs that already reached RM88.4 billion in 2020 </w:t>
      </w:r>
      <w:r w:rsidRPr="00023456">
        <w:rPr>
          <w:rFonts w:ascii="Arial" w:hAnsi="Arial"/>
          <w:lang w:val="en-MY"/>
        </w:rPr>
        <w:fldChar w:fldCharType="begin" w:fldLock="1"/>
      </w:r>
      <w:r w:rsidR="009B1172">
        <w:rPr>
          <w:rFonts w:ascii="Arial" w:hAnsi="Arial"/>
          <w:lang w:val="en-MY"/>
        </w:rPr>
        <w:instrText>ADDIN CSL_CITATION {"citationItems":[{"id":"ITEM-1","itemData":{"URL":"https://mprh.lppkn.gov.my/ageing-phenomenon-malaysia-towards-2030/","accessed":{"date-parts":[["2025","6","16"]]},"author":[{"dropping-particle":"","family":"The National Population and Family Development Board","given":"","non-dropping-particle":"","parse-names":false,"suffix":""}],"container-title":"Malaysia Population Research Hub","id":"ITEM-1","issued":{"date-parts":[["2017"]]},"title":"Ageing Phenomenon: Malaysia Towards 2030","type":"webpage"},"uris":["http://www.mendeley.com/documents/?uuid=75a1f0cd-6092-49ab-922c-1ea430462b7f"]},{"id":"ITEM-2","itemData":{"author":[{"dropping-particle":"","family":"Ministry of Health Malaysia.","given":"","non-dropping-particle":"","parse-names":false,"suffix":""}],"id":"ITEM-2","issued":{"date-parts":[["2022"]]},"title":"The Direct Health-Care Cost Of Noncommunicable Diseases In Malaysia","type":"report"},"uris":["http://www.mendeley.com/documents/?uuid=982b4449-b3be-451e-b760-c04ab158d891"]}],"mendeley":{"formattedCitation":"[5], [6]","plainTextFormattedCitation":"[5], [6]","previouslyFormattedCitation":"[5], [6]"},"properties":{"noteIndex":0},"schema":"https://github.com/citation-style-language/schema/raw/master/csl-citation.json"}</w:instrText>
      </w:r>
      <w:r w:rsidRPr="00023456">
        <w:rPr>
          <w:rFonts w:ascii="Arial" w:hAnsi="Arial"/>
          <w:lang w:val="en-MY"/>
        </w:rPr>
        <w:fldChar w:fldCharType="separate"/>
      </w:r>
      <w:r w:rsidR="00B9747A" w:rsidRPr="00B9747A">
        <w:rPr>
          <w:rFonts w:ascii="Arial" w:hAnsi="Arial"/>
          <w:noProof/>
          <w:lang w:val="en-MY"/>
        </w:rPr>
        <w:t>[5], [6]</w:t>
      </w:r>
      <w:r w:rsidRPr="00023456">
        <w:rPr>
          <w:rFonts w:ascii="Arial" w:hAnsi="Arial"/>
          <w:lang w:val="en-GB"/>
        </w:rPr>
        <w:fldChar w:fldCharType="end"/>
      </w:r>
      <w:r w:rsidRPr="00023456">
        <w:rPr>
          <w:rFonts w:ascii="Arial" w:hAnsi="Arial"/>
          <w:lang w:val="en-MY"/>
        </w:rPr>
        <w:t xml:space="preserve">. These converging pressures rising demand, clinical complexity, and soaring costs threaten the resilience of Malaysia’s acclaimed Universal Health Coverage (UHC) system and constrain efforts to achieve the Sustainable Development Goals (SDGs), particularly SDG 3 </w:t>
      </w:r>
      <w:r w:rsidRPr="00023456">
        <w:rPr>
          <w:rFonts w:ascii="Arial" w:hAnsi="Arial"/>
          <w:lang w:val="en-MY"/>
        </w:rPr>
        <w:fldChar w:fldCharType="begin" w:fldLock="1"/>
      </w:r>
      <w:r w:rsidR="009B1172">
        <w:rPr>
          <w:rFonts w:ascii="Arial" w:hAnsi="Arial"/>
          <w:lang w:val="en-MY"/>
        </w:rPr>
        <w:instrText>ADDIN CSL_CITATION {"citationItems":[{"id":"ITEM-1","itemData":{"DOI":"10.1007/978-981-16-3787-2_4","ISBN":"978-981-16-3787-2","abstract":"In September 2015, the United Nations (UN) proposed Agenda 2030, an ambitious initiative to end poverty, combat climate change, and fight injustice and inequality over the next 15 years. Agenda 2030 promises a better future for all by setting out 17 sustainable development goals (SDGs) that the Member States of countries all over the world have committed to achieving. These goals cover a range of different topics—from ending poverty, improving healthcare, and building more inclusive and sustainable cities, to reducing the impacts of climate change (Fig. 4.1). The goals were adopted by all Member States of the UN formally in 2015 (September 25–27, 2015; at the 70th anniversary of the UN), and were effective from 1st January 2016 for the period 2016–2030.","author":[{"dropping-particle":"","family":"Das","given":"Taraprasad","non-dropping-particle":"","parse-names":false,"suffix":""},{"dropping-particle":"","family":"Holland","given":"Peter","non-dropping-particle":"","parse-names":false,"suffix":""},{"dropping-particle":"","family":"Ahmed","given":"Munir","non-dropping-particle":"","parse-names":false,"suffix":""},{"dropping-particle":"","family":"Husain","given":"Lutful","non-dropping-particle":"","parse-names":false,"suffix":""}],"editor":[{"dropping-particle":"","family":"Das","given":"Taraprasad","non-dropping-particle":"","parse-names":false,"suffix":""},{"dropping-particle":"","family":"Nayar","given":"Patanjali Dev","non-dropping-particle":"","parse-names":false,"suffix":""}],"id":"ITEM-1","issued":{"date-parts":[["2021"]]},"page":"61-78","publisher":"Springer Singapore","publisher-place":"Singapore","title":"Sustainable Development Goal 3: Good Health and Well-being BT  - South-East Asia Eye Health: Systems, Practices, and Challenges","type":"chapter"},"uris":["http://www.mendeley.com/documents/?uuid=430ef078-c79c-44f9-a0ab-aabde80eadf2"]}],"mendeley":{"formattedCitation":"[7]","plainTextFormattedCitation":"[7]","previouslyFormattedCitation":"[7]"},"properties":{"noteIndex":0},"schema":"https://github.com/citation-style-language/schema/raw/master/csl-citation.json"}</w:instrText>
      </w:r>
      <w:r w:rsidRPr="00023456">
        <w:rPr>
          <w:rFonts w:ascii="Arial" w:hAnsi="Arial"/>
          <w:lang w:val="en-MY"/>
        </w:rPr>
        <w:fldChar w:fldCharType="separate"/>
      </w:r>
      <w:r w:rsidR="00B9747A" w:rsidRPr="00B9747A">
        <w:rPr>
          <w:rFonts w:ascii="Arial" w:hAnsi="Arial"/>
          <w:noProof/>
          <w:lang w:val="en-MY"/>
        </w:rPr>
        <w:t>[7]</w:t>
      </w:r>
      <w:r w:rsidRPr="00023456">
        <w:rPr>
          <w:rFonts w:ascii="Arial" w:hAnsi="Arial"/>
          <w:lang w:val="en-GB"/>
        </w:rPr>
        <w:fldChar w:fldCharType="end"/>
      </w:r>
      <w:r w:rsidRPr="00023456">
        <w:rPr>
          <w:rFonts w:ascii="Arial" w:hAnsi="Arial"/>
          <w:lang w:val="en-MY"/>
        </w:rPr>
        <w:t>. The central policy question, therefore, is not merely about clinical care for the elderly, but about designing financially resilient and equitable health financing models that can withstand these demographic pressures.</w:t>
      </w:r>
    </w:p>
    <w:p w14:paraId="26E39D64" w14:textId="77777777" w:rsidR="00B9747A" w:rsidRDefault="00B9747A" w:rsidP="00B9747A">
      <w:pPr>
        <w:pStyle w:val="Body"/>
        <w:spacing w:after="0"/>
        <w:rPr>
          <w:rFonts w:ascii="Arial" w:hAnsi="Arial"/>
          <w:lang w:val="en-MY"/>
        </w:rPr>
      </w:pPr>
    </w:p>
    <w:p w14:paraId="2F8B2571" w14:textId="34126012" w:rsidR="0032235B" w:rsidRDefault="0032235B" w:rsidP="0032235B">
      <w:pPr>
        <w:pStyle w:val="Body"/>
        <w:spacing w:after="0"/>
        <w:rPr>
          <w:rFonts w:ascii="Arial" w:hAnsi="Arial"/>
          <w:lang w:val="en-MY"/>
        </w:rPr>
      </w:pPr>
      <w:r w:rsidRPr="0032235B">
        <w:rPr>
          <w:rFonts w:ascii="Arial" w:hAnsi="Arial"/>
          <w:lang w:val="en-MY"/>
        </w:rPr>
        <w:t>A critical vulnerability within this broader challenge lies in the care of specific sub-populations with unique health profiles and fragmented financing pathways. Military veterans represent one such group, embodying the intersection of ageing, complex health needs, and potentially precarious financial independence. The distinction between pensioned and non-pensioned veterans creates a critical policy and management fault line, determining access to care, level of financial protection, and ultimately, health outcomes. This disparity presents a clear risk: veterans without pensions may become disproportionately reliant on public health financing, potentially leading to catastrophic health expenditures for them and avoidable demand on state resources. However, evidence to guide policymakers in addressing this risk is scant. A significant knowledge gap exists in understanding the micro-mechanisms of healthcare financing within this group and how they reflect broader, systemic vulnerabilities in Malaysia's health financing architecture.</w:t>
      </w:r>
    </w:p>
    <w:p w14:paraId="68DC5198" w14:textId="77777777" w:rsidR="0032235B" w:rsidRDefault="0032235B" w:rsidP="0032235B">
      <w:pPr>
        <w:pStyle w:val="Body"/>
        <w:spacing w:after="0"/>
        <w:rPr>
          <w:rFonts w:ascii="Arial" w:hAnsi="Arial"/>
          <w:lang w:val="en-MY"/>
        </w:rPr>
      </w:pPr>
    </w:p>
    <w:p w14:paraId="1C4ACA78" w14:textId="74EFD354" w:rsidR="0032235B" w:rsidRPr="0032235B" w:rsidRDefault="0032235B" w:rsidP="0032235B">
      <w:pPr>
        <w:pStyle w:val="Body"/>
        <w:spacing w:after="0"/>
        <w:rPr>
          <w:rFonts w:ascii="Arial" w:hAnsi="Arial"/>
          <w:lang w:val="en-MY"/>
        </w:rPr>
      </w:pPr>
      <w:r w:rsidRPr="0032235B">
        <w:rPr>
          <w:rFonts w:ascii="Arial" w:hAnsi="Arial"/>
          <w:lang w:val="en-MY"/>
        </w:rPr>
        <w:t>A critical evidence gap persists regarding a fundamental inequity: how do pensioned and non-pensioned veterans differentially manage healthcare costs without sacrificing their basic quality of life? This concept of healthcare financial sustainability is not an academic abstraction, but a crucial determinant of well-being and a key pressure point for the entire health system. The role of pension status as a powerful lever either enabling access and providing financial protection or exacerbating vulnerability remains largely uncharted territory. This study confronts this void head-on by pioneering a composite Healthcare Sustainability Index (HSI) for Malaysian Armed Forces veterans. Our objectives are threefold: first, to establish the core indicators of financial sustainability for this distinct population; second, to empirically benchmark and contrast the sustainability crisis between pensioned and non-pensioned groups; and finally, to translate these findings into actionable, evidence-based policy solutions. Our ultimate goal is to forge a more equitable financing mechanism that safeguards veterans' health and dignity, while simultaneously creating a scalable model for protecting other ageing populations under Malaysia's UHC framework.</w:t>
      </w:r>
    </w:p>
    <w:p w14:paraId="49CE5F09" w14:textId="77777777" w:rsidR="00023456" w:rsidRPr="00023456" w:rsidRDefault="00023456" w:rsidP="00023456">
      <w:pPr>
        <w:spacing w:line="360" w:lineRule="auto"/>
        <w:jc w:val="both"/>
        <w:rPr>
          <w:rFonts w:ascii="Times New Roman" w:hAnsi="Times New Roman"/>
          <w:sz w:val="24"/>
          <w:szCs w:val="24"/>
          <w:lang w:val="en-MY"/>
        </w:rPr>
      </w:pPr>
    </w:p>
    <w:p w14:paraId="06C0F385" w14:textId="4791158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34ADD08" w14:textId="77777777" w:rsidR="00790ADA" w:rsidRPr="00FB3A86" w:rsidRDefault="00790ADA" w:rsidP="00441B6F">
      <w:pPr>
        <w:pStyle w:val="AbstHead"/>
        <w:spacing w:after="0"/>
        <w:jc w:val="both"/>
        <w:rPr>
          <w:rFonts w:ascii="Arial" w:hAnsi="Arial" w:cs="Arial"/>
        </w:rPr>
      </w:pPr>
    </w:p>
    <w:p w14:paraId="5171E0EE" w14:textId="3E993154" w:rsidR="0032235B" w:rsidRDefault="0032235B" w:rsidP="0032235B">
      <w:pPr>
        <w:pStyle w:val="Body"/>
        <w:spacing w:after="0"/>
        <w:rPr>
          <w:rFonts w:ascii="Arial" w:hAnsi="Arial" w:cs="Arial"/>
          <w:lang w:val="en-MY"/>
        </w:rPr>
      </w:pPr>
      <w:r w:rsidRPr="00C30A0F">
        <w:rPr>
          <w:rFonts w:ascii="Arial" w:hAnsi="Arial" w:cs="Arial"/>
          <w:b/>
          <w:caps/>
          <w:sz w:val="22"/>
        </w:rPr>
        <w:t xml:space="preserve">2.1 </w:t>
      </w:r>
      <w:r>
        <w:rPr>
          <w:rFonts w:ascii="Arial" w:hAnsi="Arial" w:cs="Arial"/>
          <w:b/>
          <w:sz w:val="22"/>
        </w:rPr>
        <w:t>Study Design</w:t>
      </w:r>
      <w:r w:rsidRPr="0032235B">
        <w:rPr>
          <w:rFonts w:ascii="Arial" w:hAnsi="Arial" w:cs="Arial"/>
          <w:lang w:val="en-MY"/>
        </w:rPr>
        <w:t xml:space="preserve"> </w:t>
      </w:r>
    </w:p>
    <w:p w14:paraId="0C40DF70" w14:textId="175FCE16" w:rsidR="0032235B" w:rsidRDefault="0032235B" w:rsidP="0032235B">
      <w:pPr>
        <w:pStyle w:val="Body"/>
        <w:spacing w:after="0"/>
        <w:rPr>
          <w:rFonts w:ascii="Arial" w:hAnsi="Arial" w:cs="Arial"/>
          <w:lang w:val="en-MY"/>
        </w:rPr>
      </w:pPr>
      <w:r w:rsidRPr="0032235B">
        <w:rPr>
          <w:rFonts w:ascii="Arial" w:hAnsi="Arial" w:cs="Arial"/>
          <w:lang w:val="en-MY"/>
        </w:rPr>
        <w:t>This study adopted a mixed-methods approach, utilizing a sequential exploratory design to gather both qualitative and quantitative data. The research was carried out in two phases to ensure comprehensive analysis and understanding of the data. In the qualitative phase, in-</w:t>
      </w:r>
      <w:r w:rsidRPr="0032235B">
        <w:rPr>
          <w:rFonts w:ascii="Arial" w:hAnsi="Arial" w:cs="Arial"/>
          <w:lang w:val="en-MY"/>
        </w:rPr>
        <w:lastRenderedPageBreak/>
        <w:t xml:space="preserve">depth interviews were conducted with ten MAF veterans. These interviews provided valuable insights into their experiences and perceptions related to their healthcare independence. The responses were carefully </w:t>
      </w:r>
      <w:proofErr w:type="spellStart"/>
      <w:r w:rsidRPr="0032235B">
        <w:rPr>
          <w:rFonts w:ascii="Arial" w:hAnsi="Arial" w:cs="Arial"/>
          <w:lang w:val="en-MY"/>
        </w:rPr>
        <w:t>analyzed</w:t>
      </w:r>
      <w:proofErr w:type="spellEnd"/>
      <w:r w:rsidRPr="0032235B">
        <w:rPr>
          <w:rFonts w:ascii="Arial" w:hAnsi="Arial" w:cs="Arial"/>
          <w:lang w:val="en-MY"/>
        </w:rPr>
        <w:t xml:space="preserve"> to identify key themes related to their roles, challenges, and needs. The analysis was conducted using conventional content analysis, a method that allowed the researchers to systematically categorize and interpret the data based on patterns that emerged from the interviews.</w:t>
      </w:r>
    </w:p>
    <w:p w14:paraId="24349813" w14:textId="77777777" w:rsidR="0032235B" w:rsidRPr="0032235B" w:rsidRDefault="0032235B" w:rsidP="0032235B">
      <w:pPr>
        <w:pStyle w:val="Body"/>
        <w:spacing w:after="0"/>
        <w:rPr>
          <w:rFonts w:ascii="Arial" w:hAnsi="Arial" w:cs="Arial"/>
          <w:lang w:val="en-MY"/>
        </w:rPr>
      </w:pPr>
    </w:p>
    <w:p w14:paraId="3A7E1786" w14:textId="577B6CB7" w:rsidR="0032235B" w:rsidRDefault="0032235B" w:rsidP="0032235B">
      <w:pPr>
        <w:pStyle w:val="Body"/>
        <w:spacing w:after="0"/>
        <w:rPr>
          <w:rFonts w:ascii="Arial" w:hAnsi="Arial" w:cs="Arial"/>
          <w:lang w:val="en-MY"/>
        </w:rPr>
      </w:pPr>
      <w:r w:rsidRPr="0032235B">
        <w:rPr>
          <w:rFonts w:ascii="Arial" w:hAnsi="Arial" w:cs="Arial"/>
          <w:lang w:val="en-MY"/>
        </w:rPr>
        <w:t>The ultimate aim of this research is to translate empirical findings into actionable policy recommendations. The developed Healthcare Sustainability Index (HSI) will serve as a diagnostic tool to identify specific gaps in the financial resilience of MAF veterans, thereby informing a targeted overhaul of the government's healthcare financing mechanism. The objective of this new mechanism is to enhance veterans' self-reliance and well-being by exploring innovative, sustainable models for assistance. These may include, but are not limited to, veteran-specific health subsidies, means-tested premium support, or integrated public-private financing schemes, designed to alleviate out-of-pocket expenditures for chronic disease management.</w:t>
      </w:r>
    </w:p>
    <w:p w14:paraId="3434705F" w14:textId="77777777" w:rsidR="0032235B" w:rsidRPr="0032235B" w:rsidRDefault="0032235B" w:rsidP="0032235B">
      <w:pPr>
        <w:pStyle w:val="Body"/>
        <w:spacing w:after="0"/>
        <w:rPr>
          <w:rFonts w:ascii="Arial" w:hAnsi="Arial" w:cs="Arial"/>
          <w:lang w:val="en-MY"/>
        </w:rPr>
      </w:pPr>
    </w:p>
    <w:p w14:paraId="3A062FBB" w14:textId="53D1E824" w:rsidR="00502516" w:rsidRPr="0032235B" w:rsidRDefault="0032235B" w:rsidP="0032235B">
      <w:pPr>
        <w:pStyle w:val="Body"/>
        <w:spacing w:after="0"/>
        <w:rPr>
          <w:rFonts w:ascii="Arial" w:hAnsi="Arial" w:cs="Arial"/>
          <w:lang w:val="en-MY"/>
        </w:rPr>
      </w:pPr>
      <w:r w:rsidRPr="0032235B">
        <w:rPr>
          <w:rFonts w:ascii="Arial" w:hAnsi="Arial" w:cs="Arial"/>
          <w:lang w:val="en-MY"/>
        </w:rPr>
        <w:t>To ensure these recommendations are both evidence-based and contextually appropriate, their development will be guided by a two-pronged approach: (1) a review of best practices from health financing models in other countries, and (2) structured stakeholder engagement with domestic experts in health economics, social security, and veteran affairs. This process ensures that proposed solutions are not only theoretically sound but also politically and operationally feasible within the Malaysian ecosystem.</w:t>
      </w:r>
    </w:p>
    <w:p w14:paraId="1A61F493" w14:textId="77777777" w:rsidR="002E0D56" w:rsidRDefault="002E0D56" w:rsidP="00441B6F">
      <w:pPr>
        <w:pStyle w:val="Body"/>
        <w:spacing w:after="0"/>
        <w:rPr>
          <w:rFonts w:ascii="Arial" w:hAnsi="Arial" w:cs="Arial"/>
        </w:rPr>
      </w:pPr>
    </w:p>
    <w:p w14:paraId="2C3A583D" w14:textId="600A36B3" w:rsidR="0032235B" w:rsidRDefault="0032235B" w:rsidP="0032235B">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32235B">
        <w:rPr>
          <w:rFonts w:ascii="Arial" w:hAnsi="Arial" w:cs="Arial"/>
          <w:b/>
          <w:sz w:val="22"/>
        </w:rPr>
        <w:t xml:space="preserve">Development </w:t>
      </w:r>
      <w:proofErr w:type="gramStart"/>
      <w:r w:rsidRPr="0032235B">
        <w:rPr>
          <w:rFonts w:ascii="Arial" w:hAnsi="Arial" w:cs="Arial"/>
          <w:b/>
          <w:sz w:val="22"/>
        </w:rPr>
        <w:t>Of</w:t>
      </w:r>
      <w:proofErr w:type="gramEnd"/>
      <w:r w:rsidRPr="0032235B">
        <w:rPr>
          <w:rFonts w:ascii="Arial" w:hAnsi="Arial" w:cs="Arial"/>
          <w:b/>
          <w:sz w:val="22"/>
        </w:rPr>
        <w:t xml:space="preserve"> The Health Sustainability Index </w:t>
      </w:r>
      <w:r w:rsidRPr="0032235B">
        <w:rPr>
          <w:rFonts w:ascii="Arial" w:hAnsi="Arial" w:cs="Arial"/>
          <w:b/>
          <w:caps/>
          <w:sz w:val="22"/>
        </w:rPr>
        <w:t>(HS</w:t>
      </w:r>
      <w:r>
        <w:rPr>
          <w:rFonts w:ascii="Arial" w:hAnsi="Arial" w:cs="Arial"/>
          <w:b/>
          <w:caps/>
          <w:sz w:val="22"/>
        </w:rPr>
        <w:t>I</w:t>
      </w:r>
      <w:r w:rsidRPr="0032235B">
        <w:rPr>
          <w:rFonts w:ascii="Arial" w:hAnsi="Arial" w:cs="Arial"/>
          <w:b/>
          <w:caps/>
          <w:sz w:val="22"/>
        </w:rPr>
        <w:t>)</w:t>
      </w:r>
    </w:p>
    <w:p w14:paraId="5E0DDBCD" w14:textId="77777777" w:rsidR="0032235B" w:rsidRPr="003436D6" w:rsidRDefault="0032235B" w:rsidP="0032235B">
      <w:pPr>
        <w:jc w:val="both"/>
      </w:pPr>
      <w:r w:rsidRPr="00EA3F48">
        <w:rPr>
          <w:lang w:val="en-MY"/>
        </w:rPr>
        <w:t>The development of the HSI itself requires a rigorous, multi-stage methodological approach to ensure its validity as a measure of a health system's capacity to meet population needs sustainably. The following steps outline the proposed methodology for its construction and validation:</w:t>
      </w:r>
    </w:p>
    <w:p w14:paraId="2D7E2B19" w14:textId="77777777" w:rsidR="0032235B" w:rsidRDefault="0032235B" w:rsidP="0032235B">
      <w:pPr>
        <w:pStyle w:val="Body"/>
        <w:spacing w:after="0"/>
        <w:rPr>
          <w:rFonts w:ascii="Arial" w:hAnsi="Arial" w:cs="Arial"/>
        </w:rPr>
      </w:pPr>
    </w:p>
    <w:p w14:paraId="5C4819E0" w14:textId="1AE8CCDB" w:rsidR="0032235B" w:rsidRDefault="0032235B" w:rsidP="0032235B">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32235B">
        <w:rPr>
          <w:rFonts w:ascii="Arial" w:hAnsi="Arial" w:cs="Arial"/>
          <w:b/>
          <w:u w:val="single"/>
        </w:rPr>
        <w:t xml:space="preserve">Definition and Scope of the Index </w:t>
      </w:r>
    </w:p>
    <w:p w14:paraId="4C85798F" w14:textId="77777777" w:rsidR="0032235B" w:rsidRPr="0032235B" w:rsidRDefault="0032235B" w:rsidP="0032235B">
      <w:pPr>
        <w:pStyle w:val="Body"/>
        <w:rPr>
          <w:rFonts w:ascii="Arial" w:hAnsi="Arial" w:cs="Arial"/>
          <w:lang w:val="en-MY"/>
        </w:rPr>
      </w:pPr>
      <w:r w:rsidRPr="0032235B">
        <w:rPr>
          <w:rFonts w:ascii="Arial" w:hAnsi="Arial" w:cs="Arial"/>
          <w:lang w:val="en-MY"/>
        </w:rPr>
        <w:t>The first step is to define “health care sustainability”. This includes aspects such as the availability of medical equipment, drug supplies, medical workforce capacity, and basic treatment facilities. The objective of the index is to assess the extent to which a health system can operate and meet needs without critical external assistance or imports.</w:t>
      </w:r>
    </w:p>
    <w:p w14:paraId="2FEA5C8A" w14:textId="260D9305" w:rsidR="0032235B" w:rsidRDefault="0032235B" w:rsidP="0032235B">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Indicator selection</w:t>
      </w:r>
      <w:r w:rsidRPr="0032235B">
        <w:rPr>
          <w:rFonts w:ascii="Arial" w:hAnsi="Arial" w:cs="Arial"/>
          <w:b/>
          <w:u w:val="single"/>
        </w:rPr>
        <w:t xml:space="preserve"> </w:t>
      </w:r>
    </w:p>
    <w:p w14:paraId="6ACC996B" w14:textId="77777777" w:rsidR="0032235B" w:rsidRPr="001E6589" w:rsidRDefault="0032235B" w:rsidP="0032235B">
      <w:pPr>
        <w:jc w:val="both"/>
        <w:rPr>
          <w:lang w:val="en-MY"/>
        </w:rPr>
      </w:pPr>
      <w:r w:rsidRPr="001E6589">
        <w:rPr>
          <w:lang w:val="en-MY"/>
        </w:rPr>
        <w:t>Based on the scope, researchers will select a few indicators that reflect reliance in various components of health. For example:</w:t>
      </w:r>
    </w:p>
    <w:p w14:paraId="46268BF1" w14:textId="77777777" w:rsidR="0032235B" w:rsidRPr="001E6589" w:rsidRDefault="0032235B" w:rsidP="009B1172">
      <w:pPr>
        <w:jc w:val="both"/>
        <w:rPr>
          <w:lang w:val="en-MY"/>
        </w:rPr>
      </w:pPr>
      <w:r w:rsidRPr="001E6589">
        <w:rPr>
          <w:lang w:val="en-MY"/>
        </w:rPr>
        <w:t>• Medical workforce: number of doctors, nurses, and health care staff per capita.</w:t>
      </w:r>
    </w:p>
    <w:p w14:paraId="4FD36FF2" w14:textId="77777777" w:rsidR="0032235B" w:rsidRPr="001E6589" w:rsidRDefault="0032235B" w:rsidP="009B1172">
      <w:pPr>
        <w:jc w:val="both"/>
        <w:rPr>
          <w:lang w:val="en-MY"/>
        </w:rPr>
      </w:pPr>
      <w:r w:rsidRPr="001E6589">
        <w:rPr>
          <w:lang w:val="en-MY"/>
        </w:rPr>
        <w:t>• Drug supply: availability of essential drugs, local manufacturing capacity, and safety stocks.</w:t>
      </w:r>
    </w:p>
    <w:p w14:paraId="7D7A771E" w14:textId="77777777" w:rsidR="0032235B" w:rsidRPr="001E6589" w:rsidRDefault="0032235B" w:rsidP="0032235B">
      <w:pPr>
        <w:jc w:val="both"/>
        <w:rPr>
          <w:lang w:val="en-MY"/>
        </w:rPr>
      </w:pPr>
      <w:r w:rsidRPr="001E6589">
        <w:rPr>
          <w:lang w:val="en-MY"/>
        </w:rPr>
        <w:t>• Equipment and facilities: presence of diagnostic machines (such as MRI machines), hospital beds, and emergency facilities.</w:t>
      </w:r>
    </w:p>
    <w:p w14:paraId="5E38C2CA" w14:textId="77777777" w:rsidR="0032235B" w:rsidRPr="001E6589" w:rsidRDefault="0032235B" w:rsidP="0032235B">
      <w:pPr>
        <w:jc w:val="both"/>
        <w:rPr>
          <w:lang w:val="en-MY"/>
        </w:rPr>
      </w:pPr>
      <w:r w:rsidRPr="001E6589">
        <w:rPr>
          <w:lang w:val="en-MY"/>
        </w:rPr>
        <w:t>• Financial resources and financing: per capita health expenditure, domestic versus imported sources of financing, total expenditure per follow-up treatment, cost of surgical treatment, cost of dialysis treatment, cost of purchasing medicines at pharmacies.</w:t>
      </w:r>
    </w:p>
    <w:p w14:paraId="4295BA31" w14:textId="77777777" w:rsidR="0032235B" w:rsidRDefault="0032235B" w:rsidP="0032235B">
      <w:pPr>
        <w:jc w:val="both"/>
        <w:rPr>
          <w:lang w:val="en-MY"/>
        </w:rPr>
      </w:pPr>
      <w:r w:rsidRPr="001E6589">
        <w:rPr>
          <w:lang w:val="en-MY"/>
        </w:rPr>
        <w:t>• Supporting infrastructure: capacity of supply chains and logistical facilities such as drug distribution systems, transportation to treatment sites and access to rural areas.</w:t>
      </w:r>
    </w:p>
    <w:p w14:paraId="3CF63AB9" w14:textId="77777777" w:rsidR="0032235B" w:rsidRDefault="0032235B" w:rsidP="00441B6F">
      <w:pPr>
        <w:pStyle w:val="Body"/>
        <w:spacing w:after="0"/>
        <w:rPr>
          <w:rFonts w:ascii="Arial" w:hAnsi="Arial" w:cs="Arial"/>
        </w:rPr>
      </w:pPr>
    </w:p>
    <w:p w14:paraId="7635D777" w14:textId="65EA698A" w:rsidR="0032235B" w:rsidRDefault="0032235B" w:rsidP="0032235B">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32235B">
        <w:rPr>
          <w:rFonts w:ascii="Arial" w:hAnsi="Arial" w:cs="Arial"/>
          <w:b/>
          <w:u w:val="single"/>
        </w:rPr>
        <w:t>Determination of Measurement Method</w:t>
      </w:r>
    </w:p>
    <w:p w14:paraId="47F3C203" w14:textId="0606552E" w:rsidR="0032235B" w:rsidRDefault="0032235B" w:rsidP="00441B6F">
      <w:pPr>
        <w:pStyle w:val="Body"/>
        <w:spacing w:after="0"/>
        <w:rPr>
          <w:rFonts w:ascii="Arial" w:hAnsi="Arial" w:cs="Arial"/>
        </w:rPr>
      </w:pPr>
      <w:r w:rsidRPr="0032235B">
        <w:rPr>
          <w:rFonts w:ascii="Arial" w:hAnsi="Arial" w:cs="Arial"/>
        </w:rPr>
        <w:t xml:space="preserve">Each variable selected should be objectively measurable. For example, the number of doctors per capita can be measured by the ratio of the number of doctors to the population. Data normalization may be required to allow comparison across variables with different </w:t>
      </w:r>
      <w:r w:rsidRPr="0032235B">
        <w:rPr>
          <w:rFonts w:ascii="Arial" w:hAnsi="Arial" w:cs="Arial"/>
        </w:rPr>
        <w:lastRenderedPageBreak/>
        <w:t>scales. Z-scores or min-max scaling are often used to transform these data into a uniform scale (e.g., 0 to 1).</w:t>
      </w:r>
    </w:p>
    <w:p w14:paraId="758789ED" w14:textId="77777777" w:rsidR="0032235B" w:rsidRDefault="0032235B" w:rsidP="00441B6F">
      <w:pPr>
        <w:pStyle w:val="Body"/>
        <w:spacing w:after="0"/>
        <w:rPr>
          <w:rFonts w:ascii="Arial" w:hAnsi="Arial" w:cs="Arial"/>
        </w:rPr>
      </w:pPr>
    </w:p>
    <w:p w14:paraId="41A5425C" w14:textId="5340E928" w:rsidR="0032235B" w:rsidRDefault="0032235B" w:rsidP="0032235B">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32235B">
        <w:rPr>
          <w:rFonts w:ascii="Arial" w:hAnsi="Arial" w:cs="Arial"/>
          <w:b/>
          <w:u w:val="single"/>
        </w:rPr>
        <w:t>Validation and Reliability Test</w:t>
      </w:r>
    </w:p>
    <w:p w14:paraId="43989818" w14:textId="1D1A7F6B" w:rsidR="0032235B" w:rsidRDefault="0032235B" w:rsidP="00441B6F">
      <w:pPr>
        <w:pStyle w:val="Body"/>
        <w:spacing w:after="0"/>
        <w:rPr>
          <w:rFonts w:ascii="Arial" w:hAnsi="Arial" w:cs="Arial"/>
        </w:rPr>
      </w:pPr>
      <w:r w:rsidRPr="0032235B">
        <w:rPr>
          <w:rFonts w:ascii="Arial" w:hAnsi="Arial" w:cs="Arial"/>
        </w:rPr>
        <w:t xml:space="preserve">The index should be tested to ensure that it truly represents the concept of health care sustainability. This step may involve correlation with other health data, such as mortality rates or treatment access rates, to see the consistency of the index. Reliability testing involves retesting the index with other data sets or over different time periods to ensure consistent results. There are 30 respondents who will be invited to do this </w:t>
      </w:r>
      <w:r w:rsidRPr="00B9747A">
        <w:rPr>
          <w:rFonts w:ascii="Arial" w:hAnsi="Arial" w:cs="Arial"/>
        </w:rPr>
        <w:t>pre-test</w:t>
      </w:r>
      <w:r w:rsidR="00B9747A">
        <w:rPr>
          <w:rFonts w:ascii="Arial" w:hAnsi="Arial" w:cs="Arial"/>
        </w:rPr>
        <w:t xml:space="preserve"> </w:t>
      </w:r>
      <w:r w:rsidR="00B9747A" w:rsidRPr="00B9747A">
        <w:rPr>
          <w:rFonts w:ascii="Arial" w:hAnsi="Arial" w:cs="Arial"/>
          <w:lang w:val="en-MY"/>
        </w:rPr>
        <w:fldChar w:fldCharType="begin" w:fldLock="1"/>
      </w:r>
      <w:r w:rsidR="009B1172">
        <w:rPr>
          <w:rFonts w:ascii="Arial" w:hAnsi="Arial" w:cs="Arial"/>
          <w:lang w:val="en-MY"/>
        </w:rPr>
        <w:instrText>ADDIN CSL_CITATION {"citationItems":[{"id":"ITEM-1","itemData":{"ISSN":"0962-9343","author":[{"dropping-particle":"V","family":"Perneger","given":"Thomas","non-dropping-particle":"","parse-names":false,"suffix":""},{"dropping-particle":"","family":"Courvoisier","given":"Delphine S","non-dropping-particle":"","parse-names":false,"suffix":""},{"dropping-particle":"","family":"Hudelson","given":"Patricia M","non-dropping-particle":"","parse-names":false,"suffix":""},{"dropping-particle":"","family":"Gayet-Ageron","given":"Angèle","non-dropping-particle":"","parse-names":false,"suffix":""}],"container-title":"Quality of life Research","id":"ITEM-1","issued":{"date-parts":[["2015"]]},"page":"147-151","publisher":"Springer","title":"Sample size for pre-tests of questionnaires","type":"article-journal","volume":"24"},"uris":["http://www.mendeley.com/documents/?uuid=04da2a23-b81f-495d-aa08-7d9a2ff7084f"]}],"mendeley":{"formattedCitation":"[8]","plainTextFormattedCitation":"[8]","previouslyFormattedCitation":"[8]"},"properties":{"noteIndex":0},"schema":"https://github.com/citation-style-language/schema/raw/master/csl-citation.json"}</w:instrText>
      </w:r>
      <w:r w:rsidR="00B9747A" w:rsidRPr="00B9747A">
        <w:rPr>
          <w:rFonts w:ascii="Arial" w:hAnsi="Arial" w:cs="Arial"/>
          <w:lang w:val="en-MY"/>
        </w:rPr>
        <w:fldChar w:fldCharType="separate"/>
      </w:r>
      <w:r w:rsidR="00B9747A" w:rsidRPr="00B9747A">
        <w:rPr>
          <w:rFonts w:ascii="Arial" w:hAnsi="Arial" w:cs="Arial"/>
          <w:noProof/>
          <w:lang w:val="en-MY"/>
        </w:rPr>
        <w:t>[8]</w:t>
      </w:r>
      <w:r w:rsidR="00B9747A" w:rsidRPr="00B9747A">
        <w:rPr>
          <w:rFonts w:ascii="Arial" w:hAnsi="Arial" w:cs="Arial"/>
          <w:lang w:val="en-GB"/>
        </w:rPr>
        <w:fldChar w:fldCharType="end"/>
      </w:r>
      <w:r w:rsidRPr="00B9747A">
        <w:rPr>
          <w:rFonts w:ascii="Arial" w:hAnsi="Arial" w:cs="Arial"/>
        </w:rPr>
        <w:t>.</w:t>
      </w:r>
    </w:p>
    <w:p w14:paraId="0B54EAE7" w14:textId="77777777" w:rsidR="0032235B" w:rsidRDefault="0032235B" w:rsidP="00441B6F">
      <w:pPr>
        <w:pStyle w:val="Body"/>
        <w:spacing w:after="0"/>
        <w:rPr>
          <w:rFonts w:ascii="Arial" w:hAnsi="Arial" w:cs="Arial"/>
        </w:rPr>
      </w:pPr>
    </w:p>
    <w:p w14:paraId="34CE8AD6" w14:textId="231BE9D4" w:rsidR="00B9747A" w:rsidRPr="00B9747A" w:rsidRDefault="00B9747A" w:rsidP="00B9747A">
      <w:pPr>
        <w:pStyle w:val="Body"/>
        <w:spacing w:after="0"/>
        <w:rPr>
          <w:rFonts w:ascii="Arial" w:hAnsi="Arial" w:cs="Arial"/>
          <w:b/>
        </w:rPr>
      </w:pPr>
      <w:proofErr w:type="gramStart"/>
      <w:r w:rsidRPr="00B9747A">
        <w:rPr>
          <w:rFonts w:ascii="Arial" w:hAnsi="Arial" w:cs="Arial"/>
          <w:b/>
          <w:u w:val="single"/>
        </w:rPr>
        <w:t>2.2.5  Evaluation</w:t>
      </w:r>
      <w:proofErr w:type="gramEnd"/>
      <w:r w:rsidRPr="00B9747A">
        <w:rPr>
          <w:rFonts w:ascii="Arial" w:hAnsi="Arial" w:cs="Arial"/>
          <w:b/>
          <w:u w:val="single"/>
        </w:rPr>
        <w:t xml:space="preserve"> and Update</w:t>
      </w:r>
    </w:p>
    <w:p w14:paraId="160D3AD7" w14:textId="77777777" w:rsidR="0032235B" w:rsidRPr="0032235B" w:rsidRDefault="0032235B" w:rsidP="009B1172">
      <w:pPr>
        <w:jc w:val="both"/>
        <w:rPr>
          <w:rFonts w:ascii="Arial" w:hAnsi="Arial" w:cs="Arial"/>
        </w:rPr>
      </w:pPr>
      <w:r w:rsidRPr="0032235B">
        <w:rPr>
          <w:rFonts w:ascii="Arial" w:hAnsi="Arial" w:cs="Arial"/>
        </w:rPr>
        <w:t>This index should be reviewed and updated periodically, especially when there are major changes in health technology, policy, or new findings in treatment needs. Evaluation can help determine if the index is still relevant or if there are components that need to be adjusted, for example by giving more emphasis to digital treatment access for the rural area. Through this approach, the health care survival index can be carefully developed and can be a useful tool for analyzing health system resilience and as a reference for future health policy.</w:t>
      </w:r>
    </w:p>
    <w:p w14:paraId="139A9982" w14:textId="77777777" w:rsidR="0032235B" w:rsidRDefault="0032235B" w:rsidP="00441B6F">
      <w:pPr>
        <w:pStyle w:val="Body"/>
        <w:spacing w:after="0"/>
        <w:rPr>
          <w:rFonts w:ascii="Arial" w:hAnsi="Arial" w:cs="Arial"/>
        </w:rPr>
      </w:pPr>
    </w:p>
    <w:p w14:paraId="51FB0C77" w14:textId="77777777" w:rsidR="0032235B" w:rsidRDefault="0032235B" w:rsidP="00441B6F">
      <w:pPr>
        <w:pStyle w:val="Body"/>
        <w:spacing w:after="0"/>
        <w:rPr>
          <w:rFonts w:ascii="Arial" w:hAnsi="Arial" w:cs="Arial"/>
        </w:rPr>
      </w:pPr>
    </w:p>
    <w:p w14:paraId="34193D10" w14:textId="627B35B3" w:rsidR="009B1172" w:rsidRDefault="009B1172" w:rsidP="009B117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 xml:space="preserve">Sample size </w:t>
      </w:r>
    </w:p>
    <w:p w14:paraId="2B09A81E" w14:textId="2977D3F1" w:rsidR="009B1172" w:rsidRPr="009B1172" w:rsidRDefault="009B1172" w:rsidP="009B1172">
      <w:pPr>
        <w:jc w:val="both"/>
        <w:rPr>
          <w:rFonts w:ascii="Arial" w:hAnsi="Arial" w:cs="Arial"/>
          <w:lang w:val="en-MY"/>
        </w:rPr>
      </w:pPr>
      <w:r w:rsidRPr="009B1172">
        <w:rPr>
          <w:rFonts w:ascii="Arial" w:hAnsi="Arial" w:cs="Arial"/>
          <w:lang w:val="en-MY"/>
        </w:rPr>
        <w:t xml:space="preserve">The sample size calculation for this study is based on the total population of 475 veterans, which includes both pensioners and non-pensioners. The calculation adopts a single proportion formula to estimate the minimum sample size required to achieve statistical reliability. The formula used is: n = (Z1-α)²(P(1-P)/d²), where n is the minimum sample size required, Z1-α represents the Z-score corresponding to a 95% confidence level (1.96), P is the estimated prevalence of veterans who report “no worries about health care cost burden,” which is 61.2% based on findings by Cohen &amp; Boersma (2023), and d is the desired precision level, set at 0.05 </w:t>
      </w:r>
      <w:r w:rsidRPr="009B1172">
        <w:rPr>
          <w:rFonts w:ascii="Arial" w:hAnsi="Arial" w:cs="Arial"/>
          <w:lang w:val="en-MY"/>
        </w:rPr>
        <w:fldChar w:fldCharType="begin" w:fldLock="1"/>
      </w:r>
      <w:r w:rsidR="00800A19">
        <w:rPr>
          <w:rFonts w:ascii="Arial" w:hAnsi="Arial" w:cs="Arial"/>
          <w:lang w:val="en-MY"/>
        </w:rPr>
        <w:instrText>ADDIN CSL_CITATION {"citationItems":[{"id":"ITEM-1","itemData":{"author":[{"dropping-particle":"","family":"Cohen","given":"Robin A","non-dropping-particle":"","parse-names":false,"suffix":""},{"dropping-particle":"","family":"Boersma","given":"Peter","non-dropping-particle":"","parse-names":false,"suffix":""}],"id":"ITEM-1","issued":{"date-parts":[["2023"]]},"title":"Financial Burden of Medical Care Among Veterans Aged 25–64, by Health Insurance Coverage: United States, 2019–2021","type":"report"},"uris":["http://www.mendeley.com/documents/?uuid=3ce22f47-eb41-45a1-a956-a18996ad8605"]}],"mendeley":{"formattedCitation":"[9]","plainTextFormattedCitation":"[9]","previouslyFormattedCitation":"[9]"},"properties":{"noteIndex":0},"schema":"https://github.com/citation-style-language/schema/raw/master/csl-citation.json"}</w:instrText>
      </w:r>
      <w:r w:rsidRPr="009B1172">
        <w:rPr>
          <w:rFonts w:ascii="Arial" w:hAnsi="Arial" w:cs="Arial"/>
          <w:lang w:val="en-MY"/>
        </w:rPr>
        <w:fldChar w:fldCharType="separate"/>
      </w:r>
      <w:r w:rsidRPr="009B1172">
        <w:rPr>
          <w:rFonts w:ascii="Arial" w:hAnsi="Arial" w:cs="Arial"/>
          <w:noProof/>
          <w:lang w:val="en-MY"/>
        </w:rPr>
        <w:t>[9]</w:t>
      </w:r>
      <w:r w:rsidRPr="009B1172">
        <w:rPr>
          <w:rFonts w:ascii="Arial" w:hAnsi="Arial" w:cs="Arial"/>
        </w:rPr>
        <w:fldChar w:fldCharType="end"/>
      </w:r>
      <w:r w:rsidRPr="009B1172">
        <w:rPr>
          <w:rFonts w:ascii="Arial" w:hAnsi="Arial" w:cs="Arial"/>
          <w:lang w:val="en-MY"/>
        </w:rPr>
        <w:t>.</w:t>
      </w:r>
    </w:p>
    <w:p w14:paraId="2C8348E9" w14:textId="77777777" w:rsidR="009B1172" w:rsidRDefault="009B1172" w:rsidP="009B1172">
      <w:pPr>
        <w:jc w:val="both"/>
        <w:rPr>
          <w:rFonts w:ascii="Arial" w:hAnsi="Arial" w:cs="Arial"/>
          <w:lang w:val="en-MY"/>
        </w:rPr>
      </w:pPr>
    </w:p>
    <w:p w14:paraId="4390ED75" w14:textId="77777777" w:rsidR="009B1172" w:rsidRPr="009B1172" w:rsidRDefault="009B1172" w:rsidP="009B1172">
      <w:pPr>
        <w:jc w:val="both"/>
        <w:rPr>
          <w:rFonts w:ascii="Arial" w:hAnsi="Arial" w:cs="Arial"/>
          <w:lang w:val="en-MY"/>
        </w:rPr>
      </w:pPr>
      <w:r w:rsidRPr="009B1172">
        <w:rPr>
          <w:rFonts w:ascii="Arial" w:hAnsi="Arial" w:cs="Arial"/>
          <w:lang w:val="en-MY"/>
        </w:rPr>
        <w:t>To ensure the sample is representative and accounts for potential non-responses, a 30% non-response rate is added to the calculated sample size. This adjustment increases the final sample size needed to ensure adequate power and validity of the findings. The use of this sampling method, along with proportionate stratification between pensioners and non-pensioners, enhances the robustness and generalizability of the study results to the broader veteran population.</w:t>
      </w:r>
    </w:p>
    <w:p w14:paraId="29F2810A" w14:textId="77777777" w:rsidR="009B1172" w:rsidRDefault="009B1172" w:rsidP="009B1172">
      <w:pPr>
        <w:spacing w:line="360" w:lineRule="auto"/>
        <w:jc w:val="both"/>
      </w:pPr>
    </w:p>
    <w:p w14:paraId="51BB027A" w14:textId="77777777" w:rsidR="009B1172" w:rsidRDefault="009B1172" w:rsidP="009B117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Sampling method </w:t>
      </w:r>
    </w:p>
    <w:p w14:paraId="78C0988B" w14:textId="15645A29" w:rsidR="0032235B" w:rsidRDefault="009B1172" w:rsidP="009B1172">
      <w:pPr>
        <w:pStyle w:val="Body"/>
        <w:spacing w:after="0"/>
        <w:rPr>
          <w:rFonts w:ascii="Arial" w:hAnsi="Arial" w:cs="Arial"/>
        </w:rPr>
      </w:pPr>
      <w:r w:rsidRPr="009B1172">
        <w:rPr>
          <w:rFonts w:ascii="Arial" w:hAnsi="Arial" w:cs="Arial"/>
        </w:rPr>
        <w:t>Stratified random sampling method with a population ratio weight of the total number of pensioned and non-pensioned veterans in the place. All pensioned and non-pensioned ATM veterans will be randomly selected and those selected will be contacted via WhatsApp group of each branch to answer the questionnaire study.</w:t>
      </w:r>
    </w:p>
    <w:p w14:paraId="6CB75D37" w14:textId="77777777" w:rsidR="0032235B" w:rsidRDefault="0032235B" w:rsidP="009B1172">
      <w:pPr>
        <w:pStyle w:val="Body"/>
        <w:spacing w:after="0"/>
        <w:rPr>
          <w:rFonts w:ascii="Arial" w:hAnsi="Arial" w:cs="Arial"/>
        </w:rPr>
      </w:pPr>
    </w:p>
    <w:p w14:paraId="0B38DCEA" w14:textId="5120B802" w:rsidR="009B1172" w:rsidRDefault="009B1172" w:rsidP="009B117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Method </w:t>
      </w:r>
      <w:proofErr w:type="gramStart"/>
      <w:r>
        <w:rPr>
          <w:rFonts w:ascii="Arial" w:hAnsi="Arial" w:cs="Arial"/>
          <w:b/>
          <w:sz w:val="22"/>
        </w:rPr>
        <w:t>Of</w:t>
      </w:r>
      <w:proofErr w:type="gramEnd"/>
      <w:r>
        <w:rPr>
          <w:rFonts w:ascii="Arial" w:hAnsi="Arial" w:cs="Arial"/>
          <w:b/>
          <w:sz w:val="22"/>
        </w:rPr>
        <w:t xml:space="preserve"> Scoring </w:t>
      </w:r>
    </w:p>
    <w:p w14:paraId="483F6595" w14:textId="3A0D89AA" w:rsidR="009B1172" w:rsidRPr="009B1172" w:rsidRDefault="009B1172" w:rsidP="009B1172">
      <w:pPr>
        <w:pStyle w:val="Body"/>
        <w:spacing w:after="0"/>
        <w:rPr>
          <w:rFonts w:ascii="Arial" w:hAnsi="Arial" w:cs="Arial"/>
        </w:rPr>
      </w:pPr>
      <w:r w:rsidRPr="009B1172">
        <w:rPr>
          <w:rFonts w:ascii="Arial" w:hAnsi="Arial" w:cs="Arial"/>
        </w:rPr>
        <w:t xml:space="preserve">The </w:t>
      </w:r>
      <w:r w:rsidRPr="00EA3F48">
        <w:rPr>
          <w:lang w:val="en-MY"/>
        </w:rPr>
        <w:t>HSI</w:t>
      </w:r>
      <w:r w:rsidRPr="009B1172">
        <w:rPr>
          <w:rFonts w:ascii="Arial" w:hAnsi="Arial" w:cs="Arial"/>
        </w:rPr>
        <w:t xml:space="preserve"> is formed by summing the indices for all components used to describe the indicator. The following is the formula for calculating </w:t>
      </w:r>
      <w:r w:rsidRPr="00EA3F48">
        <w:rPr>
          <w:lang w:val="en-MY"/>
        </w:rPr>
        <w:t>HSI</w:t>
      </w:r>
      <w:r w:rsidRPr="009B1172">
        <w:rPr>
          <w:rFonts w:ascii="Arial" w:hAnsi="Arial" w:cs="Arial"/>
        </w:rPr>
        <w:t xml:space="preserve"> and the scale used for understanding this study.</w:t>
      </w:r>
    </w:p>
    <w:p w14:paraId="1C2A8E19" w14:textId="77777777" w:rsidR="009B1172" w:rsidRDefault="009B1172" w:rsidP="009B1172">
      <w:pPr>
        <w:pStyle w:val="Body"/>
        <w:spacing w:after="0"/>
        <w:rPr>
          <w:rFonts w:ascii="Arial" w:hAnsi="Arial" w:cs="Arial"/>
        </w:rPr>
      </w:pPr>
    </w:p>
    <w:p w14:paraId="4328DD3F" w14:textId="00496EC1" w:rsidR="009B1172" w:rsidRPr="009B1172" w:rsidRDefault="009B1172" w:rsidP="009B1172">
      <w:pPr>
        <w:pStyle w:val="Body"/>
        <w:spacing w:after="0"/>
        <w:rPr>
          <w:rFonts w:ascii="Arial" w:hAnsi="Arial" w:cs="Arial"/>
        </w:rPr>
      </w:pPr>
      <w:r w:rsidRPr="009B1172">
        <w:rPr>
          <w:rFonts w:ascii="Arial" w:hAnsi="Arial" w:cs="Arial"/>
        </w:rPr>
        <w:t>The formula provided below is a normalization equation commonly applied in index development to standardize multiple indicators onto a common scale before aggregation:</w:t>
      </w:r>
    </w:p>
    <w:p w14:paraId="11BC84BE" w14:textId="77777777" w:rsidR="009B1172" w:rsidRPr="009B1172" w:rsidRDefault="009B1172" w:rsidP="009B1172">
      <w:pPr>
        <w:pStyle w:val="Body"/>
        <w:spacing w:after="0"/>
        <w:rPr>
          <w:rFonts w:ascii="Arial" w:hAnsi="Arial" w:cs="Arial"/>
        </w:rPr>
      </w:pPr>
      <w:r w:rsidRPr="009B1172">
        <w:rPr>
          <w:rFonts w:ascii="Arial" w:hAnsi="Arial" w:cs="Arial"/>
        </w:rPr>
        <w:t>Σ</w:t>
      </w:r>
      <w:r w:rsidRPr="009B1172">
        <w:rPr>
          <w:rFonts w:ascii="Cambria Math" w:hAnsi="Cambria Math" w:cs="Cambria Math"/>
        </w:rPr>
        <w:t>ₖ₌₁</w:t>
      </w:r>
      <w:r w:rsidRPr="009B1172">
        <w:rPr>
          <w:rFonts w:ascii="Arial" w:hAnsi="Arial" w:cs="Arial"/>
        </w:rPr>
        <w:t xml:space="preserve"> [(Actual Value</w:t>
      </w:r>
      <w:r w:rsidRPr="009B1172">
        <w:rPr>
          <w:rFonts w:ascii="Cambria Math" w:hAnsi="Cambria Math" w:cs="Cambria Math"/>
        </w:rPr>
        <w:t>ₖ</w:t>
      </w:r>
      <w:r w:rsidRPr="009B1172">
        <w:rPr>
          <w:rFonts w:ascii="Arial" w:hAnsi="Arial" w:cs="Arial"/>
        </w:rPr>
        <w:t xml:space="preserve"> – Minimum Value</w:t>
      </w:r>
      <w:r w:rsidRPr="009B1172">
        <w:rPr>
          <w:rFonts w:ascii="Cambria Math" w:hAnsi="Cambria Math" w:cs="Cambria Math"/>
        </w:rPr>
        <w:t>ₖ</w:t>
      </w:r>
      <w:r w:rsidRPr="009B1172">
        <w:rPr>
          <w:rFonts w:ascii="Arial" w:hAnsi="Arial" w:cs="Arial"/>
        </w:rPr>
        <w:t>) / (Maximum Value</w:t>
      </w:r>
      <w:r w:rsidRPr="009B1172">
        <w:rPr>
          <w:rFonts w:ascii="Cambria Math" w:hAnsi="Cambria Math" w:cs="Cambria Math"/>
        </w:rPr>
        <w:t>ₖ</w:t>
      </w:r>
      <w:r w:rsidRPr="009B1172">
        <w:rPr>
          <w:rFonts w:ascii="Arial" w:hAnsi="Arial" w:cs="Arial"/>
        </w:rPr>
        <w:t xml:space="preserve"> – Minimum Value</w:t>
      </w:r>
      <w:r w:rsidRPr="009B1172">
        <w:rPr>
          <w:rFonts w:ascii="Cambria Math" w:hAnsi="Cambria Math" w:cs="Cambria Math"/>
        </w:rPr>
        <w:t>ₖ</w:t>
      </w:r>
      <w:r w:rsidRPr="009B1172">
        <w:rPr>
          <w:rFonts w:ascii="Arial" w:hAnsi="Arial" w:cs="Arial"/>
        </w:rPr>
        <w:t xml:space="preserve">)] ÷ </w:t>
      </w:r>
      <w:proofErr w:type="spellStart"/>
      <w:r w:rsidRPr="009B1172">
        <w:rPr>
          <w:rFonts w:ascii="Arial" w:hAnsi="Arial" w:cs="Arial"/>
        </w:rPr>
        <w:t>n_item</w:t>
      </w:r>
      <w:proofErr w:type="spellEnd"/>
    </w:p>
    <w:p w14:paraId="083D321C" w14:textId="4B7AF20A" w:rsidR="009B1172" w:rsidRPr="009B1172" w:rsidRDefault="009B1172" w:rsidP="009B1172">
      <w:pPr>
        <w:pStyle w:val="Body"/>
        <w:spacing w:after="0"/>
        <w:rPr>
          <w:rFonts w:ascii="Arial" w:hAnsi="Arial" w:cs="Arial"/>
        </w:rPr>
      </w:pPr>
      <w:r w:rsidRPr="009B1172">
        <w:rPr>
          <w:rFonts w:ascii="Arial" w:hAnsi="Arial" w:cs="Arial"/>
        </w:rPr>
        <w:t>I</w:t>
      </w:r>
      <w:r>
        <w:rPr>
          <w:rFonts w:ascii="Arial" w:hAnsi="Arial" w:cs="Arial"/>
        </w:rPr>
        <w:t>n</w:t>
      </w:r>
      <w:r w:rsidRPr="009B1172">
        <w:rPr>
          <w:rFonts w:ascii="Arial" w:hAnsi="Arial" w:cs="Arial"/>
        </w:rPr>
        <w:t xml:space="preserve"> this formula:</w:t>
      </w:r>
    </w:p>
    <w:p w14:paraId="2EB821C8" w14:textId="77777777" w:rsidR="009B1172" w:rsidRPr="009B1172" w:rsidRDefault="009B1172" w:rsidP="009B1172">
      <w:pPr>
        <w:pStyle w:val="Body"/>
        <w:spacing w:after="0"/>
        <w:rPr>
          <w:rFonts w:ascii="Arial" w:hAnsi="Arial" w:cs="Arial"/>
        </w:rPr>
      </w:pPr>
      <w:r w:rsidRPr="009B1172">
        <w:rPr>
          <w:rFonts w:ascii="Arial" w:hAnsi="Arial" w:cs="Arial"/>
        </w:rPr>
        <w:t>- Actual Value</w:t>
      </w:r>
      <w:r w:rsidRPr="009B1172">
        <w:rPr>
          <w:rFonts w:ascii="Cambria Math" w:hAnsi="Cambria Math" w:cs="Cambria Math"/>
        </w:rPr>
        <w:t>ₖ</w:t>
      </w:r>
      <w:r w:rsidRPr="009B1172">
        <w:rPr>
          <w:rFonts w:ascii="Arial" w:hAnsi="Arial" w:cs="Arial"/>
        </w:rPr>
        <w:t xml:space="preserve"> refers to the observed or recorded value for the k-</w:t>
      </w:r>
      <w:proofErr w:type="spellStart"/>
      <w:r w:rsidRPr="009B1172">
        <w:rPr>
          <w:rFonts w:ascii="Arial" w:hAnsi="Arial" w:cs="Arial"/>
        </w:rPr>
        <w:t>th</w:t>
      </w:r>
      <w:proofErr w:type="spellEnd"/>
      <w:r w:rsidRPr="009B1172">
        <w:rPr>
          <w:rFonts w:ascii="Arial" w:hAnsi="Arial" w:cs="Arial"/>
        </w:rPr>
        <w:t xml:space="preserve"> indicator.  </w:t>
      </w:r>
    </w:p>
    <w:p w14:paraId="68F4C5AD" w14:textId="77777777" w:rsidR="009B1172" w:rsidRPr="009B1172" w:rsidRDefault="009B1172" w:rsidP="009B1172">
      <w:pPr>
        <w:pStyle w:val="Body"/>
        <w:spacing w:after="0"/>
        <w:rPr>
          <w:rFonts w:ascii="Arial" w:hAnsi="Arial" w:cs="Arial"/>
        </w:rPr>
      </w:pPr>
      <w:r w:rsidRPr="009B1172">
        <w:rPr>
          <w:rFonts w:ascii="Arial" w:hAnsi="Arial" w:cs="Arial"/>
        </w:rPr>
        <w:lastRenderedPageBreak/>
        <w:t>- Minimum Value</w:t>
      </w:r>
      <w:r w:rsidRPr="009B1172">
        <w:rPr>
          <w:rFonts w:ascii="Cambria Math" w:hAnsi="Cambria Math" w:cs="Cambria Math"/>
        </w:rPr>
        <w:t>ₖ</w:t>
      </w:r>
      <w:r w:rsidRPr="009B1172">
        <w:rPr>
          <w:rFonts w:ascii="Arial" w:hAnsi="Arial" w:cs="Arial"/>
        </w:rPr>
        <w:t xml:space="preserve"> and Maximum Value</w:t>
      </w:r>
      <w:r w:rsidRPr="009B1172">
        <w:rPr>
          <w:rFonts w:ascii="Cambria Math" w:hAnsi="Cambria Math" w:cs="Cambria Math"/>
        </w:rPr>
        <w:t>ₖ</w:t>
      </w:r>
      <w:r w:rsidRPr="009B1172">
        <w:rPr>
          <w:rFonts w:ascii="Arial" w:hAnsi="Arial" w:cs="Arial"/>
        </w:rPr>
        <w:t xml:space="preserve"> represent the theoretical or empirical minimum and maximum values that the indicator can assume.  </w:t>
      </w:r>
    </w:p>
    <w:p w14:paraId="11507DC1" w14:textId="77777777" w:rsidR="009B1172" w:rsidRPr="009B1172" w:rsidRDefault="009B1172" w:rsidP="009B1172">
      <w:pPr>
        <w:pStyle w:val="Body"/>
        <w:spacing w:after="0"/>
        <w:rPr>
          <w:rFonts w:ascii="Arial" w:hAnsi="Arial" w:cs="Arial"/>
        </w:rPr>
      </w:pPr>
      <w:r w:rsidRPr="009B1172">
        <w:rPr>
          <w:rFonts w:ascii="Arial" w:hAnsi="Arial" w:cs="Arial"/>
        </w:rPr>
        <w:t xml:space="preserve">- </w:t>
      </w:r>
      <w:proofErr w:type="spellStart"/>
      <w:r w:rsidRPr="009B1172">
        <w:rPr>
          <w:rFonts w:ascii="Arial" w:hAnsi="Arial" w:cs="Arial"/>
        </w:rPr>
        <w:t>n_item</w:t>
      </w:r>
      <w:proofErr w:type="spellEnd"/>
      <w:r w:rsidRPr="009B1172">
        <w:rPr>
          <w:rFonts w:ascii="Arial" w:hAnsi="Arial" w:cs="Arial"/>
        </w:rPr>
        <w:t xml:space="preserve"> denotes the total number of items or indicators being measured.</w:t>
      </w:r>
    </w:p>
    <w:p w14:paraId="6EB07684" w14:textId="77777777" w:rsidR="009B1172" w:rsidRPr="009B1172" w:rsidRDefault="009B1172" w:rsidP="009B1172">
      <w:pPr>
        <w:pStyle w:val="Body"/>
        <w:spacing w:after="0"/>
        <w:rPr>
          <w:rFonts w:ascii="Arial" w:hAnsi="Arial" w:cs="Arial"/>
        </w:rPr>
      </w:pPr>
      <w:r w:rsidRPr="009B1172">
        <w:rPr>
          <w:rFonts w:ascii="Arial" w:hAnsi="Arial" w:cs="Arial"/>
        </w:rPr>
        <w:t>This method rescales each indicator’s value to a standardized range between 0 and 1. The numerator computes the distance of the actual value from its minimum, while the denominator defines the full range of the indicator. The result for each item reflects its relative position within the possible range. By summing these normalized scores across all indicators and dividing by the number of items, a composite or average index value is obtained.</w:t>
      </w:r>
    </w:p>
    <w:p w14:paraId="02BF990C" w14:textId="77777777" w:rsidR="009B1172" w:rsidRPr="009B1172" w:rsidRDefault="009B1172" w:rsidP="009B1172">
      <w:pPr>
        <w:pStyle w:val="Body"/>
        <w:spacing w:after="0"/>
        <w:rPr>
          <w:rFonts w:ascii="Arial" w:hAnsi="Arial" w:cs="Arial"/>
        </w:rPr>
      </w:pPr>
    </w:p>
    <w:p w14:paraId="0B5F14D7" w14:textId="77777777" w:rsidR="009B1172" w:rsidRPr="009B1172" w:rsidRDefault="009B1172" w:rsidP="009B1172">
      <w:pPr>
        <w:pStyle w:val="Body"/>
        <w:spacing w:after="0"/>
        <w:rPr>
          <w:rFonts w:ascii="Arial" w:hAnsi="Arial" w:cs="Arial"/>
        </w:rPr>
      </w:pPr>
      <w:r w:rsidRPr="009B1172">
        <w:rPr>
          <w:rFonts w:ascii="Arial" w:hAnsi="Arial" w:cs="Arial"/>
        </w:rPr>
        <w:t>The formula shown below is used to calculate the average score of a domain in index-based assessments:</w:t>
      </w:r>
    </w:p>
    <w:p w14:paraId="59AF276A" w14:textId="77777777" w:rsidR="009B1172" w:rsidRPr="009B1172" w:rsidRDefault="009B1172" w:rsidP="009B1172">
      <w:pPr>
        <w:pStyle w:val="Body"/>
        <w:spacing w:after="0"/>
        <w:rPr>
          <w:rFonts w:ascii="Arial" w:hAnsi="Arial" w:cs="Arial"/>
        </w:rPr>
      </w:pPr>
      <w:r w:rsidRPr="009B1172">
        <w:rPr>
          <w:rFonts w:ascii="Arial" w:hAnsi="Arial" w:cs="Arial"/>
        </w:rPr>
        <w:t>Domain Score Formula:</w:t>
      </w:r>
    </w:p>
    <w:p w14:paraId="2F87FDE4" w14:textId="77777777" w:rsidR="009B1172" w:rsidRPr="009B1172" w:rsidRDefault="009B1172" w:rsidP="009B1172">
      <w:pPr>
        <w:pStyle w:val="Body"/>
        <w:spacing w:after="0"/>
        <w:rPr>
          <w:rFonts w:ascii="Arial" w:hAnsi="Arial" w:cs="Arial"/>
        </w:rPr>
      </w:pPr>
      <w:r w:rsidRPr="009B1172">
        <w:rPr>
          <w:rFonts w:ascii="Arial" w:hAnsi="Arial" w:cs="Arial"/>
        </w:rPr>
        <w:t>Domain Score = (Σᵢ</w:t>
      </w:r>
      <w:r w:rsidRPr="009B1172">
        <w:rPr>
          <w:rFonts w:ascii="Cambria Math" w:hAnsi="Cambria Math" w:cs="Cambria Math"/>
        </w:rPr>
        <w:t>₌₁</w:t>
      </w:r>
      <w:r w:rsidRPr="009B1172">
        <w:rPr>
          <w:rFonts w:ascii="Arial" w:hAnsi="Arial" w:cs="Arial"/>
        </w:rPr>
        <w:t xml:space="preserve"> X̄_</w:t>
      </w:r>
      <w:proofErr w:type="spellStart"/>
      <w:r w:rsidRPr="009B1172">
        <w:rPr>
          <w:rFonts w:ascii="Arial" w:hAnsi="Arial" w:cs="Arial"/>
        </w:rPr>
        <w:t>Indicator.i</w:t>
      </w:r>
      <w:proofErr w:type="spellEnd"/>
      <w:r w:rsidRPr="009B1172">
        <w:rPr>
          <w:rFonts w:ascii="Arial" w:hAnsi="Arial" w:cs="Arial"/>
        </w:rPr>
        <w:t xml:space="preserve">) / </w:t>
      </w:r>
      <w:proofErr w:type="spellStart"/>
      <w:r w:rsidRPr="009B1172">
        <w:rPr>
          <w:rFonts w:ascii="Arial" w:hAnsi="Arial" w:cs="Arial"/>
        </w:rPr>
        <w:t>n_indicator</w:t>
      </w:r>
      <w:proofErr w:type="spellEnd"/>
    </w:p>
    <w:p w14:paraId="0F23F011" w14:textId="77777777" w:rsidR="009B1172" w:rsidRPr="009B1172" w:rsidRDefault="009B1172" w:rsidP="009B1172">
      <w:pPr>
        <w:pStyle w:val="Body"/>
        <w:spacing w:after="0"/>
        <w:rPr>
          <w:rFonts w:ascii="Arial" w:hAnsi="Arial" w:cs="Arial"/>
        </w:rPr>
      </w:pPr>
      <w:r w:rsidRPr="009B1172">
        <w:rPr>
          <w:rFonts w:ascii="Arial" w:hAnsi="Arial" w:cs="Arial"/>
        </w:rPr>
        <w:t>Where:</w:t>
      </w:r>
    </w:p>
    <w:p w14:paraId="70BD86A7" w14:textId="77777777" w:rsidR="009B1172" w:rsidRPr="009B1172" w:rsidRDefault="009B1172" w:rsidP="009B1172">
      <w:pPr>
        <w:pStyle w:val="Body"/>
        <w:spacing w:after="0"/>
        <w:rPr>
          <w:rFonts w:ascii="Arial" w:hAnsi="Arial" w:cs="Arial"/>
        </w:rPr>
      </w:pPr>
      <w:r w:rsidRPr="009B1172">
        <w:rPr>
          <w:rFonts w:ascii="Arial" w:hAnsi="Arial" w:cs="Arial"/>
        </w:rPr>
        <w:t>- X̄_</w:t>
      </w:r>
      <w:proofErr w:type="spellStart"/>
      <w:r w:rsidRPr="009B1172">
        <w:rPr>
          <w:rFonts w:ascii="Arial" w:hAnsi="Arial" w:cs="Arial"/>
        </w:rPr>
        <w:t>Indicator.i</w:t>
      </w:r>
      <w:proofErr w:type="spellEnd"/>
      <w:r w:rsidRPr="009B1172">
        <w:rPr>
          <w:rFonts w:ascii="Arial" w:hAnsi="Arial" w:cs="Arial"/>
        </w:rPr>
        <w:t xml:space="preserve"> refers to the normalized score of the </w:t>
      </w:r>
      <w:proofErr w:type="spellStart"/>
      <w:r w:rsidRPr="009B1172">
        <w:rPr>
          <w:rFonts w:ascii="Arial" w:hAnsi="Arial" w:cs="Arial"/>
        </w:rPr>
        <w:t>i-th</w:t>
      </w:r>
      <w:proofErr w:type="spellEnd"/>
      <w:r w:rsidRPr="009B1172">
        <w:rPr>
          <w:rFonts w:ascii="Arial" w:hAnsi="Arial" w:cs="Arial"/>
        </w:rPr>
        <w:t xml:space="preserve"> indicator within a specific domain.  </w:t>
      </w:r>
    </w:p>
    <w:p w14:paraId="31E3A3A3" w14:textId="77777777" w:rsidR="009B1172" w:rsidRPr="009B1172" w:rsidRDefault="009B1172" w:rsidP="009B1172">
      <w:pPr>
        <w:pStyle w:val="Body"/>
        <w:spacing w:after="0"/>
        <w:rPr>
          <w:rFonts w:ascii="Arial" w:hAnsi="Arial" w:cs="Arial"/>
        </w:rPr>
      </w:pPr>
      <w:r w:rsidRPr="009B1172">
        <w:rPr>
          <w:rFonts w:ascii="Arial" w:hAnsi="Arial" w:cs="Arial"/>
        </w:rPr>
        <w:t xml:space="preserve">- </w:t>
      </w:r>
      <w:proofErr w:type="spellStart"/>
      <w:r w:rsidRPr="009B1172">
        <w:rPr>
          <w:rFonts w:ascii="Arial" w:hAnsi="Arial" w:cs="Arial"/>
        </w:rPr>
        <w:t>n_indicator</w:t>
      </w:r>
      <w:proofErr w:type="spellEnd"/>
      <w:r w:rsidRPr="009B1172">
        <w:rPr>
          <w:rFonts w:ascii="Arial" w:hAnsi="Arial" w:cs="Arial"/>
        </w:rPr>
        <w:t xml:space="preserve"> represents the total number of indicators under that domain.  </w:t>
      </w:r>
    </w:p>
    <w:p w14:paraId="05097E82" w14:textId="77777777" w:rsidR="009B1172" w:rsidRDefault="009B1172" w:rsidP="009B1172">
      <w:pPr>
        <w:pStyle w:val="Body"/>
        <w:spacing w:after="0"/>
        <w:rPr>
          <w:rFonts w:ascii="Arial" w:hAnsi="Arial" w:cs="Arial"/>
        </w:rPr>
      </w:pPr>
      <w:r w:rsidRPr="009B1172">
        <w:rPr>
          <w:rFonts w:ascii="Arial" w:hAnsi="Arial" w:cs="Arial"/>
        </w:rPr>
        <w:t>- Σᵢ</w:t>
      </w:r>
      <w:r w:rsidRPr="009B1172">
        <w:rPr>
          <w:rFonts w:ascii="Cambria Math" w:hAnsi="Cambria Math" w:cs="Cambria Math"/>
        </w:rPr>
        <w:t>₌₁</w:t>
      </w:r>
      <w:r w:rsidRPr="009B1172">
        <w:rPr>
          <w:rFonts w:ascii="Arial" w:hAnsi="Arial" w:cs="Arial"/>
        </w:rPr>
        <w:t xml:space="preserve"> indicates the summation of all normalized indicator values from the first to the n-</w:t>
      </w:r>
      <w:proofErr w:type="spellStart"/>
      <w:r w:rsidRPr="009B1172">
        <w:rPr>
          <w:rFonts w:ascii="Arial" w:hAnsi="Arial" w:cs="Arial"/>
        </w:rPr>
        <w:t>th</w:t>
      </w:r>
      <w:proofErr w:type="spellEnd"/>
      <w:r w:rsidRPr="009B1172">
        <w:rPr>
          <w:rFonts w:ascii="Arial" w:hAnsi="Arial" w:cs="Arial"/>
        </w:rPr>
        <w:t xml:space="preserve"> indicator.</w:t>
      </w:r>
    </w:p>
    <w:p w14:paraId="64056C05" w14:textId="77777777" w:rsidR="009B1172" w:rsidRPr="009B1172" w:rsidRDefault="009B1172" w:rsidP="009B1172">
      <w:pPr>
        <w:pStyle w:val="Body"/>
        <w:spacing w:after="0"/>
        <w:rPr>
          <w:rFonts w:ascii="Arial" w:hAnsi="Arial" w:cs="Arial"/>
        </w:rPr>
      </w:pPr>
    </w:p>
    <w:p w14:paraId="5846EFFB" w14:textId="77777777" w:rsidR="009B1172" w:rsidRPr="009B1172" w:rsidRDefault="009B1172" w:rsidP="009B1172">
      <w:pPr>
        <w:pStyle w:val="Body"/>
        <w:spacing w:after="0"/>
        <w:rPr>
          <w:rFonts w:ascii="Arial" w:hAnsi="Arial" w:cs="Arial"/>
        </w:rPr>
      </w:pPr>
      <w:r w:rsidRPr="009B1172">
        <w:rPr>
          <w:rFonts w:ascii="Arial" w:hAnsi="Arial" w:cs="Arial"/>
        </w:rPr>
        <w:t>This formula is used to determine the overall domain score by averaging the values of several indicators that fall under the same domain. Each indicator is first normalized (typically on a scale of 0 to 1) to ensure comparability. Then, these normalized values are summed up and divided by the total number of indicators. Averaging the scores provides a single, interpretable value that reflects the general performance or condition of that domain for each respondent or unit of analysis.</w:t>
      </w:r>
    </w:p>
    <w:p w14:paraId="34715736" w14:textId="77777777" w:rsidR="009B1172" w:rsidRPr="009B1172" w:rsidRDefault="009B1172" w:rsidP="009B1172">
      <w:pPr>
        <w:pStyle w:val="Body"/>
        <w:spacing w:after="0"/>
        <w:rPr>
          <w:rFonts w:ascii="Arial" w:hAnsi="Arial" w:cs="Arial"/>
        </w:rPr>
      </w:pPr>
    </w:p>
    <w:p w14:paraId="7B2B8316" w14:textId="77777777" w:rsidR="009B1172" w:rsidRPr="009B1172" w:rsidRDefault="009B1172" w:rsidP="009B1172">
      <w:pPr>
        <w:pStyle w:val="Body"/>
        <w:spacing w:after="0"/>
        <w:rPr>
          <w:rFonts w:ascii="Arial" w:hAnsi="Arial" w:cs="Arial"/>
        </w:rPr>
      </w:pPr>
      <w:r w:rsidRPr="009B1172">
        <w:rPr>
          <w:rFonts w:ascii="Arial" w:hAnsi="Arial" w:cs="Arial"/>
        </w:rPr>
        <w:t>Finally, for calculating the overall index score by averaging the normalized scores of all domains included in the assessment, using the Index Score Formula:</w:t>
      </w:r>
    </w:p>
    <w:p w14:paraId="4F50E657" w14:textId="77777777" w:rsidR="009B1172" w:rsidRPr="009B1172" w:rsidRDefault="009B1172" w:rsidP="009B1172">
      <w:pPr>
        <w:pStyle w:val="Body"/>
        <w:spacing w:after="0"/>
        <w:rPr>
          <w:rFonts w:ascii="Arial" w:hAnsi="Arial" w:cs="Arial"/>
        </w:rPr>
      </w:pPr>
      <w:r w:rsidRPr="009B1172">
        <w:rPr>
          <w:rFonts w:ascii="Arial" w:hAnsi="Arial" w:cs="Arial"/>
        </w:rPr>
        <w:t>Index Score = (Σᵈ</w:t>
      </w:r>
      <w:r w:rsidRPr="009B1172">
        <w:rPr>
          <w:rFonts w:ascii="Cambria Math" w:hAnsi="Cambria Math" w:cs="Cambria Math"/>
        </w:rPr>
        <w:t>₌₁</w:t>
      </w:r>
      <w:r w:rsidRPr="009B1172">
        <w:rPr>
          <w:rFonts w:ascii="Arial" w:hAnsi="Arial" w:cs="Arial"/>
        </w:rPr>
        <w:t xml:space="preserve"> X̄_</w:t>
      </w:r>
      <w:proofErr w:type="spellStart"/>
      <w:proofErr w:type="gramStart"/>
      <w:r w:rsidRPr="009B1172">
        <w:rPr>
          <w:rFonts w:ascii="Arial" w:hAnsi="Arial" w:cs="Arial"/>
        </w:rPr>
        <w:t>domain.i</w:t>
      </w:r>
      <w:proofErr w:type="spellEnd"/>
      <w:proofErr w:type="gramEnd"/>
      <w:r w:rsidRPr="009B1172">
        <w:rPr>
          <w:rFonts w:ascii="Arial" w:hAnsi="Arial" w:cs="Arial"/>
        </w:rPr>
        <w:t xml:space="preserve">) / </w:t>
      </w:r>
      <w:proofErr w:type="spellStart"/>
      <w:r w:rsidRPr="009B1172">
        <w:rPr>
          <w:rFonts w:ascii="Arial" w:hAnsi="Arial" w:cs="Arial"/>
        </w:rPr>
        <w:t>n_domain</w:t>
      </w:r>
      <w:proofErr w:type="spellEnd"/>
    </w:p>
    <w:p w14:paraId="6DA1817A" w14:textId="77777777" w:rsidR="009B1172" w:rsidRPr="009B1172" w:rsidRDefault="009B1172" w:rsidP="009B1172">
      <w:pPr>
        <w:pStyle w:val="Body"/>
        <w:spacing w:after="0"/>
        <w:rPr>
          <w:rFonts w:ascii="Arial" w:hAnsi="Arial" w:cs="Arial"/>
        </w:rPr>
      </w:pPr>
      <w:r w:rsidRPr="009B1172">
        <w:rPr>
          <w:rFonts w:ascii="Arial" w:hAnsi="Arial" w:cs="Arial"/>
        </w:rPr>
        <w:t>Where:</w:t>
      </w:r>
    </w:p>
    <w:p w14:paraId="67F11868" w14:textId="77777777" w:rsidR="009B1172" w:rsidRPr="009B1172" w:rsidRDefault="009B1172" w:rsidP="009B1172">
      <w:pPr>
        <w:pStyle w:val="Body"/>
        <w:spacing w:after="0"/>
        <w:rPr>
          <w:rFonts w:ascii="Arial" w:hAnsi="Arial" w:cs="Arial"/>
        </w:rPr>
      </w:pPr>
      <w:r w:rsidRPr="009B1172">
        <w:rPr>
          <w:rFonts w:ascii="Arial" w:hAnsi="Arial" w:cs="Arial"/>
        </w:rPr>
        <w:t>- X̄_</w:t>
      </w:r>
      <w:proofErr w:type="spellStart"/>
      <w:proofErr w:type="gramStart"/>
      <w:r w:rsidRPr="009B1172">
        <w:rPr>
          <w:rFonts w:ascii="Arial" w:hAnsi="Arial" w:cs="Arial"/>
        </w:rPr>
        <w:t>domain.i</w:t>
      </w:r>
      <w:proofErr w:type="spellEnd"/>
      <w:proofErr w:type="gramEnd"/>
      <w:r w:rsidRPr="009B1172">
        <w:rPr>
          <w:rFonts w:ascii="Arial" w:hAnsi="Arial" w:cs="Arial"/>
        </w:rPr>
        <w:t xml:space="preserve"> refers to the normalized score of the </w:t>
      </w:r>
      <w:proofErr w:type="spellStart"/>
      <w:r w:rsidRPr="009B1172">
        <w:rPr>
          <w:rFonts w:ascii="Arial" w:hAnsi="Arial" w:cs="Arial"/>
        </w:rPr>
        <w:t>i-th</w:t>
      </w:r>
      <w:proofErr w:type="spellEnd"/>
      <w:r w:rsidRPr="009B1172">
        <w:rPr>
          <w:rFonts w:ascii="Arial" w:hAnsi="Arial" w:cs="Arial"/>
        </w:rPr>
        <w:t xml:space="preserve"> domain.</w:t>
      </w:r>
    </w:p>
    <w:p w14:paraId="27424DFC" w14:textId="77777777" w:rsidR="009B1172" w:rsidRPr="009B1172" w:rsidRDefault="009B1172" w:rsidP="009B1172">
      <w:pPr>
        <w:pStyle w:val="Body"/>
        <w:spacing w:after="0"/>
        <w:rPr>
          <w:rFonts w:ascii="Arial" w:hAnsi="Arial" w:cs="Arial"/>
        </w:rPr>
      </w:pPr>
      <w:r w:rsidRPr="009B1172">
        <w:rPr>
          <w:rFonts w:ascii="Arial" w:hAnsi="Arial" w:cs="Arial"/>
        </w:rPr>
        <w:t xml:space="preserve">- </w:t>
      </w:r>
      <w:proofErr w:type="spellStart"/>
      <w:r w:rsidRPr="009B1172">
        <w:rPr>
          <w:rFonts w:ascii="Arial" w:hAnsi="Arial" w:cs="Arial"/>
        </w:rPr>
        <w:t>n_domain</w:t>
      </w:r>
      <w:proofErr w:type="spellEnd"/>
      <w:r w:rsidRPr="009B1172">
        <w:rPr>
          <w:rFonts w:ascii="Arial" w:hAnsi="Arial" w:cs="Arial"/>
        </w:rPr>
        <w:t xml:space="preserve"> is the total number of domains being considered.</w:t>
      </w:r>
    </w:p>
    <w:p w14:paraId="35B68E38" w14:textId="77777777" w:rsidR="009B1172" w:rsidRPr="009B1172" w:rsidRDefault="009B1172" w:rsidP="009B1172">
      <w:pPr>
        <w:pStyle w:val="Body"/>
        <w:spacing w:after="0"/>
        <w:rPr>
          <w:rFonts w:ascii="Arial" w:hAnsi="Arial" w:cs="Arial"/>
        </w:rPr>
      </w:pPr>
      <w:r w:rsidRPr="009B1172">
        <w:rPr>
          <w:rFonts w:ascii="Arial" w:hAnsi="Arial" w:cs="Arial"/>
        </w:rPr>
        <w:t>- Σᵈ</w:t>
      </w:r>
      <w:r w:rsidRPr="009B1172">
        <w:rPr>
          <w:rFonts w:ascii="Cambria Math" w:hAnsi="Cambria Math" w:cs="Cambria Math"/>
        </w:rPr>
        <w:t>₌₁</w:t>
      </w:r>
      <w:r w:rsidRPr="009B1172">
        <w:rPr>
          <w:rFonts w:ascii="Arial" w:hAnsi="Arial" w:cs="Arial"/>
        </w:rPr>
        <w:t xml:space="preserve"> indicates the summation of normalized domain scores from the first to the n-</w:t>
      </w:r>
      <w:proofErr w:type="spellStart"/>
      <w:r w:rsidRPr="009B1172">
        <w:rPr>
          <w:rFonts w:ascii="Arial" w:hAnsi="Arial" w:cs="Arial"/>
        </w:rPr>
        <w:t>th</w:t>
      </w:r>
      <w:proofErr w:type="spellEnd"/>
      <w:r w:rsidRPr="009B1172">
        <w:rPr>
          <w:rFonts w:ascii="Arial" w:hAnsi="Arial" w:cs="Arial"/>
        </w:rPr>
        <w:t xml:space="preserve"> domain.</w:t>
      </w:r>
    </w:p>
    <w:p w14:paraId="4A18F31D" w14:textId="77777777" w:rsidR="009B1172" w:rsidRDefault="009B1172" w:rsidP="009B1172">
      <w:pPr>
        <w:pStyle w:val="Body"/>
        <w:spacing w:after="0"/>
        <w:rPr>
          <w:rFonts w:ascii="Arial" w:hAnsi="Arial" w:cs="Arial"/>
        </w:rPr>
      </w:pPr>
    </w:p>
    <w:p w14:paraId="377AD3BC" w14:textId="5443DA42" w:rsidR="009B1172" w:rsidRPr="009B1172" w:rsidRDefault="009B1172" w:rsidP="009B1172">
      <w:pPr>
        <w:pStyle w:val="Body"/>
        <w:spacing w:after="0"/>
        <w:rPr>
          <w:rFonts w:ascii="Arial" w:hAnsi="Arial" w:cs="Arial"/>
        </w:rPr>
      </w:pPr>
      <w:r w:rsidRPr="009B1172">
        <w:rPr>
          <w:rFonts w:ascii="Arial" w:hAnsi="Arial" w:cs="Arial"/>
        </w:rPr>
        <w:t>This formula aggregates all domain-level scores into a single composite index by computing their average. Each domain, which may represent different dimensions (e.g., access to care, financial burden, self-care capacity), is first scored independently through its respective indicators. These domain scores are then normalized to a common scale (usually between 0 and 1) to ensure consistency.</w:t>
      </w:r>
    </w:p>
    <w:p w14:paraId="389377CF" w14:textId="77777777" w:rsidR="00475C91" w:rsidRDefault="00475C91" w:rsidP="009B1172">
      <w:pPr>
        <w:pStyle w:val="Body"/>
        <w:spacing w:after="0"/>
        <w:rPr>
          <w:rFonts w:ascii="Arial" w:hAnsi="Arial" w:cs="Arial"/>
          <w:b/>
          <w:caps/>
          <w:sz w:val="22"/>
        </w:rPr>
      </w:pPr>
    </w:p>
    <w:p w14:paraId="2D96508D" w14:textId="70C1096C" w:rsidR="009B1172" w:rsidRDefault="009B1172" w:rsidP="009B117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r>
        <w:rPr>
          <w:rFonts w:ascii="Arial" w:hAnsi="Arial" w:cs="Arial"/>
          <w:b/>
          <w:sz w:val="22"/>
        </w:rPr>
        <w:t xml:space="preserve">Ethical Issues </w:t>
      </w:r>
    </w:p>
    <w:p w14:paraId="24BE9981" w14:textId="77777777" w:rsidR="009B1172" w:rsidRPr="009B1172" w:rsidRDefault="009B1172" w:rsidP="009B1172">
      <w:pPr>
        <w:pStyle w:val="Body"/>
        <w:spacing w:after="0"/>
        <w:rPr>
          <w:rFonts w:ascii="Arial" w:hAnsi="Arial" w:cs="Arial"/>
        </w:rPr>
      </w:pPr>
      <w:bookmarkStart w:id="1" w:name="_Hlk209100355"/>
      <w:r w:rsidRPr="009B1172">
        <w:rPr>
          <w:rFonts w:ascii="Arial" w:hAnsi="Arial" w:cs="Arial"/>
        </w:rPr>
        <w:t xml:space="preserve">This study will be conducted in strict accordance with the principles outlined in the Declaration of Helsinki and relevant national regulations. Ethical approval was granted prior to the commencement of the study by the Ethics Committee for Research Involving Human Subjects at the National </w:t>
      </w:r>
      <w:proofErr w:type="spellStart"/>
      <w:r w:rsidRPr="009B1172">
        <w:rPr>
          <w:rFonts w:ascii="Arial" w:hAnsi="Arial" w:cs="Arial"/>
        </w:rPr>
        <w:t>Defence</w:t>
      </w:r>
      <w:proofErr w:type="spellEnd"/>
      <w:r w:rsidRPr="009B1172">
        <w:rPr>
          <w:rFonts w:ascii="Arial" w:hAnsi="Arial" w:cs="Arial"/>
        </w:rPr>
        <w:t xml:space="preserve"> University of Malaysia (JKEP:1/2025).</w:t>
      </w:r>
    </w:p>
    <w:bookmarkEnd w:id="1"/>
    <w:p w14:paraId="3F13C307" w14:textId="77777777" w:rsidR="009B1172" w:rsidRPr="009B1172" w:rsidRDefault="009B1172" w:rsidP="009B1172">
      <w:pPr>
        <w:pStyle w:val="Body"/>
        <w:spacing w:after="0"/>
        <w:rPr>
          <w:rFonts w:ascii="Arial" w:hAnsi="Arial" w:cs="Arial"/>
        </w:rPr>
      </w:pPr>
    </w:p>
    <w:p w14:paraId="742DC339" w14:textId="77777777" w:rsidR="009B1172" w:rsidRPr="009B1172" w:rsidRDefault="009B1172" w:rsidP="009B1172">
      <w:pPr>
        <w:pStyle w:val="Body"/>
        <w:spacing w:after="0"/>
        <w:rPr>
          <w:rFonts w:ascii="Arial" w:hAnsi="Arial" w:cs="Arial"/>
        </w:rPr>
      </w:pPr>
      <w:r w:rsidRPr="009B1172">
        <w:rPr>
          <w:rFonts w:ascii="Arial" w:hAnsi="Arial" w:cs="Arial"/>
        </w:rPr>
        <w:t>Informed consent will be obtained in writing from all participants prior to their enrolment. The consent process will clearly communicate the study's purpose, procedures, potential risks and benefits, and the measures in place to protect confidentiality. Participants will be explicitly informed of their right to withdraw from the study at any time without penalty or being required to provide a justification.</w:t>
      </w:r>
    </w:p>
    <w:p w14:paraId="1AA76030" w14:textId="77777777" w:rsidR="009B1172" w:rsidRPr="009B1172" w:rsidRDefault="009B1172" w:rsidP="009B1172">
      <w:pPr>
        <w:pStyle w:val="Body"/>
        <w:spacing w:after="0"/>
        <w:rPr>
          <w:rFonts w:ascii="Arial" w:hAnsi="Arial" w:cs="Arial"/>
        </w:rPr>
      </w:pPr>
    </w:p>
    <w:p w14:paraId="2221DC4B" w14:textId="77777777" w:rsidR="009B1172" w:rsidRPr="009B1172" w:rsidRDefault="009B1172" w:rsidP="009B1172">
      <w:pPr>
        <w:pStyle w:val="Body"/>
        <w:spacing w:after="0"/>
        <w:rPr>
          <w:rFonts w:ascii="Arial" w:hAnsi="Arial" w:cs="Arial"/>
        </w:rPr>
      </w:pPr>
      <w:r w:rsidRPr="009B1172">
        <w:rPr>
          <w:rFonts w:ascii="Arial" w:hAnsi="Arial" w:cs="Arial"/>
        </w:rPr>
        <w:lastRenderedPageBreak/>
        <w:t>To protect participant privacy, all data will be handled with the utmost confidentiality. Personally identifiable information (PII) will be removed and replaced with anonymized codes during data transcription and analysis. All digital files will be stored on a password-protected secure server, and physical documents will be kept in a locked cabinet, with access restricted to the principal investigators only.</w:t>
      </w:r>
    </w:p>
    <w:p w14:paraId="080CEE55" w14:textId="77777777" w:rsidR="009B1172" w:rsidRPr="009B1172" w:rsidRDefault="009B1172" w:rsidP="009B1172">
      <w:pPr>
        <w:pStyle w:val="Body"/>
        <w:spacing w:after="0"/>
        <w:rPr>
          <w:rFonts w:ascii="Arial" w:hAnsi="Arial" w:cs="Arial"/>
        </w:rPr>
      </w:pPr>
    </w:p>
    <w:p w14:paraId="3AF06480" w14:textId="731FF87C" w:rsidR="00502516" w:rsidRDefault="009B1172" w:rsidP="009B1172">
      <w:pPr>
        <w:pStyle w:val="Body"/>
        <w:spacing w:after="0"/>
        <w:rPr>
          <w:rFonts w:ascii="Arial" w:hAnsi="Arial" w:cs="Arial"/>
        </w:rPr>
      </w:pPr>
      <w:r w:rsidRPr="009B1172">
        <w:rPr>
          <w:rFonts w:ascii="Arial" w:hAnsi="Arial" w:cs="Arial"/>
        </w:rPr>
        <w:t xml:space="preserve">Given the potential for the discussion to involve sensitive topics related to personal finances and health, protocols are established to safeguard participant well-being. Both the moderator and participants retain the right to pause or terminate a focus group discussion (FGD) immediately if significant distress is observed. Information on accessing low-cost counselling and support services will be provided to all participants as a standard </w:t>
      </w:r>
      <w:proofErr w:type="spellStart"/>
      <w:proofErr w:type="gramStart"/>
      <w:r w:rsidRPr="009B1172">
        <w:rPr>
          <w:rFonts w:ascii="Arial" w:hAnsi="Arial" w:cs="Arial"/>
        </w:rPr>
        <w:t>precaution.</w:t>
      </w:r>
      <w:r w:rsidR="00502516" w:rsidRPr="00502516">
        <w:rPr>
          <w:rFonts w:ascii="Arial" w:hAnsi="Arial" w:cs="Arial"/>
        </w:rPr>
        <w:t>Tables</w:t>
      </w:r>
      <w:proofErr w:type="spellEnd"/>
      <w:proofErr w:type="gramEnd"/>
      <w:r w:rsidR="00502516" w:rsidRPr="00502516">
        <w:rPr>
          <w:rFonts w:ascii="Arial" w:hAnsi="Arial" w:cs="Arial"/>
        </w:rPr>
        <w:t xml:space="preserve">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334C45B6" w14:textId="77777777" w:rsidR="00790ADA" w:rsidRPr="00502516" w:rsidRDefault="00790ADA" w:rsidP="00441B6F">
      <w:pPr>
        <w:pStyle w:val="Body"/>
        <w:spacing w:after="0"/>
        <w:rPr>
          <w:rFonts w:ascii="Arial" w:hAnsi="Arial" w:cs="Arial"/>
        </w:rPr>
      </w:pPr>
    </w:p>
    <w:p w14:paraId="62E7F6B7" w14:textId="77777777" w:rsidR="00790ADA" w:rsidRPr="00FB3A86" w:rsidRDefault="00790ADA" w:rsidP="00441B6F">
      <w:pPr>
        <w:pStyle w:val="Body"/>
        <w:spacing w:after="0"/>
        <w:rPr>
          <w:rFonts w:ascii="Arial" w:hAnsi="Arial" w:cs="Arial"/>
        </w:rPr>
      </w:pPr>
    </w:p>
    <w:p w14:paraId="6860927D" w14:textId="5088F1A5"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8B3C4B" w14:textId="77777777" w:rsidR="00475C91" w:rsidRPr="00FB3A86" w:rsidRDefault="00475C91" w:rsidP="00441B6F">
      <w:pPr>
        <w:pStyle w:val="Head1"/>
        <w:spacing w:after="0"/>
        <w:jc w:val="both"/>
        <w:rPr>
          <w:rFonts w:ascii="Arial" w:hAnsi="Arial" w:cs="Arial"/>
        </w:rPr>
      </w:pPr>
    </w:p>
    <w:p w14:paraId="01CD6912" w14:textId="77777777" w:rsidR="009B1172" w:rsidRPr="009B1172" w:rsidRDefault="009B1172" w:rsidP="009B1172">
      <w:pPr>
        <w:pStyle w:val="Body"/>
        <w:spacing w:after="0"/>
        <w:rPr>
          <w:rFonts w:ascii="Arial" w:hAnsi="Arial" w:cs="Arial"/>
        </w:rPr>
      </w:pPr>
      <w:r w:rsidRPr="009B1172">
        <w:rPr>
          <w:rFonts w:ascii="Arial" w:hAnsi="Arial" w:cs="Arial"/>
        </w:rPr>
        <w:t>The quantitative analysis is anticipated to reveal a statistically significant disparity in Healthcare Sustainability Index (HSI) scores between pensioned and non-pensioned veterans. Non-pensioned veterans are expected to report markedly lower scores across key domains, particularly in financial resources and financing, indicating a substantially higher vulnerability to catastrophic health expenditures. This divergence will empirically validate the primary hypothesis that pension status is a critical determinant of healthcare financial resilience. Furthermore, the stratified random sampling is designed to ensure these findings are generalizable to the broader population of Malaysian Armed Forces veterans.</w:t>
      </w:r>
    </w:p>
    <w:p w14:paraId="175D6832" w14:textId="77777777" w:rsidR="009B1172" w:rsidRDefault="009B1172" w:rsidP="009B1172">
      <w:pPr>
        <w:pStyle w:val="Body"/>
        <w:spacing w:after="0"/>
        <w:rPr>
          <w:rFonts w:ascii="Arial" w:hAnsi="Arial" w:cs="Arial"/>
        </w:rPr>
      </w:pPr>
    </w:p>
    <w:p w14:paraId="50EFBE18" w14:textId="77777777" w:rsidR="009B1172" w:rsidRDefault="009B1172" w:rsidP="009B1172">
      <w:pPr>
        <w:pStyle w:val="Body"/>
        <w:spacing w:after="0"/>
        <w:rPr>
          <w:rFonts w:ascii="Arial" w:hAnsi="Arial" w:cs="Arial"/>
        </w:rPr>
      </w:pPr>
      <w:r w:rsidRPr="009B1172">
        <w:rPr>
          <w:rFonts w:ascii="Arial" w:hAnsi="Arial" w:cs="Arial"/>
        </w:rPr>
        <w:t xml:space="preserve">Concurrently, the initial qualitative themes derived from in-depth interviews are projected to provide rich, contextual narratives that explain this quantitative divide. Veteran testimonies will likely illuminate the specific challenges faced by non-pensioned individuals, such as the burden of out-of-pocket payments for chronic disease management and barriers to accessing specialized care. The integration of this mixed-methods data will culminate in a validated HSI, a robust diagnostic tool that identifies at-risk veterans and pinpoints specific gaps in the current financing mechanism, thereby providing a clear evidence base for targeted policy intervention. </w:t>
      </w:r>
    </w:p>
    <w:p w14:paraId="6203E4CA" w14:textId="77777777" w:rsidR="009B1172" w:rsidRDefault="009B1172" w:rsidP="009B1172">
      <w:pPr>
        <w:pStyle w:val="Body"/>
        <w:spacing w:after="0"/>
        <w:rPr>
          <w:rFonts w:ascii="Arial" w:hAnsi="Arial" w:cs="Arial"/>
        </w:rPr>
      </w:pPr>
    </w:p>
    <w:p w14:paraId="7E619A0A" w14:textId="6C6205B0" w:rsidR="009B1172" w:rsidRPr="009B1172" w:rsidRDefault="009B1172" w:rsidP="009B1172">
      <w:pPr>
        <w:jc w:val="both"/>
        <w:rPr>
          <w:rFonts w:ascii="Arial" w:hAnsi="Arial" w:cs="Arial"/>
          <w:lang w:val="en-MY"/>
        </w:rPr>
      </w:pPr>
      <w:r w:rsidRPr="009B1172">
        <w:rPr>
          <w:rFonts w:ascii="Arial" w:hAnsi="Arial" w:cs="Arial"/>
          <w:lang w:val="en-MY"/>
        </w:rPr>
        <w:t xml:space="preserve">The findings from this study will underscore a critical equity gap within Malaysia's healthcare landscape for military veterans, fundamentally driven by pension status. The significantly lower Healthcare Sustainability Index (HSI) scores among non-pensioned veterans, particularly within the financial domain, highlight a vulnerable subgroup for whom universal health coverage (UHC) provisions are insufficient. This aligns with global literature suggesting that passive UHC policies, while broad in scope, often fail to address the specific financial vulnerabilities of sub-populations with unique histories and needs, such as veterans </w:t>
      </w:r>
      <w:r w:rsidRPr="009B1172">
        <w:rPr>
          <w:rFonts w:ascii="Arial" w:hAnsi="Arial" w:cs="Arial"/>
          <w:lang w:val="en-MY"/>
        </w:rPr>
        <w:fldChar w:fldCharType="begin" w:fldLock="1"/>
      </w:r>
      <w:r w:rsidR="00800A19">
        <w:rPr>
          <w:rFonts w:ascii="Arial" w:hAnsi="Arial" w:cs="Arial"/>
          <w:lang w:val="en-MY"/>
        </w:rPr>
        <w:instrText>ADDIN CSL_CITATION {"citationItems":[{"id":"ITEM-1","itemData":{"DOI":"10.1177/0095327X19878874","ISSN":"0095-327X","abstract":"In December 2017, Congress repealed the individual insurance mandate penalty. Given the poor health status of veterans, their higher demands for health insurance, and the substantial number of uninsured veterans, the repeal of the individual mandate should have a significant impact on the veterans. This article investigates how the repeal of the individual mandate effective in January 2019 is likely to affect the number of uninsured veterans and their enrollments in Veterans Affairs (VA) insurance. By analyzing 52,692 nonelderly veterans in Florida and California from 2008 to 2017, the findings suggest that the repeal will lead to a considerable increase in the number of uninsured veterans. Veterans who are unemployed, poor, and suffering disabilities are more likely to sign up for the VA insurance than better-off veterans. Thus, one of the important functions of veteran health care is to serve as a social safety net for vulnerable veterans. Thus, the Veterans Health Administration should establish a policy to minimize the expected negative repercussions of the repeal.","author":[{"dropping-particle":"","family":"Oh","given":" Dongjin","non-dropping-particle":"","parse-names":false,"suffix":""},{"dropping-particle":"","family":"Berry","given":" Frances Stokes","non-dropping-particle":"","parse-names":false,"suffix":""}],"container-title":"Armed Forces &amp; Society","id":"ITEM-1","issue":"2","issued":{"date-parts":[["2019","10","13"]]},"note":"doi: 10.1177/0095327X19878874","page":"248-275","publisher":"SAGE Publications Inc","title":"The Individual Health Insurance Mandate and Veterans Health Coverage","type":"article-journal","volume":"47"},"uris":["http://www.mendeley.com/documents/?uuid=6a957564-0a3a-49d4-902f-ff81b375e536"]},{"id":"ITEM-2","itemData":{"DOI":"10.1016/S0140-6736(14)61254-X","ISSN":"0140-6736","author":[{"dropping-particle":"","family":"Chokshi","given":"Dave A","non-dropping-particle":"","parse-names":false,"suffix":""},{"dropping-particle":"","family":"Sommers","given":"Benjamin D","non-dropping-particle":"","parse-names":false,"suffix":""}],"container-title":"The Lancet","id":"ITEM-2","issue":"9984","issued":{"date-parts":[["2015","6","6"]]},"note":"doi: 10.1016/S0140-6736(14)61254-X","page":"2320-2321","publisher":"Elsevier","title":"Universal health coverage for US veterans: a goal within reach","type":"article-journal","volume":"385"},"uris":["http://www.mendeley.com/documents/?uuid=5bc7cd93-4ba0-494b-91a6-f511a58735f6"]}],"mendeley":{"formattedCitation":"[10], [11]","plainTextFormattedCitation":"[10], [11]","previouslyFormattedCitation":"[10], [11]"},"properties":{"noteIndex":0},"schema":"https://github.com/citation-style-language/schema/raw/master/csl-citation.json"}</w:instrText>
      </w:r>
      <w:r w:rsidRPr="009B1172">
        <w:rPr>
          <w:rFonts w:ascii="Arial" w:hAnsi="Arial" w:cs="Arial"/>
          <w:lang w:val="en-MY"/>
        </w:rPr>
        <w:fldChar w:fldCharType="separate"/>
      </w:r>
      <w:r w:rsidR="00800A19" w:rsidRPr="00800A19">
        <w:rPr>
          <w:rFonts w:ascii="Arial" w:hAnsi="Arial" w:cs="Arial"/>
          <w:noProof/>
          <w:lang w:val="en-MY"/>
        </w:rPr>
        <w:t>[10], [11]</w:t>
      </w:r>
      <w:r w:rsidRPr="009B1172">
        <w:rPr>
          <w:rFonts w:ascii="Arial" w:hAnsi="Arial" w:cs="Arial"/>
          <w:lang w:val="en-MY"/>
        </w:rPr>
        <w:fldChar w:fldCharType="end"/>
      </w:r>
      <w:r w:rsidRPr="009B1172">
        <w:rPr>
          <w:rFonts w:ascii="Arial" w:hAnsi="Arial" w:cs="Arial"/>
          <w:lang w:val="en-MY"/>
        </w:rPr>
        <w:t>. Our mixed-methods approach not only quantifies this disparity but, through qualitative narratives, captures the lived experience of financial toxicity—where veterans are forced to choose between medical care and other essential needs. For health policy managers, this presents a clear mandate: moving beyond a homogenized view of citizenry to design targeted financing interventions. This evidence compels a policy shift towards means-tested support mechanisms specifically for non-pensioned veterans to mitigate this inequity and uphold the nation's moral contract with those who have served.</w:t>
      </w:r>
    </w:p>
    <w:p w14:paraId="015F68B3" w14:textId="77777777" w:rsidR="009B1172" w:rsidRPr="009B1172" w:rsidRDefault="009B1172" w:rsidP="009B1172">
      <w:pPr>
        <w:jc w:val="both"/>
        <w:rPr>
          <w:rFonts w:ascii="Arial" w:hAnsi="Arial" w:cs="Arial"/>
          <w:lang w:val="en-MY"/>
        </w:rPr>
      </w:pPr>
      <w:r w:rsidRPr="009B1172">
        <w:rPr>
          <w:rFonts w:ascii="Arial" w:hAnsi="Arial" w:cs="Arial"/>
          <w:lang w:val="en-MY"/>
        </w:rPr>
        <w:br/>
        <w:t xml:space="preserve">This study will introduce and validates the Healthcare Sustainability Index (HSI) as a </w:t>
      </w:r>
      <w:r w:rsidRPr="009B1172">
        <w:rPr>
          <w:rFonts w:ascii="Arial" w:hAnsi="Arial" w:cs="Arial"/>
          <w:lang w:val="en-MY"/>
        </w:rPr>
        <w:lastRenderedPageBreak/>
        <w:t>pragmatic tool for health systems management. Beyond merely identifying at-risk individuals, the HSI serves as a diagnostic instrument for the system itself, pinpointing which specific components—be it workforce capacity, drug supply chains, or financial structures—are failing this demographic. This allows for a move from reactive problem-solving to proactive system strengthening. For managers, the operationalization of the HSI into a national veteran needs-assessment framework could revolutionize resource allocation, enabling precise, evidence-based budgeting and program development. By identifying veterans at high risk of financial hardship before they face catastrophic expenditure, policymakers can invest in preventative financial protection schemes. This is not merely a welfare cost but a strategic investment in the long-term sustainability of the entire healthcare system, preventing more severe and costly health complications down the line.</w:t>
      </w:r>
    </w:p>
    <w:p w14:paraId="69B3DBC8" w14:textId="77777777" w:rsidR="009B1172" w:rsidRDefault="009B1172" w:rsidP="009B1172">
      <w:pPr>
        <w:pStyle w:val="Body"/>
        <w:spacing w:after="0"/>
        <w:rPr>
          <w:rFonts w:ascii="Arial" w:hAnsi="Arial" w:cs="Arial"/>
        </w:rPr>
      </w:pPr>
    </w:p>
    <w:p w14:paraId="312B2B44" w14:textId="1F263164" w:rsidR="00800A19" w:rsidRDefault="00800A19" w:rsidP="009B1172">
      <w:pPr>
        <w:pStyle w:val="Body"/>
        <w:spacing w:after="0"/>
        <w:rPr>
          <w:rFonts w:ascii="Arial" w:hAnsi="Arial" w:cs="Arial"/>
        </w:rPr>
      </w:pPr>
      <w:r w:rsidRPr="00800A19">
        <w:rPr>
          <w:rFonts w:ascii="Arial" w:hAnsi="Arial" w:cs="Arial"/>
        </w:rPr>
        <w:t>The challenges identified in this veteran population are not isolated; they are a precursor to the pressures Malaysia will face with its broader ageing population. Veterans, as a defined and organized cohort, represent an ideal group for piloting innovative financing models. The multi-pronged mechanisms explored—such as veteran-specific health vouchers, means-tested premium support, and integrated public-private schemes—can serve as a replicable policy blueprint. Successfully implementing and evaluating these models within the veteran community provides invaluable, real-world evidence for scaling up similar interventions for all elderly Malaysians. This aligns directly with the global UHC agenda, demonstrating how a focused, managerial approach to a specific group can generate lessons that enhance the resilience and equity of the entire health system against inevitable demographic change. Therefore, the implications of this research extend far beyond veteran affairs, offering a practical pathway for Malaysia to future-proof its health financing in pursuit of genuine universal coverage.</w:t>
      </w:r>
    </w:p>
    <w:p w14:paraId="2BC81D47" w14:textId="77777777" w:rsidR="009B1172" w:rsidRDefault="009B1172" w:rsidP="009B1172">
      <w:pPr>
        <w:pStyle w:val="Body"/>
        <w:spacing w:after="0"/>
        <w:rPr>
          <w:rFonts w:ascii="Arial" w:hAnsi="Arial" w:cs="Arial"/>
        </w:rPr>
      </w:pPr>
    </w:p>
    <w:p w14:paraId="5FD6F88B" w14:textId="1C358FC7" w:rsidR="00800A19" w:rsidRDefault="00800A19" w:rsidP="00800A19">
      <w:pPr>
        <w:pStyle w:val="Head1"/>
        <w:spacing w:after="0"/>
        <w:jc w:val="both"/>
        <w:rPr>
          <w:rFonts w:ascii="Arial" w:hAnsi="Arial" w:cs="Arial"/>
        </w:rPr>
      </w:pPr>
      <w:r>
        <w:rPr>
          <w:rFonts w:ascii="Arial" w:hAnsi="Arial" w:cs="Arial"/>
        </w:rPr>
        <w:t>4. conclusions</w:t>
      </w:r>
    </w:p>
    <w:p w14:paraId="01DE3238" w14:textId="77777777" w:rsidR="00475C91" w:rsidRDefault="00475C91" w:rsidP="00800A19">
      <w:pPr>
        <w:pStyle w:val="Head1"/>
        <w:spacing w:after="0"/>
        <w:jc w:val="both"/>
        <w:rPr>
          <w:rFonts w:ascii="Arial" w:hAnsi="Arial" w:cs="Arial"/>
        </w:rPr>
      </w:pPr>
    </w:p>
    <w:p w14:paraId="283B5A15" w14:textId="469E5840" w:rsidR="009B1172" w:rsidRDefault="00800A19" w:rsidP="009B1172">
      <w:pPr>
        <w:pStyle w:val="Body"/>
        <w:spacing w:after="0"/>
        <w:rPr>
          <w:rFonts w:ascii="Arial" w:hAnsi="Arial" w:cs="Arial"/>
        </w:rPr>
      </w:pPr>
      <w:r w:rsidRPr="00800A19">
        <w:rPr>
          <w:rFonts w:ascii="Arial" w:hAnsi="Arial" w:cs="Arial"/>
        </w:rPr>
        <w:t>This study underscores that pension status is a critical, and previously perhaps underappreciated, determinant of healthcare financial sustainability for military veterans in Malaysia. By developing and validating a composite Healthcare Sustainability Index (HSI) through a rigorous mixed-methods approach, this research provides an evidence-based diagnostic tool that moves beyond generic needs assessments to precisely identify at-risk subgroups and the specific domains, most critically, financial resources where they are most vulnerable. The findings compellingly argue for a decisive shift away from a one-size-fits-all policy towards a multi-pronged, targeted financing mechanism that prioritizes non-pensioned veterans. Ultimately, the lessons gleaned, and the models proposed from this veteran-centric research offer a vital and replicable blueprint for proactively strengthening Malaysia's health financing architecture. Piloting these interventions for a defined population serves as a strategic imperative for policymakers to enhance equity and build a more resilient system capable of withstanding the broader demographic pressures of an ageing nation, thereby fortifying the nation's commitment to genuine Universal Health Coverage.</w:t>
      </w:r>
    </w:p>
    <w:p w14:paraId="664CF158" w14:textId="77777777" w:rsidR="00315186" w:rsidRPr="00315186" w:rsidRDefault="00315186" w:rsidP="00441B6F"/>
    <w:p w14:paraId="1BE97532" w14:textId="69A8C208" w:rsidR="00475C91"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2BE0F2A7" w14:textId="77777777" w:rsidR="002B685A" w:rsidRPr="002B685A" w:rsidRDefault="002B685A" w:rsidP="00441B6F">
      <w:pPr>
        <w:pStyle w:val="ReferHead"/>
        <w:spacing w:after="0"/>
        <w:jc w:val="both"/>
        <w:rPr>
          <w:rFonts w:ascii="Arial" w:hAnsi="Arial" w:cs="Arial"/>
          <w:bCs/>
        </w:rPr>
      </w:pPr>
    </w:p>
    <w:p w14:paraId="7AE1B383" w14:textId="2C8C2546" w:rsidR="001A29D8" w:rsidRPr="00800A19" w:rsidRDefault="001A29D8" w:rsidP="00441B6F">
      <w:pPr>
        <w:pStyle w:val="ReferHead"/>
        <w:spacing w:after="0"/>
        <w:jc w:val="both"/>
        <w:rPr>
          <w:rFonts w:ascii="Arial" w:hAnsi="Arial" w:cs="Arial"/>
          <w:b w:val="0"/>
          <w:caps w:val="0"/>
          <w:sz w:val="20"/>
        </w:rPr>
      </w:pPr>
      <w:r w:rsidRPr="00800A19">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FB0AB7D" w14:textId="77777777" w:rsidR="001A29D8" w:rsidRDefault="001A29D8" w:rsidP="00441B6F">
      <w:pPr>
        <w:pStyle w:val="ReferHead"/>
        <w:spacing w:after="0"/>
        <w:jc w:val="both"/>
        <w:rPr>
          <w:rFonts w:ascii="Arial" w:hAnsi="Arial" w:cs="Arial"/>
          <w:b w:val="0"/>
          <w:caps w:val="0"/>
          <w:sz w:val="20"/>
        </w:rPr>
      </w:pPr>
    </w:p>
    <w:p w14:paraId="77AFC0D6" w14:textId="77777777" w:rsidR="005C784C" w:rsidRDefault="005C784C" w:rsidP="00441B6F">
      <w:pPr>
        <w:pStyle w:val="ReferHead"/>
        <w:spacing w:after="0"/>
        <w:jc w:val="both"/>
        <w:rPr>
          <w:rFonts w:ascii="Arial" w:hAnsi="Arial" w:cs="Arial"/>
          <w:b w:val="0"/>
          <w:caps w:val="0"/>
          <w:sz w:val="20"/>
        </w:rPr>
      </w:pPr>
    </w:p>
    <w:p w14:paraId="2C85B732" w14:textId="018BD03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AAEA01E" w14:textId="77777777" w:rsidR="00475C91" w:rsidRDefault="00475C91" w:rsidP="00441B6F">
      <w:pPr>
        <w:pStyle w:val="ReferHead"/>
        <w:spacing w:after="0"/>
        <w:jc w:val="both"/>
        <w:rPr>
          <w:rFonts w:ascii="Arial" w:hAnsi="Arial" w:cs="Arial"/>
          <w:bCs/>
        </w:rPr>
      </w:pPr>
    </w:p>
    <w:p w14:paraId="20D1D0E8" w14:textId="77777777" w:rsidR="005C784C" w:rsidRPr="002B685A" w:rsidRDefault="005C784C" w:rsidP="00441B6F">
      <w:pPr>
        <w:pStyle w:val="ReferHead"/>
        <w:spacing w:after="0"/>
        <w:jc w:val="both"/>
        <w:rPr>
          <w:rFonts w:ascii="Arial" w:hAnsi="Arial" w:cs="Arial"/>
          <w:bCs/>
        </w:rPr>
      </w:pPr>
    </w:p>
    <w:p w14:paraId="168F6B2F" w14:textId="3176DCAC" w:rsidR="00CD6856" w:rsidRDefault="00800A19" w:rsidP="00441B6F">
      <w:pPr>
        <w:pStyle w:val="ReferHead"/>
        <w:spacing w:after="0"/>
        <w:jc w:val="both"/>
        <w:rPr>
          <w:rFonts w:ascii="Arial" w:hAnsi="Arial" w:cs="Arial"/>
          <w:b w:val="0"/>
          <w:caps w:val="0"/>
          <w:sz w:val="20"/>
        </w:rPr>
      </w:pPr>
      <w:r w:rsidRPr="00800A19">
        <w:rPr>
          <w:rFonts w:ascii="Arial" w:hAnsi="Arial" w:cs="Arial"/>
          <w:b w:val="0"/>
          <w:caps w:val="0"/>
          <w:sz w:val="20"/>
        </w:rPr>
        <w:t xml:space="preserve">This study will be conducted in strict accordance with the principles outlined in the Declaration of Helsinki and relevant national regulations. Ethical approval was granted prior to the commencement of the study by the Ethics Committee for Research Involving Human Subjects at the National </w:t>
      </w:r>
      <w:proofErr w:type="spellStart"/>
      <w:r w:rsidRPr="00800A19">
        <w:rPr>
          <w:rFonts w:ascii="Arial" w:hAnsi="Arial" w:cs="Arial"/>
          <w:b w:val="0"/>
          <w:caps w:val="0"/>
          <w:sz w:val="20"/>
        </w:rPr>
        <w:t>Defence</w:t>
      </w:r>
      <w:proofErr w:type="spellEnd"/>
      <w:r w:rsidRPr="00800A19">
        <w:rPr>
          <w:rFonts w:ascii="Arial" w:hAnsi="Arial" w:cs="Arial"/>
          <w:b w:val="0"/>
          <w:caps w:val="0"/>
          <w:sz w:val="20"/>
        </w:rPr>
        <w:t xml:space="preserve"> University of Malaysia (JKEP:1/2025).</w:t>
      </w:r>
    </w:p>
    <w:p w14:paraId="0B71ABE6" w14:textId="77777777" w:rsidR="00CD6856" w:rsidRDefault="00CD6856" w:rsidP="00441B6F">
      <w:pPr>
        <w:pStyle w:val="ReferHead"/>
        <w:spacing w:after="0"/>
        <w:jc w:val="both"/>
        <w:rPr>
          <w:rFonts w:ascii="Arial" w:hAnsi="Arial" w:cs="Arial"/>
          <w:b w:val="0"/>
          <w:caps w:val="0"/>
          <w:sz w:val="20"/>
        </w:rPr>
      </w:pPr>
    </w:p>
    <w:p w14:paraId="7644FB44" w14:textId="77777777" w:rsidR="00860000" w:rsidRDefault="00860000" w:rsidP="00441B6F">
      <w:pPr>
        <w:pStyle w:val="ReferHead"/>
        <w:spacing w:after="0"/>
        <w:jc w:val="both"/>
        <w:rPr>
          <w:rFonts w:ascii="Arial" w:hAnsi="Arial" w:cs="Arial"/>
        </w:rPr>
      </w:pPr>
    </w:p>
    <w:p w14:paraId="7E0B38A0" w14:textId="77777777" w:rsidR="00800A19" w:rsidRDefault="00800A19" w:rsidP="00441B6F">
      <w:pPr>
        <w:pStyle w:val="ReferHead"/>
        <w:spacing w:after="0"/>
        <w:jc w:val="both"/>
        <w:rPr>
          <w:rFonts w:ascii="Arial" w:hAnsi="Arial" w:cs="Arial"/>
        </w:rPr>
      </w:pPr>
    </w:p>
    <w:p w14:paraId="1CAD296C" w14:textId="77777777" w:rsidR="00800A19" w:rsidRDefault="00800A19" w:rsidP="00441B6F">
      <w:pPr>
        <w:pStyle w:val="ReferHead"/>
        <w:spacing w:after="0"/>
        <w:jc w:val="both"/>
        <w:rPr>
          <w:rFonts w:ascii="Arial" w:hAnsi="Arial" w:cs="Arial"/>
        </w:rPr>
      </w:pPr>
    </w:p>
    <w:p w14:paraId="3983265C" w14:textId="77777777" w:rsidR="00800A19" w:rsidRDefault="00800A19" w:rsidP="00441B6F">
      <w:pPr>
        <w:pStyle w:val="ReferHead"/>
        <w:spacing w:after="0"/>
        <w:jc w:val="both"/>
        <w:rPr>
          <w:rFonts w:ascii="Arial" w:hAnsi="Arial" w:cs="Arial"/>
        </w:rPr>
      </w:pPr>
    </w:p>
    <w:p w14:paraId="50884688" w14:textId="77777777" w:rsidR="00800A19" w:rsidRDefault="00800A19" w:rsidP="00441B6F">
      <w:pPr>
        <w:pStyle w:val="ReferHead"/>
        <w:spacing w:after="0"/>
        <w:jc w:val="both"/>
        <w:rPr>
          <w:rFonts w:ascii="Arial" w:hAnsi="Arial" w:cs="Arial"/>
        </w:rPr>
      </w:pPr>
    </w:p>
    <w:p w14:paraId="51B035DD" w14:textId="77777777" w:rsidR="00800A19" w:rsidRDefault="00800A19" w:rsidP="00441B6F">
      <w:pPr>
        <w:pStyle w:val="ReferHead"/>
        <w:spacing w:after="0"/>
        <w:jc w:val="both"/>
        <w:rPr>
          <w:rFonts w:ascii="Arial" w:hAnsi="Arial" w:cs="Arial"/>
        </w:rPr>
      </w:pPr>
    </w:p>
    <w:p w14:paraId="090D5B92" w14:textId="77777777" w:rsidR="00800A19" w:rsidRDefault="00800A19" w:rsidP="00441B6F">
      <w:pPr>
        <w:pStyle w:val="ReferHead"/>
        <w:spacing w:after="0"/>
        <w:jc w:val="both"/>
        <w:rPr>
          <w:rFonts w:ascii="Arial" w:hAnsi="Arial" w:cs="Arial"/>
        </w:rPr>
      </w:pPr>
    </w:p>
    <w:p w14:paraId="2039EB0C" w14:textId="77777777" w:rsidR="00800A19" w:rsidRDefault="00800A19" w:rsidP="00441B6F">
      <w:pPr>
        <w:pStyle w:val="ReferHead"/>
        <w:spacing w:after="0"/>
        <w:jc w:val="both"/>
        <w:rPr>
          <w:rFonts w:ascii="Arial" w:hAnsi="Arial" w:cs="Arial"/>
        </w:rPr>
      </w:pPr>
    </w:p>
    <w:p w14:paraId="5583B45A" w14:textId="77777777" w:rsidR="00800A19" w:rsidRDefault="00800A19" w:rsidP="00441B6F">
      <w:pPr>
        <w:pStyle w:val="ReferHead"/>
        <w:spacing w:after="0"/>
        <w:jc w:val="both"/>
        <w:rPr>
          <w:rFonts w:ascii="Arial" w:hAnsi="Arial" w:cs="Arial"/>
        </w:rPr>
      </w:pPr>
    </w:p>
    <w:p w14:paraId="54F7DA39" w14:textId="77777777" w:rsidR="00800A19" w:rsidRDefault="00800A19" w:rsidP="00441B6F">
      <w:pPr>
        <w:pStyle w:val="ReferHead"/>
        <w:spacing w:after="0"/>
        <w:jc w:val="both"/>
        <w:rPr>
          <w:rFonts w:ascii="Arial" w:hAnsi="Arial" w:cs="Arial"/>
        </w:rPr>
      </w:pPr>
    </w:p>
    <w:p w14:paraId="4DE9D75E" w14:textId="77777777" w:rsidR="00800A19" w:rsidRDefault="00800A19" w:rsidP="00441B6F">
      <w:pPr>
        <w:pStyle w:val="ReferHead"/>
        <w:spacing w:after="0"/>
        <w:jc w:val="both"/>
        <w:rPr>
          <w:rFonts w:ascii="Arial" w:hAnsi="Arial" w:cs="Arial"/>
        </w:rPr>
      </w:pPr>
    </w:p>
    <w:p w14:paraId="32689D21" w14:textId="77777777" w:rsidR="00800A19" w:rsidRDefault="00800A19" w:rsidP="00441B6F">
      <w:pPr>
        <w:pStyle w:val="ReferHead"/>
        <w:spacing w:after="0"/>
        <w:jc w:val="both"/>
        <w:rPr>
          <w:rFonts w:ascii="Arial" w:hAnsi="Arial" w:cs="Arial"/>
        </w:rPr>
      </w:pPr>
    </w:p>
    <w:p w14:paraId="11D4A0CB" w14:textId="77777777" w:rsidR="00800A19" w:rsidRDefault="00800A19" w:rsidP="00441B6F">
      <w:pPr>
        <w:pStyle w:val="ReferHead"/>
        <w:spacing w:after="0"/>
        <w:jc w:val="both"/>
        <w:rPr>
          <w:rFonts w:ascii="Arial" w:hAnsi="Arial" w:cs="Arial"/>
        </w:rPr>
      </w:pPr>
    </w:p>
    <w:p w14:paraId="6B9C697F" w14:textId="77777777" w:rsidR="00800A19" w:rsidRDefault="00800A19" w:rsidP="00441B6F">
      <w:pPr>
        <w:pStyle w:val="ReferHead"/>
        <w:spacing w:after="0"/>
        <w:jc w:val="both"/>
        <w:rPr>
          <w:rFonts w:ascii="Arial" w:hAnsi="Arial" w:cs="Arial"/>
        </w:rPr>
      </w:pPr>
    </w:p>
    <w:p w14:paraId="310C5E25" w14:textId="77777777" w:rsidR="00800A19" w:rsidRDefault="00800A19" w:rsidP="00441B6F">
      <w:pPr>
        <w:pStyle w:val="ReferHead"/>
        <w:spacing w:after="0"/>
        <w:jc w:val="both"/>
        <w:rPr>
          <w:rFonts w:ascii="Arial" w:hAnsi="Arial" w:cs="Arial"/>
        </w:rPr>
      </w:pPr>
    </w:p>
    <w:p w14:paraId="47348A63" w14:textId="77777777" w:rsidR="00800A19" w:rsidRDefault="00800A19" w:rsidP="00441B6F">
      <w:pPr>
        <w:pStyle w:val="ReferHead"/>
        <w:spacing w:after="0"/>
        <w:jc w:val="both"/>
        <w:rPr>
          <w:rFonts w:ascii="Arial" w:hAnsi="Arial" w:cs="Arial"/>
        </w:rPr>
      </w:pPr>
    </w:p>
    <w:p w14:paraId="42ADD486" w14:textId="77777777" w:rsidR="00800A19" w:rsidRDefault="00800A19" w:rsidP="00441B6F">
      <w:pPr>
        <w:pStyle w:val="ReferHead"/>
        <w:spacing w:after="0"/>
        <w:jc w:val="both"/>
        <w:rPr>
          <w:rFonts w:ascii="Arial" w:hAnsi="Arial" w:cs="Arial"/>
        </w:rPr>
      </w:pPr>
    </w:p>
    <w:p w14:paraId="51A51234" w14:textId="77777777" w:rsidR="00800A19" w:rsidRDefault="00800A19" w:rsidP="00441B6F">
      <w:pPr>
        <w:pStyle w:val="ReferHead"/>
        <w:spacing w:after="0"/>
        <w:jc w:val="both"/>
        <w:rPr>
          <w:rFonts w:ascii="Arial" w:hAnsi="Arial" w:cs="Arial"/>
        </w:rPr>
      </w:pPr>
    </w:p>
    <w:p w14:paraId="13E10DEC" w14:textId="77777777" w:rsidR="00800A19" w:rsidRDefault="00800A19" w:rsidP="00441B6F">
      <w:pPr>
        <w:pStyle w:val="ReferHead"/>
        <w:spacing w:after="0"/>
        <w:jc w:val="both"/>
        <w:rPr>
          <w:rFonts w:ascii="Arial" w:hAnsi="Arial" w:cs="Arial"/>
        </w:rPr>
      </w:pPr>
    </w:p>
    <w:p w14:paraId="333DFBF8" w14:textId="77777777" w:rsidR="00800A19" w:rsidRDefault="00800A19" w:rsidP="00441B6F">
      <w:pPr>
        <w:pStyle w:val="ReferHead"/>
        <w:spacing w:after="0"/>
        <w:jc w:val="both"/>
        <w:rPr>
          <w:rFonts w:ascii="Arial" w:hAnsi="Arial" w:cs="Arial"/>
        </w:rPr>
      </w:pPr>
    </w:p>
    <w:p w14:paraId="78B2A976" w14:textId="77777777" w:rsidR="00800A19" w:rsidRDefault="00800A19" w:rsidP="00441B6F">
      <w:pPr>
        <w:pStyle w:val="ReferHead"/>
        <w:spacing w:after="0"/>
        <w:jc w:val="both"/>
        <w:rPr>
          <w:rFonts w:ascii="Arial" w:hAnsi="Arial" w:cs="Arial"/>
        </w:rPr>
      </w:pPr>
    </w:p>
    <w:p w14:paraId="4F6866A6" w14:textId="56D970CB" w:rsidR="00B01FCD" w:rsidRDefault="00B01FCD" w:rsidP="00441B6F">
      <w:pPr>
        <w:pStyle w:val="ReferHead"/>
        <w:spacing w:after="0"/>
        <w:jc w:val="both"/>
        <w:rPr>
          <w:rFonts w:ascii="Arial" w:hAnsi="Arial" w:cs="Arial"/>
        </w:rPr>
      </w:pPr>
      <w:r w:rsidRPr="00FB3A86">
        <w:rPr>
          <w:rFonts w:ascii="Arial" w:hAnsi="Arial" w:cs="Arial"/>
        </w:rPr>
        <w:t>References</w:t>
      </w:r>
    </w:p>
    <w:p w14:paraId="18B603FF" w14:textId="77777777" w:rsidR="00284C4C" w:rsidRPr="00284C4C" w:rsidRDefault="00284C4C" w:rsidP="00441B6F">
      <w:pPr>
        <w:pStyle w:val="Body"/>
        <w:spacing w:after="0"/>
        <w:rPr>
          <w:rFonts w:ascii="Arial" w:hAnsi="Arial" w:cs="Arial"/>
          <w:i/>
          <w:u w:val="single"/>
        </w:rPr>
      </w:pPr>
    </w:p>
    <w:p w14:paraId="1FCDC61B" w14:textId="012AC1D4" w:rsidR="00800A19" w:rsidRPr="00800A19" w:rsidRDefault="00800A19" w:rsidP="00800A19">
      <w:pPr>
        <w:widowControl w:val="0"/>
        <w:autoSpaceDE w:val="0"/>
        <w:autoSpaceDN w:val="0"/>
        <w:adjustRightInd w:val="0"/>
        <w:ind w:left="640" w:hanging="640"/>
        <w:rPr>
          <w:rFonts w:cs="Helvetica"/>
          <w:noProof/>
        </w:rPr>
      </w:pPr>
      <w:r>
        <w:fldChar w:fldCharType="begin" w:fldLock="1"/>
      </w:r>
      <w:r>
        <w:instrText xml:space="preserve">ADDIN Mendeley Bibliography CSL_BIBLIOGRAPHY </w:instrText>
      </w:r>
      <w:r>
        <w:fldChar w:fldCharType="separate"/>
      </w:r>
      <w:r w:rsidRPr="00800A19">
        <w:rPr>
          <w:rFonts w:cs="Helvetica"/>
          <w:noProof/>
        </w:rPr>
        <w:t>[1]</w:t>
      </w:r>
      <w:r w:rsidRPr="00800A19">
        <w:rPr>
          <w:rFonts w:cs="Helvetica"/>
          <w:noProof/>
        </w:rPr>
        <w:tab/>
        <w:t>Department of Statistic Malaysia, “Demographic Statistics, First Quarter 2025.” Accessed: Jun. 16, 2025. [Online]. Available: https://www.dosm.gov.my/portal-main/release-content/demographic-statistics-first-quarter-2025</w:t>
      </w:r>
    </w:p>
    <w:p w14:paraId="3435C51D"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[2]</w:t>
      </w:r>
      <w:r w:rsidRPr="00800A19">
        <w:rPr>
          <w:rFonts w:cs="Helvetica"/>
          <w:noProof/>
        </w:rPr>
        <w:tab/>
        <w:t xml:space="preserve">K. Kinsella and W. He, </w:t>
      </w:r>
      <w:r w:rsidRPr="00800A19">
        <w:rPr>
          <w:rFonts w:cs="Helvetica"/>
          <w:i/>
          <w:iCs/>
          <w:noProof/>
        </w:rPr>
        <w:t>An aging world: 2008: International population reports</w:t>
      </w:r>
      <w:r w:rsidRPr="00800A19">
        <w:rPr>
          <w:rFonts w:cs="Helvetica"/>
          <w:noProof/>
        </w:rPr>
        <w:t>. US Government Printing Office Washington, DC, 2009.</w:t>
      </w:r>
    </w:p>
    <w:p w14:paraId="0DD7B212"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[3]</w:t>
      </w:r>
      <w:r w:rsidRPr="00800A19">
        <w:rPr>
          <w:rFonts w:cs="Helvetica"/>
          <w:noProof/>
        </w:rPr>
        <w:tab/>
        <w:t>H. Khalid and D. Tan, “Interconnections between Climate Change and Population Aging: Implications for a More Inclusive and Sustainable Development in Malaysia,” United Nations Development Programme. Accessed: Jun. 16, 2025. [Online]. Available: https://www.undp.org/malaysia/blog/interconnections-between-climate-change-and-population-aging-implications-more-inclusive-and-sustainable-development-malaysia</w:t>
      </w:r>
    </w:p>
    <w:p w14:paraId="26D7096C"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[4]</w:t>
      </w:r>
      <w:r w:rsidRPr="00800A19">
        <w:rPr>
          <w:rFonts w:cs="Helvetica"/>
          <w:noProof/>
        </w:rPr>
        <w:tab/>
        <w:t xml:space="preserve">Ministry of Health Malaysia., “Health White Paper for Malaysia,” 2024. [Online]. </w:t>
      </w:r>
      <w:r w:rsidRPr="00800A19">
        <w:rPr>
          <w:rFonts w:cs="Helvetica"/>
          <w:noProof/>
        </w:rPr>
        <w:lastRenderedPageBreak/>
        <w:t>Available: https://www.moh.gov.my/index.php/pages/view/7313</w:t>
      </w:r>
    </w:p>
    <w:p w14:paraId="22914682"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[5]</w:t>
      </w:r>
      <w:r w:rsidRPr="00800A19">
        <w:rPr>
          <w:rFonts w:cs="Helvetica"/>
          <w:noProof/>
        </w:rPr>
        <w:tab/>
        <w:t>The National Population and Family Development Board, “Ageing Phenomenon: Malaysia Towards 2030,” Malaysia Population Research Hub. Accessed: Jun. 16, 2025. [Online]. Available: https://mprh.lppkn.gov.my/ageing-phenomenon-malaysia-towards-2030/</w:t>
      </w:r>
    </w:p>
    <w:p w14:paraId="3A4AADA3"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[6]</w:t>
      </w:r>
      <w:r w:rsidRPr="00800A19">
        <w:rPr>
          <w:rFonts w:cs="Helvetica"/>
          <w:noProof/>
        </w:rPr>
        <w:tab/>
        <w:t>Ministry of Health Malaysia., “The Direct Health-Care Cost Of Noncommunicable Diseases In Malaysia,” 2022.</w:t>
      </w:r>
    </w:p>
    <w:p w14:paraId="5DF419D5"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[7]</w:t>
      </w:r>
      <w:r w:rsidRPr="00800A19">
        <w:rPr>
          <w:rFonts w:cs="Helvetica"/>
          <w:noProof/>
        </w:rPr>
        <w:tab/>
        <w:t>T. Das, P. Holland, M. Ahmed, and L. Husain, “Sustainable Development Goal 3: Good Health and Well-being BT  - South-East Asia Eye Health: Systems, Practices, and Challenges,” T. Das and P. D. Nayar, Eds., Singapore: Springer Singapore, 2021, pp. 61–78. doi: 10.1007/978-981-16-3787-2_4.</w:t>
      </w:r>
    </w:p>
    <w:p w14:paraId="788FF57D"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[8]</w:t>
      </w:r>
      <w:r w:rsidRPr="00800A19">
        <w:rPr>
          <w:rFonts w:cs="Helvetica"/>
          <w:noProof/>
        </w:rPr>
        <w:tab/>
        <w:t xml:space="preserve">T. V Perneger, D. S. Courvoisier, P. M. Hudelson, and A. Gayet-Ageron, “Sample size for pre-tests of questionnaires,” </w:t>
      </w:r>
      <w:r w:rsidRPr="00800A19">
        <w:rPr>
          <w:rFonts w:cs="Helvetica"/>
          <w:i/>
          <w:iCs/>
          <w:noProof/>
        </w:rPr>
        <w:t>Qual. life Res.</w:t>
      </w:r>
      <w:r w:rsidRPr="00800A19">
        <w:rPr>
          <w:rFonts w:cs="Helvetica"/>
          <w:noProof/>
        </w:rPr>
        <w:t>, vol. 24, pp. 147–151, 2015.</w:t>
      </w:r>
    </w:p>
    <w:p w14:paraId="45C9B8F1"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[9]</w:t>
      </w:r>
      <w:r w:rsidRPr="00800A19">
        <w:rPr>
          <w:rFonts w:cs="Helvetica"/>
          <w:noProof/>
        </w:rPr>
        <w:tab/>
        <w:t>R. A. Cohen and P. Boersma, “Financial Burden of Medical Care Among Veterans Aged 25–64, by Health Insurance Coverage: United States, 2019–2021,” 2023.</w:t>
      </w:r>
    </w:p>
    <w:p w14:paraId="66C8CB31"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[10]</w:t>
      </w:r>
      <w:r w:rsidRPr="00800A19">
        <w:rPr>
          <w:rFonts w:cs="Helvetica"/>
          <w:noProof/>
        </w:rPr>
        <w:tab/>
        <w:t xml:space="preserve"> Dongjin Oh and  Frances Stokes Berry, “The Individual Health Insurance Mandate and Veterans Health Coverage,” </w:t>
      </w:r>
      <w:r w:rsidRPr="00800A19">
        <w:rPr>
          <w:rFonts w:cs="Helvetica"/>
          <w:i/>
          <w:iCs/>
          <w:noProof/>
        </w:rPr>
        <w:t>Armed Forces Soc.</w:t>
      </w:r>
      <w:r w:rsidRPr="00800A19">
        <w:rPr>
          <w:rFonts w:cs="Helvetica"/>
          <w:noProof/>
        </w:rPr>
        <w:t>, vol. 47, no. 2, pp. 248–275, Oct. 2019, doi: 10.1177/0095327X19878874.</w:t>
      </w:r>
    </w:p>
    <w:p w14:paraId="4028083E" w14:textId="77777777" w:rsidR="00800A19" w:rsidRPr="00800A19" w:rsidRDefault="00800A19" w:rsidP="00800A19">
      <w:pPr>
        <w:widowControl w:val="0"/>
        <w:autoSpaceDE w:val="0"/>
        <w:autoSpaceDN w:val="0"/>
        <w:adjustRightInd w:val="0"/>
        <w:ind w:left="640" w:hanging="640"/>
        <w:rPr>
          <w:rFonts w:cs="Helvetica"/>
          <w:noProof/>
        </w:rPr>
      </w:pPr>
      <w:r w:rsidRPr="00800A19">
        <w:rPr>
          <w:rFonts w:cs="Helvetica"/>
          <w:noProof/>
        </w:rPr>
        <w:t>[11]</w:t>
      </w:r>
      <w:r w:rsidRPr="00800A19">
        <w:rPr>
          <w:rFonts w:cs="Helvetica"/>
          <w:noProof/>
        </w:rPr>
        <w:tab/>
        <w:t xml:space="preserve">D. A. Chokshi and B. D. Sommers, “Universal health coverage for US veterans: a goal within reach,” </w:t>
      </w:r>
      <w:r w:rsidRPr="00800A19">
        <w:rPr>
          <w:rFonts w:cs="Helvetica"/>
          <w:i/>
          <w:iCs/>
          <w:noProof/>
        </w:rPr>
        <w:t>Lancet</w:t>
      </w:r>
      <w:r w:rsidRPr="00800A19">
        <w:rPr>
          <w:rFonts w:cs="Helvetica"/>
          <w:noProof/>
        </w:rPr>
        <w:t>, vol. 385, no. 9984, pp. 2320–2321, Jun. 2015, doi: 10.1016/S0140-6736(14)61254-X.</w:t>
      </w:r>
    </w:p>
    <w:p w14:paraId="161A4830" w14:textId="6107BEAC" w:rsidR="00441B6F" w:rsidRDefault="00800A19" w:rsidP="00441B6F">
      <w:pPr>
        <w:pStyle w:val="Body"/>
        <w:spacing w:after="0"/>
        <w:jc w:val="left"/>
      </w:pPr>
      <w:r>
        <w:fldChar w:fldCharType="end"/>
      </w:r>
    </w:p>
    <w:p w14:paraId="09500B6B" w14:textId="77777777" w:rsidR="00441B6F" w:rsidRDefault="00441B6F" w:rsidP="00441B6F">
      <w:pPr>
        <w:pStyle w:val="Body"/>
        <w:spacing w:after="0"/>
        <w:jc w:val="left"/>
        <w:rPr>
          <w:rFonts w:ascii="Arial" w:hAnsi="Arial" w:cs="Arial"/>
        </w:rPr>
      </w:pPr>
    </w:p>
    <w:p w14:paraId="5ED2C144" w14:textId="77777777" w:rsidR="00B01FCD" w:rsidRPr="00FB3A86" w:rsidRDefault="00B01FCD" w:rsidP="00441B6F">
      <w:pPr>
        <w:pStyle w:val="Reference"/>
        <w:numPr>
          <w:ilvl w:val="0"/>
          <w:numId w:val="0"/>
        </w:numPr>
        <w:spacing w:line="240" w:lineRule="auto"/>
        <w:rPr>
          <w:rFonts w:ascii="Arial" w:hAnsi="Arial" w:cs="Arial"/>
        </w:rPr>
      </w:pPr>
    </w:p>
    <w:p w14:paraId="2F156829" w14:textId="596F2D5E" w:rsidR="004D4277" w:rsidRPr="00800A19" w:rsidRDefault="00B01FCD" w:rsidP="00800A19">
      <w:pPr>
        <w:pStyle w:val="DefAcrHead"/>
        <w:spacing w:after="0"/>
        <w:jc w:val="both"/>
        <w:rPr>
          <w:rFonts w:ascii="Arial" w:hAnsi="Arial" w:cs="Arial"/>
          <w:b w:val="0"/>
          <w:color w:val="FFFFFF" w:themeColor="background1"/>
        </w:rPr>
        <w:sectPr w:rsidR="004D4277" w:rsidRPr="00800A19" w:rsidSect="004D332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00A19">
        <w:rPr>
          <w:rFonts w:ascii="Arial" w:hAnsi="Arial" w:cs="Arial"/>
          <w:color w:val="FFFFFF" w:themeColor="background1"/>
        </w:rPr>
        <w:t>DI</w:t>
      </w:r>
    </w:p>
    <w:p w14:paraId="6349AFE1" w14:textId="77777777" w:rsidR="00B01FCD" w:rsidRPr="00FB3A86" w:rsidRDefault="00B01FCD" w:rsidP="00441B6F">
      <w:pPr>
        <w:pStyle w:val="Appendix"/>
        <w:spacing w:after="0"/>
        <w:jc w:val="both"/>
        <w:rPr>
          <w:rFonts w:ascii="Arial" w:hAnsi="Arial" w:cs="Arial"/>
          <w:b w:val="0"/>
        </w:rPr>
      </w:pPr>
    </w:p>
    <w:sectPr w:rsidR="00B01FCD" w:rsidRPr="00FB3A86" w:rsidSect="004D33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74B74" w14:textId="77777777" w:rsidR="00D747AF" w:rsidRDefault="00D747AF" w:rsidP="00C37E61">
      <w:r>
        <w:separator/>
      </w:r>
    </w:p>
  </w:endnote>
  <w:endnote w:type="continuationSeparator" w:id="0">
    <w:p w14:paraId="32AA424C" w14:textId="77777777" w:rsidR="00D747AF" w:rsidRDefault="00D747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C490" w14:textId="77777777" w:rsidR="004D332C" w:rsidRDefault="004D3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9387" w14:textId="77777777" w:rsidR="004D332C" w:rsidRDefault="004D3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EBEB" w14:textId="672058A1" w:rsidR="00754C9A" w:rsidRPr="004D332C" w:rsidRDefault="00754C9A" w:rsidP="004D33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34E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DD8A" w14:textId="77777777" w:rsidR="00D747AF" w:rsidRDefault="00D747AF" w:rsidP="00C37E61">
      <w:r>
        <w:separator/>
      </w:r>
    </w:p>
  </w:footnote>
  <w:footnote w:type="continuationSeparator" w:id="0">
    <w:p w14:paraId="28858ED7" w14:textId="77777777" w:rsidR="00D747AF" w:rsidRDefault="00D747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C42D" w14:textId="564D2563" w:rsidR="004D332C" w:rsidRDefault="004D332C">
    <w:pPr>
      <w:pStyle w:val="Header"/>
    </w:pPr>
    <w:r>
      <w:rPr>
        <w:noProof/>
      </w:rPr>
      <w:pict w14:anchorId="5F583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6098" w14:textId="65B508EB" w:rsidR="004D332C" w:rsidRDefault="004D332C">
    <w:pPr>
      <w:pStyle w:val="Header"/>
    </w:pPr>
    <w:r>
      <w:rPr>
        <w:noProof/>
      </w:rPr>
      <w:pict w14:anchorId="587D9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6A82" w14:textId="31F3ACF3" w:rsidR="00296529" w:rsidRPr="00296529" w:rsidRDefault="004D332C" w:rsidP="00296529">
    <w:pPr>
      <w:ind w:left="2160"/>
      <w:jc w:val="center"/>
      <w:rPr>
        <w:rFonts w:ascii="Times New Roman" w:eastAsia="Calibri" w:hAnsi="Times New Roman"/>
        <w:i/>
        <w:sz w:val="18"/>
        <w:szCs w:val="22"/>
      </w:rPr>
    </w:pPr>
    <w:r>
      <w:rPr>
        <w:noProof/>
      </w:rPr>
      <w:pict w14:anchorId="40A91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99E7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D7C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6B33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0942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3055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5AD3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8A6B" w14:textId="184D7258" w:rsidR="004D332C" w:rsidRDefault="004D332C">
    <w:pPr>
      <w:pStyle w:val="Header"/>
    </w:pPr>
    <w:r>
      <w:rPr>
        <w:noProof/>
      </w:rPr>
      <w:pict w14:anchorId="565BB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7240" w14:textId="791BF934" w:rsidR="004D332C" w:rsidRDefault="004D332C">
    <w:pPr>
      <w:pStyle w:val="Header"/>
    </w:pPr>
    <w:r>
      <w:rPr>
        <w:noProof/>
      </w:rPr>
      <w:pict w14:anchorId="1B467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576" w14:textId="7A15807B" w:rsidR="004D332C" w:rsidRDefault="004D332C">
    <w:pPr>
      <w:pStyle w:val="Header"/>
    </w:pPr>
    <w:r>
      <w:rPr>
        <w:noProof/>
      </w:rPr>
      <w:pict w14:anchorId="58D83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E3F5F"/>
    <w:multiLevelType w:val="hybridMultilevel"/>
    <w:tmpl w:val="8584B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456"/>
    <w:rsid w:val="00030174"/>
    <w:rsid w:val="0004579C"/>
    <w:rsid w:val="000A47FA"/>
    <w:rsid w:val="000A5404"/>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1F3F"/>
    <w:rsid w:val="0024282C"/>
    <w:rsid w:val="002460DC"/>
    <w:rsid w:val="00250985"/>
    <w:rsid w:val="002556F6"/>
    <w:rsid w:val="00283105"/>
    <w:rsid w:val="00284C4C"/>
    <w:rsid w:val="00287E68"/>
    <w:rsid w:val="00296529"/>
    <w:rsid w:val="002B27FB"/>
    <w:rsid w:val="002B685A"/>
    <w:rsid w:val="002C57D2"/>
    <w:rsid w:val="002E0D56"/>
    <w:rsid w:val="00304EAE"/>
    <w:rsid w:val="00315186"/>
    <w:rsid w:val="0032235B"/>
    <w:rsid w:val="0033343E"/>
    <w:rsid w:val="00336490"/>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5C91"/>
    <w:rsid w:val="004D305E"/>
    <w:rsid w:val="004D332C"/>
    <w:rsid w:val="004D4277"/>
    <w:rsid w:val="004F2622"/>
    <w:rsid w:val="00502516"/>
    <w:rsid w:val="00505F06"/>
    <w:rsid w:val="00506828"/>
    <w:rsid w:val="0053056E"/>
    <w:rsid w:val="00554FDA"/>
    <w:rsid w:val="005C784C"/>
    <w:rsid w:val="005D17F6"/>
    <w:rsid w:val="005E5539"/>
    <w:rsid w:val="00600D1F"/>
    <w:rsid w:val="00602BF5"/>
    <w:rsid w:val="00617FDD"/>
    <w:rsid w:val="00633614"/>
    <w:rsid w:val="00633F68"/>
    <w:rsid w:val="00636EB2"/>
    <w:rsid w:val="006375B8"/>
    <w:rsid w:val="0066510A"/>
    <w:rsid w:val="00673F9F"/>
    <w:rsid w:val="00686953"/>
    <w:rsid w:val="00687DEA"/>
    <w:rsid w:val="00687E67"/>
    <w:rsid w:val="006967F7"/>
    <w:rsid w:val="006A0E6A"/>
    <w:rsid w:val="006A250C"/>
    <w:rsid w:val="006A60E3"/>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0A19"/>
    <w:rsid w:val="00804BC2"/>
    <w:rsid w:val="0081431A"/>
    <w:rsid w:val="0083216F"/>
    <w:rsid w:val="008415C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A47"/>
    <w:rsid w:val="009B117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9747A"/>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43B7"/>
    <w:rsid w:val="00C85588"/>
    <w:rsid w:val="00CD6755"/>
    <w:rsid w:val="00CD6856"/>
    <w:rsid w:val="00CE0089"/>
    <w:rsid w:val="00CE793C"/>
    <w:rsid w:val="00CF193C"/>
    <w:rsid w:val="00D173F1"/>
    <w:rsid w:val="00D43B4A"/>
    <w:rsid w:val="00D747A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9209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00A19"/>
    <w:pPr>
      <w:spacing w:line="480" w:lineRule="auto"/>
      <w:ind w:left="720"/>
      <w:contextualSpacing/>
    </w:pPr>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2667-E0D0-43F2-9428-9966ADAC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5684</Words>
  <Characters>32404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2025-09-18T07:15:00Z</dcterms:created>
  <dcterms:modified xsi:type="dcterms:W3CDTF">2025-09-19T11:20:00Z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3516be2c-9688-3483-bb77-176ddd49b930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4th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