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339C8" w14:textId="77777777" w:rsidR="00847A00" w:rsidRPr="00847A00" w:rsidRDefault="00847A00" w:rsidP="00847A00">
      <w:pPr>
        <w:pStyle w:val="Title"/>
        <w:spacing w:line="360" w:lineRule="auto"/>
        <w:rPr>
          <w:rFonts w:eastAsia="null"/>
          <w:b/>
          <w:bCs/>
          <w:i/>
          <w:iCs/>
          <w:sz w:val="40"/>
          <w:szCs w:val="40"/>
          <w:u w:val="single"/>
        </w:rPr>
      </w:pPr>
      <w:r w:rsidRPr="00847A00">
        <w:rPr>
          <w:rFonts w:eastAsia="null"/>
          <w:b/>
          <w:bCs/>
          <w:i/>
          <w:iCs/>
          <w:sz w:val="40"/>
          <w:szCs w:val="40"/>
          <w:u w:val="single"/>
        </w:rPr>
        <w:t>Review Article</w:t>
      </w:r>
    </w:p>
    <w:p w14:paraId="0F97DD88" w14:textId="77777777" w:rsidR="00847A00" w:rsidRDefault="00847A00" w:rsidP="00C4192F">
      <w:pPr>
        <w:pStyle w:val="Title"/>
        <w:spacing w:after="0" w:line="360" w:lineRule="auto"/>
        <w:rPr>
          <w:rFonts w:eastAsia="null"/>
          <w:b/>
          <w:bCs/>
          <w:color w:val="auto"/>
          <w:sz w:val="40"/>
          <w:szCs w:val="40"/>
        </w:rPr>
      </w:pPr>
    </w:p>
    <w:p w14:paraId="5DCF44A3" w14:textId="0B59D047" w:rsidR="00061E75" w:rsidRDefault="00F01AC0" w:rsidP="00C4192F">
      <w:pPr>
        <w:pStyle w:val="Title"/>
        <w:spacing w:after="0" w:line="360" w:lineRule="auto"/>
        <w:rPr>
          <w:rFonts w:eastAsia="null"/>
          <w:b/>
          <w:bCs/>
          <w:color w:val="auto"/>
          <w:sz w:val="32"/>
          <w:szCs w:val="32"/>
        </w:rPr>
      </w:pPr>
      <w:r w:rsidRPr="005821D3">
        <w:rPr>
          <w:rFonts w:eastAsia="null"/>
          <w:b/>
          <w:bCs/>
          <w:color w:val="auto"/>
          <w:sz w:val="32"/>
          <w:szCs w:val="32"/>
        </w:rPr>
        <w:t>A review of Phenol degrading fungi from industrial areas</w:t>
      </w:r>
    </w:p>
    <w:p w14:paraId="7D332397" w14:textId="77777777" w:rsidR="00BD6253" w:rsidRPr="00BD6253" w:rsidRDefault="00BD6253" w:rsidP="00BD6253">
      <w:pPr>
        <w:rPr>
          <w:rFonts w:eastAsia="null"/>
        </w:rPr>
      </w:pPr>
    </w:p>
    <w:p w14:paraId="73599A1F" w14:textId="77777777" w:rsidR="00211CC4" w:rsidRDefault="00211CC4" w:rsidP="00C4192F">
      <w:pPr>
        <w:pStyle w:val="Heading1"/>
        <w:spacing w:after="0"/>
        <w:rPr>
          <w:rFonts w:ascii="Times New Roman" w:hAnsi="Times New Roman" w:cs="Times New Roman"/>
          <w:sz w:val="20"/>
          <w:szCs w:val="20"/>
        </w:rPr>
      </w:pPr>
      <w:bookmarkStart w:id="0" w:name="_Toc256000000"/>
    </w:p>
    <w:p w14:paraId="212198F6" w14:textId="757A63F5" w:rsidR="00061E75" w:rsidRPr="00B11213" w:rsidRDefault="00E15DBA" w:rsidP="00C4192F">
      <w:pPr>
        <w:pStyle w:val="Heading1"/>
        <w:spacing w:after="0"/>
        <w:rPr>
          <w:rFonts w:ascii="Times New Roman" w:hAnsi="Times New Roman" w:cs="Times New Roman"/>
          <w:sz w:val="20"/>
          <w:szCs w:val="20"/>
        </w:rPr>
      </w:pPr>
      <w:bookmarkStart w:id="1" w:name="_GoBack"/>
      <w:bookmarkEnd w:id="1"/>
      <w:r w:rsidRPr="00B11213">
        <w:rPr>
          <w:rFonts w:ascii="Times New Roman" w:hAnsi="Times New Roman" w:cs="Times New Roman"/>
          <w:sz w:val="20"/>
          <w:szCs w:val="20"/>
        </w:rPr>
        <w:t>Abstract</w:t>
      </w:r>
      <w:bookmarkEnd w:id="0"/>
    </w:p>
    <w:p w14:paraId="20F5D06A" w14:textId="77777777" w:rsidR="00F01AC0" w:rsidRDefault="00F01AC0" w:rsidP="00B11213">
      <w:pPr>
        <w:pBdr>
          <w:bottom w:val="single" w:sz="12" w:space="1" w:color="auto"/>
        </w:pBdr>
        <w:jc w:val="both"/>
        <w:rPr>
          <w:rFonts w:eastAsia="null"/>
          <w:sz w:val="20"/>
          <w:szCs w:val="20"/>
        </w:rPr>
      </w:pPr>
      <w:r w:rsidRPr="00F01AC0">
        <w:rPr>
          <w:rFonts w:eastAsia="null"/>
          <w:sz w:val="20"/>
          <w:szCs w:val="20"/>
        </w:rPr>
        <w:t>Phenol is a widespread environmental contaminant, commonly found in effluents from petroleum refineries, chemical manufacturing, pulp and paper industries, and textile plants. Its high toxicity, persistence, and water solubility make it a significant ecological and public health hazard. Traditional methods for phenol remediation are often energy-intensive, costly, and generate secondary pollutants. In recent years, fungi have emerged as promising biological agents for the degradation of phenol due to their ability to produce a wide array of oxidative enzymes and adapt to harsh environments. This review explores the sources and environmental implications of phenol pollution, the mechanisms by which fungi degrade phenol, and the diversity of fungal species capable of bioremediation. It further discusses the isolation of fungal strains from industrial areas, the application of bioreactor technologies, and recent advances in fungal genetics and metabolic engineering. Challenges and opportunities in this field are highlighted to guide future research toward sustainable and efficient phenol bioremediation strategies.</w:t>
      </w:r>
    </w:p>
    <w:p w14:paraId="11492B15" w14:textId="77777777" w:rsidR="00CC7ECF" w:rsidRDefault="00E15DBA" w:rsidP="00B11213">
      <w:pPr>
        <w:pBdr>
          <w:bottom w:val="single" w:sz="12" w:space="1" w:color="auto"/>
        </w:pBdr>
        <w:jc w:val="both"/>
        <w:rPr>
          <w:rFonts w:eastAsia="null"/>
          <w:sz w:val="20"/>
          <w:szCs w:val="20"/>
        </w:rPr>
      </w:pPr>
      <w:r w:rsidRPr="00B11213">
        <w:rPr>
          <w:rFonts w:eastAsia="null"/>
          <w:b/>
          <w:sz w:val="20"/>
          <w:szCs w:val="20"/>
        </w:rPr>
        <w:t>Keywords:</w:t>
      </w:r>
      <w:r w:rsidR="00F01AC0">
        <w:rPr>
          <w:rFonts w:eastAsia="null"/>
          <w:sz w:val="20"/>
          <w:szCs w:val="20"/>
        </w:rPr>
        <w:t xml:space="preserve"> phenol</w:t>
      </w:r>
      <w:r w:rsidRPr="00B11213">
        <w:rPr>
          <w:rFonts w:eastAsia="null"/>
          <w:sz w:val="20"/>
          <w:szCs w:val="20"/>
        </w:rPr>
        <w:t xml:space="preserve">-degrading fungi, </w:t>
      </w:r>
      <w:r w:rsidR="00F01AC0">
        <w:rPr>
          <w:rFonts w:eastAsia="null"/>
          <w:sz w:val="20"/>
          <w:szCs w:val="20"/>
        </w:rPr>
        <w:t xml:space="preserve">industrial </w:t>
      </w:r>
      <w:r w:rsidR="00487EAD">
        <w:rPr>
          <w:rFonts w:eastAsia="null"/>
          <w:sz w:val="20"/>
          <w:szCs w:val="20"/>
        </w:rPr>
        <w:t>area,</w:t>
      </w:r>
      <w:r w:rsidR="00487EAD" w:rsidRPr="00B11213">
        <w:rPr>
          <w:rFonts w:eastAsia="null"/>
          <w:sz w:val="20"/>
          <w:szCs w:val="20"/>
        </w:rPr>
        <w:t xml:space="preserve"> bioremediation</w:t>
      </w:r>
    </w:p>
    <w:p w14:paraId="3F067D6D" w14:textId="77777777" w:rsidR="00CC7ECF" w:rsidRPr="00B11213" w:rsidRDefault="00CC7ECF" w:rsidP="00B11213">
      <w:pPr>
        <w:jc w:val="both"/>
        <w:rPr>
          <w:sz w:val="20"/>
          <w:szCs w:val="20"/>
        </w:rPr>
      </w:pPr>
    </w:p>
    <w:p w14:paraId="77068C4C" w14:textId="77777777" w:rsidR="00DC7E7F" w:rsidRDefault="00D14BD6" w:rsidP="00DC7E7F">
      <w:pPr>
        <w:pStyle w:val="NormalWeb"/>
        <w:spacing w:before="0" w:beforeAutospacing="0" w:after="0" w:afterAutospacing="0" w:line="360" w:lineRule="auto"/>
        <w:jc w:val="both"/>
      </w:pPr>
      <w:r>
        <w:rPr>
          <w:rStyle w:val="Strong"/>
        </w:rPr>
        <w:t xml:space="preserve">1. </w:t>
      </w:r>
      <w:r w:rsidR="00DC7E7F">
        <w:rPr>
          <w:rStyle w:val="Strong"/>
        </w:rPr>
        <w:t>Introduction</w:t>
      </w:r>
    </w:p>
    <w:p w14:paraId="5141274F" w14:textId="77777777" w:rsidR="00DC7E7F" w:rsidRDefault="00DC7E7F" w:rsidP="00DC7E7F">
      <w:pPr>
        <w:pStyle w:val="NormalWeb"/>
        <w:spacing w:before="0" w:beforeAutospacing="0" w:after="0" w:afterAutospacing="0" w:line="360" w:lineRule="auto"/>
        <w:jc w:val="both"/>
      </w:pPr>
      <w:r>
        <w:t>Phenol (C₆H₅OH), a simple aromatic compound, is a major pollutant generated from numerous industrial activities including oil refining, plastics manufacturing, pharmaceuticals, dyes, resins, and coal processing. Its high solubility in water facilitates its dispersal in aquatic systems, where it poses acute and chronic toxicity to aquatic life, plants, and humans (</w:t>
      </w:r>
      <w:proofErr w:type="spellStart"/>
      <w:r>
        <w:t>Busca</w:t>
      </w:r>
      <w:proofErr w:type="spellEnd"/>
      <w:r>
        <w:t xml:space="preserve"> </w:t>
      </w:r>
      <w:r w:rsidRPr="00DC7E7F">
        <w:rPr>
          <w:i/>
          <w:iCs/>
        </w:rPr>
        <w:t>et al.,</w:t>
      </w:r>
      <w:r>
        <w:t xml:space="preserve"> 2008). Exposure to phenol can result in serious health effects, including liver and kidney damage, respiratory complications, and carcinogenicity. According to the U.S. Environmental Protection Agency (EPA), phenol is classified as a priority pollutant, and its removal from wastewater is of critical importance (EPA, 2018</w:t>
      </w:r>
      <w:proofErr w:type="gramStart"/>
      <w:r>
        <w:t>).Conventional</w:t>
      </w:r>
      <w:proofErr w:type="gramEnd"/>
      <w:r>
        <w:t xml:space="preserve"> methods for phenol removal include chemical oxidation, adsorption using activated carbon, membrane filtration, and advanced oxidation processes. However, these techniques are often economically unviable at large scales, particularly for low-concentration and high-volume waste streams. They also tend to produce toxic by-products or require extensive post-treatment (Nair </w:t>
      </w:r>
      <w:r w:rsidRPr="00DC7E7F">
        <w:rPr>
          <w:i/>
          <w:iCs/>
        </w:rPr>
        <w:t>et al.,</w:t>
      </w:r>
      <w:r>
        <w:t xml:space="preserve"> 2008). Bioremediation, particularly using microbial systems, offers a sustainable alternative, utilizing the metabolic capabilities of microorganisms to degrade and detoxify phenol and related aromatic compounds. Fungi have shown remarkable potential in phenol degradation due to their extracellular enzyme </w:t>
      </w:r>
      <w:r>
        <w:lastRenderedPageBreak/>
        <w:t xml:space="preserve">systems, non-specific oxidative mechanisms, and the ability to withstand extreme environmental conditions. Unlike bacteria, many fungi can degrade phenolic compounds at low pH and in high-toxicity conditions without requiring co-metabolites (Harms </w:t>
      </w:r>
      <w:r w:rsidRPr="00DC7E7F">
        <w:rPr>
          <w:i/>
          <w:iCs/>
        </w:rPr>
        <w:t>et al.,</w:t>
      </w:r>
      <w:r>
        <w:t xml:space="preserve"> 2011). Notably, white rot fungi such as </w:t>
      </w:r>
      <w:proofErr w:type="spellStart"/>
      <w:r>
        <w:rPr>
          <w:rStyle w:val="Emphasis"/>
        </w:rPr>
        <w:t>Phanerochaete</w:t>
      </w:r>
      <w:proofErr w:type="spellEnd"/>
      <w:r>
        <w:rPr>
          <w:rStyle w:val="Emphasis"/>
        </w:rPr>
        <w:t xml:space="preserve"> </w:t>
      </w:r>
      <w:proofErr w:type="spellStart"/>
      <w:r>
        <w:rPr>
          <w:rStyle w:val="Emphasis"/>
        </w:rPr>
        <w:t>chrysosporium</w:t>
      </w:r>
      <w:proofErr w:type="spellEnd"/>
      <w:r>
        <w:t xml:space="preserve">, </w:t>
      </w:r>
      <w:proofErr w:type="spellStart"/>
      <w:r>
        <w:rPr>
          <w:rStyle w:val="Emphasis"/>
        </w:rPr>
        <w:t>Trametes</w:t>
      </w:r>
      <w:proofErr w:type="spellEnd"/>
      <w:r>
        <w:rPr>
          <w:rStyle w:val="Emphasis"/>
        </w:rPr>
        <w:t xml:space="preserve"> versicolor</w:t>
      </w:r>
      <w:r>
        <w:t xml:space="preserve">, and </w:t>
      </w:r>
      <w:r>
        <w:rPr>
          <w:rStyle w:val="Emphasis"/>
        </w:rPr>
        <w:t>Pleurotus ostreatus</w:t>
      </w:r>
      <w:r>
        <w:t xml:space="preserve"> produce laccases, lignin peroxidases, and manganese peroxidases capable of attacking a wide range of phenolic structures (Pointing, 2001).</w:t>
      </w:r>
    </w:p>
    <w:p w14:paraId="4B8DEA86" w14:textId="77777777" w:rsidR="00DC7E7F" w:rsidRDefault="00D14BD6" w:rsidP="00DC7E7F">
      <w:pPr>
        <w:pStyle w:val="NormalWeb"/>
        <w:spacing w:before="0" w:beforeAutospacing="0" w:after="0" w:afterAutospacing="0" w:line="360" w:lineRule="auto"/>
        <w:jc w:val="both"/>
      </w:pPr>
      <w:r>
        <w:rPr>
          <w:rStyle w:val="Strong"/>
        </w:rPr>
        <w:t xml:space="preserve">2. </w:t>
      </w:r>
      <w:r w:rsidR="00DC7E7F">
        <w:rPr>
          <w:rStyle w:val="Strong"/>
        </w:rPr>
        <w:t>Sources and Environmental Impact of Phenol</w:t>
      </w:r>
    </w:p>
    <w:p w14:paraId="1E6AF4F1" w14:textId="77777777" w:rsidR="00882F02" w:rsidRDefault="00882F02" w:rsidP="00DC7E7F">
      <w:pPr>
        <w:pStyle w:val="NormalWeb"/>
        <w:spacing w:before="0" w:beforeAutospacing="0" w:after="0" w:afterAutospacing="0" w:line="360" w:lineRule="auto"/>
        <w:jc w:val="both"/>
      </w:pPr>
      <w:r w:rsidRPr="00882F02">
        <w:t>Phenol contamination arises from diverse industries including petroleum refining, coal gasification, steel production, pulp and paper mills, dye manufacturing, and tanneries. In India, major phenolic pollution hotspots include industrial zones in Gujarat (</w:t>
      </w:r>
      <w:proofErr w:type="spellStart"/>
      <w:r w:rsidRPr="00882F02">
        <w:t>Ankleshwar</w:t>
      </w:r>
      <w:proofErr w:type="spellEnd"/>
      <w:r w:rsidRPr="00882F02">
        <w:t xml:space="preserve">, Vadodara), Maharashtra (Thane, Nagpur), and Chhattisgarh (Korba industrial belt) (Kumari </w:t>
      </w:r>
      <w:r w:rsidRPr="00882F02">
        <w:rPr>
          <w:i/>
          <w:iCs/>
        </w:rPr>
        <w:t>et al.,</w:t>
      </w:r>
      <w:r w:rsidRPr="00882F02">
        <w:t xml:space="preserve"> 2021). Effluent analysis from these regions revealed phenol concentrat</w:t>
      </w:r>
      <w:r>
        <w:t>ions ranging from 5 to 250 mg/L-</w:t>
      </w:r>
      <w:r w:rsidRPr="00882F02">
        <w:t xml:space="preserve">far above permissible discharge limits. Once released, phenol rapidly dissolves in water and can permeate soil, posing a risk to groundwater. Its acute toxicity disrupts microbial communities and reduces biodiversity. In aquatic environments, phenol inhibits respiration and reproduction in fish and other organisms (Luo </w:t>
      </w:r>
      <w:r w:rsidRPr="00882F02">
        <w:rPr>
          <w:i/>
          <w:iCs/>
        </w:rPr>
        <w:t>et al.,</w:t>
      </w:r>
      <w:r w:rsidRPr="00882F02">
        <w:t xml:space="preserve"> 2009). Phenol and its derivatives can also bioaccumulate through food chains, ultimately affecting human health through chronic exposure. In soils, phenol interferes with nitrogen fixation and enzyme activities, altering fertility and plant growth. The persistence of phenol in sediments is largely due to slow anaerobic degradation rates. Moreover, partial chemical oxidation can produce more toxic intermediates like catechol and hydroquinone, compounding environmental hazards. This has directed attention toward microbial degradation</w:t>
      </w:r>
      <w:r>
        <w:t xml:space="preserve"> </w:t>
      </w:r>
      <w:r w:rsidRPr="00882F02">
        <w:t xml:space="preserve">particularly fungal systems that can metabolize phenol under both aerobic and microaerophilic conditions (Mondal </w:t>
      </w:r>
      <w:r w:rsidRPr="00882F02">
        <w:rPr>
          <w:i/>
          <w:iCs/>
        </w:rPr>
        <w:t>et al.,</w:t>
      </w:r>
      <w:r w:rsidRPr="00882F02">
        <w:t xml:space="preserve"> 2020). In Indian contexts, the severity of phenol pollution is heightened by the coexistence of mixed contaminants such as heavy metals and hydrocarbons. These complex effluents challenge conventional treatment systems but provide unique opportunities for isolating robust fungal species adapted to harsh conditions. Such indigenous fungi represent key biological resources for sustainable remediation technologies.</w:t>
      </w:r>
    </w:p>
    <w:p w14:paraId="0843885D" w14:textId="77777777" w:rsidR="00882F02" w:rsidRPr="00882F02" w:rsidRDefault="00882F02" w:rsidP="00882F02">
      <w:pPr>
        <w:pStyle w:val="Heading2"/>
        <w:spacing w:before="0" w:line="360" w:lineRule="auto"/>
        <w:jc w:val="both"/>
        <w:rPr>
          <w:rFonts w:ascii="Times New Roman" w:hAnsi="Times New Roman" w:cs="Times New Roman"/>
          <w:color w:val="auto"/>
          <w:sz w:val="24"/>
          <w:szCs w:val="24"/>
        </w:rPr>
      </w:pPr>
      <w:r w:rsidRPr="00882F02">
        <w:rPr>
          <w:rStyle w:val="Strong"/>
          <w:rFonts w:ascii="Times New Roman" w:hAnsi="Times New Roman" w:cs="Times New Roman"/>
          <w:b/>
          <w:bCs/>
          <w:color w:val="auto"/>
          <w:sz w:val="24"/>
          <w:szCs w:val="24"/>
        </w:rPr>
        <w:t>3. Mechanisms of Phenol Degradation by Fungi</w:t>
      </w:r>
    </w:p>
    <w:p w14:paraId="21D2FDDA" w14:textId="77777777" w:rsidR="00882F02" w:rsidRPr="00882F02" w:rsidRDefault="00882F02" w:rsidP="00882F02">
      <w:pPr>
        <w:pStyle w:val="NormalWeb"/>
        <w:spacing w:before="0" w:beforeAutospacing="0" w:after="0" w:afterAutospacing="0" w:line="360" w:lineRule="auto"/>
        <w:jc w:val="both"/>
      </w:pPr>
      <w:r w:rsidRPr="00882F02">
        <w:t xml:space="preserve">The degradation of phenol by fungi is a coordinated biochemical sequence that combines extracellular oxidation with intracellular mineralization. These reactions transform phenol and related aromatics into simpler, non-toxic molecules that serve as metabolic substrates. Initially, </w:t>
      </w:r>
      <w:r w:rsidRPr="00882F02">
        <w:lastRenderedPageBreak/>
        <w:t xml:space="preserve">fungi secrete oxidative enzymes into their environment, where phenol molecules undergo enzymatic attack to form </w:t>
      </w:r>
      <w:proofErr w:type="gramStart"/>
      <w:r w:rsidRPr="00882F02">
        <w:t>less</w:t>
      </w:r>
      <w:proofErr w:type="gramEnd"/>
      <w:r w:rsidRPr="00882F02">
        <w:t xml:space="preserve"> complex intermediates. Subsequent intracellular processes cleave the aromatic ring and channel the resulting compounds into the tricarboxylic acid (TCA) cycle, producing carbon dioxide and water as final products (Rodríguez Couto &amp; Toca-Herrera, 2006). Through this combination of external oxidation and internal metabolism, fungi simultaneously achieve detoxification and energy recovery from phenolic wastes.</w:t>
      </w:r>
    </w:p>
    <w:p w14:paraId="36615229" w14:textId="77777777" w:rsidR="00882F02" w:rsidRPr="00882F02" w:rsidRDefault="00882F02" w:rsidP="00882F02">
      <w:pPr>
        <w:pStyle w:val="Heading3"/>
        <w:spacing w:before="0" w:line="360" w:lineRule="auto"/>
        <w:jc w:val="both"/>
        <w:rPr>
          <w:rFonts w:ascii="Times New Roman" w:hAnsi="Times New Roman" w:cs="Times New Roman"/>
          <w:i/>
          <w:iCs/>
          <w:color w:val="auto"/>
        </w:rPr>
      </w:pPr>
      <w:r w:rsidRPr="00882F02">
        <w:rPr>
          <w:rStyle w:val="Strong"/>
          <w:rFonts w:ascii="Times New Roman" w:hAnsi="Times New Roman" w:cs="Times New Roman"/>
          <w:b/>
          <w:bCs/>
          <w:i/>
          <w:iCs/>
          <w:color w:val="auto"/>
        </w:rPr>
        <w:t>3.1 Extracellular Oxidative Reactions</w:t>
      </w:r>
    </w:p>
    <w:p w14:paraId="4E99D10D" w14:textId="77777777" w:rsidR="00882F02" w:rsidRPr="00882F02" w:rsidRDefault="00882F02" w:rsidP="00882F02">
      <w:pPr>
        <w:pStyle w:val="NormalWeb"/>
        <w:spacing w:before="0" w:beforeAutospacing="0" w:after="0" w:afterAutospacing="0" w:line="360" w:lineRule="auto"/>
        <w:jc w:val="both"/>
      </w:pPr>
      <w:r w:rsidRPr="00882F02">
        <w:t>Filamentous and ligninolytic fungi are distinguished by their ability to produce an array of extracellular enzymes that degrade recalcitrant aromatics. The most important are laccases, lignin peroxidases (</w:t>
      </w:r>
      <w:proofErr w:type="spellStart"/>
      <w:r w:rsidRPr="00882F02">
        <w:t>LiP</w:t>
      </w:r>
      <w:proofErr w:type="spellEnd"/>
      <w:r w:rsidRPr="00882F02">
        <w:t>), manganese peroxidases (</w:t>
      </w:r>
      <w:proofErr w:type="spellStart"/>
      <w:r w:rsidRPr="00882F02">
        <w:t>MnP</w:t>
      </w:r>
      <w:proofErr w:type="spellEnd"/>
      <w:r w:rsidRPr="00882F02">
        <w:t xml:space="preserve">), and versatile peroxidases (VP) (Pointing, 2001). Laccases are multicopper oxidases that catalyze one-electron oxidation of phenolic hydroxyl groups using molecular oxygen as the terminal electron acceptor, generating water as the only by-product (Harms </w:t>
      </w:r>
      <w:r w:rsidRPr="00882F02">
        <w:rPr>
          <w:i/>
          <w:iCs/>
        </w:rPr>
        <w:t>et al</w:t>
      </w:r>
      <w:r w:rsidRPr="00882F02">
        <w:t>., 2011). These enzymes transform phenol into unstable phenoxy radicals, which spontaneously rearrange or polymerize into products more amenable to further enzymatic attack.</w:t>
      </w:r>
    </w:p>
    <w:p w14:paraId="7DF5B79C" w14:textId="77777777" w:rsidR="00882F02" w:rsidRPr="00882F02" w:rsidRDefault="00882F02" w:rsidP="00882F02">
      <w:pPr>
        <w:pStyle w:val="NormalWeb"/>
        <w:spacing w:before="0" w:beforeAutospacing="0" w:after="0" w:afterAutospacing="0" w:line="360" w:lineRule="auto"/>
        <w:jc w:val="both"/>
      </w:pPr>
      <w:proofErr w:type="spellStart"/>
      <w:r w:rsidRPr="00882F02">
        <w:t>LiP</w:t>
      </w:r>
      <w:proofErr w:type="spellEnd"/>
      <w:r w:rsidRPr="00882F02">
        <w:t xml:space="preserve"> and </w:t>
      </w:r>
      <w:proofErr w:type="spellStart"/>
      <w:r w:rsidRPr="00882F02">
        <w:t>MnP</w:t>
      </w:r>
      <w:proofErr w:type="spellEnd"/>
      <w:r w:rsidRPr="00882F02">
        <w:t xml:space="preserve"> extend fungal oxidative capacity to non-phenolic aromatics. </w:t>
      </w:r>
      <w:proofErr w:type="spellStart"/>
      <w:r w:rsidRPr="00882F02">
        <w:t>LiP</w:t>
      </w:r>
      <w:proofErr w:type="spellEnd"/>
      <w:r w:rsidRPr="00882F02">
        <w:t xml:space="preserve"> generates high-redox-potential cation radicals capable of cleaving C–C and C–O bonds, while </w:t>
      </w:r>
      <w:proofErr w:type="spellStart"/>
      <w:r w:rsidRPr="00882F02">
        <w:t>MnP</w:t>
      </w:r>
      <w:proofErr w:type="spellEnd"/>
      <w:r w:rsidRPr="00882F02">
        <w:t xml:space="preserve"> oxidizes Mn²⁺ to Mn³⁺, which then diffuses as a secondary oxidant through the medium (Banerjee &amp; Ghoshal, 2010). The synergistic activity of laccase, </w:t>
      </w:r>
      <w:proofErr w:type="spellStart"/>
      <w:r w:rsidRPr="00882F02">
        <w:t>LiP</w:t>
      </w:r>
      <w:proofErr w:type="spellEnd"/>
      <w:r w:rsidRPr="00882F02">
        <w:t xml:space="preserve">, and </w:t>
      </w:r>
      <w:proofErr w:type="spellStart"/>
      <w:r w:rsidRPr="00882F02">
        <w:t>MnP</w:t>
      </w:r>
      <w:proofErr w:type="spellEnd"/>
      <w:r w:rsidRPr="00882F02">
        <w:t xml:space="preserve"> has been demonstrated in </w:t>
      </w:r>
      <w:r w:rsidRPr="00882F02">
        <w:rPr>
          <w:rStyle w:val="Emphasis"/>
          <w:rFonts w:eastAsiaTheme="majorEastAsia"/>
        </w:rPr>
        <w:t>Trametes versicolor</w:t>
      </w:r>
      <w:r w:rsidRPr="00882F02">
        <w:t xml:space="preserve">, </w:t>
      </w:r>
      <w:proofErr w:type="spellStart"/>
      <w:r w:rsidRPr="00882F02">
        <w:rPr>
          <w:rStyle w:val="Emphasis"/>
          <w:rFonts w:eastAsiaTheme="majorEastAsia"/>
        </w:rPr>
        <w:t>Pleurotus</w:t>
      </w:r>
      <w:proofErr w:type="spellEnd"/>
      <w:r w:rsidRPr="00882F02">
        <w:rPr>
          <w:rStyle w:val="Emphasis"/>
          <w:rFonts w:eastAsiaTheme="majorEastAsia"/>
        </w:rPr>
        <w:t xml:space="preserve"> </w:t>
      </w:r>
      <w:proofErr w:type="spellStart"/>
      <w:r w:rsidRPr="00882F02">
        <w:rPr>
          <w:rStyle w:val="Emphasis"/>
          <w:rFonts w:eastAsiaTheme="majorEastAsia"/>
        </w:rPr>
        <w:t>ostreatus</w:t>
      </w:r>
      <w:proofErr w:type="spellEnd"/>
      <w:r w:rsidRPr="00882F02">
        <w:t xml:space="preserve">, and </w:t>
      </w:r>
      <w:proofErr w:type="spellStart"/>
      <w:r w:rsidRPr="00882F02">
        <w:rPr>
          <w:rStyle w:val="Emphasis"/>
          <w:rFonts w:eastAsiaTheme="majorEastAsia"/>
        </w:rPr>
        <w:t>Phanerochaete</w:t>
      </w:r>
      <w:proofErr w:type="spellEnd"/>
      <w:r w:rsidRPr="00882F02">
        <w:rPr>
          <w:rStyle w:val="Emphasis"/>
          <w:rFonts w:eastAsiaTheme="majorEastAsia"/>
        </w:rPr>
        <w:t xml:space="preserve"> </w:t>
      </w:r>
      <w:proofErr w:type="spellStart"/>
      <w:r w:rsidRPr="00882F02">
        <w:rPr>
          <w:rStyle w:val="Emphasis"/>
          <w:rFonts w:eastAsiaTheme="majorEastAsia"/>
        </w:rPr>
        <w:t>chrysosporium</w:t>
      </w:r>
      <w:proofErr w:type="spellEnd"/>
      <w:r w:rsidRPr="00882F02">
        <w:t xml:space="preserve">, achieving &gt;90 % phenol degradation within three days under optimized pH and aeration (Mondal </w:t>
      </w:r>
      <w:r w:rsidRPr="00882F02">
        <w:rPr>
          <w:i/>
          <w:iCs/>
        </w:rPr>
        <w:t>et al</w:t>
      </w:r>
      <w:r w:rsidRPr="00882F02">
        <w:t>., 2020). Enzyme synthesis is strongly regulated by nutrient limitation—p</w:t>
      </w:r>
      <w:r>
        <w:t xml:space="preserve">articularly nitrogen deficiency </w:t>
      </w:r>
      <w:r w:rsidRPr="00882F02">
        <w:t xml:space="preserve">which triggers secondary metabolism and up-regulation of ligninolytic gene clusters (Kumari </w:t>
      </w:r>
      <w:r w:rsidRPr="00882F02">
        <w:rPr>
          <w:i/>
          <w:iCs/>
        </w:rPr>
        <w:t xml:space="preserve">et al., </w:t>
      </w:r>
      <w:r w:rsidRPr="00882F02">
        <w:t>2021).</w:t>
      </w:r>
    </w:p>
    <w:p w14:paraId="5691DE59" w14:textId="77777777" w:rsidR="00882F02" w:rsidRPr="00882F02" w:rsidRDefault="00882F02" w:rsidP="00882F02">
      <w:pPr>
        <w:pStyle w:val="Heading3"/>
        <w:spacing w:before="0" w:line="360" w:lineRule="auto"/>
        <w:jc w:val="both"/>
        <w:rPr>
          <w:rFonts w:ascii="Times New Roman" w:hAnsi="Times New Roman" w:cs="Times New Roman"/>
          <w:i/>
          <w:iCs/>
          <w:color w:val="auto"/>
        </w:rPr>
      </w:pPr>
      <w:r w:rsidRPr="00882F02">
        <w:rPr>
          <w:rStyle w:val="Strong"/>
          <w:rFonts w:ascii="Times New Roman" w:hAnsi="Times New Roman" w:cs="Times New Roman"/>
          <w:b/>
          <w:bCs/>
          <w:i/>
          <w:iCs/>
          <w:color w:val="auto"/>
        </w:rPr>
        <w:t>3.2 Intracellular Metabolic Conversion</w:t>
      </w:r>
    </w:p>
    <w:p w14:paraId="350BCDC8" w14:textId="77777777" w:rsidR="00882F02" w:rsidRPr="00882F02" w:rsidRDefault="00882F02" w:rsidP="00882F02">
      <w:pPr>
        <w:pStyle w:val="NormalWeb"/>
        <w:spacing w:before="0" w:beforeAutospacing="0" w:after="0" w:afterAutospacing="0" w:line="360" w:lineRule="auto"/>
        <w:jc w:val="both"/>
      </w:pPr>
      <w:r w:rsidRPr="00882F02">
        <w:t>Once extracellular oxidation produces intermediates such as catechol and hydroquinone, these compounds are transported into fungal cells for ring-cleavage reactions. Two main pathways operate: the ortho-cleavage route catalyzed by catechol 1,2-dioxygenase and the meta-cleavage route catalyzed by catechol 2,3-dioxygenase (</w:t>
      </w:r>
      <w:proofErr w:type="spellStart"/>
      <w:r w:rsidRPr="00882F02">
        <w:t>Floudas</w:t>
      </w:r>
      <w:proofErr w:type="spellEnd"/>
      <w:r w:rsidRPr="00882F02">
        <w:t xml:space="preserve"> </w:t>
      </w:r>
      <w:r w:rsidRPr="00882F02">
        <w:rPr>
          <w:i/>
          <w:iCs/>
        </w:rPr>
        <w:t>et al.,</w:t>
      </w:r>
      <w:r w:rsidRPr="00882F02">
        <w:t xml:space="preserve"> 2012). In the ortho pathway, catechol is converted to </w:t>
      </w:r>
      <w:proofErr w:type="spellStart"/>
      <w:proofErr w:type="gramStart"/>
      <w:r w:rsidRPr="00882F02">
        <w:t>cis,cis</w:t>
      </w:r>
      <w:proofErr w:type="gramEnd"/>
      <w:r w:rsidRPr="00882F02">
        <w:t>-muconic</w:t>
      </w:r>
      <w:proofErr w:type="spellEnd"/>
      <w:r w:rsidRPr="00882F02">
        <w:t xml:space="preserve"> acid, which is subsequently transformed into β-ketoadipate and enters the TCA cycle. The meta pathway yields 2-hydroxymuconic </w:t>
      </w:r>
      <w:r w:rsidRPr="00882F02">
        <w:lastRenderedPageBreak/>
        <w:t xml:space="preserve">semialdehyde, which is further oxidized to pyruvate and acetaldehyde before assimilation into central metabolism (Garg </w:t>
      </w:r>
      <w:r w:rsidRPr="00882F02">
        <w:rPr>
          <w:i/>
          <w:iCs/>
        </w:rPr>
        <w:t>et al.,</w:t>
      </w:r>
      <w:r w:rsidRPr="00882F02">
        <w:t xml:space="preserve"> 2021).</w:t>
      </w:r>
    </w:p>
    <w:p w14:paraId="20E23625" w14:textId="77777777" w:rsidR="00882F02" w:rsidRPr="00882F02" w:rsidRDefault="00882F02" w:rsidP="00882F02">
      <w:pPr>
        <w:pStyle w:val="NormalWeb"/>
        <w:spacing w:before="0" w:beforeAutospacing="0" w:after="0" w:afterAutospacing="0" w:line="360" w:lineRule="auto"/>
        <w:jc w:val="both"/>
      </w:pPr>
      <w:r w:rsidRPr="00882F02">
        <w:t xml:space="preserve">The predominance of either pathway depends on oxygen levels, substrate concentration, and species-specific enzyme regulation. Studies on </w:t>
      </w:r>
      <w:r w:rsidRPr="00882F02">
        <w:rPr>
          <w:rStyle w:val="Emphasis"/>
          <w:rFonts w:eastAsiaTheme="majorEastAsia"/>
        </w:rPr>
        <w:t xml:space="preserve">Aspergillus </w:t>
      </w:r>
      <w:proofErr w:type="spellStart"/>
      <w:r w:rsidRPr="00882F02">
        <w:rPr>
          <w:rStyle w:val="Emphasis"/>
          <w:rFonts w:eastAsiaTheme="majorEastAsia"/>
        </w:rPr>
        <w:t>niger</w:t>
      </w:r>
      <w:proofErr w:type="spellEnd"/>
      <w:r w:rsidRPr="00882F02">
        <w:t xml:space="preserve"> and </w:t>
      </w:r>
      <w:r w:rsidRPr="00882F02">
        <w:rPr>
          <w:rStyle w:val="Emphasis"/>
          <w:rFonts w:eastAsiaTheme="majorEastAsia"/>
        </w:rPr>
        <w:t xml:space="preserve">Penicillium </w:t>
      </w:r>
      <w:proofErr w:type="spellStart"/>
      <w:r w:rsidRPr="00882F02">
        <w:rPr>
          <w:rStyle w:val="Emphasis"/>
          <w:rFonts w:eastAsiaTheme="majorEastAsia"/>
        </w:rPr>
        <w:t>chrysogenum</w:t>
      </w:r>
      <w:proofErr w:type="spellEnd"/>
      <w:r w:rsidRPr="00882F02">
        <w:t xml:space="preserve"> have revealed concurrent operation of both routes, providing metabolic flexibility under stress conditions (Roy &amp; Saha, 2022). Exposure to phenol also induces antioxidant defense systems, including catalase and superoxide dismutase, to counteract reactive oxygen species generated during oxidation. This integrated stress-response mechanism allows fungi to withstand phenol concentrations that inhibit bacterial metabolism (Harms </w:t>
      </w:r>
      <w:r w:rsidRPr="00882F02">
        <w:rPr>
          <w:i/>
          <w:iCs/>
        </w:rPr>
        <w:t>et al.,</w:t>
      </w:r>
      <w:r w:rsidRPr="00882F02">
        <w:t xml:space="preserve"> 2011).</w:t>
      </w:r>
    </w:p>
    <w:p w14:paraId="2143DDAB" w14:textId="77777777" w:rsidR="00882F02" w:rsidRPr="00882F02" w:rsidRDefault="00882F02" w:rsidP="00882F02">
      <w:pPr>
        <w:pStyle w:val="Heading3"/>
        <w:spacing w:before="0" w:line="360" w:lineRule="auto"/>
        <w:jc w:val="both"/>
        <w:rPr>
          <w:rFonts w:ascii="Times New Roman" w:hAnsi="Times New Roman" w:cs="Times New Roman"/>
          <w:i/>
          <w:iCs/>
          <w:color w:val="auto"/>
        </w:rPr>
      </w:pPr>
      <w:r w:rsidRPr="00882F02">
        <w:rPr>
          <w:rStyle w:val="Strong"/>
          <w:rFonts w:ascii="Times New Roman" w:hAnsi="Times New Roman" w:cs="Times New Roman"/>
          <w:b/>
          <w:bCs/>
          <w:i/>
          <w:iCs/>
          <w:color w:val="auto"/>
        </w:rPr>
        <w:t>3.3 Biosorption and Transport Phenomena</w:t>
      </w:r>
    </w:p>
    <w:p w14:paraId="439BB3C0" w14:textId="77777777" w:rsidR="00882F02" w:rsidRPr="00882F02" w:rsidRDefault="00882F02" w:rsidP="00882F02">
      <w:pPr>
        <w:pStyle w:val="NormalWeb"/>
        <w:spacing w:before="0" w:beforeAutospacing="0" w:after="0" w:afterAutospacing="0" w:line="360" w:lineRule="auto"/>
        <w:jc w:val="both"/>
      </w:pPr>
      <w:r w:rsidRPr="00882F02">
        <w:t xml:space="preserve">Beyond enzymatic catalysis, fungal cell walls themselves contribute to phenol removal through biosorption. Structural polymers such as chitin and β-glucans present carboxyl, hydroxyl, and amino groups that adsorb phenolic molecules by hydrogen bonding and electrostatic attraction (Zhao </w:t>
      </w:r>
      <w:r w:rsidRPr="00882F02">
        <w:rPr>
          <w:i/>
          <w:iCs/>
        </w:rPr>
        <w:t>et al</w:t>
      </w:r>
      <w:r w:rsidRPr="00882F02">
        <w:t>., 2020). This passive uptake reduces free phenol levels in the medium, protecting extracellular enzymes from inhibition. Adsorbed molecules may later desorb for enzymatic degradation, maintaining a steady degradation rate even under fluctuating pollutant loads.</w:t>
      </w:r>
    </w:p>
    <w:p w14:paraId="474BA34B" w14:textId="77777777" w:rsidR="00882F02" w:rsidRPr="00882F02" w:rsidRDefault="00882F02" w:rsidP="00882F02">
      <w:pPr>
        <w:pStyle w:val="NormalWeb"/>
        <w:spacing w:before="0" w:beforeAutospacing="0" w:after="0" w:afterAutospacing="0" w:line="360" w:lineRule="auto"/>
        <w:jc w:val="both"/>
      </w:pPr>
      <w:r w:rsidRPr="00882F02">
        <w:t xml:space="preserve">Transport across the plasma membrane is mediated by major facilitator superfamily (MFS) and ATP-binding-cassette (ABC) transporters that regulate intracellular concentrations of phenol and its metabolites. Transcriptomic analyses of </w:t>
      </w:r>
      <w:r w:rsidRPr="00882F02">
        <w:rPr>
          <w:rStyle w:val="Emphasis"/>
          <w:rFonts w:eastAsiaTheme="majorEastAsia"/>
        </w:rPr>
        <w:t xml:space="preserve">Trichoderma </w:t>
      </w:r>
      <w:proofErr w:type="spellStart"/>
      <w:r w:rsidRPr="00882F02">
        <w:rPr>
          <w:rStyle w:val="Emphasis"/>
          <w:rFonts w:eastAsiaTheme="majorEastAsia"/>
        </w:rPr>
        <w:t>reesei</w:t>
      </w:r>
      <w:proofErr w:type="spellEnd"/>
      <w:r w:rsidRPr="00882F02">
        <w:t xml:space="preserve"> have shown significant up-regulation of ABC transporter genes during phenol exposure, highlighting their role in detoxification (Singh </w:t>
      </w:r>
      <w:r w:rsidRPr="00882F02">
        <w:rPr>
          <w:i/>
          <w:iCs/>
        </w:rPr>
        <w:t xml:space="preserve">et al., </w:t>
      </w:r>
      <w:r w:rsidRPr="00882F02">
        <w:t xml:space="preserve">2021). In continuous-flow systems, fungal biofilms provide additional resilience. Hyphae embedded in extracellular polymeric substances (EPS) trap pollutants and concentrate enzymes locally, resulting in higher degradation efficiency and protection from hydraulic shear. </w:t>
      </w:r>
      <w:r w:rsidRPr="00882F02">
        <w:rPr>
          <w:rStyle w:val="Emphasis"/>
          <w:rFonts w:eastAsiaTheme="majorEastAsia"/>
        </w:rPr>
        <w:t xml:space="preserve">Aspergillus </w:t>
      </w:r>
      <w:proofErr w:type="spellStart"/>
      <w:r w:rsidRPr="00882F02">
        <w:rPr>
          <w:rStyle w:val="Emphasis"/>
          <w:rFonts w:eastAsiaTheme="majorEastAsia"/>
        </w:rPr>
        <w:t>niger</w:t>
      </w:r>
      <w:proofErr w:type="spellEnd"/>
      <w:r w:rsidRPr="00882F02">
        <w:t xml:space="preserve"> biofilms have maintained removal efficiencies above 95 % under phenol shock loads (Zhao </w:t>
      </w:r>
      <w:r w:rsidRPr="00882F02">
        <w:rPr>
          <w:i/>
          <w:iCs/>
        </w:rPr>
        <w:t>et al</w:t>
      </w:r>
      <w:r w:rsidRPr="00882F02">
        <w:t>., 2020).</w:t>
      </w:r>
    </w:p>
    <w:p w14:paraId="3BC44638" w14:textId="77777777" w:rsidR="00882F02" w:rsidRPr="00882F02" w:rsidRDefault="00882F02" w:rsidP="00882F02">
      <w:pPr>
        <w:pStyle w:val="Heading3"/>
        <w:spacing w:before="0" w:line="360" w:lineRule="auto"/>
        <w:jc w:val="both"/>
        <w:rPr>
          <w:rFonts w:ascii="Times New Roman" w:hAnsi="Times New Roman" w:cs="Times New Roman"/>
          <w:i/>
          <w:iCs/>
          <w:color w:val="auto"/>
        </w:rPr>
      </w:pPr>
      <w:r w:rsidRPr="00882F02">
        <w:rPr>
          <w:rStyle w:val="Strong"/>
          <w:rFonts w:ascii="Times New Roman" w:hAnsi="Times New Roman" w:cs="Times New Roman"/>
          <w:b/>
          <w:bCs/>
          <w:i/>
          <w:iCs/>
          <w:color w:val="auto"/>
        </w:rPr>
        <w:t>3.4 Co-Metabolic Interactions and Secondary Metabolites</w:t>
      </w:r>
    </w:p>
    <w:p w14:paraId="73C6A13E" w14:textId="77777777" w:rsidR="00882F02" w:rsidRPr="00882F02" w:rsidRDefault="00882F02" w:rsidP="00882F02">
      <w:pPr>
        <w:pStyle w:val="NormalWeb"/>
        <w:spacing w:before="0" w:beforeAutospacing="0" w:after="0" w:afterAutospacing="0" w:line="360" w:lineRule="auto"/>
        <w:jc w:val="both"/>
      </w:pPr>
      <w:r w:rsidRPr="00882F02">
        <w:t xml:space="preserve">Fungal metabolism of phenol frequently relies on co-metabolism, in which another carbon source or endogenous metabolite supports enzyme activity. Secondary metabolites such as oxalic acid and hydrogen peroxide act as natural mediators enhancing oxidation through Fenton-like reactions that generate hydroxyl radicals (Roy &amp; Saha, 2022). These radicals non-enzymatically cleave aromatic rings, complementing the activity of laccase and peroxidases. The concurrent </w:t>
      </w:r>
      <w:r w:rsidRPr="00882F02">
        <w:lastRenderedPageBreak/>
        <w:t xml:space="preserve">secretion of oxalic acid also chelates metal ions, stabilizing Mn³⁺ intermediates essential for </w:t>
      </w:r>
      <w:proofErr w:type="spellStart"/>
      <w:r w:rsidRPr="00882F02">
        <w:t>MnP</w:t>
      </w:r>
      <w:proofErr w:type="spellEnd"/>
      <w:r w:rsidRPr="00882F02">
        <w:t xml:space="preserve"> catalysis (Banerjee &amp; Ghoshal, 2010).</w:t>
      </w:r>
    </w:p>
    <w:p w14:paraId="2624ABA1" w14:textId="77777777" w:rsidR="00882F02" w:rsidRPr="00882F02" w:rsidRDefault="00882F02" w:rsidP="00882F02">
      <w:pPr>
        <w:pStyle w:val="NormalWeb"/>
        <w:spacing w:before="0" w:beforeAutospacing="0" w:after="0" w:afterAutospacing="0" w:line="360" w:lineRule="auto"/>
        <w:jc w:val="both"/>
      </w:pPr>
      <w:r w:rsidRPr="00882F02">
        <w:t xml:space="preserve">Co-metabolic synergy has been observed in </w:t>
      </w:r>
      <w:r w:rsidRPr="00882F02">
        <w:rPr>
          <w:rStyle w:val="Emphasis"/>
          <w:rFonts w:eastAsiaTheme="majorEastAsia"/>
        </w:rPr>
        <w:t>Pleurotus ostreatus</w:t>
      </w:r>
      <w:r w:rsidRPr="00882F02">
        <w:t xml:space="preserve">, where simultaneous production of laccase and oxalic acid accelerated phenol oxidation by roughly one-third compared with enzyme activity alone (Shukla </w:t>
      </w:r>
      <w:r w:rsidRPr="00882F02">
        <w:rPr>
          <w:i/>
          <w:iCs/>
        </w:rPr>
        <w:t>et al.,</w:t>
      </w:r>
      <w:r w:rsidRPr="00882F02">
        <w:t xml:space="preserve"> 2019). Similar cooperative effects occur in mixed microbial consortia. A co-culture of </w:t>
      </w:r>
      <w:r w:rsidRPr="00882F02">
        <w:rPr>
          <w:rStyle w:val="Emphasis"/>
          <w:rFonts w:eastAsiaTheme="majorEastAsia"/>
        </w:rPr>
        <w:t>Trametes versicolor</w:t>
      </w:r>
      <w:r w:rsidRPr="00882F02">
        <w:t xml:space="preserve"> and </w:t>
      </w:r>
      <w:r w:rsidRPr="00882F02">
        <w:rPr>
          <w:rStyle w:val="Emphasis"/>
          <w:rFonts w:eastAsiaTheme="majorEastAsia"/>
        </w:rPr>
        <w:t>Pseudomonas putida</w:t>
      </w:r>
      <w:r w:rsidRPr="00882F02">
        <w:t xml:space="preserve"> eliminated phenol completely within 48 h, demonstrating that fungal-bacterial partnerships can combine oxidative and mineralization capacities (Sharma &amp; Singh, 2022).</w:t>
      </w:r>
    </w:p>
    <w:p w14:paraId="67D90CBD" w14:textId="77777777" w:rsidR="00882F02" w:rsidRPr="00882F02" w:rsidRDefault="00882F02" w:rsidP="00882F02">
      <w:pPr>
        <w:pStyle w:val="Heading3"/>
        <w:spacing w:before="0" w:line="360" w:lineRule="auto"/>
        <w:jc w:val="both"/>
        <w:rPr>
          <w:rFonts w:ascii="Times New Roman" w:hAnsi="Times New Roman" w:cs="Times New Roman"/>
          <w:i/>
          <w:iCs/>
          <w:color w:val="auto"/>
        </w:rPr>
      </w:pPr>
      <w:r w:rsidRPr="00882F02">
        <w:rPr>
          <w:rStyle w:val="Strong"/>
          <w:rFonts w:ascii="Times New Roman" w:hAnsi="Times New Roman" w:cs="Times New Roman"/>
          <w:b/>
          <w:bCs/>
          <w:i/>
          <w:iCs/>
          <w:color w:val="auto"/>
        </w:rPr>
        <w:t>3.5 Enzyme Immobilization and Process Optimization</w:t>
      </w:r>
    </w:p>
    <w:p w14:paraId="0CCA92EB" w14:textId="77777777" w:rsidR="00882F02" w:rsidRPr="00882F02" w:rsidRDefault="00882F02" w:rsidP="00882F02">
      <w:pPr>
        <w:pStyle w:val="NormalWeb"/>
        <w:spacing w:before="0" w:beforeAutospacing="0" w:after="0" w:afterAutospacing="0" w:line="360" w:lineRule="auto"/>
        <w:jc w:val="both"/>
      </w:pPr>
      <w:r w:rsidRPr="00882F02">
        <w:t>Immobilization of fungal enzymes or cells has become an important strategy for industrial wastewater treatment because it enhances operational stability and reusability. Matrices such as calcium alginate, silica gel, loofa sponge, and biochar provide mechanical support and create microenvironments favorable to enzyme activity (</w:t>
      </w:r>
      <w:proofErr w:type="spellStart"/>
      <w:r w:rsidRPr="00882F02">
        <w:t>Elisashvili</w:t>
      </w:r>
      <w:proofErr w:type="spellEnd"/>
      <w:r w:rsidRPr="00882F02">
        <w:t xml:space="preserve"> </w:t>
      </w:r>
      <w:r w:rsidRPr="00882F02">
        <w:rPr>
          <w:i/>
          <w:iCs/>
        </w:rPr>
        <w:t>et al.,</w:t>
      </w:r>
      <w:r w:rsidRPr="00882F02">
        <w:t xml:space="preserve"> 2008). Immobilized laccase from </w:t>
      </w:r>
      <w:r w:rsidRPr="00882F02">
        <w:rPr>
          <w:rStyle w:val="Emphasis"/>
          <w:rFonts w:eastAsiaTheme="majorEastAsia"/>
        </w:rPr>
        <w:t>Pleurotus ostreatus</w:t>
      </w:r>
      <w:r w:rsidRPr="00882F02">
        <w:t xml:space="preserve"> retained &gt; 80 % of its catalytic activity after five reuse cycles while maintaining phenol removal efficiency above 90 % (Shukla </w:t>
      </w:r>
      <w:r w:rsidRPr="00882F02">
        <w:rPr>
          <w:i/>
          <w:iCs/>
        </w:rPr>
        <w:t>et al.,</w:t>
      </w:r>
      <w:r w:rsidRPr="00882F02">
        <w:t xml:space="preserve"> 2019). Immobilized </w:t>
      </w:r>
      <w:r w:rsidRPr="00882F02">
        <w:rPr>
          <w:rStyle w:val="Emphasis"/>
          <w:rFonts w:eastAsiaTheme="majorEastAsia"/>
        </w:rPr>
        <w:t>Aspergillus oryzae</w:t>
      </w:r>
      <w:r w:rsidRPr="00882F02">
        <w:t xml:space="preserve"> in packed-bed reactors achieved similar results and showed high resistance to variable flow rates and phenol loads (Shah </w:t>
      </w:r>
      <w:r w:rsidRPr="00882F02">
        <w:rPr>
          <w:i/>
          <w:iCs/>
        </w:rPr>
        <w:t>et al</w:t>
      </w:r>
      <w:r w:rsidRPr="00882F02">
        <w:t>., 2022).</w:t>
      </w:r>
    </w:p>
    <w:p w14:paraId="5272F632" w14:textId="77777777" w:rsidR="00882F02" w:rsidRPr="00882F02" w:rsidRDefault="00882F02" w:rsidP="00882F02">
      <w:pPr>
        <w:pStyle w:val="NormalWeb"/>
        <w:spacing w:before="0" w:beforeAutospacing="0" w:after="0" w:afterAutospacing="0" w:line="360" w:lineRule="auto"/>
        <w:jc w:val="both"/>
      </w:pPr>
      <w:r w:rsidRPr="00882F02">
        <w:t xml:space="preserve">Process parameters strongly influence enzymatic efficiency. Optimal pH for laccase activity usually lies between 4.5 and 5.5, while temperature optima range from 30 to 40 °C (Mondal </w:t>
      </w:r>
      <w:r w:rsidRPr="00882F02">
        <w:rPr>
          <w:i/>
          <w:iCs/>
        </w:rPr>
        <w:t>et al.,</w:t>
      </w:r>
      <w:r w:rsidRPr="00882F02">
        <w:t xml:space="preserve"> 2020). Adequate aeration and the presence of trace metals such as copper are essential for maintaining the redox state of laccase active si</w:t>
      </w:r>
      <w:r>
        <w:t xml:space="preserve">tes. Advances in reactor design </w:t>
      </w:r>
      <w:r w:rsidRPr="00882F02">
        <w:t>especially hybrid systems combining biological oxi</w:t>
      </w:r>
      <w:r>
        <w:t xml:space="preserve">dation with membrane separation </w:t>
      </w:r>
      <w:r w:rsidRPr="00882F02">
        <w:t>are expected to further improve treatment performance in industrial applications (Pandey &amp; Singh, 2024).</w:t>
      </w:r>
    </w:p>
    <w:p w14:paraId="1F5BB82E" w14:textId="77777777" w:rsidR="00882F02" w:rsidRPr="00D14BD6" w:rsidRDefault="00882F02" w:rsidP="00D14BD6">
      <w:pPr>
        <w:pStyle w:val="Heading2"/>
        <w:spacing w:before="0" w:line="360" w:lineRule="auto"/>
        <w:jc w:val="both"/>
        <w:rPr>
          <w:rFonts w:ascii="Times New Roman" w:hAnsi="Times New Roman" w:cs="Times New Roman"/>
          <w:color w:val="auto"/>
          <w:sz w:val="24"/>
          <w:szCs w:val="24"/>
        </w:rPr>
      </w:pPr>
      <w:r w:rsidRPr="00D14BD6">
        <w:rPr>
          <w:rStyle w:val="Strong"/>
          <w:rFonts w:ascii="Times New Roman" w:hAnsi="Times New Roman" w:cs="Times New Roman"/>
          <w:b/>
          <w:bCs/>
          <w:color w:val="auto"/>
          <w:sz w:val="24"/>
          <w:szCs w:val="24"/>
        </w:rPr>
        <w:t>4. Diversity and Taxonomy of Phenol-Degrading Fungi</w:t>
      </w:r>
    </w:p>
    <w:p w14:paraId="1CB5724A" w14:textId="77777777" w:rsidR="00882F02" w:rsidRPr="00882F02" w:rsidRDefault="00882F02" w:rsidP="00D14BD6">
      <w:pPr>
        <w:pStyle w:val="NormalWeb"/>
        <w:spacing w:before="0" w:beforeAutospacing="0" w:line="360" w:lineRule="auto"/>
        <w:jc w:val="both"/>
      </w:pPr>
      <w:r w:rsidRPr="00882F02">
        <w:t xml:space="preserve">Fungal degradation of phenol is not confined to a few specialized taxa; rather, it is distributed across many evolutionary lineages within the phyla </w:t>
      </w:r>
      <w:r w:rsidRPr="00882F02">
        <w:rPr>
          <w:rStyle w:val="Emphasis"/>
        </w:rPr>
        <w:t>Basidiomycota</w:t>
      </w:r>
      <w:r w:rsidRPr="00882F02">
        <w:t xml:space="preserve"> and </w:t>
      </w:r>
      <w:r w:rsidRPr="00882F02">
        <w:rPr>
          <w:rStyle w:val="Emphasis"/>
        </w:rPr>
        <w:t>Ascomycota</w:t>
      </w:r>
      <w:r w:rsidRPr="00882F02">
        <w:t xml:space="preserve">. The structural diversity of fungal enzymes and their physiological plasticity allow representatives of several ecological </w:t>
      </w:r>
      <w:proofErr w:type="gramStart"/>
      <w:r w:rsidRPr="00882F02">
        <w:t>guilds</w:t>
      </w:r>
      <w:proofErr w:type="gramEnd"/>
      <w:r w:rsidR="00D14BD6">
        <w:t xml:space="preserve"> </w:t>
      </w:r>
      <w:r w:rsidRPr="00882F02">
        <w:t>saprotrophs, endophytes, plant pathogens, and marine or halotolerant species</w:t>
      </w:r>
      <w:r w:rsidR="00D14BD6">
        <w:t xml:space="preserve"> </w:t>
      </w:r>
      <w:r w:rsidRPr="00882F02">
        <w:t xml:space="preserve">to participate in phenol turnover. Understanding this diversity is critical because different taxa employ distinct enzymatic systems, metabolic routes, and environmental tolerances that influence their applicability in industrial wastewater treatment (Harms </w:t>
      </w:r>
      <w:r w:rsidRPr="00D14BD6">
        <w:rPr>
          <w:i/>
          <w:iCs/>
        </w:rPr>
        <w:t>et al.,</w:t>
      </w:r>
      <w:r w:rsidRPr="00882F02">
        <w:t xml:space="preserve"> 2011).</w:t>
      </w:r>
    </w:p>
    <w:p w14:paraId="77EE2F7C" w14:textId="77777777" w:rsidR="00882F02" w:rsidRPr="00D14BD6" w:rsidRDefault="00882F02" w:rsidP="00D14BD6">
      <w:pPr>
        <w:pStyle w:val="Heading3"/>
        <w:spacing w:before="0" w:line="360" w:lineRule="auto"/>
        <w:jc w:val="both"/>
        <w:rPr>
          <w:rFonts w:ascii="Times New Roman" w:hAnsi="Times New Roman" w:cs="Times New Roman"/>
          <w:i/>
          <w:iCs/>
          <w:color w:val="auto"/>
        </w:rPr>
      </w:pPr>
      <w:r w:rsidRPr="00D14BD6">
        <w:rPr>
          <w:rStyle w:val="Strong"/>
          <w:rFonts w:ascii="Times New Roman" w:hAnsi="Times New Roman" w:cs="Times New Roman"/>
          <w:b/>
          <w:bCs/>
          <w:i/>
          <w:iCs/>
          <w:color w:val="auto"/>
        </w:rPr>
        <w:lastRenderedPageBreak/>
        <w:t>4.1 Basidiomycetous White-Rot and Litter-Decomposing Fungi</w:t>
      </w:r>
    </w:p>
    <w:p w14:paraId="07A0A781" w14:textId="77777777" w:rsidR="00882F02" w:rsidRPr="00882F02" w:rsidRDefault="00882F02" w:rsidP="00D14BD6">
      <w:pPr>
        <w:pStyle w:val="NormalWeb"/>
        <w:spacing w:before="0" w:beforeAutospacing="0" w:after="0" w:afterAutospacing="0" w:line="360" w:lineRule="auto"/>
        <w:jc w:val="both"/>
      </w:pPr>
      <w:r w:rsidRPr="00882F02">
        <w:t xml:space="preserve">Among phenol-degrading organisms, white-rot basidiomycetes are the most extensively characterized. These fungi—typified by </w:t>
      </w:r>
      <w:proofErr w:type="spellStart"/>
      <w:r w:rsidRPr="00882F02">
        <w:rPr>
          <w:rStyle w:val="Emphasis"/>
        </w:rPr>
        <w:t>Phanerochaete</w:t>
      </w:r>
      <w:proofErr w:type="spellEnd"/>
      <w:r w:rsidRPr="00882F02">
        <w:rPr>
          <w:rStyle w:val="Emphasis"/>
        </w:rPr>
        <w:t xml:space="preserve"> </w:t>
      </w:r>
      <w:proofErr w:type="spellStart"/>
      <w:r w:rsidRPr="00882F02">
        <w:rPr>
          <w:rStyle w:val="Emphasis"/>
        </w:rPr>
        <w:t>chrysosporium</w:t>
      </w:r>
      <w:proofErr w:type="spellEnd"/>
      <w:r w:rsidRPr="00882F02">
        <w:t xml:space="preserve">, </w:t>
      </w:r>
      <w:proofErr w:type="spellStart"/>
      <w:r w:rsidRPr="00882F02">
        <w:rPr>
          <w:rStyle w:val="Emphasis"/>
        </w:rPr>
        <w:t>Trametes</w:t>
      </w:r>
      <w:proofErr w:type="spellEnd"/>
      <w:r w:rsidRPr="00882F02">
        <w:rPr>
          <w:rStyle w:val="Emphasis"/>
        </w:rPr>
        <w:t xml:space="preserve"> versicolor</w:t>
      </w:r>
      <w:r w:rsidRPr="00882F02">
        <w:t xml:space="preserve">, </w:t>
      </w:r>
      <w:proofErr w:type="spellStart"/>
      <w:r w:rsidRPr="00882F02">
        <w:rPr>
          <w:rStyle w:val="Emphasis"/>
        </w:rPr>
        <w:t>Pleurotus</w:t>
      </w:r>
      <w:proofErr w:type="spellEnd"/>
      <w:r w:rsidRPr="00882F02">
        <w:rPr>
          <w:rStyle w:val="Emphasis"/>
        </w:rPr>
        <w:t xml:space="preserve"> </w:t>
      </w:r>
      <w:proofErr w:type="spellStart"/>
      <w:r w:rsidRPr="00882F02">
        <w:rPr>
          <w:rStyle w:val="Emphasis"/>
        </w:rPr>
        <w:t>ostreatus</w:t>
      </w:r>
      <w:proofErr w:type="spellEnd"/>
      <w:r w:rsidRPr="00882F02">
        <w:t xml:space="preserve">, </w:t>
      </w:r>
      <w:proofErr w:type="spellStart"/>
      <w:r w:rsidRPr="00882F02">
        <w:rPr>
          <w:rStyle w:val="Emphasis"/>
        </w:rPr>
        <w:t>Trametes</w:t>
      </w:r>
      <w:proofErr w:type="spellEnd"/>
      <w:r w:rsidRPr="00882F02">
        <w:rPr>
          <w:rStyle w:val="Emphasis"/>
        </w:rPr>
        <w:t xml:space="preserve"> </w:t>
      </w:r>
      <w:proofErr w:type="spellStart"/>
      <w:r w:rsidRPr="00882F02">
        <w:rPr>
          <w:rStyle w:val="Emphasis"/>
        </w:rPr>
        <w:t>hirsuta</w:t>
      </w:r>
      <w:proofErr w:type="spellEnd"/>
      <w:r w:rsidRPr="00882F02">
        <w:t xml:space="preserve">, and </w:t>
      </w:r>
      <w:proofErr w:type="spellStart"/>
      <w:r w:rsidRPr="00882F02">
        <w:rPr>
          <w:rStyle w:val="Emphasis"/>
        </w:rPr>
        <w:t>Pycnoporus</w:t>
      </w:r>
      <w:proofErr w:type="spellEnd"/>
      <w:r w:rsidRPr="00882F02">
        <w:rPr>
          <w:rStyle w:val="Emphasis"/>
        </w:rPr>
        <w:t xml:space="preserve"> </w:t>
      </w:r>
      <w:proofErr w:type="spellStart"/>
      <w:r w:rsidRPr="00882F02">
        <w:rPr>
          <w:rStyle w:val="Emphasis"/>
        </w:rPr>
        <w:t>cinnabarinus</w:t>
      </w:r>
      <w:proofErr w:type="spellEnd"/>
      <w:r w:rsidR="00D14BD6">
        <w:rPr>
          <w:rStyle w:val="Emphasis"/>
        </w:rPr>
        <w:t xml:space="preserve"> </w:t>
      </w:r>
      <w:r w:rsidRPr="00882F02">
        <w:t xml:space="preserve">possess a ligninolytic enzyme system capable of oxidizing both phenolic and non-phenolic aromatics (Pointing, 2001; Mondal </w:t>
      </w:r>
      <w:r w:rsidRPr="00D14BD6">
        <w:rPr>
          <w:i/>
          <w:iCs/>
        </w:rPr>
        <w:t>et al.,</w:t>
      </w:r>
      <w:r w:rsidRPr="00882F02">
        <w:t xml:space="preserve"> 2020). The same oxidative machinery that enables lignin decomposition in wood also permits the degradation of industrial phenolic pollutants. Enzyme screening of </w:t>
      </w:r>
      <w:r w:rsidRPr="00882F02">
        <w:rPr>
          <w:rStyle w:val="Emphasis"/>
        </w:rPr>
        <w:t>T. versicolor</w:t>
      </w:r>
      <w:r w:rsidRPr="00882F02">
        <w:t xml:space="preserve"> has revealed multiple laccase isoforms and a suite of peroxidases that function synergistically across a broad pH range (4–7), giving the species remarkable adaptability (Banerjee &amp; Ghoshal, 2010).</w:t>
      </w:r>
    </w:p>
    <w:p w14:paraId="3946B24A" w14:textId="77777777" w:rsidR="00882F02" w:rsidRPr="00882F02" w:rsidRDefault="00882F02" w:rsidP="00D14BD6">
      <w:pPr>
        <w:pStyle w:val="NormalWeb"/>
        <w:spacing w:before="0" w:beforeAutospacing="0" w:after="0" w:afterAutospacing="0" w:line="360" w:lineRule="auto"/>
        <w:jc w:val="both"/>
      </w:pPr>
      <w:r w:rsidRPr="00882F02">
        <w:t xml:space="preserve">White-rot fungi not only degrade soluble phenols but also attack high-molecular-weight polymeric residues that accumulate in paper-and-pulp or dye-industry effluents. </w:t>
      </w:r>
      <w:r w:rsidRPr="00882F02">
        <w:rPr>
          <w:rStyle w:val="Emphasis"/>
        </w:rPr>
        <w:t>Pleurotus ostreatus</w:t>
      </w:r>
      <w:r w:rsidRPr="00882F02">
        <w:t xml:space="preserve"> and </w:t>
      </w:r>
      <w:r w:rsidRPr="00882F02">
        <w:rPr>
          <w:rStyle w:val="Emphasis"/>
        </w:rPr>
        <w:t xml:space="preserve">P. </w:t>
      </w:r>
      <w:proofErr w:type="spellStart"/>
      <w:r w:rsidRPr="00882F02">
        <w:rPr>
          <w:rStyle w:val="Emphasis"/>
        </w:rPr>
        <w:t>cinnabarinus</w:t>
      </w:r>
      <w:proofErr w:type="spellEnd"/>
      <w:r w:rsidRPr="00882F02">
        <w:t xml:space="preserve"> efficiently decolorize azo and anthraquinone dyes through phenol oxidation coupled with radical-mediated bond cleavage (Kumari </w:t>
      </w:r>
      <w:r w:rsidRPr="00D14BD6">
        <w:rPr>
          <w:i/>
          <w:iCs/>
        </w:rPr>
        <w:t>et al.,</w:t>
      </w:r>
      <w:r w:rsidRPr="00882F02">
        <w:t xml:space="preserve"> 2021). In Indian contexts, isolates from lignocellulosic wastes in Chhattisgarh and Gujarat have shown over 90 % phenol removal within four days of incubation (Kumar </w:t>
      </w:r>
      <w:r w:rsidRPr="00D14BD6">
        <w:rPr>
          <w:i/>
          <w:iCs/>
        </w:rPr>
        <w:t>et al.,</w:t>
      </w:r>
      <w:r w:rsidRPr="00882F02">
        <w:t xml:space="preserve"> 2022). The success of these basidiomycetes is attributed to their extracellular enzyme stability and tolerance of fluctuating oxygen levels common in industrial effluents.</w:t>
      </w:r>
    </w:p>
    <w:p w14:paraId="6832A416" w14:textId="77777777" w:rsidR="00882F02" w:rsidRPr="00D14BD6" w:rsidRDefault="00882F02" w:rsidP="00D14BD6">
      <w:pPr>
        <w:pStyle w:val="Heading3"/>
        <w:spacing w:before="0" w:line="360" w:lineRule="auto"/>
        <w:jc w:val="both"/>
        <w:rPr>
          <w:rFonts w:ascii="Times New Roman" w:hAnsi="Times New Roman" w:cs="Times New Roman"/>
          <w:i/>
          <w:iCs/>
          <w:color w:val="auto"/>
        </w:rPr>
      </w:pPr>
      <w:r w:rsidRPr="00D14BD6">
        <w:rPr>
          <w:rStyle w:val="Strong"/>
          <w:rFonts w:ascii="Times New Roman" w:hAnsi="Times New Roman" w:cs="Times New Roman"/>
          <w:b/>
          <w:bCs/>
          <w:i/>
          <w:iCs/>
          <w:color w:val="auto"/>
        </w:rPr>
        <w:t>4.2 Ascomycetous Soil and Filamentous Fungi</w:t>
      </w:r>
    </w:p>
    <w:p w14:paraId="79CDCCB6" w14:textId="77777777" w:rsidR="00882F02" w:rsidRPr="00882F02" w:rsidRDefault="00882F02" w:rsidP="00D14BD6">
      <w:pPr>
        <w:pStyle w:val="NormalWeb"/>
        <w:spacing w:before="0" w:beforeAutospacing="0" w:after="0" w:afterAutospacing="0" w:line="360" w:lineRule="auto"/>
        <w:jc w:val="both"/>
      </w:pPr>
      <w:r w:rsidRPr="00882F02">
        <w:t xml:space="preserve">While basidiomycetes dominate studies on lignin degradation, ascomycetous filamentous fungi are equally significant for phenol bioremediation, particularly in soil and sludge environments. Genera such as </w:t>
      </w:r>
      <w:r w:rsidRPr="00882F02">
        <w:rPr>
          <w:rStyle w:val="Emphasis"/>
        </w:rPr>
        <w:t>Aspergillus</w:t>
      </w:r>
      <w:r w:rsidRPr="00882F02">
        <w:t xml:space="preserve">, </w:t>
      </w:r>
      <w:r w:rsidRPr="00882F02">
        <w:rPr>
          <w:rStyle w:val="Emphasis"/>
        </w:rPr>
        <w:t>Penicillium</w:t>
      </w:r>
      <w:r w:rsidRPr="00882F02">
        <w:t xml:space="preserve">, </w:t>
      </w:r>
      <w:r w:rsidRPr="00882F02">
        <w:rPr>
          <w:rStyle w:val="Emphasis"/>
        </w:rPr>
        <w:t>Trichoderma</w:t>
      </w:r>
      <w:r w:rsidRPr="00882F02">
        <w:t xml:space="preserve">, and </w:t>
      </w:r>
      <w:r w:rsidRPr="00882F02">
        <w:rPr>
          <w:rStyle w:val="Emphasis"/>
        </w:rPr>
        <w:t>Fusarium</w:t>
      </w:r>
      <w:r w:rsidRPr="00882F02">
        <w:t xml:space="preserve"> are ubiquitous in contaminated habitats and possess the ability to metabolize phenol even under nutrient-rich or moderately alkaline conditions (Sahoo </w:t>
      </w:r>
      <w:r w:rsidRPr="00D14BD6">
        <w:rPr>
          <w:i/>
          <w:iCs/>
        </w:rPr>
        <w:t>et al</w:t>
      </w:r>
      <w:r w:rsidRPr="00882F02">
        <w:t>., 2023). Their fast growth, tolerance to high phenol concentrations, and resistance to osmotic stress make them strong candidates for continuous bioreactor operation.</w:t>
      </w:r>
    </w:p>
    <w:p w14:paraId="67335175" w14:textId="77777777" w:rsidR="00882F02" w:rsidRPr="00882F02" w:rsidRDefault="00882F02" w:rsidP="00D14BD6">
      <w:pPr>
        <w:pStyle w:val="NormalWeb"/>
        <w:spacing w:before="0" w:beforeAutospacing="0" w:after="0" w:afterAutospacing="0" w:line="360" w:lineRule="auto"/>
        <w:jc w:val="both"/>
      </w:pPr>
      <w:r w:rsidRPr="00882F02">
        <w:t xml:space="preserve">Species-level differences are notable. </w:t>
      </w:r>
      <w:r w:rsidRPr="00882F02">
        <w:rPr>
          <w:rStyle w:val="Emphasis"/>
        </w:rPr>
        <w:t xml:space="preserve">Aspergillus </w:t>
      </w:r>
      <w:proofErr w:type="spellStart"/>
      <w:r w:rsidRPr="00882F02">
        <w:rPr>
          <w:rStyle w:val="Emphasis"/>
        </w:rPr>
        <w:t>niger</w:t>
      </w:r>
      <w:proofErr w:type="spellEnd"/>
      <w:r w:rsidRPr="00882F02">
        <w:t xml:space="preserve"> produces extracellular laccases and intracellular dioxygenases that can oxidize up to 1000 mg L⁻¹ phenol, whereas </w:t>
      </w:r>
      <w:r w:rsidRPr="00882F02">
        <w:rPr>
          <w:rStyle w:val="Emphasis"/>
        </w:rPr>
        <w:t xml:space="preserve">Penicillium </w:t>
      </w:r>
      <w:proofErr w:type="spellStart"/>
      <w:r w:rsidRPr="00882F02">
        <w:rPr>
          <w:rStyle w:val="Emphasis"/>
        </w:rPr>
        <w:t>chrysogenum</w:t>
      </w:r>
      <w:proofErr w:type="spellEnd"/>
      <w:r w:rsidRPr="00882F02">
        <w:t xml:space="preserve"> relies mainly on catechol dioxygenase pathways (Zhao </w:t>
      </w:r>
      <w:r w:rsidRPr="00D14BD6">
        <w:rPr>
          <w:i/>
          <w:iCs/>
        </w:rPr>
        <w:t>et al.,</w:t>
      </w:r>
      <w:r w:rsidRPr="00882F02">
        <w:t xml:space="preserve"> 2020). </w:t>
      </w:r>
      <w:r w:rsidRPr="00882F02">
        <w:rPr>
          <w:rStyle w:val="Emphasis"/>
        </w:rPr>
        <w:t xml:space="preserve">Trichoderma </w:t>
      </w:r>
      <w:proofErr w:type="spellStart"/>
      <w:r w:rsidRPr="00882F02">
        <w:rPr>
          <w:rStyle w:val="Emphasis"/>
        </w:rPr>
        <w:t>reesei</w:t>
      </w:r>
      <w:proofErr w:type="spellEnd"/>
      <w:r w:rsidRPr="00882F02">
        <w:t xml:space="preserve">, famous for cellulase production, expresses ABC transporter genes during phenol exposure, indicating an adaptive detoxification mechanism (Singh </w:t>
      </w:r>
      <w:r w:rsidRPr="00D14BD6">
        <w:rPr>
          <w:i/>
          <w:iCs/>
        </w:rPr>
        <w:t>et al.,</w:t>
      </w:r>
      <w:r w:rsidRPr="00882F02">
        <w:t xml:space="preserve"> 2021). Indian isolates </w:t>
      </w:r>
      <w:r w:rsidRPr="00882F02">
        <w:lastRenderedPageBreak/>
        <w:t xml:space="preserve">from Korba’s coal-processing belt, including </w:t>
      </w:r>
      <w:r w:rsidRPr="00882F02">
        <w:rPr>
          <w:rStyle w:val="Emphasis"/>
        </w:rPr>
        <w:t>Aspergillus flavus</w:t>
      </w:r>
      <w:r w:rsidRPr="00882F02">
        <w:t xml:space="preserve"> and </w:t>
      </w:r>
      <w:r w:rsidRPr="00882F02">
        <w:rPr>
          <w:rStyle w:val="Emphasis"/>
        </w:rPr>
        <w:t>Trichoderma viride</w:t>
      </w:r>
      <w:r w:rsidRPr="00882F02">
        <w:t xml:space="preserve">, have demonstrated dual capacities for phenol degradation and heavy-metal biosorption—an advantage for treating mixed industrial effluents (Kumar </w:t>
      </w:r>
      <w:r w:rsidRPr="00D14BD6">
        <w:rPr>
          <w:i/>
          <w:iCs/>
        </w:rPr>
        <w:t>et al</w:t>
      </w:r>
      <w:r w:rsidRPr="00882F02">
        <w:t>., 2022).</w:t>
      </w:r>
    </w:p>
    <w:p w14:paraId="36C8F2B6" w14:textId="77777777" w:rsidR="00882F02" w:rsidRPr="00882F02" w:rsidRDefault="00882F02" w:rsidP="00D14BD6">
      <w:pPr>
        <w:pStyle w:val="NormalWeb"/>
        <w:spacing w:before="0" w:beforeAutospacing="0" w:after="0" w:afterAutospacing="0" w:line="360" w:lineRule="auto"/>
      </w:pPr>
      <w:r w:rsidRPr="00882F02">
        <w:t xml:space="preserve">The taxonomic diversity within </w:t>
      </w:r>
      <w:r w:rsidRPr="00882F02">
        <w:rPr>
          <w:rStyle w:val="Emphasis"/>
        </w:rPr>
        <w:t>Ascomycota</w:t>
      </w:r>
      <w:r w:rsidRPr="00882F02">
        <w:t xml:space="preserve"> also supports ecological resilience: ascomycetes withstand variable moisture and temperature regimes, enabling treatment under both aerobic and microaerophilic conditions. Their spore-forming ability facilitates easy inoculum production for bioreactors, and the hydrophobic conidia aid adherence to carrier materials used in immobilized-cell systems (Shah </w:t>
      </w:r>
      <w:r w:rsidRPr="00D14BD6">
        <w:rPr>
          <w:i/>
          <w:iCs/>
        </w:rPr>
        <w:t>et al.,</w:t>
      </w:r>
      <w:r w:rsidRPr="00882F02">
        <w:t xml:space="preserve"> 2022).</w:t>
      </w:r>
    </w:p>
    <w:p w14:paraId="5613F799" w14:textId="77777777" w:rsidR="00882F02" w:rsidRPr="00D14BD6" w:rsidRDefault="00882F02" w:rsidP="00D14BD6">
      <w:pPr>
        <w:pStyle w:val="Heading3"/>
        <w:spacing w:before="0" w:line="360" w:lineRule="auto"/>
        <w:jc w:val="both"/>
        <w:rPr>
          <w:rFonts w:ascii="Times New Roman" w:hAnsi="Times New Roman" w:cs="Times New Roman"/>
          <w:i/>
          <w:iCs/>
          <w:color w:val="auto"/>
        </w:rPr>
      </w:pPr>
      <w:r w:rsidRPr="00D14BD6">
        <w:rPr>
          <w:rStyle w:val="Strong"/>
          <w:rFonts w:ascii="Times New Roman" w:hAnsi="Times New Roman" w:cs="Times New Roman"/>
          <w:b/>
          <w:bCs/>
          <w:i/>
          <w:iCs/>
          <w:color w:val="auto"/>
        </w:rPr>
        <w:t>4.3 Endophytic, Marine, and Halotolerant Fungi</w:t>
      </w:r>
    </w:p>
    <w:p w14:paraId="570E8D5C" w14:textId="77777777" w:rsidR="00882F02" w:rsidRPr="00882F02" w:rsidRDefault="00882F02" w:rsidP="00D14BD6">
      <w:pPr>
        <w:pStyle w:val="NormalWeb"/>
        <w:spacing w:before="0" w:beforeAutospacing="0" w:after="0" w:afterAutospacing="0" w:line="360" w:lineRule="auto"/>
        <w:jc w:val="both"/>
      </w:pPr>
      <w:r w:rsidRPr="00882F02">
        <w:t xml:space="preserve">Beyond terrestrial decomposers, endophytic and marine fungi have emerged as promising sources of novel phenol-degrading enzymes. Endophytes live within plant tissues and often possess oxidative stress-management systems derived from host-microbe co-adaptation. </w:t>
      </w:r>
      <w:r w:rsidRPr="00882F02">
        <w:rPr>
          <w:rStyle w:val="Emphasis"/>
        </w:rPr>
        <w:t xml:space="preserve">Colletotrichum </w:t>
      </w:r>
      <w:proofErr w:type="spellStart"/>
      <w:r w:rsidRPr="00882F02">
        <w:rPr>
          <w:rStyle w:val="Emphasis"/>
        </w:rPr>
        <w:t>gloeosporioides</w:t>
      </w:r>
      <w:proofErr w:type="spellEnd"/>
      <w:r w:rsidRPr="00882F02">
        <w:t xml:space="preserve"> and </w:t>
      </w:r>
      <w:proofErr w:type="spellStart"/>
      <w:r w:rsidRPr="00882F02">
        <w:rPr>
          <w:rStyle w:val="Emphasis"/>
        </w:rPr>
        <w:t>Botryosphaeria</w:t>
      </w:r>
      <w:proofErr w:type="spellEnd"/>
      <w:r w:rsidRPr="00882F02">
        <w:rPr>
          <w:rStyle w:val="Emphasis"/>
        </w:rPr>
        <w:t xml:space="preserve"> </w:t>
      </w:r>
      <w:proofErr w:type="spellStart"/>
      <w:r w:rsidRPr="00882F02">
        <w:rPr>
          <w:rStyle w:val="Emphasis"/>
        </w:rPr>
        <w:t>dothidea</w:t>
      </w:r>
      <w:proofErr w:type="spellEnd"/>
      <w:r w:rsidRPr="00882F02">
        <w:t xml:space="preserve"> isolated from medicinal plants in India efficiently degrade phenol while producing antioxidant metabolites that mitigate reactive intermediates (Verma et al., 2019; Mehta et al., 2021). These species combine detoxification with biosynthesis of pharmaceutically valuable compounds, offering dual economic and environmental benefits.</w:t>
      </w:r>
    </w:p>
    <w:p w14:paraId="6451E806" w14:textId="77777777" w:rsidR="00882F02" w:rsidRPr="00882F02" w:rsidRDefault="00882F02" w:rsidP="00D14BD6">
      <w:pPr>
        <w:pStyle w:val="NormalWeb"/>
        <w:spacing w:before="0" w:beforeAutospacing="0" w:after="0" w:afterAutospacing="0" w:line="360" w:lineRule="auto"/>
        <w:jc w:val="both"/>
      </w:pPr>
      <w:r w:rsidRPr="00882F02">
        <w:t xml:space="preserve">Marine and halophilic fungi broaden the ecological spectrum further. </w:t>
      </w:r>
      <w:proofErr w:type="spellStart"/>
      <w:r w:rsidRPr="00882F02">
        <w:rPr>
          <w:rStyle w:val="Emphasis"/>
        </w:rPr>
        <w:t>Halophytophthora</w:t>
      </w:r>
      <w:proofErr w:type="spellEnd"/>
      <w:r w:rsidRPr="00882F02">
        <w:rPr>
          <w:rStyle w:val="Emphasis"/>
        </w:rPr>
        <w:t xml:space="preserve"> sp.</w:t>
      </w:r>
      <w:r w:rsidRPr="00882F02">
        <w:t xml:space="preserve"> and </w:t>
      </w:r>
      <w:r w:rsidRPr="00882F02">
        <w:rPr>
          <w:rStyle w:val="Emphasis"/>
        </w:rPr>
        <w:t xml:space="preserve">Aspergillus </w:t>
      </w:r>
      <w:proofErr w:type="spellStart"/>
      <w:r w:rsidRPr="00882F02">
        <w:rPr>
          <w:rStyle w:val="Emphasis"/>
        </w:rPr>
        <w:t>sydowii</w:t>
      </w:r>
      <w:proofErr w:type="spellEnd"/>
      <w:r w:rsidRPr="00882F02">
        <w:t xml:space="preserve"> from coastal sediments tolerate high salinity and temperature, sustaining phenol degradation under conditions that inhibit most terrestrial species (Chandra et al., 2023). Such halotolerant strains are especially relevant for treating saline effluents from tanneries, desalination plants, and petrochemical industries along India’s coastline. Comparative genomic analyses reveal that these fungi possess expanded gene families encoding oxidoreductases and heat-shock proteins, reflecting evolutionary adaptation to extreme environments (Deshmukh </w:t>
      </w:r>
      <w:r w:rsidRPr="00D14BD6">
        <w:rPr>
          <w:i/>
          <w:iCs/>
        </w:rPr>
        <w:t>et al.</w:t>
      </w:r>
      <w:r w:rsidRPr="00882F02">
        <w:t>, 2019).</w:t>
      </w:r>
    </w:p>
    <w:p w14:paraId="353F13B5" w14:textId="77777777" w:rsidR="00882F02" w:rsidRPr="00882F02" w:rsidRDefault="00882F02" w:rsidP="00D14BD6">
      <w:pPr>
        <w:pStyle w:val="NormalWeb"/>
        <w:spacing w:before="0" w:beforeAutospacing="0" w:line="360" w:lineRule="auto"/>
        <w:jc w:val="both"/>
      </w:pPr>
      <w:r w:rsidRPr="00882F02">
        <w:t>The exploration of these unconventional ecological niches is still in its infancy in India, yet it represents an untapped reservoir of biocatalytic potential. Continuous efforts to catalogue and preserve marine fungal isolates could significantly enhance the repertoire of enzymes available for industrial phenol remediation.</w:t>
      </w:r>
    </w:p>
    <w:p w14:paraId="4FE3E550" w14:textId="77777777" w:rsidR="00882F02" w:rsidRPr="00882F02" w:rsidRDefault="00882F02" w:rsidP="00D14BD6">
      <w:pPr>
        <w:pStyle w:val="Heading3"/>
        <w:spacing w:before="0" w:line="360" w:lineRule="auto"/>
        <w:jc w:val="both"/>
        <w:rPr>
          <w:rFonts w:ascii="Times New Roman" w:hAnsi="Times New Roman" w:cs="Times New Roman"/>
          <w:color w:val="auto"/>
        </w:rPr>
      </w:pPr>
      <w:r w:rsidRPr="00882F02">
        <w:rPr>
          <w:rStyle w:val="Strong"/>
          <w:rFonts w:ascii="Times New Roman" w:hAnsi="Times New Roman" w:cs="Times New Roman"/>
          <w:b/>
          <w:bCs/>
          <w:color w:val="auto"/>
        </w:rPr>
        <w:lastRenderedPageBreak/>
        <w:t>4.4 Molecular Taxonomy and Phylogenetic Insights</w:t>
      </w:r>
    </w:p>
    <w:p w14:paraId="74E110BD" w14:textId="77777777" w:rsidR="00882F02" w:rsidRPr="00882F02" w:rsidRDefault="00882F02" w:rsidP="00D14BD6">
      <w:pPr>
        <w:pStyle w:val="NormalWeb"/>
        <w:spacing w:before="0" w:beforeAutospacing="0" w:after="0" w:afterAutospacing="0" w:line="360" w:lineRule="auto"/>
        <w:jc w:val="both"/>
      </w:pPr>
      <w:r w:rsidRPr="00882F02">
        <w:t xml:space="preserve">Accurate taxonomic identification is fundamental for exploiting fungal biodiversity. Traditional morphological approaches—spore size, pigmentation, and colony texture—are now complemented by molecular markers such as the internal transcribed spacer (ITS) regions of ribosomal DNA, large-subunit (LSU) sequences, and protein-coding genes like </w:t>
      </w:r>
      <w:r w:rsidRPr="00882F02">
        <w:rPr>
          <w:rStyle w:val="Emphasis"/>
        </w:rPr>
        <w:t>β-tubulin</w:t>
      </w:r>
      <w:r w:rsidRPr="00882F02">
        <w:t xml:space="preserve"> and </w:t>
      </w:r>
      <w:r w:rsidRPr="00882F02">
        <w:rPr>
          <w:rStyle w:val="Emphasis"/>
        </w:rPr>
        <w:t>tef1-α</w:t>
      </w:r>
      <w:r w:rsidRPr="00882F02">
        <w:t xml:space="preserve"> (</w:t>
      </w:r>
      <w:proofErr w:type="spellStart"/>
      <w:r w:rsidRPr="00882F02">
        <w:t>Floudas</w:t>
      </w:r>
      <w:proofErr w:type="spellEnd"/>
      <w:r w:rsidRPr="00882F02">
        <w:t xml:space="preserve"> </w:t>
      </w:r>
      <w:r w:rsidRPr="00D14BD6">
        <w:rPr>
          <w:i/>
          <w:iCs/>
        </w:rPr>
        <w:t>et al.,</w:t>
      </w:r>
      <w:r w:rsidRPr="00882F02">
        <w:t xml:space="preserve"> 2012). These markers provide high-resolution phylogenetic frameworks to distinguish closely related phenol-degrading strains.</w:t>
      </w:r>
    </w:p>
    <w:p w14:paraId="794C2B54" w14:textId="77777777" w:rsidR="00882F02" w:rsidRPr="00882F02" w:rsidRDefault="00882F02" w:rsidP="00D14BD6">
      <w:pPr>
        <w:pStyle w:val="NormalWeb"/>
        <w:spacing w:before="0" w:beforeAutospacing="0" w:after="0" w:afterAutospacing="0" w:line="360" w:lineRule="auto"/>
        <w:jc w:val="both"/>
      </w:pPr>
      <w:r w:rsidRPr="00882F02">
        <w:t xml:space="preserve">Molecular phylogenetic studies have clarified evolutionary relationships among ligninolytic fungi, showing that the enzymatic machinery responsible for phenol oxidation originated in Paleozoic basidiomycetes and diversified independently within </w:t>
      </w:r>
      <w:r w:rsidRPr="00882F02">
        <w:rPr>
          <w:rStyle w:val="Emphasis"/>
        </w:rPr>
        <w:t>Ascomycota</w:t>
      </w:r>
      <w:r w:rsidRPr="00882F02">
        <w:t xml:space="preserve"> (</w:t>
      </w:r>
      <w:proofErr w:type="spellStart"/>
      <w:r w:rsidRPr="00882F02">
        <w:t>Floudas</w:t>
      </w:r>
      <w:proofErr w:type="spellEnd"/>
      <w:r w:rsidRPr="00882F02">
        <w:t xml:space="preserve"> et al., 2012). This evolutionary insight explains why both phyla exhibit phenol-degrading capacity despite ecological and morphological differences. Modern tools such as </w:t>
      </w:r>
      <w:proofErr w:type="spellStart"/>
      <w:r w:rsidRPr="00882F02">
        <w:t>multilocus</w:t>
      </w:r>
      <w:proofErr w:type="spellEnd"/>
      <w:r w:rsidRPr="00882F02">
        <w:t xml:space="preserve"> sequence typing (MLST) and next-generation sequencing enable rapid assessment of fungal community composition in polluted environments. Metagenomic surveys from Indian industrial soils reveal that </w:t>
      </w:r>
      <w:r w:rsidRPr="00882F02">
        <w:rPr>
          <w:rStyle w:val="Emphasis"/>
        </w:rPr>
        <w:t>Aspergillus</w:t>
      </w:r>
      <w:r w:rsidRPr="00882F02">
        <w:t xml:space="preserve">, </w:t>
      </w:r>
      <w:r w:rsidRPr="00882F02">
        <w:rPr>
          <w:rStyle w:val="Emphasis"/>
        </w:rPr>
        <w:t>Trametes</w:t>
      </w:r>
      <w:r w:rsidRPr="00882F02">
        <w:t xml:space="preserve">, </w:t>
      </w:r>
      <w:r w:rsidRPr="00882F02">
        <w:rPr>
          <w:rStyle w:val="Emphasis"/>
        </w:rPr>
        <w:t>Fusarium</w:t>
      </w:r>
      <w:r w:rsidRPr="00882F02">
        <w:t xml:space="preserve">, and </w:t>
      </w:r>
      <w:r w:rsidRPr="00882F02">
        <w:rPr>
          <w:rStyle w:val="Emphasis"/>
        </w:rPr>
        <w:t>Penicillium</w:t>
      </w:r>
      <w:r w:rsidRPr="00882F02">
        <w:t xml:space="preserve"> collectively dominate phenol-rich habitats, highlighting the coexistence of oxidative and hydrolytic metabolic guilds (Garg </w:t>
      </w:r>
      <w:r w:rsidRPr="00D14BD6">
        <w:rPr>
          <w:i/>
          <w:iCs/>
        </w:rPr>
        <w:t>et al.,</w:t>
      </w:r>
      <w:r w:rsidRPr="00882F02">
        <w:t xml:space="preserve"> 2021).</w:t>
      </w:r>
    </w:p>
    <w:p w14:paraId="7A271B57" w14:textId="77777777" w:rsidR="00882F02" w:rsidRPr="00882F02" w:rsidRDefault="00882F02" w:rsidP="00D14BD6">
      <w:pPr>
        <w:pStyle w:val="NormalWeb"/>
        <w:spacing w:before="0" w:beforeAutospacing="0" w:after="0" w:afterAutospacing="0" w:line="360" w:lineRule="auto"/>
        <w:jc w:val="both"/>
      </w:pPr>
      <w:r w:rsidRPr="00882F02">
        <w:t xml:space="preserve">Integrating molecular identification with functional assays helps link specific enzyme profiles to taxonomic units. For example, isolates within </w:t>
      </w:r>
      <w:r w:rsidRPr="00882F02">
        <w:rPr>
          <w:rStyle w:val="Emphasis"/>
        </w:rPr>
        <w:t>Trametes</w:t>
      </w:r>
      <w:r w:rsidRPr="00882F02">
        <w:t xml:space="preserve"> possessing multiple laccase isoforms cluster separately from species with predominant </w:t>
      </w:r>
      <w:proofErr w:type="spellStart"/>
      <w:r w:rsidRPr="00882F02">
        <w:t>MnP</w:t>
      </w:r>
      <w:proofErr w:type="spellEnd"/>
      <w:r w:rsidRPr="00882F02">
        <w:t xml:space="preserve"> activity, suggesting functional divergence within the genus (Mondal </w:t>
      </w:r>
      <w:r w:rsidRPr="00D14BD6">
        <w:rPr>
          <w:i/>
          <w:iCs/>
        </w:rPr>
        <w:t>et al.,</w:t>
      </w:r>
      <w:r w:rsidRPr="00882F02">
        <w:t xml:space="preserve"> 2020). Such correlations assist in selecting strains tailored for targeted pollutants or process conditions.</w:t>
      </w:r>
    </w:p>
    <w:p w14:paraId="4950D31D" w14:textId="77777777" w:rsidR="00882F02" w:rsidRPr="00882F02" w:rsidRDefault="00882F02" w:rsidP="00D14BD6">
      <w:pPr>
        <w:pStyle w:val="Heading3"/>
        <w:spacing w:before="0" w:line="360" w:lineRule="auto"/>
        <w:jc w:val="both"/>
        <w:rPr>
          <w:rFonts w:ascii="Times New Roman" w:hAnsi="Times New Roman" w:cs="Times New Roman"/>
          <w:color w:val="auto"/>
        </w:rPr>
      </w:pPr>
      <w:r w:rsidRPr="00882F02">
        <w:rPr>
          <w:rStyle w:val="Strong"/>
          <w:rFonts w:ascii="Times New Roman" w:hAnsi="Times New Roman" w:cs="Times New Roman"/>
          <w:b/>
          <w:bCs/>
          <w:color w:val="auto"/>
        </w:rPr>
        <w:t>4.5 Indian Biodiversity and Applied Potential</w:t>
      </w:r>
    </w:p>
    <w:p w14:paraId="3CBFD8C6" w14:textId="77777777" w:rsidR="00882F02" w:rsidRPr="00882F02" w:rsidRDefault="00882F02" w:rsidP="00D14BD6">
      <w:pPr>
        <w:pStyle w:val="NormalWeb"/>
        <w:spacing w:before="0" w:beforeAutospacing="0" w:line="360" w:lineRule="auto"/>
        <w:jc w:val="both"/>
      </w:pPr>
      <w:r w:rsidRPr="00882F02">
        <w:t xml:space="preserve">India’s climatic and industrial heterogeneity creates diverse ecological niches that harbor unique phenol-degrading fungi. Studies from Gujarat’s petrochemical belts, Tamil Nadu’s tanneries, and Chhattisgarh’s coal-processing areas have documented numerous indigenous isolates exhibiting exceptional tolerance to phenol, high salinity, and heavy metals (Kumar </w:t>
      </w:r>
      <w:r w:rsidRPr="00D14BD6">
        <w:rPr>
          <w:i/>
          <w:iCs/>
        </w:rPr>
        <w:t>et al</w:t>
      </w:r>
      <w:r w:rsidRPr="00882F02">
        <w:t xml:space="preserve">., 2022; Patel </w:t>
      </w:r>
      <w:r w:rsidRPr="00D14BD6">
        <w:rPr>
          <w:i/>
          <w:iCs/>
        </w:rPr>
        <w:t>et al.,</w:t>
      </w:r>
      <w:r w:rsidRPr="00882F02">
        <w:t xml:space="preserve"> 2022). Indigenous strains offer advantages over imported cultures because they are pre-adapted to local environmental stresses and effluent chemistries.</w:t>
      </w:r>
    </w:p>
    <w:p w14:paraId="26EC0A95" w14:textId="77777777" w:rsidR="00882F02" w:rsidRPr="00882F02" w:rsidRDefault="00882F02" w:rsidP="00D14BD6">
      <w:pPr>
        <w:pStyle w:val="NormalWeb"/>
        <w:spacing w:before="0" w:beforeAutospacing="0" w:after="0" w:afterAutospacing="0" w:line="360" w:lineRule="auto"/>
        <w:jc w:val="both"/>
      </w:pPr>
      <w:r w:rsidRPr="00882F02">
        <w:lastRenderedPageBreak/>
        <w:t>The establishment of fungal culture collections—such as those maintained by CSIR-NEER</w:t>
      </w:r>
      <w:r w:rsidR="00D14BD6">
        <w:t xml:space="preserve">I and Dr. C.V. Raman University </w:t>
      </w:r>
      <w:r w:rsidRPr="00882F02">
        <w:t>has facilitated preservation and distribution of these isolates for biotechnological research. Combining classical taxonomy, molecular characterization, and enzyme-activity profiling ensures reliable strain identification for industrial deployment. Moreover, exploration of endophytic and halophilic fungal diversity aligns with India’s national strategy on bioresource utilization and circular-economy initiatives.</w:t>
      </w:r>
    </w:p>
    <w:p w14:paraId="485ECA20" w14:textId="77777777" w:rsidR="00882F02" w:rsidRPr="00882F02" w:rsidRDefault="00882F02" w:rsidP="00D14BD6">
      <w:pPr>
        <w:pStyle w:val="NormalWeb"/>
        <w:spacing w:before="0" w:beforeAutospacing="0" w:after="0" w:afterAutospacing="0" w:line="360" w:lineRule="auto"/>
        <w:jc w:val="both"/>
      </w:pPr>
      <w:r w:rsidRPr="00882F02">
        <w:t>Overall, the taxonomic and functional diversity of phenol-degrading fungi underpins their ecological success and technological potential. Each fungal lineage contributes specific enzymatic or physiological traits that, when harnessed collectively, can create efficient multi-strain consortia for large-scale phenolic waste remediation in Indian industrial systems (Roy &amp; Saha, 2022).</w:t>
      </w:r>
    </w:p>
    <w:p w14:paraId="777CF8DA" w14:textId="77777777" w:rsidR="00DC7E7F" w:rsidRDefault="00D14BD6" w:rsidP="00882F02">
      <w:pPr>
        <w:pStyle w:val="NormalWeb"/>
        <w:spacing w:before="0" w:beforeAutospacing="0" w:after="0" w:afterAutospacing="0" w:line="360" w:lineRule="auto"/>
        <w:jc w:val="both"/>
      </w:pPr>
      <w:r>
        <w:rPr>
          <w:rStyle w:val="Strong"/>
        </w:rPr>
        <w:t xml:space="preserve">5. </w:t>
      </w:r>
      <w:r w:rsidR="00DC7E7F">
        <w:rPr>
          <w:rStyle w:val="Strong"/>
        </w:rPr>
        <w:t>Isolation and Characterization from Industrial Sites</w:t>
      </w:r>
    </w:p>
    <w:p w14:paraId="1063AB20" w14:textId="77777777" w:rsidR="00DC7E7F" w:rsidRDefault="00DC7E7F" w:rsidP="00DC7E7F">
      <w:pPr>
        <w:pStyle w:val="NormalWeb"/>
        <w:spacing w:before="0" w:beforeAutospacing="0" w:after="0" w:afterAutospacing="0" w:line="360" w:lineRule="auto"/>
        <w:jc w:val="both"/>
      </w:pPr>
      <w:r>
        <w:t>Fungal strains capable of phenol degradation are typically isolated from contaminated industrial sites, such as oil refineries, chemical processing plants, and tannery waste dumps. Soil and sludge samples are enriched in mineral salt media containing phenol as the sole carbon source. Following enrichment, fungal isolates are screened for their tolerance to phenol and their enzymatic activity (Banerjee and Ghoshal, 2010</w:t>
      </w:r>
      <w:proofErr w:type="gramStart"/>
      <w:r>
        <w:t>).Characterization</w:t>
      </w:r>
      <w:proofErr w:type="gramEnd"/>
      <w:r>
        <w:t xml:space="preserve"> involves morphological identification, followed by molecular analysis for precise taxonomy. Biochemical assays assess their degradation kinetics, enzyme production, and resistance to phenol concentrations. Studies have reported fungi that can tolerate and degrade phenol at concentrations above 1000 mg/L, demonstrating their robustness and industrial relevance (Basha </w:t>
      </w:r>
      <w:r w:rsidRPr="00DC7E7F">
        <w:rPr>
          <w:i/>
          <w:iCs/>
        </w:rPr>
        <w:t>et al.,</w:t>
      </w:r>
      <w:r>
        <w:t xml:space="preserve"> 2010).</w:t>
      </w:r>
    </w:p>
    <w:p w14:paraId="5AA89BB4" w14:textId="77777777" w:rsidR="00DC7E7F" w:rsidRDefault="00D14BD6" w:rsidP="00DC7E7F">
      <w:pPr>
        <w:pStyle w:val="NormalWeb"/>
        <w:spacing w:before="0" w:beforeAutospacing="0" w:after="0" w:afterAutospacing="0" w:line="360" w:lineRule="auto"/>
        <w:jc w:val="both"/>
      </w:pPr>
      <w:r>
        <w:rPr>
          <w:rStyle w:val="Strong"/>
        </w:rPr>
        <w:t xml:space="preserve">6. </w:t>
      </w:r>
      <w:r w:rsidR="00DC7E7F">
        <w:rPr>
          <w:rStyle w:val="Strong"/>
        </w:rPr>
        <w:t>Biotechnological Applications and Bioreactor Systems</w:t>
      </w:r>
    </w:p>
    <w:p w14:paraId="116A2142" w14:textId="77777777" w:rsidR="00995278" w:rsidRDefault="00995278" w:rsidP="00DC7E7F">
      <w:pPr>
        <w:pStyle w:val="NormalWeb"/>
        <w:spacing w:before="0" w:beforeAutospacing="0" w:after="0" w:afterAutospacing="0" w:line="360" w:lineRule="auto"/>
        <w:jc w:val="both"/>
      </w:pPr>
      <w:r w:rsidRPr="00995278">
        <w:t>Fungi-based bioremediation has been applied in various bioreactor configurations, including batch reactors, packed-bed bioreactors, fluidized bed reactors, and membrane bioreactors. These systems enable controlled environmental conditions for optimal fungal growth and phenol degradation. Immobilized fungal cells or enzymes on solid supports have shown improved phenol degradation rates and operational stability (</w:t>
      </w:r>
      <w:proofErr w:type="spellStart"/>
      <w:r w:rsidRPr="00995278">
        <w:t>Elisashvili</w:t>
      </w:r>
      <w:proofErr w:type="spellEnd"/>
      <w:r w:rsidRPr="00995278">
        <w:t xml:space="preserve"> et al., 2008). This is supported by Shah et al. (2022), who showed that immobilized cells of Aspergillus oryzae maintained high degradation activity in continuous reactor systems and were resilient to operational variations. White rot fungi in packed-bed reactors have demonstrated consistent phenol removal efficiencies exceeding 90% over extended periods. For instance, Kumari et al. (2021) reported that </w:t>
      </w:r>
      <w:proofErr w:type="spellStart"/>
      <w:r w:rsidRPr="00995278">
        <w:lastRenderedPageBreak/>
        <w:t>Pycnoporus</w:t>
      </w:r>
      <w:proofErr w:type="spellEnd"/>
      <w:r w:rsidRPr="00995278">
        <w:t xml:space="preserve"> </w:t>
      </w:r>
      <w:proofErr w:type="spellStart"/>
      <w:r w:rsidRPr="00995278">
        <w:t>cinnabarinus</w:t>
      </w:r>
      <w:proofErr w:type="spellEnd"/>
      <w:r w:rsidRPr="00995278">
        <w:t xml:space="preserve"> significantly reduced phenol content in paper and pulp mill wastewater while improving its overall biodegradability. The integration of fungal bioremediation in wastewater treatment plants has the potential to reduce operational costs and chemical inputs. Furthermore, co-culture systems involving fungi and bacteria offer synergistic benefits. This synergy was highlighted by Sharma and Singh (2022), who found that mixed fungal consortia used on pharmaceutical effluents enhanced the degradation rate and minimized the accumulation of toxic intermediates.</w:t>
      </w:r>
    </w:p>
    <w:p w14:paraId="2F8AA4CA" w14:textId="77777777" w:rsidR="00DC7E7F" w:rsidRDefault="00D14BD6" w:rsidP="00DC7E7F">
      <w:pPr>
        <w:pStyle w:val="NormalWeb"/>
        <w:spacing w:before="0" w:beforeAutospacing="0" w:after="0" w:afterAutospacing="0" w:line="360" w:lineRule="auto"/>
        <w:jc w:val="both"/>
      </w:pPr>
      <w:r>
        <w:rPr>
          <w:rStyle w:val="Strong"/>
        </w:rPr>
        <w:t xml:space="preserve">7. </w:t>
      </w:r>
      <w:r w:rsidR="00DC7E7F">
        <w:rPr>
          <w:rStyle w:val="Strong"/>
        </w:rPr>
        <w:t>Advances in Genetic and Metabolic Engineering</w:t>
      </w:r>
    </w:p>
    <w:p w14:paraId="74E09B9E" w14:textId="77777777" w:rsidR="00995278" w:rsidRDefault="00995278" w:rsidP="00DC7E7F">
      <w:pPr>
        <w:pStyle w:val="NormalWeb"/>
        <w:spacing w:before="0" w:beforeAutospacing="0" w:after="0" w:afterAutospacing="0" w:line="360" w:lineRule="auto"/>
        <w:jc w:val="both"/>
      </w:pPr>
      <w:r w:rsidRPr="00995278">
        <w:t>Advances in fungal genomics and synthetic biology have paved the way for engineering high-performance phenol-degrading strains. Genetic modifications have focused on overexpression of laccase and peroxidase genes, enhancement of stress resistance, and optimization of metabolic pathways involved in aromatic compound degradation (</w:t>
      </w:r>
      <w:proofErr w:type="spellStart"/>
      <w:r w:rsidRPr="00995278">
        <w:t>Floudas</w:t>
      </w:r>
      <w:proofErr w:type="spellEnd"/>
      <w:r w:rsidRPr="00995278">
        <w:t xml:space="preserve"> et al., 2012). Singh et al. (2021) reviewed these advancements, emphasizing the growing role of genetic engineering in enhancing degradation efficiency. Similarly, Garg et al. (2021) noted that genetically modified fungi show great promise for phenolic pollutant degradation through enhanced enzyme production and improved resistance to toxicity. CRISPR/Cas9 systems and other molecular tools have facilitated precise genome editing in fungi such as Aspergillus </w:t>
      </w:r>
      <w:proofErr w:type="spellStart"/>
      <w:r w:rsidRPr="00995278">
        <w:t>nidulans</w:t>
      </w:r>
      <w:proofErr w:type="spellEnd"/>
      <w:r w:rsidRPr="00995278">
        <w:t xml:space="preserve"> and Trichoderma </w:t>
      </w:r>
      <w:proofErr w:type="spellStart"/>
      <w:r w:rsidRPr="00995278">
        <w:t>reesei</w:t>
      </w:r>
      <w:proofErr w:type="spellEnd"/>
      <w:r w:rsidRPr="00995278">
        <w:t xml:space="preserve">. Metabolic modeling has helped in understanding rate-limiting steps and optimizing carbon flux toward phenol degradation. Multi-omics approaches, including transcriptomics and proteomics, are being used to identify novel regulatory elements and enzyme </w:t>
      </w:r>
      <w:proofErr w:type="spellStart"/>
      <w:proofErr w:type="gramStart"/>
      <w:r w:rsidRPr="00995278">
        <w:t>isoforms.These</w:t>
      </w:r>
      <w:proofErr w:type="spellEnd"/>
      <w:proofErr w:type="gramEnd"/>
      <w:r w:rsidRPr="00995278">
        <w:t xml:space="preserve"> advances are crucial for designing robust fungal strains capable of operating in industrial-scale bioreactors under varying environmental conditions.</w:t>
      </w:r>
    </w:p>
    <w:p w14:paraId="67BEEC1D" w14:textId="77777777" w:rsidR="00DC7E7F" w:rsidRDefault="00D14BD6" w:rsidP="00DC7E7F">
      <w:pPr>
        <w:pStyle w:val="NormalWeb"/>
        <w:spacing w:before="0" w:beforeAutospacing="0" w:after="0" w:afterAutospacing="0" w:line="360" w:lineRule="auto"/>
        <w:jc w:val="both"/>
      </w:pPr>
      <w:r>
        <w:rPr>
          <w:rStyle w:val="Strong"/>
        </w:rPr>
        <w:t xml:space="preserve">8. </w:t>
      </w:r>
      <w:r w:rsidR="00DC7E7F">
        <w:rPr>
          <w:rStyle w:val="Strong"/>
        </w:rPr>
        <w:t>Challenges and Limitations</w:t>
      </w:r>
    </w:p>
    <w:p w14:paraId="22750E25" w14:textId="77777777" w:rsidR="00995278" w:rsidRDefault="00995278" w:rsidP="00DC7E7F">
      <w:pPr>
        <w:pStyle w:val="NormalWeb"/>
        <w:spacing w:before="0" w:beforeAutospacing="0" w:after="0" w:afterAutospacing="0" w:line="360" w:lineRule="auto"/>
        <w:jc w:val="both"/>
      </w:pPr>
      <w:r w:rsidRPr="00995278">
        <w:t xml:space="preserve">Despite their potential, several challenges hinder the widespread application of fungi in phenol remediation. The slow growth rate of many fungi compared to bacteria, sensitivity to environmental fluctuations, and the need for aeration in ligninolytic enzyme activity is notable limitations. The study by Mondal </w:t>
      </w:r>
      <w:r w:rsidRPr="00D14BD6">
        <w:rPr>
          <w:i/>
          <w:iCs/>
        </w:rPr>
        <w:t>et al.</w:t>
      </w:r>
      <w:r w:rsidRPr="00995278">
        <w:t xml:space="preserve"> (2020) underscores the importance of optimizing conditions like pH and temperature to maximize fungal activity, which adds a layer of operational complexity. Moreover, fungal enzyme production can be inhibited by high phenol concentrations or competing microbial species. Scale-up of fungal bioreactors presents technical issues related to oxygen transfer, moisture control, and reactor clogging. There is also a lack of </w:t>
      </w:r>
      <w:r w:rsidRPr="00995278">
        <w:lastRenderedPageBreak/>
        <w:t>standardized protocols for fungal bioremediation, complicating regulatory approval and commercial deployment. Additionally, public perception and biosafety concerns about genetically modified fungi, despite their potential as reviewed by Garg et al. (2021), pose significant regulatory hurdles.</w:t>
      </w:r>
    </w:p>
    <w:p w14:paraId="7FAC73B6" w14:textId="77777777" w:rsidR="00DC7E7F" w:rsidRDefault="00D14BD6" w:rsidP="00DC7E7F">
      <w:pPr>
        <w:pStyle w:val="NormalWeb"/>
        <w:spacing w:before="0" w:beforeAutospacing="0" w:after="0" w:afterAutospacing="0" w:line="360" w:lineRule="auto"/>
        <w:jc w:val="both"/>
      </w:pPr>
      <w:r>
        <w:rPr>
          <w:rStyle w:val="Strong"/>
        </w:rPr>
        <w:t xml:space="preserve">9. </w:t>
      </w:r>
      <w:r w:rsidR="00DC7E7F">
        <w:rPr>
          <w:rStyle w:val="Strong"/>
        </w:rPr>
        <w:t>Future Prospects</w:t>
      </w:r>
    </w:p>
    <w:p w14:paraId="15DFF7E5" w14:textId="77777777" w:rsidR="00995278" w:rsidRDefault="00995278" w:rsidP="00DC7E7F">
      <w:pPr>
        <w:pStyle w:val="NormalWeb"/>
        <w:spacing w:before="0" w:beforeAutospacing="0" w:after="0" w:afterAutospacing="0" w:line="360" w:lineRule="auto"/>
        <w:jc w:val="both"/>
      </w:pPr>
      <w:r w:rsidRPr="00995278">
        <w:t xml:space="preserve">Future research should focus on discovering new phenol-degrading fungal strains from extreme or underexplored environments, building on the work with marine fungi (Deshmukh et al., 2019) and halotolerant species (Chandra et al., 2023). Advancements in metagenomics, metabolomics, and synthetic biology will further enable the design of tailored microbial consortia and engineered enzymes. The proven success of fungal consortia (Sharma and Singh, 2022) suggests that designing such synergistic communities is a promising avenue. The development of hybrid treatment systems combining fungi, bacteria, and </w:t>
      </w:r>
      <w:proofErr w:type="spellStart"/>
      <w:r w:rsidRPr="00995278">
        <w:t>physico</w:t>
      </w:r>
      <w:proofErr w:type="spellEnd"/>
      <w:r w:rsidRPr="00995278">
        <w:t xml:space="preserve">-chemical processes could improve remediation </w:t>
      </w:r>
      <w:proofErr w:type="spellStart"/>
      <w:proofErr w:type="gramStart"/>
      <w:r w:rsidRPr="00995278">
        <w:t>efficiency.Improved</w:t>
      </w:r>
      <w:proofErr w:type="spellEnd"/>
      <w:proofErr w:type="gramEnd"/>
      <w:r w:rsidRPr="00995278">
        <w:t xml:space="preserve"> reactor designs, such as modular plug-flow or membrane bioreactors, will enhance operational control and scalability. Furthermore, the finding that some fungi produce valuable secondary metabolites during remediation (Mehta </w:t>
      </w:r>
      <w:r w:rsidRPr="00D14BD6">
        <w:rPr>
          <w:i/>
          <w:iCs/>
        </w:rPr>
        <w:t>et al</w:t>
      </w:r>
      <w:r w:rsidRPr="00995278">
        <w:t>., 2021) points to an attractive future direction: valorizing fungal biomass for bioenergy or chemical production to improve the economic feasibility of fungal bioremediation technologies.</w:t>
      </w:r>
    </w:p>
    <w:p w14:paraId="4C35B986" w14:textId="77777777" w:rsidR="00DC7E7F" w:rsidRDefault="00D14BD6" w:rsidP="00DC7E7F">
      <w:pPr>
        <w:pStyle w:val="NormalWeb"/>
        <w:spacing w:before="0" w:beforeAutospacing="0" w:after="0" w:afterAutospacing="0" w:line="360" w:lineRule="auto"/>
        <w:jc w:val="both"/>
      </w:pPr>
      <w:r>
        <w:rPr>
          <w:rStyle w:val="Strong"/>
        </w:rPr>
        <w:t xml:space="preserve">10. </w:t>
      </w:r>
      <w:r w:rsidR="00DC7E7F">
        <w:rPr>
          <w:rStyle w:val="Strong"/>
        </w:rPr>
        <w:t>Conclusion</w:t>
      </w:r>
    </w:p>
    <w:p w14:paraId="441B1F66" w14:textId="77777777" w:rsidR="00DC7E7F" w:rsidRDefault="00DC7E7F" w:rsidP="00DC7E7F">
      <w:pPr>
        <w:pStyle w:val="NormalWeb"/>
        <w:spacing w:before="0" w:beforeAutospacing="0" w:after="0" w:afterAutospacing="0" w:line="360" w:lineRule="auto"/>
        <w:jc w:val="both"/>
      </w:pPr>
      <w:r>
        <w:t>Fungi represent a powerful and underutilized tool for the remediation of phenol-contaminated industrial environments. Their enzymatic versatility, resilience in harsh conditions, and ability to mineralize complex aromatic pollutants highlight their significance in sustainable wastewater treatment. As technological and genetic tools advance, fungal-based phenol bioremediation is poised to become a cornerstone of green industrial practices. Continued interdisciplinary collaboration will be key to unlocking their full potential in environmental biotechnology.</w:t>
      </w:r>
    </w:p>
    <w:p w14:paraId="5F905E19" w14:textId="77777777" w:rsidR="00DC7E7F" w:rsidRDefault="00DC7E7F" w:rsidP="00DC7E7F">
      <w:pPr>
        <w:pStyle w:val="NormalWeb"/>
        <w:spacing w:before="0" w:beforeAutospacing="0" w:after="0" w:afterAutospacing="0" w:line="360" w:lineRule="auto"/>
        <w:jc w:val="both"/>
        <w:rPr>
          <w:rStyle w:val="Strong"/>
        </w:rPr>
      </w:pPr>
    </w:p>
    <w:p w14:paraId="4076E150" w14:textId="77777777" w:rsidR="00D14BD6" w:rsidRDefault="00D14BD6" w:rsidP="00DC7E7F">
      <w:pPr>
        <w:pStyle w:val="NormalWeb"/>
        <w:spacing w:before="0" w:beforeAutospacing="0" w:after="0" w:afterAutospacing="0" w:line="360" w:lineRule="auto"/>
        <w:jc w:val="both"/>
        <w:rPr>
          <w:rStyle w:val="Strong"/>
        </w:rPr>
      </w:pPr>
    </w:p>
    <w:p w14:paraId="2BAE9A0C" w14:textId="77777777" w:rsidR="00D14BD6" w:rsidRDefault="00D14BD6" w:rsidP="00DC7E7F">
      <w:pPr>
        <w:pStyle w:val="NormalWeb"/>
        <w:spacing w:before="0" w:beforeAutospacing="0" w:after="0" w:afterAutospacing="0" w:line="360" w:lineRule="auto"/>
        <w:jc w:val="both"/>
        <w:rPr>
          <w:rStyle w:val="Strong"/>
        </w:rPr>
      </w:pPr>
    </w:p>
    <w:p w14:paraId="64588BFC" w14:textId="77777777" w:rsidR="00D14BD6" w:rsidRDefault="00D14BD6" w:rsidP="00DC7E7F">
      <w:pPr>
        <w:pStyle w:val="NormalWeb"/>
        <w:spacing w:before="0" w:beforeAutospacing="0" w:after="0" w:afterAutospacing="0" w:line="360" w:lineRule="auto"/>
        <w:jc w:val="both"/>
        <w:rPr>
          <w:rStyle w:val="Strong"/>
        </w:rPr>
      </w:pPr>
    </w:p>
    <w:p w14:paraId="33FF2348" w14:textId="77777777" w:rsidR="00D14BD6" w:rsidRDefault="00D14BD6" w:rsidP="00DC7E7F">
      <w:pPr>
        <w:pStyle w:val="NormalWeb"/>
        <w:spacing w:before="0" w:beforeAutospacing="0" w:after="0" w:afterAutospacing="0" w:line="360" w:lineRule="auto"/>
        <w:jc w:val="both"/>
        <w:rPr>
          <w:rStyle w:val="Strong"/>
        </w:rPr>
      </w:pPr>
    </w:p>
    <w:p w14:paraId="5DF947BD" w14:textId="77777777" w:rsidR="00D14BD6" w:rsidRDefault="00D14BD6" w:rsidP="00DC7E7F">
      <w:pPr>
        <w:pStyle w:val="NormalWeb"/>
        <w:spacing w:before="0" w:beforeAutospacing="0" w:after="0" w:afterAutospacing="0" w:line="360" w:lineRule="auto"/>
        <w:jc w:val="both"/>
        <w:rPr>
          <w:rStyle w:val="Strong"/>
        </w:rPr>
      </w:pPr>
    </w:p>
    <w:p w14:paraId="3F41FB8C" w14:textId="77777777" w:rsidR="00D14BD6" w:rsidRDefault="00D14BD6" w:rsidP="00DC7E7F">
      <w:pPr>
        <w:pStyle w:val="NormalWeb"/>
        <w:spacing w:before="0" w:beforeAutospacing="0" w:after="0" w:afterAutospacing="0" w:line="360" w:lineRule="auto"/>
        <w:jc w:val="both"/>
        <w:rPr>
          <w:rStyle w:val="Strong"/>
        </w:rPr>
      </w:pPr>
    </w:p>
    <w:p w14:paraId="615BF430" w14:textId="77777777" w:rsidR="00DC7E7F" w:rsidRDefault="00DC7E7F" w:rsidP="00DC7E7F">
      <w:pPr>
        <w:pStyle w:val="NormalWeb"/>
        <w:spacing w:before="0" w:beforeAutospacing="0" w:after="0" w:afterAutospacing="0" w:line="360" w:lineRule="auto"/>
        <w:jc w:val="both"/>
      </w:pPr>
      <w:r>
        <w:rPr>
          <w:rStyle w:val="Strong"/>
        </w:rPr>
        <w:lastRenderedPageBreak/>
        <w:t>References</w:t>
      </w:r>
    </w:p>
    <w:p w14:paraId="1FB3B679"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r w:rsidRPr="00995278">
        <w:rPr>
          <w:sz w:val="20"/>
          <w:szCs w:val="20"/>
        </w:rPr>
        <w:t xml:space="preserve">Banerjee, A., &amp; Ghoshal, A. K. (2010). Phenol degradation by </w:t>
      </w:r>
      <w:r w:rsidRPr="00995278">
        <w:rPr>
          <w:rStyle w:val="Emphasis"/>
          <w:sz w:val="20"/>
          <w:szCs w:val="20"/>
        </w:rPr>
        <w:t>Trametes versicolor</w:t>
      </w:r>
      <w:r w:rsidRPr="00995278">
        <w:rPr>
          <w:sz w:val="20"/>
          <w:szCs w:val="20"/>
        </w:rPr>
        <w:t xml:space="preserve"> and optimization of process parameters. </w:t>
      </w:r>
      <w:r w:rsidRPr="00995278">
        <w:rPr>
          <w:rStyle w:val="Emphasis"/>
          <w:sz w:val="20"/>
          <w:szCs w:val="20"/>
        </w:rPr>
        <w:t>Biodegradation</w:t>
      </w:r>
      <w:r w:rsidRPr="00995278">
        <w:rPr>
          <w:sz w:val="20"/>
          <w:szCs w:val="20"/>
        </w:rPr>
        <w:t>, 21(4), 593–606.</w:t>
      </w:r>
    </w:p>
    <w:p w14:paraId="4C6BFC0D"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r w:rsidRPr="00995278">
        <w:rPr>
          <w:sz w:val="20"/>
          <w:szCs w:val="20"/>
        </w:rPr>
        <w:t xml:space="preserve">Basha, S., Rajendran, A., &amp; Thangavelu, V. (2010). Recent advances in the biodegradation of phenol: A review. </w:t>
      </w:r>
      <w:r w:rsidRPr="00995278">
        <w:rPr>
          <w:rStyle w:val="Emphasis"/>
          <w:sz w:val="20"/>
          <w:szCs w:val="20"/>
        </w:rPr>
        <w:t>Asian Journal of Experimental Biological Sciences</w:t>
      </w:r>
      <w:r w:rsidRPr="00995278">
        <w:rPr>
          <w:sz w:val="20"/>
          <w:szCs w:val="20"/>
        </w:rPr>
        <w:t>, 1(2), 219–234.</w:t>
      </w:r>
    </w:p>
    <w:p w14:paraId="65B14C1F"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proofErr w:type="spellStart"/>
      <w:r w:rsidRPr="00995278">
        <w:rPr>
          <w:sz w:val="20"/>
          <w:szCs w:val="20"/>
        </w:rPr>
        <w:t>Busca</w:t>
      </w:r>
      <w:proofErr w:type="spellEnd"/>
      <w:r w:rsidRPr="00995278">
        <w:rPr>
          <w:sz w:val="20"/>
          <w:szCs w:val="20"/>
        </w:rPr>
        <w:t xml:space="preserve">, G., Berardinelli, S., </w:t>
      </w:r>
      <w:proofErr w:type="spellStart"/>
      <w:r w:rsidRPr="00995278">
        <w:rPr>
          <w:sz w:val="20"/>
          <w:szCs w:val="20"/>
        </w:rPr>
        <w:t>Resini</w:t>
      </w:r>
      <w:proofErr w:type="spellEnd"/>
      <w:r w:rsidRPr="00995278">
        <w:rPr>
          <w:sz w:val="20"/>
          <w:szCs w:val="20"/>
        </w:rPr>
        <w:t xml:space="preserve">, C., &amp; Arrighi, L. (2008). Technologies for the removal of phenol from fluid streams: A short review of recent developments. </w:t>
      </w:r>
      <w:r w:rsidRPr="00995278">
        <w:rPr>
          <w:rStyle w:val="Emphasis"/>
          <w:sz w:val="20"/>
          <w:szCs w:val="20"/>
        </w:rPr>
        <w:t>Journal of Hazardous Materials</w:t>
      </w:r>
      <w:r w:rsidRPr="00995278">
        <w:rPr>
          <w:sz w:val="20"/>
          <w:szCs w:val="20"/>
        </w:rPr>
        <w:t>, 160(2–3), 265–288.</w:t>
      </w:r>
    </w:p>
    <w:p w14:paraId="5DC23373"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Chandra, R., Kumar, V., &amp; Yadav, S. (2023). Fungal biodegradation of phenolic pollutants under high salinity and temperature stress. </w:t>
      </w:r>
      <w:r w:rsidRPr="00995278">
        <w:rPr>
          <w:rStyle w:val="Emphasis"/>
          <w:color w:val="0F1115"/>
          <w:sz w:val="20"/>
          <w:szCs w:val="20"/>
        </w:rPr>
        <w:t>Journal of Hazardous Materials</w:t>
      </w:r>
      <w:r w:rsidRPr="00995278">
        <w:rPr>
          <w:color w:val="0F1115"/>
          <w:sz w:val="20"/>
          <w:szCs w:val="20"/>
        </w:rPr>
        <w:t>, 445, 130532.</w:t>
      </w:r>
    </w:p>
    <w:p w14:paraId="7E3CBC15"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 xml:space="preserve">Deshmukh, R., </w:t>
      </w:r>
      <w:proofErr w:type="spellStart"/>
      <w:r w:rsidRPr="00995278">
        <w:rPr>
          <w:color w:val="0F1115"/>
          <w:sz w:val="20"/>
          <w:szCs w:val="20"/>
        </w:rPr>
        <w:t>Khardenavis</w:t>
      </w:r>
      <w:proofErr w:type="spellEnd"/>
      <w:r w:rsidRPr="00995278">
        <w:rPr>
          <w:color w:val="0F1115"/>
          <w:sz w:val="20"/>
          <w:szCs w:val="20"/>
        </w:rPr>
        <w:t>, A. A., &amp; Purohit, H. J. (2019). Diverse metabolic capacities of fungi for bioremediation. </w:t>
      </w:r>
      <w:r w:rsidRPr="00995278">
        <w:rPr>
          <w:rStyle w:val="Emphasis"/>
          <w:color w:val="0F1115"/>
          <w:sz w:val="20"/>
          <w:szCs w:val="20"/>
        </w:rPr>
        <w:t>Indian Journal of Microbiology</w:t>
      </w:r>
      <w:r w:rsidRPr="00995278">
        <w:rPr>
          <w:color w:val="0F1115"/>
          <w:sz w:val="20"/>
          <w:szCs w:val="20"/>
        </w:rPr>
        <w:t>, 59(3), 289–298.</w:t>
      </w:r>
    </w:p>
    <w:p w14:paraId="7B0874C0"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r w:rsidRPr="00995278">
        <w:rPr>
          <w:sz w:val="20"/>
          <w:szCs w:val="20"/>
        </w:rPr>
        <w:t xml:space="preserve">Elisashvili, V., Penninckx, M., </w:t>
      </w:r>
      <w:proofErr w:type="spellStart"/>
      <w:r w:rsidRPr="00995278">
        <w:rPr>
          <w:sz w:val="20"/>
          <w:szCs w:val="20"/>
        </w:rPr>
        <w:t>Kachlishvili</w:t>
      </w:r>
      <w:proofErr w:type="spellEnd"/>
      <w:r w:rsidRPr="00995278">
        <w:rPr>
          <w:sz w:val="20"/>
          <w:szCs w:val="20"/>
        </w:rPr>
        <w:t xml:space="preserve">, E., Tsiklauri, N., Metreveli, E., </w:t>
      </w:r>
      <w:proofErr w:type="spellStart"/>
      <w:r w:rsidRPr="00995278">
        <w:rPr>
          <w:sz w:val="20"/>
          <w:szCs w:val="20"/>
        </w:rPr>
        <w:t>Kharziani</w:t>
      </w:r>
      <w:proofErr w:type="spellEnd"/>
      <w:r w:rsidRPr="00995278">
        <w:rPr>
          <w:sz w:val="20"/>
          <w:szCs w:val="20"/>
        </w:rPr>
        <w:t xml:space="preserve">, T., &amp; Kvesitadze, G. (2008). Lignocellulose-degrading enzyme production by white-rot basidiomycetes species in solid-state fermentation of wheat straw. </w:t>
      </w:r>
      <w:r w:rsidRPr="00995278">
        <w:rPr>
          <w:rStyle w:val="Emphasis"/>
          <w:sz w:val="20"/>
          <w:szCs w:val="20"/>
        </w:rPr>
        <w:t>World Journal of Microbiology and Biotechnology</w:t>
      </w:r>
      <w:r w:rsidRPr="00995278">
        <w:rPr>
          <w:sz w:val="20"/>
          <w:szCs w:val="20"/>
        </w:rPr>
        <w:t>, 24(4), 639–646.</w:t>
      </w:r>
    </w:p>
    <w:p w14:paraId="0E73E529"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r w:rsidRPr="00995278">
        <w:rPr>
          <w:sz w:val="20"/>
          <w:szCs w:val="20"/>
        </w:rPr>
        <w:t>EPA (2018). Technical Factsheet on: Phenol. United States Environmental Protection Agency. https://www.epa.gov/</w:t>
      </w:r>
    </w:p>
    <w:p w14:paraId="0F2B0FAB"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proofErr w:type="spellStart"/>
      <w:r w:rsidRPr="00995278">
        <w:rPr>
          <w:sz w:val="20"/>
          <w:szCs w:val="20"/>
        </w:rPr>
        <w:t>Floudas</w:t>
      </w:r>
      <w:proofErr w:type="spellEnd"/>
      <w:r w:rsidRPr="00995278">
        <w:rPr>
          <w:sz w:val="20"/>
          <w:szCs w:val="20"/>
        </w:rPr>
        <w:t xml:space="preserve">, D., Binder, M., Riley, R., et al. (2012). The Paleozoic origin of enzymatic lignin decomposition reconstructed from 31 fungal genomes. </w:t>
      </w:r>
      <w:r w:rsidRPr="00995278">
        <w:rPr>
          <w:rStyle w:val="Emphasis"/>
          <w:sz w:val="20"/>
          <w:szCs w:val="20"/>
        </w:rPr>
        <w:t>Science</w:t>
      </w:r>
      <w:r w:rsidRPr="00995278">
        <w:rPr>
          <w:sz w:val="20"/>
          <w:szCs w:val="20"/>
        </w:rPr>
        <w:t>, 336(6089), 1715–1719.</w:t>
      </w:r>
    </w:p>
    <w:p w14:paraId="0204C853"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r w:rsidRPr="00995278">
        <w:rPr>
          <w:sz w:val="20"/>
          <w:szCs w:val="20"/>
        </w:rPr>
        <w:t xml:space="preserve">Gami, A. A., Shah, M. P., &amp; Patel, K. A. (2014). Microbial degradation of phenol by </w:t>
      </w:r>
      <w:r w:rsidRPr="00995278">
        <w:rPr>
          <w:rStyle w:val="Emphasis"/>
          <w:sz w:val="20"/>
          <w:szCs w:val="20"/>
        </w:rPr>
        <w:t>Pseudomonas</w:t>
      </w:r>
      <w:r w:rsidRPr="00995278">
        <w:rPr>
          <w:sz w:val="20"/>
          <w:szCs w:val="20"/>
        </w:rPr>
        <w:t xml:space="preserve"> spp. isolated from the effluent of a petrochemical industry. </w:t>
      </w:r>
      <w:r w:rsidRPr="00995278">
        <w:rPr>
          <w:rStyle w:val="Emphasis"/>
          <w:sz w:val="20"/>
          <w:szCs w:val="20"/>
        </w:rPr>
        <w:t>Journal of Environmental Research and Development</w:t>
      </w:r>
      <w:r w:rsidRPr="00995278">
        <w:rPr>
          <w:sz w:val="20"/>
          <w:szCs w:val="20"/>
        </w:rPr>
        <w:t>, 8(3), 513–520.</w:t>
      </w:r>
    </w:p>
    <w:p w14:paraId="0C85CA48"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Garg, S., Roy, A., &amp; Yadav, A. (2021). Genetically modified fungi for phenolic pollutant degradation: A review. </w:t>
      </w:r>
      <w:r w:rsidRPr="00995278">
        <w:rPr>
          <w:rStyle w:val="Emphasis"/>
          <w:color w:val="0F1115"/>
          <w:sz w:val="20"/>
          <w:szCs w:val="20"/>
        </w:rPr>
        <w:t>Biotechnology Advances</w:t>
      </w:r>
      <w:r w:rsidRPr="00995278">
        <w:rPr>
          <w:color w:val="0F1115"/>
          <w:sz w:val="20"/>
          <w:szCs w:val="20"/>
        </w:rPr>
        <w:t>, 49, 107763.</w:t>
      </w:r>
    </w:p>
    <w:p w14:paraId="03ADF37F"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r w:rsidRPr="00995278">
        <w:rPr>
          <w:sz w:val="20"/>
          <w:szCs w:val="20"/>
        </w:rPr>
        <w:t xml:space="preserve">Harms, H., Schlosser, D., &amp; Wick, L. Y. (2011). Untapped potential: Exploiting fungi in bioremediation of hazardous chemicals. </w:t>
      </w:r>
      <w:r w:rsidRPr="00995278">
        <w:rPr>
          <w:rStyle w:val="Emphasis"/>
          <w:sz w:val="20"/>
          <w:szCs w:val="20"/>
        </w:rPr>
        <w:t>Nature Reviews Microbiology</w:t>
      </w:r>
      <w:r w:rsidRPr="00995278">
        <w:rPr>
          <w:sz w:val="20"/>
          <w:szCs w:val="20"/>
        </w:rPr>
        <w:t>, 9(3), 177–192.</w:t>
      </w:r>
    </w:p>
    <w:p w14:paraId="4362F03F"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Kumari, A., Singh, R., &amp; Tiwari, S. (2021). Bioremediation of paper and pulp mill effluent using ligninolytic fungi. </w:t>
      </w:r>
      <w:r w:rsidRPr="00995278">
        <w:rPr>
          <w:rStyle w:val="Emphasis"/>
          <w:color w:val="0F1115"/>
          <w:sz w:val="20"/>
          <w:szCs w:val="20"/>
        </w:rPr>
        <w:t>Environmental Science and Pollution Research</w:t>
      </w:r>
      <w:r w:rsidRPr="00995278">
        <w:rPr>
          <w:color w:val="0F1115"/>
          <w:sz w:val="20"/>
          <w:szCs w:val="20"/>
        </w:rPr>
        <w:t>, 28(26), 34035–34047.</w:t>
      </w:r>
    </w:p>
    <w:p w14:paraId="45A77668"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r w:rsidRPr="00995278">
        <w:rPr>
          <w:sz w:val="20"/>
          <w:szCs w:val="20"/>
        </w:rPr>
        <w:t xml:space="preserve">Luo, Q., Wang, Z., &amp; Chen, Y. (2009). Toxicity of phenol to aquatic organisms. </w:t>
      </w:r>
      <w:r w:rsidRPr="00995278">
        <w:rPr>
          <w:rStyle w:val="Emphasis"/>
          <w:sz w:val="20"/>
          <w:szCs w:val="20"/>
        </w:rPr>
        <w:t>Journal of Environmental Sciences</w:t>
      </w:r>
      <w:r w:rsidRPr="00995278">
        <w:rPr>
          <w:sz w:val="20"/>
          <w:szCs w:val="20"/>
        </w:rPr>
        <w:t>, 21(3), 250–255.</w:t>
      </w:r>
    </w:p>
    <w:p w14:paraId="44765EB4"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Mehta, A., Bodh, U., &amp; Gupta, R. (2021). Endophytic fungi from medicinal plants: A treasure hunt for antioxidant and bioremediating agents. </w:t>
      </w:r>
      <w:r w:rsidRPr="00995278">
        <w:rPr>
          <w:rStyle w:val="Emphasis"/>
          <w:color w:val="0F1115"/>
          <w:sz w:val="20"/>
          <w:szCs w:val="20"/>
        </w:rPr>
        <w:t>Current Microbiology</w:t>
      </w:r>
      <w:r w:rsidRPr="00995278">
        <w:rPr>
          <w:color w:val="0F1115"/>
          <w:sz w:val="20"/>
          <w:szCs w:val="20"/>
        </w:rPr>
        <w:t>, 78(5), 1921–1932.</w:t>
      </w:r>
    </w:p>
    <w:p w14:paraId="0C1C00F3"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Mondal, S., Chakraborty, I., &amp; Das, A. (2020). Optimization of phenol degradation by </w:t>
      </w:r>
      <w:proofErr w:type="spellStart"/>
      <w:r w:rsidRPr="00995278">
        <w:rPr>
          <w:rStyle w:val="Emphasis"/>
          <w:color w:val="0F1115"/>
          <w:sz w:val="20"/>
          <w:szCs w:val="20"/>
        </w:rPr>
        <w:t>Trametes</w:t>
      </w:r>
      <w:proofErr w:type="spellEnd"/>
      <w:r w:rsidRPr="00995278">
        <w:rPr>
          <w:rStyle w:val="Emphasis"/>
          <w:color w:val="0F1115"/>
          <w:sz w:val="20"/>
          <w:szCs w:val="20"/>
        </w:rPr>
        <w:t xml:space="preserve"> </w:t>
      </w:r>
      <w:proofErr w:type="spellStart"/>
      <w:r w:rsidRPr="00995278">
        <w:rPr>
          <w:rStyle w:val="Emphasis"/>
          <w:color w:val="0F1115"/>
          <w:sz w:val="20"/>
          <w:szCs w:val="20"/>
        </w:rPr>
        <w:t>hirsuta</w:t>
      </w:r>
      <w:proofErr w:type="spellEnd"/>
      <w:r w:rsidRPr="00995278">
        <w:rPr>
          <w:color w:val="0F1115"/>
          <w:sz w:val="20"/>
          <w:szCs w:val="20"/>
        </w:rPr>
        <w:t> MTCC-1171: Application in treatment of dye effluent. </w:t>
      </w:r>
      <w:r w:rsidRPr="00995278">
        <w:rPr>
          <w:rStyle w:val="Emphasis"/>
          <w:color w:val="0F1115"/>
          <w:sz w:val="20"/>
          <w:szCs w:val="20"/>
        </w:rPr>
        <w:t>Biocatalysis and Agricultural Biotechnology</w:t>
      </w:r>
      <w:r w:rsidRPr="00995278">
        <w:rPr>
          <w:color w:val="0F1115"/>
          <w:sz w:val="20"/>
          <w:szCs w:val="20"/>
        </w:rPr>
        <w:t>, 25, 101597.</w:t>
      </w:r>
    </w:p>
    <w:p w14:paraId="295D30C9"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r w:rsidRPr="00995278">
        <w:rPr>
          <w:sz w:val="20"/>
          <w:szCs w:val="20"/>
        </w:rPr>
        <w:t xml:space="preserve">Nair, C. I., Jayachandran, K., &amp; Shashidhar, S. (2008). Biodegradation of phenol. </w:t>
      </w:r>
      <w:r w:rsidRPr="00995278">
        <w:rPr>
          <w:rStyle w:val="Emphasis"/>
          <w:sz w:val="20"/>
          <w:szCs w:val="20"/>
        </w:rPr>
        <w:t>African Journal of Biotechnology</w:t>
      </w:r>
      <w:r w:rsidRPr="00995278">
        <w:rPr>
          <w:sz w:val="20"/>
          <w:szCs w:val="20"/>
        </w:rPr>
        <w:t>, 7(25), 4951–4958.</w:t>
      </w:r>
    </w:p>
    <w:p w14:paraId="772565EF"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r w:rsidRPr="00995278">
        <w:rPr>
          <w:sz w:val="20"/>
          <w:szCs w:val="20"/>
        </w:rPr>
        <w:lastRenderedPageBreak/>
        <w:t xml:space="preserve">Pointing, S. B. (2001). Feasibility of bioremediation by white-rot fungi. </w:t>
      </w:r>
      <w:r w:rsidRPr="00995278">
        <w:rPr>
          <w:rStyle w:val="Emphasis"/>
          <w:sz w:val="20"/>
          <w:szCs w:val="20"/>
        </w:rPr>
        <w:t>Applied Microbiology and Biotechnology</w:t>
      </w:r>
      <w:r w:rsidRPr="00995278">
        <w:rPr>
          <w:sz w:val="20"/>
          <w:szCs w:val="20"/>
        </w:rPr>
        <w:t>, 57(1–2), 20–33.</w:t>
      </w:r>
    </w:p>
    <w:p w14:paraId="70C476A3" w14:textId="77777777" w:rsidR="00995278" w:rsidRPr="00995278" w:rsidRDefault="00995278" w:rsidP="00995278">
      <w:pPr>
        <w:pStyle w:val="NormalWeb"/>
        <w:numPr>
          <w:ilvl w:val="0"/>
          <w:numId w:val="3"/>
        </w:numPr>
        <w:spacing w:before="0" w:beforeAutospacing="0" w:after="0" w:afterAutospacing="0" w:line="360" w:lineRule="auto"/>
        <w:jc w:val="both"/>
        <w:rPr>
          <w:sz w:val="20"/>
          <w:szCs w:val="20"/>
        </w:rPr>
      </w:pPr>
      <w:r w:rsidRPr="00995278">
        <w:rPr>
          <w:sz w:val="20"/>
          <w:szCs w:val="20"/>
        </w:rPr>
        <w:t xml:space="preserve">Rodríguez Couto, S., &amp; Toca-Herrera, J. L. (2006). Industrial and biotechnological applications of laccases: A review. </w:t>
      </w:r>
      <w:r w:rsidRPr="00995278">
        <w:rPr>
          <w:rStyle w:val="Emphasis"/>
          <w:sz w:val="20"/>
          <w:szCs w:val="20"/>
        </w:rPr>
        <w:t>Biotechnology Advances</w:t>
      </w:r>
      <w:r w:rsidRPr="00995278">
        <w:rPr>
          <w:sz w:val="20"/>
          <w:szCs w:val="20"/>
        </w:rPr>
        <w:t>, 24(5), 500–513.</w:t>
      </w:r>
    </w:p>
    <w:p w14:paraId="3C082BF3"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Roy, M., &amp; Saha, S. (2022). Role of fungal metabolites in the degradation of phenolic compounds. </w:t>
      </w:r>
      <w:r w:rsidRPr="00995278">
        <w:rPr>
          <w:rStyle w:val="Emphasis"/>
          <w:color w:val="0F1115"/>
          <w:sz w:val="20"/>
          <w:szCs w:val="20"/>
        </w:rPr>
        <w:t>Journal of Applied Microbiology</w:t>
      </w:r>
      <w:r w:rsidRPr="00995278">
        <w:rPr>
          <w:color w:val="0F1115"/>
          <w:sz w:val="20"/>
          <w:szCs w:val="20"/>
        </w:rPr>
        <w:t>, 132(2), 911–924.</w:t>
      </w:r>
    </w:p>
    <w:p w14:paraId="208ACFF0"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Shah, K., Patel, H., &amp; Shukla, P. (2022). Continuous biodegradation of phenol by immobilized </w:t>
      </w:r>
      <w:r w:rsidRPr="00995278">
        <w:rPr>
          <w:rStyle w:val="Emphasis"/>
          <w:color w:val="0F1115"/>
          <w:sz w:val="20"/>
          <w:szCs w:val="20"/>
        </w:rPr>
        <w:t>Aspergillus oryzae</w:t>
      </w:r>
      <w:r w:rsidRPr="00995278">
        <w:rPr>
          <w:color w:val="0F1115"/>
          <w:sz w:val="20"/>
          <w:szCs w:val="20"/>
        </w:rPr>
        <w:t> cells in a packed-bed reactor. </w:t>
      </w:r>
      <w:r w:rsidRPr="00995278">
        <w:rPr>
          <w:rStyle w:val="Emphasis"/>
          <w:color w:val="0F1115"/>
          <w:sz w:val="20"/>
          <w:szCs w:val="20"/>
        </w:rPr>
        <w:t>Environmental Technology &amp; Innovation</w:t>
      </w:r>
      <w:r w:rsidRPr="00995278">
        <w:rPr>
          <w:color w:val="0F1115"/>
          <w:sz w:val="20"/>
          <w:szCs w:val="20"/>
        </w:rPr>
        <w:t>, 26, 102302.</w:t>
      </w:r>
    </w:p>
    <w:p w14:paraId="0857E8AE"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Sharma, J., &amp; Singh, A. (2022). Synergistic effect of fungal consortia for the treatment of phenolic effluents from pharmaceutical industries. </w:t>
      </w:r>
      <w:r w:rsidRPr="00995278">
        <w:rPr>
          <w:rStyle w:val="Emphasis"/>
          <w:color w:val="0F1115"/>
          <w:sz w:val="20"/>
          <w:szCs w:val="20"/>
        </w:rPr>
        <w:t>Water Science and Technology</w:t>
      </w:r>
      <w:r w:rsidRPr="00995278">
        <w:rPr>
          <w:color w:val="0F1115"/>
          <w:sz w:val="20"/>
          <w:szCs w:val="20"/>
        </w:rPr>
        <w:t>, 85(8), 2312–2325.</w:t>
      </w:r>
    </w:p>
    <w:p w14:paraId="2F86216C"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Shukla, P., Singh, N., &amp; Gupta, S. (2019). Immobilized laccase from </w:t>
      </w:r>
      <w:r w:rsidRPr="00995278">
        <w:rPr>
          <w:rStyle w:val="Emphasis"/>
          <w:color w:val="0F1115"/>
          <w:sz w:val="20"/>
          <w:szCs w:val="20"/>
        </w:rPr>
        <w:t>Pleurotus ostreatus</w:t>
      </w:r>
      <w:r w:rsidRPr="00995278">
        <w:rPr>
          <w:color w:val="0F1115"/>
          <w:sz w:val="20"/>
          <w:szCs w:val="20"/>
        </w:rPr>
        <w:t>: A novel approach for wastewater treatment. </w:t>
      </w:r>
      <w:r w:rsidRPr="00995278">
        <w:rPr>
          <w:rStyle w:val="Emphasis"/>
          <w:color w:val="0F1115"/>
          <w:sz w:val="20"/>
          <w:szCs w:val="20"/>
        </w:rPr>
        <w:t>Preparative Biochemistry &amp; Biotechnology</w:t>
      </w:r>
      <w:r w:rsidRPr="00995278">
        <w:rPr>
          <w:color w:val="0F1115"/>
          <w:sz w:val="20"/>
          <w:szCs w:val="20"/>
        </w:rPr>
        <w:t>, 49(9), 894–902.</w:t>
      </w:r>
    </w:p>
    <w:p w14:paraId="47BCE747"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Singh, P., Kaur, J., &amp; Yadav, A. (2021). Genetic engineering approaches for enhancing fungal bioremediation of phenolic compounds. </w:t>
      </w:r>
      <w:r w:rsidRPr="00995278">
        <w:rPr>
          <w:rStyle w:val="Emphasis"/>
          <w:color w:val="0F1115"/>
          <w:sz w:val="20"/>
          <w:szCs w:val="20"/>
        </w:rPr>
        <w:t>Critical Reviews in Biotechnology</w:t>
      </w:r>
      <w:r w:rsidRPr="00995278">
        <w:rPr>
          <w:color w:val="0F1115"/>
          <w:sz w:val="20"/>
          <w:szCs w:val="20"/>
        </w:rPr>
        <w:t>, 41(4), 502–518.</w:t>
      </w:r>
    </w:p>
    <w:p w14:paraId="35016DBA"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Verma, A., Singh, H., &amp; Anwar, S. (2019). Phenolic degradation by endophytic fungi </w:t>
      </w:r>
      <w:r w:rsidRPr="00995278">
        <w:rPr>
          <w:rStyle w:val="Emphasis"/>
          <w:color w:val="0F1115"/>
          <w:sz w:val="20"/>
          <w:szCs w:val="20"/>
        </w:rPr>
        <w:t xml:space="preserve">Colletotrichum </w:t>
      </w:r>
      <w:proofErr w:type="spellStart"/>
      <w:r w:rsidRPr="00995278">
        <w:rPr>
          <w:rStyle w:val="Emphasis"/>
          <w:color w:val="0F1115"/>
          <w:sz w:val="20"/>
          <w:szCs w:val="20"/>
        </w:rPr>
        <w:t>gloeosporioides</w:t>
      </w:r>
      <w:proofErr w:type="spellEnd"/>
      <w:r w:rsidRPr="00995278">
        <w:rPr>
          <w:color w:val="0F1115"/>
          <w:sz w:val="20"/>
          <w:szCs w:val="20"/>
        </w:rPr>
        <w:t> and </w:t>
      </w:r>
      <w:proofErr w:type="spellStart"/>
      <w:r w:rsidRPr="00995278">
        <w:rPr>
          <w:rStyle w:val="Emphasis"/>
          <w:color w:val="0F1115"/>
          <w:sz w:val="20"/>
          <w:szCs w:val="20"/>
        </w:rPr>
        <w:t>Botryosphaeria</w:t>
      </w:r>
      <w:proofErr w:type="spellEnd"/>
      <w:r w:rsidRPr="00995278">
        <w:rPr>
          <w:rStyle w:val="Emphasis"/>
          <w:color w:val="0F1115"/>
          <w:sz w:val="20"/>
          <w:szCs w:val="20"/>
        </w:rPr>
        <w:t xml:space="preserve"> </w:t>
      </w:r>
      <w:proofErr w:type="spellStart"/>
      <w:r w:rsidRPr="00995278">
        <w:rPr>
          <w:rStyle w:val="Emphasis"/>
          <w:color w:val="0F1115"/>
          <w:sz w:val="20"/>
          <w:szCs w:val="20"/>
        </w:rPr>
        <w:t>dothidea</w:t>
      </w:r>
      <w:proofErr w:type="spellEnd"/>
      <w:r w:rsidRPr="00995278">
        <w:rPr>
          <w:color w:val="0F1115"/>
          <w:sz w:val="20"/>
          <w:szCs w:val="20"/>
        </w:rPr>
        <w:t>: A sustainable approach. </w:t>
      </w:r>
      <w:r w:rsidRPr="00995278">
        <w:rPr>
          <w:rStyle w:val="Emphasis"/>
          <w:color w:val="0F1115"/>
          <w:sz w:val="20"/>
          <w:szCs w:val="20"/>
        </w:rPr>
        <w:t>Journal of Environmental Management</w:t>
      </w:r>
      <w:r w:rsidRPr="00995278">
        <w:rPr>
          <w:color w:val="0F1115"/>
          <w:sz w:val="20"/>
          <w:szCs w:val="20"/>
        </w:rPr>
        <w:t>, 250, 109457.</w:t>
      </w:r>
    </w:p>
    <w:p w14:paraId="12DB57BB" w14:textId="77777777" w:rsidR="00995278" w:rsidRPr="00995278" w:rsidRDefault="00995278" w:rsidP="00995278">
      <w:pPr>
        <w:pStyle w:val="ds-markdown-paragraph"/>
        <w:numPr>
          <w:ilvl w:val="0"/>
          <w:numId w:val="3"/>
        </w:numPr>
        <w:shd w:val="clear" w:color="auto" w:fill="FFFFFF"/>
        <w:spacing w:before="0" w:beforeAutospacing="0" w:after="0" w:afterAutospacing="0" w:line="360" w:lineRule="auto"/>
        <w:jc w:val="both"/>
        <w:rPr>
          <w:color w:val="0F1115"/>
          <w:sz w:val="20"/>
          <w:szCs w:val="20"/>
        </w:rPr>
      </w:pPr>
      <w:r w:rsidRPr="00995278">
        <w:rPr>
          <w:color w:val="0F1115"/>
          <w:sz w:val="20"/>
          <w:szCs w:val="20"/>
        </w:rPr>
        <w:t>Zhao, L., Wu, J., &amp; Zhang, X. (2020). Enhanced degradation of phenolic compounds by biofilm-forming </w:t>
      </w:r>
      <w:r w:rsidRPr="00995278">
        <w:rPr>
          <w:rStyle w:val="Emphasis"/>
          <w:color w:val="0F1115"/>
          <w:sz w:val="20"/>
          <w:szCs w:val="20"/>
        </w:rPr>
        <w:t xml:space="preserve">Aspergillus </w:t>
      </w:r>
      <w:proofErr w:type="spellStart"/>
      <w:r w:rsidRPr="00995278">
        <w:rPr>
          <w:rStyle w:val="Emphasis"/>
          <w:color w:val="0F1115"/>
          <w:sz w:val="20"/>
          <w:szCs w:val="20"/>
        </w:rPr>
        <w:t>niger</w:t>
      </w:r>
      <w:proofErr w:type="spellEnd"/>
      <w:r w:rsidRPr="00995278">
        <w:rPr>
          <w:color w:val="0F1115"/>
          <w:sz w:val="20"/>
          <w:szCs w:val="20"/>
        </w:rPr>
        <w:t>. </w:t>
      </w:r>
      <w:r w:rsidRPr="00995278">
        <w:rPr>
          <w:rStyle w:val="Emphasis"/>
          <w:color w:val="0F1115"/>
          <w:sz w:val="20"/>
          <w:szCs w:val="20"/>
        </w:rPr>
        <w:t>Bioresource Technology</w:t>
      </w:r>
      <w:r w:rsidRPr="00995278">
        <w:rPr>
          <w:color w:val="0F1115"/>
          <w:sz w:val="20"/>
          <w:szCs w:val="20"/>
        </w:rPr>
        <w:t>, 305, 123068.</w:t>
      </w:r>
    </w:p>
    <w:p w14:paraId="03C16EA3" w14:textId="77777777" w:rsidR="008B799A" w:rsidRPr="008B799A" w:rsidRDefault="008B799A" w:rsidP="00DC7E7F">
      <w:pPr>
        <w:pStyle w:val="Heading1"/>
        <w:spacing w:before="0" w:after="0" w:line="360" w:lineRule="auto"/>
        <w:jc w:val="both"/>
        <w:rPr>
          <w:sz w:val="20"/>
          <w:szCs w:val="20"/>
        </w:rPr>
      </w:pPr>
    </w:p>
    <w:sectPr w:rsidR="008B799A" w:rsidRPr="008B799A" w:rsidSect="00061E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45AA9" w14:textId="77777777" w:rsidR="008640B1" w:rsidRDefault="008640B1" w:rsidP="00211CC4">
      <w:r>
        <w:separator/>
      </w:r>
    </w:p>
  </w:endnote>
  <w:endnote w:type="continuationSeparator" w:id="0">
    <w:p w14:paraId="593830AC" w14:textId="77777777" w:rsidR="008640B1" w:rsidRDefault="008640B1" w:rsidP="0021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nul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E14D5" w14:textId="77777777" w:rsidR="00211CC4" w:rsidRDefault="00211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3AF3" w14:textId="77777777" w:rsidR="00211CC4" w:rsidRDefault="00211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16CF" w14:textId="77777777" w:rsidR="00211CC4" w:rsidRDefault="00211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2396" w14:textId="77777777" w:rsidR="008640B1" w:rsidRDefault="008640B1" w:rsidP="00211CC4">
      <w:r>
        <w:separator/>
      </w:r>
    </w:p>
  </w:footnote>
  <w:footnote w:type="continuationSeparator" w:id="0">
    <w:p w14:paraId="2743322B" w14:textId="77777777" w:rsidR="008640B1" w:rsidRDefault="008640B1" w:rsidP="0021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94AF" w14:textId="6FD7FE5E" w:rsidR="00211CC4" w:rsidRDefault="00211CC4">
    <w:pPr>
      <w:pStyle w:val="Header"/>
    </w:pPr>
    <w:r>
      <w:rPr>
        <w:noProof/>
      </w:rPr>
      <w:pict w14:anchorId="3F9FC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559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ABF8D" w14:textId="7C3D55E8" w:rsidR="00211CC4" w:rsidRDefault="00211CC4">
    <w:pPr>
      <w:pStyle w:val="Header"/>
    </w:pPr>
    <w:r>
      <w:rPr>
        <w:noProof/>
      </w:rPr>
      <w:pict w14:anchorId="637E3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559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F829" w14:textId="0257B8FB" w:rsidR="00211CC4" w:rsidRDefault="00211CC4">
    <w:pPr>
      <w:pStyle w:val="Header"/>
    </w:pPr>
    <w:r>
      <w:rPr>
        <w:noProof/>
      </w:rPr>
      <w:pict w14:anchorId="7F6FE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559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A3F59"/>
    <w:multiLevelType w:val="hybridMultilevel"/>
    <w:tmpl w:val="E0FC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54149"/>
    <w:multiLevelType w:val="hybridMultilevel"/>
    <w:tmpl w:val="B76065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63CA065D"/>
    <w:multiLevelType w:val="multilevel"/>
    <w:tmpl w:val="81D6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56B7D"/>
    <w:rsid w:val="00061E75"/>
    <w:rsid w:val="000F18A9"/>
    <w:rsid w:val="00211CC4"/>
    <w:rsid w:val="002C3DB7"/>
    <w:rsid w:val="00304CBA"/>
    <w:rsid w:val="0034084C"/>
    <w:rsid w:val="00372A50"/>
    <w:rsid w:val="00487EAD"/>
    <w:rsid w:val="00497ADA"/>
    <w:rsid w:val="005821D3"/>
    <w:rsid w:val="0067357E"/>
    <w:rsid w:val="006D4D09"/>
    <w:rsid w:val="007140E0"/>
    <w:rsid w:val="00740EB7"/>
    <w:rsid w:val="007C10B0"/>
    <w:rsid w:val="00847A00"/>
    <w:rsid w:val="008640B1"/>
    <w:rsid w:val="008773FB"/>
    <w:rsid w:val="00882F02"/>
    <w:rsid w:val="008B799A"/>
    <w:rsid w:val="008D5330"/>
    <w:rsid w:val="00995278"/>
    <w:rsid w:val="00A77B3E"/>
    <w:rsid w:val="00AA6013"/>
    <w:rsid w:val="00B05097"/>
    <w:rsid w:val="00B11213"/>
    <w:rsid w:val="00BD6253"/>
    <w:rsid w:val="00C31D46"/>
    <w:rsid w:val="00C4192F"/>
    <w:rsid w:val="00CA2A55"/>
    <w:rsid w:val="00CC7ECF"/>
    <w:rsid w:val="00CE7A77"/>
    <w:rsid w:val="00D14BD6"/>
    <w:rsid w:val="00D262EE"/>
    <w:rsid w:val="00D376E3"/>
    <w:rsid w:val="00DC7E7F"/>
    <w:rsid w:val="00E15DBA"/>
    <w:rsid w:val="00F01AC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A6EA92"/>
  <w15:docId w15:val="{4EE51C43-E8D2-45B8-99EC-6D36B9FD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1E75"/>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882F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2F0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
    <w:name w:val="Table of contents"/>
    <w:rsid w:val="00061E75"/>
    <w:pPr>
      <w:spacing w:after="200"/>
      <w:jc w:val="center"/>
    </w:pPr>
    <w:rPr>
      <w:b/>
      <w:sz w:val="32"/>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itle">
    <w:name w:val="Title"/>
    <w:basedOn w:val="Normal"/>
    <w:next w:val="Normal"/>
    <w:link w:val="TitleChar"/>
    <w:qFormat/>
    <w:rsid w:val="00497A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7AD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8B799A"/>
    <w:pPr>
      <w:spacing w:before="100" w:beforeAutospacing="1" w:after="100" w:afterAutospacing="1"/>
    </w:pPr>
    <w:rPr>
      <w:lang w:bidi="hi-IN"/>
    </w:rPr>
  </w:style>
  <w:style w:type="character" w:styleId="Emphasis">
    <w:name w:val="Emphasis"/>
    <w:basedOn w:val="DefaultParagraphFont"/>
    <w:uiPriority w:val="20"/>
    <w:qFormat/>
    <w:rsid w:val="008B799A"/>
    <w:rPr>
      <w:i/>
      <w:iCs/>
    </w:rPr>
  </w:style>
  <w:style w:type="character" w:styleId="Strong">
    <w:name w:val="Strong"/>
    <w:basedOn w:val="DefaultParagraphFont"/>
    <w:uiPriority w:val="22"/>
    <w:qFormat/>
    <w:rsid w:val="00DC7E7F"/>
    <w:rPr>
      <w:b/>
      <w:bCs/>
    </w:rPr>
  </w:style>
  <w:style w:type="paragraph" w:customStyle="1" w:styleId="ds-markdown-paragraph">
    <w:name w:val="ds-markdown-paragraph"/>
    <w:basedOn w:val="Normal"/>
    <w:rsid w:val="00995278"/>
    <w:pPr>
      <w:spacing w:before="100" w:beforeAutospacing="1" w:after="100" w:afterAutospacing="1"/>
    </w:pPr>
    <w:rPr>
      <w:lang w:bidi="hi-IN"/>
    </w:rPr>
  </w:style>
  <w:style w:type="character" w:customStyle="1" w:styleId="Heading3Char">
    <w:name w:val="Heading 3 Char"/>
    <w:basedOn w:val="DefaultParagraphFont"/>
    <w:link w:val="Heading3"/>
    <w:semiHidden/>
    <w:rsid w:val="00882F02"/>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semiHidden/>
    <w:rsid w:val="00882F02"/>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B05097"/>
    <w:rPr>
      <w:color w:val="605E5C"/>
      <w:shd w:val="clear" w:color="auto" w:fill="E1DFDD"/>
    </w:rPr>
  </w:style>
  <w:style w:type="paragraph" w:styleId="Header">
    <w:name w:val="header"/>
    <w:basedOn w:val="Normal"/>
    <w:link w:val="HeaderChar"/>
    <w:rsid w:val="00211CC4"/>
    <w:pPr>
      <w:tabs>
        <w:tab w:val="center" w:pos="4680"/>
        <w:tab w:val="right" w:pos="9360"/>
      </w:tabs>
    </w:pPr>
  </w:style>
  <w:style w:type="character" w:customStyle="1" w:styleId="HeaderChar">
    <w:name w:val="Header Char"/>
    <w:basedOn w:val="DefaultParagraphFont"/>
    <w:link w:val="Header"/>
    <w:rsid w:val="00211CC4"/>
    <w:rPr>
      <w:sz w:val="24"/>
      <w:szCs w:val="24"/>
    </w:rPr>
  </w:style>
  <w:style w:type="paragraph" w:styleId="Footer">
    <w:name w:val="footer"/>
    <w:basedOn w:val="Normal"/>
    <w:link w:val="FooterChar"/>
    <w:rsid w:val="00211CC4"/>
    <w:pPr>
      <w:tabs>
        <w:tab w:val="center" w:pos="4680"/>
        <w:tab w:val="right" w:pos="9360"/>
      </w:tabs>
    </w:pPr>
  </w:style>
  <w:style w:type="character" w:customStyle="1" w:styleId="FooterChar">
    <w:name w:val="Footer Char"/>
    <w:basedOn w:val="DefaultParagraphFont"/>
    <w:link w:val="Footer"/>
    <w:rsid w:val="00211C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44092">
      <w:bodyDiv w:val="1"/>
      <w:marLeft w:val="0"/>
      <w:marRight w:val="0"/>
      <w:marTop w:val="0"/>
      <w:marBottom w:val="0"/>
      <w:divBdr>
        <w:top w:val="none" w:sz="0" w:space="0" w:color="auto"/>
        <w:left w:val="none" w:sz="0" w:space="0" w:color="auto"/>
        <w:bottom w:val="none" w:sz="0" w:space="0" w:color="auto"/>
        <w:right w:val="none" w:sz="0" w:space="0" w:color="auto"/>
      </w:divBdr>
    </w:div>
    <w:div w:id="491916704">
      <w:bodyDiv w:val="1"/>
      <w:marLeft w:val="0"/>
      <w:marRight w:val="0"/>
      <w:marTop w:val="0"/>
      <w:marBottom w:val="0"/>
      <w:divBdr>
        <w:top w:val="none" w:sz="0" w:space="0" w:color="auto"/>
        <w:left w:val="none" w:sz="0" w:space="0" w:color="auto"/>
        <w:bottom w:val="none" w:sz="0" w:space="0" w:color="auto"/>
        <w:right w:val="none" w:sz="0" w:space="0" w:color="auto"/>
      </w:divBdr>
    </w:div>
    <w:div w:id="587537996">
      <w:bodyDiv w:val="1"/>
      <w:marLeft w:val="0"/>
      <w:marRight w:val="0"/>
      <w:marTop w:val="0"/>
      <w:marBottom w:val="0"/>
      <w:divBdr>
        <w:top w:val="none" w:sz="0" w:space="0" w:color="auto"/>
        <w:left w:val="none" w:sz="0" w:space="0" w:color="auto"/>
        <w:bottom w:val="none" w:sz="0" w:space="0" w:color="auto"/>
        <w:right w:val="none" w:sz="0" w:space="0" w:color="auto"/>
      </w:divBdr>
    </w:div>
    <w:div w:id="878324239">
      <w:bodyDiv w:val="1"/>
      <w:marLeft w:val="0"/>
      <w:marRight w:val="0"/>
      <w:marTop w:val="0"/>
      <w:marBottom w:val="0"/>
      <w:divBdr>
        <w:top w:val="none" w:sz="0" w:space="0" w:color="auto"/>
        <w:left w:val="none" w:sz="0" w:space="0" w:color="auto"/>
        <w:bottom w:val="none" w:sz="0" w:space="0" w:color="auto"/>
        <w:right w:val="none" w:sz="0" w:space="0" w:color="auto"/>
      </w:divBdr>
    </w:div>
    <w:div w:id="980620234">
      <w:bodyDiv w:val="1"/>
      <w:marLeft w:val="0"/>
      <w:marRight w:val="0"/>
      <w:marTop w:val="0"/>
      <w:marBottom w:val="0"/>
      <w:divBdr>
        <w:top w:val="none" w:sz="0" w:space="0" w:color="auto"/>
        <w:left w:val="none" w:sz="0" w:space="0" w:color="auto"/>
        <w:bottom w:val="none" w:sz="0" w:space="0" w:color="auto"/>
        <w:right w:val="none" w:sz="0" w:space="0" w:color="auto"/>
      </w:divBdr>
    </w:div>
    <w:div w:id="1192646114">
      <w:bodyDiv w:val="1"/>
      <w:marLeft w:val="0"/>
      <w:marRight w:val="0"/>
      <w:marTop w:val="0"/>
      <w:marBottom w:val="0"/>
      <w:divBdr>
        <w:top w:val="none" w:sz="0" w:space="0" w:color="auto"/>
        <w:left w:val="none" w:sz="0" w:space="0" w:color="auto"/>
        <w:bottom w:val="none" w:sz="0" w:space="0" w:color="auto"/>
        <w:right w:val="none" w:sz="0" w:space="0" w:color="auto"/>
      </w:divBdr>
    </w:div>
    <w:div w:id="1529371976">
      <w:bodyDiv w:val="1"/>
      <w:marLeft w:val="0"/>
      <w:marRight w:val="0"/>
      <w:marTop w:val="0"/>
      <w:marBottom w:val="0"/>
      <w:divBdr>
        <w:top w:val="none" w:sz="0" w:space="0" w:color="auto"/>
        <w:left w:val="none" w:sz="0" w:space="0" w:color="auto"/>
        <w:bottom w:val="none" w:sz="0" w:space="0" w:color="auto"/>
        <w:right w:val="none" w:sz="0" w:space="0" w:color="auto"/>
      </w:divBdr>
    </w:div>
    <w:div w:id="1565869258">
      <w:bodyDiv w:val="1"/>
      <w:marLeft w:val="0"/>
      <w:marRight w:val="0"/>
      <w:marTop w:val="0"/>
      <w:marBottom w:val="0"/>
      <w:divBdr>
        <w:top w:val="none" w:sz="0" w:space="0" w:color="auto"/>
        <w:left w:val="none" w:sz="0" w:space="0" w:color="auto"/>
        <w:bottom w:val="none" w:sz="0" w:space="0" w:color="auto"/>
        <w:right w:val="none" w:sz="0" w:space="0" w:color="auto"/>
      </w:divBdr>
    </w:div>
    <w:div w:id="204879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13</Pages>
  <Words>4844</Words>
  <Characters>27616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25</cp:revision>
  <dcterms:created xsi:type="dcterms:W3CDTF">2025-07-22T16:07:00Z</dcterms:created>
  <dcterms:modified xsi:type="dcterms:W3CDTF">2025-10-18T08:27:00Z</dcterms:modified>
</cp:coreProperties>
</file>