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C6739" w14:textId="00575C08" w:rsidR="009B7762" w:rsidRDefault="00E413E3" w:rsidP="00FB4899">
      <w:pPr>
        <w:jc w:val="both"/>
        <w:rPr>
          <w:rFonts w:ascii="Arial" w:hAnsi="Arial" w:cs="Arial"/>
          <w:b/>
          <w:bCs/>
          <w:sz w:val="24"/>
          <w:szCs w:val="24"/>
        </w:rPr>
      </w:pPr>
      <w:r>
        <w:rPr>
          <w:rFonts w:ascii="Arial" w:hAnsi="Arial" w:cs="Arial"/>
          <w:b/>
          <w:bCs/>
          <w:sz w:val="24"/>
          <w:szCs w:val="24"/>
        </w:rPr>
        <w:t>Growth and yield attributes</w:t>
      </w:r>
      <w:r w:rsidR="009B7762" w:rsidRPr="00D17BD4">
        <w:rPr>
          <w:rFonts w:ascii="Arial" w:hAnsi="Arial" w:cs="Arial"/>
          <w:b/>
          <w:bCs/>
          <w:sz w:val="24"/>
          <w:szCs w:val="24"/>
        </w:rPr>
        <w:t xml:space="preserve"> of Linseed (</w:t>
      </w:r>
      <w:proofErr w:type="spellStart"/>
      <w:r w:rsidR="009B7762" w:rsidRPr="00D17BD4">
        <w:rPr>
          <w:rFonts w:ascii="Arial" w:hAnsi="Arial" w:cs="Arial"/>
          <w:b/>
          <w:bCs/>
          <w:i/>
          <w:iCs/>
          <w:sz w:val="24"/>
          <w:szCs w:val="24"/>
        </w:rPr>
        <w:t>Linum</w:t>
      </w:r>
      <w:proofErr w:type="spellEnd"/>
      <w:r w:rsidR="009B7762" w:rsidRPr="00D17BD4">
        <w:rPr>
          <w:rFonts w:ascii="Arial" w:hAnsi="Arial" w:cs="Arial"/>
          <w:b/>
          <w:bCs/>
          <w:i/>
          <w:iCs/>
          <w:sz w:val="24"/>
          <w:szCs w:val="24"/>
        </w:rPr>
        <w:t xml:space="preserve"> </w:t>
      </w:r>
      <w:proofErr w:type="spellStart"/>
      <w:r w:rsidR="009B7762" w:rsidRPr="00D17BD4">
        <w:rPr>
          <w:rFonts w:ascii="Arial" w:hAnsi="Arial" w:cs="Arial"/>
          <w:b/>
          <w:bCs/>
          <w:i/>
          <w:iCs/>
          <w:sz w:val="24"/>
          <w:szCs w:val="24"/>
        </w:rPr>
        <w:t>usitatissimum</w:t>
      </w:r>
      <w:proofErr w:type="spellEnd"/>
      <w:r w:rsidR="009B7762" w:rsidRPr="00D17BD4">
        <w:rPr>
          <w:rFonts w:ascii="Arial" w:hAnsi="Arial" w:cs="Arial"/>
          <w:b/>
          <w:bCs/>
          <w:sz w:val="24"/>
          <w:szCs w:val="24"/>
        </w:rPr>
        <w:t xml:space="preserve"> L.) as influenced by different sources of Sulphur under </w:t>
      </w:r>
      <w:proofErr w:type="spellStart"/>
      <w:r w:rsidR="009B7762" w:rsidRPr="00D17BD4">
        <w:rPr>
          <w:rFonts w:ascii="Arial" w:hAnsi="Arial" w:cs="Arial"/>
          <w:b/>
          <w:bCs/>
          <w:sz w:val="24"/>
          <w:szCs w:val="24"/>
        </w:rPr>
        <w:t>Dhampur</w:t>
      </w:r>
      <w:proofErr w:type="spellEnd"/>
      <w:r w:rsidR="009B7762" w:rsidRPr="00D17BD4">
        <w:rPr>
          <w:rFonts w:ascii="Arial" w:hAnsi="Arial" w:cs="Arial"/>
          <w:b/>
          <w:bCs/>
          <w:sz w:val="24"/>
          <w:szCs w:val="24"/>
        </w:rPr>
        <w:t xml:space="preserve"> condition</w:t>
      </w:r>
    </w:p>
    <w:p w14:paraId="3F376F84" w14:textId="77777777" w:rsidR="00425632" w:rsidRPr="00E413E3" w:rsidRDefault="00425632" w:rsidP="00E413E3">
      <w:pPr>
        <w:jc w:val="center"/>
        <w:rPr>
          <w:rFonts w:ascii="Arial" w:hAnsi="Arial" w:cs="Arial"/>
          <w:sz w:val="24"/>
          <w:szCs w:val="24"/>
        </w:rPr>
      </w:pPr>
    </w:p>
    <w:p w14:paraId="0C6F5B65" w14:textId="77777777" w:rsidR="00E413E3" w:rsidRDefault="00E413E3" w:rsidP="00FB4899">
      <w:pPr>
        <w:jc w:val="both"/>
        <w:rPr>
          <w:rFonts w:ascii="Arial" w:hAnsi="Arial" w:cs="Arial"/>
          <w:b/>
          <w:bCs/>
          <w:sz w:val="24"/>
          <w:szCs w:val="24"/>
        </w:rPr>
      </w:pPr>
    </w:p>
    <w:p w14:paraId="429F9809" w14:textId="77777777" w:rsidR="00D17BD4" w:rsidRPr="00D17BD4" w:rsidRDefault="00D17BD4" w:rsidP="00FB4899">
      <w:pPr>
        <w:jc w:val="both"/>
        <w:rPr>
          <w:rFonts w:ascii="Arial" w:hAnsi="Arial" w:cs="Arial"/>
          <w:b/>
          <w:bCs/>
          <w:sz w:val="24"/>
          <w:szCs w:val="24"/>
        </w:rPr>
      </w:pPr>
    </w:p>
    <w:p w14:paraId="099056B2" w14:textId="77777777" w:rsidR="00D17BD4" w:rsidRDefault="00D17BD4" w:rsidP="00D17BD4">
      <w:pPr>
        <w:jc w:val="center"/>
        <w:rPr>
          <w:rFonts w:ascii="Arial" w:hAnsi="Arial" w:cs="Arial"/>
          <w:b/>
          <w:bCs/>
          <w:sz w:val="24"/>
          <w:szCs w:val="24"/>
        </w:rPr>
      </w:pPr>
      <w:r w:rsidRPr="00FB4899">
        <w:rPr>
          <w:rFonts w:ascii="Arial" w:hAnsi="Arial" w:cs="Arial"/>
          <w:b/>
          <w:bCs/>
          <w:sz w:val="24"/>
          <w:szCs w:val="24"/>
        </w:rPr>
        <w:t>ABSTRACT</w:t>
      </w:r>
    </w:p>
    <w:p w14:paraId="01CF020E" w14:textId="75FDA054" w:rsidR="002331C9" w:rsidRPr="00D17BD4" w:rsidRDefault="008B6293" w:rsidP="00351A31">
      <w:pPr>
        <w:jc w:val="both"/>
        <w:rPr>
          <w:rFonts w:ascii="Arial" w:hAnsi="Arial" w:cs="Arial"/>
          <w:b/>
          <w:bCs/>
          <w:sz w:val="24"/>
          <w:szCs w:val="24"/>
        </w:rPr>
      </w:pPr>
      <w:r w:rsidRPr="008B6293">
        <w:rPr>
          <w:rFonts w:ascii="Arial" w:hAnsi="Arial" w:cs="Arial"/>
          <w:sz w:val="24"/>
          <w:szCs w:val="24"/>
        </w:rPr>
        <w:br/>
      </w:r>
      <w:r w:rsidR="00691C1B">
        <w:rPr>
          <w:rFonts w:ascii="Arial" w:hAnsi="Arial" w:cs="Arial"/>
          <w:sz w:val="24"/>
          <w:szCs w:val="24"/>
        </w:rPr>
        <w:t xml:space="preserve"> </w:t>
      </w:r>
      <w:proofErr w:type="gramStart"/>
      <w:r w:rsidRPr="00814751">
        <w:rPr>
          <w:rFonts w:ascii="Arial" w:hAnsi="Arial" w:cs="Arial"/>
          <w:sz w:val="24"/>
          <w:szCs w:val="24"/>
        </w:rPr>
        <w:t xml:space="preserve">A </w:t>
      </w:r>
      <w:r w:rsidR="00FB4899" w:rsidRPr="00814751">
        <w:rPr>
          <w:rFonts w:ascii="Arial" w:hAnsi="Arial" w:cs="Arial"/>
          <w:sz w:val="24"/>
          <w:szCs w:val="24"/>
        </w:rPr>
        <w:t xml:space="preserve"> </w:t>
      </w:r>
      <w:r w:rsidRPr="00814751">
        <w:rPr>
          <w:rFonts w:ascii="Arial" w:hAnsi="Arial" w:cs="Arial"/>
          <w:sz w:val="24"/>
          <w:szCs w:val="24"/>
        </w:rPr>
        <w:t>field</w:t>
      </w:r>
      <w:proofErr w:type="gramEnd"/>
      <w:r w:rsidRPr="00814751">
        <w:rPr>
          <w:rFonts w:ascii="Arial" w:hAnsi="Arial" w:cs="Arial"/>
          <w:sz w:val="24"/>
          <w:szCs w:val="24"/>
        </w:rPr>
        <w:t xml:space="preserve"> experiment entitled </w:t>
      </w:r>
      <w:r w:rsidRPr="00351A31">
        <w:rPr>
          <w:rFonts w:ascii="Arial" w:hAnsi="Arial" w:cs="Arial"/>
          <w:sz w:val="24"/>
          <w:szCs w:val="24"/>
        </w:rPr>
        <w:t>“</w:t>
      </w:r>
      <w:r w:rsidR="00351A31" w:rsidRPr="00351A31">
        <w:rPr>
          <w:rFonts w:ascii="Arial" w:hAnsi="Arial" w:cs="Arial"/>
          <w:sz w:val="24"/>
          <w:szCs w:val="24"/>
        </w:rPr>
        <w:t>Growth and yield attributes of Linseed (</w:t>
      </w:r>
      <w:proofErr w:type="spellStart"/>
      <w:r w:rsidR="00351A31" w:rsidRPr="00351A31">
        <w:rPr>
          <w:rFonts w:ascii="Arial" w:hAnsi="Arial" w:cs="Arial"/>
          <w:i/>
          <w:iCs/>
          <w:sz w:val="24"/>
          <w:szCs w:val="24"/>
        </w:rPr>
        <w:t>Linum</w:t>
      </w:r>
      <w:proofErr w:type="spellEnd"/>
      <w:r w:rsidR="00351A31" w:rsidRPr="00351A31">
        <w:rPr>
          <w:rFonts w:ascii="Arial" w:hAnsi="Arial" w:cs="Arial"/>
          <w:i/>
          <w:iCs/>
          <w:sz w:val="24"/>
          <w:szCs w:val="24"/>
        </w:rPr>
        <w:t xml:space="preserve"> </w:t>
      </w:r>
      <w:proofErr w:type="spellStart"/>
      <w:r w:rsidR="00351A31" w:rsidRPr="00351A31">
        <w:rPr>
          <w:rFonts w:ascii="Arial" w:hAnsi="Arial" w:cs="Arial"/>
          <w:i/>
          <w:iCs/>
          <w:sz w:val="24"/>
          <w:szCs w:val="24"/>
        </w:rPr>
        <w:t>usitatissimum</w:t>
      </w:r>
      <w:proofErr w:type="spellEnd"/>
      <w:r w:rsidR="00351A31" w:rsidRPr="00351A31">
        <w:rPr>
          <w:rFonts w:ascii="Arial" w:hAnsi="Arial" w:cs="Arial"/>
          <w:sz w:val="24"/>
          <w:szCs w:val="24"/>
        </w:rPr>
        <w:t xml:space="preserve"> L.) as influenced by different sources of Sulphur under </w:t>
      </w:r>
      <w:proofErr w:type="spellStart"/>
      <w:r w:rsidR="00351A31" w:rsidRPr="00351A31">
        <w:rPr>
          <w:rFonts w:ascii="Arial" w:hAnsi="Arial" w:cs="Arial"/>
          <w:sz w:val="24"/>
          <w:szCs w:val="24"/>
        </w:rPr>
        <w:t>Dhampur</w:t>
      </w:r>
      <w:proofErr w:type="spellEnd"/>
      <w:r w:rsidR="00351A31" w:rsidRPr="00351A31">
        <w:rPr>
          <w:rFonts w:ascii="Arial" w:hAnsi="Arial" w:cs="Arial"/>
          <w:sz w:val="24"/>
          <w:szCs w:val="24"/>
        </w:rPr>
        <w:t xml:space="preserve"> condition</w:t>
      </w:r>
      <w:r w:rsidRPr="00351A31">
        <w:rPr>
          <w:rFonts w:ascii="Arial" w:hAnsi="Arial" w:cs="Arial"/>
          <w:sz w:val="24"/>
          <w:szCs w:val="24"/>
        </w:rPr>
        <w:t>” was conducted during the</w:t>
      </w:r>
      <w:r w:rsidRPr="00351A31">
        <w:rPr>
          <w:rFonts w:ascii="Arial" w:hAnsi="Arial" w:cs="Arial"/>
          <w:i/>
          <w:iCs/>
          <w:sz w:val="24"/>
          <w:szCs w:val="24"/>
        </w:rPr>
        <w:t xml:space="preserve"> </w:t>
      </w:r>
      <w:r w:rsidRPr="00EC50E7">
        <w:rPr>
          <w:rFonts w:ascii="Arial" w:hAnsi="Arial" w:cs="Arial"/>
          <w:i/>
          <w:iCs/>
          <w:sz w:val="24"/>
          <w:szCs w:val="24"/>
        </w:rPr>
        <w:t>rabi</w:t>
      </w:r>
      <w:r w:rsidRPr="00814751">
        <w:rPr>
          <w:rFonts w:ascii="Arial" w:hAnsi="Arial" w:cs="Arial"/>
          <w:sz w:val="24"/>
          <w:szCs w:val="24"/>
        </w:rPr>
        <w:t xml:space="preserve"> season of 2024</w:t>
      </w:r>
      <w:r w:rsidR="00A329CB" w:rsidRPr="00814751">
        <w:rPr>
          <w:rFonts w:ascii="Arial" w:hAnsi="Arial" w:cs="Arial"/>
          <w:sz w:val="24"/>
          <w:szCs w:val="24"/>
        </w:rPr>
        <w:t>-</w:t>
      </w:r>
      <w:r w:rsidRPr="00814751">
        <w:rPr>
          <w:rFonts w:ascii="Arial" w:hAnsi="Arial" w:cs="Arial"/>
          <w:sz w:val="24"/>
          <w:szCs w:val="24"/>
        </w:rPr>
        <w:t xml:space="preserve">25 at the Agronomy Research Farm, R.S.M. (P.G.) College, </w:t>
      </w:r>
      <w:proofErr w:type="spellStart"/>
      <w:r w:rsidRPr="00814751">
        <w:rPr>
          <w:rFonts w:ascii="Arial" w:hAnsi="Arial" w:cs="Arial"/>
          <w:sz w:val="24"/>
          <w:szCs w:val="24"/>
        </w:rPr>
        <w:t>Dhampur</w:t>
      </w:r>
      <w:proofErr w:type="spellEnd"/>
      <w:r w:rsidRPr="00814751">
        <w:rPr>
          <w:rFonts w:ascii="Arial" w:hAnsi="Arial" w:cs="Arial"/>
          <w:sz w:val="24"/>
          <w:szCs w:val="24"/>
        </w:rPr>
        <w:t xml:space="preserve">, </w:t>
      </w:r>
      <w:proofErr w:type="spellStart"/>
      <w:r w:rsidRPr="00814751">
        <w:rPr>
          <w:rFonts w:ascii="Arial" w:hAnsi="Arial" w:cs="Arial"/>
          <w:sz w:val="24"/>
          <w:szCs w:val="24"/>
        </w:rPr>
        <w:t>Bijnor</w:t>
      </w:r>
      <w:proofErr w:type="spellEnd"/>
      <w:r w:rsidRPr="00814751">
        <w:rPr>
          <w:rFonts w:ascii="Arial" w:hAnsi="Arial" w:cs="Arial"/>
          <w:sz w:val="24"/>
          <w:szCs w:val="24"/>
        </w:rPr>
        <w:t xml:space="preserve"> (U.P.), to evaluate the effect of various sulphur sources on growth</w:t>
      </w:r>
      <w:r w:rsidR="00A776D0">
        <w:rPr>
          <w:rFonts w:ascii="Arial" w:hAnsi="Arial" w:cs="Arial"/>
          <w:sz w:val="24"/>
          <w:szCs w:val="24"/>
        </w:rPr>
        <w:t xml:space="preserve"> and yield attributes of</w:t>
      </w:r>
      <w:r w:rsidRPr="00814751">
        <w:rPr>
          <w:rFonts w:ascii="Arial" w:hAnsi="Arial" w:cs="Arial"/>
          <w:sz w:val="24"/>
          <w:szCs w:val="24"/>
        </w:rPr>
        <w:t xml:space="preserve"> linseed. The experiment was laid out in a randomized block design with seven treatments and three replications</w:t>
      </w:r>
      <w:r w:rsidR="000F7E4C">
        <w:rPr>
          <w:rFonts w:ascii="Arial" w:hAnsi="Arial" w:cs="Arial"/>
          <w:sz w:val="24"/>
          <w:szCs w:val="24"/>
        </w:rPr>
        <w:t xml:space="preserve">. </w:t>
      </w:r>
      <w:r w:rsidRPr="00814751">
        <w:rPr>
          <w:rFonts w:ascii="Arial" w:hAnsi="Arial" w:cs="Arial"/>
          <w:sz w:val="24"/>
          <w:szCs w:val="24"/>
        </w:rPr>
        <w:t xml:space="preserve">Results revealed that </w:t>
      </w:r>
      <w:r w:rsidR="000F7E4C">
        <w:rPr>
          <w:rFonts w:ascii="Arial" w:hAnsi="Arial" w:cs="Arial"/>
          <w:sz w:val="24"/>
          <w:szCs w:val="24"/>
        </w:rPr>
        <w:t>t</w:t>
      </w:r>
      <w:r w:rsidRPr="00814751">
        <w:rPr>
          <w:rFonts w:ascii="Arial" w:hAnsi="Arial" w:cs="Arial"/>
          <w:sz w:val="24"/>
          <w:szCs w:val="24"/>
        </w:rPr>
        <w:t>he foliar spray of nano</w:t>
      </w:r>
      <w:r w:rsidR="00F165A8">
        <w:rPr>
          <w:rFonts w:ascii="Arial" w:hAnsi="Arial" w:cs="Arial"/>
          <w:sz w:val="24"/>
          <w:szCs w:val="24"/>
        </w:rPr>
        <w:t xml:space="preserve"> </w:t>
      </w:r>
      <w:r w:rsidRPr="00814751">
        <w:rPr>
          <w:rFonts w:ascii="Arial" w:hAnsi="Arial" w:cs="Arial"/>
          <w:sz w:val="24"/>
          <w:szCs w:val="24"/>
        </w:rPr>
        <w:t>sulphur (0.5%) at 30 DAS and flowering stage (T</w:t>
      </w:r>
      <w:r w:rsidRPr="00814751">
        <w:rPr>
          <w:rFonts w:ascii="Cambria Math" w:hAnsi="Cambria Math" w:cs="Cambria Math"/>
          <w:sz w:val="24"/>
          <w:szCs w:val="24"/>
        </w:rPr>
        <w:t>₅</w:t>
      </w:r>
      <w:r w:rsidRPr="00814751">
        <w:rPr>
          <w:rFonts w:ascii="Arial" w:hAnsi="Arial" w:cs="Arial"/>
          <w:sz w:val="24"/>
          <w:szCs w:val="24"/>
        </w:rPr>
        <w:t>) recorded the highest values for growth</w:t>
      </w:r>
      <w:r w:rsidR="00422F25">
        <w:rPr>
          <w:rFonts w:ascii="Arial" w:hAnsi="Arial" w:cs="Arial"/>
          <w:sz w:val="24"/>
          <w:szCs w:val="24"/>
        </w:rPr>
        <w:t xml:space="preserve"> parameters and yield attributes</w:t>
      </w:r>
      <w:r w:rsidR="000F7E4C">
        <w:rPr>
          <w:rFonts w:ascii="Arial" w:hAnsi="Arial" w:cs="Arial"/>
          <w:sz w:val="24"/>
          <w:szCs w:val="24"/>
        </w:rPr>
        <w:t xml:space="preserve"> </w:t>
      </w:r>
      <w:r w:rsidRPr="00814751">
        <w:rPr>
          <w:rFonts w:ascii="Arial" w:hAnsi="Arial" w:cs="Arial"/>
          <w:sz w:val="24"/>
          <w:szCs w:val="24"/>
        </w:rPr>
        <w:t>followed by foliar application of sulphur fertilizer</w:t>
      </w:r>
      <w:r w:rsidR="00F165A8">
        <w:rPr>
          <w:rFonts w:ascii="Arial" w:hAnsi="Arial" w:cs="Arial"/>
          <w:sz w:val="24"/>
          <w:szCs w:val="24"/>
        </w:rPr>
        <w:t xml:space="preserve"> (0.5%) at 30 DAS and flowering stage</w:t>
      </w:r>
      <w:r w:rsidRPr="00814751">
        <w:rPr>
          <w:rFonts w:ascii="Arial" w:hAnsi="Arial" w:cs="Arial"/>
          <w:sz w:val="24"/>
          <w:szCs w:val="24"/>
        </w:rPr>
        <w:t xml:space="preserve"> at the same stages (T</w:t>
      </w:r>
      <w:r w:rsidRPr="00814751">
        <w:rPr>
          <w:rFonts w:ascii="Cambria Math" w:hAnsi="Cambria Math" w:cs="Cambria Math"/>
          <w:sz w:val="24"/>
          <w:szCs w:val="24"/>
        </w:rPr>
        <w:t>₇</w:t>
      </w:r>
      <w:r w:rsidRPr="00814751">
        <w:rPr>
          <w:rFonts w:ascii="Arial" w:hAnsi="Arial" w:cs="Arial"/>
          <w:sz w:val="24"/>
          <w:szCs w:val="24"/>
        </w:rPr>
        <w:t>).</w:t>
      </w:r>
      <w:r w:rsidR="00B2293E">
        <w:rPr>
          <w:rFonts w:ascii="Arial" w:hAnsi="Arial" w:cs="Arial"/>
          <w:sz w:val="24"/>
          <w:szCs w:val="24"/>
        </w:rPr>
        <w:t xml:space="preserve"> </w:t>
      </w:r>
      <w:r w:rsidRPr="00814751">
        <w:rPr>
          <w:rFonts w:ascii="Arial" w:hAnsi="Arial" w:cs="Arial"/>
          <w:sz w:val="24"/>
          <w:szCs w:val="24"/>
        </w:rPr>
        <w:t>It is concluded that foliar application of nano</w:t>
      </w:r>
      <w:r w:rsidR="001C6A73">
        <w:rPr>
          <w:rFonts w:ascii="Arial" w:hAnsi="Arial" w:cs="Arial"/>
          <w:sz w:val="24"/>
          <w:szCs w:val="24"/>
        </w:rPr>
        <w:t xml:space="preserve"> </w:t>
      </w:r>
      <w:r w:rsidRPr="00814751">
        <w:rPr>
          <w:rFonts w:ascii="Arial" w:hAnsi="Arial" w:cs="Arial"/>
          <w:sz w:val="24"/>
          <w:szCs w:val="24"/>
        </w:rPr>
        <w:t>sulphur at 30 DAS and flowering</w:t>
      </w:r>
      <w:r w:rsidR="004A4FAE" w:rsidRPr="00814751">
        <w:rPr>
          <w:rFonts w:ascii="Arial" w:hAnsi="Arial" w:cs="Arial"/>
          <w:sz w:val="24"/>
          <w:szCs w:val="24"/>
        </w:rPr>
        <w:t xml:space="preserve"> stage</w:t>
      </w:r>
      <w:r w:rsidRPr="00814751">
        <w:rPr>
          <w:rFonts w:ascii="Arial" w:hAnsi="Arial" w:cs="Arial"/>
          <w:sz w:val="24"/>
          <w:szCs w:val="24"/>
        </w:rPr>
        <w:t xml:space="preserve"> can be recommended for enhancing productivity and profitability of linseed under the </w:t>
      </w:r>
      <w:proofErr w:type="spellStart"/>
      <w:r w:rsidRPr="00814751">
        <w:rPr>
          <w:rFonts w:ascii="Arial" w:hAnsi="Arial" w:cs="Arial"/>
          <w:sz w:val="24"/>
          <w:szCs w:val="24"/>
        </w:rPr>
        <w:t>agro</w:t>
      </w:r>
      <w:proofErr w:type="spellEnd"/>
      <w:r w:rsidRPr="00814751">
        <w:rPr>
          <w:rFonts w:ascii="Arial" w:hAnsi="Arial" w:cs="Arial"/>
          <w:sz w:val="24"/>
          <w:szCs w:val="24"/>
        </w:rPr>
        <w:t xml:space="preserve">-climatic conditions of </w:t>
      </w:r>
      <w:proofErr w:type="spellStart"/>
      <w:r w:rsidRPr="00814751">
        <w:rPr>
          <w:rFonts w:ascii="Arial" w:hAnsi="Arial" w:cs="Arial"/>
          <w:sz w:val="24"/>
          <w:szCs w:val="24"/>
        </w:rPr>
        <w:t>Dhampur</w:t>
      </w:r>
      <w:proofErr w:type="spellEnd"/>
      <w:r w:rsidRPr="00814751">
        <w:rPr>
          <w:rFonts w:ascii="Arial" w:hAnsi="Arial" w:cs="Arial"/>
          <w:sz w:val="24"/>
          <w:szCs w:val="24"/>
        </w:rPr>
        <w:t>.</w:t>
      </w:r>
    </w:p>
    <w:p w14:paraId="0B6992C4" w14:textId="595D094A" w:rsidR="00FB4899" w:rsidRPr="00814751" w:rsidRDefault="00FB4899" w:rsidP="000D4F37">
      <w:pPr>
        <w:spacing w:after="120"/>
        <w:jc w:val="both"/>
        <w:rPr>
          <w:rFonts w:ascii="Arial" w:hAnsi="Arial" w:cs="Arial"/>
          <w:sz w:val="24"/>
          <w:szCs w:val="24"/>
        </w:rPr>
      </w:pPr>
      <w:r w:rsidRPr="00814751">
        <w:rPr>
          <w:rFonts w:ascii="Arial" w:hAnsi="Arial" w:cs="Arial"/>
          <w:b/>
          <w:bCs/>
          <w:sz w:val="24"/>
          <w:szCs w:val="24"/>
        </w:rPr>
        <w:t>Keywords:</w:t>
      </w:r>
      <w:r w:rsidRPr="00814751">
        <w:rPr>
          <w:rFonts w:ascii="Arial" w:hAnsi="Arial" w:cs="Arial"/>
          <w:sz w:val="24"/>
          <w:szCs w:val="24"/>
        </w:rPr>
        <w:t xml:space="preserve"> Level of sulphur, sources of sulphur, growth and yield </w:t>
      </w:r>
      <w:r w:rsidR="00C354BC" w:rsidRPr="00814751">
        <w:rPr>
          <w:rFonts w:ascii="Arial" w:hAnsi="Arial" w:cs="Arial"/>
          <w:sz w:val="24"/>
          <w:szCs w:val="24"/>
        </w:rPr>
        <w:t xml:space="preserve">attributes </w:t>
      </w:r>
      <w:r w:rsidRPr="00814751">
        <w:rPr>
          <w:rFonts w:ascii="Arial" w:hAnsi="Arial" w:cs="Arial"/>
          <w:sz w:val="24"/>
          <w:szCs w:val="24"/>
        </w:rPr>
        <w:t>of linseed</w:t>
      </w:r>
    </w:p>
    <w:p w14:paraId="7BC78F31" w14:textId="7888E9AF" w:rsidR="009B7762" w:rsidRPr="00814751" w:rsidRDefault="009B7762" w:rsidP="000D4F37">
      <w:pPr>
        <w:pStyle w:val="NoSpacing"/>
        <w:numPr>
          <w:ilvl w:val="0"/>
          <w:numId w:val="4"/>
        </w:numPr>
        <w:spacing w:after="120" w:line="360" w:lineRule="auto"/>
        <w:jc w:val="both"/>
        <w:rPr>
          <w:rFonts w:ascii="Arial" w:hAnsi="Arial" w:cs="Arial"/>
          <w:sz w:val="24"/>
          <w:szCs w:val="24"/>
        </w:rPr>
      </w:pPr>
      <w:r w:rsidRPr="00814751">
        <w:rPr>
          <w:rFonts w:ascii="Arial" w:hAnsi="Arial" w:cs="Arial"/>
          <w:b/>
          <w:bCs/>
          <w:sz w:val="24"/>
          <w:szCs w:val="24"/>
        </w:rPr>
        <w:t>Introduction:</w:t>
      </w:r>
      <w:r w:rsidRPr="00814751">
        <w:rPr>
          <w:rFonts w:ascii="Arial" w:hAnsi="Arial" w:cs="Arial"/>
          <w:sz w:val="24"/>
          <w:szCs w:val="24"/>
        </w:rPr>
        <w:t xml:space="preserve"> </w:t>
      </w:r>
    </w:p>
    <w:p w14:paraId="2D96901B" w14:textId="55B852DC" w:rsidR="009B7762" w:rsidRPr="00814751" w:rsidRDefault="009B7762" w:rsidP="000D4F37">
      <w:pPr>
        <w:pStyle w:val="NoSpacing"/>
        <w:spacing w:after="120" w:line="360" w:lineRule="auto"/>
        <w:jc w:val="both"/>
        <w:rPr>
          <w:rFonts w:ascii="Arial" w:hAnsi="Arial" w:cs="Arial"/>
          <w:sz w:val="24"/>
          <w:szCs w:val="24"/>
        </w:rPr>
      </w:pPr>
      <w:r w:rsidRPr="00814751">
        <w:rPr>
          <w:rFonts w:ascii="Arial" w:hAnsi="Arial" w:cs="Arial"/>
          <w:sz w:val="24"/>
          <w:szCs w:val="24"/>
        </w:rPr>
        <w:t xml:space="preserve">           Linseed (</w:t>
      </w:r>
      <w:proofErr w:type="spellStart"/>
      <w:r w:rsidRPr="00814751">
        <w:rPr>
          <w:rFonts w:ascii="Arial" w:hAnsi="Arial" w:cs="Arial"/>
          <w:i/>
          <w:iCs/>
          <w:sz w:val="24"/>
          <w:szCs w:val="24"/>
        </w:rPr>
        <w:t>Linum</w:t>
      </w:r>
      <w:proofErr w:type="spellEnd"/>
      <w:r w:rsidRPr="00814751">
        <w:rPr>
          <w:rFonts w:ascii="Arial" w:hAnsi="Arial" w:cs="Arial"/>
          <w:i/>
          <w:iCs/>
          <w:sz w:val="24"/>
          <w:szCs w:val="24"/>
        </w:rPr>
        <w:t xml:space="preserve"> </w:t>
      </w:r>
      <w:proofErr w:type="spellStart"/>
      <w:r w:rsidRPr="00814751">
        <w:rPr>
          <w:rFonts w:ascii="Arial" w:hAnsi="Arial" w:cs="Arial"/>
          <w:i/>
          <w:iCs/>
          <w:sz w:val="24"/>
          <w:szCs w:val="24"/>
        </w:rPr>
        <w:t>usitatissimum</w:t>
      </w:r>
      <w:proofErr w:type="spellEnd"/>
      <w:r w:rsidRPr="00814751">
        <w:rPr>
          <w:rFonts w:ascii="Arial" w:hAnsi="Arial" w:cs="Arial"/>
          <w:i/>
          <w:iCs/>
          <w:sz w:val="24"/>
          <w:szCs w:val="24"/>
        </w:rPr>
        <w:t xml:space="preserve"> </w:t>
      </w:r>
      <w:r w:rsidRPr="00814751">
        <w:rPr>
          <w:rFonts w:ascii="Arial" w:hAnsi="Arial" w:cs="Arial"/>
          <w:sz w:val="24"/>
          <w:szCs w:val="24"/>
        </w:rPr>
        <w:t xml:space="preserve">L.) 2n = 30, is an important oilseed crop that belongs to the genus linum of the family </w:t>
      </w:r>
      <w:proofErr w:type="spellStart"/>
      <w:r w:rsidRPr="00814751">
        <w:rPr>
          <w:rFonts w:ascii="Arial" w:hAnsi="Arial" w:cs="Arial"/>
          <w:sz w:val="24"/>
          <w:szCs w:val="24"/>
        </w:rPr>
        <w:t>Linaceae</w:t>
      </w:r>
      <w:proofErr w:type="spellEnd"/>
      <w:r w:rsidRPr="00814751">
        <w:rPr>
          <w:rFonts w:ascii="Arial" w:hAnsi="Arial" w:cs="Arial"/>
          <w:sz w:val="24"/>
          <w:szCs w:val="24"/>
        </w:rPr>
        <w:t xml:space="preserve">. It is also called flax or flaxseed. The name </w:t>
      </w:r>
      <w:proofErr w:type="spellStart"/>
      <w:r w:rsidRPr="00814751">
        <w:rPr>
          <w:rFonts w:ascii="Arial" w:hAnsi="Arial" w:cs="Arial"/>
          <w:sz w:val="24"/>
          <w:szCs w:val="24"/>
        </w:rPr>
        <w:t>Linum</w:t>
      </w:r>
      <w:proofErr w:type="spellEnd"/>
      <w:r w:rsidRPr="00814751">
        <w:rPr>
          <w:rFonts w:ascii="Arial" w:hAnsi="Arial" w:cs="Arial"/>
          <w:sz w:val="24"/>
          <w:szCs w:val="24"/>
        </w:rPr>
        <w:t xml:space="preserve"> originated from </w:t>
      </w:r>
      <w:proofErr w:type="spellStart"/>
      <w:r w:rsidRPr="00814751">
        <w:rPr>
          <w:rFonts w:ascii="Arial" w:hAnsi="Arial" w:cs="Arial"/>
          <w:sz w:val="24"/>
          <w:szCs w:val="24"/>
        </w:rPr>
        <w:t>lin</w:t>
      </w:r>
      <w:proofErr w:type="spellEnd"/>
      <w:r w:rsidRPr="00814751">
        <w:rPr>
          <w:rFonts w:ascii="Arial" w:hAnsi="Arial" w:cs="Arial"/>
          <w:sz w:val="24"/>
          <w:szCs w:val="24"/>
        </w:rPr>
        <w:t xml:space="preserve"> or thread and the species name </w:t>
      </w:r>
      <w:proofErr w:type="spellStart"/>
      <w:r w:rsidRPr="00814751">
        <w:rPr>
          <w:rFonts w:ascii="Arial" w:hAnsi="Arial" w:cs="Arial"/>
          <w:sz w:val="24"/>
          <w:szCs w:val="24"/>
        </w:rPr>
        <w:t>usitatissimum</w:t>
      </w:r>
      <w:proofErr w:type="spellEnd"/>
      <w:r w:rsidRPr="00814751">
        <w:rPr>
          <w:rFonts w:ascii="Arial" w:hAnsi="Arial" w:cs="Arial"/>
          <w:sz w:val="24"/>
          <w:szCs w:val="24"/>
        </w:rPr>
        <w:t xml:space="preserve"> is a </w:t>
      </w:r>
      <w:proofErr w:type="spellStart"/>
      <w:r w:rsidRPr="00814751">
        <w:rPr>
          <w:rFonts w:ascii="Arial" w:hAnsi="Arial" w:cs="Arial"/>
          <w:sz w:val="24"/>
          <w:szCs w:val="24"/>
        </w:rPr>
        <w:t>latin</w:t>
      </w:r>
      <w:proofErr w:type="spellEnd"/>
      <w:r w:rsidRPr="00814751">
        <w:rPr>
          <w:rFonts w:ascii="Arial" w:hAnsi="Arial" w:cs="Arial"/>
          <w:sz w:val="24"/>
          <w:szCs w:val="24"/>
        </w:rPr>
        <w:t xml:space="preserve"> word meaning “most useful”. On the basis of diversity of plant types, linseed has two centers of origin i.e., South West Asia, particularly in India </w:t>
      </w:r>
      <w:r w:rsidR="000A36E4">
        <w:rPr>
          <w:rFonts w:ascii="Arial" w:hAnsi="Arial" w:cs="Arial"/>
          <w:sz w:val="24"/>
          <w:szCs w:val="24"/>
        </w:rPr>
        <w:t>(</w:t>
      </w:r>
      <w:r w:rsidR="002F3B0E"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{"citationItems":[{"id":"ITEM-1","itemData":{"author":[{"dropping-particle":"","family":"Richharia","given":"R H","non-dropping-particle":"","parse-names":false,"suffix":""}],"container-title":"Studies on the origin of cultivated plants. Bot. Pl. Breed.","id":"ITEM-1","issued":{"date-parts":[["1962"]]},"page":"139-145","title":"The Indian central oil seeds committee, Hyderabad,","type":"article-journal","volume":"16"},"uris":["http://www.mendeley.com/documents/?uuid=21481891-4d7d-4eac-9ba5-dcb1bdf41137"]}],"mendeley":{"formattedCitation":"(Richharia, 1962)","manualFormatting":"Richharia et al., 1962)","plainTextFormattedCitation":"(Richharia, 1962)","previouslyFormattedCitation":"(Richharia, 1962)"},"properties":{"noteIndex":0},"schema":"https://github.com/citation-style-language/schema/raw/master/csl-citation.json"}</w:instrText>
      </w:r>
      <w:r w:rsidR="002F3B0E" w:rsidRPr="00814751">
        <w:rPr>
          <w:rFonts w:ascii="Arial" w:hAnsi="Arial" w:cs="Arial"/>
          <w:sz w:val="24"/>
          <w:szCs w:val="24"/>
        </w:rPr>
        <w:fldChar w:fldCharType="separate"/>
      </w:r>
      <w:r w:rsidR="002F3B0E" w:rsidRPr="00814751">
        <w:rPr>
          <w:rFonts w:ascii="Arial" w:hAnsi="Arial" w:cs="Arial"/>
          <w:noProof/>
          <w:sz w:val="24"/>
          <w:szCs w:val="24"/>
        </w:rPr>
        <w:t>Richharia et al., 1962)</w:t>
      </w:r>
      <w:r w:rsidR="002F3B0E" w:rsidRPr="00814751">
        <w:rPr>
          <w:rFonts w:ascii="Arial" w:hAnsi="Arial" w:cs="Arial"/>
          <w:sz w:val="24"/>
          <w:szCs w:val="24"/>
        </w:rPr>
        <w:fldChar w:fldCharType="end"/>
      </w:r>
      <w:r w:rsidRPr="00814751">
        <w:rPr>
          <w:rFonts w:ascii="Arial" w:hAnsi="Arial" w:cs="Arial"/>
          <w:sz w:val="24"/>
          <w:szCs w:val="24"/>
        </w:rPr>
        <w:t xml:space="preserve">. Flax seeds are added to chutneys and breads like chapattis and parathas. Flax seeds are also substituted for eggs since; they form a gummy solution when mixed with water. However, modern diet is deficient in crucial omega-3 fatty acid, leading to increase in severity and incidences of several chronic metabolic disorders </w:t>
      </w:r>
      <w:r w:rsidR="000A36E4">
        <w:rPr>
          <w:rFonts w:ascii="Arial" w:hAnsi="Arial" w:cs="Arial"/>
          <w:sz w:val="24"/>
          <w:szCs w:val="24"/>
        </w:rPr>
        <w:t>(</w:t>
      </w:r>
      <w:r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10.1007/s13197-013-1247-9","ISSN":"0022-1155","author":[{"dropping-particle":"","family":"Goyal","given":"Ankit","non-dropping-particle":"","parse-names":false,"suffix":""},{"dropping-particle":"","family":"Sharma","given":"Vivek","non-dropping-particle":"","parse-names":false,"suffix":""},{"dropping-particle":"","family":"Upadhyay","given":"Neelam","non-dropping-particle":"","parse-names":false,"suffix":""},{"dropping-particle":"","family":"Gill","given":"Sandeep","non-dropping-particle":"","parse-names":false,"suffix":""},{"dropping-particle":"","family":"Sihag","given":"Manvesh","non-dropping-particle":"","parse-names":false,"suffix":""}],"container-title":"Journal of Food Science and Technology","id":"ITEM-1","issue":"9","issued":{"date-parts":[["2014","9","10"]]},"page":"1633-1653","title":"Flax and flaxseed oil: an ancient medicine &amp; modern functional food","type":"article-journal","volume":"51"},"uris":["http://www.mendeley.com/documents/?uuid=10abb72c-f5e3-4b4a-b234-267b0fc9db7f"]}],"mendeley":{"formattedCitation":"(Goyal et al., 2014)","manualFormatting":"Goyal et al., 2014)","plainTextFormattedCitation":"(Goyal et al., 2014)","previouslyFormattedCitation":"(Goyal et al., 2014)"},"properties":{"noteIndex":0},"schema":"https://github.com/citation-style-language/schema/raw/master/csl-citation.json"}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Goyal et al., 2014)</w:t>
      </w:r>
      <w:r w:rsidRPr="00814751">
        <w:rPr>
          <w:rFonts w:ascii="Arial" w:hAnsi="Arial" w:cs="Arial"/>
          <w:sz w:val="24"/>
          <w:szCs w:val="24"/>
        </w:rPr>
        <w:fldChar w:fldCharType="end"/>
      </w:r>
      <w:r w:rsidRPr="00814751">
        <w:rPr>
          <w:rFonts w:ascii="Arial" w:hAnsi="Arial" w:cs="Arial"/>
          <w:sz w:val="24"/>
          <w:szCs w:val="24"/>
        </w:rPr>
        <w:t>. The important fatty acid viz. alpha-linolenic acid (ALA) a polyunsaturated fatty acid, often known as omega-3 fatty acid, which is abundant in linseed, have an important function in lowering the  risk  of  heart  disease,  diabetes,  cancer,  rheumatoid  arthritis,  blood cholesterol  levels  and  providing  immune  and  cardiovascular advantages</w:t>
      </w:r>
      <w:r w:rsidR="000A36E4">
        <w:rPr>
          <w:rFonts w:ascii="Arial" w:hAnsi="Arial" w:cs="Arial"/>
          <w:sz w:val="24"/>
          <w:szCs w:val="24"/>
        </w:rPr>
        <w:t xml:space="preserve"> (</w:t>
      </w:r>
      <w:r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10.15414/2016.9788055214849","ISBN":"9788055214849","author":[{"dropping-particle":"","family":"Nôžková","given":"Janka","non-dropping-particle":"","parse-names":false,"suffix":""}],"editor":[{"dropping-particle":"","family":"Nôžková","given":"Janka","non-dropping-particle":"","parse-names":false,"suffix":""}],"id":"ITEM-1","issued":{"date-parts":[["2016","9","12"]]},"publisher":"Slovak University of Agriculture in Nitra, Slovakia","title":"Descriptor list for flax (Linum usitatissimum L.)","type":"article-magazine"},"uris":["http://www.mendeley.com/documents/?uuid=f06b17d8-5079-45e5-9387-5dfd3647ac93"]}],"mendeley":{"formattedCitation":"(Nôžková, 2016)","manualFormatting":"Nôžková et al., 2016)","plainTextFormattedCitation":"(Nôžková, 2016)","previouslyFormattedCitation":"(Nôžková, 2016)"},"properties":{"noteIndex":0},"schema":"https://github.com/citation-style-language/schema/raw/master/csl-citation.json"}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Nôžková et al.,</w:t>
      </w:r>
      <w:r w:rsidR="00D23C79">
        <w:rPr>
          <w:rFonts w:ascii="Arial" w:hAnsi="Arial" w:cs="Arial"/>
          <w:noProof/>
          <w:sz w:val="24"/>
          <w:szCs w:val="24"/>
        </w:rPr>
        <w:t xml:space="preserve"> </w:t>
      </w:r>
      <w:r w:rsidRPr="00814751">
        <w:rPr>
          <w:rFonts w:ascii="Arial" w:hAnsi="Arial" w:cs="Arial"/>
          <w:noProof/>
          <w:sz w:val="24"/>
          <w:szCs w:val="24"/>
        </w:rPr>
        <w:t>2016)</w:t>
      </w:r>
      <w:r w:rsidRPr="00814751">
        <w:rPr>
          <w:rFonts w:ascii="Arial" w:hAnsi="Arial" w:cs="Arial"/>
          <w:sz w:val="24"/>
          <w:szCs w:val="24"/>
        </w:rPr>
        <w:fldChar w:fldCharType="end"/>
      </w:r>
      <w:r w:rsidRPr="00814751">
        <w:rPr>
          <w:rFonts w:ascii="Arial" w:hAnsi="Arial" w:cs="Arial"/>
          <w:sz w:val="24"/>
          <w:szCs w:val="24"/>
        </w:rPr>
        <w:t>.</w:t>
      </w:r>
      <w:r w:rsidR="00E413E3">
        <w:rPr>
          <w:rFonts w:ascii="Arial" w:hAnsi="Arial" w:cs="Arial"/>
          <w:sz w:val="24"/>
          <w:szCs w:val="24"/>
        </w:rPr>
        <w:t xml:space="preserve"> </w:t>
      </w:r>
      <w:r w:rsidRPr="00814751">
        <w:rPr>
          <w:rFonts w:ascii="Arial" w:hAnsi="Arial" w:cs="Arial"/>
          <w:sz w:val="24"/>
          <w:szCs w:val="24"/>
        </w:rPr>
        <w:t>Nutritionally,</w:t>
      </w:r>
      <w:r w:rsidR="00E413E3">
        <w:rPr>
          <w:rFonts w:ascii="Arial" w:hAnsi="Arial" w:cs="Arial"/>
          <w:sz w:val="24"/>
          <w:szCs w:val="24"/>
        </w:rPr>
        <w:t xml:space="preserve"> </w:t>
      </w:r>
      <w:r w:rsidRPr="00814751">
        <w:rPr>
          <w:rFonts w:ascii="Arial" w:hAnsi="Arial" w:cs="Arial"/>
          <w:sz w:val="24"/>
          <w:szCs w:val="24"/>
        </w:rPr>
        <w:t xml:space="preserve">linseed is considered a functional food due to its high content of alpha-linolenic acid (ALA), an omega-3 </w:t>
      </w:r>
      <w:r w:rsidRPr="00814751">
        <w:rPr>
          <w:rFonts w:ascii="Arial" w:hAnsi="Arial" w:cs="Arial"/>
          <w:sz w:val="24"/>
          <w:szCs w:val="24"/>
        </w:rPr>
        <w:lastRenderedPageBreak/>
        <w:t xml:space="preserve">fatty acid, as well as dietary fiber, lignans, and high-quality </w:t>
      </w:r>
      <w:proofErr w:type="spellStart"/>
      <w:r w:rsidRPr="00814751">
        <w:rPr>
          <w:rFonts w:ascii="Arial" w:hAnsi="Arial" w:cs="Arial"/>
          <w:sz w:val="24"/>
          <w:szCs w:val="24"/>
        </w:rPr>
        <w:t>proteins.These</w:t>
      </w:r>
      <w:proofErr w:type="spellEnd"/>
      <w:r w:rsidRPr="00814751">
        <w:rPr>
          <w:rFonts w:ascii="Arial" w:hAnsi="Arial" w:cs="Arial"/>
          <w:sz w:val="24"/>
          <w:szCs w:val="24"/>
        </w:rPr>
        <w:t xml:space="preserve"> components are associated with various health benefits including cardiovascular protection, anti-inflammatory properties, and support for digestive health </w:t>
      </w:r>
      <w:r w:rsidR="009C09A2"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{"citationItems":[{"id":"ITEM-1","itemData":{"DOI":"10.1080/10408390903537241","ISSN":"1040-8398","author":[{"dropping-particle":"","family":"Singh","given":"K K","non-dropping-particle":"","parse-names":false,"suffix":""},{"dropping-particle":"","family":"Mridula","given":"D","non-dropping-particle":"","parse-names":false,"suffix":""},{"dropping-particle":"","family":"Rehal","given":"Jagbir","non-dropping-particle":"","parse-names":false,"suffix":""},{"dropping-particle":"","family":"Barnwal","given":"P","non-dropping-particle":"","parse-names":false,"suffix":""}],"container-title":"Critical Reviews in Food Science and Nutrition","id":"ITEM-1","issue":"3","issued":{"date-parts":[["2011","2","28"]]},"page":"210-222","title":"Flaxseed: a potential source of food, feed and fiber","type":"article-journal","volume":"51"},"uris":["http://www.mendeley.com/documents/?uuid=e8a010b6-f663-48cc-a8e0-c48d8699bfc1"]}],"mendeley":{"formattedCitation":"(K. K. Singh et al., 2011)","manualFormatting":" (Singh et al., 2011)","plainTextFormattedCitation":"(K. K. Singh et al., 2011)","previouslyFormattedCitation":"(K. K. Singh et al., 2011)"},"properties":{"noteIndex":0},"schema":"https://github.com/citation-style-language/schema/raw/master/csl-citation.json"}</w:instrText>
      </w:r>
      <w:r w:rsidR="009C09A2" w:rsidRPr="00814751">
        <w:rPr>
          <w:rFonts w:ascii="Arial" w:hAnsi="Arial" w:cs="Arial"/>
          <w:sz w:val="24"/>
          <w:szCs w:val="24"/>
        </w:rPr>
        <w:fldChar w:fldCharType="separate"/>
      </w:r>
      <w:r w:rsidR="009C09A2" w:rsidRPr="00814751">
        <w:rPr>
          <w:rFonts w:ascii="Arial" w:hAnsi="Arial" w:cs="Arial"/>
          <w:noProof/>
          <w:sz w:val="24"/>
          <w:szCs w:val="24"/>
        </w:rPr>
        <w:t xml:space="preserve"> </w:t>
      </w:r>
      <w:r w:rsidR="000A36E4">
        <w:rPr>
          <w:rFonts w:ascii="Arial" w:hAnsi="Arial" w:cs="Arial"/>
          <w:noProof/>
          <w:sz w:val="24"/>
          <w:szCs w:val="24"/>
        </w:rPr>
        <w:t>(</w:t>
      </w:r>
      <w:r w:rsidR="009C09A2" w:rsidRPr="00814751">
        <w:rPr>
          <w:rFonts w:ascii="Arial" w:hAnsi="Arial" w:cs="Arial"/>
          <w:noProof/>
          <w:sz w:val="24"/>
          <w:szCs w:val="24"/>
        </w:rPr>
        <w:t>Singh et al., 2011)</w:t>
      </w:r>
      <w:r w:rsidR="009C09A2" w:rsidRPr="00814751">
        <w:rPr>
          <w:rFonts w:ascii="Arial" w:hAnsi="Arial" w:cs="Arial"/>
          <w:sz w:val="24"/>
          <w:szCs w:val="24"/>
        </w:rPr>
        <w:fldChar w:fldCharType="end"/>
      </w:r>
      <w:r w:rsidRPr="00814751">
        <w:rPr>
          <w:rFonts w:ascii="Arial" w:hAnsi="Arial" w:cs="Arial"/>
          <w:sz w:val="24"/>
          <w:szCs w:val="24"/>
        </w:rPr>
        <w:t>.</w:t>
      </w:r>
    </w:p>
    <w:p w14:paraId="051AD1BF" w14:textId="2A2D2589" w:rsidR="009B7762" w:rsidRPr="00814751" w:rsidRDefault="009B7762" w:rsidP="000D4F37">
      <w:pPr>
        <w:pStyle w:val="NoSpacing"/>
        <w:spacing w:after="120" w:line="360" w:lineRule="auto"/>
        <w:jc w:val="both"/>
        <w:rPr>
          <w:rFonts w:ascii="Arial" w:hAnsi="Arial" w:cs="Arial"/>
          <w:sz w:val="24"/>
          <w:szCs w:val="24"/>
        </w:rPr>
      </w:pPr>
      <w:r w:rsidRPr="00814751">
        <w:rPr>
          <w:rFonts w:ascii="Arial" w:hAnsi="Arial" w:cs="Arial"/>
          <w:sz w:val="24"/>
          <w:szCs w:val="24"/>
        </w:rPr>
        <w:t>Flax seeds has 7% water, 18% </w:t>
      </w:r>
      <w:hyperlink r:id="rId8" w:tooltip="Protein (nutrient)" w:history="1">
        <w:r w:rsidRPr="00814751">
          <w:rPr>
            <w:rStyle w:val="Hyperlink"/>
            <w:rFonts w:ascii="Arial" w:hAnsi="Arial" w:cs="Arial"/>
            <w:color w:val="0D0D0D" w:themeColor="text1" w:themeTint="F2"/>
            <w:sz w:val="24"/>
            <w:szCs w:val="24"/>
            <w:u w:val="none"/>
          </w:rPr>
          <w:t>protein</w:t>
        </w:r>
      </w:hyperlink>
      <w:r w:rsidRPr="00814751">
        <w:rPr>
          <w:rFonts w:ascii="Arial" w:hAnsi="Arial" w:cs="Arial"/>
          <w:color w:val="0D0D0D" w:themeColor="text1" w:themeTint="F2"/>
          <w:sz w:val="24"/>
          <w:szCs w:val="24"/>
        </w:rPr>
        <w:t>, 29% </w:t>
      </w:r>
      <w:hyperlink r:id="rId9" w:tooltip="Carbohydrate" w:history="1">
        <w:r w:rsidRPr="00814751">
          <w:rPr>
            <w:rStyle w:val="Hyperlink"/>
            <w:rFonts w:ascii="Arial" w:hAnsi="Arial" w:cs="Arial"/>
            <w:color w:val="0D0D0D" w:themeColor="text1" w:themeTint="F2"/>
            <w:sz w:val="24"/>
            <w:szCs w:val="24"/>
            <w:u w:val="none"/>
          </w:rPr>
          <w:t>carbohydrates</w:t>
        </w:r>
      </w:hyperlink>
      <w:r w:rsidRPr="00814751">
        <w:rPr>
          <w:rFonts w:ascii="Arial" w:hAnsi="Arial" w:cs="Arial"/>
          <w:color w:val="0D0D0D" w:themeColor="text1" w:themeTint="F2"/>
          <w:sz w:val="24"/>
          <w:szCs w:val="24"/>
        </w:rPr>
        <w:t>, and 42% </w:t>
      </w:r>
      <w:hyperlink r:id="rId10" w:tooltip="Fat" w:history="1">
        <w:r w:rsidRPr="00814751">
          <w:rPr>
            <w:rStyle w:val="Hyperlink"/>
            <w:rFonts w:ascii="Arial" w:hAnsi="Arial" w:cs="Arial"/>
            <w:color w:val="0D0D0D" w:themeColor="text1" w:themeTint="F2"/>
            <w:sz w:val="24"/>
            <w:szCs w:val="24"/>
            <w:u w:val="none"/>
          </w:rPr>
          <w:t>fat</w:t>
        </w:r>
      </w:hyperlink>
      <w:r w:rsidRPr="00814751">
        <w:rPr>
          <w:rFonts w:ascii="Arial" w:hAnsi="Arial" w:cs="Arial"/>
          <w:color w:val="0D0D0D" w:themeColor="text1" w:themeTint="F2"/>
          <w:sz w:val="24"/>
          <w:szCs w:val="24"/>
        </w:rPr>
        <w:t>  in 100 grams as a reference amount. Flax seeds provide 534 </w:t>
      </w:r>
      <w:hyperlink r:id="rId11" w:tooltip="Kilocalorie" w:history="1">
        <w:r w:rsidRPr="00814751">
          <w:rPr>
            <w:rStyle w:val="Hyperlink"/>
            <w:rFonts w:ascii="Arial" w:hAnsi="Arial" w:cs="Arial"/>
            <w:color w:val="0D0D0D" w:themeColor="text1" w:themeTint="F2"/>
            <w:sz w:val="24"/>
            <w:szCs w:val="24"/>
            <w:u w:val="none"/>
          </w:rPr>
          <w:t>kilocalories</w:t>
        </w:r>
      </w:hyperlink>
      <w:r w:rsidRPr="00814751">
        <w:rPr>
          <w:rFonts w:ascii="Arial" w:hAnsi="Arial" w:cs="Arial"/>
          <w:color w:val="0D0D0D" w:themeColor="text1" w:themeTint="F2"/>
          <w:sz w:val="24"/>
          <w:szCs w:val="24"/>
        </w:rPr>
        <w:t> and contain high levels (20% or more of the </w:t>
      </w:r>
      <w:hyperlink r:id="rId12" w:tooltip="Daily Value" w:history="1">
        <w:r w:rsidRPr="00814751">
          <w:rPr>
            <w:rStyle w:val="Hyperlink"/>
            <w:rFonts w:ascii="Arial" w:hAnsi="Arial" w:cs="Arial"/>
            <w:color w:val="0D0D0D" w:themeColor="text1" w:themeTint="F2"/>
            <w:sz w:val="24"/>
            <w:szCs w:val="24"/>
            <w:u w:val="none"/>
          </w:rPr>
          <w:t>daily value</w:t>
        </w:r>
      </w:hyperlink>
      <w:r w:rsidRPr="00814751">
        <w:rPr>
          <w:rFonts w:ascii="Arial" w:hAnsi="Arial" w:cs="Arial"/>
          <w:color w:val="0D0D0D" w:themeColor="text1" w:themeTint="F2"/>
          <w:sz w:val="24"/>
          <w:szCs w:val="24"/>
        </w:rPr>
        <w:t>, (DV) of protein, </w:t>
      </w:r>
      <w:hyperlink r:id="rId13" w:tooltip="Dietary fiber" w:history="1">
        <w:r w:rsidRPr="00814751">
          <w:rPr>
            <w:rStyle w:val="Hyperlink"/>
            <w:rFonts w:ascii="Arial" w:hAnsi="Arial" w:cs="Arial"/>
            <w:color w:val="0D0D0D" w:themeColor="text1" w:themeTint="F2"/>
            <w:sz w:val="24"/>
            <w:szCs w:val="24"/>
            <w:u w:val="none"/>
          </w:rPr>
          <w:t>dietary fiber</w:t>
        </w:r>
      </w:hyperlink>
      <w:r w:rsidRPr="00814751">
        <w:rPr>
          <w:rFonts w:ascii="Arial" w:hAnsi="Arial" w:cs="Arial"/>
          <w:color w:val="0D0D0D" w:themeColor="text1" w:themeTint="F2"/>
          <w:sz w:val="24"/>
          <w:szCs w:val="24"/>
        </w:rPr>
        <w:t xml:space="preserve">, vitamins-B and </w:t>
      </w:r>
      <w:hyperlink r:id="rId14" w:tooltip="Dietary minerals" w:history="1">
        <w:r w:rsidRPr="00814751">
          <w:rPr>
            <w:rStyle w:val="Hyperlink"/>
            <w:rFonts w:ascii="Arial" w:hAnsi="Arial" w:cs="Arial"/>
            <w:color w:val="0D0D0D" w:themeColor="text1" w:themeTint="F2"/>
            <w:sz w:val="24"/>
            <w:szCs w:val="24"/>
            <w:u w:val="none"/>
          </w:rPr>
          <w:t>dietary minerals</w:t>
        </w:r>
      </w:hyperlink>
      <w:r w:rsidRPr="00814751">
        <w:rPr>
          <w:rFonts w:ascii="Arial" w:hAnsi="Arial" w:cs="Arial"/>
          <w:color w:val="0D0D0D" w:themeColor="text1" w:themeTint="F2"/>
          <w:sz w:val="24"/>
          <w:szCs w:val="24"/>
        </w:rPr>
        <w:t>. It is especially rich in </w:t>
      </w:r>
      <w:hyperlink r:id="rId15" w:tooltip="Thiamine" w:history="1">
        <w:r w:rsidRPr="00814751">
          <w:rPr>
            <w:rStyle w:val="Hyperlink"/>
            <w:rFonts w:ascii="Arial" w:hAnsi="Arial" w:cs="Arial"/>
            <w:color w:val="0D0D0D" w:themeColor="text1" w:themeTint="F2"/>
            <w:sz w:val="24"/>
            <w:szCs w:val="24"/>
            <w:u w:val="none"/>
          </w:rPr>
          <w:t>thiamine</w:t>
        </w:r>
      </w:hyperlink>
      <w:r w:rsidRPr="00814751">
        <w:rPr>
          <w:rFonts w:ascii="Arial" w:hAnsi="Arial" w:cs="Arial"/>
          <w:color w:val="0D0D0D" w:themeColor="text1" w:themeTint="F2"/>
          <w:sz w:val="24"/>
          <w:szCs w:val="24"/>
        </w:rPr>
        <w:t>, </w:t>
      </w:r>
      <w:hyperlink r:id="rId16" w:tooltip="Magnesium" w:history="1">
        <w:r w:rsidRPr="00814751">
          <w:rPr>
            <w:rStyle w:val="Hyperlink"/>
            <w:rFonts w:ascii="Arial" w:hAnsi="Arial" w:cs="Arial"/>
            <w:color w:val="0D0D0D" w:themeColor="text1" w:themeTint="F2"/>
            <w:sz w:val="24"/>
            <w:szCs w:val="24"/>
            <w:u w:val="none"/>
          </w:rPr>
          <w:t>magnesium</w:t>
        </w:r>
      </w:hyperlink>
      <w:r w:rsidRPr="00814751">
        <w:rPr>
          <w:rFonts w:ascii="Arial" w:hAnsi="Arial" w:cs="Arial"/>
          <w:color w:val="0D0D0D" w:themeColor="text1" w:themeTint="F2"/>
          <w:sz w:val="24"/>
          <w:szCs w:val="24"/>
        </w:rPr>
        <w:t>, and </w:t>
      </w:r>
      <w:hyperlink r:id="rId17" w:tooltip="Phosphorus" w:history="1">
        <w:r w:rsidRPr="00814751">
          <w:rPr>
            <w:rStyle w:val="Hyperlink"/>
            <w:rFonts w:ascii="Arial" w:hAnsi="Arial" w:cs="Arial"/>
            <w:color w:val="0D0D0D" w:themeColor="text1" w:themeTint="F2"/>
            <w:sz w:val="24"/>
            <w:szCs w:val="24"/>
            <w:u w:val="none"/>
          </w:rPr>
          <w:t>phosphorus</w:t>
        </w:r>
      </w:hyperlink>
      <w:r w:rsidRPr="00814751">
        <w:rPr>
          <w:rFonts w:ascii="Arial" w:hAnsi="Arial" w:cs="Arial"/>
          <w:color w:val="0D0D0D" w:themeColor="text1" w:themeTint="F2"/>
          <w:sz w:val="24"/>
          <w:szCs w:val="24"/>
        </w:rPr>
        <w:t xml:space="preserve"> (DVs above 90%). </w:t>
      </w:r>
      <w:r w:rsidR="000D4F37">
        <w:rPr>
          <w:rFonts w:ascii="Arial" w:hAnsi="Arial" w:cs="Arial"/>
          <w:color w:val="0D0D0D" w:themeColor="text1" w:themeTint="F2"/>
          <w:sz w:val="24"/>
          <w:szCs w:val="24"/>
        </w:rPr>
        <w:t xml:space="preserve"> </w:t>
      </w:r>
      <w:r w:rsidRPr="00814751">
        <w:rPr>
          <w:rFonts w:ascii="Arial" w:hAnsi="Arial" w:cs="Arial"/>
          <w:color w:val="0D0D0D" w:themeColor="text1" w:themeTint="F2"/>
          <w:sz w:val="24"/>
          <w:szCs w:val="24"/>
        </w:rPr>
        <w:t>As a percentage of total </w:t>
      </w:r>
      <w:hyperlink r:id="rId18" w:tooltip="Fat" w:history="1">
        <w:r w:rsidRPr="00814751">
          <w:rPr>
            <w:rStyle w:val="Hyperlink"/>
            <w:rFonts w:ascii="Arial" w:hAnsi="Arial" w:cs="Arial"/>
            <w:color w:val="0D0D0D" w:themeColor="text1" w:themeTint="F2"/>
            <w:sz w:val="24"/>
            <w:szCs w:val="24"/>
            <w:u w:val="none"/>
          </w:rPr>
          <w:t>fat</w:t>
        </w:r>
      </w:hyperlink>
      <w:r w:rsidRPr="00814751">
        <w:rPr>
          <w:rFonts w:ascii="Arial" w:hAnsi="Arial" w:cs="Arial"/>
          <w:color w:val="0D0D0D" w:themeColor="text1" w:themeTint="F2"/>
          <w:sz w:val="24"/>
          <w:szCs w:val="24"/>
        </w:rPr>
        <w:t>, flax seeds contain 54% omega-3 fatty acids (mostly </w:t>
      </w:r>
      <w:hyperlink r:id="rId19" w:tooltip="Alpha-Linolenic acid" w:history="1">
        <w:r w:rsidRPr="00814751">
          <w:rPr>
            <w:rStyle w:val="Hyperlink"/>
            <w:rFonts w:ascii="Arial" w:hAnsi="Arial" w:cs="Arial"/>
            <w:color w:val="0D0D0D" w:themeColor="text1" w:themeTint="F2"/>
            <w:sz w:val="24"/>
            <w:szCs w:val="24"/>
            <w:u w:val="none"/>
          </w:rPr>
          <w:t>ALA</w:t>
        </w:r>
      </w:hyperlink>
      <w:r w:rsidRPr="00814751">
        <w:rPr>
          <w:rFonts w:ascii="Arial" w:hAnsi="Arial" w:cs="Arial"/>
          <w:color w:val="0D0D0D" w:themeColor="text1" w:themeTint="F2"/>
          <w:sz w:val="24"/>
          <w:szCs w:val="24"/>
        </w:rPr>
        <w:t>),</w:t>
      </w:r>
      <w:r w:rsidR="000D4F37">
        <w:rPr>
          <w:rFonts w:ascii="Arial" w:hAnsi="Arial" w:cs="Arial"/>
          <w:color w:val="0D0D0D" w:themeColor="text1" w:themeTint="F2"/>
          <w:sz w:val="24"/>
          <w:szCs w:val="24"/>
        </w:rPr>
        <w:t xml:space="preserve"> </w:t>
      </w:r>
      <w:r w:rsidRPr="00814751">
        <w:rPr>
          <w:rFonts w:ascii="Arial" w:hAnsi="Arial" w:cs="Arial"/>
          <w:color w:val="0D0D0D" w:themeColor="text1" w:themeTint="F2"/>
          <w:sz w:val="24"/>
          <w:szCs w:val="24"/>
        </w:rPr>
        <w:t>18% </w:t>
      </w:r>
      <w:hyperlink r:id="rId20" w:tooltip="Omega-9 fatty acids" w:history="1">
        <w:r w:rsidRPr="00814751">
          <w:rPr>
            <w:rStyle w:val="Hyperlink"/>
            <w:rFonts w:ascii="Arial" w:hAnsi="Arial" w:cs="Arial"/>
            <w:color w:val="0D0D0D" w:themeColor="text1" w:themeTint="F2"/>
            <w:sz w:val="24"/>
            <w:szCs w:val="24"/>
            <w:u w:val="none"/>
          </w:rPr>
          <w:t>omega-9 fatty acids</w:t>
        </w:r>
      </w:hyperlink>
      <w:r w:rsidRPr="00814751">
        <w:rPr>
          <w:rFonts w:ascii="Arial" w:hAnsi="Arial" w:cs="Arial"/>
          <w:color w:val="0D0D0D" w:themeColor="text1" w:themeTint="F2"/>
          <w:sz w:val="24"/>
          <w:szCs w:val="24"/>
        </w:rPr>
        <w:t> (</w:t>
      </w:r>
      <w:hyperlink r:id="rId21" w:tooltip="Oleic acid" w:history="1">
        <w:r w:rsidRPr="00814751">
          <w:rPr>
            <w:rStyle w:val="Hyperlink"/>
            <w:rFonts w:ascii="Arial" w:hAnsi="Arial" w:cs="Arial"/>
            <w:color w:val="0D0D0D" w:themeColor="text1" w:themeTint="F2"/>
            <w:sz w:val="24"/>
            <w:szCs w:val="24"/>
            <w:u w:val="none"/>
          </w:rPr>
          <w:t>oleic acid</w:t>
        </w:r>
      </w:hyperlink>
      <w:r w:rsidRPr="00814751">
        <w:rPr>
          <w:rFonts w:ascii="Arial" w:hAnsi="Arial" w:cs="Arial"/>
          <w:color w:val="0D0D0D" w:themeColor="text1" w:themeTint="F2"/>
          <w:sz w:val="24"/>
          <w:szCs w:val="24"/>
        </w:rPr>
        <w:t>), and 6% </w:t>
      </w:r>
      <w:hyperlink r:id="rId22" w:tooltip="Omega-6 fatty acids" w:history="1">
        <w:r w:rsidRPr="00814751">
          <w:rPr>
            <w:rStyle w:val="Hyperlink"/>
            <w:rFonts w:ascii="Arial" w:hAnsi="Arial" w:cs="Arial"/>
            <w:color w:val="0D0D0D" w:themeColor="text1" w:themeTint="F2"/>
            <w:sz w:val="24"/>
            <w:szCs w:val="24"/>
            <w:u w:val="none"/>
          </w:rPr>
          <w:t>omega-6 fatty acids</w:t>
        </w:r>
      </w:hyperlink>
      <w:r w:rsidRPr="00814751">
        <w:rPr>
          <w:rFonts w:ascii="Arial" w:hAnsi="Arial" w:cs="Arial"/>
          <w:color w:val="0D0D0D" w:themeColor="text1" w:themeTint="F2"/>
          <w:sz w:val="24"/>
          <w:szCs w:val="24"/>
        </w:rPr>
        <w:t> (</w:t>
      </w:r>
      <w:hyperlink r:id="rId23" w:tooltip="Linoleic acid" w:history="1">
        <w:r w:rsidRPr="00814751">
          <w:rPr>
            <w:rStyle w:val="Hyperlink"/>
            <w:rFonts w:ascii="Arial" w:hAnsi="Arial" w:cs="Arial"/>
            <w:color w:val="0D0D0D" w:themeColor="text1" w:themeTint="F2"/>
            <w:sz w:val="24"/>
            <w:szCs w:val="24"/>
            <w:u w:val="none"/>
          </w:rPr>
          <w:t>linoleic acid</w:t>
        </w:r>
      </w:hyperlink>
      <w:r w:rsidRPr="00814751">
        <w:rPr>
          <w:rFonts w:ascii="Arial" w:hAnsi="Arial" w:cs="Arial"/>
          <w:color w:val="0D0D0D" w:themeColor="text1" w:themeTint="F2"/>
          <w:sz w:val="24"/>
          <w:szCs w:val="24"/>
        </w:rPr>
        <w:t>). The seeds contain 9% </w:t>
      </w:r>
      <w:hyperlink r:id="rId24" w:tooltip="Saturated fat" w:history="1">
        <w:r w:rsidRPr="00814751">
          <w:rPr>
            <w:rStyle w:val="Hyperlink"/>
            <w:rFonts w:ascii="Arial" w:hAnsi="Arial" w:cs="Arial"/>
            <w:color w:val="0D0D0D" w:themeColor="text1" w:themeTint="F2"/>
            <w:sz w:val="24"/>
            <w:szCs w:val="24"/>
            <w:u w:val="none"/>
          </w:rPr>
          <w:t>saturated fat</w:t>
        </w:r>
      </w:hyperlink>
      <w:r w:rsidRPr="00814751">
        <w:rPr>
          <w:rFonts w:ascii="Arial" w:hAnsi="Arial" w:cs="Arial"/>
          <w:color w:val="0D0D0D" w:themeColor="text1" w:themeTint="F2"/>
          <w:sz w:val="24"/>
          <w:szCs w:val="24"/>
        </w:rPr>
        <w:t>, including 5% as </w:t>
      </w:r>
      <w:hyperlink r:id="rId25" w:tooltip="Palmitic acid" w:history="1">
        <w:r w:rsidRPr="00814751">
          <w:rPr>
            <w:rStyle w:val="Hyperlink"/>
            <w:rFonts w:ascii="Arial" w:hAnsi="Arial" w:cs="Arial"/>
            <w:color w:val="0D0D0D" w:themeColor="text1" w:themeTint="F2"/>
            <w:sz w:val="24"/>
            <w:szCs w:val="24"/>
            <w:u w:val="none"/>
          </w:rPr>
          <w:t>palmitic acid</w:t>
        </w:r>
      </w:hyperlink>
      <w:r w:rsidRPr="00814751">
        <w:rPr>
          <w:rFonts w:ascii="Arial" w:hAnsi="Arial" w:cs="Arial"/>
          <w:color w:val="0D0D0D" w:themeColor="text1" w:themeTint="F2"/>
          <w:sz w:val="24"/>
          <w:szCs w:val="24"/>
        </w:rPr>
        <w:t xml:space="preserve">. </w:t>
      </w:r>
      <w:r w:rsidRPr="00814751">
        <w:rPr>
          <w:rFonts w:ascii="Arial" w:hAnsi="Arial" w:cs="Arial"/>
          <w:sz w:val="24"/>
          <w:szCs w:val="24"/>
        </w:rPr>
        <w:t>Linseed occupies an area of 32.23 lakh ha</w:t>
      </w:r>
      <w:r w:rsidRPr="00814751">
        <w:rPr>
          <w:rFonts w:ascii="Arial" w:hAnsi="Arial" w:cs="Arial"/>
          <w:sz w:val="24"/>
          <w:szCs w:val="24"/>
          <w:vertAlign w:val="superscript"/>
        </w:rPr>
        <w:t>-1</w:t>
      </w:r>
      <w:r w:rsidRPr="00814751">
        <w:rPr>
          <w:rFonts w:ascii="Arial" w:hAnsi="Arial" w:cs="Arial"/>
          <w:sz w:val="24"/>
          <w:szCs w:val="24"/>
        </w:rPr>
        <w:t xml:space="preserve"> yielding 30.68 lakh </w:t>
      </w:r>
      <w:proofErr w:type="spellStart"/>
      <w:r w:rsidRPr="00814751">
        <w:rPr>
          <w:rFonts w:ascii="Arial" w:hAnsi="Arial" w:cs="Arial"/>
          <w:sz w:val="24"/>
          <w:szCs w:val="24"/>
        </w:rPr>
        <w:t>tonnes</w:t>
      </w:r>
      <w:proofErr w:type="spellEnd"/>
      <w:r w:rsidRPr="00814751">
        <w:rPr>
          <w:rFonts w:ascii="Arial" w:hAnsi="Arial" w:cs="Arial"/>
          <w:sz w:val="24"/>
          <w:szCs w:val="24"/>
        </w:rPr>
        <w:t xml:space="preserve"> with an average productivity of 952 kg ha</w:t>
      </w:r>
      <w:r w:rsidRPr="00814751">
        <w:rPr>
          <w:rFonts w:ascii="Arial" w:hAnsi="Arial" w:cs="Arial"/>
          <w:sz w:val="24"/>
          <w:szCs w:val="24"/>
          <w:vertAlign w:val="superscript"/>
        </w:rPr>
        <w:t>-1</w:t>
      </w:r>
      <w:r w:rsidRPr="00814751">
        <w:rPr>
          <w:rFonts w:ascii="Arial" w:hAnsi="Arial" w:cs="Arial"/>
          <w:sz w:val="24"/>
          <w:szCs w:val="24"/>
        </w:rPr>
        <w:t xml:space="preserve"> in the world where as in India, it occupies an area of 1.7 lakh ha with a production and productivity of about 1 lakh </w:t>
      </w:r>
      <w:proofErr w:type="spellStart"/>
      <w:r w:rsidRPr="00814751">
        <w:rPr>
          <w:rFonts w:ascii="Arial" w:hAnsi="Arial" w:cs="Arial"/>
          <w:sz w:val="24"/>
          <w:szCs w:val="24"/>
        </w:rPr>
        <w:t>tonnes</w:t>
      </w:r>
      <w:proofErr w:type="spellEnd"/>
      <w:r w:rsidRPr="00814751">
        <w:rPr>
          <w:rFonts w:ascii="Arial" w:hAnsi="Arial" w:cs="Arial"/>
          <w:sz w:val="24"/>
          <w:szCs w:val="24"/>
        </w:rPr>
        <w:t xml:space="preserve"> and 574 kg ha</w:t>
      </w:r>
      <w:r w:rsidRPr="00814751">
        <w:rPr>
          <w:rFonts w:ascii="Arial" w:hAnsi="Arial" w:cs="Arial"/>
          <w:sz w:val="24"/>
          <w:szCs w:val="24"/>
          <w:vertAlign w:val="superscript"/>
        </w:rPr>
        <w:t>-1</w:t>
      </w:r>
      <w:r w:rsidRPr="00814751">
        <w:rPr>
          <w:rFonts w:ascii="Arial" w:hAnsi="Arial" w:cs="Arial"/>
          <w:sz w:val="24"/>
          <w:szCs w:val="24"/>
        </w:rPr>
        <w:t>, respectively. India holds fifth position in area after Kazakhstan, Russian Federation,</w:t>
      </w:r>
      <w:r w:rsidR="008C4579" w:rsidRPr="00814751">
        <w:rPr>
          <w:rFonts w:ascii="Arial" w:hAnsi="Arial" w:cs="Arial"/>
          <w:sz w:val="24"/>
          <w:szCs w:val="24"/>
        </w:rPr>
        <w:t xml:space="preserve"> </w:t>
      </w:r>
      <w:r w:rsidRPr="00814751">
        <w:rPr>
          <w:rFonts w:ascii="Arial" w:hAnsi="Arial" w:cs="Arial"/>
          <w:sz w:val="24"/>
          <w:szCs w:val="24"/>
        </w:rPr>
        <w:t xml:space="preserve">Canada and China but ranks sixth in production after Kazakhstan, Canada, Russian Federation, China and USA </w:t>
      </w:r>
      <w:r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{"citationItems":[{"id":"ITEM-1","itemData":{"author":[{"dropping-particle":"","family":"AICRP-Linseed","given":"","non-dropping-particle":"","parse-names":false,"suffix":""}],"id":"ITEM-1","issued":{"date-parts":[["2024"]]},"title":"Project coordinator’s message. All India Coordinated Research Project on Linseed.","type":"report"},"uris":["http://www.mendeley.com/documents/?uuid=8d0d9d19-e65e-4809-a4b8-738c93f3a644"]}],"mendeley":{"formattedCitation":"(AICRP-Linseed, 2024)","manualFormatting":" (AICRP-Linseed, 2024)","plainTextFormattedCitation":"(AICRP-Linseed, 2024)","previouslyFormattedCitation":"(AICRP-Linseed, 2024)"},"properties":{"noteIndex":0},"schema":"https://github.com/citation-style-language/schema/raw/master/csl-citation.json"}</w:instrText>
      </w:r>
      <w:r w:rsidRPr="00814751">
        <w:rPr>
          <w:rFonts w:ascii="Arial" w:hAnsi="Arial" w:cs="Arial"/>
          <w:sz w:val="24"/>
          <w:szCs w:val="24"/>
        </w:rPr>
        <w:fldChar w:fldCharType="separate"/>
      </w:r>
      <w:r w:rsidR="00D23C79">
        <w:rPr>
          <w:rFonts w:ascii="Arial" w:hAnsi="Arial" w:cs="Arial"/>
          <w:noProof/>
          <w:sz w:val="24"/>
          <w:szCs w:val="24"/>
        </w:rPr>
        <w:t xml:space="preserve"> </w:t>
      </w:r>
      <w:r w:rsidR="000A36E4">
        <w:rPr>
          <w:rFonts w:ascii="Arial" w:hAnsi="Arial" w:cs="Arial"/>
          <w:noProof/>
          <w:sz w:val="24"/>
          <w:szCs w:val="24"/>
        </w:rPr>
        <w:t>(</w:t>
      </w:r>
      <w:r w:rsidRPr="00814751">
        <w:rPr>
          <w:rFonts w:ascii="Arial" w:hAnsi="Arial" w:cs="Arial"/>
          <w:noProof/>
          <w:sz w:val="24"/>
          <w:szCs w:val="24"/>
        </w:rPr>
        <w:t>AICRP-Linseed, 2024)</w:t>
      </w:r>
      <w:r w:rsidRPr="00814751">
        <w:rPr>
          <w:rFonts w:ascii="Arial" w:hAnsi="Arial" w:cs="Arial"/>
          <w:sz w:val="24"/>
          <w:szCs w:val="24"/>
        </w:rPr>
        <w:fldChar w:fldCharType="end"/>
      </w:r>
      <w:r w:rsidRPr="00814751">
        <w:rPr>
          <w:rFonts w:ascii="Arial" w:hAnsi="Arial" w:cs="Arial"/>
          <w:sz w:val="24"/>
          <w:szCs w:val="24"/>
        </w:rPr>
        <w:t xml:space="preserve">. At the end of fiscal year 2023, India is estimated to produce nearly 140 thousand metric tons of linseed. This was an increase from the previous financial year. During financial year 2022, the south Asian nation produced </w:t>
      </w:r>
      <w:proofErr w:type="gramStart"/>
      <w:r w:rsidRPr="00814751">
        <w:rPr>
          <w:rFonts w:ascii="Arial" w:hAnsi="Arial" w:cs="Arial"/>
          <w:sz w:val="24"/>
          <w:szCs w:val="24"/>
        </w:rPr>
        <w:t>over  38</w:t>
      </w:r>
      <w:proofErr w:type="gramEnd"/>
      <w:r w:rsidRPr="00814751">
        <w:rPr>
          <w:rFonts w:ascii="Arial" w:hAnsi="Arial" w:cs="Arial"/>
          <w:sz w:val="24"/>
          <w:szCs w:val="24"/>
        </w:rPr>
        <w:t xml:space="preserve">  million  metric  </w:t>
      </w:r>
      <w:proofErr w:type="spellStart"/>
      <w:r w:rsidRPr="00814751">
        <w:rPr>
          <w:rFonts w:ascii="Arial" w:hAnsi="Arial" w:cs="Arial"/>
          <w:sz w:val="24"/>
          <w:szCs w:val="24"/>
        </w:rPr>
        <w:t>tones  of</w:t>
      </w:r>
      <w:proofErr w:type="spellEnd"/>
      <w:r w:rsidRPr="00814751">
        <w:rPr>
          <w:rFonts w:ascii="Arial" w:hAnsi="Arial" w:cs="Arial"/>
          <w:sz w:val="24"/>
          <w:szCs w:val="24"/>
        </w:rPr>
        <w:t xml:space="preserve">  oilseeds.  Total  Oilseeds  production  in  the country during 2022-23 is estimated at record 400.01 lakh tones which is higher  by  20.38  lakh  tones  than  the  previous  year’s  oilseeds  production </w:t>
      </w:r>
      <w:r w:rsidR="000A36E4">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{"citationItems":[{"id":"ITEM-1","itemData":{"author":[{"dropping-particle":"","family":"AICRP-Linseed","given":"","non-dropping-particle":"","parse-names":false,"suffix":""}],"id":"ITEM-1","issued":{"date-parts":[["2024"]]},"title":"Project coordinator’s message. All India Coordinated Research Project on Linseed.","type":"report"},"uris":["http://www.mendeley.com/documents/?uuid=8d0d9d19-e65e-4809-a4b8-738c93f3a644"]}],"mendeley":{"formattedCitation":"(AICRP-Linseed, 2024)","manualFormatting":"AICRP-Linseed, 2024)","plainTextFormattedCitation":"(AICRP-Linseed, 2024)","previouslyFormattedCitation":"(AICRP-Linseed, 2024)"},"properties":{"noteIndex":0},"schema":"https://github.com/citation-style-language/schema/raw/master/csl-citation.json"}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AICRP-Linseed, 2024)</w:t>
      </w:r>
      <w:r w:rsidRPr="00814751">
        <w:rPr>
          <w:rFonts w:ascii="Arial" w:hAnsi="Arial" w:cs="Arial"/>
          <w:sz w:val="24"/>
          <w:szCs w:val="24"/>
        </w:rPr>
        <w:fldChar w:fldCharType="end"/>
      </w:r>
      <w:r w:rsidRPr="00814751">
        <w:rPr>
          <w:rFonts w:ascii="Arial" w:hAnsi="Arial" w:cs="Arial"/>
          <w:sz w:val="24"/>
          <w:szCs w:val="24"/>
        </w:rPr>
        <w:t xml:space="preserve">. However, according to statistics from the Food and Agricultural Organization the area harvested for linseed 3540139 ha, yield was 9512 kg/ha and production value was 3367331 tones </w:t>
      </w:r>
      <w:r w:rsidR="000A36E4">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{"citationItems":[{"id":"ITEM-1","itemData":{"author":[{"dropping-particle":"","family":"FAO-STAT","given":"","non-dropping-particle":"","parse-names":false,"suffix":""}],"id":"ITEM-1","issued":{"date-parts":[["2007"]]},"number-of-pages":"120","title":"Food and Agriculture Organisation Statistical Databases","type":"report"},"uris":["http://www.mendeley.com/documents/?uuid=3ee48071-50fe-4261-802d-b02de11426f1"]}],"mendeley":{"formattedCitation":"(FAO-STAT, 2007)","manualFormatting":"FAOSTAT, 2007)","plainTextFormattedCitation":"(FAO-STAT, 2007)","previouslyFormattedCitation":"(FAO-STAT, 2007)"},"properties":{"noteIndex":0},"schema":"https://github.com/citation-style-language/schema/raw/master/csl-citation.json"}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FAOSTAT, 2007)</w:t>
      </w:r>
      <w:r w:rsidRPr="00814751">
        <w:rPr>
          <w:rFonts w:ascii="Arial" w:hAnsi="Arial" w:cs="Arial"/>
          <w:sz w:val="24"/>
          <w:szCs w:val="24"/>
        </w:rPr>
        <w:fldChar w:fldCharType="end"/>
      </w:r>
      <w:r w:rsidRPr="00814751">
        <w:rPr>
          <w:rFonts w:ascii="Arial" w:hAnsi="Arial" w:cs="Arial"/>
          <w:sz w:val="24"/>
          <w:szCs w:val="24"/>
        </w:rPr>
        <w:t>.</w:t>
      </w:r>
    </w:p>
    <w:p w14:paraId="37E5E1C8" w14:textId="496C1EAC" w:rsidR="00A329CB" w:rsidRPr="00814751" w:rsidRDefault="00646E2B" w:rsidP="000D4F37">
      <w:pPr>
        <w:spacing w:after="120" w:line="360" w:lineRule="auto"/>
        <w:ind w:firstLine="720"/>
        <w:jc w:val="both"/>
        <w:rPr>
          <w:rFonts w:ascii="Arial" w:hAnsi="Arial" w:cs="Arial"/>
          <w:sz w:val="24"/>
          <w:szCs w:val="24"/>
        </w:rPr>
      </w:pPr>
      <w:r>
        <w:rPr>
          <w:rFonts w:ascii="Arial" w:hAnsi="Arial" w:cs="Arial"/>
          <w:sz w:val="24"/>
          <w:szCs w:val="24"/>
        </w:rPr>
        <w:t xml:space="preserve">Nutrients plays </w:t>
      </w:r>
      <w:proofErr w:type="spellStart"/>
      <w:r>
        <w:rPr>
          <w:rFonts w:ascii="Arial" w:hAnsi="Arial" w:cs="Arial"/>
          <w:sz w:val="24"/>
          <w:szCs w:val="24"/>
        </w:rPr>
        <w:t>a</w:t>
      </w:r>
      <w:proofErr w:type="spellEnd"/>
      <w:r>
        <w:rPr>
          <w:rFonts w:ascii="Arial" w:hAnsi="Arial" w:cs="Arial"/>
          <w:sz w:val="24"/>
          <w:szCs w:val="24"/>
        </w:rPr>
        <w:t xml:space="preserve"> important role in enhancing growth of crop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Bhayal","given":"D.","non-dropping-particle":"","parse-names":false,"suffix":""}],"container-title":"Indian Society of Agricultural Science","id":"ITEM-1","issue":"2","issued":{"date-parts":[["2023"]]},"page":"190-196","title":"Effect of integrated nutrient management on growth, yield attributes and yield of green pea in humid subtropical climate of Indo-gangetic Plains.","type":"article-journal","volume":"44"},"uris":["http://www.mendeley.com/documents/?uuid=168fbc97-1d63-469c-b98b-65724a171b50"]}],"mendeley":{"formattedCitation":"(Aakash et al., 2023)","plainTextFormattedCitation":"(Aakash et al., 2023)","previouslyFormattedCitation":"(Aakash et al., 2023)"},"properties":{"noteIndex":0},"schema":"https://github.com/citation-style-language/schema/raw/master/csl-citation.json"}</w:instrText>
      </w:r>
      <w:r>
        <w:rPr>
          <w:rFonts w:ascii="Arial" w:hAnsi="Arial" w:cs="Arial"/>
          <w:sz w:val="24"/>
          <w:szCs w:val="24"/>
        </w:rPr>
        <w:fldChar w:fldCharType="separate"/>
      </w:r>
      <w:r w:rsidRPr="00646E2B">
        <w:rPr>
          <w:rFonts w:ascii="Arial" w:hAnsi="Arial" w:cs="Arial"/>
          <w:noProof/>
          <w:sz w:val="24"/>
          <w:szCs w:val="24"/>
        </w:rPr>
        <w:t>(Aakash et al., 2023)</w:t>
      </w:r>
      <w:r>
        <w:rPr>
          <w:rFonts w:ascii="Arial" w:hAnsi="Arial" w:cs="Arial"/>
          <w:sz w:val="24"/>
          <w:szCs w:val="24"/>
        </w:rPr>
        <w:fldChar w:fldCharType="end"/>
      </w:r>
      <w:r>
        <w:rPr>
          <w:rFonts w:ascii="Arial" w:hAnsi="Arial" w:cs="Arial"/>
          <w:sz w:val="24"/>
          <w:szCs w:val="24"/>
        </w:rPr>
        <w:t xml:space="preserve">. </w:t>
      </w:r>
      <w:r w:rsidRPr="00646E2B">
        <w:rPr>
          <w:rFonts w:ascii="Arial" w:hAnsi="Arial" w:cs="Arial"/>
          <w:sz w:val="24"/>
          <w:szCs w:val="24"/>
        </w:rPr>
        <w:t xml:space="preserve">Foliar application of </w:t>
      </w:r>
      <w:r>
        <w:rPr>
          <w:rFonts w:ascii="Arial" w:hAnsi="Arial" w:cs="Arial"/>
          <w:sz w:val="24"/>
          <w:szCs w:val="24"/>
        </w:rPr>
        <w:t xml:space="preserve">nutrients </w:t>
      </w:r>
      <w:r w:rsidRPr="00646E2B">
        <w:rPr>
          <w:rFonts w:ascii="Arial" w:hAnsi="Arial" w:cs="Arial"/>
          <w:sz w:val="24"/>
          <w:szCs w:val="24"/>
        </w:rPr>
        <w:t>improves the plant’s capacity to synthesize, store and transport nutrients</w:t>
      </w:r>
      <w:r>
        <w:rPr>
          <w:rFonts w:ascii="Arial" w:hAnsi="Arial" w:cs="Arial"/>
          <w:sz w:val="24"/>
          <w:szCs w:val="24"/>
        </w:rPr>
        <w:t xml:space="preserve"> </w:t>
      </w:r>
      <w:r>
        <w:rPr>
          <w:rFonts w:ascii="Arial" w:hAnsi="Arial" w:cs="Arial"/>
          <w:sz w:val="24"/>
          <w:szCs w:val="24"/>
        </w:rPr>
        <w:fldChar w:fldCharType="begin" w:fldLock="1"/>
      </w:r>
      <w:r w:rsidR="00151613">
        <w:rPr>
          <w:rFonts w:ascii="Arial" w:hAnsi="Arial" w:cs="Arial"/>
          <w:sz w:val="24"/>
          <w:szCs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 AN INTERNATIONAL JOURNAL","id":"ITEM-1","issue":"2","issued":{"date-parts":[["2022","1","10"]]},"page":"174-181","title":"Impact of Foliar Spray of NPK and Zn on Soybean for Growth, Yield, Quality, Energetics and Carbon Footprint under Dryland Condition at Indore","type":"article-journal","volume":"45"},"uris":["http://www.mendeley.com/documents/?uuid=707bb253-1907-46c6-9e9b-77c621d5f910"]},{"id":"ITEM-2","itemData":{"DOI":"10.9734/jeai/2023/v45i112257","ISSN":"2457-0591","abstract":"The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author":[{"dropping-particle":"","family":"Sharma","given":"Avinash","non-dropping-particle":"","parse-names":false,"suffix":""},{"dropping-particle":"","family":"Aakash","given":"","non-dropping-particle":"","parse-names":false,"suffix":""},{"dropping-particle":"","family":"Singh","given":"Dheerendra","non-dropping-particle":"","parse-names":false,"suffix":""},{"dropping-particle":"","family":"Singh","given":"Veer","non-dropping-particle":"","parse-names":false,"suffix":""},{"dropping-particle":"","family":"Bhayal","given":"Divya","non-dropping-particle":"","parse-names":false,"suffix":""},{"dropping-particle":"","family":"Rajput","given":"Bharti","non-dropping-particle":"","parse-names":false,"suffix":""}],"container-title":"Journal of Experimental Agriculture International","id":"ITEM-2","issue":"11","issued":{"date-parts":[["2023","12","7"]]},"page":"263-270","title":"Effect of Applying Boron, Zinc, and Manganese Foliarly on the Yield Attributes and Yield of the Potato (Solanum tuberosum) Cultivar Kufri Chipsona-1 in the Gwalior Climate","type":"article-journal","volume":"45"},"uris":["http://www.mendeley.com/documents/?uuid=ece18b7e-2e42-4315-8ca9-a4ced433d231"]}],"mendeley":{"formattedCitation":"(Bhayal et al., 2022; A. Sharma et al., 2023)","manualFormatting":"(Bhayal et al., 2022; Sharma et al., 2023)","plainTextFormattedCitation":"(Bhayal et al., 2022; A. Sharma et al., 2023)","previouslyFormattedCitation":"(Bhayal et al., 2022; A. Sharma et al., 2023)"},"properties":{"noteIndex":0},"schema":"https://github.com/citation-style-language/schema/raw/master/csl-citation.json"}</w:instrText>
      </w:r>
      <w:r>
        <w:rPr>
          <w:rFonts w:ascii="Arial" w:hAnsi="Arial" w:cs="Arial"/>
          <w:sz w:val="24"/>
          <w:szCs w:val="24"/>
        </w:rPr>
        <w:fldChar w:fldCharType="separate"/>
      </w:r>
      <w:r w:rsidRPr="00646E2B">
        <w:rPr>
          <w:rFonts w:ascii="Arial" w:hAnsi="Arial" w:cs="Arial"/>
          <w:noProof/>
          <w:sz w:val="24"/>
          <w:szCs w:val="24"/>
        </w:rPr>
        <w:t>(Bhayal et al., 2022; Sharma et al., 2023)</w:t>
      </w:r>
      <w:r>
        <w:rPr>
          <w:rFonts w:ascii="Arial" w:hAnsi="Arial" w:cs="Arial"/>
          <w:sz w:val="24"/>
          <w:szCs w:val="24"/>
        </w:rPr>
        <w:fldChar w:fldCharType="end"/>
      </w:r>
      <w:r w:rsidRPr="00646E2B">
        <w:rPr>
          <w:rFonts w:ascii="Arial" w:hAnsi="Arial" w:cs="Arial"/>
          <w:sz w:val="24"/>
          <w:szCs w:val="24"/>
        </w:rPr>
        <w:t>.</w:t>
      </w:r>
      <w:r w:rsidR="00151613">
        <w:rPr>
          <w:rFonts w:ascii="Arial" w:hAnsi="Arial" w:cs="Arial"/>
          <w:sz w:val="24"/>
          <w:szCs w:val="24"/>
        </w:rPr>
        <w:t xml:space="preserve"> </w:t>
      </w:r>
      <w:r w:rsidR="00151613" w:rsidRPr="00151613">
        <w:rPr>
          <w:rFonts w:ascii="Arial" w:hAnsi="Arial" w:cs="Arial"/>
          <w:sz w:val="24"/>
          <w:szCs w:val="24"/>
        </w:rPr>
        <w:t>Foliar application of nutrients has been shown as an important asset of fertilizer application with the specific aim of increasing nutrient availability when needed</w:t>
      </w:r>
      <w:r w:rsidR="00151613">
        <w:rPr>
          <w:rFonts w:ascii="Arial" w:hAnsi="Arial" w:cs="Arial"/>
          <w:sz w:val="24"/>
          <w:szCs w:val="24"/>
        </w:rPr>
        <w:t xml:space="preserve"> </w:t>
      </w:r>
      <w:r w:rsidR="00151613">
        <w:rPr>
          <w:rFonts w:ascii="Arial" w:hAnsi="Arial" w:cs="Arial"/>
          <w:sz w:val="24"/>
          <w:szCs w:val="24"/>
        </w:rPr>
        <w:fldChar w:fldCharType="begin" w:fldLock="1"/>
      </w:r>
      <w:r w:rsidR="00151613">
        <w:rPr>
          <w:rFonts w:ascii="Arial" w:hAnsi="Arial" w:cs="Arial"/>
          <w:sz w:val="24"/>
          <w:szCs w:val="24"/>
        </w:rPr>
        <w:instrText>ADDIN CSL_CITATION {"citationItems":[{"id":"ITEM-1","itemData":{"DOI":"10.56093/ijas.v92i11.127891","ISSN":"2394-3319","abstract":"An experiment was conducted at research farm of Rajiv Gandhi South Campus, Barkachha, Mirzapur situated in eastern Uttar Pradesh during winter (rabi) season of 2021–22 with the objective to study the response of nitrogen, phosphorous, sulphur doses and urea foliar spray on lentil growth attributes, yield attributes, yield and economics under guava + lentil based agri-horti system. Results revealed that the higher growth, yield attributes, yield, net monetory returns and benefit-cost ratio were recorded under N23.5+P60+S40 which was at par with N20+P50+S30. In case of varied doses of foliar spray of urea, foliar spray of 2% urea at pre-flowering stage fb 2% urea at pod initiation stage recorded significantly higher growth, yield, yield attributes and economics which was at par with foliar spray of 2% urea spray at pre-flowering stage. Moreover, between the sowing of the lentils and the harvest, the guava's growth attributes were also increased. Therefore, under rainfed conditions of Vidhyan region of eastern Uttar Pradesh, application of nitrogen, phosphorus and sulphur @20, 50 and 30 kg/ha as basal application along with foliar application (spray) of 2% urea at pre-flowering stage (45 DAS) to lentil crop was found to be better option for higher profitability under guava plantation.","author":[{"dropping-particle":"","family":"Kumar","given":"Vikash","non-dropping-particle":"","parse-names":false,"suffix":""},{"dropping-particle":"","family":"Singh","given":"Manoj Kumar","non-dropping-particle":"","parse-names":false,"suffix":""},{"dropping-particle":"","family":"Lakshmi","given":"D Udaya","non-dropping-particle":"","parse-names":false,"suffix":""},{"dropping-particle":"","family":"Aakash","given":"","non-dropping-particle":"","parse-names":false,"suffix":""},{"dropping-particle":"","family":"Saikia","given":"Nilutpal","non-dropping-particle":"","parse-names":false,"suffix":""},{"dropping-particle":"","family":"Kumari","given":"Anamika","non-dropping-particle":"","parse-names":false,"suffix":""}],"container-title":"The Indian Journal of Agricultural Sciences","id":"ITEM-1","issue":"11","issued":{"date-parts":[["2022","11","11"]]},"page":"1410-1412","title":"Response of N P S doses and urea foliar spray on lentil under guava (Psidium guajava) + lentil (Lens culinaris) based agri-horti system","type":"article-journal","volume":"92"},"uris":["http://www.mendeley.com/documents/?uuid=b8ea8e15-7320-4a66-a586-99c2bf7e3740"]}],"mendeley":{"formattedCitation":"(Kumar et al., 2022)","plainTextFormattedCitation":"(Kumar et al., 2022)","previouslyFormattedCitation":"(Kumar et al., 2022)"},"properties":{"noteIndex":0},"schema":"https://github.com/citation-style-language/schema/raw/master/csl-citation.json"}</w:instrText>
      </w:r>
      <w:r w:rsidR="00151613">
        <w:rPr>
          <w:rFonts w:ascii="Arial" w:hAnsi="Arial" w:cs="Arial"/>
          <w:sz w:val="24"/>
          <w:szCs w:val="24"/>
        </w:rPr>
        <w:fldChar w:fldCharType="separate"/>
      </w:r>
      <w:r w:rsidR="00151613" w:rsidRPr="00151613">
        <w:rPr>
          <w:rFonts w:ascii="Arial" w:hAnsi="Arial" w:cs="Arial"/>
          <w:noProof/>
          <w:sz w:val="24"/>
          <w:szCs w:val="24"/>
        </w:rPr>
        <w:t>(Kumar et al., 2022)</w:t>
      </w:r>
      <w:r w:rsidR="00151613">
        <w:rPr>
          <w:rFonts w:ascii="Arial" w:hAnsi="Arial" w:cs="Arial"/>
          <w:sz w:val="24"/>
          <w:szCs w:val="24"/>
        </w:rPr>
        <w:fldChar w:fldCharType="end"/>
      </w:r>
      <w:r w:rsidR="00151613" w:rsidRPr="00151613">
        <w:rPr>
          <w:rFonts w:ascii="Arial" w:hAnsi="Arial" w:cs="Arial"/>
          <w:sz w:val="24"/>
          <w:szCs w:val="24"/>
        </w:rPr>
        <w:t>.</w:t>
      </w:r>
      <w:r w:rsidRPr="00646E2B">
        <w:rPr>
          <w:rFonts w:ascii="Arial" w:hAnsi="Arial" w:cs="Arial"/>
          <w:sz w:val="24"/>
          <w:szCs w:val="24"/>
        </w:rPr>
        <w:t xml:space="preserve"> </w:t>
      </w:r>
      <w:proofErr w:type="gramStart"/>
      <w:r w:rsidR="00A329CB" w:rsidRPr="00814751">
        <w:rPr>
          <w:rFonts w:ascii="Arial" w:hAnsi="Arial" w:cs="Arial"/>
          <w:sz w:val="24"/>
          <w:szCs w:val="24"/>
        </w:rPr>
        <w:t xml:space="preserve">A </w:t>
      </w:r>
      <w:r w:rsidR="00B511B7">
        <w:rPr>
          <w:rFonts w:ascii="Arial" w:hAnsi="Arial" w:cs="Arial"/>
          <w:sz w:val="24"/>
          <w:szCs w:val="24"/>
        </w:rPr>
        <w:t xml:space="preserve"> </w:t>
      </w:r>
      <w:r w:rsidR="00A329CB" w:rsidRPr="00814751">
        <w:rPr>
          <w:rFonts w:ascii="Arial" w:hAnsi="Arial" w:cs="Arial"/>
          <w:sz w:val="24"/>
          <w:szCs w:val="24"/>
        </w:rPr>
        <w:t>deficiency</w:t>
      </w:r>
      <w:proofErr w:type="gramEnd"/>
      <w:r w:rsidR="00A329CB" w:rsidRPr="00814751">
        <w:rPr>
          <w:rFonts w:ascii="Arial" w:hAnsi="Arial" w:cs="Arial"/>
          <w:sz w:val="24"/>
          <w:szCs w:val="24"/>
        </w:rPr>
        <w:t xml:space="preserve"> of sulphur at any stage of growth can result in reduced yields. </w:t>
      </w:r>
      <w:r w:rsidR="002F3B0E" w:rsidRPr="00814751">
        <w:rPr>
          <w:rFonts w:ascii="Arial" w:hAnsi="Arial" w:cs="Arial"/>
          <w:sz w:val="24"/>
          <w:szCs w:val="24"/>
        </w:rPr>
        <w:t>f</w:t>
      </w:r>
      <w:r w:rsidR="00A329CB" w:rsidRPr="00814751">
        <w:rPr>
          <w:rFonts w:ascii="Arial" w:hAnsi="Arial" w:cs="Arial"/>
          <w:sz w:val="24"/>
          <w:szCs w:val="24"/>
        </w:rPr>
        <w:t xml:space="preserve">or the first half century or more of cultivation, sulphur deficiency was not a concern on most of our soils because a large pool of organic sulphur was made available as </w:t>
      </w:r>
      <w:r w:rsidR="00A329CB" w:rsidRPr="00814751">
        <w:rPr>
          <w:rFonts w:ascii="Arial" w:hAnsi="Arial" w:cs="Arial"/>
          <w:sz w:val="24"/>
          <w:szCs w:val="24"/>
        </w:rPr>
        <w:lastRenderedPageBreak/>
        <w:t>organic matter mineralized. Over time, the pool of organic sulphur has declined significantly, mostly due to use by crops, particularly high sulphur</w:t>
      </w:r>
      <w:r w:rsidR="008D16B7">
        <w:rPr>
          <w:rFonts w:ascii="Arial" w:hAnsi="Arial" w:cs="Arial"/>
          <w:sz w:val="24"/>
          <w:szCs w:val="24"/>
        </w:rPr>
        <w:t xml:space="preserve"> </w:t>
      </w:r>
      <w:r w:rsidR="00A329CB" w:rsidRPr="00814751">
        <w:rPr>
          <w:rFonts w:ascii="Arial" w:hAnsi="Arial" w:cs="Arial"/>
          <w:sz w:val="24"/>
          <w:szCs w:val="24"/>
        </w:rPr>
        <w:t xml:space="preserve">using oilseeds crops </w:t>
      </w:r>
      <w:r w:rsidR="000A36E4">
        <w:rPr>
          <w:rFonts w:ascii="Arial" w:hAnsi="Arial" w:cs="Arial"/>
          <w:sz w:val="24"/>
          <w:szCs w:val="24"/>
        </w:rPr>
        <w:t>(</w:t>
      </w:r>
      <w:r w:rsidR="00A329CB"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{"citationItems":[{"id":"ITEM-1","itemData":{"DOI":"10.1080/15592324.2022.2030082","ISSN":"1559-2324","author":[{"dropping-particle":"","family":"Narayan","given":"Om Prakash","non-dropping-particle":"","parse-names":false,"suffix":""},{"dropping-particle":"","family":"Kumar","given":"Paras","non-dropping-particle":"","parse-names":false,"suffix":""},{"dropping-particle":"","family":"Yadav","given":"Bindu","non-dropping-particle":"","parse-names":false,"suffix":""},{"dropping-particle":"","family":"Dua","given":"Meenakshi","non-dropping-particle":"","parse-names":false,"suffix":""},{"dropping-particle":"","family":"Johri","given":"Atul Kumar","non-dropping-particle":"","parse-names":false,"suffix":""}],"container-title":"Plant Signaling &amp; Behavior","id":"ITEM-1","issue":"1","issued":{"date-parts":[["2023","12","31"]]},"title":"Sulphur nutrition and its role in plant growth and development","type":"article-journal","volume":"18"},"uris":["http://www.mendeley.com/documents/?uuid=c48b6455-62ec-4aac-a5ac-71e41b4fd05b"]}],"mendeley":{"formattedCitation":"(Narayan et al., 2023)","manualFormatting":"Narayan et al., 2023)","plainTextFormattedCitation":"(Narayan et al., 2023)","previouslyFormattedCitation":"(Narayan et al., 2023)"},"properties":{"noteIndex":0},"schema":"https://github.com/citation-style-language/schema/raw/master/csl-citation.json"}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Narayan et al., 2023)</w:t>
      </w:r>
      <w:r w:rsidR="00A329CB" w:rsidRPr="00814751">
        <w:rPr>
          <w:rFonts w:ascii="Arial" w:hAnsi="Arial" w:cs="Arial"/>
          <w:sz w:val="24"/>
          <w:szCs w:val="24"/>
        </w:rPr>
        <w:fldChar w:fldCharType="end"/>
      </w:r>
      <w:r w:rsidR="00A329CB" w:rsidRPr="00814751">
        <w:rPr>
          <w:rFonts w:ascii="Arial" w:hAnsi="Arial" w:cs="Arial"/>
          <w:sz w:val="24"/>
          <w:szCs w:val="24"/>
        </w:rPr>
        <w:t>.</w:t>
      </w:r>
      <w:r w:rsidR="00A329CB" w:rsidRPr="00814751">
        <w:rPr>
          <w:sz w:val="24"/>
          <w:szCs w:val="24"/>
        </w:rPr>
        <w:t xml:space="preserve"> </w:t>
      </w:r>
      <w:r w:rsidR="00A329CB" w:rsidRPr="00814751">
        <w:rPr>
          <w:rFonts w:ascii="Arial" w:hAnsi="Arial" w:cs="Arial"/>
          <w:sz w:val="24"/>
          <w:szCs w:val="24"/>
        </w:rPr>
        <w:t xml:space="preserve">Sulphur is a crucial </w:t>
      </w:r>
      <w:proofErr w:type="gramStart"/>
      <w:r w:rsidR="00A329CB" w:rsidRPr="00814751">
        <w:rPr>
          <w:rFonts w:ascii="Arial" w:hAnsi="Arial" w:cs="Arial"/>
          <w:sz w:val="24"/>
          <w:szCs w:val="24"/>
        </w:rPr>
        <w:t>macronutrient  for</w:t>
      </w:r>
      <w:proofErr w:type="gramEnd"/>
      <w:r w:rsidR="00A329CB" w:rsidRPr="00814751">
        <w:rPr>
          <w:rFonts w:ascii="Arial" w:hAnsi="Arial" w:cs="Arial"/>
          <w:sz w:val="24"/>
          <w:szCs w:val="24"/>
        </w:rPr>
        <w:t xml:space="preserve">  plants  growth  </w:t>
      </w:r>
      <w:proofErr w:type="spellStart"/>
      <w:r w:rsidR="00A329CB" w:rsidRPr="00814751">
        <w:rPr>
          <w:rFonts w:ascii="Arial" w:hAnsi="Arial" w:cs="Arial"/>
          <w:sz w:val="24"/>
          <w:szCs w:val="24"/>
        </w:rPr>
        <w:t>an</w:t>
      </w:r>
      <w:proofErr w:type="spellEnd"/>
      <w:r w:rsidR="00A329CB" w:rsidRPr="00814751">
        <w:rPr>
          <w:rFonts w:ascii="Arial" w:hAnsi="Arial" w:cs="Arial"/>
          <w:sz w:val="24"/>
          <w:szCs w:val="24"/>
        </w:rPr>
        <w:t xml:space="preserve"> development. All though it is</w:t>
      </w:r>
      <w:r w:rsidR="00B2293E">
        <w:rPr>
          <w:rFonts w:ascii="Arial" w:hAnsi="Arial" w:cs="Arial"/>
          <w:sz w:val="24"/>
          <w:szCs w:val="24"/>
        </w:rPr>
        <w:t xml:space="preserve"> </w:t>
      </w:r>
      <w:r w:rsidR="00A329CB" w:rsidRPr="00814751">
        <w:rPr>
          <w:rFonts w:ascii="Arial" w:hAnsi="Arial" w:cs="Arial"/>
          <w:sz w:val="24"/>
          <w:szCs w:val="24"/>
        </w:rPr>
        <w:t xml:space="preserve">categorised as a tertiary element along with Magnesium (Mg) and Calcium (Ca), it is occasionally referred to as "the fourth major nutrient." The element S is a necessary component for all living things. It aids in the development and activation of several enzymes and vitamins in plants, promotes nodulation in legumes, and is a structural component of amino acids that make up protein cysteine and methionine </w:t>
      </w:r>
      <w:r w:rsidR="000A36E4">
        <w:rPr>
          <w:rFonts w:ascii="Arial" w:hAnsi="Arial" w:cs="Arial"/>
          <w:sz w:val="24"/>
          <w:szCs w:val="24"/>
        </w:rPr>
        <w:t>(</w:t>
      </w:r>
      <w:r w:rsidR="00A329CB" w:rsidRPr="00814751">
        <w:rPr>
          <w:rFonts w:ascii="Arial" w:hAnsi="Arial" w:cs="Arial"/>
          <w:sz w:val="24"/>
          <w:szCs w:val="24"/>
        </w:rPr>
        <w:fldChar w:fldCharType="begin" w:fldLock="1"/>
      </w:r>
      <w:r w:rsidR="00151613">
        <w:rPr>
          <w:rFonts w:ascii="Arial" w:hAnsi="Arial" w:cs="Arial"/>
          <w:sz w:val="24"/>
          <w:szCs w:val="24"/>
        </w:rPr>
        <w:instrText>ADDIN CSL_CITATION {"citationItems":[{"id":"ITEM-1","itemData":{"DOI":"10.1016/j.jafr.2024.101013","ISSN":"26661543","author":[{"dropping-particle":"","family":"Sharma","given":"Ramandeep K.","non-dropping-particle":"","parse-names":false,"suffix":""},{"dropping-particle":"","family":"Cox","given":"Michael S.","non-dropping-particle":"","parse-names":false,"suffix":""},{"dropping-particle":"","family":"Oglesby","given":"Camden","non-dropping-particle":"","parse-names":false,"suffix":""},{"dropping-particle":"","family":"Dhillon","given":"Jagmandeep S.","non-dropping-particle":"","parse-names":false,"suffix":""}],"container-title":"Journal of Agriculture and Food Research","id":"ITEM-1","issued":{"date-parts":[["2024","3"]]},"page":"101013","title":"Revisiting the role of sulphur in crop production: A narrative review","type":"article-journal","volume":"15"},"uris":["http://www.mendeley.com/documents/?uuid=e589a296-55a4-4cb8-a819-9c9606fabc57"]}],"mendeley":{"formattedCitation":"(R. K. Sharma et al., 2024)","manualFormatting":"Sharma et al., 2024)","plainTextFormattedCitation":"(R. K. Sharma et al., 2024)","previouslyFormattedCitation":"(R. K. Sharma et al., 2024)"},"properties":{"noteIndex":0},"schema":"https://github.com/citation-style-language/schema/raw/master/csl-citation.json"}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Sharma et al., 2024)</w:t>
      </w:r>
      <w:r w:rsidR="00A329CB" w:rsidRPr="00814751">
        <w:rPr>
          <w:rFonts w:ascii="Arial" w:hAnsi="Arial" w:cs="Arial"/>
          <w:sz w:val="24"/>
          <w:szCs w:val="24"/>
        </w:rPr>
        <w:fldChar w:fldCharType="end"/>
      </w:r>
      <w:r w:rsidR="00A329CB" w:rsidRPr="00814751">
        <w:rPr>
          <w:rFonts w:ascii="Arial" w:hAnsi="Arial" w:cs="Arial"/>
          <w:sz w:val="24"/>
          <w:szCs w:val="24"/>
        </w:rPr>
        <w:t>. Reduced plant growth rate is associated with sulphur</w:t>
      </w:r>
      <w:r w:rsidR="009B4017">
        <w:rPr>
          <w:rFonts w:ascii="Arial" w:hAnsi="Arial" w:cs="Arial"/>
          <w:sz w:val="24"/>
          <w:szCs w:val="24"/>
        </w:rPr>
        <w:t xml:space="preserve"> </w:t>
      </w:r>
      <w:r w:rsidR="00A329CB" w:rsidRPr="00814751">
        <w:rPr>
          <w:rFonts w:ascii="Arial" w:hAnsi="Arial" w:cs="Arial"/>
          <w:sz w:val="24"/>
          <w:szCs w:val="24"/>
        </w:rPr>
        <w:t>deficient soil, and typically, shoot growth is more impacted than root growth. Lack of S</w:t>
      </w:r>
      <w:r w:rsidR="009B4017">
        <w:rPr>
          <w:rFonts w:ascii="Arial" w:hAnsi="Arial" w:cs="Arial"/>
          <w:sz w:val="24"/>
          <w:szCs w:val="24"/>
        </w:rPr>
        <w:t>ulphur</w:t>
      </w:r>
      <w:r w:rsidR="00A329CB" w:rsidRPr="00814751">
        <w:rPr>
          <w:rFonts w:ascii="Arial" w:hAnsi="Arial" w:cs="Arial"/>
          <w:sz w:val="24"/>
          <w:szCs w:val="24"/>
        </w:rPr>
        <w:t xml:space="preserve"> nutrition impacts nodulation in legumes and lowers nitrogen fixation.</w:t>
      </w:r>
    </w:p>
    <w:p w14:paraId="3475C1D4" w14:textId="2DA7FC4A" w:rsidR="00151613" w:rsidRDefault="00A329CB" w:rsidP="00151613">
      <w:pPr>
        <w:spacing w:line="276" w:lineRule="auto"/>
        <w:jc w:val="both"/>
        <w:rPr>
          <w:rFonts w:ascii="Arial" w:hAnsi="Arial" w:cs="Arial"/>
          <w:b/>
          <w:bCs/>
          <w:sz w:val="24"/>
          <w:szCs w:val="24"/>
        </w:rPr>
      </w:pPr>
      <w:r w:rsidRPr="00814751">
        <w:rPr>
          <w:rFonts w:ascii="Arial" w:hAnsi="Arial" w:cs="Arial"/>
          <w:sz w:val="24"/>
          <w:szCs w:val="24"/>
        </w:rPr>
        <w:t xml:space="preserve">Sulphur deficiency results in the production of pale green, yellowish-green or solid yellow. Symptoms of sulphur deficiency look like nitrogen (N) but appear first in younger leaves due to less mobility in the plant than N, while in the case of nitrogen, they appear first in the older leaves </w:t>
      </w:r>
      <w:r w:rsidR="00F44E2A">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{"citationItems":[{"id":"ITEM-1","itemData":{"author":[{"dropping-particle":"","family":"Chahal","given":"H S","non-dropping-particle":"","parse-names":false,"suffix":""},{"dropping-particle":"","family":"Singh","given":"A","non-dropping-particle":"","parse-names":false,"suffix":""},{"dropping-particle":"","family":"Gurdeep","given":"S M","non-dropping-particle":"","parse-names":false,"suffix":""}],"container-title":"Journal of Oilseed Brassica,","id":"ITEM-1","issue":"2","issued":{"date-parts":[["2020"]]},"page":"95-102","title":"Role of sulphur nutrition in oilseed crop production.","type":"article-journal","volume":"11"},"uris":["http://www.mendeley.com/documents/?uuid=804dc43d-a972-4f0a-94a5-0148c96a5a30"]}],"mendeley":{"formattedCitation":"(Chahal et al., 2020)","manualFormatting":"Chahal et al., 2020)","plainTextFormattedCitation":"(Chahal et al., 2020)","previouslyFormattedCitation":"(Chahal et al., 2020)"},"properties":{"noteIndex":0},"schema":"https://github.com/citation-style-language/schema/raw/master/csl-citation.json"}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Chahal et al., 2020)</w:t>
      </w:r>
      <w:r w:rsidRPr="00814751">
        <w:rPr>
          <w:rFonts w:ascii="Arial" w:hAnsi="Arial" w:cs="Arial"/>
          <w:sz w:val="24"/>
          <w:szCs w:val="24"/>
        </w:rPr>
        <w:fldChar w:fldCharType="end"/>
      </w:r>
      <w:r w:rsidRPr="00814751">
        <w:rPr>
          <w:rFonts w:ascii="Arial" w:hAnsi="Arial" w:cs="Arial"/>
          <w:sz w:val="24"/>
          <w:szCs w:val="24"/>
        </w:rPr>
        <w:t xml:space="preserve">. Disruption of protein metabolism in the synthesis of chlorophyll leads to acute deficiency. Cell division is also reduced due to </w:t>
      </w:r>
      <w:proofErr w:type="gramStart"/>
      <w:r w:rsidRPr="00814751">
        <w:rPr>
          <w:rFonts w:ascii="Arial" w:hAnsi="Arial" w:cs="Arial"/>
          <w:sz w:val="24"/>
          <w:szCs w:val="24"/>
        </w:rPr>
        <w:t>an</w:t>
      </w:r>
      <w:proofErr w:type="gramEnd"/>
      <w:r w:rsidRPr="00814751">
        <w:rPr>
          <w:rFonts w:ascii="Arial" w:hAnsi="Arial" w:cs="Arial"/>
          <w:sz w:val="24"/>
          <w:szCs w:val="24"/>
        </w:rPr>
        <w:t xml:space="preserve"> Sulphur deficiency which causes the plant to atrophy. Substantial yield obtained by applying sulphur fertilizer to crops having sulphur demand that cannot be satisfied by soil sulphur supply. Sulphur fertilization may also produce earlier and more uniform maturity and higher oil and protein levels. </w:t>
      </w:r>
      <w:r w:rsidR="003C2A55">
        <w:rPr>
          <w:rFonts w:ascii="Arial" w:hAnsi="Arial" w:cs="Arial"/>
          <w:sz w:val="24"/>
          <w:szCs w:val="24"/>
        </w:rPr>
        <w:t>(</w:t>
      </w:r>
      <w:r w:rsidRPr="00814751">
        <w:rPr>
          <w:rFonts w:ascii="Arial" w:hAnsi="Arial" w:cs="Arial"/>
          <w:sz w:val="24"/>
          <w:szCs w:val="24"/>
        </w:rPr>
        <w:fldChar w:fldCharType="begin" w:fldLock="1"/>
      </w:r>
      <w:r w:rsidR="003C2A55">
        <w:rPr>
          <w:rFonts w:ascii="Arial" w:hAnsi="Arial" w:cs="Arial"/>
          <w:sz w:val="24"/>
          <w:szCs w:val="24"/>
        </w:rPr>
        <w:instrText>ADDIN CSL_CITATION {"citationItems":[{"id":"ITEM-1","itemData":{"DOI":"10.1016/j.sjbs.2020.11.033","ISSN":"1319562X","author":[{"dropping-particle":"","family":"Burkitbayev","given":"Mukhambetkali","non-dropping-particle":"","parse-names":false,"suffix":""},{"dropping-particle":"","family":"Bachilova","given":"Nadezhda","non-dropping-particle":"","parse-names":false,"suffix":""},{"dropping-particle":"","family":"Kurmanbayeva","given":"Meruyert","non-dropping-particle":"","parse-names":false,"suffix":""},{"dropping-particle":"","family":"Tolenova","given":"Karakoz","non-dropping-particle":"","parse-names":false,"suffix":""},{"dropping-particle":"","family":"Yerezhepova","given":"Nurgul","non-dropping-particle":"","parse-names":false,"suffix":""},{"dropping-particle":"","family":"Zhumagul","given":"Moldir","non-dropping-particle":"","parse-names":false,"suffix":""},{"dropping-particle":"","family":"Mamurova","given":"Asem","non-dropping-particle":"","parse-names":false,"suffix":""},{"dropping-particle":"","family":"Turysbek","given":"Bexultan","non-dropping-particle":"","parse-names":false,"suffix":""},{"dropping-particle":"","family":"Demeu","given":"Gulim","non-dropping-particle":"","parse-names":false,"suffix":""}],"container-title":"Saudi Journal of Biological Sciences","id":"ITEM-1","issue":"1","issued":{"date-parts":[["2021","1"]]},"page":"891-900","title":"Effect of sulphur-containing agrochemicals on growth, yield, and protein content of soybeans (Glycine max (L.) Merr)","type":"article-journal","volume":"28"},"uris":["http://www.mendeley.com/documents/?uuid=36083f34-4ffd-46fc-a668-254d4e2f688d"]}],"mendeley":{"formattedCitation":"(Burkitbayev et al., 2021)","manualFormatting":"Burkitbayev et al., 2021)","plainTextFormattedCitation":"(Burkitbayev et al., 2021)","previouslyFormattedCitation":"(Burkitbayev et al., 2021)"},"properties":{"noteIndex":0},"schema":"https://github.com/citation-style-language/schema/raw/master/csl-citation.json"}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Burkitbayev et al., 2021)</w:t>
      </w:r>
      <w:r w:rsidRPr="00814751">
        <w:rPr>
          <w:rFonts w:ascii="Arial" w:hAnsi="Arial" w:cs="Arial"/>
          <w:sz w:val="24"/>
          <w:szCs w:val="24"/>
        </w:rPr>
        <w:fldChar w:fldCharType="end"/>
      </w:r>
      <w:r w:rsidRPr="00814751">
        <w:rPr>
          <w:rFonts w:ascii="Arial" w:hAnsi="Arial" w:cs="Arial"/>
          <w:sz w:val="24"/>
          <w:szCs w:val="24"/>
        </w:rPr>
        <w:t>.</w:t>
      </w:r>
      <w:r w:rsidRPr="00814751">
        <w:rPr>
          <w:sz w:val="24"/>
          <w:szCs w:val="24"/>
        </w:rPr>
        <w:t xml:space="preserve"> </w:t>
      </w:r>
      <w:r w:rsidRPr="00814751">
        <w:rPr>
          <w:rFonts w:ascii="Arial" w:hAnsi="Arial" w:cs="Arial"/>
          <w:sz w:val="24"/>
          <w:szCs w:val="24"/>
        </w:rPr>
        <w:t>Elemental sulphur is not immediately effective for soils very deficient in sulphur, but may be a useful part of a long-term sulphur fertilizer management plan for soils low in plant</w:t>
      </w:r>
      <w:r w:rsidR="0099617E">
        <w:rPr>
          <w:rFonts w:ascii="Arial" w:hAnsi="Arial" w:cs="Arial"/>
          <w:sz w:val="24"/>
          <w:szCs w:val="24"/>
        </w:rPr>
        <w:t xml:space="preserve"> </w:t>
      </w:r>
      <w:r w:rsidRPr="00814751">
        <w:rPr>
          <w:rFonts w:ascii="Arial" w:hAnsi="Arial" w:cs="Arial"/>
          <w:sz w:val="24"/>
          <w:szCs w:val="24"/>
        </w:rPr>
        <w:t xml:space="preserve">available Sulphur. Sulphur solubilizing bacteria it helps in the chlorophyll formation that allows photosynthesis, by which plants produce starch, sugars, oils, fats, vitamins and other </w:t>
      </w:r>
      <w:r w:rsidRPr="0099617E">
        <w:rPr>
          <w:rFonts w:ascii="Arial" w:hAnsi="Arial" w:cs="Arial"/>
          <w:sz w:val="24"/>
          <w:szCs w:val="24"/>
        </w:rPr>
        <w:t xml:space="preserve">compounds </w:t>
      </w:r>
      <w:r w:rsidR="003C2A55" w:rsidRPr="0099617E">
        <w:rPr>
          <w:rFonts w:ascii="Arial" w:hAnsi="Arial" w:cs="Arial"/>
          <w:sz w:val="24"/>
          <w:szCs w:val="24"/>
        </w:rPr>
        <w:t>(</w:t>
      </w:r>
      <w:r w:rsidRPr="0099617E">
        <w:rPr>
          <w:rFonts w:ascii="Arial" w:hAnsi="Arial" w:cs="Arial"/>
          <w:sz w:val="24"/>
          <w:szCs w:val="24"/>
        </w:rPr>
        <w:fldChar w:fldCharType="begin" w:fldLock="1"/>
      </w:r>
      <w:r w:rsidR="003C2A55" w:rsidRPr="0099617E">
        <w:rPr>
          <w:rFonts w:ascii="Arial" w:hAnsi="Arial" w:cs="Arial"/>
          <w:sz w:val="24"/>
          <w:szCs w:val="24"/>
        </w:rPr>
        <w:instrText>ADDIN CSL_CITATION {"citationItems":[{"id":"ITEM-1","itemData":{"DOI":"10.1007/s42729-022-00798-9","ISSN":"0718-9508","author":[{"dropping-particle":"","family":"Shah","given":"S H","non-dropping-particle":"","parse-names":false,"suffix":""},{"dropping-particle":"","family":"Islam","given":"Shaistul","non-dropping-particle":"","parse-names":false,"suffix":""},{"dropping-particle":"","family":"Mohammad","given":"Firoz","non-dropping-particle":"","parse-names":false,"suffix":""}],"container-title":"Journal of Soil Science and Plant Nutrition","id":"ITEM-1","issue":"2","issued":{"date-parts":[["2022","6","25"]]},"page":"2118-2143","title":"Sulphur as a dynamic mineral element for plants: a review","type":"article-journal","volume":"22"},"uris":["http://www.mendeley.com/documents/?uuid=f0f20ed0-83b2-4be0-bc25-42e7bdc0874f"]}],"mendeley":{"formattedCitation":"(Shah et al., 2022)","manualFormatting":"Shah et al., 2022)","plainTextFormattedCitation":"(Shah et al., 2022)","previouslyFormattedCitation":"(Shah et al., 2022)"},"properties":{"noteIndex":0},"schema":"https://github.com/citation-style-language/schema/raw/master/csl-citation.json"}</w:instrText>
      </w:r>
      <w:r w:rsidRPr="0099617E">
        <w:rPr>
          <w:rFonts w:ascii="Arial" w:hAnsi="Arial" w:cs="Arial"/>
          <w:sz w:val="24"/>
          <w:szCs w:val="24"/>
        </w:rPr>
        <w:fldChar w:fldCharType="separate"/>
      </w:r>
      <w:r w:rsidRPr="0099617E">
        <w:rPr>
          <w:rFonts w:ascii="Arial" w:hAnsi="Arial" w:cs="Arial"/>
          <w:noProof/>
          <w:sz w:val="24"/>
          <w:szCs w:val="24"/>
        </w:rPr>
        <w:t>Shah et al., 2022)</w:t>
      </w:r>
      <w:r w:rsidRPr="0099617E">
        <w:rPr>
          <w:rFonts w:ascii="Arial" w:hAnsi="Arial" w:cs="Arial"/>
          <w:sz w:val="24"/>
          <w:szCs w:val="24"/>
        </w:rPr>
        <w:fldChar w:fldCharType="end"/>
      </w:r>
      <w:r w:rsidRPr="0099617E">
        <w:rPr>
          <w:rFonts w:ascii="Arial" w:hAnsi="Arial" w:cs="Arial"/>
          <w:sz w:val="24"/>
          <w:szCs w:val="24"/>
        </w:rPr>
        <w:t xml:space="preserve">. Nano materials are the product of nano technology, a field in which </w:t>
      </w:r>
      <w:r w:rsidRPr="00814751">
        <w:rPr>
          <w:rFonts w:ascii="Arial" w:hAnsi="Arial" w:cs="Arial"/>
          <w:sz w:val="24"/>
          <w:szCs w:val="24"/>
        </w:rPr>
        <w:t xml:space="preserve">particle sizes are reduced </w:t>
      </w:r>
      <w:r w:rsidR="00F44E2A">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DOI":"10.1016/j.arabjc.2017.05.011","ISSN":"18785352","author":[{"dropping-particle":"","family":"Khan","given":"Ibrahim","non-dropping-particle":"","parse-names":false,"suffix":""},{"dropping-particle":"","family":"Saeed","given":"Khalid","non-dropping-particle":"","parse-names":false,"suffix":""},{"dropping-particle":"","family":"Khan","given":"Idrees","non-dropping-particle":"","parse-names":false,"suffix":""}],"container-title":"Arabian Journal of Chemistry","id":"ITEM-1","issue":"7","issued":{"date-parts":[["2019","11"]]},"page":"908-931","title":"Nanoparticles: Properties, applications and toxicities","type":"article-journal","volume":"12"},"uris":["http://www.mendeley.com/documents/?uuid=4a66fda6-4271-4aac-be31-274cc55a58e5"]}],"mendeley":{"formattedCitation":"(Khan et al., 2019)","manualFormatting":"Khan et al., 2019)","plainTextFormattedCitation":"(Khan et al., 2019)","previouslyFormattedCitation":"(Khan et al., 2019)"},"properties":{"noteIndex":0},"schema":"https://github.com/citation-style-language/schema/raw/master/csl-citation.json"}</w:instrText>
      </w:r>
      <w:r w:rsidRPr="00814751">
        <w:rPr>
          <w:rFonts w:ascii="Arial" w:hAnsi="Arial" w:cs="Arial"/>
          <w:sz w:val="24"/>
          <w:szCs w:val="24"/>
        </w:rPr>
        <w:fldChar w:fldCharType="separate"/>
      </w:r>
      <w:r w:rsidR="002F3B0E" w:rsidRPr="00814751">
        <w:rPr>
          <w:rFonts w:ascii="Arial" w:hAnsi="Arial" w:cs="Arial"/>
          <w:noProof/>
          <w:sz w:val="24"/>
          <w:szCs w:val="24"/>
        </w:rPr>
        <w:t>Khan et al., 2019)</w:t>
      </w:r>
      <w:r w:rsidRPr="00814751">
        <w:rPr>
          <w:rFonts w:ascii="Arial" w:hAnsi="Arial" w:cs="Arial"/>
          <w:sz w:val="24"/>
          <w:szCs w:val="24"/>
        </w:rPr>
        <w:fldChar w:fldCharType="end"/>
      </w:r>
      <w:r w:rsidRPr="00814751">
        <w:rPr>
          <w:rFonts w:ascii="Arial" w:hAnsi="Arial" w:cs="Arial"/>
          <w:sz w:val="24"/>
          <w:szCs w:val="24"/>
        </w:rPr>
        <w:t>.</w:t>
      </w:r>
      <w:r w:rsidR="00E413E3">
        <w:rPr>
          <w:rFonts w:ascii="Arial" w:hAnsi="Arial" w:cs="Arial"/>
          <w:sz w:val="24"/>
          <w:szCs w:val="24"/>
        </w:rPr>
        <w:t xml:space="preserve"> </w:t>
      </w:r>
      <w:r w:rsidRPr="00814751">
        <w:rPr>
          <w:rFonts w:ascii="Arial" w:hAnsi="Arial" w:cs="Arial"/>
          <w:sz w:val="24"/>
          <w:szCs w:val="24"/>
        </w:rPr>
        <w:t>It has been shown that nano-sulphur application decreased Hg accumulation and increased</w:t>
      </w:r>
      <w:r w:rsidR="00B2293E">
        <w:rPr>
          <w:rFonts w:ascii="Arial" w:hAnsi="Arial" w:cs="Arial"/>
          <w:sz w:val="24"/>
          <w:szCs w:val="24"/>
        </w:rPr>
        <w:t xml:space="preserve"> </w:t>
      </w:r>
      <w:r w:rsidRPr="00814751">
        <w:rPr>
          <w:rFonts w:ascii="Arial" w:hAnsi="Arial" w:cs="Arial"/>
          <w:sz w:val="24"/>
          <w:szCs w:val="24"/>
        </w:rPr>
        <w:t>growth</w:t>
      </w:r>
      <w:r w:rsidR="00B2293E">
        <w:rPr>
          <w:rFonts w:ascii="Arial" w:hAnsi="Arial" w:cs="Arial"/>
          <w:sz w:val="24"/>
          <w:szCs w:val="24"/>
        </w:rPr>
        <w:t xml:space="preserve"> </w:t>
      </w:r>
      <w:r w:rsidRPr="00814751">
        <w:rPr>
          <w:rFonts w:ascii="Arial" w:hAnsi="Arial" w:cs="Arial"/>
          <w:sz w:val="24"/>
          <w:szCs w:val="24"/>
        </w:rPr>
        <w:t>of</w:t>
      </w:r>
      <w:r w:rsidR="00B2293E">
        <w:rPr>
          <w:rFonts w:ascii="Arial" w:hAnsi="Arial" w:cs="Arial"/>
          <w:sz w:val="24"/>
          <w:szCs w:val="24"/>
        </w:rPr>
        <w:t xml:space="preserve"> </w:t>
      </w:r>
      <w:r w:rsidRPr="00814751">
        <w:rPr>
          <w:rFonts w:ascii="Arial" w:hAnsi="Arial" w:cs="Arial"/>
          <w:sz w:val="24"/>
          <w:szCs w:val="24"/>
        </w:rPr>
        <w:t xml:space="preserve">oilseed </w:t>
      </w:r>
      <w:proofErr w:type="spellStart"/>
      <w:r w:rsidRPr="00814751">
        <w:rPr>
          <w:rFonts w:ascii="Arial" w:hAnsi="Arial" w:cs="Arial"/>
          <w:sz w:val="24"/>
          <w:szCs w:val="24"/>
        </w:rPr>
        <w:t>rapeseedlings</w:t>
      </w:r>
      <w:proofErr w:type="spellEnd"/>
      <w:r w:rsidRPr="00814751">
        <w:rPr>
          <w:rFonts w:ascii="Arial" w:hAnsi="Arial" w:cs="Arial"/>
          <w:sz w:val="24"/>
          <w:szCs w:val="24"/>
        </w:rPr>
        <w:t xml:space="preserve"> (</w:t>
      </w:r>
      <w:proofErr w:type="gramStart"/>
      <w:r w:rsidRPr="00814751">
        <w:rPr>
          <w:rFonts w:ascii="Arial" w:hAnsi="Arial" w:cs="Arial"/>
          <w:i/>
          <w:iCs/>
          <w:sz w:val="24"/>
          <w:szCs w:val="24"/>
        </w:rPr>
        <w:t xml:space="preserve">Brassica  </w:t>
      </w:r>
      <w:proofErr w:type="spellStart"/>
      <w:r w:rsidRPr="00814751">
        <w:rPr>
          <w:rFonts w:ascii="Arial" w:hAnsi="Arial" w:cs="Arial"/>
          <w:i/>
          <w:iCs/>
          <w:sz w:val="24"/>
          <w:szCs w:val="24"/>
        </w:rPr>
        <w:t>napus</w:t>
      </w:r>
      <w:proofErr w:type="spellEnd"/>
      <w:proofErr w:type="gramEnd"/>
      <w:r w:rsidRPr="00814751">
        <w:rPr>
          <w:rFonts w:ascii="Arial" w:hAnsi="Arial" w:cs="Arial"/>
          <w:sz w:val="24"/>
          <w:szCs w:val="24"/>
        </w:rPr>
        <w:t xml:space="preserve"> L.) via modulation of antioxidant enzymes pathway and affecting the soil microbial communities when grown on mercury-contaminated soil. Nano-</w:t>
      </w:r>
      <w:proofErr w:type="gramStart"/>
      <w:r w:rsidRPr="00814751">
        <w:rPr>
          <w:rFonts w:ascii="Arial" w:hAnsi="Arial" w:cs="Arial"/>
          <w:sz w:val="24"/>
          <w:szCs w:val="24"/>
        </w:rPr>
        <w:t>sulphur  holds</w:t>
      </w:r>
      <w:proofErr w:type="gramEnd"/>
      <w:r w:rsidRPr="00814751">
        <w:rPr>
          <w:rFonts w:ascii="Arial" w:hAnsi="Arial" w:cs="Arial"/>
          <w:sz w:val="24"/>
          <w:szCs w:val="24"/>
        </w:rPr>
        <w:t xml:space="preserve">  great  promise  as  an important nanomaterial to alleviate the current food security challenges faced by agriculture and to simultaneously reduce the input of synthetic pesticides. Its beneficial effects are attributed to its ability to improve plant growth and development, enhance </w:t>
      </w:r>
      <w:proofErr w:type="gramStart"/>
      <w:r w:rsidRPr="00814751">
        <w:rPr>
          <w:rFonts w:ascii="Arial" w:hAnsi="Arial" w:cs="Arial"/>
          <w:sz w:val="24"/>
          <w:szCs w:val="24"/>
        </w:rPr>
        <w:t>nutrient  absorption</w:t>
      </w:r>
      <w:proofErr w:type="gramEnd"/>
      <w:r w:rsidRPr="00814751">
        <w:rPr>
          <w:rFonts w:ascii="Arial" w:hAnsi="Arial" w:cs="Arial"/>
          <w:sz w:val="24"/>
          <w:szCs w:val="24"/>
        </w:rPr>
        <w:t xml:space="preserve"> through soil improvement, stimulate significant defence activity against plant pathogens, and regulate oxidative stress.</w:t>
      </w:r>
      <w:r w:rsidR="000F7E4C">
        <w:rPr>
          <w:rFonts w:ascii="Arial" w:hAnsi="Arial" w:cs="Arial"/>
          <w:sz w:val="24"/>
          <w:szCs w:val="24"/>
        </w:rPr>
        <w:t xml:space="preserve"> </w:t>
      </w:r>
      <w:r w:rsidR="00151613">
        <w:rPr>
          <w:rFonts w:ascii="Arial" w:hAnsi="Arial" w:cs="Arial"/>
          <w:sz w:val="24"/>
          <w:szCs w:val="24"/>
        </w:rPr>
        <w:t xml:space="preserve">Thus, the experiment was </w:t>
      </w:r>
      <w:r w:rsidR="00151613" w:rsidRPr="00151613">
        <w:rPr>
          <w:rFonts w:ascii="Arial" w:hAnsi="Arial" w:cs="Arial"/>
          <w:sz w:val="24"/>
          <w:szCs w:val="24"/>
        </w:rPr>
        <w:t>aimed to evaluate the growth and yield attributes of Linseed (</w:t>
      </w:r>
      <w:proofErr w:type="spellStart"/>
      <w:r w:rsidR="00151613" w:rsidRPr="00151613">
        <w:rPr>
          <w:rFonts w:ascii="Arial" w:hAnsi="Arial" w:cs="Arial"/>
          <w:i/>
          <w:iCs/>
          <w:sz w:val="24"/>
          <w:szCs w:val="24"/>
        </w:rPr>
        <w:t>Linum</w:t>
      </w:r>
      <w:proofErr w:type="spellEnd"/>
      <w:r w:rsidR="00151613" w:rsidRPr="00151613">
        <w:rPr>
          <w:rFonts w:ascii="Arial" w:hAnsi="Arial" w:cs="Arial"/>
          <w:i/>
          <w:iCs/>
          <w:sz w:val="24"/>
          <w:szCs w:val="24"/>
        </w:rPr>
        <w:t xml:space="preserve"> </w:t>
      </w:r>
      <w:proofErr w:type="spellStart"/>
      <w:r w:rsidR="00151613" w:rsidRPr="00151613">
        <w:rPr>
          <w:rFonts w:ascii="Arial" w:hAnsi="Arial" w:cs="Arial"/>
          <w:i/>
          <w:iCs/>
          <w:sz w:val="24"/>
          <w:szCs w:val="24"/>
        </w:rPr>
        <w:t>usitatissimum</w:t>
      </w:r>
      <w:proofErr w:type="spellEnd"/>
      <w:r w:rsidR="00151613" w:rsidRPr="00151613">
        <w:rPr>
          <w:rFonts w:ascii="Arial" w:hAnsi="Arial" w:cs="Arial"/>
          <w:sz w:val="24"/>
          <w:szCs w:val="24"/>
        </w:rPr>
        <w:t xml:space="preserve"> L.) as influenced by different sources of Sulphur under </w:t>
      </w:r>
      <w:proofErr w:type="spellStart"/>
      <w:r w:rsidR="00151613" w:rsidRPr="00151613">
        <w:rPr>
          <w:rFonts w:ascii="Arial" w:hAnsi="Arial" w:cs="Arial"/>
          <w:sz w:val="24"/>
          <w:szCs w:val="24"/>
        </w:rPr>
        <w:t>Dhampur</w:t>
      </w:r>
      <w:proofErr w:type="spellEnd"/>
      <w:r w:rsidR="00151613" w:rsidRPr="00151613">
        <w:rPr>
          <w:rFonts w:ascii="Arial" w:hAnsi="Arial" w:cs="Arial"/>
          <w:sz w:val="24"/>
          <w:szCs w:val="24"/>
        </w:rPr>
        <w:t xml:space="preserve"> condition</w:t>
      </w:r>
      <w:r w:rsidR="00151613">
        <w:rPr>
          <w:rFonts w:ascii="Arial" w:hAnsi="Arial" w:cs="Arial"/>
          <w:sz w:val="24"/>
          <w:szCs w:val="24"/>
        </w:rPr>
        <w:t>.</w:t>
      </w:r>
    </w:p>
    <w:p w14:paraId="78297B35" w14:textId="2499A501" w:rsidR="00742EA4" w:rsidRPr="000F7E4C" w:rsidRDefault="00742EA4" w:rsidP="000D4F37">
      <w:pPr>
        <w:spacing w:after="120" w:line="360" w:lineRule="auto"/>
        <w:ind w:firstLine="720"/>
        <w:jc w:val="both"/>
        <w:rPr>
          <w:rFonts w:ascii="Arial" w:hAnsi="Arial" w:cs="Arial"/>
          <w:sz w:val="24"/>
          <w:szCs w:val="24"/>
        </w:rPr>
      </w:pPr>
    </w:p>
    <w:p w14:paraId="6A6E9536" w14:textId="694095A6" w:rsidR="009B7762" w:rsidRPr="00814751" w:rsidRDefault="006334EF" w:rsidP="000D4F37">
      <w:pPr>
        <w:pStyle w:val="NoSpacing"/>
        <w:numPr>
          <w:ilvl w:val="0"/>
          <w:numId w:val="4"/>
        </w:numPr>
        <w:spacing w:after="120" w:line="360" w:lineRule="auto"/>
        <w:jc w:val="center"/>
        <w:rPr>
          <w:rFonts w:ascii="Arial" w:hAnsi="Arial" w:cs="Arial"/>
          <w:b/>
          <w:bCs/>
          <w:sz w:val="24"/>
          <w:szCs w:val="24"/>
        </w:rPr>
      </w:pPr>
      <w:r w:rsidRPr="00814751">
        <w:rPr>
          <w:rFonts w:ascii="Arial" w:hAnsi="Arial" w:cs="Arial"/>
          <w:b/>
          <w:bCs/>
          <w:sz w:val="24"/>
          <w:szCs w:val="24"/>
        </w:rPr>
        <w:t>METHOD</w:t>
      </w:r>
      <w:r w:rsidR="00151613">
        <w:rPr>
          <w:rFonts w:ascii="Arial" w:hAnsi="Arial" w:cs="Arial"/>
          <w:b/>
          <w:bCs/>
          <w:sz w:val="24"/>
          <w:szCs w:val="24"/>
        </w:rPr>
        <w:t>S</w:t>
      </w:r>
      <w:r w:rsidRPr="00814751">
        <w:rPr>
          <w:rFonts w:ascii="Arial" w:hAnsi="Arial" w:cs="Arial"/>
          <w:b/>
          <w:bCs/>
          <w:sz w:val="24"/>
          <w:szCs w:val="24"/>
        </w:rPr>
        <w:t xml:space="preserve"> AND METERIAL</w:t>
      </w:r>
      <w:r w:rsidR="00151613">
        <w:rPr>
          <w:rFonts w:ascii="Arial" w:hAnsi="Arial" w:cs="Arial"/>
          <w:b/>
          <w:bCs/>
          <w:sz w:val="24"/>
          <w:szCs w:val="24"/>
        </w:rPr>
        <w:t>S</w:t>
      </w:r>
    </w:p>
    <w:p w14:paraId="41966E3C" w14:textId="2FDD2DDD" w:rsidR="001820F8" w:rsidRPr="00151613" w:rsidRDefault="004C497C" w:rsidP="00151613">
      <w:pPr>
        <w:jc w:val="both"/>
        <w:rPr>
          <w:rFonts w:ascii="Arial" w:hAnsi="Arial" w:cs="Arial"/>
          <w:b/>
          <w:bCs/>
          <w:sz w:val="24"/>
          <w:szCs w:val="24"/>
        </w:rPr>
      </w:pPr>
      <w:r w:rsidRPr="004C497C">
        <w:rPr>
          <w:rFonts w:ascii="Arial" w:eastAsia="Arial Unicode MS" w:hAnsi="Arial" w:cs="Arial"/>
          <w:sz w:val="24"/>
          <w:szCs w:val="24"/>
        </w:rPr>
        <w:t>A field experiment entitled</w:t>
      </w:r>
      <w:r w:rsidRPr="004C497C">
        <w:rPr>
          <w:rFonts w:ascii="Arial" w:eastAsia="Arial Unicode MS" w:hAnsi="Arial" w:cs="Arial"/>
          <w:b/>
          <w:bCs/>
          <w:sz w:val="24"/>
          <w:szCs w:val="24"/>
        </w:rPr>
        <w:t xml:space="preserve"> </w:t>
      </w:r>
      <w:r w:rsidR="00151613" w:rsidRPr="00151613">
        <w:rPr>
          <w:rFonts w:ascii="Arial" w:hAnsi="Arial" w:cs="Arial"/>
          <w:sz w:val="24"/>
          <w:szCs w:val="24"/>
        </w:rPr>
        <w:t>growth and yield attributes of Linseed (</w:t>
      </w:r>
      <w:proofErr w:type="spellStart"/>
      <w:r w:rsidR="00151613" w:rsidRPr="00151613">
        <w:rPr>
          <w:rFonts w:ascii="Arial" w:hAnsi="Arial" w:cs="Arial"/>
          <w:i/>
          <w:iCs/>
          <w:sz w:val="24"/>
          <w:szCs w:val="24"/>
        </w:rPr>
        <w:t>Linum</w:t>
      </w:r>
      <w:proofErr w:type="spellEnd"/>
      <w:r w:rsidR="00151613" w:rsidRPr="00151613">
        <w:rPr>
          <w:rFonts w:ascii="Arial" w:hAnsi="Arial" w:cs="Arial"/>
          <w:i/>
          <w:iCs/>
          <w:sz w:val="24"/>
          <w:szCs w:val="24"/>
        </w:rPr>
        <w:t xml:space="preserve"> </w:t>
      </w:r>
      <w:proofErr w:type="spellStart"/>
      <w:r w:rsidR="00151613" w:rsidRPr="00151613">
        <w:rPr>
          <w:rFonts w:ascii="Arial" w:hAnsi="Arial" w:cs="Arial"/>
          <w:i/>
          <w:iCs/>
          <w:sz w:val="24"/>
          <w:szCs w:val="24"/>
        </w:rPr>
        <w:t>usitatissimum</w:t>
      </w:r>
      <w:proofErr w:type="spellEnd"/>
      <w:r w:rsidR="00151613" w:rsidRPr="00151613">
        <w:rPr>
          <w:rFonts w:ascii="Arial" w:hAnsi="Arial" w:cs="Arial"/>
          <w:sz w:val="24"/>
          <w:szCs w:val="24"/>
        </w:rPr>
        <w:t xml:space="preserve"> L.) as influenced by different sources of Sulphur under </w:t>
      </w:r>
      <w:proofErr w:type="spellStart"/>
      <w:r w:rsidR="00151613" w:rsidRPr="00151613">
        <w:rPr>
          <w:rFonts w:ascii="Arial" w:hAnsi="Arial" w:cs="Arial"/>
          <w:sz w:val="24"/>
          <w:szCs w:val="24"/>
        </w:rPr>
        <w:t>Dhampur</w:t>
      </w:r>
      <w:proofErr w:type="spellEnd"/>
      <w:r w:rsidR="00151613" w:rsidRPr="00151613">
        <w:rPr>
          <w:rFonts w:ascii="Arial" w:hAnsi="Arial" w:cs="Arial"/>
          <w:sz w:val="24"/>
          <w:szCs w:val="24"/>
        </w:rPr>
        <w:t xml:space="preserve"> condition</w:t>
      </w:r>
      <w:r w:rsidR="00151613">
        <w:rPr>
          <w:rFonts w:ascii="Arial" w:hAnsi="Arial" w:cs="Arial"/>
          <w:b/>
          <w:bCs/>
          <w:sz w:val="24"/>
          <w:szCs w:val="24"/>
        </w:rPr>
        <w:t xml:space="preserve"> </w:t>
      </w:r>
      <w:r w:rsidRPr="004C497C">
        <w:rPr>
          <w:rFonts w:ascii="Arial" w:eastAsia="Arial Unicode MS" w:hAnsi="Arial" w:cs="Arial"/>
          <w:sz w:val="24"/>
          <w:szCs w:val="24"/>
        </w:rPr>
        <w:t>was conducted during winter (</w:t>
      </w:r>
      <w:r w:rsidRPr="004C497C">
        <w:rPr>
          <w:rFonts w:ascii="Arial" w:eastAsia="Arial Unicode MS" w:hAnsi="Arial" w:cs="Arial"/>
          <w:i/>
          <w:iCs/>
          <w:sz w:val="24"/>
          <w:szCs w:val="24"/>
        </w:rPr>
        <w:t>Rabi</w:t>
      </w:r>
      <w:r w:rsidRPr="004C497C">
        <w:rPr>
          <w:rFonts w:ascii="Arial" w:eastAsia="Arial Unicode MS" w:hAnsi="Arial" w:cs="Arial"/>
          <w:sz w:val="24"/>
          <w:szCs w:val="24"/>
        </w:rPr>
        <w:t>) seasons 2024-25 at Agronom</w:t>
      </w:r>
      <w:r w:rsidR="00EC50E7">
        <w:rPr>
          <w:rFonts w:ascii="Arial" w:eastAsia="Arial Unicode MS" w:hAnsi="Arial" w:cs="Arial"/>
          <w:sz w:val="24"/>
          <w:szCs w:val="24"/>
        </w:rPr>
        <w:t>y</w:t>
      </w:r>
      <w:r w:rsidRPr="004C497C">
        <w:rPr>
          <w:rFonts w:ascii="Arial" w:eastAsia="Arial Unicode MS" w:hAnsi="Arial" w:cs="Arial"/>
          <w:sz w:val="24"/>
          <w:szCs w:val="24"/>
        </w:rPr>
        <w:t xml:space="preserve"> Research Farm R.S.M. (P.G.) College, </w:t>
      </w:r>
      <w:proofErr w:type="spellStart"/>
      <w:r w:rsidRPr="004C497C">
        <w:rPr>
          <w:rFonts w:ascii="Arial" w:eastAsia="Arial Unicode MS" w:hAnsi="Arial" w:cs="Arial"/>
          <w:sz w:val="24"/>
          <w:szCs w:val="24"/>
        </w:rPr>
        <w:t>Dhampur</w:t>
      </w:r>
      <w:proofErr w:type="spellEnd"/>
      <w:r w:rsidRPr="004C497C">
        <w:rPr>
          <w:rFonts w:ascii="Arial" w:eastAsia="Arial Unicode MS" w:hAnsi="Arial" w:cs="Arial"/>
          <w:sz w:val="24"/>
          <w:szCs w:val="24"/>
        </w:rPr>
        <w:t xml:space="preserve">, </w:t>
      </w:r>
      <w:proofErr w:type="spellStart"/>
      <w:r w:rsidRPr="004C497C">
        <w:rPr>
          <w:rFonts w:ascii="Arial" w:eastAsia="Arial Unicode MS" w:hAnsi="Arial" w:cs="Arial"/>
          <w:sz w:val="24"/>
          <w:szCs w:val="24"/>
        </w:rPr>
        <w:t>Bijnor</w:t>
      </w:r>
      <w:proofErr w:type="spellEnd"/>
      <w:r w:rsidRPr="004C497C">
        <w:rPr>
          <w:rFonts w:ascii="Arial" w:eastAsia="Arial Unicode MS" w:hAnsi="Arial" w:cs="Arial"/>
          <w:sz w:val="24"/>
          <w:szCs w:val="24"/>
        </w:rPr>
        <w:t xml:space="preserve">, Uttar Pradesh, India. The details of experiment techniques and materials used for treatment evaluation during the course of investigation are described. </w:t>
      </w:r>
      <w:r w:rsidRPr="00CE072E">
        <w:rPr>
          <w:rFonts w:ascii="Arial" w:eastAsia="Arial Unicode MS" w:hAnsi="Arial" w:cs="Arial"/>
          <w:sz w:val="24"/>
          <w:szCs w:val="24"/>
        </w:rPr>
        <w:t xml:space="preserve">The current study was conducted as a field experiment during the </w:t>
      </w:r>
      <w:r>
        <w:rPr>
          <w:rFonts w:ascii="Arial" w:eastAsia="Arial Unicode MS" w:hAnsi="Arial" w:cs="Arial"/>
          <w:i/>
          <w:sz w:val="24"/>
          <w:szCs w:val="24"/>
        </w:rPr>
        <w:t>r</w:t>
      </w:r>
      <w:r w:rsidRPr="00CE072E">
        <w:rPr>
          <w:rFonts w:ascii="Arial" w:eastAsia="Arial Unicode MS" w:hAnsi="Arial" w:cs="Arial"/>
          <w:i/>
          <w:sz w:val="24"/>
          <w:szCs w:val="24"/>
        </w:rPr>
        <w:t>abi</w:t>
      </w:r>
      <w:r w:rsidRPr="00CE072E">
        <w:rPr>
          <w:rFonts w:ascii="Arial" w:eastAsia="Arial Unicode MS" w:hAnsi="Arial" w:cs="Arial"/>
          <w:sz w:val="24"/>
          <w:szCs w:val="24"/>
        </w:rPr>
        <w:t xml:space="preserve"> season, spanning from </w:t>
      </w:r>
      <w:r w:rsidRPr="00D80E0F">
        <w:rPr>
          <w:rFonts w:ascii="Arial" w:eastAsia="Arial Unicode MS" w:hAnsi="Arial" w:cs="Arial"/>
          <w:color w:val="000000" w:themeColor="text1"/>
          <w:sz w:val="24"/>
          <w:szCs w:val="24"/>
        </w:rPr>
        <w:t>December 2024 to April 2025 at Agronom</w:t>
      </w:r>
      <w:r w:rsidR="004D7867">
        <w:rPr>
          <w:rFonts w:ascii="Arial" w:eastAsia="Arial Unicode MS" w:hAnsi="Arial" w:cs="Arial"/>
          <w:color w:val="000000" w:themeColor="text1"/>
          <w:sz w:val="24"/>
          <w:szCs w:val="24"/>
        </w:rPr>
        <w:t>y</w:t>
      </w:r>
      <w:r w:rsidRPr="00D80E0F">
        <w:rPr>
          <w:rFonts w:ascii="Arial" w:eastAsia="Arial Unicode MS" w:hAnsi="Arial" w:cs="Arial"/>
          <w:color w:val="000000" w:themeColor="text1"/>
          <w:sz w:val="24"/>
          <w:szCs w:val="24"/>
        </w:rPr>
        <w:t xml:space="preserve"> Research Farm, R.S.M. (P.G.) College, </w:t>
      </w:r>
      <w:proofErr w:type="spellStart"/>
      <w:r w:rsidRPr="00D80E0F">
        <w:rPr>
          <w:rFonts w:ascii="Arial" w:eastAsia="Arial Unicode MS" w:hAnsi="Arial" w:cs="Arial"/>
          <w:color w:val="000000" w:themeColor="text1"/>
          <w:sz w:val="24"/>
          <w:szCs w:val="24"/>
        </w:rPr>
        <w:t>Dhampur</w:t>
      </w:r>
      <w:proofErr w:type="spellEnd"/>
      <w:r w:rsidRPr="00D80E0F">
        <w:rPr>
          <w:rFonts w:ascii="Arial" w:eastAsia="Arial Unicode MS" w:hAnsi="Arial" w:cs="Arial"/>
          <w:color w:val="000000" w:themeColor="text1"/>
          <w:sz w:val="24"/>
          <w:szCs w:val="24"/>
        </w:rPr>
        <w:t xml:space="preserve"> (</w:t>
      </w:r>
      <w:proofErr w:type="spellStart"/>
      <w:r w:rsidRPr="00D80E0F">
        <w:rPr>
          <w:rFonts w:ascii="Arial" w:eastAsia="Arial Unicode MS" w:hAnsi="Arial" w:cs="Arial"/>
          <w:color w:val="000000" w:themeColor="text1"/>
          <w:sz w:val="24"/>
          <w:szCs w:val="24"/>
        </w:rPr>
        <w:t>Bijnor</w:t>
      </w:r>
      <w:proofErr w:type="spellEnd"/>
      <w:r w:rsidRPr="00D80E0F">
        <w:rPr>
          <w:rFonts w:ascii="Arial" w:eastAsia="Arial Unicode MS" w:hAnsi="Arial" w:cs="Arial"/>
          <w:color w:val="000000" w:themeColor="text1"/>
          <w:sz w:val="24"/>
          <w:szCs w:val="24"/>
        </w:rPr>
        <w:t xml:space="preserve">). This farm is positioned approximately 1 </w:t>
      </w:r>
      <w:proofErr w:type="spellStart"/>
      <w:r w:rsidRPr="00D80E0F">
        <w:rPr>
          <w:rFonts w:ascii="Arial" w:eastAsia="Arial Unicode MS" w:hAnsi="Arial" w:cs="Arial"/>
          <w:color w:val="000000" w:themeColor="text1"/>
          <w:sz w:val="24"/>
          <w:szCs w:val="24"/>
        </w:rPr>
        <w:t>kilometer</w:t>
      </w:r>
      <w:proofErr w:type="spellEnd"/>
      <w:r w:rsidRPr="00D80E0F">
        <w:rPr>
          <w:rFonts w:ascii="Arial" w:eastAsia="Arial Unicode MS" w:hAnsi="Arial" w:cs="Arial"/>
          <w:color w:val="000000" w:themeColor="text1"/>
          <w:sz w:val="24"/>
          <w:szCs w:val="24"/>
        </w:rPr>
        <w:t xml:space="preserve"> east of </w:t>
      </w:r>
      <w:proofErr w:type="spellStart"/>
      <w:r w:rsidRPr="00D80E0F">
        <w:rPr>
          <w:rFonts w:ascii="Arial" w:eastAsia="Arial Unicode MS" w:hAnsi="Arial" w:cs="Arial"/>
          <w:color w:val="000000" w:themeColor="text1"/>
          <w:sz w:val="24"/>
          <w:szCs w:val="24"/>
        </w:rPr>
        <w:t>Dhampur</w:t>
      </w:r>
      <w:proofErr w:type="spellEnd"/>
      <w:r w:rsidRPr="00D80E0F">
        <w:rPr>
          <w:rFonts w:ascii="Arial" w:eastAsia="Arial Unicode MS" w:hAnsi="Arial" w:cs="Arial"/>
          <w:color w:val="000000" w:themeColor="text1"/>
          <w:sz w:val="24"/>
          <w:szCs w:val="24"/>
        </w:rPr>
        <w:t xml:space="preserve"> town, situated along the </w:t>
      </w:r>
      <w:proofErr w:type="spellStart"/>
      <w:r w:rsidRPr="00D80E0F">
        <w:rPr>
          <w:rFonts w:ascii="Arial" w:eastAsia="Arial Unicode MS" w:hAnsi="Arial" w:cs="Arial"/>
          <w:color w:val="000000" w:themeColor="text1"/>
          <w:sz w:val="24"/>
          <w:szCs w:val="24"/>
        </w:rPr>
        <w:t>Dhampur</w:t>
      </w:r>
      <w:proofErr w:type="spellEnd"/>
      <w:r w:rsidR="00B2293E">
        <w:rPr>
          <w:rFonts w:ascii="Arial" w:eastAsia="Arial Unicode MS" w:hAnsi="Arial" w:cs="Arial"/>
          <w:color w:val="000000" w:themeColor="text1"/>
          <w:sz w:val="24"/>
          <w:szCs w:val="24"/>
        </w:rPr>
        <w:t xml:space="preserve"> </w:t>
      </w:r>
      <w:r w:rsidRPr="00D80E0F">
        <w:rPr>
          <w:rFonts w:ascii="Arial" w:eastAsia="Arial Unicode MS" w:hAnsi="Arial" w:cs="Arial"/>
          <w:color w:val="000000" w:themeColor="text1"/>
          <w:sz w:val="24"/>
          <w:szCs w:val="24"/>
        </w:rPr>
        <w:t>- Moradabad road. The farm stands at an elevation of 286 meters above mean sea level (MSL) and is situated at co</w:t>
      </w:r>
      <w:r>
        <w:rPr>
          <w:rFonts w:ascii="Arial" w:eastAsia="Arial Unicode MS" w:hAnsi="Arial" w:cs="Arial"/>
          <w:color w:val="000000" w:themeColor="text1"/>
          <w:sz w:val="24"/>
          <w:szCs w:val="24"/>
        </w:rPr>
        <w:t>-</w:t>
      </w:r>
      <w:r w:rsidRPr="00D80E0F">
        <w:rPr>
          <w:rFonts w:ascii="Arial" w:eastAsia="Arial Unicode MS" w:hAnsi="Arial" w:cs="Arial"/>
          <w:color w:val="000000" w:themeColor="text1"/>
          <w:sz w:val="24"/>
          <w:szCs w:val="24"/>
        </w:rPr>
        <w:t>ordinates 29.021°N latitude and 78.508°E longitude. The l</w:t>
      </w:r>
      <w:r w:rsidRPr="00CE072E">
        <w:rPr>
          <w:rFonts w:ascii="Arial" w:eastAsia="Arial Unicode MS" w:hAnsi="Arial" w:cs="Arial"/>
          <w:sz w:val="24"/>
          <w:szCs w:val="24"/>
        </w:rPr>
        <w:t>ocation benefits from a range of amenities and resources.</w:t>
      </w:r>
      <w:r w:rsidRPr="004C497C">
        <w:rPr>
          <w:rFonts w:ascii="Arial" w:eastAsia="Arial Unicode MS" w:hAnsi="Arial" w:cs="Arial"/>
          <w:sz w:val="24"/>
          <w:szCs w:val="24"/>
        </w:rPr>
        <w:t xml:space="preserve"> </w:t>
      </w:r>
      <w:r w:rsidRPr="00CE072E">
        <w:rPr>
          <w:rFonts w:ascii="Arial" w:eastAsia="Arial Unicode MS" w:hAnsi="Arial" w:cs="Arial"/>
          <w:sz w:val="24"/>
          <w:szCs w:val="24"/>
        </w:rPr>
        <w:t xml:space="preserve">Bijnor is situated in North-Western Plains </w:t>
      </w:r>
      <w:proofErr w:type="spellStart"/>
      <w:r w:rsidRPr="00CE072E">
        <w:rPr>
          <w:rFonts w:ascii="Arial" w:eastAsia="Arial Unicode MS" w:hAnsi="Arial" w:cs="Arial"/>
          <w:sz w:val="24"/>
          <w:szCs w:val="24"/>
        </w:rPr>
        <w:t>Agro</w:t>
      </w:r>
      <w:proofErr w:type="spellEnd"/>
      <w:r w:rsidRPr="00CE072E">
        <w:rPr>
          <w:rFonts w:ascii="Arial" w:eastAsia="Arial Unicode MS" w:hAnsi="Arial" w:cs="Arial"/>
          <w:sz w:val="24"/>
          <w:szCs w:val="24"/>
        </w:rPr>
        <w:t xml:space="preserve">-climatic Zone in the Uttar Pradesh at an altitude of 225 m above </w:t>
      </w:r>
      <w:r w:rsidRPr="00D80E0F">
        <w:rPr>
          <w:rFonts w:ascii="Arial" w:eastAsia="Arial Unicode MS" w:hAnsi="Arial" w:cs="Arial"/>
          <w:color w:val="000000" w:themeColor="text1"/>
          <w:sz w:val="24"/>
          <w:szCs w:val="24"/>
        </w:rPr>
        <w:t>MSL</w:t>
      </w:r>
      <w:r w:rsidRPr="00CE072E">
        <w:rPr>
          <w:rFonts w:ascii="Arial" w:eastAsia="Arial Unicode MS" w:hAnsi="Arial" w:cs="Arial"/>
          <w:sz w:val="24"/>
          <w:szCs w:val="24"/>
        </w:rPr>
        <w:t>. It is located in the North-Western corner of the Moradabad Division, historically recognized as part of the Rohilkhand region. To its west, the boundary is defined by the flowing waters of the Ganges River.</w:t>
      </w:r>
      <w:r w:rsidRPr="004C497C">
        <w:rPr>
          <w:rFonts w:ascii="Arial" w:eastAsia="Arial Unicode MS" w:hAnsi="Arial" w:cs="Arial"/>
          <w:sz w:val="24"/>
          <w:szCs w:val="24"/>
        </w:rPr>
        <w:t xml:space="preserve"> </w:t>
      </w:r>
      <w:r w:rsidRPr="00CE072E">
        <w:rPr>
          <w:rFonts w:ascii="Arial" w:eastAsia="Arial Unicode MS" w:hAnsi="Arial" w:cs="Arial"/>
          <w:sz w:val="24"/>
          <w:szCs w:val="24"/>
        </w:rPr>
        <w:t xml:space="preserve">This region enjoys tropical semi-arid type climate with an average annual rainfall of 964 mm, most </w:t>
      </w:r>
      <w:r>
        <w:rPr>
          <w:rFonts w:ascii="Arial" w:eastAsia="Arial Unicode MS" w:hAnsi="Arial" w:cs="Arial"/>
          <w:sz w:val="24"/>
          <w:szCs w:val="24"/>
        </w:rPr>
        <w:t>of which is received during mid-</w:t>
      </w:r>
      <w:r w:rsidRPr="00CE072E">
        <w:rPr>
          <w:rFonts w:ascii="Arial" w:eastAsia="Arial Unicode MS" w:hAnsi="Arial" w:cs="Arial"/>
          <w:sz w:val="24"/>
          <w:szCs w:val="24"/>
        </w:rPr>
        <w:t>June to middle of September.</w:t>
      </w:r>
      <w:r w:rsidR="005B0B41">
        <w:rPr>
          <w:rFonts w:ascii="Arial" w:eastAsia="Arial Unicode MS" w:hAnsi="Arial" w:cs="Arial"/>
          <w:sz w:val="24"/>
          <w:szCs w:val="24"/>
        </w:rPr>
        <w:t xml:space="preserve"> </w:t>
      </w:r>
      <w:r w:rsidRPr="00CE072E">
        <w:rPr>
          <w:rFonts w:ascii="Arial" w:eastAsia="Arial Unicode MS" w:hAnsi="Arial" w:cs="Arial"/>
          <w:sz w:val="24"/>
          <w:szCs w:val="24"/>
        </w:rPr>
        <w:t xml:space="preserve">The major rainfall received during month of June to September. The average temperature ranges between </w:t>
      </w:r>
      <w:r w:rsidRPr="00E71BAB">
        <w:rPr>
          <w:rFonts w:ascii="Arial" w:eastAsia="Arial Unicode MS" w:hAnsi="Arial" w:cs="Arial"/>
          <w:color w:val="000000" w:themeColor="text1"/>
          <w:sz w:val="24"/>
          <w:szCs w:val="24"/>
        </w:rPr>
        <w:t>10°C (during Dec. and Jan.) to 25°C (during Mar. and Apr.).</w:t>
      </w:r>
      <w:r>
        <w:rPr>
          <w:rFonts w:ascii="Arial" w:eastAsia="Arial Unicode MS" w:hAnsi="Arial" w:cs="Arial"/>
          <w:color w:val="000000" w:themeColor="text1"/>
          <w:sz w:val="24"/>
          <w:szCs w:val="24"/>
        </w:rPr>
        <w:t xml:space="preserve"> </w:t>
      </w:r>
      <w:r w:rsidR="001820F8">
        <w:rPr>
          <w:rFonts w:ascii="Arial" w:eastAsia="Arial Unicode MS" w:hAnsi="Arial" w:cs="Arial"/>
          <w:sz w:val="24"/>
          <w:szCs w:val="24"/>
        </w:rPr>
        <w:t>Urea, single super phosphate (SSP)</w:t>
      </w:r>
      <w:r w:rsidR="001820F8" w:rsidRPr="00521904">
        <w:rPr>
          <w:rFonts w:ascii="Arial" w:eastAsia="Arial Unicode MS" w:hAnsi="Arial" w:cs="Arial"/>
          <w:color w:val="EE0000"/>
          <w:sz w:val="24"/>
          <w:szCs w:val="24"/>
        </w:rPr>
        <w:t xml:space="preserve"> </w:t>
      </w:r>
      <w:r w:rsidR="001820F8">
        <w:rPr>
          <w:rFonts w:ascii="Arial" w:eastAsia="Arial Unicode MS" w:hAnsi="Arial" w:cs="Arial"/>
          <w:sz w:val="24"/>
          <w:szCs w:val="24"/>
        </w:rPr>
        <w:t>and M</w:t>
      </w:r>
      <w:r w:rsidR="001820F8" w:rsidRPr="00A75543">
        <w:rPr>
          <w:rFonts w:ascii="Arial" w:eastAsia="Arial Unicode MS" w:hAnsi="Arial" w:cs="Arial"/>
          <w:sz w:val="24"/>
          <w:szCs w:val="24"/>
        </w:rPr>
        <w:t>uriate of potash</w:t>
      </w:r>
      <w:r w:rsidR="001820F8">
        <w:rPr>
          <w:rFonts w:ascii="Arial" w:eastAsia="Arial Unicode MS" w:hAnsi="Arial" w:cs="Arial"/>
          <w:sz w:val="24"/>
          <w:szCs w:val="24"/>
        </w:rPr>
        <w:t xml:space="preserve"> (</w:t>
      </w:r>
      <w:proofErr w:type="spellStart"/>
      <w:r w:rsidR="001820F8">
        <w:rPr>
          <w:rFonts w:ascii="Arial" w:eastAsia="Arial Unicode MS" w:hAnsi="Arial" w:cs="Arial"/>
          <w:sz w:val="24"/>
          <w:szCs w:val="24"/>
        </w:rPr>
        <w:t>MoP</w:t>
      </w:r>
      <w:proofErr w:type="spellEnd"/>
      <w:r w:rsidR="001820F8">
        <w:rPr>
          <w:rFonts w:ascii="Arial" w:eastAsia="Arial Unicode MS" w:hAnsi="Arial" w:cs="Arial"/>
          <w:sz w:val="24"/>
          <w:szCs w:val="24"/>
        </w:rPr>
        <w:t>)</w:t>
      </w:r>
      <w:r w:rsidR="001820F8" w:rsidRPr="00A75543">
        <w:rPr>
          <w:rFonts w:ascii="Arial" w:eastAsia="Arial Unicode MS" w:hAnsi="Arial" w:cs="Arial"/>
          <w:sz w:val="24"/>
          <w:szCs w:val="24"/>
        </w:rPr>
        <w:t xml:space="preserve"> were utilized to provide nutrients to a field at the rate of 100 kg of nitrogen (N), 60 kg of phosphorous pentoxide (P</w:t>
      </w:r>
      <w:r w:rsidR="001820F8" w:rsidRPr="00A75543">
        <w:rPr>
          <w:rFonts w:ascii="Arial" w:eastAsia="Arial Unicode MS" w:hAnsi="Arial" w:cs="Arial"/>
          <w:sz w:val="24"/>
          <w:szCs w:val="24"/>
          <w:vertAlign w:val="subscript"/>
        </w:rPr>
        <w:t>2</w:t>
      </w:r>
      <w:r w:rsidR="001820F8" w:rsidRPr="00A75543">
        <w:rPr>
          <w:rFonts w:ascii="Arial" w:eastAsia="Arial Unicode MS" w:hAnsi="Arial" w:cs="Arial"/>
          <w:sz w:val="24"/>
          <w:szCs w:val="24"/>
        </w:rPr>
        <w:t>O</w:t>
      </w:r>
      <w:r w:rsidR="001820F8" w:rsidRPr="00A75543">
        <w:rPr>
          <w:rFonts w:ascii="Arial" w:eastAsia="Arial Unicode MS" w:hAnsi="Arial" w:cs="Arial"/>
          <w:sz w:val="24"/>
          <w:szCs w:val="24"/>
          <w:vertAlign w:val="subscript"/>
        </w:rPr>
        <w:t>5</w:t>
      </w:r>
      <w:r w:rsidR="001820F8" w:rsidRPr="00A75543">
        <w:rPr>
          <w:rFonts w:ascii="Arial" w:eastAsia="Arial Unicode MS" w:hAnsi="Arial" w:cs="Arial"/>
          <w:sz w:val="24"/>
          <w:szCs w:val="24"/>
        </w:rPr>
        <w:t xml:space="preserve">), and </w:t>
      </w:r>
      <w:r w:rsidR="001820F8">
        <w:rPr>
          <w:rFonts w:ascii="Arial" w:eastAsia="Arial Unicode MS" w:hAnsi="Arial" w:cs="Arial"/>
          <w:sz w:val="24"/>
          <w:szCs w:val="24"/>
        </w:rPr>
        <w:t>40</w:t>
      </w:r>
      <w:r w:rsidR="001820F8" w:rsidRPr="00A75543">
        <w:rPr>
          <w:rFonts w:ascii="Arial" w:eastAsia="Arial Unicode MS" w:hAnsi="Arial" w:cs="Arial"/>
          <w:sz w:val="24"/>
          <w:szCs w:val="24"/>
        </w:rPr>
        <w:t xml:space="preserve"> kg of potassium oxide (K</w:t>
      </w:r>
      <w:r w:rsidR="001820F8" w:rsidRPr="00A75543">
        <w:rPr>
          <w:rFonts w:ascii="Arial" w:eastAsia="Arial Unicode MS" w:hAnsi="Arial" w:cs="Arial"/>
          <w:sz w:val="24"/>
          <w:szCs w:val="24"/>
          <w:vertAlign w:val="subscript"/>
        </w:rPr>
        <w:t>2</w:t>
      </w:r>
      <w:r w:rsidR="001820F8">
        <w:rPr>
          <w:rFonts w:ascii="Arial" w:eastAsia="Arial Unicode MS" w:hAnsi="Arial" w:cs="Arial"/>
          <w:sz w:val="24"/>
          <w:szCs w:val="24"/>
        </w:rPr>
        <w:t xml:space="preserve">O) </w:t>
      </w:r>
      <w:r w:rsidR="001820F8" w:rsidRPr="00A75543">
        <w:rPr>
          <w:rFonts w:ascii="Arial" w:eastAsia="Arial Unicode MS" w:hAnsi="Arial" w:cs="Arial"/>
          <w:sz w:val="24"/>
          <w:szCs w:val="24"/>
        </w:rPr>
        <w:t>hectare</w:t>
      </w:r>
      <w:r w:rsidR="001820F8" w:rsidRPr="00165EC2">
        <w:rPr>
          <w:rFonts w:ascii="Arial" w:eastAsia="Arial Unicode MS" w:hAnsi="Arial" w:cs="Arial"/>
          <w:sz w:val="24"/>
          <w:szCs w:val="24"/>
          <w:vertAlign w:val="superscript"/>
        </w:rPr>
        <w:t>-1</w:t>
      </w:r>
      <w:r w:rsidR="001820F8" w:rsidRPr="00A75543">
        <w:rPr>
          <w:rFonts w:ascii="Arial" w:eastAsia="Arial Unicode MS" w:hAnsi="Arial" w:cs="Arial"/>
          <w:sz w:val="24"/>
          <w:szCs w:val="24"/>
        </w:rPr>
        <w:t>.</w:t>
      </w:r>
      <w:r w:rsidR="001820F8" w:rsidRPr="001820F8">
        <w:rPr>
          <w:rFonts w:ascii="Arial" w:eastAsia="Arial Unicode MS" w:hAnsi="Arial" w:cs="Arial"/>
          <w:sz w:val="24"/>
          <w:szCs w:val="24"/>
        </w:rPr>
        <w:t xml:space="preserve"> </w:t>
      </w:r>
      <w:r w:rsidR="001820F8" w:rsidRPr="00A75543">
        <w:rPr>
          <w:rFonts w:ascii="Arial" w:eastAsia="Arial Unicode MS" w:hAnsi="Arial" w:cs="Arial"/>
          <w:sz w:val="24"/>
          <w:szCs w:val="24"/>
        </w:rPr>
        <w:t>The linseed variety A</w:t>
      </w:r>
      <w:r w:rsidR="001820F8">
        <w:rPr>
          <w:rFonts w:ascii="Arial" w:eastAsia="Arial Unicode MS" w:hAnsi="Arial" w:cs="Arial"/>
          <w:sz w:val="24"/>
          <w:szCs w:val="24"/>
        </w:rPr>
        <w:t>z</w:t>
      </w:r>
      <w:r w:rsidR="001820F8" w:rsidRPr="00A75543">
        <w:rPr>
          <w:rFonts w:ascii="Arial" w:eastAsia="Arial Unicode MS" w:hAnsi="Arial" w:cs="Arial"/>
          <w:sz w:val="24"/>
          <w:szCs w:val="24"/>
        </w:rPr>
        <w:t xml:space="preserve">ad </w:t>
      </w:r>
      <w:r w:rsidR="001820F8">
        <w:rPr>
          <w:rFonts w:ascii="Arial" w:eastAsia="Arial Unicode MS" w:hAnsi="Arial" w:cs="Arial"/>
          <w:sz w:val="24"/>
          <w:szCs w:val="24"/>
        </w:rPr>
        <w:t>A</w:t>
      </w:r>
      <w:r w:rsidR="001820F8" w:rsidRPr="00A75543">
        <w:rPr>
          <w:rFonts w:ascii="Arial" w:eastAsia="Arial Unicode MS" w:hAnsi="Arial" w:cs="Arial"/>
          <w:sz w:val="24"/>
          <w:szCs w:val="24"/>
        </w:rPr>
        <w:t>lsi</w:t>
      </w:r>
      <w:r w:rsidR="001820F8">
        <w:rPr>
          <w:rFonts w:ascii="Arial" w:eastAsia="Arial Unicode MS" w:hAnsi="Arial" w:cs="Arial"/>
          <w:sz w:val="24"/>
          <w:szCs w:val="24"/>
        </w:rPr>
        <w:t>-</w:t>
      </w:r>
      <w:r w:rsidR="001820F8" w:rsidRPr="00A75543">
        <w:rPr>
          <w:rFonts w:ascii="Arial" w:eastAsia="Arial Unicode MS" w:hAnsi="Arial" w:cs="Arial"/>
          <w:sz w:val="24"/>
          <w:szCs w:val="24"/>
        </w:rPr>
        <w:t>1 was used in the experimental field. This particular variety typically reaches maturity with</w:t>
      </w:r>
      <w:r w:rsidR="001820F8">
        <w:rPr>
          <w:rFonts w:ascii="Arial" w:eastAsia="Arial Unicode MS" w:hAnsi="Arial" w:cs="Arial"/>
          <w:sz w:val="24"/>
          <w:szCs w:val="24"/>
        </w:rPr>
        <w:t xml:space="preserve"> </w:t>
      </w:r>
      <w:r w:rsidR="001820F8" w:rsidRPr="00A75543">
        <w:rPr>
          <w:rFonts w:ascii="Arial" w:eastAsia="Arial Unicode MS" w:hAnsi="Arial" w:cs="Arial"/>
          <w:sz w:val="24"/>
          <w:szCs w:val="24"/>
        </w:rPr>
        <w:t>in a span of 120 to 140 days. Across all the different treatments, a consistent seed rate of 30 kg ha</w:t>
      </w:r>
      <w:r w:rsidR="001820F8" w:rsidRPr="00A75543">
        <w:rPr>
          <w:rFonts w:ascii="Arial" w:eastAsia="Arial Unicode MS" w:hAnsi="Arial" w:cs="Arial"/>
          <w:sz w:val="24"/>
          <w:szCs w:val="24"/>
          <w:vertAlign w:val="superscript"/>
        </w:rPr>
        <w:t>-1</w:t>
      </w:r>
      <w:r w:rsidR="001820F8" w:rsidRPr="00A75543">
        <w:rPr>
          <w:rFonts w:ascii="Arial" w:eastAsia="Arial Unicode MS" w:hAnsi="Arial" w:cs="Arial"/>
          <w:sz w:val="24"/>
          <w:szCs w:val="24"/>
        </w:rPr>
        <w:t xml:space="preserve"> was employed.</w:t>
      </w:r>
      <w:r w:rsidR="001820F8">
        <w:rPr>
          <w:rFonts w:ascii="Arial" w:eastAsia="Arial Unicode MS" w:hAnsi="Arial" w:cs="Arial"/>
          <w:sz w:val="24"/>
          <w:szCs w:val="24"/>
        </w:rPr>
        <w:t xml:space="preserve"> </w:t>
      </w:r>
      <w:r w:rsidR="001820F8" w:rsidRPr="00E8256A">
        <w:rPr>
          <w:rFonts w:ascii="Arial" w:eastAsia="Arial Unicode MS" w:hAnsi="Arial" w:cs="Arial"/>
          <w:bCs/>
          <w:sz w:val="24"/>
          <w:szCs w:val="24"/>
        </w:rPr>
        <w:t>To ensure the good germination, healthy and good quality seeds were used.</w:t>
      </w:r>
      <w:r w:rsidR="001820F8">
        <w:rPr>
          <w:rFonts w:ascii="Arial" w:eastAsia="Arial Unicode MS" w:hAnsi="Arial" w:cs="Arial"/>
          <w:bCs/>
          <w:sz w:val="24"/>
          <w:szCs w:val="24"/>
        </w:rPr>
        <w:t xml:space="preserve"> Before sowing the seed,</w:t>
      </w:r>
      <w:r w:rsidR="001820F8" w:rsidRPr="00E8256A">
        <w:rPr>
          <w:rFonts w:ascii="Arial" w:eastAsia="Arial Unicode MS" w:hAnsi="Arial" w:cs="Arial"/>
          <w:bCs/>
          <w:sz w:val="24"/>
          <w:szCs w:val="24"/>
        </w:rPr>
        <w:t xml:space="preserve"> </w:t>
      </w:r>
      <w:r w:rsidR="001820F8">
        <w:rPr>
          <w:rFonts w:ascii="Arial" w:eastAsia="Arial Unicode MS" w:hAnsi="Arial" w:cs="Arial"/>
          <w:bCs/>
          <w:sz w:val="24"/>
          <w:szCs w:val="24"/>
        </w:rPr>
        <w:t>t</w:t>
      </w:r>
      <w:r w:rsidR="001820F8" w:rsidRPr="00E8256A">
        <w:rPr>
          <w:rFonts w:ascii="Arial" w:eastAsia="Arial Unicode MS" w:hAnsi="Arial" w:cs="Arial"/>
          <w:bCs/>
          <w:sz w:val="24"/>
          <w:szCs w:val="24"/>
        </w:rPr>
        <w:t>he seeds were treated with 12% Carbendazim + 63% WP Mancozeb @ 2 g kg</w:t>
      </w:r>
      <w:r w:rsidR="001820F8" w:rsidRPr="00E8256A">
        <w:rPr>
          <w:rFonts w:ascii="Arial" w:eastAsia="Arial Unicode MS" w:hAnsi="Arial" w:cs="Arial"/>
          <w:bCs/>
          <w:sz w:val="24"/>
          <w:szCs w:val="24"/>
          <w:vertAlign w:val="superscript"/>
        </w:rPr>
        <w:t>-1</w:t>
      </w:r>
      <w:r w:rsidR="001820F8" w:rsidRPr="00E8256A">
        <w:rPr>
          <w:rFonts w:ascii="Arial" w:eastAsia="Arial Unicode MS" w:hAnsi="Arial" w:cs="Arial"/>
          <w:bCs/>
          <w:sz w:val="24"/>
          <w:szCs w:val="24"/>
        </w:rPr>
        <w:t xml:space="preserve"> of seed.</w:t>
      </w:r>
      <w:r w:rsidR="001820F8">
        <w:rPr>
          <w:rFonts w:ascii="Arial" w:eastAsia="Arial Unicode MS" w:hAnsi="Arial" w:cs="Arial"/>
          <w:bCs/>
          <w:sz w:val="24"/>
          <w:szCs w:val="24"/>
        </w:rPr>
        <w:t xml:space="preserve"> Against the seed borne disease. </w:t>
      </w:r>
      <w:r w:rsidR="001820F8">
        <w:rPr>
          <w:rFonts w:ascii="Arial" w:eastAsia="Arial Unicode MS" w:hAnsi="Arial" w:cs="Arial"/>
          <w:sz w:val="24"/>
          <w:szCs w:val="24"/>
        </w:rPr>
        <w:t>Seed</w:t>
      </w:r>
      <w:r w:rsidR="001820F8" w:rsidRPr="00A75543">
        <w:rPr>
          <w:rFonts w:ascii="Arial" w:eastAsia="Arial Unicode MS" w:hAnsi="Arial" w:cs="Arial"/>
          <w:sz w:val="24"/>
          <w:szCs w:val="24"/>
        </w:rPr>
        <w:t xml:space="preserve"> sowing was done manually on 1</w:t>
      </w:r>
      <w:r w:rsidR="001820F8">
        <w:rPr>
          <w:rFonts w:ascii="Arial" w:eastAsia="Arial Unicode MS" w:hAnsi="Arial" w:cs="Arial"/>
          <w:sz w:val="24"/>
          <w:szCs w:val="24"/>
        </w:rPr>
        <w:t>6</w:t>
      </w:r>
      <w:r w:rsidR="001820F8" w:rsidRPr="00A75543">
        <w:rPr>
          <w:rFonts w:ascii="Arial" w:eastAsia="Arial Unicode MS" w:hAnsi="Arial" w:cs="Arial"/>
          <w:sz w:val="24"/>
          <w:szCs w:val="24"/>
          <w:vertAlign w:val="superscript"/>
        </w:rPr>
        <w:t>th</w:t>
      </w:r>
      <w:r w:rsidR="001820F8" w:rsidRPr="00A75543">
        <w:rPr>
          <w:rFonts w:ascii="Arial" w:eastAsia="Arial Unicode MS" w:hAnsi="Arial" w:cs="Arial"/>
          <w:sz w:val="24"/>
          <w:szCs w:val="24"/>
        </w:rPr>
        <w:t xml:space="preserve"> of December. The seeds were sown in rows that were spaced 25 cm apart, and at a depth of 2-4 cm in the </w:t>
      </w:r>
      <w:proofErr w:type="spellStart"/>
      <w:proofErr w:type="gramStart"/>
      <w:r w:rsidR="001820F8" w:rsidRPr="00A75543">
        <w:rPr>
          <w:rFonts w:ascii="Arial" w:eastAsia="Arial Unicode MS" w:hAnsi="Arial" w:cs="Arial"/>
          <w:sz w:val="24"/>
          <w:szCs w:val="24"/>
        </w:rPr>
        <w:t>soil.Tubewell</w:t>
      </w:r>
      <w:proofErr w:type="spellEnd"/>
      <w:proofErr w:type="gramEnd"/>
      <w:r w:rsidR="001820F8" w:rsidRPr="00A75543">
        <w:rPr>
          <w:rFonts w:ascii="Arial" w:eastAsia="Arial Unicode MS" w:hAnsi="Arial" w:cs="Arial"/>
          <w:sz w:val="24"/>
          <w:szCs w:val="24"/>
        </w:rPr>
        <w:t xml:space="preserve"> served as the primary irrigation source, ensuring consistent soil moisture throughout every phase of crop development. In addition to initial irrigation before sowing,</w:t>
      </w:r>
      <w:r w:rsidR="008D16B7">
        <w:rPr>
          <w:rFonts w:ascii="Arial" w:eastAsia="Arial Unicode MS" w:hAnsi="Arial" w:cs="Arial"/>
          <w:sz w:val="24"/>
          <w:szCs w:val="24"/>
        </w:rPr>
        <w:t xml:space="preserve"> </w:t>
      </w:r>
      <w:r w:rsidR="001820F8" w:rsidRPr="00120B0F">
        <w:rPr>
          <w:rFonts w:ascii="Arial" w:eastAsia="Arial Unicode MS" w:hAnsi="Arial" w:cs="Arial"/>
          <w:color w:val="000000" w:themeColor="text1"/>
          <w:sz w:val="24"/>
          <w:szCs w:val="24"/>
        </w:rPr>
        <w:t>three</w:t>
      </w:r>
      <w:r w:rsidR="008D16B7">
        <w:rPr>
          <w:rFonts w:ascii="Arial" w:eastAsia="Arial Unicode MS" w:hAnsi="Arial" w:cs="Arial"/>
          <w:color w:val="EE0000"/>
          <w:sz w:val="24"/>
          <w:szCs w:val="24"/>
        </w:rPr>
        <w:t xml:space="preserve"> </w:t>
      </w:r>
      <w:r w:rsidR="001820F8" w:rsidRPr="00A75543">
        <w:rPr>
          <w:rFonts w:ascii="Arial" w:eastAsia="Arial Unicode MS" w:hAnsi="Arial" w:cs="Arial"/>
          <w:sz w:val="24"/>
          <w:szCs w:val="24"/>
        </w:rPr>
        <w:t xml:space="preserve">irrigations were applied precisely during the critical growth stages of the </w:t>
      </w:r>
      <w:proofErr w:type="spellStart"/>
      <w:proofErr w:type="gramStart"/>
      <w:r w:rsidR="001820F8">
        <w:rPr>
          <w:rFonts w:ascii="Arial" w:eastAsia="Arial Unicode MS" w:hAnsi="Arial" w:cs="Arial"/>
          <w:sz w:val="24"/>
          <w:szCs w:val="24"/>
        </w:rPr>
        <w:t>crop</w:t>
      </w:r>
      <w:r w:rsidR="001820F8" w:rsidRPr="00A75543">
        <w:rPr>
          <w:rFonts w:ascii="Arial" w:eastAsia="Arial Unicode MS" w:hAnsi="Arial" w:cs="Arial"/>
          <w:sz w:val="24"/>
          <w:szCs w:val="24"/>
        </w:rPr>
        <w:t>.The</w:t>
      </w:r>
      <w:proofErr w:type="spellEnd"/>
      <w:proofErr w:type="gramEnd"/>
      <w:r w:rsidR="001820F8" w:rsidRPr="00A75543">
        <w:rPr>
          <w:rFonts w:ascii="Arial" w:eastAsia="Arial Unicode MS" w:hAnsi="Arial" w:cs="Arial"/>
          <w:sz w:val="24"/>
          <w:szCs w:val="24"/>
        </w:rPr>
        <w:t xml:space="preserve"> purpose of this precise irrigation approach was to keep the soil at the ideal moisture level, which would then encourage the development of strong and healthy crop.</w:t>
      </w:r>
      <w:r w:rsidR="001820F8">
        <w:rPr>
          <w:rFonts w:ascii="Arial" w:eastAsia="Arial Unicode MS" w:hAnsi="Arial" w:cs="Arial"/>
          <w:sz w:val="24"/>
          <w:szCs w:val="24"/>
        </w:rPr>
        <w:t xml:space="preserve"> </w:t>
      </w:r>
      <w:r w:rsidR="001820F8" w:rsidRPr="00A75543">
        <w:rPr>
          <w:rFonts w:ascii="Arial" w:eastAsia="Arial Unicode MS" w:hAnsi="Arial" w:cs="Arial"/>
          <w:sz w:val="24"/>
          <w:szCs w:val="24"/>
        </w:rPr>
        <w:t>Pre</w:t>
      </w:r>
      <w:r w:rsidR="001820F8">
        <w:rPr>
          <w:rFonts w:ascii="Arial" w:eastAsia="Arial Unicode MS" w:hAnsi="Arial" w:cs="Arial"/>
          <w:sz w:val="24"/>
          <w:szCs w:val="24"/>
        </w:rPr>
        <w:t>-</w:t>
      </w:r>
      <w:r w:rsidR="001820F8" w:rsidRPr="00A75543">
        <w:rPr>
          <w:rFonts w:ascii="Arial" w:eastAsia="Arial Unicode MS" w:hAnsi="Arial" w:cs="Arial"/>
          <w:sz w:val="24"/>
          <w:szCs w:val="24"/>
        </w:rPr>
        <w:t xml:space="preserve">emergence herbicide i.e. Pendimethalin was applied @ 1 </w:t>
      </w:r>
      <w:proofErr w:type="spellStart"/>
      <w:r w:rsidR="001820F8" w:rsidRPr="00A75543">
        <w:rPr>
          <w:rFonts w:ascii="Arial" w:eastAsia="Arial Unicode MS" w:hAnsi="Arial" w:cs="Arial"/>
          <w:sz w:val="24"/>
          <w:szCs w:val="24"/>
        </w:rPr>
        <w:t>liter</w:t>
      </w:r>
      <w:proofErr w:type="spellEnd"/>
      <w:r w:rsidR="001820F8" w:rsidRPr="00A75543">
        <w:rPr>
          <w:rFonts w:ascii="Arial" w:eastAsia="Arial Unicode MS" w:hAnsi="Arial" w:cs="Arial"/>
          <w:sz w:val="24"/>
          <w:szCs w:val="24"/>
        </w:rPr>
        <w:t xml:space="preserve"> </w:t>
      </w:r>
      <w:proofErr w:type="spellStart"/>
      <w:r w:rsidR="001820F8" w:rsidRPr="00A75543">
        <w:rPr>
          <w:rFonts w:ascii="Arial" w:eastAsia="Arial Unicode MS" w:hAnsi="Arial" w:cs="Arial"/>
          <w:sz w:val="24"/>
          <w:szCs w:val="24"/>
        </w:rPr>
        <w:t>a.i.</w:t>
      </w:r>
      <w:proofErr w:type="spellEnd"/>
      <w:r w:rsidR="001820F8" w:rsidRPr="00A75543">
        <w:rPr>
          <w:rFonts w:ascii="Arial" w:eastAsia="Arial Unicode MS" w:hAnsi="Arial" w:cs="Arial"/>
          <w:sz w:val="24"/>
          <w:szCs w:val="24"/>
        </w:rPr>
        <w:t xml:space="preserve"> ha</w:t>
      </w:r>
      <w:r w:rsidR="001820F8" w:rsidRPr="00A75543">
        <w:rPr>
          <w:rFonts w:ascii="Arial" w:eastAsia="Arial Unicode MS" w:hAnsi="Arial" w:cs="Arial"/>
          <w:sz w:val="24"/>
          <w:szCs w:val="24"/>
          <w:vertAlign w:val="superscript"/>
        </w:rPr>
        <w:t>-1</w:t>
      </w:r>
      <w:r w:rsidR="001820F8" w:rsidRPr="00A75543">
        <w:rPr>
          <w:rFonts w:ascii="Arial" w:eastAsia="Arial Unicode MS" w:hAnsi="Arial" w:cs="Arial"/>
          <w:sz w:val="24"/>
          <w:szCs w:val="24"/>
        </w:rPr>
        <w:t xml:space="preserve"> to control early emerging flush</w:t>
      </w:r>
      <w:r w:rsidR="001820F8">
        <w:rPr>
          <w:rFonts w:ascii="Arial" w:eastAsia="Arial Unicode MS" w:hAnsi="Arial" w:cs="Arial"/>
          <w:sz w:val="24"/>
          <w:szCs w:val="24"/>
        </w:rPr>
        <w:t>es</w:t>
      </w:r>
      <w:r w:rsidR="001820F8" w:rsidRPr="00A75543">
        <w:rPr>
          <w:rFonts w:ascii="Arial" w:eastAsia="Arial Unicode MS" w:hAnsi="Arial" w:cs="Arial"/>
          <w:sz w:val="24"/>
          <w:szCs w:val="24"/>
        </w:rPr>
        <w:t xml:space="preserve"> of weeds. Later </w:t>
      </w:r>
      <w:proofErr w:type="gramStart"/>
      <w:r w:rsidR="001820F8" w:rsidRPr="00A75543">
        <w:rPr>
          <w:rFonts w:ascii="Arial" w:eastAsia="Arial Unicode MS" w:hAnsi="Arial" w:cs="Arial"/>
          <w:sz w:val="24"/>
          <w:szCs w:val="24"/>
        </w:rPr>
        <w:t>on</w:t>
      </w:r>
      <w:proofErr w:type="gramEnd"/>
      <w:r w:rsidR="001820F8" w:rsidRPr="00A75543">
        <w:rPr>
          <w:rFonts w:ascii="Arial" w:eastAsia="Arial Unicode MS" w:hAnsi="Arial" w:cs="Arial"/>
          <w:sz w:val="24"/>
          <w:szCs w:val="24"/>
        </w:rPr>
        <w:t xml:space="preserve"> hand weed</w:t>
      </w:r>
      <w:r w:rsidR="001820F8">
        <w:rPr>
          <w:rFonts w:ascii="Arial" w:eastAsia="Arial Unicode MS" w:hAnsi="Arial" w:cs="Arial"/>
          <w:sz w:val="24"/>
          <w:szCs w:val="24"/>
        </w:rPr>
        <w:t xml:space="preserve">s were removed by hand hoe at </w:t>
      </w:r>
      <w:r w:rsidR="001820F8" w:rsidRPr="00690564">
        <w:rPr>
          <w:rFonts w:ascii="Arial" w:eastAsia="Arial Unicode MS" w:hAnsi="Arial" w:cs="Arial"/>
          <w:color w:val="000000" w:themeColor="text1"/>
          <w:sz w:val="24"/>
          <w:szCs w:val="24"/>
        </w:rPr>
        <w:t>45</w:t>
      </w:r>
      <w:r w:rsidR="001820F8" w:rsidRPr="00A75543">
        <w:rPr>
          <w:rFonts w:ascii="Arial" w:eastAsia="Arial Unicode MS" w:hAnsi="Arial" w:cs="Arial"/>
          <w:sz w:val="24"/>
          <w:szCs w:val="24"/>
        </w:rPr>
        <w:t xml:space="preserve"> DAS in order to protect the crop from</w:t>
      </w:r>
      <w:r w:rsidR="001820F8">
        <w:rPr>
          <w:rFonts w:ascii="Arial" w:eastAsia="Arial Unicode MS" w:hAnsi="Arial" w:cs="Arial"/>
          <w:sz w:val="24"/>
          <w:szCs w:val="24"/>
        </w:rPr>
        <w:t xml:space="preserve"> late emerging</w:t>
      </w:r>
      <w:r w:rsidR="001820F8" w:rsidRPr="00A75543">
        <w:rPr>
          <w:rFonts w:ascii="Arial" w:eastAsia="Arial Unicode MS" w:hAnsi="Arial" w:cs="Arial"/>
          <w:sz w:val="24"/>
          <w:szCs w:val="24"/>
        </w:rPr>
        <w:t xml:space="preserve"> weeds.</w:t>
      </w:r>
      <w:r w:rsidR="000D4F37">
        <w:rPr>
          <w:rFonts w:ascii="Arial" w:eastAsia="Arial Unicode MS" w:hAnsi="Arial" w:cs="Arial"/>
          <w:sz w:val="24"/>
          <w:szCs w:val="24"/>
        </w:rPr>
        <w:t xml:space="preserve"> </w:t>
      </w:r>
      <w:r w:rsidR="001820F8">
        <w:rPr>
          <w:rFonts w:ascii="Arial" w:eastAsia="Arial Unicode MS" w:hAnsi="Arial" w:cs="Arial"/>
          <w:sz w:val="24"/>
          <w:szCs w:val="24"/>
        </w:rPr>
        <w:t>There was n</w:t>
      </w:r>
      <w:r w:rsidR="001820F8" w:rsidRPr="00E8256A">
        <w:rPr>
          <w:rFonts w:ascii="Arial" w:eastAsia="Arial Unicode MS" w:hAnsi="Arial" w:cs="Arial"/>
          <w:sz w:val="24"/>
          <w:szCs w:val="24"/>
        </w:rPr>
        <w:t>o</w:t>
      </w:r>
      <w:r w:rsidR="001820F8">
        <w:rPr>
          <w:rFonts w:ascii="Arial" w:eastAsia="Arial Unicode MS" w:hAnsi="Arial" w:cs="Arial"/>
          <w:sz w:val="24"/>
          <w:szCs w:val="24"/>
        </w:rPr>
        <w:t xml:space="preserve"> </w:t>
      </w:r>
      <w:r w:rsidR="001820F8" w:rsidRPr="00E8256A">
        <w:rPr>
          <w:rFonts w:ascii="Arial" w:eastAsia="Arial Unicode MS" w:hAnsi="Arial" w:cs="Arial"/>
          <w:sz w:val="24"/>
          <w:szCs w:val="24"/>
        </w:rPr>
        <w:t>insect pest infestation seen in the crop.</w:t>
      </w:r>
      <w:r w:rsidR="008D16B7">
        <w:rPr>
          <w:rFonts w:ascii="Arial" w:eastAsia="Arial Unicode MS" w:hAnsi="Arial" w:cs="Arial"/>
          <w:sz w:val="24"/>
          <w:szCs w:val="24"/>
        </w:rPr>
        <w:t xml:space="preserve"> </w:t>
      </w:r>
      <w:r w:rsidR="001820F8" w:rsidRPr="00AF5EC3">
        <w:rPr>
          <w:rFonts w:ascii="Arial" w:eastAsia="Arial Unicode MS" w:hAnsi="Arial" w:cs="Arial"/>
          <w:sz w:val="24"/>
          <w:szCs w:val="24"/>
        </w:rPr>
        <w:t xml:space="preserve">Plant height was measured at 60, 90 DAS from five randomly selected plant from each </w:t>
      </w:r>
      <w:proofErr w:type="gramStart"/>
      <w:r w:rsidR="001820F8" w:rsidRPr="00AF5EC3">
        <w:rPr>
          <w:rFonts w:ascii="Arial" w:eastAsia="Arial Unicode MS" w:hAnsi="Arial" w:cs="Arial"/>
          <w:sz w:val="24"/>
          <w:szCs w:val="24"/>
        </w:rPr>
        <w:t>treatments</w:t>
      </w:r>
      <w:proofErr w:type="gramEnd"/>
      <w:r w:rsidR="001820F8" w:rsidRPr="00AF5EC3">
        <w:rPr>
          <w:rFonts w:ascii="Arial" w:eastAsia="Arial Unicode MS" w:hAnsi="Arial" w:cs="Arial"/>
          <w:sz w:val="24"/>
          <w:szCs w:val="24"/>
        </w:rPr>
        <w:t>. Plant height was measured in cm from the soil level to the tip, and the average plant height was computed.</w:t>
      </w:r>
      <w:r w:rsidR="001820F8">
        <w:rPr>
          <w:rFonts w:ascii="Arial" w:eastAsia="Arial Unicode MS" w:hAnsi="Arial" w:cs="Arial"/>
          <w:sz w:val="24"/>
          <w:szCs w:val="24"/>
        </w:rPr>
        <w:t xml:space="preserve"> </w:t>
      </w:r>
      <w:r w:rsidR="001820F8" w:rsidRPr="00AF5EC3">
        <w:rPr>
          <w:rFonts w:ascii="Arial" w:eastAsia="Times New Roman" w:hAnsi="Arial" w:cs="Arial"/>
          <w:color w:val="000000"/>
          <w:sz w:val="24"/>
          <w:szCs w:val="24"/>
        </w:rPr>
        <w:t xml:space="preserve">Plant sample taken for dry matter </w:t>
      </w:r>
      <w:r w:rsidR="001820F8" w:rsidRPr="00AF5EC3">
        <w:rPr>
          <w:rFonts w:ascii="Arial" w:eastAsia="Times New Roman" w:hAnsi="Arial" w:cs="Arial"/>
          <w:bCs/>
          <w:color w:val="000000"/>
          <w:sz w:val="24"/>
          <w:szCs w:val="24"/>
        </w:rPr>
        <w:t xml:space="preserve">were firstly used for estimating the leaf area. The leaf area was worked out by using graph paper method. </w:t>
      </w:r>
    </w:p>
    <w:p w14:paraId="7E4C1769" w14:textId="22276FE3" w:rsidR="00856E85" w:rsidRPr="00B2293E" w:rsidRDefault="001820F8" w:rsidP="000D4F37">
      <w:pPr>
        <w:spacing w:after="120" w:line="360" w:lineRule="auto"/>
        <w:jc w:val="both"/>
        <w:rPr>
          <w:rFonts w:ascii="Arial" w:eastAsia="Arial Unicode MS" w:hAnsi="Arial" w:cs="Arial"/>
          <w:sz w:val="24"/>
          <w:szCs w:val="24"/>
        </w:rPr>
      </w:pPr>
      <w:r w:rsidRPr="00AF5EC3">
        <w:rPr>
          <w:rFonts w:ascii="Arial" w:eastAsia="Arial Unicode MS" w:hAnsi="Arial" w:cs="Arial"/>
          <w:sz w:val="24"/>
          <w:szCs w:val="24"/>
        </w:rPr>
        <w:lastRenderedPageBreak/>
        <w:t xml:space="preserve">The functional leaves on the five tagged plant were </w:t>
      </w:r>
      <w:proofErr w:type="gramStart"/>
      <w:r w:rsidRPr="00AF5EC3">
        <w:rPr>
          <w:rFonts w:ascii="Arial" w:eastAsia="Arial Unicode MS" w:hAnsi="Arial" w:cs="Arial"/>
          <w:sz w:val="24"/>
          <w:szCs w:val="24"/>
        </w:rPr>
        <w:t xml:space="preserve">counted </w:t>
      </w:r>
      <w:r>
        <w:rPr>
          <w:rFonts w:ascii="Arial" w:eastAsia="Arial Unicode MS" w:hAnsi="Arial" w:cs="Arial"/>
          <w:sz w:val="24"/>
          <w:szCs w:val="24"/>
        </w:rPr>
        <w:t xml:space="preserve"> </w:t>
      </w:r>
      <w:r w:rsidRPr="00AF5EC3">
        <w:rPr>
          <w:rFonts w:ascii="Arial" w:eastAsia="Arial Unicode MS" w:hAnsi="Arial" w:cs="Arial"/>
          <w:sz w:val="24"/>
          <w:szCs w:val="24"/>
        </w:rPr>
        <w:t>60</w:t>
      </w:r>
      <w:proofErr w:type="gramEnd"/>
      <w:r w:rsidRPr="00AF5EC3">
        <w:rPr>
          <w:rFonts w:ascii="Arial" w:eastAsia="Arial Unicode MS" w:hAnsi="Arial" w:cs="Arial"/>
          <w:sz w:val="24"/>
          <w:szCs w:val="24"/>
        </w:rPr>
        <w:t>,</w:t>
      </w:r>
      <w:r>
        <w:rPr>
          <w:rFonts w:ascii="Arial" w:eastAsia="Arial Unicode MS" w:hAnsi="Arial" w:cs="Arial"/>
          <w:sz w:val="24"/>
          <w:szCs w:val="24"/>
        </w:rPr>
        <w:t xml:space="preserve"> </w:t>
      </w:r>
      <w:r w:rsidRPr="00AF5EC3">
        <w:rPr>
          <w:rFonts w:ascii="Arial" w:eastAsia="Arial Unicode MS" w:hAnsi="Arial" w:cs="Arial"/>
          <w:sz w:val="24"/>
          <w:szCs w:val="24"/>
        </w:rPr>
        <w:t>90</w:t>
      </w:r>
      <w:r>
        <w:rPr>
          <w:rFonts w:ascii="Arial" w:eastAsia="Arial Unicode MS" w:hAnsi="Arial" w:cs="Arial"/>
          <w:sz w:val="24"/>
          <w:szCs w:val="24"/>
        </w:rPr>
        <w:t xml:space="preserve"> DAS </w:t>
      </w:r>
      <w:r w:rsidRPr="00AF5EC3">
        <w:rPr>
          <w:rFonts w:ascii="Arial" w:eastAsia="Arial Unicode MS" w:hAnsi="Arial" w:cs="Arial"/>
          <w:sz w:val="24"/>
          <w:szCs w:val="24"/>
        </w:rPr>
        <w:t>recorded and the average number of leaves per plant was worked out as per the schedule.</w:t>
      </w:r>
      <w:r>
        <w:rPr>
          <w:rFonts w:ascii="Arial" w:eastAsia="Arial Unicode MS" w:hAnsi="Arial" w:cs="Arial"/>
          <w:sz w:val="24"/>
          <w:szCs w:val="24"/>
        </w:rPr>
        <w:t xml:space="preserve"> </w:t>
      </w:r>
      <w:r w:rsidRPr="00AF5EC3">
        <w:rPr>
          <w:rFonts w:ascii="Arial" w:eastAsia="Arial Unicode MS" w:hAnsi="Arial" w:cs="Arial"/>
          <w:sz w:val="24"/>
          <w:szCs w:val="24"/>
        </w:rPr>
        <w:t xml:space="preserve">The number of branches of five randomly tagged plant were selected </w:t>
      </w:r>
      <w:proofErr w:type="gramStart"/>
      <w:r w:rsidRPr="00AF5EC3">
        <w:rPr>
          <w:rFonts w:ascii="Arial" w:eastAsia="Arial Unicode MS" w:hAnsi="Arial" w:cs="Arial"/>
          <w:sz w:val="24"/>
          <w:szCs w:val="24"/>
        </w:rPr>
        <w:t>at  60</w:t>
      </w:r>
      <w:proofErr w:type="gramEnd"/>
      <w:r w:rsidRPr="00AF5EC3">
        <w:rPr>
          <w:rFonts w:ascii="Arial" w:eastAsia="Arial Unicode MS" w:hAnsi="Arial" w:cs="Arial"/>
          <w:sz w:val="24"/>
          <w:szCs w:val="24"/>
        </w:rPr>
        <w:t>, 90</w:t>
      </w:r>
      <w:r>
        <w:rPr>
          <w:rFonts w:ascii="Arial" w:eastAsia="Arial Unicode MS" w:hAnsi="Arial" w:cs="Arial"/>
          <w:sz w:val="24"/>
          <w:szCs w:val="24"/>
        </w:rPr>
        <w:t xml:space="preserve"> </w:t>
      </w:r>
      <w:r w:rsidRPr="00AF5EC3">
        <w:rPr>
          <w:rFonts w:ascii="Arial" w:eastAsia="Arial Unicode MS" w:hAnsi="Arial" w:cs="Arial"/>
          <w:sz w:val="24"/>
          <w:szCs w:val="24"/>
        </w:rPr>
        <w:t>DAS   of the crop. The average number of plant</w:t>
      </w:r>
      <w:r w:rsidRPr="00AF5EC3">
        <w:rPr>
          <w:rFonts w:ascii="Arial" w:eastAsia="Arial Unicode MS" w:hAnsi="Arial" w:cs="Arial"/>
          <w:sz w:val="24"/>
          <w:szCs w:val="24"/>
          <w:vertAlign w:val="superscript"/>
        </w:rPr>
        <w:t>-1</w:t>
      </w:r>
      <w:r w:rsidRPr="00AF5EC3">
        <w:rPr>
          <w:rFonts w:ascii="Arial" w:eastAsia="Arial Unicode MS" w:hAnsi="Arial" w:cs="Arial"/>
          <w:sz w:val="24"/>
          <w:szCs w:val="24"/>
        </w:rPr>
        <w:t xml:space="preserve"> was used to statistical analysis.</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The capsule present on five randomly selected plants were separated and counted, average value was reported as number of capsule plant</w:t>
      </w:r>
      <w:r w:rsidR="00A776D0" w:rsidRPr="00AF5EC3">
        <w:rPr>
          <w:rFonts w:ascii="Arial" w:eastAsia="Arial Unicode MS" w:hAnsi="Arial" w:cs="Arial"/>
          <w:sz w:val="24"/>
          <w:szCs w:val="24"/>
          <w:vertAlign w:val="superscript"/>
        </w:rPr>
        <w:t>-1</w:t>
      </w:r>
      <w:r w:rsidR="00A776D0"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Capsule were taken from respective plant and threshed. Seeds were counted and average number of seeds capsule was worked out was reported as number of seed capsule</w:t>
      </w:r>
      <w:r w:rsidR="00A776D0" w:rsidRPr="00AF5EC3">
        <w:rPr>
          <w:rFonts w:ascii="Arial" w:eastAsia="Arial Unicode MS" w:hAnsi="Arial" w:cs="Arial"/>
          <w:sz w:val="24"/>
          <w:szCs w:val="24"/>
          <w:vertAlign w:val="superscript"/>
        </w:rPr>
        <w:t>-1</w:t>
      </w:r>
      <w:r w:rsidR="00A776D0"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Five random sample 1000 grains were taken from each net plot’s grain yield and recorded in grams.</w:t>
      </w:r>
    </w:p>
    <w:tbl>
      <w:tblPr>
        <w:tblStyle w:val="TableGrid"/>
        <w:tblW w:w="0" w:type="auto"/>
        <w:tblLook w:val="04A0" w:firstRow="1" w:lastRow="0" w:firstColumn="1" w:lastColumn="0" w:noHBand="0" w:noVBand="1"/>
      </w:tblPr>
      <w:tblGrid>
        <w:gridCol w:w="8900"/>
      </w:tblGrid>
      <w:tr w:rsidR="008C4579" w14:paraId="23CFBB1D" w14:textId="77777777" w:rsidTr="008C4579">
        <w:trPr>
          <w:trHeight w:val="4571"/>
        </w:trPr>
        <w:tc>
          <w:tcPr>
            <w:tcW w:w="8900" w:type="dxa"/>
          </w:tcPr>
          <w:p w14:paraId="33AA3569" w14:textId="17A25559" w:rsidR="008C4579" w:rsidRDefault="001A567C" w:rsidP="008C4579">
            <w:pPr>
              <w:pStyle w:val="NoSpacing"/>
              <w:spacing w:after="120" w:line="360" w:lineRule="auto"/>
              <w:jc w:val="center"/>
              <w:rPr>
                <w:rFonts w:ascii="Arial" w:hAnsi="Arial" w:cs="Arial"/>
                <w:color w:val="0D0D0D" w:themeColor="text1" w:themeTint="F2"/>
                <w:sz w:val="24"/>
                <w:szCs w:val="24"/>
                <w:lang w:val="en-IN"/>
              </w:rPr>
            </w:pPr>
            <w:r>
              <w:rPr>
                <w:rFonts w:ascii="Arial" w:hAnsi="Arial" w:cs="Arial"/>
                <w:noProof/>
                <w:color w:val="0D0D0D" w:themeColor="text1" w:themeTint="F2"/>
                <w:sz w:val="24"/>
                <w:szCs w:val="24"/>
                <w:lang w:val="en-IN"/>
                <w14:ligatures w14:val="standardContextual"/>
              </w:rPr>
              <mc:AlternateContent>
                <mc:Choice Requires="wps">
                  <w:drawing>
                    <wp:anchor distT="0" distB="0" distL="114300" distR="114300" simplePos="0" relativeHeight="251659264" behindDoc="0" locked="0" layoutInCell="1" allowOverlap="1" wp14:anchorId="49B0ECAE" wp14:editId="475252EB">
                      <wp:simplePos x="0" y="0"/>
                      <wp:positionH relativeFrom="column">
                        <wp:posOffset>2312596</wp:posOffset>
                      </wp:positionH>
                      <wp:positionV relativeFrom="paragraph">
                        <wp:posOffset>2240354</wp:posOffset>
                      </wp:positionV>
                      <wp:extent cx="946298" cy="191386"/>
                      <wp:effectExtent l="0" t="0" r="25400" b="18415"/>
                      <wp:wrapNone/>
                      <wp:docPr id="1247227544" name="Rectangle 1"/>
                      <wp:cNvGraphicFramePr/>
                      <a:graphic xmlns:a="http://schemas.openxmlformats.org/drawingml/2006/main">
                        <a:graphicData uri="http://schemas.microsoft.com/office/word/2010/wordprocessingShape">
                          <wps:wsp>
                            <wps:cNvSpPr/>
                            <wps:spPr>
                              <a:xfrm>
                                <a:off x="0" y="0"/>
                                <a:ext cx="946298" cy="1913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406657" id="Rectangle 1" o:spid="_x0000_s1026" style="position:absolute;margin-left:182.1pt;margin-top:176.4pt;width:74.5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" fillcolor="#4472c4 [3204]" strokecolor="#09101d [484]" strokeweight="1pt"/>
                  </w:pict>
                </mc:Fallback>
              </mc:AlternateContent>
            </w:r>
            <w:r w:rsidR="008C4579">
              <w:rPr>
                <w:rFonts w:ascii="Arial" w:hAnsi="Arial" w:cs="Arial"/>
                <w:noProof/>
                <w:color w:val="0D0D0D" w:themeColor="text1" w:themeTint="F2"/>
                <w:sz w:val="24"/>
                <w:szCs w:val="24"/>
                <w:lang w:val="en-IN"/>
                <w14:ligatures w14:val="standardContextual"/>
              </w:rPr>
              <w:drawing>
                <wp:inline distT="0" distB="0" distL="0" distR="0" wp14:anchorId="44F5F6C7" wp14:editId="3C43E34E">
                  <wp:extent cx="5436870" cy="3448050"/>
                  <wp:effectExtent l="76200" t="76200" r="125730" b="133350"/>
                  <wp:docPr id="989718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8539" name="Picture 98971853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36870" cy="3448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8C4579" w14:paraId="796E8567" w14:textId="77777777" w:rsidTr="00742EA4">
        <w:tc>
          <w:tcPr>
            <w:tcW w:w="8900" w:type="dxa"/>
            <w:shd w:val="clear" w:color="auto" w:fill="92D050"/>
          </w:tcPr>
          <w:p w14:paraId="734A0353" w14:textId="12D911DC" w:rsidR="008C4579" w:rsidRPr="008C4579" w:rsidRDefault="00334377" w:rsidP="008C4579">
            <w:pPr>
              <w:pStyle w:val="NoSpacing"/>
              <w:spacing w:after="120" w:line="360" w:lineRule="auto"/>
              <w:jc w:val="center"/>
              <w:rPr>
                <w:rFonts w:ascii="Arial" w:hAnsi="Arial" w:cs="Arial"/>
                <w:b/>
                <w:bCs/>
                <w:color w:val="0D0D0D" w:themeColor="text1" w:themeTint="F2"/>
                <w:sz w:val="24"/>
                <w:szCs w:val="24"/>
                <w:lang w:val="en-IN"/>
              </w:rPr>
            </w:pPr>
            <w:r>
              <w:rPr>
                <w:rFonts w:ascii="Arial" w:hAnsi="Arial" w:cs="Arial"/>
                <w:b/>
                <w:bCs/>
                <w:color w:val="0D0D0D" w:themeColor="text1" w:themeTint="F2"/>
                <w:sz w:val="24"/>
                <w:szCs w:val="24"/>
                <w:lang w:val="en-IN"/>
              </w:rPr>
              <w:t xml:space="preserve">PIC 1. </w:t>
            </w:r>
            <w:proofErr w:type="spellStart"/>
            <w:r w:rsidR="008C4579" w:rsidRPr="008C4579">
              <w:rPr>
                <w:rFonts w:ascii="Arial" w:hAnsi="Arial" w:cs="Arial"/>
                <w:b/>
                <w:bCs/>
                <w:color w:val="0D0D0D" w:themeColor="text1" w:themeTint="F2"/>
                <w:sz w:val="24"/>
                <w:szCs w:val="24"/>
                <w:lang w:val="en-IN"/>
              </w:rPr>
              <w:t>Exprimental</w:t>
            </w:r>
            <w:proofErr w:type="spellEnd"/>
            <w:r w:rsidR="008C4579" w:rsidRPr="008C4579">
              <w:rPr>
                <w:rFonts w:ascii="Arial" w:hAnsi="Arial" w:cs="Arial"/>
                <w:b/>
                <w:bCs/>
                <w:color w:val="0D0D0D" w:themeColor="text1" w:themeTint="F2"/>
                <w:sz w:val="24"/>
                <w:szCs w:val="24"/>
                <w:lang w:val="en-IN"/>
              </w:rPr>
              <w:t xml:space="preserve"> field layout</w:t>
            </w:r>
          </w:p>
        </w:tc>
      </w:tr>
    </w:tbl>
    <w:p w14:paraId="2D52E226" w14:textId="77777777" w:rsidR="00B2293E" w:rsidRDefault="00B2293E" w:rsidP="00742EA4">
      <w:pPr>
        <w:pStyle w:val="NoSpacing"/>
        <w:spacing w:after="120" w:line="360" w:lineRule="auto"/>
        <w:rPr>
          <w:rFonts w:ascii="Arial" w:hAnsi="Arial" w:cs="Arial"/>
          <w:color w:val="0D0D0D" w:themeColor="text1" w:themeTint="F2"/>
          <w:sz w:val="24"/>
          <w:szCs w:val="24"/>
          <w:lang w:val="en-IN"/>
        </w:rPr>
      </w:pPr>
    </w:p>
    <w:p w14:paraId="5DD31AF0" w14:textId="5A307465" w:rsidR="00856E85" w:rsidRPr="00814751" w:rsidRDefault="006334EF" w:rsidP="006334EF">
      <w:pPr>
        <w:pStyle w:val="NoSpacing"/>
        <w:numPr>
          <w:ilvl w:val="0"/>
          <w:numId w:val="4"/>
        </w:numPr>
        <w:spacing w:after="120" w:line="360" w:lineRule="auto"/>
        <w:jc w:val="center"/>
        <w:rPr>
          <w:rFonts w:ascii="Arial" w:hAnsi="Arial" w:cs="Arial"/>
          <w:b/>
          <w:bCs/>
          <w:color w:val="0D0D0D" w:themeColor="text1" w:themeTint="F2"/>
          <w:sz w:val="24"/>
          <w:szCs w:val="24"/>
          <w:lang w:val="en-IN"/>
        </w:rPr>
      </w:pPr>
      <w:r w:rsidRPr="00814751">
        <w:rPr>
          <w:rFonts w:ascii="Arial" w:hAnsi="Arial" w:cs="Arial"/>
          <w:b/>
          <w:bCs/>
          <w:color w:val="0D0D0D" w:themeColor="text1" w:themeTint="F2"/>
          <w:sz w:val="24"/>
          <w:szCs w:val="24"/>
          <w:lang w:val="en-IN"/>
        </w:rPr>
        <w:t>RESULTS AND DISCUSSION</w:t>
      </w:r>
    </w:p>
    <w:p w14:paraId="507D39F9" w14:textId="1D5CCFB7" w:rsidR="007002BA" w:rsidRPr="004D7867" w:rsidRDefault="007002BA" w:rsidP="004D7867">
      <w:pPr>
        <w:pStyle w:val="ListParagraph"/>
        <w:numPr>
          <w:ilvl w:val="1"/>
          <w:numId w:val="4"/>
        </w:numPr>
        <w:spacing w:after="120" w:line="360" w:lineRule="auto"/>
        <w:jc w:val="both"/>
        <w:rPr>
          <w:rFonts w:ascii="Arial" w:eastAsia="Arial Unicode MS" w:hAnsi="Arial" w:cs="Arial"/>
          <w:b/>
          <w:bCs/>
          <w:color w:val="000000" w:themeColor="text1"/>
          <w:sz w:val="24"/>
          <w:szCs w:val="24"/>
        </w:rPr>
      </w:pPr>
      <w:r w:rsidRPr="004D7867">
        <w:rPr>
          <w:rFonts w:ascii="Arial" w:eastAsia="Arial Unicode MS" w:hAnsi="Arial" w:cs="Arial"/>
          <w:b/>
          <w:bCs/>
          <w:color w:val="000000" w:themeColor="text1"/>
          <w:sz w:val="24"/>
          <w:szCs w:val="24"/>
        </w:rPr>
        <w:t>Plant height</w:t>
      </w:r>
      <w:r w:rsidR="00386082" w:rsidRPr="004D7867">
        <w:rPr>
          <w:rFonts w:ascii="Arial" w:eastAsia="Arial Unicode MS" w:hAnsi="Arial" w:cs="Arial"/>
          <w:b/>
          <w:bCs/>
          <w:color w:val="000000" w:themeColor="text1"/>
          <w:sz w:val="24"/>
          <w:szCs w:val="24"/>
        </w:rPr>
        <w:t xml:space="preserve"> </w:t>
      </w:r>
    </w:p>
    <w:p w14:paraId="344B3499" w14:textId="031FD21D" w:rsidR="004D7867" w:rsidRPr="00704967" w:rsidRDefault="004D7867" w:rsidP="00D17BD4">
      <w:pPr>
        <w:spacing w:after="120" w:line="360" w:lineRule="auto"/>
        <w:jc w:val="both"/>
        <w:rPr>
          <w:rFonts w:ascii="Arial" w:eastAsia="Arial Unicode MS" w:hAnsi="Arial" w:cs="Arial"/>
          <w:color w:val="000000" w:themeColor="text1"/>
          <w:sz w:val="24"/>
          <w:szCs w:val="24"/>
        </w:rPr>
      </w:pPr>
      <w:r w:rsidRPr="00704967">
        <w:rPr>
          <w:rFonts w:ascii="Arial" w:eastAsia="Arial Unicode MS" w:hAnsi="Arial" w:cs="Arial"/>
          <w:color w:val="000000" w:themeColor="text1"/>
          <w:sz w:val="24"/>
          <w:szCs w:val="24"/>
        </w:rPr>
        <w:t>At 60 DAS, the highest plant height was recorded under foliar spray of Nano</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sulphur (0.5%) at 30 DAS and flowering stage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which remained statistically at par with T</w:t>
      </w:r>
      <w:r w:rsidRPr="00704967">
        <w:rPr>
          <w:rFonts w:ascii="Arial" w:eastAsia="Arial Unicode MS" w:hAnsi="Arial" w:cs="Arial"/>
          <w:color w:val="000000" w:themeColor="text1"/>
          <w:sz w:val="24"/>
          <w:szCs w:val="24"/>
          <w:vertAlign w:val="subscript"/>
        </w:rPr>
        <w:t>2</w:t>
      </w:r>
      <w:r w:rsidRPr="00704967">
        <w:rPr>
          <w:rFonts w:ascii="Arial" w:eastAsia="Arial Unicode MS" w:hAnsi="Arial" w:cs="Arial"/>
          <w:color w:val="000000" w:themeColor="text1"/>
          <w:sz w:val="24"/>
          <w:szCs w:val="24"/>
        </w:rPr>
        <w:t xml:space="preserve"> (20 k</w:t>
      </w:r>
      <w:r w:rsidR="009B5C8B">
        <w:rPr>
          <w:rFonts w:ascii="Arial" w:eastAsia="Arial Unicode MS" w:hAnsi="Arial" w:cs="Arial"/>
          <w:color w:val="000000" w:themeColor="text1"/>
          <w:sz w:val="24"/>
          <w:szCs w:val="24"/>
        </w:rPr>
        <w:t xml:space="preserve">g </w:t>
      </w:r>
      <w:r w:rsidRPr="00704967">
        <w:rPr>
          <w:rFonts w:ascii="Arial" w:eastAsia="Arial Unicode MS" w:hAnsi="Arial" w:cs="Arial"/>
          <w:color w:val="000000" w:themeColor="text1"/>
          <w:sz w:val="24"/>
          <w:szCs w:val="24"/>
        </w:rPr>
        <w:t>Sulphur</w:t>
      </w:r>
      <w:r w:rsidR="009B5C8B">
        <w:rPr>
          <w:rFonts w:ascii="Arial" w:eastAsia="Arial Unicode MS" w:hAnsi="Arial" w:cs="Arial"/>
          <w:color w:val="000000" w:themeColor="text1"/>
          <w:sz w:val="24"/>
          <w:szCs w:val="24"/>
        </w:rPr>
        <w:t xml:space="preserve"> </w:t>
      </w:r>
      <w:r w:rsidR="009B5C8B" w:rsidRPr="00704967">
        <w:rPr>
          <w:rFonts w:ascii="Arial" w:eastAsia="Arial Unicode MS" w:hAnsi="Arial" w:cs="Arial"/>
          <w:color w:val="000000" w:themeColor="text1"/>
          <w:sz w:val="24"/>
          <w:szCs w:val="24"/>
        </w:rPr>
        <w:t>ha</w:t>
      </w:r>
      <w:r w:rsidR="009B5C8B" w:rsidRPr="00704967">
        <w:rPr>
          <w:rFonts w:ascii="Cambria Math" w:eastAsia="Arial Unicode MS" w:hAnsi="Cambria Math" w:cs="Cambria Math"/>
          <w:color w:val="000000" w:themeColor="text1"/>
          <w:sz w:val="24"/>
          <w:szCs w:val="24"/>
        </w:rPr>
        <w:t>⁻</w:t>
      </w:r>
      <w:r w:rsidR="009B5C8B" w:rsidRPr="00704967">
        <w:rPr>
          <w:rFonts w:ascii="Arial" w:eastAsia="Arial Unicode MS" w:hAnsi="Arial" w:cs="Arial"/>
          <w:color w:val="000000" w:themeColor="text1"/>
          <w:sz w:val="24"/>
          <w:szCs w:val="24"/>
        </w:rPr>
        <w:t>¹</w:t>
      </w:r>
      <w:r w:rsidR="009B5C8B">
        <w:rPr>
          <w:rFonts w:ascii="Arial" w:eastAsia="Arial Unicode MS" w:hAnsi="Arial" w:cs="Arial"/>
          <w:color w:val="000000" w:themeColor="text1"/>
          <w:sz w:val="24"/>
          <w:szCs w:val="24"/>
        </w:rPr>
        <w:t xml:space="preserve"> as basal application</w:t>
      </w:r>
      <w:r w:rsidRPr="00704967">
        <w:rPr>
          <w:rFonts w:ascii="Arial" w:eastAsia="Arial Unicode MS" w:hAnsi="Arial" w:cs="Arial"/>
          <w:color w:val="000000" w:themeColor="text1"/>
          <w:sz w:val="24"/>
          <w:szCs w:val="24"/>
        </w:rPr>
        <w:t>), T</w:t>
      </w:r>
      <w:r w:rsidRPr="00704967">
        <w:rPr>
          <w:rFonts w:ascii="Arial" w:eastAsia="Arial Unicode MS" w:hAnsi="Arial" w:cs="Arial"/>
          <w:color w:val="000000" w:themeColor="text1"/>
          <w:sz w:val="24"/>
          <w:szCs w:val="24"/>
          <w:vertAlign w:val="subscript"/>
        </w:rPr>
        <w:t>4</w:t>
      </w:r>
      <w:r w:rsidRPr="00704967">
        <w:rPr>
          <w:rFonts w:ascii="Arial" w:eastAsia="Arial Unicode MS" w:hAnsi="Arial" w:cs="Arial"/>
          <w:color w:val="000000" w:themeColor="text1"/>
          <w:sz w:val="24"/>
          <w:szCs w:val="24"/>
        </w:rPr>
        <w:t xml:space="preserve"> (foliar spray of Nano</w:t>
      </w:r>
      <w:r w:rsidR="009B5C8B">
        <w:rPr>
          <w:rFonts w:ascii="Arial" w:eastAsia="Arial Unicode MS" w:hAnsi="Arial" w:cs="Arial"/>
          <w:color w:val="000000" w:themeColor="text1"/>
          <w:sz w:val="24"/>
          <w:szCs w:val="24"/>
        </w:rPr>
        <w:t xml:space="preserve"> S</w:t>
      </w:r>
      <w:r w:rsidRPr="00704967">
        <w:rPr>
          <w:rFonts w:ascii="Arial" w:eastAsia="Arial Unicode MS" w:hAnsi="Arial" w:cs="Arial"/>
          <w:color w:val="000000" w:themeColor="text1"/>
          <w:sz w:val="24"/>
          <w:szCs w:val="24"/>
        </w:rPr>
        <w:t>ulphur</w:t>
      </w:r>
      <w:r w:rsidR="009B5C8B">
        <w:rPr>
          <w:rFonts w:ascii="Arial" w:eastAsia="Arial Unicode MS" w:hAnsi="Arial" w:cs="Arial"/>
          <w:color w:val="000000" w:themeColor="text1"/>
          <w:sz w:val="24"/>
          <w:szCs w:val="24"/>
        </w:rPr>
        <w:t xml:space="preserve"> (0.5%)</w:t>
      </w:r>
      <w:r w:rsidRPr="00704967">
        <w:rPr>
          <w:rFonts w:ascii="Arial" w:eastAsia="Arial Unicode MS" w:hAnsi="Arial" w:cs="Arial"/>
          <w:color w:val="000000" w:themeColor="text1"/>
          <w:sz w:val="24"/>
          <w:szCs w:val="24"/>
        </w:rPr>
        <w:t xml:space="preserve"> at </w:t>
      </w:r>
      <w:r w:rsidRPr="00704967">
        <w:rPr>
          <w:rFonts w:ascii="Arial" w:eastAsia="Arial Unicode MS" w:hAnsi="Arial" w:cs="Arial"/>
          <w:color w:val="000000" w:themeColor="text1"/>
          <w:sz w:val="24"/>
          <w:szCs w:val="24"/>
        </w:rPr>
        <w:lastRenderedPageBreak/>
        <w:t>30 DAS), T</w:t>
      </w:r>
      <w:r w:rsidRPr="00704967">
        <w:rPr>
          <w:rFonts w:ascii="Arial" w:eastAsia="Arial Unicode MS" w:hAnsi="Arial" w:cs="Arial"/>
          <w:color w:val="000000" w:themeColor="text1"/>
          <w:sz w:val="24"/>
          <w:szCs w:val="24"/>
          <w:vertAlign w:val="subscript"/>
        </w:rPr>
        <w:t>6</w:t>
      </w:r>
      <w:r w:rsidRPr="00704967">
        <w:rPr>
          <w:rFonts w:ascii="Arial" w:eastAsia="Arial Unicode MS" w:hAnsi="Arial" w:cs="Arial"/>
          <w:color w:val="000000" w:themeColor="text1"/>
          <w:sz w:val="24"/>
          <w:szCs w:val="24"/>
        </w:rPr>
        <w:t xml:space="preserve"> (foliar application of sulphur fertilizer</w:t>
      </w:r>
      <w:r w:rsidR="009B5C8B">
        <w:rPr>
          <w:rFonts w:ascii="Arial" w:eastAsia="Arial Unicode MS" w:hAnsi="Arial" w:cs="Arial"/>
          <w:color w:val="000000" w:themeColor="text1"/>
          <w:sz w:val="24"/>
          <w:szCs w:val="24"/>
        </w:rPr>
        <w:t xml:space="preserve"> (0.5%)</w:t>
      </w:r>
      <w:r w:rsidRPr="00704967">
        <w:rPr>
          <w:rFonts w:ascii="Arial" w:eastAsia="Arial Unicode MS" w:hAnsi="Arial" w:cs="Arial"/>
          <w:color w:val="000000" w:themeColor="text1"/>
          <w:sz w:val="24"/>
          <w:szCs w:val="24"/>
        </w:rPr>
        <w:t xml:space="preserve"> at 30 DAS) and T</w:t>
      </w:r>
      <w:r w:rsidRPr="00704967">
        <w:rPr>
          <w:rFonts w:ascii="Arial" w:eastAsia="Arial Unicode MS" w:hAnsi="Arial" w:cs="Arial"/>
          <w:color w:val="000000" w:themeColor="text1"/>
          <w:sz w:val="24"/>
          <w:szCs w:val="24"/>
          <w:vertAlign w:val="subscript"/>
        </w:rPr>
        <w:t>7</w:t>
      </w:r>
      <w:r w:rsidRPr="00704967">
        <w:rPr>
          <w:rFonts w:ascii="Arial" w:eastAsia="Arial Unicode MS" w:hAnsi="Arial" w:cs="Arial"/>
          <w:color w:val="000000" w:themeColor="text1"/>
          <w:sz w:val="24"/>
          <w:szCs w:val="24"/>
        </w:rPr>
        <w:t xml:space="preserve"> (foliar application</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of</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sulphur</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fertilize</w:t>
      </w:r>
      <w:r w:rsidR="009B5C8B">
        <w:rPr>
          <w:rFonts w:ascii="Arial" w:eastAsia="Arial Unicode MS" w:hAnsi="Arial" w:cs="Arial"/>
          <w:color w:val="000000" w:themeColor="text1"/>
          <w:sz w:val="24"/>
          <w:szCs w:val="24"/>
        </w:rPr>
        <w:t>r</w:t>
      </w:r>
      <w:r w:rsidR="008D16B7">
        <w:rPr>
          <w:rFonts w:ascii="Arial" w:eastAsia="Arial Unicode MS" w:hAnsi="Arial" w:cs="Arial"/>
          <w:color w:val="000000" w:themeColor="text1"/>
          <w:sz w:val="24"/>
          <w:szCs w:val="24"/>
        </w:rPr>
        <w:t xml:space="preserve"> </w:t>
      </w:r>
      <w:r w:rsidR="009B5C8B">
        <w:rPr>
          <w:rFonts w:ascii="Arial" w:eastAsia="Arial Unicode MS" w:hAnsi="Arial" w:cs="Arial"/>
          <w:color w:val="000000" w:themeColor="text1"/>
          <w:sz w:val="24"/>
          <w:szCs w:val="24"/>
        </w:rPr>
        <w:t>(0.5%)</w:t>
      </w:r>
      <w:r w:rsidRPr="00704967">
        <w:rPr>
          <w:rFonts w:ascii="Arial" w:eastAsia="Arial Unicode MS" w:hAnsi="Arial" w:cs="Arial"/>
          <w:color w:val="000000" w:themeColor="text1"/>
          <w:sz w:val="24"/>
          <w:szCs w:val="24"/>
        </w:rPr>
        <w:t xml:space="preserve"> at 30 DAS</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and flowering stage), but significantly superior over the remaining treatments. At 90 DAS,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xml:space="preserve"> again produced the maximum plant height, being statistically similar to T</w:t>
      </w:r>
      <w:r w:rsidRPr="00704967">
        <w:rPr>
          <w:rFonts w:ascii="Arial" w:eastAsia="Arial Unicode MS" w:hAnsi="Arial" w:cs="Arial"/>
          <w:color w:val="000000" w:themeColor="text1"/>
          <w:sz w:val="24"/>
          <w:szCs w:val="24"/>
          <w:vertAlign w:val="subscript"/>
        </w:rPr>
        <w:t>7</w:t>
      </w:r>
      <w:r w:rsidRPr="00704967">
        <w:rPr>
          <w:rFonts w:ascii="Arial" w:eastAsia="Arial Unicode MS" w:hAnsi="Arial" w:cs="Arial"/>
          <w:color w:val="000000" w:themeColor="text1"/>
          <w:sz w:val="24"/>
          <w:szCs w:val="24"/>
        </w:rPr>
        <w:t xml:space="preserve"> but significantly superior to other treatments. The maximum plant height observed under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xml:space="preserve"> may be attributed to rapid absorption and efficient translocation of nano</w:t>
      </w:r>
      <w:r w:rsidR="002B2B42">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 xml:space="preserve">sized sulphur particles, enhancing cell division and elongation processes. Similar results were reported by </w:t>
      </w:r>
      <w:r w:rsidR="0099617E">
        <w:rPr>
          <w:rFonts w:ascii="Arial" w:eastAsia="Arial Unicode MS" w:hAnsi="Arial" w:cs="Arial"/>
          <w:color w:val="000000" w:themeColor="text1"/>
          <w:sz w:val="24"/>
          <w:szCs w:val="24"/>
        </w:rPr>
        <w:t>(</w:t>
      </w:r>
      <w:r w:rsidR="00704967">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10.33545/2618060X.2024.v7.i8g.1300","ISSN":"2618060X","author":[{"dropping-particle":"","family":"Gouri","given":"P","non-dropping-particle":"","parse-names":false,"suffix":""},{"dropping-particle":"","family":"Kumar","given":"Prateek","non-dropping-particle":"","parse-names":false,"suffix":""},{"dropping-particle":"","family":"Mehera","given":"Biswarup","non-dropping-particle":"","parse-names":false,"suffix":""},{"dropping-particle":"","family":"Kumar","given":"Akhil","non-dropping-particle":"","parse-names":false,"suffix":""}],"container-title":"International Journal of Research in Agronomy","id":"ITEM-1","issue":"8","issued":{"date-parts":[["2024","8","1"]]},"page":"489-492","title":"Effect of sulphur and nano urea on growth and yield of Indian mustard","type":"article-journal","volume":"7"},"uris":["http://www.mendeley.com/documents/?uuid=bc5ae799-c617-4e9b-80d0-c4efdbcb4231"]}],"mendeley":{"formattedCitation":"(Gouri et al., 2024)","manualFormatting":"Gouri et al., 2024)","plainTextFormattedCitation":"(Gouri et al., 2024)","previouslyFormattedCitation":"(Gouri et al., 2024)"},"properties":{"noteIndex":0},"schema":"https://github.com/citation-style-language/schema/raw/master/csl-citation.json"}</w:instrText>
      </w:r>
      <w:r w:rsidR="00704967">
        <w:rPr>
          <w:rFonts w:ascii="Arial" w:eastAsia="Arial Unicode MS" w:hAnsi="Arial" w:cs="Arial"/>
          <w:color w:val="000000" w:themeColor="text1"/>
          <w:sz w:val="24"/>
          <w:szCs w:val="24"/>
        </w:rPr>
        <w:fldChar w:fldCharType="separate"/>
      </w:r>
      <w:r w:rsidR="00704967" w:rsidRPr="00704967">
        <w:rPr>
          <w:rFonts w:ascii="Arial" w:eastAsia="Arial Unicode MS" w:hAnsi="Arial" w:cs="Arial"/>
          <w:noProof/>
          <w:color w:val="000000" w:themeColor="text1"/>
          <w:sz w:val="24"/>
          <w:szCs w:val="24"/>
        </w:rPr>
        <w:t>Gouri et al., 2024)</w:t>
      </w:r>
      <w:r w:rsidR="00704967">
        <w:rPr>
          <w:rFonts w:ascii="Arial" w:eastAsia="Arial Unicode MS" w:hAnsi="Arial" w:cs="Arial"/>
          <w:color w:val="000000" w:themeColor="text1"/>
          <w:sz w:val="24"/>
          <w:szCs w:val="24"/>
        </w:rPr>
        <w:fldChar w:fldCharType="end"/>
      </w:r>
      <w:r w:rsidRPr="00704967">
        <w:rPr>
          <w:rFonts w:ascii="Arial" w:eastAsia="Arial Unicode MS" w:hAnsi="Arial" w:cs="Arial"/>
          <w:color w:val="000000" w:themeColor="text1"/>
          <w:sz w:val="24"/>
          <w:szCs w:val="24"/>
        </w:rPr>
        <w:t xml:space="preserve"> in Indian mustard, where 30 kg S/ha with nano urea (4 ml/l) resulted in tallest plants (175.07 cm), indicating that the synergistic effect of sulphur and nano-fertilizers significantly improves vertical growth.</w:t>
      </w:r>
    </w:p>
    <w:p w14:paraId="43788D3C" w14:textId="2EAE1805" w:rsidR="00A47583" w:rsidRPr="000F7E4C" w:rsidRDefault="001129AE" w:rsidP="000F7E4C">
      <w:pPr>
        <w:spacing w:after="120" w:line="360" w:lineRule="auto"/>
        <w:jc w:val="both"/>
        <w:rPr>
          <w:rFonts w:ascii="Arial" w:eastAsia="Arial Unicode MS" w:hAnsi="Arial" w:cs="Arial"/>
          <w:color w:val="000000" w:themeColor="text1"/>
          <w:sz w:val="24"/>
          <w:szCs w:val="24"/>
        </w:rPr>
      </w:pPr>
      <w:r>
        <w:rPr>
          <w:rFonts w:ascii="Arial" w:eastAsia="Arial Unicode MS" w:hAnsi="Arial" w:cs="Arial"/>
          <w:b/>
          <w:bCs/>
          <w:color w:val="000000" w:themeColor="text1"/>
          <w:sz w:val="24"/>
          <w:szCs w:val="24"/>
        </w:rPr>
        <w:t xml:space="preserve">3.2 </w:t>
      </w:r>
      <w:r w:rsidR="00A47583" w:rsidRPr="00814751">
        <w:rPr>
          <w:rFonts w:ascii="Arial" w:eastAsia="Arial Unicode MS" w:hAnsi="Arial" w:cs="Arial"/>
          <w:b/>
          <w:bCs/>
          <w:color w:val="000000" w:themeColor="text1"/>
          <w:sz w:val="24"/>
          <w:szCs w:val="24"/>
        </w:rPr>
        <w:t>Number of leaves</w:t>
      </w:r>
      <w:r w:rsidR="00386082">
        <w:rPr>
          <w:rFonts w:ascii="Arial" w:eastAsia="Arial Unicode MS" w:hAnsi="Arial" w:cs="Arial"/>
          <w:b/>
          <w:bCs/>
          <w:color w:val="000000" w:themeColor="text1"/>
          <w:sz w:val="24"/>
          <w:szCs w:val="24"/>
        </w:rPr>
        <w:t xml:space="preserve"> plant</w:t>
      </w:r>
      <w:r w:rsidR="00386082" w:rsidRPr="00386082">
        <w:rPr>
          <w:rFonts w:ascii="Arial Bold" w:eastAsia="Arial Unicode MS" w:hAnsi="Arial Bold" w:cs="Arial"/>
          <w:b/>
          <w:bCs/>
          <w:color w:val="000000" w:themeColor="text1"/>
          <w:sz w:val="24"/>
          <w:szCs w:val="24"/>
          <w:vertAlign w:val="superscript"/>
        </w:rPr>
        <w:t>-1</w:t>
      </w:r>
    </w:p>
    <w:p w14:paraId="0FE80192" w14:textId="7A3B9077" w:rsidR="00B978F2" w:rsidRPr="00DE6803" w:rsidRDefault="00B978F2" w:rsidP="00D17BD4">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significantly higher number of leaves (125.8 plant</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was recorded under</w:t>
      </w:r>
      <w:r w:rsidR="009B5C8B">
        <w:rPr>
          <w:rFonts w:ascii="Arial" w:eastAsia="Arial Unicode MS" w:hAnsi="Arial" w:cs="Arial"/>
          <w:color w:val="000000" w:themeColor="text1"/>
          <w:sz w:val="24"/>
          <w:szCs w:val="24"/>
        </w:rPr>
        <w:t xml:space="preserve"> (Table 1.)</w:t>
      </w:r>
      <w:r w:rsidRPr="00DE6803">
        <w:rPr>
          <w:rFonts w:ascii="Arial" w:eastAsia="Arial Unicode MS" w:hAnsi="Arial" w:cs="Arial"/>
          <w:color w:val="000000" w:themeColor="text1"/>
          <w:sz w:val="24"/>
          <w:szCs w:val="24"/>
        </w:rPr>
        <w:t xml:space="preserve"> foliar spray of nano-sulphur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(foliar application of sulphur fertilizer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w:t>
      </w:r>
      <w:r w:rsidR="00DC40A5">
        <w:rPr>
          <w:rFonts w:ascii="Arial" w:eastAsia="Arial Unicode MS" w:hAnsi="Arial" w:cs="Arial"/>
          <w:color w:val="000000" w:themeColor="text1"/>
          <w:sz w:val="24"/>
          <w:szCs w:val="24"/>
        </w:rPr>
        <w:t xml:space="preserve"> and flowering stage</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(foliar spray of nano-sulphur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xml:space="preserve"> (20 kg S</w:t>
      </w:r>
      <w:r w:rsidR="00DC40A5">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as basal application), but superior over the rest of the treatments. </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At 90 DAS, the maximum number of leaves was also observed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remained statistically similar to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yet superior to other </w:t>
      </w:r>
      <w:proofErr w:type="spellStart"/>
      <w:proofErr w:type="gramStart"/>
      <w:r w:rsidRPr="00DE6803">
        <w:rPr>
          <w:rFonts w:ascii="Arial" w:eastAsia="Arial Unicode MS" w:hAnsi="Arial" w:cs="Arial"/>
          <w:color w:val="000000" w:themeColor="text1"/>
          <w:sz w:val="24"/>
          <w:szCs w:val="24"/>
        </w:rPr>
        <w:t>treatments.The</w:t>
      </w:r>
      <w:proofErr w:type="spellEnd"/>
      <w:proofErr w:type="gramEnd"/>
      <w:r w:rsidRPr="00DE6803">
        <w:rPr>
          <w:rFonts w:ascii="Arial" w:eastAsia="Arial Unicode MS" w:hAnsi="Arial" w:cs="Arial"/>
          <w:color w:val="000000" w:themeColor="text1"/>
          <w:sz w:val="24"/>
          <w:szCs w:val="24"/>
        </w:rPr>
        <w:t xml:space="preserve"> superiority of</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may be attributed to the higher surface area and faster</w:t>
      </w:r>
      <w:r w:rsidR="00DE6803">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solubility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sulphur, which enhanced nutrient absorption, photosynthetic activity and leaf proliferation. Similar findings were reported by </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{"citationItems":[{"id":"ITEM-1","itemData":{"author":[{"dropping-particle":"","family":"Singh","given":"Harvir","non-dropping-particle":"","parse-names":false,"suffix":""},{"dropping-particle":"","family":"Choudhary","given":"Ram Lal","non-dropping-particle":"","parse-names":false,"suffix":""},{"dropping-particle":"","family":"Jat","given":"R S","non-dropping-particle":"","parse-names":false,"suffix":""},{"dropping-particle":"","family":"Rathore","given":"Sanjay Singh","non-dropping-particle":"","parse-names":false,"suffix":""}],"container-title":"Indian Journal of Agricultural Sciences","id":"ITEM-1","issue":"1","issued":{"date-parts":[["2023"]]},"page":"51-56","title":"Re-visiting of nitrogen and sulphur requirements in Indian mustard (Brassica juncea) under irrigated conditions","type":"article-journal","volume":"93"},"uris":["http://www.mendeley.com/documents/?uuid=f26f9928-f1a2-4b44-81dc-e851f820f065"]}],"mendeley":{"formattedCitation":"(H. Singh et al., 2023)","manualFormatting":" (Singh et al., 2023)","plainTextFormattedCitation":"(H. Singh et al., 2023)","previouslyFormattedCitation":"(H. Singh et al., 2023)"},"properties":{"noteIndex":0},"schema":"https://github.com/citation-style-language/schema/raw/master/csl-citation.json"}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 xml:space="preserve"> </w:t>
      </w:r>
      <w:r w:rsidR="0099617E">
        <w:rPr>
          <w:rFonts w:ascii="Arial" w:eastAsia="Arial Unicode MS" w:hAnsi="Arial" w:cs="Arial"/>
          <w:noProof/>
          <w:color w:val="000000" w:themeColor="text1"/>
          <w:sz w:val="24"/>
          <w:szCs w:val="24"/>
        </w:rPr>
        <w:t>(</w:t>
      </w:r>
      <w:r w:rsidR="00DE6803" w:rsidRPr="00DE6803">
        <w:rPr>
          <w:rFonts w:ascii="Arial" w:eastAsia="Arial Unicode MS" w:hAnsi="Arial" w:cs="Arial"/>
          <w:noProof/>
          <w:color w:val="000000" w:themeColor="text1"/>
          <w:sz w:val="24"/>
          <w:szCs w:val="24"/>
        </w:rPr>
        <w:t>Singh et al., 2023)</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who noted that 60 kg S</w:t>
      </w:r>
      <w:r w:rsidR="002B2B42">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in mustard produced maximum number of leaves and higher leaf area index.</w:t>
      </w:r>
    </w:p>
    <w:p w14:paraId="4E8259BB" w14:textId="0C9950C9" w:rsidR="00FE3CB0" w:rsidRDefault="001129AE" w:rsidP="00FE3CB0">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3.3 </w:t>
      </w:r>
      <w:r w:rsidR="00FE3CB0" w:rsidRPr="00814751">
        <w:rPr>
          <w:rFonts w:ascii="Arial" w:eastAsia="Arial Unicode MS" w:hAnsi="Arial" w:cs="Arial"/>
          <w:b/>
          <w:bCs/>
          <w:color w:val="000000" w:themeColor="text1"/>
          <w:sz w:val="24"/>
          <w:szCs w:val="24"/>
        </w:rPr>
        <w:t>Leaf area</w:t>
      </w:r>
      <w:r w:rsidR="00A47583" w:rsidRPr="00814751">
        <w:rPr>
          <w:rFonts w:ascii="Arial" w:eastAsia="Arial Unicode MS" w:hAnsi="Arial" w:cs="Arial"/>
          <w:b/>
          <w:bCs/>
          <w:color w:val="000000" w:themeColor="text1"/>
          <w:sz w:val="24"/>
          <w:szCs w:val="24"/>
        </w:rPr>
        <w:t xml:space="preserve"> </w:t>
      </w:r>
    </w:p>
    <w:p w14:paraId="72750E67" w14:textId="1D8BBA0C" w:rsidR="00B978F2" w:rsidRPr="00DE6803" w:rsidRDefault="00B978F2" w:rsidP="009B5C8B">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the highest leaf area was recorded under foliar spray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but statistically superior over the rest of the treatments. At 90 DAS, the maximum leaf area was also observed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remaining at par with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yet superior to other treatments. Leaf area was consistently highest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1.</w:t>
      </w:r>
      <w:r w:rsidRPr="00DE6803">
        <w:rPr>
          <w:rFonts w:ascii="Arial" w:eastAsia="Arial Unicode MS" w:hAnsi="Arial" w:cs="Arial"/>
          <w:color w:val="000000" w:themeColor="text1"/>
          <w:sz w:val="24"/>
          <w:szCs w:val="24"/>
        </w:rPr>
        <w:t xml:space="preserve">), which may be attributed to the role of sulphur in chlorophyll synthesis and amino acid (cysteine and methionine) formation, enhancing photosynthetic efficiency and promoting larger leaf area. Similar results were reported by </w:t>
      </w:r>
      <w:r w:rsidR="0099617E">
        <w:rPr>
          <w:rFonts w:ascii="Arial" w:eastAsia="Arial Unicode MS" w:hAnsi="Arial" w:cs="Arial"/>
          <w:color w:val="000000" w:themeColor="text1"/>
          <w:sz w:val="24"/>
          <w:szCs w:val="24"/>
        </w:rPr>
        <w:t>(</w:t>
      </w:r>
      <w:r w:rsidR="002F6978">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01904167.2023.2294931","ISSN":"0190-4167","author":[{"dropping-particle":"","family":"Thirunavukkarasu","given":"M.","non-dropping-particle":"","parse-names":false,"suffix":""},{"dropping-particle":"","family":"Subramanian","given":"K S","non-dropping-particle":"","parse-names":false,"suffix":""},{"dropping-particle":"","family":"Yuvaraj","given":"M","non-dropping-particle":"","parse-names":false,"suffix":""}],"container-title":"Journal of Plant Nutrition","id":"ITEM-1","issue":"7","issued":{"date-parts":[["2024","4","20"]]},"page":"1079-1088","title":"Response studies of nano-sulphur on nutrient uptake, sulphur fractions, yield and quality parameters of peanut (Arachis hypogaea L.)","type":"article-journal","volume":"47"},"uris":["http://www.mendeley.com/documents/?uuid=2c0dd792-42f0-4b11-ab3a-a28d4b25b5fd"]}],"mendeley":{"formattedCitation":"(Thirunavukkarasu et al., 2024)","manualFormatting":"Thirunavukkarasu et al., 2024)","plainTextFormattedCitation":"(Thirunavukkarasu et al., 2024)","previouslyFormattedCitation":"(Thirunavukkarasu et al., 2024)"},"properties":{"noteIndex":0},"schema":"https://github.com/citation-style-language/schema/raw/master/csl-citation.json"}</w:instrText>
      </w:r>
      <w:r w:rsidR="002F6978">
        <w:rPr>
          <w:rFonts w:ascii="Arial" w:eastAsia="Arial Unicode MS" w:hAnsi="Arial" w:cs="Arial"/>
          <w:color w:val="000000" w:themeColor="text1"/>
          <w:sz w:val="24"/>
          <w:szCs w:val="24"/>
        </w:rPr>
        <w:fldChar w:fldCharType="separate"/>
      </w:r>
      <w:r w:rsidR="002F6978" w:rsidRPr="002F6978">
        <w:rPr>
          <w:rFonts w:ascii="Arial" w:eastAsia="Arial Unicode MS" w:hAnsi="Arial" w:cs="Arial"/>
          <w:noProof/>
          <w:color w:val="000000" w:themeColor="text1"/>
          <w:sz w:val="24"/>
          <w:szCs w:val="24"/>
        </w:rPr>
        <w:t>Thirunavukkarasu et al., 2024)</w:t>
      </w:r>
      <w:r w:rsidR="002F6978">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in groundnut, where nano-sulphur improved sulphur use efficiency and canopy development, confirming </w:t>
      </w:r>
      <w:r w:rsidRPr="00DE6803">
        <w:rPr>
          <w:rFonts w:ascii="Arial" w:eastAsia="Arial Unicode MS" w:hAnsi="Arial" w:cs="Arial"/>
          <w:color w:val="000000" w:themeColor="text1"/>
          <w:sz w:val="24"/>
          <w:szCs w:val="24"/>
        </w:rPr>
        <w:lastRenderedPageBreak/>
        <w:t>the effectiveness of foliar nano-sulphur application at critical stages for better foliage and photosynthetic surface.</w:t>
      </w:r>
    </w:p>
    <w:p w14:paraId="0FE536AF" w14:textId="23A15F59" w:rsidR="00BC45BB" w:rsidRPr="00BC45BB" w:rsidRDefault="001129AE" w:rsidP="00784905">
      <w:pPr>
        <w:spacing w:after="120" w:line="360" w:lineRule="auto"/>
        <w:jc w:val="both"/>
        <w:rPr>
          <w:rFonts w:ascii="Arial" w:eastAsia="Arial Unicode MS" w:hAnsi="Arial" w:cs="Arial"/>
          <w:color w:val="000000" w:themeColor="text1"/>
          <w:sz w:val="20"/>
          <w:szCs w:val="20"/>
        </w:rPr>
      </w:pPr>
      <w:r>
        <w:rPr>
          <w:rFonts w:ascii="Arial" w:hAnsi="Arial" w:cs="Arial"/>
          <w:b/>
          <w:bCs/>
          <w:sz w:val="20"/>
          <w:szCs w:val="20"/>
        </w:rPr>
        <w:t>Table 1</w:t>
      </w:r>
      <w:r w:rsidR="006828EF">
        <w:rPr>
          <w:rFonts w:ascii="Arial" w:hAnsi="Arial" w:cs="Arial"/>
          <w:b/>
          <w:bCs/>
          <w:sz w:val="20"/>
          <w:szCs w:val="20"/>
        </w:rPr>
        <w:t>.</w:t>
      </w:r>
      <w:r>
        <w:rPr>
          <w:rFonts w:ascii="Arial" w:hAnsi="Arial" w:cs="Arial"/>
          <w:b/>
          <w:bCs/>
          <w:sz w:val="20"/>
          <w:szCs w:val="20"/>
        </w:rPr>
        <w:t xml:space="preserve"> </w:t>
      </w:r>
      <w:r w:rsidR="00BC45BB" w:rsidRPr="00726616">
        <w:rPr>
          <w:rFonts w:ascii="Arial" w:hAnsi="Arial" w:cs="Arial"/>
          <w:b/>
          <w:bCs/>
          <w:sz w:val="20"/>
          <w:szCs w:val="20"/>
        </w:rPr>
        <w:t>Influenced by different sources of Sulphur on Growth parameter</w:t>
      </w:r>
    </w:p>
    <w:tbl>
      <w:tblPr>
        <w:tblW w:w="8890" w:type="dxa"/>
        <w:jc w:val="center"/>
        <w:tblLook w:val="04A0" w:firstRow="1" w:lastRow="0" w:firstColumn="1" w:lastColumn="0" w:noHBand="0" w:noVBand="1"/>
      </w:tblPr>
      <w:tblGrid>
        <w:gridCol w:w="429"/>
        <w:gridCol w:w="2205"/>
        <w:gridCol w:w="760"/>
        <w:gridCol w:w="687"/>
        <w:gridCol w:w="934"/>
        <w:gridCol w:w="846"/>
        <w:gridCol w:w="747"/>
        <w:gridCol w:w="768"/>
        <w:gridCol w:w="760"/>
        <w:gridCol w:w="774"/>
      </w:tblGrid>
      <w:tr w:rsidR="00E10D00" w:rsidRPr="00ED7D1B" w14:paraId="234B95BA" w14:textId="77777777" w:rsidTr="001129AE">
        <w:trPr>
          <w:trHeight w:val="269"/>
          <w:jc w:val="center"/>
        </w:trPr>
        <w:tc>
          <w:tcPr>
            <w:tcW w:w="2767" w:type="dxa"/>
            <w:gridSpan w:val="2"/>
            <w:vMerge w:val="restart"/>
            <w:tcBorders>
              <w:top w:val="single" w:sz="4" w:space="0" w:color="auto"/>
            </w:tcBorders>
            <w:noWrap/>
            <w:vAlign w:val="center"/>
            <w:hideMark/>
          </w:tcPr>
          <w:p w14:paraId="2AA303C2" w14:textId="77777777" w:rsidR="00E10D00" w:rsidRPr="001C4DE4" w:rsidRDefault="00E10D00" w:rsidP="00E10D00">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Treatment</w:t>
            </w:r>
          </w:p>
          <w:p w14:paraId="4AD3F7B4" w14:textId="777704C0" w:rsidR="00E10D00" w:rsidRPr="001C4DE4" w:rsidRDefault="00E10D00" w:rsidP="00E10D00">
            <w:pPr>
              <w:spacing w:after="0" w:line="240" w:lineRule="auto"/>
              <w:jc w:val="center"/>
              <w:rPr>
                <w:rFonts w:ascii="Calibri" w:eastAsia="Times New Roman" w:hAnsi="Calibri" w:cs="Calibri"/>
                <w:color w:val="000000"/>
                <w:kern w:val="0"/>
                <w:sz w:val="18"/>
                <w:szCs w:val="18"/>
                <w:lang w:eastAsia="en-IN" w:bidi="hi-IN"/>
                <w14:ligatures w14:val="none"/>
              </w:rPr>
            </w:pPr>
          </w:p>
          <w:p w14:paraId="05B9EB18" w14:textId="2BFE34A2" w:rsidR="00E10D00" w:rsidRPr="001C4DE4" w:rsidRDefault="00E10D00" w:rsidP="00E10D00">
            <w:pPr>
              <w:spacing w:after="0" w:line="240" w:lineRule="auto"/>
              <w:jc w:val="center"/>
              <w:rPr>
                <w:rFonts w:eastAsia="Times New Roman" w:cstheme="minorHAnsi"/>
                <w:b/>
                <w:bCs/>
                <w:color w:val="000000"/>
                <w:kern w:val="0"/>
                <w:sz w:val="18"/>
                <w:szCs w:val="18"/>
                <w:lang w:eastAsia="en-IN" w:bidi="hi-IN"/>
                <w14:ligatures w14:val="none"/>
              </w:rPr>
            </w:pPr>
          </w:p>
        </w:tc>
        <w:tc>
          <w:tcPr>
            <w:tcW w:w="1423" w:type="dxa"/>
            <w:gridSpan w:val="2"/>
            <w:tcBorders>
              <w:top w:val="single" w:sz="4" w:space="0" w:color="auto"/>
              <w:bottom w:val="single" w:sz="4" w:space="0" w:color="auto"/>
            </w:tcBorders>
            <w:noWrap/>
            <w:vAlign w:val="center"/>
            <w:hideMark/>
          </w:tcPr>
          <w:p w14:paraId="487CA3ED" w14:textId="436C4A0E"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Plant height (cm)</w:t>
            </w:r>
          </w:p>
        </w:tc>
        <w:tc>
          <w:tcPr>
            <w:tcW w:w="1705" w:type="dxa"/>
            <w:gridSpan w:val="2"/>
            <w:tcBorders>
              <w:top w:val="single" w:sz="4" w:space="0" w:color="auto"/>
              <w:bottom w:val="single" w:sz="4" w:space="0" w:color="auto"/>
            </w:tcBorders>
            <w:noWrap/>
            <w:vAlign w:val="center"/>
            <w:hideMark/>
          </w:tcPr>
          <w:p w14:paraId="70A99B61" w14:textId="0143917B"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Number of leaves</w:t>
            </w:r>
            <w:r w:rsidR="00B17267" w:rsidRPr="001C4DE4">
              <w:rPr>
                <w:rFonts w:eastAsia="Times New Roman" w:cstheme="minorHAnsi"/>
                <w:b/>
                <w:bCs/>
                <w:color w:val="000000"/>
                <w:kern w:val="0"/>
                <w:sz w:val="18"/>
                <w:szCs w:val="18"/>
                <w:lang w:eastAsia="en-IN" w:bidi="hi-IN"/>
                <w14:ligatures w14:val="none"/>
              </w:rPr>
              <w:t xml:space="preserve"> plant</w:t>
            </w:r>
            <w:r w:rsidR="00B17267" w:rsidRPr="001C4DE4">
              <w:rPr>
                <w:rFonts w:eastAsia="Times New Roman" w:cstheme="minorHAnsi"/>
                <w:b/>
                <w:bCs/>
                <w:color w:val="000000"/>
                <w:kern w:val="0"/>
                <w:sz w:val="18"/>
                <w:szCs w:val="18"/>
                <w:vertAlign w:val="superscript"/>
                <w:lang w:eastAsia="en-IN" w:bidi="hi-IN"/>
                <w14:ligatures w14:val="none"/>
              </w:rPr>
              <w:t>-1</w:t>
            </w:r>
          </w:p>
        </w:tc>
        <w:tc>
          <w:tcPr>
            <w:tcW w:w="1516" w:type="dxa"/>
            <w:gridSpan w:val="2"/>
            <w:tcBorders>
              <w:top w:val="single" w:sz="4" w:space="0" w:color="auto"/>
              <w:bottom w:val="single" w:sz="4" w:space="0" w:color="auto"/>
            </w:tcBorders>
            <w:noWrap/>
            <w:vAlign w:val="bottom"/>
            <w:hideMark/>
          </w:tcPr>
          <w:p w14:paraId="35BAC1BD"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Leaf area (cm</w:t>
            </w:r>
            <w:r w:rsidRPr="001C4DE4">
              <w:rPr>
                <w:rFonts w:eastAsia="Times New Roman" w:cstheme="minorHAnsi"/>
                <w:b/>
                <w:bCs/>
                <w:color w:val="000000"/>
                <w:kern w:val="0"/>
                <w:sz w:val="18"/>
                <w:szCs w:val="18"/>
                <w:vertAlign w:val="superscript"/>
                <w:lang w:eastAsia="en-IN" w:bidi="hi-IN"/>
                <w14:ligatures w14:val="none"/>
              </w:rPr>
              <w:t>-2</w:t>
            </w:r>
            <w:r w:rsidRPr="001C4DE4">
              <w:rPr>
                <w:rFonts w:eastAsia="Times New Roman" w:cstheme="minorHAnsi"/>
                <w:b/>
                <w:bCs/>
                <w:color w:val="000000"/>
                <w:kern w:val="0"/>
                <w:sz w:val="18"/>
                <w:szCs w:val="18"/>
                <w:lang w:eastAsia="en-IN" w:bidi="hi-IN"/>
                <w14:ligatures w14:val="none"/>
              </w:rPr>
              <w:t xml:space="preserve"> plant</w:t>
            </w:r>
            <w:r w:rsidRPr="001C4DE4">
              <w:rPr>
                <w:rFonts w:eastAsia="Times New Roman" w:cstheme="minorHAnsi"/>
                <w:b/>
                <w:bCs/>
                <w:color w:val="000000"/>
                <w:kern w:val="0"/>
                <w:sz w:val="18"/>
                <w:szCs w:val="18"/>
                <w:vertAlign w:val="superscript"/>
                <w:lang w:eastAsia="en-IN" w:bidi="hi-IN"/>
                <w14:ligatures w14:val="none"/>
              </w:rPr>
              <w:t>-1</w:t>
            </w:r>
            <w:r w:rsidRPr="001C4DE4">
              <w:rPr>
                <w:rFonts w:eastAsia="Times New Roman" w:cstheme="minorHAnsi"/>
                <w:b/>
                <w:bCs/>
                <w:color w:val="000000"/>
                <w:kern w:val="0"/>
                <w:sz w:val="18"/>
                <w:szCs w:val="18"/>
                <w:lang w:eastAsia="en-IN" w:bidi="hi-IN"/>
                <w14:ligatures w14:val="none"/>
              </w:rPr>
              <w:t xml:space="preserve">) </w:t>
            </w:r>
          </w:p>
        </w:tc>
        <w:tc>
          <w:tcPr>
            <w:tcW w:w="1479" w:type="dxa"/>
            <w:gridSpan w:val="2"/>
            <w:tcBorders>
              <w:top w:val="single" w:sz="4" w:space="0" w:color="auto"/>
              <w:bottom w:val="single" w:sz="4" w:space="0" w:color="auto"/>
            </w:tcBorders>
            <w:noWrap/>
            <w:vAlign w:val="bottom"/>
            <w:hideMark/>
          </w:tcPr>
          <w:p w14:paraId="58A73FE8"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 xml:space="preserve">Number </w:t>
            </w:r>
            <w:proofErr w:type="gramStart"/>
            <w:r w:rsidRPr="001C4DE4">
              <w:rPr>
                <w:rFonts w:eastAsia="Times New Roman" w:cstheme="minorHAnsi"/>
                <w:b/>
                <w:bCs/>
                <w:color w:val="000000"/>
                <w:kern w:val="0"/>
                <w:sz w:val="18"/>
                <w:szCs w:val="18"/>
                <w:lang w:eastAsia="en-IN" w:bidi="hi-IN"/>
                <w14:ligatures w14:val="none"/>
              </w:rPr>
              <w:t>of  branches</w:t>
            </w:r>
            <w:proofErr w:type="gramEnd"/>
            <w:r w:rsidRPr="001C4DE4">
              <w:rPr>
                <w:rFonts w:eastAsia="Times New Roman" w:cstheme="minorHAnsi"/>
                <w:b/>
                <w:bCs/>
                <w:color w:val="000000"/>
                <w:kern w:val="0"/>
                <w:sz w:val="18"/>
                <w:szCs w:val="18"/>
                <w:lang w:eastAsia="en-IN" w:bidi="hi-IN"/>
                <w14:ligatures w14:val="none"/>
              </w:rPr>
              <w:t xml:space="preserve"> plant</w:t>
            </w:r>
            <w:r w:rsidRPr="001C4DE4">
              <w:rPr>
                <w:rFonts w:eastAsia="Times New Roman" w:cstheme="minorHAnsi"/>
                <w:b/>
                <w:bCs/>
                <w:color w:val="000000"/>
                <w:kern w:val="0"/>
                <w:sz w:val="18"/>
                <w:szCs w:val="18"/>
                <w:vertAlign w:val="superscript"/>
                <w:lang w:eastAsia="en-IN" w:bidi="hi-IN"/>
                <w14:ligatures w14:val="none"/>
              </w:rPr>
              <w:t>-1</w:t>
            </w:r>
          </w:p>
        </w:tc>
      </w:tr>
      <w:tr w:rsidR="00E10D00" w:rsidRPr="00ED7D1B" w14:paraId="58EEC497" w14:textId="77777777" w:rsidTr="001129AE">
        <w:trPr>
          <w:trHeight w:val="253"/>
          <w:jc w:val="center"/>
        </w:trPr>
        <w:tc>
          <w:tcPr>
            <w:tcW w:w="2767" w:type="dxa"/>
            <w:gridSpan w:val="2"/>
            <w:vMerge/>
            <w:tcBorders>
              <w:bottom w:val="single" w:sz="4" w:space="0" w:color="auto"/>
            </w:tcBorders>
            <w:noWrap/>
            <w:vAlign w:val="bottom"/>
            <w:hideMark/>
          </w:tcPr>
          <w:p w14:paraId="31359126" w14:textId="43E7B1F6"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p>
        </w:tc>
        <w:tc>
          <w:tcPr>
            <w:tcW w:w="729" w:type="dxa"/>
            <w:tcBorders>
              <w:bottom w:val="single" w:sz="4" w:space="0" w:color="auto"/>
            </w:tcBorders>
            <w:noWrap/>
            <w:vAlign w:val="center"/>
            <w:hideMark/>
          </w:tcPr>
          <w:p w14:paraId="6F0E20F7" w14:textId="77777777"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693" w:type="dxa"/>
            <w:tcBorders>
              <w:bottom w:val="single" w:sz="4" w:space="0" w:color="auto"/>
            </w:tcBorders>
            <w:noWrap/>
            <w:vAlign w:val="center"/>
            <w:hideMark/>
          </w:tcPr>
          <w:p w14:paraId="0C138C7C" w14:textId="77777777"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894" w:type="dxa"/>
            <w:tcBorders>
              <w:bottom w:val="single" w:sz="4" w:space="0" w:color="auto"/>
            </w:tcBorders>
            <w:noWrap/>
            <w:vAlign w:val="center"/>
            <w:hideMark/>
          </w:tcPr>
          <w:p w14:paraId="6501221F"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810" w:type="dxa"/>
            <w:tcBorders>
              <w:bottom w:val="single" w:sz="4" w:space="0" w:color="auto"/>
            </w:tcBorders>
            <w:noWrap/>
            <w:vAlign w:val="center"/>
            <w:hideMark/>
          </w:tcPr>
          <w:p w14:paraId="7786FE7D"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779" w:type="dxa"/>
            <w:tcBorders>
              <w:bottom w:val="single" w:sz="4" w:space="0" w:color="auto"/>
            </w:tcBorders>
            <w:noWrap/>
            <w:vAlign w:val="center"/>
            <w:hideMark/>
          </w:tcPr>
          <w:p w14:paraId="10DDEB96"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736" w:type="dxa"/>
            <w:tcBorders>
              <w:bottom w:val="single" w:sz="4" w:space="0" w:color="auto"/>
            </w:tcBorders>
            <w:noWrap/>
            <w:vAlign w:val="center"/>
            <w:hideMark/>
          </w:tcPr>
          <w:p w14:paraId="2CA39BCE"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731" w:type="dxa"/>
            <w:tcBorders>
              <w:bottom w:val="single" w:sz="4" w:space="0" w:color="auto"/>
            </w:tcBorders>
            <w:noWrap/>
            <w:vAlign w:val="center"/>
            <w:hideMark/>
          </w:tcPr>
          <w:p w14:paraId="1B9CFE29"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742" w:type="dxa"/>
            <w:tcBorders>
              <w:bottom w:val="single" w:sz="4" w:space="0" w:color="auto"/>
            </w:tcBorders>
            <w:noWrap/>
            <w:vAlign w:val="center"/>
            <w:hideMark/>
          </w:tcPr>
          <w:p w14:paraId="70CF39F1"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r>
      <w:tr w:rsidR="00E10D00" w:rsidRPr="00ED7D1B" w14:paraId="62BDA408" w14:textId="77777777" w:rsidTr="001129AE">
        <w:trPr>
          <w:trHeight w:val="253"/>
          <w:jc w:val="center"/>
        </w:trPr>
        <w:tc>
          <w:tcPr>
            <w:tcW w:w="441" w:type="dxa"/>
            <w:tcBorders>
              <w:top w:val="single" w:sz="4" w:space="0" w:color="auto"/>
            </w:tcBorders>
            <w:noWrap/>
            <w:vAlign w:val="center"/>
            <w:hideMark/>
          </w:tcPr>
          <w:p w14:paraId="5AF8C060"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1</w:t>
            </w:r>
          </w:p>
        </w:tc>
        <w:tc>
          <w:tcPr>
            <w:tcW w:w="2325" w:type="dxa"/>
            <w:tcBorders>
              <w:top w:val="single" w:sz="4" w:space="0" w:color="auto"/>
            </w:tcBorders>
            <w:noWrap/>
            <w:vAlign w:val="bottom"/>
            <w:hideMark/>
          </w:tcPr>
          <w:p w14:paraId="13F915D1"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Control (without </w:t>
            </w:r>
            <w:proofErr w:type="gramStart"/>
            <w:r w:rsidRPr="001C4DE4">
              <w:rPr>
                <w:rFonts w:eastAsia="Times New Roman" w:cstheme="minorHAnsi"/>
                <w:color w:val="000000"/>
                <w:kern w:val="0"/>
                <w:sz w:val="18"/>
                <w:szCs w:val="18"/>
                <w:lang w:eastAsia="en-IN" w:bidi="hi-IN"/>
                <w14:ligatures w14:val="none"/>
              </w:rPr>
              <w:t xml:space="preserve">Sulphur)   </w:t>
            </w:r>
            <w:proofErr w:type="gramEnd"/>
          </w:p>
        </w:tc>
        <w:tc>
          <w:tcPr>
            <w:tcW w:w="729" w:type="dxa"/>
            <w:tcBorders>
              <w:top w:val="single" w:sz="4" w:space="0" w:color="auto"/>
            </w:tcBorders>
            <w:noWrap/>
            <w:vAlign w:val="center"/>
            <w:hideMark/>
          </w:tcPr>
          <w:p w14:paraId="55C6BED4"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22.2c</w:t>
            </w:r>
          </w:p>
        </w:tc>
        <w:tc>
          <w:tcPr>
            <w:tcW w:w="693" w:type="dxa"/>
            <w:tcBorders>
              <w:top w:val="single" w:sz="4" w:space="0" w:color="auto"/>
            </w:tcBorders>
            <w:noWrap/>
            <w:vAlign w:val="center"/>
            <w:hideMark/>
          </w:tcPr>
          <w:p w14:paraId="4493A4EE"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60.6c</w:t>
            </w:r>
          </w:p>
        </w:tc>
        <w:tc>
          <w:tcPr>
            <w:tcW w:w="894" w:type="dxa"/>
            <w:tcBorders>
              <w:top w:val="single" w:sz="4" w:space="0" w:color="auto"/>
            </w:tcBorders>
            <w:noWrap/>
            <w:vAlign w:val="center"/>
            <w:hideMark/>
          </w:tcPr>
          <w:p w14:paraId="6F2B1719"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100.8d</w:t>
            </w:r>
          </w:p>
        </w:tc>
        <w:tc>
          <w:tcPr>
            <w:tcW w:w="810" w:type="dxa"/>
            <w:tcBorders>
              <w:top w:val="single" w:sz="4" w:space="0" w:color="auto"/>
            </w:tcBorders>
            <w:noWrap/>
            <w:vAlign w:val="center"/>
            <w:hideMark/>
          </w:tcPr>
          <w:p w14:paraId="632215B6"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149.1c</w:t>
            </w:r>
          </w:p>
        </w:tc>
        <w:tc>
          <w:tcPr>
            <w:tcW w:w="779" w:type="dxa"/>
            <w:tcBorders>
              <w:top w:val="single" w:sz="4" w:space="0" w:color="auto"/>
            </w:tcBorders>
            <w:noWrap/>
            <w:vAlign w:val="center"/>
            <w:hideMark/>
          </w:tcPr>
          <w:p w14:paraId="2DA7DC3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39.7c</w:t>
            </w:r>
          </w:p>
        </w:tc>
        <w:tc>
          <w:tcPr>
            <w:tcW w:w="736" w:type="dxa"/>
            <w:tcBorders>
              <w:top w:val="single" w:sz="4" w:space="0" w:color="auto"/>
            </w:tcBorders>
            <w:noWrap/>
            <w:vAlign w:val="center"/>
            <w:hideMark/>
          </w:tcPr>
          <w:p w14:paraId="1BB8999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44.4d</w:t>
            </w:r>
          </w:p>
        </w:tc>
        <w:tc>
          <w:tcPr>
            <w:tcW w:w="731" w:type="dxa"/>
            <w:tcBorders>
              <w:top w:val="single" w:sz="4" w:space="0" w:color="auto"/>
            </w:tcBorders>
            <w:noWrap/>
            <w:vAlign w:val="center"/>
            <w:hideMark/>
          </w:tcPr>
          <w:p w14:paraId="13E97E7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2.57c</w:t>
            </w:r>
          </w:p>
        </w:tc>
        <w:tc>
          <w:tcPr>
            <w:tcW w:w="742" w:type="dxa"/>
            <w:tcBorders>
              <w:top w:val="single" w:sz="4" w:space="0" w:color="auto"/>
            </w:tcBorders>
            <w:noWrap/>
            <w:vAlign w:val="center"/>
            <w:hideMark/>
          </w:tcPr>
          <w:p w14:paraId="7FA4723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15.40c</w:t>
            </w:r>
          </w:p>
        </w:tc>
      </w:tr>
      <w:tr w:rsidR="00E10D00" w:rsidRPr="00ED7D1B" w14:paraId="278E37BE" w14:textId="77777777" w:rsidTr="00E10D00">
        <w:trPr>
          <w:trHeight w:val="253"/>
          <w:jc w:val="center"/>
        </w:trPr>
        <w:tc>
          <w:tcPr>
            <w:tcW w:w="441" w:type="dxa"/>
            <w:noWrap/>
            <w:vAlign w:val="center"/>
            <w:hideMark/>
          </w:tcPr>
          <w:p w14:paraId="204AA5D8"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2</w:t>
            </w:r>
          </w:p>
        </w:tc>
        <w:tc>
          <w:tcPr>
            <w:tcW w:w="2325" w:type="dxa"/>
            <w:noWrap/>
            <w:vAlign w:val="bottom"/>
            <w:hideMark/>
          </w:tcPr>
          <w:p w14:paraId="6AC90843"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20 kg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ha⁻¹ as basal application  </w:t>
            </w:r>
          </w:p>
        </w:tc>
        <w:tc>
          <w:tcPr>
            <w:tcW w:w="729" w:type="dxa"/>
            <w:noWrap/>
            <w:vAlign w:val="center"/>
            <w:hideMark/>
          </w:tcPr>
          <w:p w14:paraId="3D4EE66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25.4abc</w:t>
            </w:r>
          </w:p>
        </w:tc>
        <w:tc>
          <w:tcPr>
            <w:tcW w:w="693" w:type="dxa"/>
            <w:noWrap/>
            <w:vAlign w:val="center"/>
            <w:hideMark/>
          </w:tcPr>
          <w:p w14:paraId="16E9E532"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64.4bc</w:t>
            </w:r>
          </w:p>
        </w:tc>
        <w:tc>
          <w:tcPr>
            <w:tcW w:w="894" w:type="dxa"/>
            <w:noWrap/>
            <w:vAlign w:val="center"/>
            <w:hideMark/>
          </w:tcPr>
          <w:p w14:paraId="260A7898"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112.3abcd</w:t>
            </w:r>
          </w:p>
        </w:tc>
        <w:tc>
          <w:tcPr>
            <w:tcW w:w="810" w:type="dxa"/>
            <w:noWrap/>
            <w:vAlign w:val="center"/>
            <w:hideMark/>
          </w:tcPr>
          <w:p w14:paraId="7AC1395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165.9abc</w:t>
            </w:r>
          </w:p>
        </w:tc>
        <w:tc>
          <w:tcPr>
            <w:tcW w:w="779" w:type="dxa"/>
            <w:noWrap/>
            <w:vAlign w:val="center"/>
            <w:hideMark/>
          </w:tcPr>
          <w:p w14:paraId="61C2459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43.2bc</w:t>
            </w:r>
          </w:p>
        </w:tc>
        <w:tc>
          <w:tcPr>
            <w:tcW w:w="736" w:type="dxa"/>
            <w:noWrap/>
            <w:vAlign w:val="center"/>
            <w:hideMark/>
          </w:tcPr>
          <w:p w14:paraId="74F5145C"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50.1abc</w:t>
            </w:r>
          </w:p>
        </w:tc>
        <w:tc>
          <w:tcPr>
            <w:tcW w:w="731" w:type="dxa"/>
            <w:noWrap/>
            <w:vAlign w:val="center"/>
            <w:hideMark/>
          </w:tcPr>
          <w:p w14:paraId="791B117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3.76a</w:t>
            </w:r>
          </w:p>
        </w:tc>
        <w:tc>
          <w:tcPr>
            <w:tcW w:w="742" w:type="dxa"/>
            <w:noWrap/>
            <w:vAlign w:val="center"/>
            <w:hideMark/>
          </w:tcPr>
          <w:p w14:paraId="1E791E5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16.03c</w:t>
            </w:r>
          </w:p>
        </w:tc>
      </w:tr>
      <w:tr w:rsidR="00E10D00" w:rsidRPr="00ED7D1B" w14:paraId="45E343E3" w14:textId="77777777" w:rsidTr="00E10D00">
        <w:trPr>
          <w:trHeight w:val="253"/>
          <w:jc w:val="center"/>
        </w:trPr>
        <w:tc>
          <w:tcPr>
            <w:tcW w:w="441" w:type="dxa"/>
            <w:noWrap/>
            <w:vAlign w:val="center"/>
            <w:hideMark/>
          </w:tcPr>
          <w:p w14:paraId="15FD2DB9"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3</w:t>
            </w:r>
          </w:p>
        </w:tc>
        <w:tc>
          <w:tcPr>
            <w:tcW w:w="2325" w:type="dxa"/>
            <w:noWrap/>
            <w:vAlign w:val="bottom"/>
            <w:hideMark/>
          </w:tcPr>
          <w:p w14:paraId="2CCFC070"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Soil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solubilizing bacteria (7.5 l ha⁻¹)</w:t>
            </w:r>
          </w:p>
        </w:tc>
        <w:tc>
          <w:tcPr>
            <w:tcW w:w="729" w:type="dxa"/>
            <w:noWrap/>
            <w:vAlign w:val="center"/>
            <w:hideMark/>
          </w:tcPr>
          <w:p w14:paraId="3916654D"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24.2bc</w:t>
            </w:r>
          </w:p>
        </w:tc>
        <w:tc>
          <w:tcPr>
            <w:tcW w:w="693" w:type="dxa"/>
            <w:noWrap/>
            <w:vAlign w:val="center"/>
            <w:hideMark/>
          </w:tcPr>
          <w:p w14:paraId="2B3901EE"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63.0bc</w:t>
            </w:r>
          </w:p>
        </w:tc>
        <w:tc>
          <w:tcPr>
            <w:tcW w:w="894" w:type="dxa"/>
            <w:noWrap/>
            <w:vAlign w:val="center"/>
            <w:hideMark/>
          </w:tcPr>
          <w:p w14:paraId="450BE1D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106.1cd</w:t>
            </w:r>
          </w:p>
        </w:tc>
        <w:tc>
          <w:tcPr>
            <w:tcW w:w="810" w:type="dxa"/>
            <w:noWrap/>
            <w:vAlign w:val="center"/>
            <w:hideMark/>
          </w:tcPr>
          <w:p w14:paraId="73E337BD"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153.8c</w:t>
            </w:r>
          </w:p>
        </w:tc>
        <w:tc>
          <w:tcPr>
            <w:tcW w:w="779" w:type="dxa"/>
            <w:noWrap/>
            <w:vAlign w:val="center"/>
            <w:hideMark/>
          </w:tcPr>
          <w:p w14:paraId="6EDE309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40.6c</w:t>
            </w:r>
          </w:p>
        </w:tc>
        <w:tc>
          <w:tcPr>
            <w:tcW w:w="736" w:type="dxa"/>
            <w:noWrap/>
            <w:vAlign w:val="center"/>
            <w:hideMark/>
          </w:tcPr>
          <w:p w14:paraId="5CF9FB86"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45.6cd</w:t>
            </w:r>
          </w:p>
        </w:tc>
        <w:tc>
          <w:tcPr>
            <w:tcW w:w="731" w:type="dxa"/>
            <w:noWrap/>
            <w:vAlign w:val="center"/>
            <w:hideMark/>
          </w:tcPr>
          <w:p w14:paraId="7D331D37"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2.83bc</w:t>
            </w:r>
          </w:p>
        </w:tc>
        <w:tc>
          <w:tcPr>
            <w:tcW w:w="742" w:type="dxa"/>
            <w:noWrap/>
            <w:vAlign w:val="center"/>
            <w:hideMark/>
          </w:tcPr>
          <w:p w14:paraId="2CF4C982"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15.13c</w:t>
            </w:r>
          </w:p>
        </w:tc>
      </w:tr>
      <w:tr w:rsidR="00E10D00" w:rsidRPr="00ED7D1B" w14:paraId="490704E5" w14:textId="77777777" w:rsidTr="00E10D00">
        <w:trPr>
          <w:trHeight w:val="253"/>
          <w:jc w:val="center"/>
        </w:trPr>
        <w:tc>
          <w:tcPr>
            <w:tcW w:w="441" w:type="dxa"/>
            <w:noWrap/>
            <w:vAlign w:val="center"/>
            <w:hideMark/>
          </w:tcPr>
          <w:p w14:paraId="3AB03621"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4</w:t>
            </w:r>
          </w:p>
        </w:tc>
        <w:tc>
          <w:tcPr>
            <w:tcW w:w="2325" w:type="dxa"/>
            <w:noWrap/>
            <w:vAlign w:val="bottom"/>
            <w:hideMark/>
          </w:tcPr>
          <w:p w14:paraId="1519619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spray of Nano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(0.5%) at 30 DAS  </w:t>
            </w:r>
          </w:p>
        </w:tc>
        <w:tc>
          <w:tcPr>
            <w:tcW w:w="729" w:type="dxa"/>
            <w:noWrap/>
            <w:vAlign w:val="center"/>
            <w:hideMark/>
          </w:tcPr>
          <w:p w14:paraId="09C189EB"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27.1ab</w:t>
            </w:r>
          </w:p>
        </w:tc>
        <w:tc>
          <w:tcPr>
            <w:tcW w:w="693" w:type="dxa"/>
            <w:noWrap/>
            <w:vAlign w:val="center"/>
            <w:hideMark/>
          </w:tcPr>
          <w:p w14:paraId="60D4A85A"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64.7bc</w:t>
            </w:r>
          </w:p>
        </w:tc>
        <w:tc>
          <w:tcPr>
            <w:tcW w:w="894" w:type="dxa"/>
            <w:noWrap/>
            <w:vAlign w:val="center"/>
            <w:hideMark/>
          </w:tcPr>
          <w:p w14:paraId="594B766F"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119.1abc</w:t>
            </w:r>
          </w:p>
        </w:tc>
        <w:tc>
          <w:tcPr>
            <w:tcW w:w="810" w:type="dxa"/>
            <w:noWrap/>
            <w:vAlign w:val="center"/>
            <w:hideMark/>
          </w:tcPr>
          <w:p w14:paraId="3F0B763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168.9abc</w:t>
            </w:r>
          </w:p>
        </w:tc>
        <w:tc>
          <w:tcPr>
            <w:tcW w:w="779" w:type="dxa"/>
            <w:noWrap/>
            <w:vAlign w:val="center"/>
            <w:hideMark/>
          </w:tcPr>
          <w:p w14:paraId="35C1DE9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43.2bc</w:t>
            </w:r>
          </w:p>
        </w:tc>
        <w:tc>
          <w:tcPr>
            <w:tcW w:w="736" w:type="dxa"/>
            <w:noWrap/>
            <w:vAlign w:val="center"/>
            <w:hideMark/>
          </w:tcPr>
          <w:p w14:paraId="69840CF5"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51.0ab</w:t>
            </w:r>
          </w:p>
        </w:tc>
        <w:tc>
          <w:tcPr>
            <w:tcW w:w="731" w:type="dxa"/>
            <w:noWrap/>
            <w:vAlign w:val="center"/>
            <w:hideMark/>
          </w:tcPr>
          <w:p w14:paraId="09F1FA42"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3.30abc</w:t>
            </w:r>
          </w:p>
        </w:tc>
        <w:tc>
          <w:tcPr>
            <w:tcW w:w="742" w:type="dxa"/>
            <w:noWrap/>
            <w:vAlign w:val="center"/>
            <w:hideMark/>
          </w:tcPr>
          <w:p w14:paraId="231A74F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16.77bc</w:t>
            </w:r>
          </w:p>
        </w:tc>
      </w:tr>
      <w:tr w:rsidR="00E10D00" w:rsidRPr="00ED7D1B" w14:paraId="2D6F0F71" w14:textId="77777777" w:rsidTr="00E10D00">
        <w:trPr>
          <w:trHeight w:val="253"/>
          <w:jc w:val="center"/>
        </w:trPr>
        <w:tc>
          <w:tcPr>
            <w:tcW w:w="441" w:type="dxa"/>
            <w:noWrap/>
            <w:vAlign w:val="center"/>
            <w:hideMark/>
          </w:tcPr>
          <w:p w14:paraId="2D53B01E"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5</w:t>
            </w:r>
          </w:p>
        </w:tc>
        <w:tc>
          <w:tcPr>
            <w:tcW w:w="2325" w:type="dxa"/>
            <w:noWrap/>
            <w:vAlign w:val="bottom"/>
            <w:hideMark/>
          </w:tcPr>
          <w:p w14:paraId="7E982A1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spray of Nano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(0.5%) at 30 DAS and flowering stage </w:t>
            </w:r>
          </w:p>
        </w:tc>
        <w:tc>
          <w:tcPr>
            <w:tcW w:w="729" w:type="dxa"/>
            <w:noWrap/>
            <w:vAlign w:val="center"/>
            <w:hideMark/>
          </w:tcPr>
          <w:p w14:paraId="2E93A13A"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27.7a</w:t>
            </w:r>
          </w:p>
        </w:tc>
        <w:tc>
          <w:tcPr>
            <w:tcW w:w="693" w:type="dxa"/>
            <w:noWrap/>
            <w:vAlign w:val="center"/>
            <w:hideMark/>
          </w:tcPr>
          <w:p w14:paraId="709D050F"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71.3a</w:t>
            </w:r>
          </w:p>
        </w:tc>
        <w:tc>
          <w:tcPr>
            <w:tcW w:w="894" w:type="dxa"/>
            <w:noWrap/>
            <w:vAlign w:val="center"/>
            <w:hideMark/>
          </w:tcPr>
          <w:p w14:paraId="52D80C3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125.8a</w:t>
            </w:r>
          </w:p>
        </w:tc>
        <w:tc>
          <w:tcPr>
            <w:tcW w:w="810" w:type="dxa"/>
            <w:noWrap/>
            <w:vAlign w:val="center"/>
            <w:hideMark/>
          </w:tcPr>
          <w:p w14:paraId="455A0FF8"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183.1a</w:t>
            </w:r>
          </w:p>
        </w:tc>
        <w:tc>
          <w:tcPr>
            <w:tcW w:w="779" w:type="dxa"/>
            <w:noWrap/>
            <w:vAlign w:val="center"/>
            <w:hideMark/>
          </w:tcPr>
          <w:p w14:paraId="2B23837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48.1a</w:t>
            </w:r>
          </w:p>
        </w:tc>
        <w:tc>
          <w:tcPr>
            <w:tcW w:w="736" w:type="dxa"/>
            <w:noWrap/>
            <w:vAlign w:val="center"/>
            <w:hideMark/>
          </w:tcPr>
          <w:p w14:paraId="0C768AE7"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52.6a</w:t>
            </w:r>
          </w:p>
        </w:tc>
        <w:tc>
          <w:tcPr>
            <w:tcW w:w="731" w:type="dxa"/>
            <w:noWrap/>
            <w:vAlign w:val="center"/>
            <w:hideMark/>
          </w:tcPr>
          <w:p w14:paraId="3ABB754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3.60ab</w:t>
            </w:r>
          </w:p>
        </w:tc>
        <w:tc>
          <w:tcPr>
            <w:tcW w:w="742" w:type="dxa"/>
            <w:noWrap/>
            <w:vAlign w:val="center"/>
            <w:hideMark/>
          </w:tcPr>
          <w:p w14:paraId="448E982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19.13a</w:t>
            </w:r>
          </w:p>
        </w:tc>
      </w:tr>
      <w:tr w:rsidR="00E10D00" w:rsidRPr="00ED7D1B" w14:paraId="3923B90A" w14:textId="77777777" w:rsidTr="001129AE">
        <w:trPr>
          <w:trHeight w:val="253"/>
          <w:jc w:val="center"/>
        </w:trPr>
        <w:tc>
          <w:tcPr>
            <w:tcW w:w="441" w:type="dxa"/>
            <w:noWrap/>
            <w:vAlign w:val="center"/>
            <w:hideMark/>
          </w:tcPr>
          <w:p w14:paraId="18B039A5"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6</w:t>
            </w:r>
          </w:p>
        </w:tc>
        <w:tc>
          <w:tcPr>
            <w:tcW w:w="2325" w:type="dxa"/>
            <w:noWrap/>
            <w:vAlign w:val="bottom"/>
            <w:hideMark/>
          </w:tcPr>
          <w:p w14:paraId="3BA02F61"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 Foliar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fertilizer (0.5%) at 30 DAS </w:t>
            </w:r>
          </w:p>
        </w:tc>
        <w:tc>
          <w:tcPr>
            <w:tcW w:w="729" w:type="dxa"/>
            <w:noWrap/>
            <w:vAlign w:val="center"/>
            <w:hideMark/>
          </w:tcPr>
          <w:p w14:paraId="0B467E2C"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25.0abc</w:t>
            </w:r>
          </w:p>
        </w:tc>
        <w:tc>
          <w:tcPr>
            <w:tcW w:w="693" w:type="dxa"/>
            <w:noWrap/>
            <w:vAlign w:val="center"/>
            <w:hideMark/>
          </w:tcPr>
          <w:p w14:paraId="2A6320F9"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63.3bc</w:t>
            </w:r>
          </w:p>
        </w:tc>
        <w:tc>
          <w:tcPr>
            <w:tcW w:w="894" w:type="dxa"/>
            <w:noWrap/>
            <w:vAlign w:val="center"/>
            <w:hideMark/>
          </w:tcPr>
          <w:p w14:paraId="37F4B2C5"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108.5bcd</w:t>
            </w:r>
          </w:p>
        </w:tc>
        <w:tc>
          <w:tcPr>
            <w:tcW w:w="810" w:type="dxa"/>
            <w:noWrap/>
            <w:vAlign w:val="center"/>
            <w:hideMark/>
          </w:tcPr>
          <w:p w14:paraId="417AFFE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158.2bc</w:t>
            </w:r>
          </w:p>
        </w:tc>
        <w:tc>
          <w:tcPr>
            <w:tcW w:w="779" w:type="dxa"/>
            <w:noWrap/>
            <w:vAlign w:val="center"/>
            <w:hideMark/>
          </w:tcPr>
          <w:p w14:paraId="26B79CE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42.4bc</w:t>
            </w:r>
          </w:p>
        </w:tc>
        <w:tc>
          <w:tcPr>
            <w:tcW w:w="736" w:type="dxa"/>
            <w:noWrap/>
            <w:vAlign w:val="center"/>
            <w:hideMark/>
          </w:tcPr>
          <w:p w14:paraId="6D0A2F6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47.1bcd</w:t>
            </w:r>
          </w:p>
        </w:tc>
        <w:tc>
          <w:tcPr>
            <w:tcW w:w="731" w:type="dxa"/>
            <w:noWrap/>
            <w:vAlign w:val="center"/>
            <w:hideMark/>
          </w:tcPr>
          <w:p w14:paraId="3AC9E0E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2.93bc</w:t>
            </w:r>
          </w:p>
        </w:tc>
        <w:tc>
          <w:tcPr>
            <w:tcW w:w="742" w:type="dxa"/>
            <w:noWrap/>
            <w:vAlign w:val="center"/>
            <w:hideMark/>
          </w:tcPr>
          <w:p w14:paraId="6DC4FCD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15.40c</w:t>
            </w:r>
          </w:p>
        </w:tc>
      </w:tr>
      <w:tr w:rsidR="00E10D00" w:rsidRPr="00ED7D1B" w14:paraId="430C03CF" w14:textId="77777777" w:rsidTr="001129AE">
        <w:trPr>
          <w:trHeight w:val="253"/>
          <w:jc w:val="center"/>
        </w:trPr>
        <w:tc>
          <w:tcPr>
            <w:tcW w:w="441" w:type="dxa"/>
            <w:tcBorders>
              <w:bottom w:val="single" w:sz="4" w:space="0" w:color="auto"/>
            </w:tcBorders>
            <w:noWrap/>
            <w:vAlign w:val="center"/>
            <w:hideMark/>
          </w:tcPr>
          <w:p w14:paraId="2A7E89AE" w14:textId="77777777" w:rsidR="00BC45BB" w:rsidRPr="001C4DE4" w:rsidRDefault="00BC45BB" w:rsidP="00E10D00">
            <w:pPr>
              <w:spacing w:after="0" w:line="240" w:lineRule="auto"/>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T</w:t>
            </w:r>
            <w:r w:rsidRPr="001C4DE4">
              <w:rPr>
                <w:rFonts w:ascii="Arial" w:eastAsia="Times New Roman" w:hAnsi="Arial" w:cs="Arial"/>
                <w:b/>
                <w:bCs/>
                <w:color w:val="000000"/>
                <w:kern w:val="0"/>
                <w:sz w:val="18"/>
                <w:szCs w:val="18"/>
                <w:vertAlign w:val="subscript"/>
                <w:lang w:eastAsia="en-IN" w:bidi="hi-IN"/>
                <w14:ligatures w14:val="none"/>
              </w:rPr>
              <w:t>7</w:t>
            </w:r>
          </w:p>
        </w:tc>
        <w:tc>
          <w:tcPr>
            <w:tcW w:w="2325" w:type="dxa"/>
            <w:tcBorders>
              <w:bottom w:val="single" w:sz="4" w:space="0" w:color="auto"/>
            </w:tcBorders>
            <w:noWrap/>
            <w:vAlign w:val="center"/>
            <w:hideMark/>
          </w:tcPr>
          <w:p w14:paraId="537491E8"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fertilizer (0.5%) at 30 DAS and flowering stage</w:t>
            </w:r>
          </w:p>
        </w:tc>
        <w:tc>
          <w:tcPr>
            <w:tcW w:w="729" w:type="dxa"/>
            <w:tcBorders>
              <w:bottom w:val="single" w:sz="4" w:space="0" w:color="auto"/>
            </w:tcBorders>
            <w:noWrap/>
            <w:vAlign w:val="center"/>
            <w:hideMark/>
          </w:tcPr>
          <w:p w14:paraId="3A0E45E0"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27.3ab</w:t>
            </w:r>
          </w:p>
        </w:tc>
        <w:tc>
          <w:tcPr>
            <w:tcW w:w="693" w:type="dxa"/>
            <w:tcBorders>
              <w:bottom w:val="single" w:sz="4" w:space="0" w:color="auto"/>
            </w:tcBorders>
            <w:noWrap/>
            <w:vAlign w:val="center"/>
            <w:hideMark/>
          </w:tcPr>
          <w:p w14:paraId="509B7EFC"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67.8ab</w:t>
            </w:r>
          </w:p>
        </w:tc>
        <w:tc>
          <w:tcPr>
            <w:tcW w:w="894" w:type="dxa"/>
            <w:tcBorders>
              <w:bottom w:val="single" w:sz="4" w:space="0" w:color="auto"/>
            </w:tcBorders>
            <w:noWrap/>
            <w:vAlign w:val="center"/>
            <w:hideMark/>
          </w:tcPr>
          <w:p w14:paraId="786376DD"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121.6ab</w:t>
            </w:r>
          </w:p>
        </w:tc>
        <w:tc>
          <w:tcPr>
            <w:tcW w:w="810" w:type="dxa"/>
            <w:tcBorders>
              <w:bottom w:val="single" w:sz="4" w:space="0" w:color="auto"/>
            </w:tcBorders>
            <w:noWrap/>
            <w:vAlign w:val="center"/>
            <w:hideMark/>
          </w:tcPr>
          <w:p w14:paraId="1AD3FD0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174.9ab</w:t>
            </w:r>
          </w:p>
        </w:tc>
        <w:tc>
          <w:tcPr>
            <w:tcW w:w="779" w:type="dxa"/>
            <w:tcBorders>
              <w:bottom w:val="single" w:sz="4" w:space="0" w:color="auto"/>
            </w:tcBorders>
            <w:noWrap/>
            <w:vAlign w:val="center"/>
            <w:hideMark/>
          </w:tcPr>
          <w:p w14:paraId="519E385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45.2ab</w:t>
            </w:r>
          </w:p>
        </w:tc>
        <w:tc>
          <w:tcPr>
            <w:tcW w:w="736" w:type="dxa"/>
            <w:tcBorders>
              <w:bottom w:val="single" w:sz="4" w:space="0" w:color="auto"/>
            </w:tcBorders>
            <w:noWrap/>
            <w:vAlign w:val="center"/>
            <w:hideMark/>
          </w:tcPr>
          <w:p w14:paraId="3DE3B8FF"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51.7ab</w:t>
            </w:r>
          </w:p>
        </w:tc>
        <w:tc>
          <w:tcPr>
            <w:tcW w:w="731" w:type="dxa"/>
            <w:tcBorders>
              <w:bottom w:val="single" w:sz="4" w:space="0" w:color="auto"/>
            </w:tcBorders>
            <w:noWrap/>
            <w:vAlign w:val="center"/>
            <w:hideMark/>
          </w:tcPr>
          <w:p w14:paraId="643CD73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3.40ab</w:t>
            </w:r>
          </w:p>
        </w:tc>
        <w:tc>
          <w:tcPr>
            <w:tcW w:w="742" w:type="dxa"/>
            <w:tcBorders>
              <w:bottom w:val="single" w:sz="4" w:space="0" w:color="auto"/>
            </w:tcBorders>
            <w:noWrap/>
            <w:vAlign w:val="center"/>
            <w:hideMark/>
          </w:tcPr>
          <w:p w14:paraId="0D1A3FB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18.07ab</w:t>
            </w:r>
          </w:p>
        </w:tc>
      </w:tr>
      <w:tr w:rsidR="00E10D00" w:rsidRPr="00ED7D1B" w14:paraId="0463035C" w14:textId="77777777" w:rsidTr="001129AE">
        <w:trPr>
          <w:trHeight w:val="197"/>
          <w:jc w:val="center"/>
        </w:trPr>
        <w:tc>
          <w:tcPr>
            <w:tcW w:w="2767" w:type="dxa"/>
            <w:gridSpan w:val="2"/>
            <w:tcBorders>
              <w:top w:val="single" w:sz="4" w:space="0" w:color="auto"/>
            </w:tcBorders>
            <w:noWrap/>
            <w:vAlign w:val="center"/>
            <w:hideMark/>
          </w:tcPr>
          <w:p w14:paraId="3F55B16E" w14:textId="127ADCA2" w:rsidR="00E10D00" w:rsidRPr="001C4DE4" w:rsidRDefault="00E10D00" w:rsidP="0070692B">
            <w:pPr>
              <w:spacing w:after="0" w:line="240" w:lineRule="auto"/>
              <w:rPr>
                <w:rFonts w:ascii="Arial" w:eastAsia="Times New Roman" w:hAnsi="Arial" w:cs="Arial"/>
                <w:b/>
                <w:bCs/>
                <w:color w:val="000000"/>
                <w:kern w:val="0"/>
                <w:sz w:val="18"/>
                <w:szCs w:val="18"/>
                <w:lang w:eastAsia="en-IN" w:bidi="hi-IN"/>
                <w14:ligatures w14:val="none"/>
              </w:rPr>
            </w:pPr>
            <w:proofErr w:type="spellStart"/>
            <w:r w:rsidRPr="001C4DE4">
              <w:rPr>
                <w:rFonts w:ascii="Arial" w:eastAsia="Times New Roman" w:hAnsi="Arial" w:cs="Arial"/>
                <w:b/>
                <w:bCs/>
                <w:color w:val="000000"/>
                <w:kern w:val="0"/>
                <w:sz w:val="18"/>
                <w:szCs w:val="18"/>
                <w:lang w:eastAsia="en-IN" w:bidi="hi-IN"/>
                <w14:ligatures w14:val="none"/>
              </w:rPr>
              <w:t>SEm</w:t>
            </w:r>
            <w:proofErr w:type="spellEnd"/>
            <w:r w:rsidRPr="001C4DE4">
              <w:rPr>
                <w:rFonts w:ascii="Arial" w:eastAsia="Times New Roman" w:hAnsi="Arial" w:cs="Arial"/>
                <w:b/>
                <w:bCs/>
                <w:color w:val="000000"/>
                <w:kern w:val="0"/>
                <w:sz w:val="18"/>
                <w:szCs w:val="18"/>
                <w:lang w:eastAsia="en-IN" w:bidi="hi-IN"/>
                <w14:ligatures w14:val="none"/>
              </w:rPr>
              <w:t>±</w:t>
            </w:r>
          </w:p>
        </w:tc>
        <w:tc>
          <w:tcPr>
            <w:tcW w:w="729" w:type="dxa"/>
            <w:noWrap/>
            <w:vAlign w:val="center"/>
            <w:hideMark/>
          </w:tcPr>
          <w:p w14:paraId="5584A978"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1.1</w:t>
            </w:r>
          </w:p>
        </w:tc>
        <w:tc>
          <w:tcPr>
            <w:tcW w:w="693" w:type="dxa"/>
            <w:noWrap/>
            <w:vAlign w:val="center"/>
            <w:hideMark/>
          </w:tcPr>
          <w:p w14:paraId="5D6638A2"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2</w:t>
            </w:r>
          </w:p>
        </w:tc>
        <w:tc>
          <w:tcPr>
            <w:tcW w:w="894" w:type="dxa"/>
            <w:noWrap/>
            <w:vAlign w:val="center"/>
            <w:hideMark/>
          </w:tcPr>
          <w:p w14:paraId="3597891A"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4.7</w:t>
            </w:r>
          </w:p>
        </w:tc>
        <w:tc>
          <w:tcPr>
            <w:tcW w:w="810" w:type="dxa"/>
            <w:noWrap/>
            <w:vAlign w:val="center"/>
            <w:hideMark/>
          </w:tcPr>
          <w:p w14:paraId="117373A7"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6.8</w:t>
            </w:r>
          </w:p>
        </w:tc>
        <w:tc>
          <w:tcPr>
            <w:tcW w:w="779" w:type="dxa"/>
            <w:noWrap/>
            <w:vAlign w:val="center"/>
            <w:hideMark/>
          </w:tcPr>
          <w:p w14:paraId="152892E8"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1.4</w:t>
            </w:r>
          </w:p>
        </w:tc>
        <w:tc>
          <w:tcPr>
            <w:tcW w:w="736" w:type="dxa"/>
            <w:noWrap/>
            <w:vAlign w:val="center"/>
            <w:hideMark/>
          </w:tcPr>
          <w:p w14:paraId="50987B76"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1.7</w:t>
            </w:r>
          </w:p>
        </w:tc>
        <w:tc>
          <w:tcPr>
            <w:tcW w:w="731" w:type="dxa"/>
            <w:noWrap/>
            <w:vAlign w:val="center"/>
            <w:hideMark/>
          </w:tcPr>
          <w:p w14:paraId="04C54C04"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0.25</w:t>
            </w:r>
          </w:p>
        </w:tc>
        <w:tc>
          <w:tcPr>
            <w:tcW w:w="742" w:type="dxa"/>
            <w:noWrap/>
            <w:vAlign w:val="center"/>
            <w:hideMark/>
          </w:tcPr>
          <w:p w14:paraId="2001E961"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0.59</w:t>
            </w:r>
          </w:p>
        </w:tc>
      </w:tr>
      <w:tr w:rsidR="00E10D00" w:rsidRPr="00ED7D1B" w14:paraId="06475721" w14:textId="77777777" w:rsidTr="001129AE">
        <w:trPr>
          <w:trHeight w:val="253"/>
          <w:jc w:val="center"/>
        </w:trPr>
        <w:tc>
          <w:tcPr>
            <w:tcW w:w="2767" w:type="dxa"/>
            <w:gridSpan w:val="2"/>
            <w:tcBorders>
              <w:bottom w:val="single" w:sz="4" w:space="0" w:color="auto"/>
            </w:tcBorders>
            <w:noWrap/>
            <w:vAlign w:val="center"/>
            <w:hideMark/>
          </w:tcPr>
          <w:p w14:paraId="2C249977" w14:textId="51A07E01" w:rsidR="00E10D00" w:rsidRPr="001C4DE4" w:rsidRDefault="00E10D00" w:rsidP="0070692B">
            <w:pPr>
              <w:spacing w:after="0" w:line="240" w:lineRule="auto"/>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CD (P≤0.05)</w:t>
            </w:r>
          </w:p>
        </w:tc>
        <w:tc>
          <w:tcPr>
            <w:tcW w:w="729" w:type="dxa"/>
            <w:tcBorders>
              <w:bottom w:val="single" w:sz="4" w:space="0" w:color="auto"/>
            </w:tcBorders>
            <w:noWrap/>
            <w:vAlign w:val="center"/>
            <w:hideMark/>
          </w:tcPr>
          <w:p w14:paraId="13204738"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3.5</w:t>
            </w:r>
          </w:p>
        </w:tc>
        <w:tc>
          <w:tcPr>
            <w:tcW w:w="693" w:type="dxa"/>
            <w:tcBorders>
              <w:bottom w:val="single" w:sz="4" w:space="0" w:color="auto"/>
            </w:tcBorders>
            <w:noWrap/>
            <w:vAlign w:val="center"/>
            <w:hideMark/>
          </w:tcPr>
          <w:p w14:paraId="5858F2C7"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6.1</w:t>
            </w:r>
          </w:p>
        </w:tc>
        <w:tc>
          <w:tcPr>
            <w:tcW w:w="894" w:type="dxa"/>
            <w:tcBorders>
              <w:bottom w:val="single" w:sz="4" w:space="0" w:color="auto"/>
            </w:tcBorders>
            <w:noWrap/>
            <w:vAlign w:val="center"/>
            <w:hideMark/>
          </w:tcPr>
          <w:p w14:paraId="6766A86A"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14.4</w:t>
            </w:r>
          </w:p>
        </w:tc>
        <w:tc>
          <w:tcPr>
            <w:tcW w:w="810" w:type="dxa"/>
            <w:tcBorders>
              <w:bottom w:val="single" w:sz="4" w:space="0" w:color="auto"/>
            </w:tcBorders>
            <w:noWrap/>
            <w:vAlign w:val="center"/>
            <w:hideMark/>
          </w:tcPr>
          <w:p w14:paraId="6857C877"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21</w:t>
            </w:r>
          </w:p>
        </w:tc>
        <w:tc>
          <w:tcPr>
            <w:tcW w:w="779" w:type="dxa"/>
            <w:tcBorders>
              <w:bottom w:val="single" w:sz="4" w:space="0" w:color="auto"/>
            </w:tcBorders>
            <w:noWrap/>
            <w:vAlign w:val="center"/>
            <w:hideMark/>
          </w:tcPr>
          <w:p w14:paraId="0AB274E5"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4.2</w:t>
            </w:r>
          </w:p>
        </w:tc>
        <w:tc>
          <w:tcPr>
            <w:tcW w:w="736" w:type="dxa"/>
            <w:tcBorders>
              <w:bottom w:val="single" w:sz="4" w:space="0" w:color="auto"/>
            </w:tcBorders>
            <w:noWrap/>
            <w:vAlign w:val="center"/>
            <w:hideMark/>
          </w:tcPr>
          <w:p w14:paraId="7B3B2BBC"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5.1</w:t>
            </w:r>
          </w:p>
        </w:tc>
        <w:tc>
          <w:tcPr>
            <w:tcW w:w="731" w:type="dxa"/>
            <w:tcBorders>
              <w:bottom w:val="single" w:sz="4" w:space="0" w:color="auto"/>
            </w:tcBorders>
            <w:noWrap/>
            <w:vAlign w:val="center"/>
            <w:hideMark/>
          </w:tcPr>
          <w:p w14:paraId="2809D47E"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0.77</w:t>
            </w:r>
          </w:p>
        </w:tc>
        <w:tc>
          <w:tcPr>
            <w:tcW w:w="742" w:type="dxa"/>
            <w:tcBorders>
              <w:bottom w:val="single" w:sz="4" w:space="0" w:color="auto"/>
            </w:tcBorders>
            <w:noWrap/>
            <w:vAlign w:val="center"/>
            <w:hideMark/>
          </w:tcPr>
          <w:p w14:paraId="1C29AFBB"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1.81</w:t>
            </w:r>
          </w:p>
        </w:tc>
      </w:tr>
    </w:tbl>
    <w:p w14:paraId="0EBD0D75" w14:textId="67B72416" w:rsidR="00BC45BB" w:rsidRDefault="001129AE" w:rsidP="001129AE">
      <w:pPr>
        <w:tabs>
          <w:tab w:val="left" w:pos="7570"/>
        </w:tabs>
        <w:spacing w:after="120" w:line="360" w:lineRule="auto"/>
        <w:jc w:val="both"/>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ab/>
      </w:r>
    </w:p>
    <w:p w14:paraId="519F7106" w14:textId="343236CF" w:rsidR="00BC45BB" w:rsidRPr="00A329CB" w:rsidRDefault="001129AE" w:rsidP="001C4DE4">
      <w:pPr>
        <w:spacing w:after="0" w:line="360" w:lineRule="auto"/>
        <w:jc w:val="both"/>
        <w:rPr>
          <w:rFonts w:ascii="Arial" w:eastAsia="Arial Unicode MS" w:hAnsi="Arial" w:cs="Arial"/>
          <w:color w:val="000000" w:themeColor="text1"/>
          <w:sz w:val="24"/>
          <w:szCs w:val="24"/>
        </w:rPr>
      </w:pPr>
      <w:r>
        <w:rPr>
          <w:noProof/>
        </w:rPr>
        <w:drawing>
          <wp:inline distT="0" distB="0" distL="0" distR="0" wp14:anchorId="056D71BA" wp14:editId="5851BDE4">
            <wp:extent cx="5657215" cy="3359150"/>
            <wp:effectExtent l="0" t="0" r="635" b="12700"/>
            <wp:docPr id="405254814" name="Chart 1">
              <a:extLst xmlns:a="http://schemas.openxmlformats.org/drawingml/2006/main">
                <a:ext uri="{FF2B5EF4-FFF2-40B4-BE49-F238E27FC236}">
                  <a16:creationId xmlns:a16="http://schemas.microsoft.com/office/drawing/2014/main" id="{065E118D-0A4E-6951-7B5D-A9959975B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A4A954C" w14:textId="27436738" w:rsidR="00C354BC" w:rsidRPr="00C354BC" w:rsidRDefault="001129AE" w:rsidP="001C4DE4">
      <w:pPr>
        <w:spacing w:line="360" w:lineRule="auto"/>
        <w:jc w:val="both"/>
        <w:rPr>
          <w:rFonts w:ascii="Arial" w:eastAsia="Arial Unicode MS" w:hAnsi="Arial" w:cs="Arial"/>
          <w:color w:val="000000" w:themeColor="text1"/>
          <w:sz w:val="20"/>
          <w:szCs w:val="20"/>
        </w:rPr>
      </w:pPr>
      <w:r>
        <w:rPr>
          <w:rFonts w:ascii="Arial" w:hAnsi="Arial" w:cs="Arial"/>
          <w:b/>
          <w:bCs/>
          <w:sz w:val="20"/>
          <w:szCs w:val="20"/>
        </w:rPr>
        <w:t xml:space="preserve">Figure </w:t>
      </w:r>
      <w:r w:rsidR="002B2B42">
        <w:rPr>
          <w:rFonts w:ascii="Arial" w:hAnsi="Arial" w:cs="Arial"/>
          <w:b/>
          <w:bCs/>
          <w:sz w:val="20"/>
          <w:szCs w:val="20"/>
        </w:rPr>
        <w:t>1</w:t>
      </w:r>
      <w:r w:rsidR="002F6978">
        <w:rPr>
          <w:rFonts w:ascii="Arial" w:hAnsi="Arial" w:cs="Arial"/>
          <w:b/>
          <w:bCs/>
          <w:sz w:val="20"/>
          <w:szCs w:val="20"/>
        </w:rPr>
        <w:t>.</w:t>
      </w:r>
      <w:r>
        <w:rPr>
          <w:rFonts w:ascii="Arial" w:hAnsi="Arial" w:cs="Arial"/>
          <w:b/>
          <w:bCs/>
          <w:sz w:val="20"/>
          <w:szCs w:val="20"/>
        </w:rPr>
        <w:t xml:space="preserve"> </w:t>
      </w:r>
      <w:r w:rsidR="00C354BC" w:rsidRPr="00726616">
        <w:rPr>
          <w:rFonts w:ascii="Arial" w:hAnsi="Arial" w:cs="Arial"/>
          <w:b/>
          <w:bCs/>
          <w:sz w:val="20"/>
          <w:szCs w:val="20"/>
        </w:rPr>
        <w:t>Influenced by different sources of Sulphur on Growth parameter</w:t>
      </w:r>
    </w:p>
    <w:p w14:paraId="45F0E127" w14:textId="24DB926A" w:rsidR="00784905" w:rsidRDefault="001129AE" w:rsidP="001C4DE4">
      <w:pPr>
        <w:spacing w:line="360" w:lineRule="auto"/>
        <w:jc w:val="both"/>
        <w:rPr>
          <w:rFonts w:ascii="Arial" w:eastAsia="Arial Unicode MS" w:hAnsi="Arial" w:cs="Arial"/>
          <w:b/>
          <w:bCs/>
          <w:color w:val="000000" w:themeColor="text1"/>
          <w:sz w:val="24"/>
          <w:szCs w:val="24"/>
          <w:vertAlign w:val="superscript"/>
        </w:rPr>
      </w:pPr>
      <w:proofErr w:type="gramStart"/>
      <w:r>
        <w:rPr>
          <w:rFonts w:ascii="Arial" w:eastAsia="Arial Unicode MS" w:hAnsi="Arial" w:cs="Arial"/>
          <w:b/>
          <w:bCs/>
          <w:color w:val="000000" w:themeColor="text1"/>
          <w:sz w:val="24"/>
          <w:szCs w:val="24"/>
        </w:rPr>
        <w:t xml:space="preserve">3.4 </w:t>
      </w:r>
      <w:r w:rsidR="00386082">
        <w:rPr>
          <w:rFonts w:ascii="Arial" w:eastAsia="Arial Unicode MS" w:hAnsi="Arial" w:cs="Arial"/>
          <w:b/>
          <w:bCs/>
          <w:color w:val="000000" w:themeColor="text1"/>
          <w:sz w:val="24"/>
          <w:szCs w:val="24"/>
        </w:rPr>
        <w:t xml:space="preserve"> </w:t>
      </w:r>
      <w:r w:rsidR="00784905" w:rsidRPr="00814751">
        <w:rPr>
          <w:rFonts w:ascii="Arial" w:eastAsia="Arial Unicode MS" w:hAnsi="Arial" w:cs="Arial"/>
          <w:b/>
          <w:bCs/>
          <w:color w:val="000000" w:themeColor="text1"/>
          <w:sz w:val="24"/>
          <w:szCs w:val="24"/>
        </w:rPr>
        <w:t>Number</w:t>
      </w:r>
      <w:proofErr w:type="gramEnd"/>
      <w:r w:rsidR="00784905" w:rsidRPr="00814751">
        <w:rPr>
          <w:rFonts w:ascii="Arial" w:eastAsia="Arial Unicode MS" w:hAnsi="Arial" w:cs="Arial"/>
          <w:b/>
          <w:bCs/>
          <w:color w:val="000000" w:themeColor="text1"/>
          <w:sz w:val="24"/>
          <w:szCs w:val="24"/>
        </w:rPr>
        <w:t xml:space="preserve"> of branches</w:t>
      </w:r>
      <w:r w:rsidR="00386082">
        <w:rPr>
          <w:rFonts w:ascii="Arial" w:eastAsia="Arial Unicode MS" w:hAnsi="Arial" w:cs="Arial"/>
          <w:b/>
          <w:bCs/>
          <w:color w:val="000000" w:themeColor="text1"/>
          <w:sz w:val="24"/>
          <w:szCs w:val="24"/>
        </w:rPr>
        <w:t xml:space="preserve"> plant</w:t>
      </w:r>
      <w:r w:rsidR="00386082" w:rsidRPr="00386082">
        <w:rPr>
          <w:rFonts w:ascii="Arial" w:eastAsia="Arial Unicode MS" w:hAnsi="Arial" w:cs="Arial"/>
          <w:b/>
          <w:bCs/>
          <w:color w:val="000000" w:themeColor="text1"/>
          <w:sz w:val="24"/>
          <w:szCs w:val="24"/>
          <w:vertAlign w:val="superscript"/>
        </w:rPr>
        <w:t>-1</w:t>
      </w:r>
    </w:p>
    <w:p w14:paraId="6D701AFD" w14:textId="4C662E3F" w:rsidR="00B978F2" w:rsidRPr="00DE6803" w:rsidRDefault="00EF7DAF" w:rsidP="000D4F37">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lastRenderedPageBreak/>
        <w:t>At 60 DAS, the highest number of branches was observed under 20 kg sulphur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as basal application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(foliar spray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flowering stage),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(foliar application of sulphur fertilizer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flowering stage) and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(foliar spray of nano</w:t>
      </w:r>
      <w:r w:rsidR="00DC40A5">
        <w:rPr>
          <w:rFonts w:ascii="Arial" w:eastAsia="Arial Unicode MS" w:hAnsi="Arial" w:cs="Arial"/>
          <w:color w:val="000000" w:themeColor="text1"/>
          <w:sz w:val="24"/>
          <w:szCs w:val="24"/>
        </w:rPr>
        <w:t xml:space="preserve"> S</w:t>
      </w:r>
      <w:r w:rsidRPr="00DE6803">
        <w:rPr>
          <w:rFonts w:ascii="Arial" w:eastAsia="Arial Unicode MS" w:hAnsi="Arial" w:cs="Arial"/>
          <w:color w:val="000000" w:themeColor="text1"/>
          <w:sz w:val="24"/>
          <w:szCs w:val="24"/>
        </w:rPr>
        <w:t xml:space="preserve">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but statistically superior over the rest of the treatments.</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 At 90 DAS, the maximum number of branches was recorded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remained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yet superior to other </w:t>
      </w:r>
      <w:proofErr w:type="spellStart"/>
      <w:r w:rsidRPr="00DE6803">
        <w:rPr>
          <w:rFonts w:ascii="Arial" w:eastAsia="Arial Unicode MS" w:hAnsi="Arial" w:cs="Arial"/>
          <w:color w:val="000000" w:themeColor="text1"/>
          <w:sz w:val="24"/>
          <w:szCs w:val="24"/>
        </w:rPr>
        <w:t>treatmen</w:t>
      </w:r>
      <w:proofErr w:type="spellEnd"/>
      <w:r w:rsidR="00DE6803">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The number of branches per plant was significantly enhanced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which may be attributed to improved nutrient supply and sulphur availability, as sulphur plays a vital role in enzymatic activity and protein synthesis. </w:t>
      </w:r>
      <w:r w:rsidR="0099617E">
        <w:rPr>
          <w:rFonts w:ascii="Arial" w:eastAsia="Arial Unicode MS" w:hAnsi="Arial" w:cs="Arial"/>
          <w:color w:val="000000" w:themeColor="text1"/>
          <w:sz w:val="24"/>
          <w:szCs w:val="24"/>
        </w:rPr>
        <w:t>(</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01904167.2023.2294931","ISSN":"0190-4167","author":[{"dropping-particle":"","family":"Thirunavukkarasu","given":"M.","non-dropping-particle":"","parse-names":false,"suffix":""},{"dropping-particle":"","family":"Subramanian","given":"K S","non-dropping-particle":"","parse-names":false,"suffix":""},{"dropping-particle":"","family":"Yuvaraj","given":"M","non-dropping-particle":"","parse-names":false,"suffix":""}],"container-title":"Journal of Plant Nutrition","id":"ITEM-1","issue":"7","issued":{"date-parts":[["2024","4","20"]]},"page":"1079-1088","title":"Response studies of nano-sulphur on nutrient uptake, sulphur fractions, yield and quality parameters of peanut (Arachis hypogaea L.)","type":"article-journal","volume":"47"},"uris":["http://www.mendeley.com/documents/?uuid=2c0dd792-42f0-4b11-ab3a-a28d4b25b5fd"]}],"mendeley":{"formattedCitation":"(Thirunavukkarasu et al., 2024)","manualFormatting":"Thirunavukkarasu et al., 2024)","plainTextFormattedCitation":"(Thirunavukkarasu et al., 2024)","previouslyFormattedCitation":"(Thirunavukkarasu et al., 2024)"},"properties":{"noteIndex":0},"schema":"https://github.com/citation-style-language/schema/raw/master/csl-citation.json"}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Thirunavukkarasu et al., 2024)</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also reported that nano-sulphur increased shoot sulphur uptake (40.5</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mg/plant), </w:t>
      </w:r>
      <w:proofErr w:type="spellStart"/>
      <w:r w:rsidRPr="00DE6803">
        <w:rPr>
          <w:rFonts w:ascii="Arial" w:eastAsia="Arial Unicode MS" w:hAnsi="Arial" w:cs="Arial"/>
          <w:color w:val="000000" w:themeColor="text1"/>
          <w:sz w:val="24"/>
          <w:szCs w:val="24"/>
        </w:rPr>
        <w:t>there</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by</w:t>
      </w:r>
      <w:proofErr w:type="spellEnd"/>
      <w:r w:rsidRPr="00DE6803">
        <w:rPr>
          <w:rFonts w:ascii="Arial" w:eastAsia="Arial Unicode MS" w:hAnsi="Arial" w:cs="Arial"/>
          <w:color w:val="000000" w:themeColor="text1"/>
          <w:sz w:val="24"/>
          <w:szCs w:val="24"/>
        </w:rPr>
        <w:t xml:space="preserve"> improving branching and canopy development, which supports the present findings.</w:t>
      </w:r>
    </w:p>
    <w:p w14:paraId="5902748F" w14:textId="3CD31F20" w:rsidR="00784905" w:rsidRPr="00814751" w:rsidRDefault="00784905" w:rsidP="00D17BD4">
      <w:pPr>
        <w:spacing w:after="0" w:line="360" w:lineRule="auto"/>
        <w:jc w:val="both"/>
        <w:rPr>
          <w:rFonts w:ascii="Arial" w:eastAsia="Arial Unicode MS" w:hAnsi="Arial" w:cs="Arial"/>
          <w:color w:val="000000" w:themeColor="text1"/>
          <w:sz w:val="24"/>
          <w:szCs w:val="24"/>
        </w:rPr>
      </w:pPr>
    </w:p>
    <w:p w14:paraId="3CFE5F6A" w14:textId="6DF900D4" w:rsidR="00C354BC" w:rsidRPr="006828EF" w:rsidRDefault="00C354BC" w:rsidP="006828EF">
      <w:pPr>
        <w:spacing w:after="120" w:line="360" w:lineRule="auto"/>
        <w:rPr>
          <w:rFonts w:ascii="Arial" w:eastAsia="Arial Unicode MS" w:hAnsi="Arial" w:cs="Arial"/>
          <w:color w:val="000000" w:themeColor="text1"/>
          <w:sz w:val="24"/>
          <w:szCs w:val="24"/>
        </w:rPr>
      </w:pPr>
      <w:r>
        <w:rPr>
          <w:noProof/>
        </w:rPr>
        <w:drawing>
          <wp:inline distT="0" distB="0" distL="0" distR="0" wp14:anchorId="3F3FD8E9" wp14:editId="1D279708">
            <wp:extent cx="5600700" cy="3594100"/>
            <wp:effectExtent l="0" t="0" r="0" b="6350"/>
            <wp:docPr id="1343062053" name="Chart 1">
              <a:extLst xmlns:a="http://schemas.openxmlformats.org/drawingml/2006/main">
                <a:ext uri="{FF2B5EF4-FFF2-40B4-BE49-F238E27FC236}">
                  <a16:creationId xmlns:a16="http://schemas.microsoft.com/office/drawing/2014/main" id="{038981EF-A8B0-6307-7FB4-F19E53D41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Arial" w:hAnsi="Arial" w:cs="Arial"/>
          <w:b/>
          <w:bCs/>
          <w:sz w:val="20"/>
          <w:szCs w:val="20"/>
        </w:rPr>
        <w:t xml:space="preserve"> </w:t>
      </w:r>
      <w:r w:rsidR="002B2B42">
        <w:rPr>
          <w:rFonts w:ascii="Arial" w:hAnsi="Arial" w:cs="Arial"/>
          <w:b/>
          <w:bCs/>
          <w:sz w:val="20"/>
          <w:szCs w:val="20"/>
        </w:rPr>
        <w:t xml:space="preserve">Figure 2. </w:t>
      </w:r>
      <w:r w:rsidRPr="00726616">
        <w:rPr>
          <w:rFonts w:ascii="Arial" w:hAnsi="Arial" w:cs="Arial"/>
          <w:b/>
          <w:bCs/>
          <w:sz w:val="20"/>
          <w:szCs w:val="20"/>
        </w:rPr>
        <w:t>Influenced by different sources of Sulphur on Growth parameter</w:t>
      </w:r>
    </w:p>
    <w:p w14:paraId="30D50AE3" w14:textId="0963F51B" w:rsidR="00B441C9" w:rsidRDefault="001129AE" w:rsidP="000D4F37">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3.5 </w:t>
      </w:r>
      <w:r w:rsidR="00B441C9" w:rsidRPr="00814751">
        <w:rPr>
          <w:rFonts w:ascii="Arial" w:eastAsia="Arial Unicode MS" w:hAnsi="Arial" w:cs="Arial"/>
          <w:b/>
          <w:bCs/>
          <w:color w:val="000000" w:themeColor="text1"/>
          <w:sz w:val="24"/>
          <w:szCs w:val="24"/>
        </w:rPr>
        <w:t>Number of capsules</w:t>
      </w:r>
      <w:r w:rsidR="00386082">
        <w:rPr>
          <w:rFonts w:ascii="Arial" w:eastAsia="Arial Unicode MS" w:hAnsi="Arial" w:cs="Arial"/>
          <w:b/>
          <w:bCs/>
          <w:color w:val="000000" w:themeColor="text1"/>
          <w:sz w:val="24"/>
          <w:szCs w:val="24"/>
        </w:rPr>
        <w:t xml:space="preserve"> plant</w:t>
      </w:r>
      <w:r w:rsidR="00386082" w:rsidRPr="00386082">
        <w:rPr>
          <w:rFonts w:ascii="Arial" w:eastAsia="Arial Unicode MS" w:hAnsi="Arial" w:cs="Arial"/>
          <w:b/>
          <w:bCs/>
          <w:color w:val="000000" w:themeColor="text1"/>
          <w:sz w:val="24"/>
          <w:szCs w:val="24"/>
          <w:vertAlign w:val="superscript"/>
        </w:rPr>
        <w:t>-1</w:t>
      </w:r>
      <w:r w:rsidR="00B441C9" w:rsidRPr="00814751">
        <w:rPr>
          <w:rFonts w:ascii="Arial" w:eastAsia="Arial Unicode MS" w:hAnsi="Arial" w:cs="Arial"/>
          <w:b/>
          <w:bCs/>
          <w:color w:val="000000" w:themeColor="text1"/>
          <w:sz w:val="24"/>
          <w:szCs w:val="24"/>
        </w:rPr>
        <w:t xml:space="preserve">  </w:t>
      </w:r>
    </w:p>
    <w:p w14:paraId="66B1A05B" w14:textId="5F5E5337" w:rsidR="00EF7DAF" w:rsidRPr="00DE6803" w:rsidRDefault="00EF7DAF" w:rsidP="000D4F37">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 xml:space="preserve">It is evident from </w:t>
      </w:r>
      <w:r w:rsidR="002F6978">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that the maximum number of seeds (8.9 capsule</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was recorded under foliar spray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significantly superior to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xml:space="preserve"> but remained at par with other treatments. Similarly, the maximum number of capsules per plant was also recorded </w:t>
      </w:r>
      <w:r w:rsidRPr="00DE6803">
        <w:rPr>
          <w:rFonts w:ascii="Arial" w:eastAsia="Arial Unicode MS" w:hAnsi="Arial" w:cs="Arial"/>
          <w:color w:val="000000" w:themeColor="text1"/>
          <w:sz w:val="24"/>
          <w:szCs w:val="24"/>
        </w:rPr>
        <w:lastRenderedPageBreak/>
        <w:t>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The increase in capsule formation may be attributed to enhanced photosynthetic activity, nutrient assimilation, vigorous root growth and better canopy development. </w:t>
      </w:r>
      <w:r w:rsidR="003217D9">
        <w:rPr>
          <w:rFonts w:ascii="Arial" w:eastAsia="Arial Unicode MS" w:hAnsi="Arial" w:cs="Arial"/>
          <w:color w:val="000000" w:themeColor="text1"/>
          <w:sz w:val="24"/>
          <w:szCs w:val="24"/>
        </w:rPr>
        <w:t>(</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{"citationItems":[{"id":"ITEM-1","itemData":{"author":[{"dropping-particle":"","family":"Krishi","given":"M Thirunavukkarasu","non-dropping-particle":"","parse-names":false,"suffix":""},{"dropping-particle":"","family":"Pandian","given":"Kannan","non-dropping-particle":"","parse-names":false,"suffix":""},{"dropping-particle":"","family":"Thirunavukkarasu","given":"Maruthi","non-dropping-particle":"","parse-names":false,"suffix":""},{"dropping-particle":"","family":"Subramanian","given":"K. S.","non-dropping-particle":"","parse-names":false,"suffix":""}],"container-title":"International Journal of Chemical Studies","id":"ITEM-1","issue":"3","issued":{"date-parts":[["2018"]]},"page":"2067-2072","title":"Response of nano-sulphur to the groundnut.","type":"article-journal","volume":"6"},"uris":["http://www.mendeley.com/documents/?uuid=84dc78b1-7dbf-4a82-bea1-d11825dde1c2"]}],"mendeley":{"formattedCitation":"(Krishi et al., 2018)","manualFormatting":"Krishi et al., 2018)","plainTextFormattedCitation":"(Krishi et al., 2018)","previouslyFormattedCitation":"(Krishi et al., 2018)"},"properties":{"noteIndex":0},"schema":"https://github.com/citation-style-language/schema/raw/master/csl-citation.json"}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Krishi et al., 2018)</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also reported that nano-sulphur application @ 30 kg S</w:t>
      </w:r>
      <w:r w:rsidR="00DC40A5">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improved pod number in groundnut compared to conventional sulphur, while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{"citationItems":[{"id":"ITEM-1","itemData":{"DOI":"10.9734/ijpss/2023/v35i92916","ISSN":"2320-7035","abstract":"The field experiment entitled “response of sulphur and foliar application of nano urea on growth and yield of sunflower” was conducted during Summer, 2022 at Crop Research Farm, Department of Agronomy, Naini Agriculture Institute, Sam Higginbottom University of Agriculture, Technology and Sciences, Prayagraj, Uttar Pradesh. The result showed that maximum diameter of capitulum (14.85 cm), number of seeds/capitulum (453.67), test weight (44.58 g), seed yield (1.70 t/ha), oil content (37.73 %) and B:C ratio (2.54) were obtained by the application of Sulphur at the rate 40 kg/ha along with Nano urea (3ml/l) in treatment 8 whereas higher plant height (118.83 cm), plant dry weight (70.08 g) and stover yield (3.36 t/ha) were obtained by the application of Sulphur at the rate 40 kg/ha along with Nano urea 4ml/l in treatment 9.","author":[{"dropping-particle":"","family":"Bhakher","given":"Renuka","non-dropping-particle":"","parse-names":false,"suffix":""},{"dropping-particle":"","family":"Debbarma","given":"Victor","non-dropping-particle":"","parse-names":false,"suffix":""},{"dropping-particle":"","family":"Ninama","given":"Jigyasa","non-dropping-particle":"","parse-names":false,"suffix":""}],"container-title":"International Journal of Plant &amp; Soil Science","id":"ITEM-1","issue":"9","issued":{"date-parts":[["2023","4","18"]]},"page":"153-159","title":"Response of sulphur and foliar application of nano urea on growth and yield of sunflower (Helianthus annus L.)","type":"article-journal","volume":"35"},"uris":["http://www.mendeley.com/documents/?uuid=6be584c5-2456-4dc9-acff-b9c495c1a826"]}],"mendeley":{"formattedCitation":"(Bhakher et al., 2023)","manualFormatting":"Bhakher et al., 2023)","plainTextFormattedCitation":"(Bhakher et al., 2023)","previouslyFormattedCitation":"(Bhakher et al., 2023)"},"properties":{"noteIndex":0},"schema":"https://github.com/citation-style-language/schema/raw/master/csl-citation.json"}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Bhakher et al., 2023)</w:t>
      </w:r>
      <w:r w:rsidR="00906A40">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observed higher dry weight and straw yield in sunflower with sulphur and nano urea, which contributed to greater reproductive sink development. These findings confirm that dual foliar application of nano-sulphur at critical stages (T</w:t>
      </w:r>
      <w:r w:rsidRPr="00906A40">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effectively promoted reproductive branching and capsule initiation.</w:t>
      </w:r>
    </w:p>
    <w:p w14:paraId="1D60F12B" w14:textId="2B10ADC1" w:rsidR="00EF7DAF" w:rsidRPr="00EF7DAF" w:rsidRDefault="001129AE" w:rsidP="000D4F37">
      <w:pPr>
        <w:spacing w:after="120" w:line="360" w:lineRule="auto"/>
        <w:jc w:val="both"/>
        <w:rPr>
          <w:rFonts w:ascii="Arial" w:eastAsia="Arial Unicode MS" w:hAnsi="Arial" w:cs="Arial"/>
          <w:b/>
          <w:bCs/>
          <w:color w:val="000000" w:themeColor="text1"/>
          <w:sz w:val="24"/>
          <w:szCs w:val="24"/>
          <w:vertAlign w:val="superscript"/>
        </w:rPr>
      </w:pPr>
      <w:r>
        <w:rPr>
          <w:rFonts w:ascii="Arial" w:eastAsia="Arial Unicode MS" w:hAnsi="Arial" w:cs="Arial"/>
          <w:b/>
          <w:bCs/>
          <w:color w:val="000000" w:themeColor="text1"/>
          <w:sz w:val="24"/>
          <w:szCs w:val="24"/>
        </w:rPr>
        <w:t xml:space="preserve">3.6 </w:t>
      </w:r>
      <w:r w:rsidR="00B441C9" w:rsidRPr="00814751">
        <w:rPr>
          <w:rFonts w:ascii="Arial" w:eastAsia="Arial Unicode MS" w:hAnsi="Arial" w:cs="Arial"/>
          <w:b/>
          <w:bCs/>
          <w:color w:val="000000" w:themeColor="text1"/>
          <w:sz w:val="24"/>
          <w:szCs w:val="24"/>
        </w:rPr>
        <w:t>Number of seed</w:t>
      </w:r>
      <w:r w:rsidR="00386082">
        <w:rPr>
          <w:rFonts w:ascii="Arial" w:eastAsia="Arial Unicode MS" w:hAnsi="Arial" w:cs="Arial"/>
          <w:b/>
          <w:bCs/>
          <w:color w:val="000000" w:themeColor="text1"/>
          <w:sz w:val="24"/>
          <w:szCs w:val="24"/>
        </w:rPr>
        <w:t xml:space="preserve"> capsule</w:t>
      </w:r>
      <w:r w:rsidR="00386082" w:rsidRPr="00386082">
        <w:rPr>
          <w:rFonts w:ascii="Arial" w:eastAsia="Arial Unicode MS" w:hAnsi="Arial" w:cs="Arial"/>
          <w:b/>
          <w:bCs/>
          <w:color w:val="000000" w:themeColor="text1"/>
          <w:sz w:val="24"/>
          <w:szCs w:val="24"/>
          <w:vertAlign w:val="superscript"/>
        </w:rPr>
        <w:t>-1</w:t>
      </w:r>
    </w:p>
    <w:p w14:paraId="5B1FD9D8" w14:textId="5D7EAEF1" w:rsidR="00EF7DAF" w:rsidRPr="00906A40" w:rsidRDefault="00704967" w:rsidP="000D4F37">
      <w:pPr>
        <w:spacing w:after="120" w:line="360" w:lineRule="auto"/>
        <w:jc w:val="both"/>
        <w:rPr>
          <w:rFonts w:ascii="Arial" w:eastAsia="Arial Unicode MS" w:hAnsi="Arial" w:cs="Arial"/>
          <w:color w:val="000000" w:themeColor="text1"/>
          <w:sz w:val="24"/>
          <w:szCs w:val="24"/>
        </w:rPr>
      </w:pPr>
      <w:r w:rsidRPr="00906A40">
        <w:rPr>
          <w:rFonts w:ascii="Arial" w:eastAsia="Arial Unicode MS" w:hAnsi="Arial" w:cs="Arial"/>
          <w:color w:val="000000" w:themeColor="text1"/>
          <w:sz w:val="24"/>
          <w:szCs w:val="24"/>
        </w:rPr>
        <w:t xml:space="preserve">It is evident from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that the maximum number of seeds per capsule (8.9) was recorded under foliar spray of nano-sulphur (0.5%) at 30 DAS and flowering stage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which was significantly superior to T</w:t>
      </w:r>
      <w:r w:rsidRPr="00906A40">
        <w:rPr>
          <w:rFonts w:ascii="Arial" w:eastAsia="Arial Unicode MS" w:hAnsi="Arial" w:cs="Arial"/>
          <w:color w:val="000000" w:themeColor="text1"/>
          <w:sz w:val="24"/>
          <w:szCs w:val="24"/>
          <w:vertAlign w:val="subscript"/>
        </w:rPr>
        <w:t>7</w:t>
      </w:r>
      <w:r w:rsidRPr="00906A40">
        <w:rPr>
          <w:rFonts w:ascii="Arial" w:eastAsia="Arial Unicode MS" w:hAnsi="Arial" w:cs="Arial"/>
          <w:color w:val="000000" w:themeColor="text1"/>
          <w:sz w:val="24"/>
          <w:szCs w:val="24"/>
        </w:rPr>
        <w:t>, T</w:t>
      </w:r>
      <w:r w:rsidRPr="00906A40">
        <w:rPr>
          <w:rFonts w:ascii="Arial" w:eastAsia="Arial Unicode MS" w:hAnsi="Arial" w:cs="Arial"/>
          <w:color w:val="000000" w:themeColor="text1"/>
          <w:sz w:val="24"/>
          <w:szCs w:val="24"/>
          <w:vertAlign w:val="subscript"/>
        </w:rPr>
        <w:t>4</w:t>
      </w:r>
      <w:r w:rsidRPr="00906A40">
        <w:rPr>
          <w:rFonts w:ascii="Arial" w:eastAsia="Arial Unicode MS" w:hAnsi="Arial" w:cs="Arial"/>
          <w:color w:val="000000" w:themeColor="text1"/>
          <w:sz w:val="24"/>
          <w:szCs w:val="24"/>
        </w:rPr>
        <w:t xml:space="preserve"> and T</w:t>
      </w:r>
      <w:r w:rsidRPr="00906A40">
        <w:rPr>
          <w:rFonts w:ascii="Arial" w:eastAsia="Arial Unicode MS" w:hAnsi="Arial" w:cs="Arial"/>
          <w:color w:val="000000" w:themeColor="text1"/>
          <w:sz w:val="24"/>
          <w:szCs w:val="24"/>
          <w:vertAlign w:val="subscript"/>
        </w:rPr>
        <w:t>2</w:t>
      </w:r>
      <w:r w:rsidRPr="00906A40">
        <w:rPr>
          <w:rFonts w:ascii="Arial" w:eastAsia="Arial Unicode MS" w:hAnsi="Arial" w:cs="Arial"/>
          <w:color w:val="000000" w:themeColor="text1"/>
          <w:sz w:val="24"/>
          <w:szCs w:val="24"/>
        </w:rPr>
        <w:t xml:space="preserve"> but at par with other treatments, with the highest value also obtained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under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This can be attributed to efficient translocation of assimilates from source to sink due to higher sulphur use efficiency and improved metabolic activity under nano</w:t>
      </w:r>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sulphur spray.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{"citationItems":[{"id":"ITEM-1","itemData":{"DOI":"10.1080/00103624.2022.2072867","ISSN":"0010-3624","author":[{"dropping-particle":"","family":"Subramanian","given":"K. S.","non-dropping-particle":"","parse-names":false,"suffix":""},{"dropping-particle":"","family":"Rajeswari","given":"R.","non-dropping-particle":"","parse-names":false,"suffix":""},{"dropping-particle":"","family":"Yuvaraj","given":"M.","non-dropping-particle":"","parse-names":false,"suffix":""},{"dropping-particle":"","family":"Pradeep","given":"D.","non-dropping-particle":"","parse-names":false,"suffix":""},{"dropping-particle":"","family":"Guna","given":"M.","non-dropping-particle":"","parse-names":false,"suffix":""},{"dropping-particle":"","family":"Yoganathan","given":"G.","non-dropping-particle":"","parse-names":false,"suffix":""}],"container-title":"Communications in Soil Science and Plant Analysis","id":"ITEM-1","issue":"20","issued":{"date-parts":[["2022","11","13"]]},"page":"2700-2709","title":"Synthesis and characterization of nano-sulphur and its impact on growth, yield, and quality of sunflower (Helianthus annuus L.)","type":"article-journal","volume":"53"},"uris":["http://www.mendeley.com/documents/?uuid=17afa2e0-74aa-4a55-9f63-fe08ff27481f"]}],"mendeley":{"formattedCitation":"(Subramanian et al., 2022)","manualFormatting":"Subramanian et al., 2022)","plainTextFormattedCitation":"(Subramanian et al., 2022)","previouslyFormattedCitation":"(Subramanian et al., 2022)"},"properties":{"noteIndex":0},"schema":"https://github.com/citation-style-language/schema/raw/master/csl-citation.json"}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Subramanian et al., 2022)</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reported 15% higher seed yield in sunflower with nano-sulphur compared to gypsum, owing to enhanced dry matter production and assimilate partitioning. </w:t>
      </w:r>
      <w:r w:rsidR="002F6978">
        <w:rPr>
          <w:rFonts w:ascii="Arial" w:eastAsia="Arial Unicode MS" w:hAnsi="Arial" w:cs="Arial"/>
          <w:color w:val="000000" w:themeColor="text1"/>
          <w:sz w:val="24"/>
          <w:szCs w:val="24"/>
        </w:rPr>
        <w:t>b</w:t>
      </w:r>
      <w:r w:rsidRPr="00906A40">
        <w:rPr>
          <w:rFonts w:ascii="Arial" w:eastAsia="Arial Unicode MS" w:hAnsi="Arial" w:cs="Arial"/>
          <w:color w:val="000000" w:themeColor="text1"/>
          <w:sz w:val="24"/>
          <w:szCs w:val="24"/>
        </w:rPr>
        <w:t>etter root uptake and vegetative growth observed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provided a strong base for improved seed filling and capsule development, confirming the efficiency of nano</w:t>
      </w:r>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in enhancing reproductive performance in oilseed crops.</w:t>
      </w:r>
    </w:p>
    <w:p w14:paraId="3C2EFC45" w14:textId="2AC93605" w:rsidR="00B441C9" w:rsidRDefault="001129AE" w:rsidP="000D4F37">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3.7 </w:t>
      </w:r>
      <w:r w:rsidR="00B441C9" w:rsidRPr="00814751">
        <w:rPr>
          <w:rFonts w:ascii="Arial" w:eastAsia="Arial Unicode MS" w:hAnsi="Arial" w:cs="Arial"/>
          <w:b/>
          <w:bCs/>
          <w:color w:val="000000" w:themeColor="text1"/>
          <w:sz w:val="24"/>
          <w:szCs w:val="24"/>
        </w:rPr>
        <w:t>Test weight</w:t>
      </w:r>
    </w:p>
    <w:p w14:paraId="23521945" w14:textId="56572E30" w:rsidR="00EF7DAF" w:rsidRPr="00906A40" w:rsidRDefault="00704967" w:rsidP="000D4F37">
      <w:pPr>
        <w:spacing w:after="120" w:line="360" w:lineRule="auto"/>
        <w:jc w:val="both"/>
        <w:rPr>
          <w:rFonts w:ascii="Arial" w:eastAsia="Arial Unicode MS" w:hAnsi="Arial" w:cs="Arial"/>
          <w:color w:val="000000" w:themeColor="text1"/>
          <w:sz w:val="24"/>
          <w:szCs w:val="24"/>
        </w:rPr>
      </w:pPr>
      <w:r w:rsidRPr="00906A40">
        <w:rPr>
          <w:rFonts w:ascii="Arial" w:eastAsia="Arial Unicode MS" w:hAnsi="Arial" w:cs="Arial"/>
          <w:color w:val="000000" w:themeColor="text1"/>
          <w:sz w:val="24"/>
          <w:szCs w:val="24"/>
        </w:rPr>
        <w:t xml:space="preserve">A close examination of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revealed that foliar spray of nano</w:t>
      </w:r>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(0.5%) at 30 DAS and flowering stage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recorded the highest seed index (8.1 g), which was statistically identical to T</w:t>
      </w:r>
      <w:r w:rsidRPr="00906A40">
        <w:rPr>
          <w:rFonts w:ascii="Arial" w:eastAsia="Arial Unicode MS" w:hAnsi="Arial" w:cs="Arial"/>
          <w:color w:val="000000" w:themeColor="text1"/>
          <w:sz w:val="24"/>
          <w:szCs w:val="24"/>
          <w:vertAlign w:val="subscript"/>
        </w:rPr>
        <w:t>7</w:t>
      </w:r>
      <w:r w:rsidRPr="00906A40">
        <w:rPr>
          <w:rFonts w:ascii="Arial" w:eastAsia="Arial Unicode MS" w:hAnsi="Arial" w:cs="Arial"/>
          <w:color w:val="000000" w:themeColor="text1"/>
          <w:sz w:val="24"/>
          <w:szCs w:val="24"/>
        </w:rPr>
        <w:t>, T</w:t>
      </w:r>
      <w:r w:rsidRPr="00906A40">
        <w:rPr>
          <w:rFonts w:ascii="Arial" w:eastAsia="Arial Unicode MS" w:hAnsi="Arial" w:cs="Arial"/>
          <w:color w:val="000000" w:themeColor="text1"/>
          <w:sz w:val="24"/>
          <w:szCs w:val="24"/>
          <w:vertAlign w:val="subscript"/>
        </w:rPr>
        <w:t>4</w:t>
      </w:r>
      <w:r w:rsidRPr="00906A40">
        <w:rPr>
          <w:rFonts w:ascii="Arial" w:eastAsia="Arial Unicode MS" w:hAnsi="Arial" w:cs="Arial"/>
          <w:color w:val="000000" w:themeColor="text1"/>
          <w:sz w:val="24"/>
          <w:szCs w:val="24"/>
        </w:rPr>
        <w:t xml:space="preserve"> and T</w:t>
      </w:r>
      <w:r w:rsidRPr="00906A40">
        <w:rPr>
          <w:rFonts w:ascii="Arial" w:eastAsia="Arial Unicode MS" w:hAnsi="Arial" w:cs="Arial"/>
          <w:color w:val="000000" w:themeColor="text1"/>
          <w:sz w:val="24"/>
          <w:szCs w:val="24"/>
          <w:vertAlign w:val="subscript"/>
        </w:rPr>
        <w:t>2</w:t>
      </w:r>
      <w:r w:rsidRPr="00906A40">
        <w:rPr>
          <w:rFonts w:ascii="Arial" w:eastAsia="Arial Unicode MS" w:hAnsi="Arial" w:cs="Arial"/>
          <w:color w:val="000000" w:themeColor="text1"/>
          <w:sz w:val="24"/>
          <w:szCs w:val="24"/>
        </w:rPr>
        <w:t>. The maximum test weight (1000-grain weight) was also observed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Higher test weight indicates efficient nutrient translocation,</w:t>
      </w:r>
      <w:r w:rsidR="00906A40">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balanced source–sink relationship and better seed filling.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{"citationItems":[{"id":"ITEM-1","itemData":{"author":[{"dropping-particle":"","family":"Krishi","given":"M Thirunavukkarasu","non-dropping-particle":"","parse-names":false,"suffix":""},{"dropping-particle":"","family":"Pandian","given":"Kannan","non-dropping-particle":"","parse-names":false,"suffix":""},{"dropping-particle":"","family":"Thirunavukkarasu","given":"Maruthi","non-dropping-particle":"","parse-names":false,"suffix":""},{"dropping-particle":"","family":"Subramanian","given":"K. S.","non-dropping-particle":"","parse-names":false,"suffix":""}],"container-title":"International Journal of Chemical Studies","id":"ITEM-1","issue":"3","issued":{"date-parts":[["2018"]]},"page":"2067-2072","title":"Response of nano-sulphur to the groundnut.","type":"article-journal","volume":"6"},"uris":["http://www.mendeley.com/documents/?uuid=84dc78b1-7dbf-4a82-bea1-d11825dde1c2"]}],"mendeley":{"formattedCitation":"(Krishi et al., 2018)","manualFormatting":"Krishi et al., 2018)","plainTextFormattedCitation":"(Krishi et al., 2018)","previouslyFormattedCitation":"(Krishi et al., 2018)"},"properties":{"noteIndex":0},"schema":"https://github.com/citation-style-language/schema/raw/master/csl-citation.json"}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Krishi et al., 2018)</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reported that nano</w:t>
      </w:r>
      <w:r w:rsidR="002B2B42">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sulphur </w:t>
      </w:r>
      <w:bookmarkStart w:id="0" w:name="_GoBack"/>
      <w:r w:rsidRPr="00906A40">
        <w:rPr>
          <w:rFonts w:ascii="Arial" w:eastAsia="Arial Unicode MS" w:hAnsi="Arial" w:cs="Arial"/>
          <w:color w:val="000000" w:themeColor="text1"/>
          <w:sz w:val="24"/>
          <w:szCs w:val="24"/>
        </w:rPr>
        <w:t>@</w:t>
      </w:r>
      <w:bookmarkEnd w:id="0"/>
      <w:r w:rsidRPr="00906A40">
        <w:rPr>
          <w:rFonts w:ascii="Arial" w:eastAsia="Arial Unicode MS" w:hAnsi="Arial" w:cs="Arial"/>
          <w:color w:val="000000" w:themeColor="text1"/>
          <w:sz w:val="24"/>
          <w:szCs w:val="24"/>
        </w:rPr>
        <w:t xml:space="preserve"> 30 kg S</w:t>
      </w:r>
      <w:r w:rsidR="002B2B42">
        <w:rPr>
          <w:rFonts w:ascii="Arial" w:eastAsia="Arial Unicode MS" w:hAnsi="Arial" w:cs="Arial"/>
          <w:color w:val="000000" w:themeColor="text1"/>
          <w:sz w:val="24"/>
          <w:szCs w:val="24"/>
        </w:rPr>
        <w:t>ulphur</w:t>
      </w:r>
      <w:r w:rsidRPr="00906A40">
        <w:rPr>
          <w:rFonts w:ascii="Arial" w:eastAsia="Arial Unicode MS" w:hAnsi="Arial" w:cs="Arial"/>
          <w:color w:val="000000" w:themeColor="text1"/>
          <w:sz w:val="24"/>
          <w:szCs w:val="24"/>
        </w:rPr>
        <w:t xml:space="preserve"> ha</w:t>
      </w:r>
      <w:r w:rsidRPr="00906A40">
        <w:rPr>
          <w:rFonts w:ascii="Cambria Math" w:eastAsia="Arial Unicode MS" w:hAnsi="Cambria Math" w:cs="Cambria Math"/>
          <w:color w:val="000000" w:themeColor="text1"/>
          <w:sz w:val="24"/>
          <w:szCs w:val="24"/>
        </w:rPr>
        <w:t>⁻</w:t>
      </w:r>
      <w:r w:rsidRPr="00906A40">
        <w:rPr>
          <w:rFonts w:ascii="Arial" w:eastAsia="Arial Unicode MS" w:hAnsi="Arial" w:cs="Arial"/>
          <w:color w:val="000000" w:themeColor="text1"/>
          <w:sz w:val="24"/>
          <w:szCs w:val="24"/>
        </w:rPr>
        <w:t xml:space="preserve">¹ increased hundred kernel weight in groundnut compared to conventional sulphur, while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{"citationItems":[{"id":"ITEM-1","itemData":{"DOI":"10.1080/00103624.2022.2072867","ISSN":"0010-3624","author":[{"dropping-particle":"","family":"Subramanian","given":"K. S.","non-dropping-particle":"","parse-names":false,"suffix":""},{"dropping-particle":"","family":"Rajeswari","given":"R.","non-dropping-particle":"","parse-names":false,"suffix":""},{"dropping-particle":"","family":"Yuvaraj","given":"M.","non-dropping-particle":"","parse-names":false,"suffix":""},{"dropping-particle":"","family":"Pradeep","given":"D.","non-dropping-particle":"","parse-names":false,"suffix":""},{"dropping-particle":"","family":"Guna","given":"M.","non-dropping-particle":"","parse-names":false,"suffix":""},{"dropping-particle":"","family":"Yoganathan","given":"G.","non-dropping-particle":"","parse-names":false,"suffix":""}],"container-title":"Communications in Soil Science and Plant Analysis","id":"ITEM-1","issue":"20","issued":{"date-parts":[["2022","11","13"]]},"page":"2700-2709","title":"Synthesis and characterization of nano-sulphur and its impact on growth, yield, and quality of sunflower (Helianthus annuus L.)","type":"article-journal","volume":"53"},"uris":["http://www.mendeley.com/documents/?uuid=17afa2e0-74aa-4a55-9f63-fe08ff27481f"]}],"mendeley":{"formattedCitation":"(Subramanian et al., 2022)","manualFormatting":"Subramanian et al., 2022)","plainTextFormattedCitation":"(Subramanian et al., 2022)","previouslyFormattedCitation":"(Subramanian et al., 2022)"},"properties":{"noteIndex":0},"schema":"https://github.com/citation-style-language/schema/raw/master/csl-citation.json"}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Subramanian et al., 2022)</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confirmed that nano</w:t>
      </w:r>
      <w:r w:rsidR="002B2B42">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improved oil content and seed quality in sunflower. The improvement in test weight under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correlates with higher dry matter accumulation in shoot and root, as sulphur plays a vital role in protein and oil biosynthesis, ultimately resulting in heavier grains.</w:t>
      </w:r>
    </w:p>
    <w:p w14:paraId="752ABBFC" w14:textId="53016901" w:rsidR="0004345F" w:rsidRPr="0004345F" w:rsidRDefault="001129AE" w:rsidP="001129AE">
      <w:pPr>
        <w:spacing w:before="240" w:line="360" w:lineRule="auto"/>
        <w:ind w:left="720" w:hanging="720"/>
        <w:jc w:val="both"/>
        <w:rPr>
          <w:rFonts w:ascii="Arial" w:hAnsi="Arial" w:cs="Arial"/>
          <w:b/>
          <w:bCs/>
          <w:sz w:val="20"/>
          <w:szCs w:val="20"/>
        </w:rPr>
      </w:pPr>
      <w:r>
        <w:rPr>
          <w:rFonts w:ascii="Arial" w:hAnsi="Arial" w:cs="Arial"/>
          <w:b/>
          <w:bCs/>
          <w:sz w:val="20"/>
          <w:szCs w:val="20"/>
        </w:rPr>
        <w:lastRenderedPageBreak/>
        <w:t xml:space="preserve">Table 2. </w:t>
      </w:r>
      <w:r w:rsidR="0004345F" w:rsidRPr="00726616">
        <w:rPr>
          <w:rFonts w:ascii="Arial" w:hAnsi="Arial" w:cs="Arial"/>
          <w:b/>
          <w:bCs/>
          <w:sz w:val="20"/>
          <w:szCs w:val="20"/>
        </w:rPr>
        <w:t>Influenced by different sources of Sulphur on</w:t>
      </w:r>
      <w:r w:rsidR="0004345F">
        <w:rPr>
          <w:rFonts w:ascii="Arial" w:hAnsi="Arial" w:cs="Arial"/>
          <w:b/>
          <w:bCs/>
          <w:sz w:val="20"/>
          <w:szCs w:val="20"/>
        </w:rPr>
        <w:t xml:space="preserve"> yield attributes</w:t>
      </w:r>
    </w:p>
    <w:tbl>
      <w:tblPr>
        <w:tblW w:w="8905" w:type="dxa"/>
        <w:jc w:val="center"/>
        <w:tblLook w:val="04A0" w:firstRow="1" w:lastRow="0" w:firstColumn="1" w:lastColumn="0" w:noHBand="0" w:noVBand="1"/>
      </w:tblPr>
      <w:tblGrid>
        <w:gridCol w:w="580"/>
        <w:gridCol w:w="4000"/>
        <w:gridCol w:w="1450"/>
        <w:gridCol w:w="1345"/>
        <w:gridCol w:w="1530"/>
      </w:tblGrid>
      <w:tr w:rsidR="0004345F" w:rsidRPr="001129AE" w14:paraId="265CC197" w14:textId="77777777" w:rsidTr="003343FA">
        <w:trPr>
          <w:trHeight w:val="310"/>
          <w:jc w:val="center"/>
        </w:trPr>
        <w:tc>
          <w:tcPr>
            <w:tcW w:w="4580" w:type="dxa"/>
            <w:gridSpan w:val="2"/>
            <w:vMerge w:val="restart"/>
            <w:tcBorders>
              <w:top w:val="single" w:sz="4" w:space="0" w:color="auto"/>
            </w:tcBorders>
            <w:noWrap/>
            <w:vAlign w:val="center"/>
            <w:hideMark/>
          </w:tcPr>
          <w:p w14:paraId="7190506B"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proofErr w:type="spellStart"/>
            <w:r w:rsidRPr="001129AE">
              <w:rPr>
                <w:rFonts w:ascii="Arial" w:eastAsia="Times New Roman" w:hAnsi="Arial" w:cs="Arial"/>
                <w:b/>
                <w:bCs/>
                <w:color w:val="000000"/>
                <w:kern w:val="0"/>
                <w:lang w:eastAsia="en-IN" w:bidi="hi-IN"/>
                <w14:ligatures w14:val="none"/>
              </w:rPr>
              <w:t>Trearment</w:t>
            </w:r>
            <w:proofErr w:type="spellEnd"/>
          </w:p>
        </w:tc>
        <w:tc>
          <w:tcPr>
            <w:tcW w:w="4325" w:type="dxa"/>
            <w:gridSpan w:val="3"/>
            <w:tcBorders>
              <w:top w:val="single" w:sz="4" w:space="0" w:color="auto"/>
              <w:bottom w:val="single" w:sz="4" w:space="0" w:color="auto"/>
            </w:tcBorders>
            <w:noWrap/>
            <w:vAlign w:val="center"/>
            <w:hideMark/>
          </w:tcPr>
          <w:p w14:paraId="486A055E"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Yield attributes</w:t>
            </w:r>
          </w:p>
        </w:tc>
      </w:tr>
      <w:tr w:rsidR="0004345F" w:rsidRPr="001129AE" w14:paraId="2B1C827B" w14:textId="77777777" w:rsidTr="003343FA">
        <w:trPr>
          <w:trHeight w:val="450"/>
          <w:jc w:val="center"/>
        </w:trPr>
        <w:tc>
          <w:tcPr>
            <w:tcW w:w="4580" w:type="dxa"/>
            <w:gridSpan w:val="2"/>
            <w:vMerge/>
            <w:vAlign w:val="center"/>
            <w:hideMark/>
          </w:tcPr>
          <w:p w14:paraId="4F7B7A8C"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450" w:type="dxa"/>
            <w:vMerge w:val="restart"/>
            <w:tcBorders>
              <w:top w:val="single" w:sz="4" w:space="0" w:color="auto"/>
            </w:tcBorders>
            <w:noWrap/>
            <w:vAlign w:val="center"/>
            <w:hideMark/>
          </w:tcPr>
          <w:p w14:paraId="4F192BA5"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Number of capsule plant</w:t>
            </w:r>
            <w:r w:rsidRPr="001129AE">
              <w:rPr>
                <w:rFonts w:ascii="Arial" w:eastAsia="Times New Roman" w:hAnsi="Arial" w:cs="Arial"/>
                <w:b/>
                <w:bCs/>
                <w:color w:val="000000"/>
                <w:kern w:val="0"/>
                <w:vertAlign w:val="superscript"/>
                <w:lang w:eastAsia="en-IN" w:bidi="hi-IN"/>
                <w14:ligatures w14:val="none"/>
              </w:rPr>
              <w:t>-1</w:t>
            </w:r>
          </w:p>
        </w:tc>
        <w:tc>
          <w:tcPr>
            <w:tcW w:w="1345" w:type="dxa"/>
            <w:vMerge w:val="restart"/>
            <w:tcBorders>
              <w:top w:val="single" w:sz="4" w:space="0" w:color="auto"/>
            </w:tcBorders>
            <w:noWrap/>
            <w:vAlign w:val="center"/>
            <w:hideMark/>
          </w:tcPr>
          <w:p w14:paraId="13AC2A2B"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Number of seeds capsule</w:t>
            </w:r>
            <w:r w:rsidRPr="001129AE">
              <w:rPr>
                <w:rFonts w:ascii="Arial" w:eastAsia="Times New Roman" w:hAnsi="Arial" w:cs="Arial"/>
                <w:b/>
                <w:bCs/>
                <w:color w:val="000000"/>
                <w:kern w:val="0"/>
                <w:vertAlign w:val="superscript"/>
                <w:lang w:eastAsia="en-IN" w:bidi="hi-IN"/>
                <w14:ligatures w14:val="none"/>
              </w:rPr>
              <w:t>-1</w:t>
            </w:r>
          </w:p>
        </w:tc>
        <w:tc>
          <w:tcPr>
            <w:tcW w:w="1530" w:type="dxa"/>
            <w:vMerge w:val="restart"/>
            <w:tcBorders>
              <w:top w:val="single" w:sz="4" w:space="0" w:color="auto"/>
            </w:tcBorders>
            <w:noWrap/>
            <w:vAlign w:val="center"/>
            <w:hideMark/>
          </w:tcPr>
          <w:p w14:paraId="4EDA6333"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1000 Grain weight (g)</w:t>
            </w:r>
          </w:p>
        </w:tc>
      </w:tr>
      <w:tr w:rsidR="0004345F" w:rsidRPr="001129AE" w14:paraId="4EB44186" w14:textId="77777777" w:rsidTr="003343FA">
        <w:trPr>
          <w:trHeight w:val="450"/>
          <w:jc w:val="center"/>
        </w:trPr>
        <w:tc>
          <w:tcPr>
            <w:tcW w:w="4580" w:type="dxa"/>
            <w:gridSpan w:val="2"/>
            <w:vMerge/>
            <w:tcBorders>
              <w:bottom w:val="single" w:sz="4" w:space="0" w:color="auto"/>
            </w:tcBorders>
            <w:vAlign w:val="center"/>
            <w:hideMark/>
          </w:tcPr>
          <w:p w14:paraId="7FC6722F"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450" w:type="dxa"/>
            <w:vMerge/>
            <w:tcBorders>
              <w:bottom w:val="single" w:sz="4" w:space="0" w:color="auto"/>
            </w:tcBorders>
            <w:vAlign w:val="center"/>
            <w:hideMark/>
          </w:tcPr>
          <w:p w14:paraId="7B177C8B"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345" w:type="dxa"/>
            <w:vMerge/>
            <w:tcBorders>
              <w:bottom w:val="single" w:sz="4" w:space="0" w:color="auto"/>
            </w:tcBorders>
            <w:vAlign w:val="center"/>
            <w:hideMark/>
          </w:tcPr>
          <w:p w14:paraId="4F11C9EB"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530" w:type="dxa"/>
            <w:vMerge/>
            <w:tcBorders>
              <w:bottom w:val="single" w:sz="4" w:space="0" w:color="auto"/>
            </w:tcBorders>
            <w:vAlign w:val="center"/>
            <w:hideMark/>
          </w:tcPr>
          <w:p w14:paraId="787C2C16"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r>
      <w:tr w:rsidR="0004345F" w:rsidRPr="001129AE" w14:paraId="7D3F0DAC" w14:textId="77777777" w:rsidTr="003343FA">
        <w:trPr>
          <w:trHeight w:val="330"/>
          <w:jc w:val="center"/>
        </w:trPr>
        <w:tc>
          <w:tcPr>
            <w:tcW w:w="580" w:type="dxa"/>
            <w:tcBorders>
              <w:top w:val="single" w:sz="4" w:space="0" w:color="auto"/>
            </w:tcBorders>
            <w:noWrap/>
            <w:vAlign w:val="center"/>
            <w:hideMark/>
          </w:tcPr>
          <w:p w14:paraId="7442A37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1</w:t>
            </w:r>
          </w:p>
        </w:tc>
        <w:tc>
          <w:tcPr>
            <w:tcW w:w="4000" w:type="dxa"/>
            <w:tcBorders>
              <w:top w:val="single" w:sz="4" w:space="0" w:color="auto"/>
            </w:tcBorders>
            <w:noWrap/>
            <w:vAlign w:val="center"/>
            <w:hideMark/>
          </w:tcPr>
          <w:p w14:paraId="3B87159B"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 Control (without </w:t>
            </w:r>
            <w:proofErr w:type="gramStart"/>
            <w:r w:rsidRPr="001129AE">
              <w:rPr>
                <w:rFonts w:ascii="Arial" w:eastAsia="Times New Roman" w:hAnsi="Arial" w:cs="Arial"/>
                <w:color w:val="000000"/>
                <w:kern w:val="0"/>
                <w:lang w:eastAsia="en-IN" w:bidi="hi-IN"/>
                <w14:ligatures w14:val="none"/>
              </w:rPr>
              <w:t xml:space="preserve">Sulphur)   </w:t>
            </w:r>
            <w:proofErr w:type="gramEnd"/>
          </w:p>
        </w:tc>
        <w:tc>
          <w:tcPr>
            <w:tcW w:w="1450" w:type="dxa"/>
            <w:tcBorders>
              <w:top w:val="single" w:sz="4" w:space="0" w:color="auto"/>
            </w:tcBorders>
            <w:noWrap/>
            <w:vAlign w:val="center"/>
            <w:hideMark/>
          </w:tcPr>
          <w:p w14:paraId="4854A67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30.2c</w:t>
            </w:r>
          </w:p>
        </w:tc>
        <w:tc>
          <w:tcPr>
            <w:tcW w:w="1345" w:type="dxa"/>
            <w:tcBorders>
              <w:top w:val="single" w:sz="4" w:space="0" w:color="auto"/>
            </w:tcBorders>
            <w:noWrap/>
            <w:vAlign w:val="center"/>
            <w:hideMark/>
          </w:tcPr>
          <w:p w14:paraId="7282DDD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7.4c</w:t>
            </w:r>
          </w:p>
        </w:tc>
        <w:tc>
          <w:tcPr>
            <w:tcW w:w="1530" w:type="dxa"/>
            <w:tcBorders>
              <w:top w:val="single" w:sz="4" w:space="0" w:color="auto"/>
            </w:tcBorders>
            <w:noWrap/>
            <w:vAlign w:val="center"/>
            <w:hideMark/>
          </w:tcPr>
          <w:p w14:paraId="2184C32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6.7d</w:t>
            </w:r>
          </w:p>
        </w:tc>
      </w:tr>
      <w:tr w:rsidR="0004345F" w:rsidRPr="001129AE" w14:paraId="7043DB68" w14:textId="77777777" w:rsidTr="003343FA">
        <w:trPr>
          <w:trHeight w:val="330"/>
          <w:jc w:val="center"/>
        </w:trPr>
        <w:tc>
          <w:tcPr>
            <w:tcW w:w="580" w:type="dxa"/>
            <w:noWrap/>
            <w:vAlign w:val="center"/>
            <w:hideMark/>
          </w:tcPr>
          <w:p w14:paraId="76FC784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2</w:t>
            </w:r>
          </w:p>
        </w:tc>
        <w:tc>
          <w:tcPr>
            <w:tcW w:w="4000" w:type="dxa"/>
            <w:noWrap/>
            <w:vAlign w:val="center"/>
            <w:hideMark/>
          </w:tcPr>
          <w:p w14:paraId="4E9EC169"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20 kg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ha</w:t>
            </w:r>
            <w:r w:rsidRPr="001129AE">
              <w:rPr>
                <w:rFonts w:ascii="Cambria Math" w:eastAsia="Times New Roman" w:hAnsi="Cambria Math" w:cs="Cambria Math"/>
                <w:color w:val="000000"/>
                <w:kern w:val="0"/>
                <w:lang w:eastAsia="en-IN" w:bidi="hi-IN"/>
                <w14:ligatures w14:val="none"/>
              </w:rPr>
              <w:t>⁻</w:t>
            </w:r>
            <w:r w:rsidRPr="001129AE">
              <w:rPr>
                <w:rFonts w:ascii="Arial" w:eastAsia="Times New Roman" w:hAnsi="Arial" w:cs="Arial"/>
                <w:color w:val="000000"/>
                <w:kern w:val="0"/>
                <w:lang w:eastAsia="en-IN" w:bidi="hi-IN"/>
                <w14:ligatures w14:val="none"/>
              </w:rPr>
              <w:t xml:space="preserve">¹ as basal application  </w:t>
            </w:r>
          </w:p>
        </w:tc>
        <w:tc>
          <w:tcPr>
            <w:tcW w:w="1450" w:type="dxa"/>
            <w:noWrap/>
            <w:vAlign w:val="center"/>
            <w:hideMark/>
          </w:tcPr>
          <w:p w14:paraId="3B6ECAF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33.8abc</w:t>
            </w:r>
          </w:p>
        </w:tc>
        <w:tc>
          <w:tcPr>
            <w:tcW w:w="1345" w:type="dxa"/>
            <w:noWrap/>
            <w:vAlign w:val="center"/>
            <w:hideMark/>
          </w:tcPr>
          <w:p w14:paraId="246D15D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8.4ab</w:t>
            </w:r>
          </w:p>
        </w:tc>
        <w:tc>
          <w:tcPr>
            <w:tcW w:w="1530" w:type="dxa"/>
            <w:noWrap/>
            <w:vAlign w:val="center"/>
            <w:hideMark/>
          </w:tcPr>
          <w:p w14:paraId="07EB7DC0"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7.5abc</w:t>
            </w:r>
          </w:p>
        </w:tc>
      </w:tr>
      <w:tr w:rsidR="0004345F" w:rsidRPr="001129AE" w14:paraId="53F21980" w14:textId="77777777" w:rsidTr="003343FA">
        <w:trPr>
          <w:trHeight w:val="330"/>
          <w:jc w:val="center"/>
        </w:trPr>
        <w:tc>
          <w:tcPr>
            <w:tcW w:w="580" w:type="dxa"/>
            <w:noWrap/>
            <w:vAlign w:val="center"/>
            <w:hideMark/>
          </w:tcPr>
          <w:p w14:paraId="7645088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3</w:t>
            </w:r>
          </w:p>
        </w:tc>
        <w:tc>
          <w:tcPr>
            <w:tcW w:w="4000" w:type="dxa"/>
            <w:noWrap/>
            <w:vAlign w:val="center"/>
            <w:hideMark/>
          </w:tcPr>
          <w:p w14:paraId="51645A70"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Soil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solubilizing bacteria (7.5 l ha</w:t>
            </w:r>
            <w:r w:rsidRPr="001129AE">
              <w:rPr>
                <w:rFonts w:ascii="Cambria Math" w:eastAsia="Times New Roman" w:hAnsi="Cambria Math" w:cs="Cambria Math"/>
                <w:color w:val="000000"/>
                <w:kern w:val="0"/>
                <w:lang w:eastAsia="en-IN" w:bidi="hi-IN"/>
                <w14:ligatures w14:val="none"/>
              </w:rPr>
              <w:t>⁻</w:t>
            </w:r>
            <w:r w:rsidRPr="001129AE">
              <w:rPr>
                <w:rFonts w:ascii="Arial" w:eastAsia="Times New Roman" w:hAnsi="Arial" w:cs="Arial"/>
                <w:color w:val="000000"/>
                <w:kern w:val="0"/>
                <w:lang w:eastAsia="en-IN" w:bidi="hi-IN"/>
                <w14:ligatures w14:val="none"/>
              </w:rPr>
              <w:t>¹)</w:t>
            </w:r>
          </w:p>
        </w:tc>
        <w:tc>
          <w:tcPr>
            <w:tcW w:w="1450" w:type="dxa"/>
            <w:noWrap/>
            <w:vAlign w:val="center"/>
            <w:hideMark/>
          </w:tcPr>
          <w:p w14:paraId="11EE543B"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31.5bc</w:t>
            </w:r>
          </w:p>
        </w:tc>
        <w:tc>
          <w:tcPr>
            <w:tcW w:w="1345" w:type="dxa"/>
            <w:noWrap/>
            <w:vAlign w:val="center"/>
            <w:hideMark/>
          </w:tcPr>
          <w:p w14:paraId="7F22113B"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7.8bc</w:t>
            </w:r>
          </w:p>
        </w:tc>
        <w:tc>
          <w:tcPr>
            <w:tcW w:w="1530" w:type="dxa"/>
            <w:noWrap/>
            <w:vAlign w:val="center"/>
            <w:hideMark/>
          </w:tcPr>
          <w:p w14:paraId="58FBEE4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7.0cd</w:t>
            </w:r>
          </w:p>
        </w:tc>
      </w:tr>
      <w:tr w:rsidR="0004345F" w:rsidRPr="001129AE" w14:paraId="736050D8" w14:textId="77777777" w:rsidTr="003343FA">
        <w:trPr>
          <w:trHeight w:val="330"/>
          <w:jc w:val="center"/>
        </w:trPr>
        <w:tc>
          <w:tcPr>
            <w:tcW w:w="580" w:type="dxa"/>
            <w:noWrap/>
            <w:vAlign w:val="center"/>
            <w:hideMark/>
          </w:tcPr>
          <w:p w14:paraId="09C92450"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4</w:t>
            </w:r>
          </w:p>
        </w:tc>
        <w:tc>
          <w:tcPr>
            <w:tcW w:w="4000" w:type="dxa"/>
            <w:noWrap/>
            <w:vAlign w:val="center"/>
            <w:hideMark/>
          </w:tcPr>
          <w:p w14:paraId="0482B841"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spray of Nano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(0.5%) at 30 DAS  </w:t>
            </w:r>
          </w:p>
        </w:tc>
        <w:tc>
          <w:tcPr>
            <w:tcW w:w="1450" w:type="dxa"/>
            <w:noWrap/>
            <w:vAlign w:val="center"/>
            <w:hideMark/>
          </w:tcPr>
          <w:p w14:paraId="25E3490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35.7ab</w:t>
            </w:r>
          </w:p>
        </w:tc>
        <w:tc>
          <w:tcPr>
            <w:tcW w:w="1345" w:type="dxa"/>
            <w:noWrap/>
            <w:vAlign w:val="center"/>
            <w:hideMark/>
          </w:tcPr>
          <w:p w14:paraId="1B74E92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8.5ab</w:t>
            </w:r>
          </w:p>
        </w:tc>
        <w:tc>
          <w:tcPr>
            <w:tcW w:w="1530" w:type="dxa"/>
            <w:noWrap/>
            <w:vAlign w:val="center"/>
            <w:hideMark/>
          </w:tcPr>
          <w:p w14:paraId="6F21810A"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7.6abc</w:t>
            </w:r>
          </w:p>
        </w:tc>
      </w:tr>
      <w:tr w:rsidR="0004345F" w:rsidRPr="001129AE" w14:paraId="60E6FAB4" w14:textId="77777777" w:rsidTr="003343FA">
        <w:trPr>
          <w:trHeight w:val="330"/>
          <w:jc w:val="center"/>
        </w:trPr>
        <w:tc>
          <w:tcPr>
            <w:tcW w:w="580" w:type="dxa"/>
            <w:noWrap/>
            <w:vAlign w:val="center"/>
            <w:hideMark/>
          </w:tcPr>
          <w:p w14:paraId="510A642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5</w:t>
            </w:r>
          </w:p>
        </w:tc>
        <w:tc>
          <w:tcPr>
            <w:tcW w:w="4000" w:type="dxa"/>
            <w:noWrap/>
            <w:vAlign w:val="center"/>
            <w:hideMark/>
          </w:tcPr>
          <w:p w14:paraId="16B22057"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spray of Nano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(0.5%) at 30 DAS and flowering stage </w:t>
            </w:r>
          </w:p>
        </w:tc>
        <w:tc>
          <w:tcPr>
            <w:tcW w:w="1450" w:type="dxa"/>
            <w:noWrap/>
            <w:vAlign w:val="center"/>
            <w:hideMark/>
          </w:tcPr>
          <w:p w14:paraId="4A8F651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37.7a</w:t>
            </w:r>
          </w:p>
        </w:tc>
        <w:tc>
          <w:tcPr>
            <w:tcW w:w="1345" w:type="dxa"/>
            <w:noWrap/>
            <w:vAlign w:val="center"/>
            <w:hideMark/>
          </w:tcPr>
          <w:p w14:paraId="7A26527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8.9a</w:t>
            </w:r>
          </w:p>
        </w:tc>
        <w:tc>
          <w:tcPr>
            <w:tcW w:w="1530" w:type="dxa"/>
            <w:noWrap/>
            <w:vAlign w:val="center"/>
            <w:hideMark/>
          </w:tcPr>
          <w:p w14:paraId="2B3665AA"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8.1a</w:t>
            </w:r>
          </w:p>
        </w:tc>
      </w:tr>
      <w:tr w:rsidR="0004345F" w:rsidRPr="001129AE" w14:paraId="2EEB96BF" w14:textId="77777777" w:rsidTr="003343FA">
        <w:trPr>
          <w:trHeight w:val="330"/>
          <w:jc w:val="center"/>
        </w:trPr>
        <w:tc>
          <w:tcPr>
            <w:tcW w:w="580" w:type="dxa"/>
            <w:noWrap/>
            <w:vAlign w:val="center"/>
            <w:hideMark/>
          </w:tcPr>
          <w:p w14:paraId="182CC45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6</w:t>
            </w:r>
          </w:p>
        </w:tc>
        <w:tc>
          <w:tcPr>
            <w:tcW w:w="4000" w:type="dxa"/>
            <w:noWrap/>
            <w:vAlign w:val="center"/>
            <w:hideMark/>
          </w:tcPr>
          <w:p w14:paraId="08748470"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 Foliar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fertilizer (0.5%) at 30 DAS </w:t>
            </w:r>
          </w:p>
        </w:tc>
        <w:tc>
          <w:tcPr>
            <w:tcW w:w="1450" w:type="dxa"/>
            <w:noWrap/>
            <w:vAlign w:val="center"/>
            <w:hideMark/>
          </w:tcPr>
          <w:p w14:paraId="79097FD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32.2bc</w:t>
            </w:r>
          </w:p>
        </w:tc>
        <w:tc>
          <w:tcPr>
            <w:tcW w:w="1345" w:type="dxa"/>
            <w:noWrap/>
            <w:vAlign w:val="center"/>
            <w:hideMark/>
          </w:tcPr>
          <w:p w14:paraId="7C7991E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8.0bc</w:t>
            </w:r>
          </w:p>
        </w:tc>
        <w:tc>
          <w:tcPr>
            <w:tcW w:w="1530" w:type="dxa"/>
            <w:noWrap/>
            <w:vAlign w:val="center"/>
            <w:hideMark/>
          </w:tcPr>
          <w:p w14:paraId="5EDF1313"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7.2bcd</w:t>
            </w:r>
          </w:p>
        </w:tc>
      </w:tr>
      <w:tr w:rsidR="0004345F" w:rsidRPr="001129AE" w14:paraId="3A3A457E" w14:textId="77777777" w:rsidTr="003343FA">
        <w:trPr>
          <w:trHeight w:val="330"/>
          <w:jc w:val="center"/>
        </w:trPr>
        <w:tc>
          <w:tcPr>
            <w:tcW w:w="580" w:type="dxa"/>
            <w:tcBorders>
              <w:bottom w:val="single" w:sz="4" w:space="0" w:color="auto"/>
            </w:tcBorders>
            <w:noWrap/>
            <w:vAlign w:val="center"/>
            <w:hideMark/>
          </w:tcPr>
          <w:p w14:paraId="1F02E4DF"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7</w:t>
            </w:r>
          </w:p>
        </w:tc>
        <w:tc>
          <w:tcPr>
            <w:tcW w:w="4000" w:type="dxa"/>
            <w:tcBorders>
              <w:bottom w:val="single" w:sz="4" w:space="0" w:color="auto"/>
            </w:tcBorders>
            <w:noWrap/>
            <w:vAlign w:val="center"/>
            <w:hideMark/>
          </w:tcPr>
          <w:p w14:paraId="4D12FD6D"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fertilizer (0.5%) at 30 DAS and flowering stage</w:t>
            </w:r>
          </w:p>
        </w:tc>
        <w:tc>
          <w:tcPr>
            <w:tcW w:w="1450" w:type="dxa"/>
            <w:tcBorders>
              <w:bottom w:val="single" w:sz="4" w:space="0" w:color="auto"/>
            </w:tcBorders>
            <w:noWrap/>
            <w:vAlign w:val="center"/>
            <w:hideMark/>
          </w:tcPr>
          <w:p w14:paraId="6C912433"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34.3abc</w:t>
            </w:r>
          </w:p>
        </w:tc>
        <w:tc>
          <w:tcPr>
            <w:tcW w:w="1345" w:type="dxa"/>
            <w:tcBorders>
              <w:bottom w:val="single" w:sz="4" w:space="0" w:color="auto"/>
            </w:tcBorders>
            <w:noWrap/>
            <w:vAlign w:val="center"/>
            <w:hideMark/>
          </w:tcPr>
          <w:p w14:paraId="17269E0F"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8.7ab</w:t>
            </w:r>
          </w:p>
        </w:tc>
        <w:tc>
          <w:tcPr>
            <w:tcW w:w="1530" w:type="dxa"/>
            <w:tcBorders>
              <w:bottom w:val="single" w:sz="4" w:space="0" w:color="auto"/>
            </w:tcBorders>
            <w:noWrap/>
            <w:vAlign w:val="center"/>
            <w:hideMark/>
          </w:tcPr>
          <w:p w14:paraId="3F8A5DB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7.8ab</w:t>
            </w:r>
          </w:p>
        </w:tc>
      </w:tr>
      <w:tr w:rsidR="0004345F" w:rsidRPr="001129AE" w14:paraId="1CE75147" w14:textId="77777777" w:rsidTr="003343FA">
        <w:trPr>
          <w:trHeight w:val="310"/>
          <w:jc w:val="center"/>
        </w:trPr>
        <w:tc>
          <w:tcPr>
            <w:tcW w:w="4580" w:type="dxa"/>
            <w:gridSpan w:val="2"/>
            <w:tcBorders>
              <w:top w:val="single" w:sz="4" w:space="0" w:color="auto"/>
            </w:tcBorders>
            <w:noWrap/>
            <w:vAlign w:val="center"/>
            <w:hideMark/>
          </w:tcPr>
          <w:p w14:paraId="6888D0F5"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proofErr w:type="spellStart"/>
            <w:r w:rsidRPr="001129AE">
              <w:rPr>
                <w:rFonts w:ascii="Arial" w:eastAsia="Times New Roman" w:hAnsi="Arial" w:cs="Arial"/>
                <w:color w:val="000000"/>
                <w:kern w:val="0"/>
                <w:lang w:eastAsia="en-IN" w:bidi="hi-IN"/>
                <w14:ligatures w14:val="none"/>
              </w:rPr>
              <w:t>SEm</w:t>
            </w:r>
            <w:proofErr w:type="spellEnd"/>
            <w:r w:rsidRPr="001129AE">
              <w:rPr>
                <w:rFonts w:ascii="Arial" w:eastAsia="Times New Roman" w:hAnsi="Arial" w:cs="Arial"/>
                <w:color w:val="000000"/>
                <w:kern w:val="0"/>
                <w:lang w:eastAsia="en-IN" w:bidi="hi-IN"/>
                <w14:ligatures w14:val="none"/>
              </w:rPr>
              <w:t>±</w:t>
            </w:r>
          </w:p>
        </w:tc>
        <w:tc>
          <w:tcPr>
            <w:tcW w:w="1450" w:type="dxa"/>
            <w:tcBorders>
              <w:top w:val="single" w:sz="4" w:space="0" w:color="auto"/>
            </w:tcBorders>
            <w:noWrap/>
            <w:vAlign w:val="center"/>
            <w:hideMark/>
          </w:tcPr>
          <w:p w14:paraId="63C52D3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1.5</w:t>
            </w:r>
          </w:p>
        </w:tc>
        <w:tc>
          <w:tcPr>
            <w:tcW w:w="1345" w:type="dxa"/>
            <w:tcBorders>
              <w:top w:val="single" w:sz="4" w:space="0" w:color="auto"/>
            </w:tcBorders>
            <w:noWrap/>
            <w:vAlign w:val="center"/>
            <w:hideMark/>
          </w:tcPr>
          <w:p w14:paraId="1E641AC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0.3</w:t>
            </w:r>
          </w:p>
        </w:tc>
        <w:tc>
          <w:tcPr>
            <w:tcW w:w="1530" w:type="dxa"/>
            <w:tcBorders>
              <w:top w:val="single" w:sz="4" w:space="0" w:color="auto"/>
            </w:tcBorders>
            <w:noWrap/>
            <w:vAlign w:val="center"/>
            <w:hideMark/>
          </w:tcPr>
          <w:p w14:paraId="01650E6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0.2</w:t>
            </w:r>
          </w:p>
        </w:tc>
      </w:tr>
      <w:tr w:rsidR="0004345F" w:rsidRPr="001129AE" w14:paraId="275E7EDF" w14:textId="77777777" w:rsidTr="003343FA">
        <w:trPr>
          <w:trHeight w:val="310"/>
          <w:jc w:val="center"/>
        </w:trPr>
        <w:tc>
          <w:tcPr>
            <w:tcW w:w="4580" w:type="dxa"/>
            <w:gridSpan w:val="2"/>
            <w:tcBorders>
              <w:bottom w:val="single" w:sz="4" w:space="0" w:color="auto"/>
            </w:tcBorders>
            <w:noWrap/>
            <w:vAlign w:val="center"/>
            <w:hideMark/>
          </w:tcPr>
          <w:p w14:paraId="7125D6ED"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CD (P≤0.05)</w:t>
            </w:r>
          </w:p>
        </w:tc>
        <w:tc>
          <w:tcPr>
            <w:tcW w:w="1450" w:type="dxa"/>
            <w:tcBorders>
              <w:bottom w:val="single" w:sz="4" w:space="0" w:color="auto"/>
            </w:tcBorders>
            <w:noWrap/>
            <w:vAlign w:val="center"/>
            <w:hideMark/>
          </w:tcPr>
          <w:p w14:paraId="53B3280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4.5</w:t>
            </w:r>
          </w:p>
        </w:tc>
        <w:tc>
          <w:tcPr>
            <w:tcW w:w="1345" w:type="dxa"/>
            <w:tcBorders>
              <w:bottom w:val="single" w:sz="4" w:space="0" w:color="auto"/>
            </w:tcBorders>
            <w:noWrap/>
            <w:vAlign w:val="center"/>
            <w:hideMark/>
          </w:tcPr>
          <w:p w14:paraId="1B13D317"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0.9</w:t>
            </w:r>
          </w:p>
        </w:tc>
        <w:tc>
          <w:tcPr>
            <w:tcW w:w="1530" w:type="dxa"/>
            <w:tcBorders>
              <w:bottom w:val="single" w:sz="4" w:space="0" w:color="auto"/>
            </w:tcBorders>
            <w:noWrap/>
            <w:vAlign w:val="center"/>
            <w:hideMark/>
          </w:tcPr>
          <w:p w14:paraId="6295C975"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0.8</w:t>
            </w:r>
          </w:p>
        </w:tc>
      </w:tr>
    </w:tbl>
    <w:p w14:paraId="06458AA4" w14:textId="77777777" w:rsidR="0004345F" w:rsidRDefault="0004345F" w:rsidP="006828EF">
      <w:pPr>
        <w:spacing w:after="120" w:line="360" w:lineRule="auto"/>
        <w:jc w:val="both"/>
        <w:rPr>
          <w:rFonts w:ascii="Arial" w:eastAsia="Arial Unicode MS" w:hAnsi="Arial" w:cs="Arial"/>
          <w:color w:val="000000" w:themeColor="text1"/>
          <w:sz w:val="24"/>
          <w:szCs w:val="24"/>
        </w:rPr>
      </w:pPr>
    </w:p>
    <w:p w14:paraId="43CCF249" w14:textId="628770FB" w:rsidR="00D908D1" w:rsidRDefault="0004345F" w:rsidP="001C4DE4">
      <w:pPr>
        <w:spacing w:after="0" w:line="360" w:lineRule="auto"/>
        <w:jc w:val="both"/>
        <w:rPr>
          <w:rFonts w:ascii="Arial" w:eastAsia="Arial Unicode MS" w:hAnsi="Arial" w:cs="Arial"/>
          <w:color w:val="000000" w:themeColor="text1"/>
          <w:sz w:val="24"/>
          <w:szCs w:val="24"/>
        </w:rPr>
      </w:pPr>
      <w:r>
        <w:rPr>
          <w:noProof/>
        </w:rPr>
        <w:drawing>
          <wp:inline distT="0" distB="0" distL="0" distR="0" wp14:anchorId="010631F7" wp14:editId="2B9DD21F">
            <wp:extent cx="5640705" cy="3409950"/>
            <wp:effectExtent l="0" t="0" r="17145" b="0"/>
            <wp:docPr id="1053835263" name="Chart 1">
              <a:extLst xmlns:a="http://schemas.openxmlformats.org/drawingml/2006/main">
                <a:ext uri="{FF2B5EF4-FFF2-40B4-BE49-F238E27FC236}">
                  <a16:creationId xmlns:a16="http://schemas.microsoft.com/office/drawing/2014/main" id="{67A31316-F95D-79A1-1673-CB2D781689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4562F1" w14:textId="4B6E5A3B" w:rsidR="00C00A37" w:rsidRPr="00386082" w:rsidRDefault="001129AE" w:rsidP="001C4DE4">
      <w:pPr>
        <w:spacing w:line="360" w:lineRule="auto"/>
        <w:jc w:val="both"/>
        <w:rPr>
          <w:rFonts w:ascii="Arial" w:hAnsi="Arial" w:cs="Arial"/>
          <w:b/>
          <w:bCs/>
          <w:sz w:val="20"/>
          <w:szCs w:val="20"/>
        </w:rPr>
      </w:pPr>
      <w:r>
        <w:rPr>
          <w:rFonts w:ascii="Arial" w:hAnsi="Arial" w:cs="Arial"/>
          <w:b/>
          <w:bCs/>
          <w:sz w:val="20"/>
          <w:szCs w:val="20"/>
        </w:rPr>
        <w:t xml:space="preserve">Figure </w:t>
      </w:r>
      <w:r w:rsidR="002B2B42">
        <w:rPr>
          <w:rFonts w:ascii="Arial" w:hAnsi="Arial" w:cs="Arial"/>
          <w:b/>
          <w:bCs/>
          <w:sz w:val="20"/>
          <w:szCs w:val="20"/>
        </w:rPr>
        <w:t>3</w:t>
      </w:r>
      <w:r w:rsidR="00906A40">
        <w:rPr>
          <w:rFonts w:ascii="Arial" w:hAnsi="Arial" w:cs="Arial"/>
          <w:b/>
          <w:bCs/>
          <w:sz w:val="20"/>
          <w:szCs w:val="20"/>
        </w:rPr>
        <w:t xml:space="preserve">. </w:t>
      </w:r>
      <w:r>
        <w:rPr>
          <w:rFonts w:ascii="Arial" w:hAnsi="Arial" w:cs="Arial"/>
          <w:b/>
          <w:bCs/>
          <w:sz w:val="20"/>
          <w:szCs w:val="20"/>
        </w:rPr>
        <w:t xml:space="preserve"> </w:t>
      </w:r>
      <w:r w:rsidR="0004345F" w:rsidRPr="00726616">
        <w:rPr>
          <w:rFonts w:ascii="Arial" w:hAnsi="Arial" w:cs="Arial"/>
          <w:b/>
          <w:bCs/>
          <w:sz w:val="20"/>
          <w:szCs w:val="20"/>
        </w:rPr>
        <w:t>Influenced by different sources of Sulphur on</w:t>
      </w:r>
      <w:r w:rsidR="0004345F">
        <w:rPr>
          <w:rFonts w:ascii="Arial" w:hAnsi="Arial" w:cs="Arial"/>
          <w:b/>
          <w:bCs/>
          <w:sz w:val="20"/>
          <w:szCs w:val="20"/>
        </w:rPr>
        <w:t xml:space="preserve"> yield attribu</w:t>
      </w:r>
      <w:r w:rsidR="00386082">
        <w:rPr>
          <w:rFonts w:ascii="Arial" w:hAnsi="Arial" w:cs="Arial"/>
          <w:b/>
          <w:bCs/>
          <w:sz w:val="20"/>
          <w:szCs w:val="20"/>
        </w:rPr>
        <w:t>tes</w:t>
      </w:r>
    </w:p>
    <w:p w14:paraId="08B3AA69" w14:textId="2EB2DC39" w:rsidR="004E4435" w:rsidRDefault="004E4435" w:rsidP="001C4DE4">
      <w:pPr>
        <w:spacing w:line="360" w:lineRule="auto"/>
        <w:jc w:val="center"/>
        <w:rPr>
          <w:rFonts w:ascii="Arial" w:hAnsi="Arial" w:cs="Arial"/>
          <w:b/>
          <w:bCs/>
          <w:sz w:val="24"/>
          <w:szCs w:val="24"/>
        </w:rPr>
      </w:pPr>
      <w:r>
        <w:rPr>
          <w:rFonts w:ascii="Arial" w:hAnsi="Arial" w:cs="Arial"/>
          <w:b/>
          <w:bCs/>
          <w:sz w:val="24"/>
          <w:szCs w:val="24"/>
        </w:rPr>
        <w:t>Conclusion</w:t>
      </w:r>
    </w:p>
    <w:p w14:paraId="04CBCDB6" w14:textId="042A198A" w:rsidR="006334EF" w:rsidRDefault="006334EF" w:rsidP="000D4F37">
      <w:pPr>
        <w:spacing w:after="120" w:line="360" w:lineRule="auto"/>
        <w:jc w:val="both"/>
        <w:rPr>
          <w:rFonts w:ascii="Arial" w:hAnsi="Arial" w:cs="Arial"/>
          <w:sz w:val="24"/>
          <w:szCs w:val="24"/>
        </w:rPr>
      </w:pPr>
      <w:r w:rsidRPr="006334EF">
        <w:rPr>
          <w:rFonts w:ascii="Arial" w:hAnsi="Arial" w:cs="Arial"/>
          <w:sz w:val="24"/>
          <w:szCs w:val="24"/>
        </w:rPr>
        <w:t>The study established that foliar spray of nano</w:t>
      </w:r>
      <w:r w:rsidR="002B2B42">
        <w:rPr>
          <w:rFonts w:ascii="Arial" w:hAnsi="Arial" w:cs="Arial"/>
          <w:sz w:val="24"/>
          <w:szCs w:val="24"/>
        </w:rPr>
        <w:t xml:space="preserve"> </w:t>
      </w:r>
      <w:r w:rsidRPr="006334EF">
        <w:rPr>
          <w:rFonts w:ascii="Arial" w:hAnsi="Arial" w:cs="Arial"/>
          <w:sz w:val="24"/>
          <w:szCs w:val="24"/>
        </w:rPr>
        <w:t>sulphur (0.5%) at 30 DAS and flowering stage (T</w:t>
      </w:r>
      <w:r w:rsidRPr="006334EF">
        <w:rPr>
          <w:rFonts w:ascii="Arial" w:hAnsi="Arial" w:cs="Arial"/>
          <w:sz w:val="24"/>
          <w:szCs w:val="24"/>
          <w:vertAlign w:val="subscript"/>
        </w:rPr>
        <w:t>5</w:t>
      </w:r>
      <w:r w:rsidRPr="006334EF">
        <w:rPr>
          <w:rFonts w:ascii="Arial" w:hAnsi="Arial" w:cs="Arial"/>
          <w:sz w:val="24"/>
          <w:szCs w:val="24"/>
        </w:rPr>
        <w:t xml:space="preserve">) was the most effective sulphur management practice for linseed under alluvial soil conditions of </w:t>
      </w:r>
      <w:proofErr w:type="spellStart"/>
      <w:r w:rsidRPr="006334EF">
        <w:rPr>
          <w:rFonts w:ascii="Arial" w:hAnsi="Arial" w:cs="Arial"/>
          <w:sz w:val="24"/>
          <w:szCs w:val="24"/>
        </w:rPr>
        <w:t>Dhampur</w:t>
      </w:r>
      <w:proofErr w:type="spellEnd"/>
      <w:r w:rsidRPr="006334EF">
        <w:rPr>
          <w:rFonts w:ascii="Arial" w:hAnsi="Arial" w:cs="Arial"/>
          <w:sz w:val="24"/>
          <w:szCs w:val="24"/>
        </w:rPr>
        <w:t xml:space="preserve">. At 60 and 90 DAS, this treatment </w:t>
      </w:r>
      <w:r w:rsidRPr="006334EF">
        <w:rPr>
          <w:rFonts w:ascii="Arial" w:hAnsi="Arial" w:cs="Arial"/>
          <w:sz w:val="24"/>
          <w:szCs w:val="24"/>
        </w:rPr>
        <w:lastRenderedPageBreak/>
        <w:t xml:space="preserve">consistently recorded superior growth in plant height, number of leaves, leaf area, and </w:t>
      </w:r>
      <w:r>
        <w:rPr>
          <w:rFonts w:ascii="Arial" w:hAnsi="Arial" w:cs="Arial"/>
          <w:sz w:val="24"/>
          <w:szCs w:val="24"/>
        </w:rPr>
        <w:t xml:space="preserve">number of branches </w:t>
      </w:r>
      <w:r w:rsidRPr="006334EF">
        <w:rPr>
          <w:rFonts w:ascii="Arial" w:hAnsi="Arial" w:cs="Arial"/>
          <w:sz w:val="24"/>
          <w:szCs w:val="24"/>
        </w:rPr>
        <w:t xml:space="preserve">which translated into the highest number of capsules per plant, seeds per capsule, test weight. </w:t>
      </w:r>
      <w:r>
        <w:rPr>
          <w:rFonts w:ascii="Arial" w:hAnsi="Arial" w:cs="Arial"/>
          <w:sz w:val="24"/>
          <w:szCs w:val="24"/>
        </w:rPr>
        <w:t>F</w:t>
      </w:r>
      <w:r w:rsidRPr="006334EF">
        <w:rPr>
          <w:rFonts w:ascii="Arial" w:hAnsi="Arial" w:cs="Arial"/>
          <w:sz w:val="24"/>
          <w:szCs w:val="24"/>
        </w:rPr>
        <w:t>oliar spray of nano</w:t>
      </w:r>
      <w:r w:rsidR="002B2B42">
        <w:rPr>
          <w:rFonts w:ascii="Arial" w:hAnsi="Arial" w:cs="Arial"/>
          <w:sz w:val="24"/>
          <w:szCs w:val="24"/>
        </w:rPr>
        <w:t xml:space="preserve"> </w:t>
      </w:r>
      <w:r w:rsidRPr="006334EF">
        <w:rPr>
          <w:rFonts w:ascii="Arial" w:hAnsi="Arial" w:cs="Arial"/>
          <w:sz w:val="24"/>
          <w:szCs w:val="24"/>
        </w:rPr>
        <w:t>sulphur (0.5</w:t>
      </w:r>
      <w:proofErr w:type="gramStart"/>
      <w:r w:rsidRPr="006334EF">
        <w:rPr>
          <w:rFonts w:ascii="Arial" w:hAnsi="Arial" w:cs="Arial"/>
          <w:sz w:val="24"/>
          <w:szCs w:val="24"/>
        </w:rPr>
        <w:t>%)  at</w:t>
      </w:r>
      <w:proofErr w:type="gramEnd"/>
      <w:r w:rsidRPr="006334EF">
        <w:rPr>
          <w:rFonts w:ascii="Arial" w:hAnsi="Arial" w:cs="Arial"/>
          <w:sz w:val="24"/>
          <w:szCs w:val="24"/>
        </w:rPr>
        <w:t xml:space="preserve"> 30 DAS</w:t>
      </w:r>
      <w:r w:rsidR="002B2B42">
        <w:rPr>
          <w:rFonts w:ascii="Arial" w:hAnsi="Arial" w:cs="Arial"/>
          <w:sz w:val="24"/>
          <w:szCs w:val="24"/>
        </w:rPr>
        <w:t xml:space="preserve"> and flowering stage</w:t>
      </w:r>
      <w:r w:rsidRPr="006334EF">
        <w:rPr>
          <w:rFonts w:ascii="Arial" w:hAnsi="Arial" w:cs="Arial"/>
          <w:sz w:val="24"/>
          <w:szCs w:val="24"/>
        </w:rPr>
        <w:t xml:space="preserve"> </w:t>
      </w:r>
      <w:r>
        <w:rPr>
          <w:rFonts w:ascii="Arial" w:hAnsi="Arial" w:cs="Arial"/>
          <w:sz w:val="24"/>
          <w:szCs w:val="24"/>
        </w:rPr>
        <w:t>(</w:t>
      </w:r>
      <w:r w:rsidRPr="006334EF">
        <w:rPr>
          <w:rFonts w:ascii="Arial" w:hAnsi="Arial" w:cs="Arial"/>
          <w:sz w:val="24"/>
          <w:szCs w:val="24"/>
        </w:rPr>
        <w:t>T</w:t>
      </w:r>
      <w:r w:rsidRPr="006334EF">
        <w:rPr>
          <w:rFonts w:ascii="Arial" w:hAnsi="Arial" w:cs="Arial"/>
          <w:sz w:val="24"/>
          <w:szCs w:val="24"/>
          <w:vertAlign w:val="subscript"/>
        </w:rPr>
        <w:t>5</w:t>
      </w:r>
      <w:r>
        <w:rPr>
          <w:rFonts w:ascii="Arial" w:hAnsi="Arial" w:cs="Arial"/>
          <w:sz w:val="24"/>
          <w:szCs w:val="24"/>
        </w:rPr>
        <w:t xml:space="preserve">) </w:t>
      </w:r>
      <w:r w:rsidRPr="006334EF">
        <w:rPr>
          <w:rFonts w:ascii="Arial" w:hAnsi="Arial" w:cs="Arial"/>
          <w:sz w:val="24"/>
          <w:szCs w:val="24"/>
        </w:rPr>
        <w:t xml:space="preserve"> also recorded the maximum its efficiency in enhancing both source and sink capacity</w:t>
      </w:r>
      <w:r>
        <w:rPr>
          <w:rFonts w:ascii="Arial" w:hAnsi="Arial" w:cs="Arial"/>
          <w:sz w:val="24"/>
          <w:szCs w:val="24"/>
        </w:rPr>
        <w:t xml:space="preserve"> </w:t>
      </w:r>
      <w:r w:rsidRPr="006334EF">
        <w:rPr>
          <w:rFonts w:ascii="Arial" w:hAnsi="Arial" w:cs="Arial"/>
          <w:sz w:val="24"/>
          <w:szCs w:val="24"/>
        </w:rPr>
        <w:t>making it the most productive and profitable</w:t>
      </w:r>
      <w:r>
        <w:rPr>
          <w:rFonts w:ascii="Arial" w:hAnsi="Arial" w:cs="Arial"/>
          <w:sz w:val="24"/>
          <w:szCs w:val="24"/>
        </w:rPr>
        <w:t>.</w:t>
      </w:r>
    </w:p>
    <w:p w14:paraId="4151970C" w14:textId="77777777" w:rsidR="00545B63" w:rsidRDefault="00545B63" w:rsidP="000D4F37">
      <w:pPr>
        <w:spacing w:after="120" w:line="360" w:lineRule="auto"/>
        <w:jc w:val="both"/>
        <w:rPr>
          <w:rFonts w:ascii="Arial" w:hAnsi="Arial" w:cs="Arial"/>
          <w:sz w:val="24"/>
          <w:szCs w:val="24"/>
        </w:rPr>
      </w:pPr>
    </w:p>
    <w:p w14:paraId="47C99367" w14:textId="77777777" w:rsidR="00545B63" w:rsidRDefault="00545B63" w:rsidP="000D4F37">
      <w:pPr>
        <w:spacing w:after="120" w:line="360" w:lineRule="auto"/>
        <w:jc w:val="both"/>
        <w:rPr>
          <w:rFonts w:ascii="Arial" w:hAnsi="Arial" w:cs="Arial"/>
          <w:sz w:val="24"/>
          <w:szCs w:val="24"/>
        </w:rPr>
      </w:pPr>
    </w:p>
    <w:p w14:paraId="6DF76180" w14:textId="77777777" w:rsidR="00545B63" w:rsidRPr="00545B63" w:rsidRDefault="00545B63" w:rsidP="00545B63">
      <w:pPr>
        <w:spacing w:after="120" w:line="360" w:lineRule="auto"/>
        <w:jc w:val="both"/>
        <w:rPr>
          <w:rFonts w:ascii="Arial" w:hAnsi="Arial" w:cs="Arial"/>
          <w:sz w:val="24"/>
          <w:szCs w:val="24"/>
        </w:rPr>
      </w:pPr>
      <w:r w:rsidRPr="00545B63">
        <w:rPr>
          <w:rFonts w:ascii="Arial" w:hAnsi="Arial" w:cs="Arial"/>
          <w:sz w:val="24"/>
          <w:szCs w:val="24"/>
        </w:rPr>
        <w:t>COMPETING INTERESTS DISCLAIMER:</w:t>
      </w:r>
    </w:p>
    <w:p w14:paraId="017D76FB" w14:textId="466450F4" w:rsidR="00545B63" w:rsidRPr="006334EF" w:rsidRDefault="00545B63" w:rsidP="00545B63">
      <w:pPr>
        <w:spacing w:after="120" w:line="360" w:lineRule="auto"/>
        <w:jc w:val="both"/>
        <w:rPr>
          <w:rFonts w:ascii="Arial" w:hAnsi="Arial" w:cs="Arial"/>
          <w:sz w:val="24"/>
          <w:szCs w:val="24"/>
        </w:rPr>
      </w:pPr>
      <w:r w:rsidRPr="00545B63">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1D300199" w14:textId="2D397893" w:rsidR="00742EA4" w:rsidRPr="00E565FF" w:rsidRDefault="00545B63" w:rsidP="004E4435">
      <w:pPr>
        <w:spacing w:after="120" w:line="360" w:lineRule="auto"/>
        <w:jc w:val="center"/>
        <w:rPr>
          <w:rFonts w:ascii="Arial" w:hAnsi="Arial" w:cs="Arial"/>
          <w:b/>
          <w:bCs/>
          <w:sz w:val="24"/>
          <w:szCs w:val="24"/>
        </w:rPr>
      </w:pPr>
      <w:r>
        <w:rPr>
          <w:rFonts w:ascii="Arial" w:hAnsi="Arial" w:cs="Arial"/>
          <w:b/>
          <w:bCs/>
          <w:sz w:val="24"/>
          <w:szCs w:val="24"/>
        </w:rPr>
        <w:t>REFERENCE</w:t>
      </w:r>
    </w:p>
    <w:p w14:paraId="2DD07D06" w14:textId="4B831A8B" w:rsidR="00151613" w:rsidRPr="00151613" w:rsidRDefault="00C670F1"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E565FF">
        <w:rPr>
          <w:rFonts w:ascii="Arial" w:eastAsia="Arial Unicode MS" w:hAnsi="Arial" w:cs="Arial"/>
          <w:color w:val="000000" w:themeColor="text1"/>
          <w:sz w:val="24"/>
          <w:szCs w:val="24"/>
        </w:rPr>
        <w:fldChar w:fldCharType="begin" w:fldLock="1"/>
      </w:r>
      <w:r w:rsidRPr="00E565FF">
        <w:rPr>
          <w:rFonts w:ascii="Arial" w:eastAsia="Arial Unicode MS" w:hAnsi="Arial" w:cs="Arial"/>
          <w:color w:val="000000" w:themeColor="text1"/>
          <w:sz w:val="24"/>
          <w:szCs w:val="24"/>
        </w:rPr>
        <w:instrText xml:space="preserve">ADDIN Mendeley Bibliography CSL_BIBLIOGRAPHY </w:instrText>
      </w:r>
      <w:r w:rsidRPr="00E565FF">
        <w:rPr>
          <w:rFonts w:ascii="Arial" w:eastAsia="Arial Unicode MS" w:hAnsi="Arial" w:cs="Arial"/>
          <w:color w:val="000000" w:themeColor="text1"/>
          <w:sz w:val="24"/>
          <w:szCs w:val="24"/>
        </w:rPr>
        <w:fldChar w:fldCharType="separate"/>
      </w:r>
      <w:r w:rsidR="00151613" w:rsidRPr="00151613">
        <w:rPr>
          <w:rFonts w:ascii="Arial" w:hAnsi="Arial" w:cs="Arial"/>
          <w:noProof/>
          <w:kern w:val="0"/>
          <w:sz w:val="24"/>
          <w:szCs w:val="24"/>
        </w:rPr>
        <w:t xml:space="preserve">Aakash, Singh, M. K., Saikia, N., Bhayal, L., &amp; Bhayal, D. (2023). Effect of integrated nutrient management on growth, yield attributes and yield of green pea in humid subtropical climate of Indo-gangetic Plains. </w:t>
      </w:r>
      <w:r w:rsidR="00151613" w:rsidRPr="00151613">
        <w:rPr>
          <w:rFonts w:ascii="Arial" w:hAnsi="Arial" w:cs="Arial"/>
          <w:i/>
          <w:iCs/>
          <w:noProof/>
          <w:kern w:val="0"/>
          <w:sz w:val="24"/>
          <w:szCs w:val="24"/>
        </w:rPr>
        <w:t>Indian Society of Agricultural Science</w:t>
      </w:r>
      <w:r w:rsidR="00151613" w:rsidRPr="00151613">
        <w:rPr>
          <w:rFonts w:ascii="Arial" w:hAnsi="Arial" w:cs="Arial"/>
          <w:noProof/>
          <w:kern w:val="0"/>
          <w:sz w:val="24"/>
          <w:szCs w:val="24"/>
        </w:rPr>
        <w:t xml:space="preserve">, </w:t>
      </w:r>
      <w:r w:rsidR="00151613" w:rsidRPr="00151613">
        <w:rPr>
          <w:rFonts w:ascii="Arial" w:hAnsi="Arial" w:cs="Arial"/>
          <w:i/>
          <w:iCs/>
          <w:noProof/>
          <w:kern w:val="0"/>
          <w:sz w:val="24"/>
          <w:szCs w:val="24"/>
        </w:rPr>
        <w:t>44</w:t>
      </w:r>
      <w:r w:rsidR="00151613" w:rsidRPr="00151613">
        <w:rPr>
          <w:rFonts w:ascii="Arial" w:hAnsi="Arial" w:cs="Arial"/>
          <w:noProof/>
          <w:kern w:val="0"/>
          <w:sz w:val="24"/>
          <w:szCs w:val="24"/>
        </w:rPr>
        <w:t>(2), 190–196.</w:t>
      </w:r>
    </w:p>
    <w:p w14:paraId="325907D4"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AICRP-Linseed. (2024). </w:t>
      </w:r>
      <w:r w:rsidRPr="00151613">
        <w:rPr>
          <w:rFonts w:ascii="Arial" w:hAnsi="Arial" w:cs="Arial"/>
          <w:i/>
          <w:iCs/>
          <w:noProof/>
          <w:kern w:val="0"/>
          <w:sz w:val="24"/>
          <w:szCs w:val="24"/>
        </w:rPr>
        <w:t>Project coordinator’s message. All India Coordinated Research Project on Linseed.</w:t>
      </w:r>
      <w:r w:rsidRPr="00151613">
        <w:rPr>
          <w:rFonts w:ascii="Arial" w:hAnsi="Arial" w:cs="Arial"/>
          <w:noProof/>
          <w:kern w:val="0"/>
          <w:sz w:val="24"/>
          <w:szCs w:val="24"/>
        </w:rPr>
        <w:t xml:space="preserve"> https://aicrp.icar.gov.in/linseed</w:t>
      </w:r>
    </w:p>
    <w:p w14:paraId="1C8E0FC8"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Bhakher, R., Debbarma, V., &amp; Ninama, J. (2023). Response of sulphur and foliar application of nano urea on growth and yield of sunflower (Helianthus annus L.). </w:t>
      </w:r>
      <w:r w:rsidRPr="00151613">
        <w:rPr>
          <w:rFonts w:ascii="Arial" w:hAnsi="Arial" w:cs="Arial"/>
          <w:i/>
          <w:iCs/>
          <w:noProof/>
          <w:kern w:val="0"/>
          <w:sz w:val="24"/>
          <w:szCs w:val="24"/>
        </w:rPr>
        <w:t>International Journal of Plant &amp; Soil Science</w:t>
      </w:r>
      <w:r w:rsidRPr="00151613">
        <w:rPr>
          <w:rFonts w:ascii="Arial" w:hAnsi="Arial" w:cs="Arial"/>
          <w:noProof/>
          <w:kern w:val="0"/>
          <w:sz w:val="24"/>
          <w:szCs w:val="24"/>
        </w:rPr>
        <w:t xml:space="preserve">, </w:t>
      </w:r>
      <w:r w:rsidRPr="00151613">
        <w:rPr>
          <w:rFonts w:ascii="Arial" w:hAnsi="Arial" w:cs="Arial"/>
          <w:i/>
          <w:iCs/>
          <w:noProof/>
          <w:kern w:val="0"/>
          <w:sz w:val="24"/>
          <w:szCs w:val="24"/>
        </w:rPr>
        <w:t>35</w:t>
      </w:r>
      <w:r w:rsidRPr="00151613">
        <w:rPr>
          <w:rFonts w:ascii="Arial" w:hAnsi="Arial" w:cs="Arial"/>
          <w:noProof/>
          <w:kern w:val="0"/>
          <w:sz w:val="24"/>
          <w:szCs w:val="24"/>
        </w:rPr>
        <w:t>(9), 153–159. https://doi.org/10.9734/ijpss/2023/v35i92916</w:t>
      </w:r>
    </w:p>
    <w:p w14:paraId="1100353D"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Bhayal, L., Aakash, Jain, M. P., Bhayal, D., &amp; Meena, K. (2022). Impact of Foliar Spray of NPK and Zn on Soybean for Growth, Yield, Quality, Energetics and Carbon Footprint under Dryland Condition at Indore. </w:t>
      </w:r>
      <w:r w:rsidRPr="00151613">
        <w:rPr>
          <w:rFonts w:ascii="Arial" w:hAnsi="Arial" w:cs="Arial"/>
          <w:i/>
          <w:iCs/>
          <w:noProof/>
          <w:kern w:val="0"/>
          <w:sz w:val="24"/>
          <w:szCs w:val="24"/>
        </w:rPr>
        <w:t>LEGUME RESEARCH - AN INTERNATIONAL JOURNAL</w:t>
      </w:r>
      <w:r w:rsidRPr="00151613">
        <w:rPr>
          <w:rFonts w:ascii="Arial" w:hAnsi="Arial" w:cs="Arial"/>
          <w:noProof/>
          <w:kern w:val="0"/>
          <w:sz w:val="24"/>
          <w:szCs w:val="24"/>
        </w:rPr>
        <w:t xml:space="preserve">, </w:t>
      </w:r>
      <w:r w:rsidRPr="00151613">
        <w:rPr>
          <w:rFonts w:ascii="Arial" w:hAnsi="Arial" w:cs="Arial"/>
          <w:i/>
          <w:iCs/>
          <w:noProof/>
          <w:kern w:val="0"/>
          <w:sz w:val="24"/>
          <w:szCs w:val="24"/>
        </w:rPr>
        <w:t>45</w:t>
      </w:r>
      <w:r w:rsidRPr="00151613">
        <w:rPr>
          <w:rFonts w:ascii="Arial" w:hAnsi="Arial" w:cs="Arial"/>
          <w:noProof/>
          <w:kern w:val="0"/>
          <w:sz w:val="24"/>
          <w:szCs w:val="24"/>
        </w:rPr>
        <w:t>(2), 174–181. https://doi.org/10.18805/LR-4748</w:t>
      </w:r>
    </w:p>
    <w:p w14:paraId="500726DF"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Burkitbayev, M., Bachilova, N., Kurmanbayeva, M., Tolenova, K., Yerezhepova, N., Zhumagul, M., Mamurova, A., Turysbek, B., &amp; Demeu, G. (2021). Effect of sulphur-containing agrochemicals on growth, yield, and protein content of soybeans (Glycine max (L.) Merr). </w:t>
      </w:r>
      <w:r w:rsidRPr="00151613">
        <w:rPr>
          <w:rFonts w:ascii="Arial" w:hAnsi="Arial" w:cs="Arial"/>
          <w:i/>
          <w:iCs/>
          <w:noProof/>
          <w:kern w:val="0"/>
          <w:sz w:val="24"/>
          <w:szCs w:val="24"/>
        </w:rPr>
        <w:t>Saudi Journal of Biological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28</w:t>
      </w:r>
      <w:r w:rsidRPr="00151613">
        <w:rPr>
          <w:rFonts w:ascii="Arial" w:hAnsi="Arial" w:cs="Arial"/>
          <w:noProof/>
          <w:kern w:val="0"/>
          <w:sz w:val="24"/>
          <w:szCs w:val="24"/>
        </w:rPr>
        <w:t xml:space="preserve">(1), </w:t>
      </w:r>
      <w:r w:rsidRPr="00151613">
        <w:rPr>
          <w:rFonts w:ascii="Arial" w:hAnsi="Arial" w:cs="Arial"/>
          <w:noProof/>
          <w:kern w:val="0"/>
          <w:sz w:val="24"/>
          <w:szCs w:val="24"/>
        </w:rPr>
        <w:lastRenderedPageBreak/>
        <w:t>891–900. https://doi.org/10.1016/j.sjbs.2020.11.033</w:t>
      </w:r>
    </w:p>
    <w:p w14:paraId="3D6B1E5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Chahal, H. S., Singh, A., &amp; Gurdeep, S. M. (2020). Role of sulphur nutrition in oilseed crop production. </w:t>
      </w:r>
      <w:r w:rsidRPr="00151613">
        <w:rPr>
          <w:rFonts w:ascii="Arial" w:hAnsi="Arial" w:cs="Arial"/>
          <w:i/>
          <w:iCs/>
          <w:noProof/>
          <w:kern w:val="0"/>
          <w:sz w:val="24"/>
          <w:szCs w:val="24"/>
        </w:rPr>
        <w:t>Journal of Oilseed Brassica,</w:t>
      </w:r>
      <w:r w:rsidRPr="00151613">
        <w:rPr>
          <w:rFonts w:ascii="Arial" w:hAnsi="Arial" w:cs="Arial"/>
          <w:noProof/>
          <w:kern w:val="0"/>
          <w:sz w:val="24"/>
          <w:szCs w:val="24"/>
        </w:rPr>
        <w:t xml:space="preserve"> </w:t>
      </w:r>
      <w:r w:rsidRPr="00151613">
        <w:rPr>
          <w:rFonts w:ascii="Arial" w:hAnsi="Arial" w:cs="Arial"/>
          <w:i/>
          <w:iCs/>
          <w:noProof/>
          <w:kern w:val="0"/>
          <w:sz w:val="24"/>
          <w:szCs w:val="24"/>
        </w:rPr>
        <w:t>11</w:t>
      </w:r>
      <w:r w:rsidRPr="00151613">
        <w:rPr>
          <w:rFonts w:ascii="Arial" w:hAnsi="Arial" w:cs="Arial"/>
          <w:noProof/>
          <w:kern w:val="0"/>
          <w:sz w:val="24"/>
          <w:szCs w:val="24"/>
        </w:rPr>
        <w:t>(2), 95–102.</w:t>
      </w:r>
    </w:p>
    <w:p w14:paraId="5176D314"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FAO-STAT. (2007). </w:t>
      </w:r>
      <w:r w:rsidRPr="00151613">
        <w:rPr>
          <w:rFonts w:ascii="Arial" w:hAnsi="Arial" w:cs="Arial"/>
          <w:i/>
          <w:iCs/>
          <w:noProof/>
          <w:kern w:val="0"/>
          <w:sz w:val="24"/>
          <w:szCs w:val="24"/>
        </w:rPr>
        <w:t>Food and Agriculture Organisation Statistical Databases</w:t>
      </w:r>
      <w:r w:rsidRPr="00151613">
        <w:rPr>
          <w:rFonts w:ascii="Arial" w:hAnsi="Arial" w:cs="Arial"/>
          <w:noProof/>
          <w:kern w:val="0"/>
          <w:sz w:val="24"/>
          <w:szCs w:val="24"/>
        </w:rPr>
        <w:t>.</w:t>
      </w:r>
    </w:p>
    <w:p w14:paraId="568C954F"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Gouri, P., Kumar, P., Mehera, B., &amp; Kumar, A. (2024). Effect of sulphur and nano urea on growth and yield of Indian mustard. </w:t>
      </w:r>
      <w:r w:rsidRPr="00151613">
        <w:rPr>
          <w:rFonts w:ascii="Arial" w:hAnsi="Arial" w:cs="Arial"/>
          <w:i/>
          <w:iCs/>
          <w:noProof/>
          <w:kern w:val="0"/>
          <w:sz w:val="24"/>
          <w:szCs w:val="24"/>
        </w:rPr>
        <w:t>International Journal of Research in Agronomy</w:t>
      </w:r>
      <w:r w:rsidRPr="00151613">
        <w:rPr>
          <w:rFonts w:ascii="Arial" w:hAnsi="Arial" w:cs="Arial"/>
          <w:noProof/>
          <w:kern w:val="0"/>
          <w:sz w:val="24"/>
          <w:szCs w:val="24"/>
        </w:rPr>
        <w:t xml:space="preserve">, </w:t>
      </w:r>
      <w:r w:rsidRPr="00151613">
        <w:rPr>
          <w:rFonts w:ascii="Arial" w:hAnsi="Arial" w:cs="Arial"/>
          <w:i/>
          <w:iCs/>
          <w:noProof/>
          <w:kern w:val="0"/>
          <w:sz w:val="24"/>
          <w:szCs w:val="24"/>
        </w:rPr>
        <w:t>7</w:t>
      </w:r>
      <w:r w:rsidRPr="00151613">
        <w:rPr>
          <w:rFonts w:ascii="Arial" w:hAnsi="Arial" w:cs="Arial"/>
          <w:noProof/>
          <w:kern w:val="0"/>
          <w:sz w:val="24"/>
          <w:szCs w:val="24"/>
        </w:rPr>
        <w:t>(8), 489–492. https://doi.org/10.33545/2618060X.2024.v7.i8g.1300</w:t>
      </w:r>
    </w:p>
    <w:p w14:paraId="6A48D8E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Goyal, A., Sharma, V., Upadhyay, N., Gill, S., &amp; Sihag, M. (2014). Flax and flaxseed oil: an ancient medicine &amp; modern functional food. </w:t>
      </w:r>
      <w:r w:rsidRPr="00151613">
        <w:rPr>
          <w:rFonts w:ascii="Arial" w:hAnsi="Arial" w:cs="Arial"/>
          <w:i/>
          <w:iCs/>
          <w:noProof/>
          <w:kern w:val="0"/>
          <w:sz w:val="24"/>
          <w:szCs w:val="24"/>
        </w:rPr>
        <w:t>Journal of Food Science and Technology</w:t>
      </w:r>
      <w:r w:rsidRPr="00151613">
        <w:rPr>
          <w:rFonts w:ascii="Arial" w:hAnsi="Arial" w:cs="Arial"/>
          <w:noProof/>
          <w:kern w:val="0"/>
          <w:sz w:val="24"/>
          <w:szCs w:val="24"/>
        </w:rPr>
        <w:t xml:space="preserve">, </w:t>
      </w:r>
      <w:r w:rsidRPr="00151613">
        <w:rPr>
          <w:rFonts w:ascii="Arial" w:hAnsi="Arial" w:cs="Arial"/>
          <w:i/>
          <w:iCs/>
          <w:noProof/>
          <w:kern w:val="0"/>
          <w:sz w:val="24"/>
          <w:szCs w:val="24"/>
        </w:rPr>
        <w:t>51</w:t>
      </w:r>
      <w:r w:rsidRPr="00151613">
        <w:rPr>
          <w:rFonts w:ascii="Arial" w:hAnsi="Arial" w:cs="Arial"/>
          <w:noProof/>
          <w:kern w:val="0"/>
          <w:sz w:val="24"/>
          <w:szCs w:val="24"/>
        </w:rPr>
        <w:t>(9), 1633–1653. https://doi.org/10.1007/s13197-013-1247-9</w:t>
      </w:r>
    </w:p>
    <w:p w14:paraId="07B52022"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Khan, I., Saeed, K., &amp; Khan, I. (2019). Nanoparticles: Properties, applications and toxicities. </w:t>
      </w:r>
      <w:r w:rsidRPr="00151613">
        <w:rPr>
          <w:rFonts w:ascii="Arial" w:hAnsi="Arial" w:cs="Arial"/>
          <w:i/>
          <w:iCs/>
          <w:noProof/>
          <w:kern w:val="0"/>
          <w:sz w:val="24"/>
          <w:szCs w:val="24"/>
        </w:rPr>
        <w:t>Arabian Journal of Chemistry</w:t>
      </w:r>
      <w:r w:rsidRPr="00151613">
        <w:rPr>
          <w:rFonts w:ascii="Arial" w:hAnsi="Arial" w:cs="Arial"/>
          <w:noProof/>
          <w:kern w:val="0"/>
          <w:sz w:val="24"/>
          <w:szCs w:val="24"/>
        </w:rPr>
        <w:t xml:space="preserve">, </w:t>
      </w:r>
      <w:r w:rsidRPr="00151613">
        <w:rPr>
          <w:rFonts w:ascii="Arial" w:hAnsi="Arial" w:cs="Arial"/>
          <w:i/>
          <w:iCs/>
          <w:noProof/>
          <w:kern w:val="0"/>
          <w:sz w:val="24"/>
          <w:szCs w:val="24"/>
        </w:rPr>
        <w:t>12</w:t>
      </w:r>
      <w:r w:rsidRPr="00151613">
        <w:rPr>
          <w:rFonts w:ascii="Arial" w:hAnsi="Arial" w:cs="Arial"/>
          <w:noProof/>
          <w:kern w:val="0"/>
          <w:sz w:val="24"/>
          <w:szCs w:val="24"/>
        </w:rPr>
        <w:t>(7), 908–931. https://doi.org/10.1016/j.arabjc.2017.05.011</w:t>
      </w:r>
    </w:p>
    <w:p w14:paraId="4A9E7D83"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Krishi, M. T., Pandian, K., Thirunavukkarasu, M., &amp; Subramanian, K. S. (2018). Response of nano-sulphur to the groundnut. </w:t>
      </w:r>
      <w:r w:rsidRPr="00151613">
        <w:rPr>
          <w:rFonts w:ascii="Arial" w:hAnsi="Arial" w:cs="Arial"/>
          <w:i/>
          <w:iCs/>
          <w:noProof/>
          <w:kern w:val="0"/>
          <w:sz w:val="24"/>
          <w:szCs w:val="24"/>
        </w:rPr>
        <w:t>International Journal of Chemical Studies</w:t>
      </w:r>
      <w:r w:rsidRPr="00151613">
        <w:rPr>
          <w:rFonts w:ascii="Arial" w:hAnsi="Arial" w:cs="Arial"/>
          <w:noProof/>
          <w:kern w:val="0"/>
          <w:sz w:val="24"/>
          <w:szCs w:val="24"/>
        </w:rPr>
        <w:t xml:space="preserve">, </w:t>
      </w:r>
      <w:r w:rsidRPr="00151613">
        <w:rPr>
          <w:rFonts w:ascii="Arial" w:hAnsi="Arial" w:cs="Arial"/>
          <w:i/>
          <w:iCs/>
          <w:noProof/>
          <w:kern w:val="0"/>
          <w:sz w:val="24"/>
          <w:szCs w:val="24"/>
        </w:rPr>
        <w:t>6</w:t>
      </w:r>
      <w:r w:rsidRPr="00151613">
        <w:rPr>
          <w:rFonts w:ascii="Arial" w:hAnsi="Arial" w:cs="Arial"/>
          <w:noProof/>
          <w:kern w:val="0"/>
          <w:sz w:val="24"/>
          <w:szCs w:val="24"/>
        </w:rPr>
        <w:t>(3), 2067–2072.</w:t>
      </w:r>
    </w:p>
    <w:p w14:paraId="3D41D72B"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Kumar, V., Singh, M. K., Lakshmi, D. U., Aakash, Saikia, N., &amp; Kumari, A. (2022). Response of N P S doses and urea foliar spray on lentil under guava (Psidium guajava) + lentil (Lens culinaris) based agri-horti system. </w:t>
      </w:r>
      <w:r w:rsidRPr="00151613">
        <w:rPr>
          <w:rFonts w:ascii="Arial" w:hAnsi="Arial" w:cs="Arial"/>
          <w:i/>
          <w:iCs/>
          <w:noProof/>
          <w:kern w:val="0"/>
          <w:sz w:val="24"/>
          <w:szCs w:val="24"/>
        </w:rPr>
        <w:t>The Indian Journal of Agricultural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92</w:t>
      </w:r>
      <w:r w:rsidRPr="00151613">
        <w:rPr>
          <w:rFonts w:ascii="Arial" w:hAnsi="Arial" w:cs="Arial"/>
          <w:noProof/>
          <w:kern w:val="0"/>
          <w:sz w:val="24"/>
          <w:szCs w:val="24"/>
        </w:rPr>
        <w:t>(11), 1410–1412. https://doi.org/10.56093/ijas.v92i11.127891</w:t>
      </w:r>
    </w:p>
    <w:p w14:paraId="21E8588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Narayan, O. P., Kumar, P., Yadav, B., Dua, M., &amp; Johri, A. K. (2023). Sulphur nutrition and its role in plant growth and development. </w:t>
      </w:r>
      <w:r w:rsidRPr="00151613">
        <w:rPr>
          <w:rFonts w:ascii="Arial" w:hAnsi="Arial" w:cs="Arial"/>
          <w:i/>
          <w:iCs/>
          <w:noProof/>
          <w:kern w:val="0"/>
          <w:sz w:val="24"/>
          <w:szCs w:val="24"/>
        </w:rPr>
        <w:t>Plant Signaling &amp; Behavior</w:t>
      </w:r>
      <w:r w:rsidRPr="00151613">
        <w:rPr>
          <w:rFonts w:ascii="Arial" w:hAnsi="Arial" w:cs="Arial"/>
          <w:noProof/>
          <w:kern w:val="0"/>
          <w:sz w:val="24"/>
          <w:szCs w:val="24"/>
        </w:rPr>
        <w:t xml:space="preserve">, </w:t>
      </w:r>
      <w:r w:rsidRPr="00151613">
        <w:rPr>
          <w:rFonts w:ascii="Arial" w:hAnsi="Arial" w:cs="Arial"/>
          <w:i/>
          <w:iCs/>
          <w:noProof/>
          <w:kern w:val="0"/>
          <w:sz w:val="24"/>
          <w:szCs w:val="24"/>
        </w:rPr>
        <w:t>18</w:t>
      </w:r>
      <w:r w:rsidRPr="00151613">
        <w:rPr>
          <w:rFonts w:ascii="Arial" w:hAnsi="Arial" w:cs="Arial"/>
          <w:noProof/>
          <w:kern w:val="0"/>
          <w:sz w:val="24"/>
          <w:szCs w:val="24"/>
        </w:rPr>
        <w:t>(1). https://doi.org/10.1080/15592324.2022.2030082</w:t>
      </w:r>
    </w:p>
    <w:p w14:paraId="6998E69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Nôžková, J. (2016, September 12). </w:t>
      </w:r>
      <w:r w:rsidRPr="00151613">
        <w:rPr>
          <w:rFonts w:ascii="Arial" w:hAnsi="Arial" w:cs="Arial"/>
          <w:i/>
          <w:iCs/>
          <w:noProof/>
          <w:kern w:val="0"/>
          <w:sz w:val="24"/>
          <w:szCs w:val="24"/>
        </w:rPr>
        <w:t>Descriptor list for flax (Linum usitatissimum L.)</w:t>
      </w:r>
      <w:r w:rsidRPr="00151613">
        <w:rPr>
          <w:rFonts w:ascii="Arial" w:hAnsi="Arial" w:cs="Arial"/>
          <w:noProof/>
          <w:kern w:val="0"/>
          <w:sz w:val="24"/>
          <w:szCs w:val="24"/>
        </w:rPr>
        <w:t>. https://doi.org/10.15414/2016.9788055214849</w:t>
      </w:r>
    </w:p>
    <w:p w14:paraId="29D32DDC"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Richharia, R. H. (1962). The Indian central oil seeds committee, Hyderabad,. </w:t>
      </w:r>
      <w:r w:rsidRPr="00151613">
        <w:rPr>
          <w:rFonts w:ascii="Arial" w:hAnsi="Arial" w:cs="Arial"/>
          <w:i/>
          <w:iCs/>
          <w:noProof/>
          <w:kern w:val="0"/>
          <w:sz w:val="24"/>
          <w:szCs w:val="24"/>
        </w:rPr>
        <w:t>Studies on the Origin of Cultivated Plants. Bot. Pl. Breed.</w:t>
      </w:r>
      <w:r w:rsidRPr="00151613">
        <w:rPr>
          <w:rFonts w:ascii="Arial" w:hAnsi="Arial" w:cs="Arial"/>
          <w:noProof/>
          <w:kern w:val="0"/>
          <w:sz w:val="24"/>
          <w:szCs w:val="24"/>
        </w:rPr>
        <w:t xml:space="preserve">, </w:t>
      </w:r>
      <w:r w:rsidRPr="00151613">
        <w:rPr>
          <w:rFonts w:ascii="Arial" w:hAnsi="Arial" w:cs="Arial"/>
          <w:i/>
          <w:iCs/>
          <w:noProof/>
          <w:kern w:val="0"/>
          <w:sz w:val="24"/>
          <w:szCs w:val="24"/>
        </w:rPr>
        <w:t>16</w:t>
      </w:r>
      <w:r w:rsidRPr="00151613">
        <w:rPr>
          <w:rFonts w:ascii="Arial" w:hAnsi="Arial" w:cs="Arial"/>
          <w:noProof/>
          <w:kern w:val="0"/>
          <w:sz w:val="24"/>
          <w:szCs w:val="24"/>
        </w:rPr>
        <w:t>, 139–145.</w:t>
      </w:r>
    </w:p>
    <w:p w14:paraId="2593263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Shah, S. H., Islam, S., &amp; Mohammad, F. (2022). Sulphur as a dynamic mineral </w:t>
      </w:r>
      <w:r w:rsidRPr="00151613">
        <w:rPr>
          <w:rFonts w:ascii="Arial" w:hAnsi="Arial" w:cs="Arial"/>
          <w:noProof/>
          <w:kern w:val="0"/>
          <w:sz w:val="24"/>
          <w:szCs w:val="24"/>
        </w:rPr>
        <w:lastRenderedPageBreak/>
        <w:t xml:space="preserve">element for plants: a review. </w:t>
      </w:r>
      <w:r w:rsidRPr="00151613">
        <w:rPr>
          <w:rFonts w:ascii="Arial" w:hAnsi="Arial" w:cs="Arial"/>
          <w:i/>
          <w:iCs/>
          <w:noProof/>
          <w:kern w:val="0"/>
          <w:sz w:val="24"/>
          <w:szCs w:val="24"/>
        </w:rPr>
        <w:t>Journal of Soil Science and Plant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22</w:t>
      </w:r>
      <w:r w:rsidRPr="00151613">
        <w:rPr>
          <w:rFonts w:ascii="Arial" w:hAnsi="Arial" w:cs="Arial"/>
          <w:noProof/>
          <w:kern w:val="0"/>
          <w:sz w:val="24"/>
          <w:szCs w:val="24"/>
        </w:rPr>
        <w:t>(2), 2118–2143. https://doi.org/10.1007/s42729-022-00798-9</w:t>
      </w:r>
    </w:p>
    <w:p w14:paraId="192CF46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Sharma, A., Aakash, Singh, D., Singh, V., Bhayal, D., &amp; Rajput, B. (2023). Effect of Applying Boron, Zinc, and Manganese Foliarly on the Yield Attributes and Yield of the Potato (Solanum tuberosum) Cultivar Kufri Chipsona-1 in the Gwalior Climate. </w:t>
      </w:r>
      <w:r w:rsidRPr="00151613">
        <w:rPr>
          <w:rFonts w:ascii="Arial" w:hAnsi="Arial" w:cs="Arial"/>
          <w:i/>
          <w:iCs/>
          <w:noProof/>
          <w:kern w:val="0"/>
          <w:sz w:val="24"/>
          <w:szCs w:val="24"/>
        </w:rPr>
        <w:t>Journal of Experimental Agriculture International</w:t>
      </w:r>
      <w:r w:rsidRPr="00151613">
        <w:rPr>
          <w:rFonts w:ascii="Arial" w:hAnsi="Arial" w:cs="Arial"/>
          <w:noProof/>
          <w:kern w:val="0"/>
          <w:sz w:val="24"/>
          <w:szCs w:val="24"/>
        </w:rPr>
        <w:t xml:space="preserve">, </w:t>
      </w:r>
      <w:r w:rsidRPr="00151613">
        <w:rPr>
          <w:rFonts w:ascii="Arial" w:hAnsi="Arial" w:cs="Arial"/>
          <w:i/>
          <w:iCs/>
          <w:noProof/>
          <w:kern w:val="0"/>
          <w:sz w:val="24"/>
          <w:szCs w:val="24"/>
        </w:rPr>
        <w:t>45</w:t>
      </w:r>
      <w:r w:rsidRPr="00151613">
        <w:rPr>
          <w:rFonts w:ascii="Arial" w:hAnsi="Arial" w:cs="Arial"/>
          <w:noProof/>
          <w:kern w:val="0"/>
          <w:sz w:val="24"/>
          <w:szCs w:val="24"/>
        </w:rPr>
        <w:t>(11), 263–270. https://doi.org/10.9734/jeai/2023/v45i112257</w:t>
      </w:r>
    </w:p>
    <w:p w14:paraId="6CA8DBA5"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Sharma, R. K., Cox, M. S., Oglesby, C., &amp; Dhillon, J. S. (2024). Revisiting the role of sulphur in crop production: A narrative review. </w:t>
      </w:r>
      <w:r w:rsidRPr="00151613">
        <w:rPr>
          <w:rFonts w:ascii="Arial" w:hAnsi="Arial" w:cs="Arial"/>
          <w:i/>
          <w:iCs/>
          <w:noProof/>
          <w:kern w:val="0"/>
          <w:sz w:val="24"/>
          <w:szCs w:val="24"/>
        </w:rPr>
        <w:t>Journal of Agriculture and Food Research</w:t>
      </w:r>
      <w:r w:rsidRPr="00151613">
        <w:rPr>
          <w:rFonts w:ascii="Arial" w:hAnsi="Arial" w:cs="Arial"/>
          <w:noProof/>
          <w:kern w:val="0"/>
          <w:sz w:val="24"/>
          <w:szCs w:val="24"/>
        </w:rPr>
        <w:t xml:space="preserve">, </w:t>
      </w:r>
      <w:r w:rsidRPr="00151613">
        <w:rPr>
          <w:rFonts w:ascii="Arial" w:hAnsi="Arial" w:cs="Arial"/>
          <w:i/>
          <w:iCs/>
          <w:noProof/>
          <w:kern w:val="0"/>
          <w:sz w:val="24"/>
          <w:szCs w:val="24"/>
        </w:rPr>
        <w:t>15</w:t>
      </w:r>
      <w:r w:rsidRPr="00151613">
        <w:rPr>
          <w:rFonts w:ascii="Arial" w:hAnsi="Arial" w:cs="Arial"/>
          <w:noProof/>
          <w:kern w:val="0"/>
          <w:sz w:val="24"/>
          <w:szCs w:val="24"/>
        </w:rPr>
        <w:t>, 101013. https://doi.org/10.1016/j.jafr.2024.101013</w:t>
      </w:r>
    </w:p>
    <w:p w14:paraId="24FF4D0B"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Singh, H., Choudhary, R. L., Jat, R. S., &amp; Rathore, S. S. (2023). Re-visiting of nitrogen and sulphur requirements in Indian mustard (Brassica juncea) under irrigated conditions. </w:t>
      </w:r>
      <w:r w:rsidRPr="00151613">
        <w:rPr>
          <w:rFonts w:ascii="Arial" w:hAnsi="Arial" w:cs="Arial"/>
          <w:i/>
          <w:iCs/>
          <w:noProof/>
          <w:kern w:val="0"/>
          <w:sz w:val="24"/>
          <w:szCs w:val="24"/>
        </w:rPr>
        <w:t>Indian Journal of Agricultural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93</w:t>
      </w:r>
      <w:r w:rsidRPr="00151613">
        <w:rPr>
          <w:rFonts w:ascii="Arial" w:hAnsi="Arial" w:cs="Arial"/>
          <w:noProof/>
          <w:kern w:val="0"/>
          <w:sz w:val="24"/>
          <w:szCs w:val="24"/>
        </w:rPr>
        <w:t>(1), 51–56.</w:t>
      </w:r>
    </w:p>
    <w:p w14:paraId="713B5B76"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Singh, K. K., Mridula, D., Rehal, J., &amp; Barnwal, P. (2011). Flaxseed: a potential source of food, feed and fiber. </w:t>
      </w:r>
      <w:r w:rsidRPr="00151613">
        <w:rPr>
          <w:rFonts w:ascii="Arial" w:hAnsi="Arial" w:cs="Arial"/>
          <w:i/>
          <w:iCs/>
          <w:noProof/>
          <w:kern w:val="0"/>
          <w:sz w:val="24"/>
          <w:szCs w:val="24"/>
        </w:rPr>
        <w:t>Critical Reviews in Food Science and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51</w:t>
      </w:r>
      <w:r w:rsidRPr="00151613">
        <w:rPr>
          <w:rFonts w:ascii="Arial" w:hAnsi="Arial" w:cs="Arial"/>
          <w:noProof/>
          <w:kern w:val="0"/>
          <w:sz w:val="24"/>
          <w:szCs w:val="24"/>
        </w:rPr>
        <w:t>(3), 210–222. https://doi.org/10.1080/10408390903537241</w:t>
      </w:r>
    </w:p>
    <w:p w14:paraId="0D30AE1D"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Subramanian, K. S., Rajeswari, R., Yuvaraj, M., Pradeep, D., Guna, M., &amp; Yoganathan, G. (2022). Synthesis and characterization of nano-sulphur and its impact on growth, yield, and quality of sunflower (Helianthus annuus L.). </w:t>
      </w:r>
      <w:r w:rsidRPr="00151613">
        <w:rPr>
          <w:rFonts w:ascii="Arial" w:hAnsi="Arial" w:cs="Arial"/>
          <w:i/>
          <w:iCs/>
          <w:noProof/>
          <w:kern w:val="0"/>
          <w:sz w:val="24"/>
          <w:szCs w:val="24"/>
        </w:rPr>
        <w:t>Communications in Soil Science and Plant Analysis</w:t>
      </w:r>
      <w:r w:rsidRPr="00151613">
        <w:rPr>
          <w:rFonts w:ascii="Arial" w:hAnsi="Arial" w:cs="Arial"/>
          <w:noProof/>
          <w:kern w:val="0"/>
          <w:sz w:val="24"/>
          <w:szCs w:val="24"/>
        </w:rPr>
        <w:t xml:space="preserve">, </w:t>
      </w:r>
      <w:r w:rsidRPr="00151613">
        <w:rPr>
          <w:rFonts w:ascii="Arial" w:hAnsi="Arial" w:cs="Arial"/>
          <w:i/>
          <w:iCs/>
          <w:noProof/>
          <w:kern w:val="0"/>
          <w:sz w:val="24"/>
          <w:szCs w:val="24"/>
        </w:rPr>
        <w:t>53</w:t>
      </w:r>
      <w:r w:rsidRPr="00151613">
        <w:rPr>
          <w:rFonts w:ascii="Arial" w:hAnsi="Arial" w:cs="Arial"/>
          <w:noProof/>
          <w:kern w:val="0"/>
          <w:sz w:val="24"/>
          <w:szCs w:val="24"/>
        </w:rPr>
        <w:t>(20), 2700–2709. https://doi.org/10.1080/00103624.2022.2072867</w:t>
      </w:r>
    </w:p>
    <w:p w14:paraId="1F9445E9"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sz w:val="24"/>
        </w:rPr>
      </w:pPr>
      <w:r w:rsidRPr="00151613">
        <w:rPr>
          <w:rFonts w:ascii="Arial" w:hAnsi="Arial" w:cs="Arial"/>
          <w:noProof/>
          <w:kern w:val="0"/>
          <w:sz w:val="24"/>
          <w:szCs w:val="24"/>
        </w:rPr>
        <w:t xml:space="preserve">Thirunavukkarasu, M., Subramanian, K. S., &amp; Yuvaraj, M. (2024). Response studies of nano-sulphur on nutrient uptake, sulphur fractions, yield and quality parameters of peanut (Arachis hypogaea L.). </w:t>
      </w:r>
      <w:r w:rsidRPr="00151613">
        <w:rPr>
          <w:rFonts w:ascii="Arial" w:hAnsi="Arial" w:cs="Arial"/>
          <w:i/>
          <w:iCs/>
          <w:noProof/>
          <w:kern w:val="0"/>
          <w:sz w:val="24"/>
          <w:szCs w:val="24"/>
        </w:rPr>
        <w:t>Journal of Plant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47</w:t>
      </w:r>
      <w:r w:rsidRPr="00151613">
        <w:rPr>
          <w:rFonts w:ascii="Arial" w:hAnsi="Arial" w:cs="Arial"/>
          <w:noProof/>
          <w:kern w:val="0"/>
          <w:sz w:val="24"/>
          <w:szCs w:val="24"/>
        </w:rPr>
        <w:t>(7), 1079–1088. https://doi.org/10.1080/01904167.2023.2294931</w:t>
      </w:r>
    </w:p>
    <w:p w14:paraId="12E01DB1" w14:textId="0BC61AF8" w:rsidR="00DC5490" w:rsidRPr="00E565FF" w:rsidRDefault="00C670F1" w:rsidP="001C4DE4">
      <w:pPr>
        <w:spacing w:after="120" w:line="360" w:lineRule="auto"/>
        <w:ind w:firstLine="720"/>
        <w:jc w:val="both"/>
        <w:rPr>
          <w:rFonts w:ascii="Arial" w:eastAsia="Arial Unicode MS" w:hAnsi="Arial" w:cs="Arial"/>
          <w:color w:val="000000" w:themeColor="text1"/>
          <w:sz w:val="24"/>
          <w:szCs w:val="24"/>
        </w:rPr>
      </w:pPr>
      <w:r w:rsidRPr="00E565FF">
        <w:rPr>
          <w:rFonts w:ascii="Arial" w:eastAsia="Arial Unicode MS" w:hAnsi="Arial" w:cs="Arial"/>
          <w:color w:val="000000" w:themeColor="text1"/>
          <w:sz w:val="24"/>
          <w:szCs w:val="24"/>
        </w:rPr>
        <w:fldChar w:fldCharType="end"/>
      </w:r>
    </w:p>
    <w:p w14:paraId="295978DA" w14:textId="77777777" w:rsidR="00726616" w:rsidRDefault="00726616" w:rsidP="00726616">
      <w:pPr>
        <w:spacing w:after="120" w:line="360" w:lineRule="auto"/>
        <w:jc w:val="both"/>
        <w:rPr>
          <w:rFonts w:ascii="Arial" w:hAnsi="Arial" w:cs="Arial"/>
          <w:b/>
          <w:bCs/>
          <w:sz w:val="20"/>
          <w:szCs w:val="20"/>
        </w:rPr>
      </w:pPr>
    </w:p>
    <w:p w14:paraId="46A8D0E9" w14:textId="77777777" w:rsidR="00726616" w:rsidRDefault="00726616" w:rsidP="00726616">
      <w:pPr>
        <w:spacing w:after="120" w:line="360" w:lineRule="auto"/>
        <w:jc w:val="both"/>
        <w:rPr>
          <w:rFonts w:ascii="Arial" w:hAnsi="Arial" w:cs="Arial"/>
          <w:b/>
          <w:bCs/>
          <w:sz w:val="20"/>
          <w:szCs w:val="20"/>
        </w:rPr>
      </w:pPr>
    </w:p>
    <w:p w14:paraId="1BDC747E" w14:textId="77777777" w:rsidR="00726616" w:rsidRDefault="00726616" w:rsidP="00726616">
      <w:pPr>
        <w:spacing w:after="120" w:line="360" w:lineRule="auto"/>
        <w:jc w:val="both"/>
        <w:rPr>
          <w:rFonts w:ascii="Arial" w:eastAsia="Arial Unicode MS" w:hAnsi="Arial" w:cs="Arial"/>
          <w:color w:val="000000" w:themeColor="text1"/>
          <w:sz w:val="24"/>
          <w:szCs w:val="24"/>
        </w:rPr>
      </w:pPr>
    </w:p>
    <w:p w14:paraId="5D8BB333" w14:textId="77777777" w:rsidR="00726616" w:rsidRDefault="00726616" w:rsidP="00570762">
      <w:pPr>
        <w:spacing w:after="120" w:line="360" w:lineRule="auto"/>
        <w:ind w:firstLine="720"/>
        <w:jc w:val="both"/>
        <w:rPr>
          <w:rFonts w:ascii="Arial" w:eastAsia="Arial Unicode MS" w:hAnsi="Arial" w:cs="Arial"/>
          <w:color w:val="000000" w:themeColor="text1"/>
          <w:sz w:val="24"/>
          <w:szCs w:val="24"/>
        </w:rPr>
      </w:pPr>
    </w:p>
    <w:p w14:paraId="29D9F034" w14:textId="757F928F" w:rsidR="00FE3CB0" w:rsidRPr="00FE3CB0" w:rsidRDefault="00FE3CB0" w:rsidP="004E4435">
      <w:pPr>
        <w:spacing w:after="120" w:line="360" w:lineRule="auto"/>
        <w:jc w:val="both"/>
        <w:rPr>
          <w:rFonts w:ascii="Arial" w:eastAsia="Arial Unicode MS" w:hAnsi="Arial" w:cs="Arial"/>
          <w:color w:val="000000" w:themeColor="text1"/>
          <w:sz w:val="24"/>
          <w:szCs w:val="24"/>
        </w:rPr>
      </w:pPr>
    </w:p>
    <w:sectPr w:rsidR="00FE3CB0" w:rsidRPr="00FE3CB0" w:rsidSect="00C00A37">
      <w:headerReference w:type="even" r:id="rId30"/>
      <w:headerReference w:type="default" r:id="rId31"/>
      <w:footerReference w:type="even" r:id="rId32"/>
      <w:footerReference w:type="default" r:id="rId33"/>
      <w:headerReference w:type="first" r:id="rId34"/>
      <w:footerReference w:type="first" r:id="rId35"/>
      <w:pgSz w:w="11906" w:h="16838"/>
      <w:pgMar w:top="1440" w:right="1376" w:bottom="1440" w:left="16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868CB" w14:textId="77777777" w:rsidR="00A734FB" w:rsidRDefault="00A734FB" w:rsidP="009C09A2">
      <w:pPr>
        <w:spacing w:after="0" w:line="240" w:lineRule="auto"/>
      </w:pPr>
      <w:r>
        <w:separator/>
      </w:r>
    </w:p>
  </w:endnote>
  <w:endnote w:type="continuationSeparator" w:id="0">
    <w:p w14:paraId="6939ED32" w14:textId="77777777" w:rsidR="00A734FB" w:rsidRDefault="00A734FB" w:rsidP="009C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0E9E" w14:textId="77777777" w:rsidR="00907425" w:rsidRDefault="0090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66944"/>
      <w:docPartObj>
        <w:docPartGallery w:val="Page Numbers (Bottom of Page)"/>
        <w:docPartUnique/>
      </w:docPartObj>
    </w:sdtPr>
    <w:sdtEndPr>
      <w:rPr>
        <w:noProof/>
      </w:rPr>
    </w:sdtEndPr>
    <w:sdtContent>
      <w:p w14:paraId="6443564A" w14:textId="1BAEABAC" w:rsidR="00C00A37" w:rsidRDefault="00C00A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F9DEB" w14:textId="77777777" w:rsidR="00C00A37" w:rsidRDefault="00C00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DB29" w14:textId="77777777" w:rsidR="00907425" w:rsidRDefault="0090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2D9B" w14:textId="77777777" w:rsidR="00A734FB" w:rsidRDefault="00A734FB" w:rsidP="009C09A2">
      <w:pPr>
        <w:spacing w:after="0" w:line="240" w:lineRule="auto"/>
      </w:pPr>
      <w:r>
        <w:separator/>
      </w:r>
    </w:p>
  </w:footnote>
  <w:footnote w:type="continuationSeparator" w:id="0">
    <w:p w14:paraId="4DC97268" w14:textId="77777777" w:rsidR="00A734FB" w:rsidRDefault="00A734FB" w:rsidP="009C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EBDB" w14:textId="66A77C06" w:rsidR="00907425" w:rsidRDefault="00907425">
    <w:pPr>
      <w:pStyle w:val="Header"/>
    </w:pPr>
    <w:r>
      <w:rPr>
        <w:noProof/>
      </w:rPr>
      <w:pict w14:anchorId="36188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8" o:spid="_x0000_s2050" type="#_x0000_t136" style="position:absolute;margin-left:0;margin-top:0;width:528.95pt;height:9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88F1" w14:textId="0B163A5D" w:rsidR="00907425" w:rsidRDefault="00907425">
    <w:pPr>
      <w:pStyle w:val="Header"/>
    </w:pPr>
    <w:r>
      <w:rPr>
        <w:noProof/>
      </w:rPr>
      <w:pict w14:anchorId="7913E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9" o:spid="_x0000_s2051" type="#_x0000_t136" style="position:absolute;margin-left:0;margin-top:0;width:528.95pt;height:9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7A1E" w14:textId="3A9BF6D1" w:rsidR="00907425" w:rsidRDefault="00907425">
    <w:pPr>
      <w:pStyle w:val="Header"/>
    </w:pPr>
    <w:r>
      <w:rPr>
        <w:noProof/>
      </w:rPr>
      <w:pict w14:anchorId="11746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7" o:spid="_x0000_s2049" type="#_x0000_t136" style="position:absolute;margin-left:0;margin-top:0;width:528.95pt;height:9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E6F7C"/>
    <w:multiLevelType w:val="hybridMultilevel"/>
    <w:tmpl w:val="5E52031C"/>
    <w:lvl w:ilvl="0" w:tplc="9C5874F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2C4EA0"/>
    <w:multiLevelType w:val="multilevel"/>
    <w:tmpl w:val="F70C18CE"/>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0B366F"/>
    <w:multiLevelType w:val="hybridMultilevel"/>
    <w:tmpl w:val="3D402AB4"/>
    <w:lvl w:ilvl="0" w:tplc="401AB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052183A"/>
    <w:multiLevelType w:val="hybridMultilevel"/>
    <w:tmpl w:val="9BCA24CA"/>
    <w:lvl w:ilvl="0" w:tplc="A8FAED6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F05503"/>
    <w:multiLevelType w:val="hybridMultilevel"/>
    <w:tmpl w:val="2C287498"/>
    <w:lvl w:ilvl="0" w:tplc="7F32155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93"/>
    <w:rsid w:val="0004345F"/>
    <w:rsid w:val="00077102"/>
    <w:rsid w:val="00084493"/>
    <w:rsid w:val="00086A4E"/>
    <w:rsid w:val="000A18E3"/>
    <w:rsid w:val="000A36E4"/>
    <w:rsid w:val="000C19D2"/>
    <w:rsid w:val="000C62F7"/>
    <w:rsid w:val="000D4F37"/>
    <w:rsid w:val="000F7E4C"/>
    <w:rsid w:val="0011207A"/>
    <w:rsid w:val="001129AE"/>
    <w:rsid w:val="00147564"/>
    <w:rsid w:val="00151613"/>
    <w:rsid w:val="00166DF9"/>
    <w:rsid w:val="001764B5"/>
    <w:rsid w:val="001820F8"/>
    <w:rsid w:val="001945C8"/>
    <w:rsid w:val="001A567C"/>
    <w:rsid w:val="001C4DE4"/>
    <w:rsid w:val="001C6A73"/>
    <w:rsid w:val="001E23A4"/>
    <w:rsid w:val="0020103A"/>
    <w:rsid w:val="002331C9"/>
    <w:rsid w:val="00241E1A"/>
    <w:rsid w:val="0027452D"/>
    <w:rsid w:val="002B2B42"/>
    <w:rsid w:val="002F3B0E"/>
    <w:rsid w:val="002F6978"/>
    <w:rsid w:val="003217D9"/>
    <w:rsid w:val="00334377"/>
    <w:rsid w:val="003343FA"/>
    <w:rsid w:val="00344D84"/>
    <w:rsid w:val="00351A31"/>
    <w:rsid w:val="00365FF9"/>
    <w:rsid w:val="00386082"/>
    <w:rsid w:val="003A101D"/>
    <w:rsid w:val="003C2A55"/>
    <w:rsid w:val="003D400C"/>
    <w:rsid w:val="003E606B"/>
    <w:rsid w:val="00422F25"/>
    <w:rsid w:val="00425632"/>
    <w:rsid w:val="004350AC"/>
    <w:rsid w:val="00442F7D"/>
    <w:rsid w:val="00450E0F"/>
    <w:rsid w:val="0047689F"/>
    <w:rsid w:val="004A4FAE"/>
    <w:rsid w:val="004C497C"/>
    <w:rsid w:val="004D7867"/>
    <w:rsid w:val="004E4435"/>
    <w:rsid w:val="00545B63"/>
    <w:rsid w:val="00570762"/>
    <w:rsid w:val="005B0B41"/>
    <w:rsid w:val="005B5E5B"/>
    <w:rsid w:val="00602EEF"/>
    <w:rsid w:val="00615079"/>
    <w:rsid w:val="006334EF"/>
    <w:rsid w:val="00646E2B"/>
    <w:rsid w:val="00663F64"/>
    <w:rsid w:val="006828EF"/>
    <w:rsid w:val="00685075"/>
    <w:rsid w:val="00687190"/>
    <w:rsid w:val="00691C1B"/>
    <w:rsid w:val="006B1C1A"/>
    <w:rsid w:val="007002BA"/>
    <w:rsid w:val="00704967"/>
    <w:rsid w:val="00726616"/>
    <w:rsid w:val="00742EA4"/>
    <w:rsid w:val="007657FA"/>
    <w:rsid w:val="00784905"/>
    <w:rsid w:val="00795072"/>
    <w:rsid w:val="007C49BD"/>
    <w:rsid w:val="007E6BFE"/>
    <w:rsid w:val="00814751"/>
    <w:rsid w:val="008265AA"/>
    <w:rsid w:val="00856E85"/>
    <w:rsid w:val="008B6293"/>
    <w:rsid w:val="008C4579"/>
    <w:rsid w:val="008D16B7"/>
    <w:rsid w:val="00906A40"/>
    <w:rsid w:val="00907425"/>
    <w:rsid w:val="00924A01"/>
    <w:rsid w:val="009878B5"/>
    <w:rsid w:val="0099617E"/>
    <w:rsid w:val="009A5A23"/>
    <w:rsid w:val="009B4017"/>
    <w:rsid w:val="009B5C8B"/>
    <w:rsid w:val="009B7762"/>
    <w:rsid w:val="009C09A2"/>
    <w:rsid w:val="00A329CB"/>
    <w:rsid w:val="00A47583"/>
    <w:rsid w:val="00A6578A"/>
    <w:rsid w:val="00A734FB"/>
    <w:rsid w:val="00A76608"/>
    <w:rsid w:val="00A776D0"/>
    <w:rsid w:val="00AC1D29"/>
    <w:rsid w:val="00B17267"/>
    <w:rsid w:val="00B2293E"/>
    <w:rsid w:val="00B441C9"/>
    <w:rsid w:val="00B511B7"/>
    <w:rsid w:val="00B80980"/>
    <w:rsid w:val="00B978F2"/>
    <w:rsid w:val="00BC45BB"/>
    <w:rsid w:val="00C00A37"/>
    <w:rsid w:val="00C10326"/>
    <w:rsid w:val="00C354BC"/>
    <w:rsid w:val="00C65049"/>
    <w:rsid w:val="00C670F1"/>
    <w:rsid w:val="00CC1E6D"/>
    <w:rsid w:val="00CE6306"/>
    <w:rsid w:val="00D015BF"/>
    <w:rsid w:val="00D11F48"/>
    <w:rsid w:val="00D17BD4"/>
    <w:rsid w:val="00D23C79"/>
    <w:rsid w:val="00D67CB6"/>
    <w:rsid w:val="00D908D1"/>
    <w:rsid w:val="00DC40A5"/>
    <w:rsid w:val="00DC5490"/>
    <w:rsid w:val="00DE6803"/>
    <w:rsid w:val="00E06CB5"/>
    <w:rsid w:val="00E07A9A"/>
    <w:rsid w:val="00E10D00"/>
    <w:rsid w:val="00E413E3"/>
    <w:rsid w:val="00E565FF"/>
    <w:rsid w:val="00E72B14"/>
    <w:rsid w:val="00EC50E7"/>
    <w:rsid w:val="00ED1D54"/>
    <w:rsid w:val="00ED7D1B"/>
    <w:rsid w:val="00EF0A29"/>
    <w:rsid w:val="00EF7DAF"/>
    <w:rsid w:val="00F10369"/>
    <w:rsid w:val="00F165A8"/>
    <w:rsid w:val="00F44E2A"/>
    <w:rsid w:val="00F97656"/>
    <w:rsid w:val="00FB4899"/>
    <w:rsid w:val="00FE3C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82E0E"/>
  <w15:chartTrackingRefBased/>
  <w15:docId w15:val="{C19F585B-C456-4293-80D6-793A23DB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293"/>
    <w:rPr>
      <w:rFonts w:eastAsiaTheme="majorEastAsia" w:cstheme="majorBidi"/>
      <w:color w:val="272727" w:themeColor="text1" w:themeTint="D8"/>
    </w:rPr>
  </w:style>
  <w:style w:type="paragraph" w:styleId="Title">
    <w:name w:val="Title"/>
    <w:basedOn w:val="Normal"/>
    <w:next w:val="Normal"/>
    <w:link w:val="TitleChar"/>
    <w:uiPriority w:val="10"/>
    <w:qFormat/>
    <w:rsid w:val="008B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293"/>
    <w:pPr>
      <w:spacing w:before="160"/>
      <w:jc w:val="center"/>
    </w:pPr>
    <w:rPr>
      <w:i/>
      <w:iCs/>
      <w:color w:val="404040" w:themeColor="text1" w:themeTint="BF"/>
    </w:rPr>
  </w:style>
  <w:style w:type="character" w:customStyle="1" w:styleId="QuoteChar">
    <w:name w:val="Quote Char"/>
    <w:basedOn w:val="DefaultParagraphFont"/>
    <w:link w:val="Quote"/>
    <w:uiPriority w:val="29"/>
    <w:rsid w:val="008B6293"/>
    <w:rPr>
      <w:i/>
      <w:iCs/>
      <w:color w:val="404040" w:themeColor="text1" w:themeTint="BF"/>
    </w:rPr>
  </w:style>
  <w:style w:type="paragraph" w:styleId="ListParagraph">
    <w:name w:val="List Paragraph"/>
    <w:basedOn w:val="Normal"/>
    <w:uiPriority w:val="34"/>
    <w:qFormat/>
    <w:rsid w:val="008B6293"/>
    <w:pPr>
      <w:ind w:left="720"/>
      <w:contextualSpacing/>
    </w:pPr>
  </w:style>
  <w:style w:type="character" w:styleId="IntenseEmphasis">
    <w:name w:val="Intense Emphasis"/>
    <w:basedOn w:val="DefaultParagraphFont"/>
    <w:uiPriority w:val="21"/>
    <w:qFormat/>
    <w:rsid w:val="008B6293"/>
    <w:rPr>
      <w:i/>
      <w:iCs/>
      <w:color w:val="2F5496" w:themeColor="accent1" w:themeShade="BF"/>
    </w:rPr>
  </w:style>
  <w:style w:type="paragraph" w:styleId="IntenseQuote">
    <w:name w:val="Intense Quote"/>
    <w:basedOn w:val="Normal"/>
    <w:next w:val="Normal"/>
    <w:link w:val="IntenseQuoteChar"/>
    <w:uiPriority w:val="30"/>
    <w:qFormat/>
    <w:rsid w:val="008B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293"/>
    <w:rPr>
      <w:i/>
      <w:iCs/>
      <w:color w:val="2F5496" w:themeColor="accent1" w:themeShade="BF"/>
    </w:rPr>
  </w:style>
  <w:style w:type="character" w:styleId="IntenseReference">
    <w:name w:val="Intense Reference"/>
    <w:basedOn w:val="DefaultParagraphFont"/>
    <w:uiPriority w:val="32"/>
    <w:qFormat/>
    <w:rsid w:val="008B6293"/>
    <w:rPr>
      <w:b/>
      <w:bCs/>
      <w:smallCaps/>
      <w:color w:val="2F5496" w:themeColor="accent1" w:themeShade="BF"/>
      <w:spacing w:val="5"/>
    </w:rPr>
  </w:style>
  <w:style w:type="paragraph" w:styleId="NoSpacing">
    <w:name w:val="No Spacing"/>
    <w:link w:val="NoSpacingChar"/>
    <w:uiPriority w:val="1"/>
    <w:qFormat/>
    <w:rsid w:val="009B7762"/>
    <w:pPr>
      <w:spacing w:after="0" w:line="240" w:lineRule="auto"/>
    </w:pPr>
    <w:rPr>
      <w:rFonts w:ascii="Calibri" w:eastAsia="Times New Roman" w:hAnsi="Calibri" w:cs="Mangal"/>
      <w:kern w:val="0"/>
      <w:szCs w:val="20"/>
      <w:lang w:val="en-US" w:bidi="hi-IN"/>
      <w14:ligatures w14:val="none"/>
    </w:rPr>
  </w:style>
  <w:style w:type="character" w:styleId="Hyperlink">
    <w:name w:val="Hyperlink"/>
    <w:basedOn w:val="DefaultParagraphFont"/>
    <w:uiPriority w:val="99"/>
    <w:unhideWhenUsed/>
    <w:rsid w:val="009B7762"/>
    <w:rPr>
      <w:color w:val="0563C1" w:themeColor="hyperlink"/>
      <w:u w:val="single"/>
    </w:rPr>
  </w:style>
  <w:style w:type="character" w:customStyle="1" w:styleId="NoSpacingChar">
    <w:name w:val="No Spacing Char"/>
    <w:basedOn w:val="DefaultParagraphFont"/>
    <w:link w:val="NoSpacing"/>
    <w:uiPriority w:val="1"/>
    <w:rsid w:val="009B7762"/>
    <w:rPr>
      <w:rFonts w:ascii="Calibri" w:eastAsia="Times New Roman" w:hAnsi="Calibri" w:cs="Mangal"/>
      <w:kern w:val="0"/>
      <w:szCs w:val="20"/>
      <w:lang w:val="en-US" w:bidi="hi-IN"/>
      <w14:ligatures w14:val="none"/>
    </w:rPr>
  </w:style>
  <w:style w:type="table" w:styleId="TableGrid">
    <w:name w:val="Table Grid"/>
    <w:basedOn w:val="TableNormal"/>
    <w:uiPriority w:val="39"/>
    <w:rsid w:val="008C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A2"/>
  </w:style>
  <w:style w:type="paragraph" w:styleId="Footer">
    <w:name w:val="footer"/>
    <w:basedOn w:val="Normal"/>
    <w:link w:val="FooterChar"/>
    <w:uiPriority w:val="99"/>
    <w:unhideWhenUsed/>
    <w:rsid w:val="009C0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A2"/>
  </w:style>
  <w:style w:type="character" w:styleId="UnresolvedMention">
    <w:name w:val="Unresolved Mention"/>
    <w:basedOn w:val="DefaultParagraphFont"/>
    <w:uiPriority w:val="99"/>
    <w:semiHidden/>
    <w:unhideWhenUsed/>
    <w:rsid w:val="00E41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ietary_fiber" TargetMode="External"/><Relationship Id="rId18" Type="http://schemas.openxmlformats.org/officeDocument/2006/relationships/hyperlink" Target="https://en.wikipedia.org/wiki/Fat" TargetMode="External"/><Relationship Id="rId26" Type="http://schemas.openxmlformats.org/officeDocument/2006/relationships/image" Target="media/image1.jpg"/><Relationship Id="rId21" Type="http://schemas.openxmlformats.org/officeDocument/2006/relationships/hyperlink" Target="https://en.wikipedia.org/wiki/Oleic_acid"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Daily_Value" TargetMode="External"/><Relationship Id="rId17" Type="http://schemas.openxmlformats.org/officeDocument/2006/relationships/hyperlink" Target="https://en.wikipedia.org/wiki/Phosphorus" TargetMode="External"/><Relationship Id="rId25" Type="http://schemas.openxmlformats.org/officeDocument/2006/relationships/hyperlink" Target="https://en.wikipedia.org/wiki/Palmitic_acid"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Magnesium" TargetMode="External"/><Relationship Id="rId20" Type="http://schemas.openxmlformats.org/officeDocument/2006/relationships/hyperlink" Target="https://en.wikipedia.org/wiki/Omega-9_fatty_acids"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ilocalorie" TargetMode="External"/><Relationship Id="rId24" Type="http://schemas.openxmlformats.org/officeDocument/2006/relationships/hyperlink" Target="https://en.wikipedia.org/wiki/Saturated_fa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Thiamine" TargetMode="External"/><Relationship Id="rId23" Type="http://schemas.openxmlformats.org/officeDocument/2006/relationships/hyperlink" Target="https://en.wikipedia.org/wiki/Linoleic_acid" TargetMode="External"/><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hyperlink" Target="https://en.wikipedia.org/wiki/Fat" TargetMode="External"/><Relationship Id="rId19" Type="http://schemas.openxmlformats.org/officeDocument/2006/relationships/hyperlink" Target="https://en.wikipedia.org/wiki/Alpha-Linolenic_aci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Carbohydrate" TargetMode="External"/><Relationship Id="rId14" Type="http://schemas.openxmlformats.org/officeDocument/2006/relationships/hyperlink" Target="https://en.wikipedia.org/wiki/Dietary_minerals" TargetMode="External"/><Relationship Id="rId22" Type="http://schemas.openxmlformats.org/officeDocument/2006/relationships/hyperlink" Target="https://en.wikipedia.org/wiki/Omega-6_fatty_acids" TargetMode="External"/><Relationship Id="rId27" Type="http://schemas.openxmlformats.org/officeDocument/2006/relationships/chart" Target="charts/chart1.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en.wikipedia.org/wiki/Protein_(nutrient)"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e%20word\RBD_Rohit_7%20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e%20word\RBD_Rohit_7%20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e%20word\RBD_Rohit_7%20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Growth parameters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Graphs!$GK$36:$GK$37</c:f>
              <c:strCache>
                <c:ptCount val="2"/>
                <c:pt idx="0">
                  <c:v>Plant height (cm)</c:v>
                </c:pt>
                <c:pt idx="1">
                  <c:v>60 DAS</c:v>
                </c:pt>
              </c:strCache>
            </c:strRef>
          </c:tx>
          <c:spPr>
            <a:solidFill>
              <a:srgbClr val="00B0F0"/>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Graphs!$GK$38:$GK$44</c:f>
              <c:numCache>
                <c:formatCode>General</c:formatCode>
                <c:ptCount val="7"/>
                <c:pt idx="0">
                  <c:v>22.2</c:v>
                </c:pt>
                <c:pt idx="1">
                  <c:v>25.4</c:v>
                </c:pt>
                <c:pt idx="2">
                  <c:v>24.2</c:v>
                </c:pt>
                <c:pt idx="3">
                  <c:v>27.1</c:v>
                </c:pt>
                <c:pt idx="4">
                  <c:v>27.7</c:v>
                </c:pt>
                <c:pt idx="5">
                  <c:v>25</c:v>
                </c:pt>
                <c:pt idx="6">
                  <c:v>27.3</c:v>
                </c:pt>
              </c:numCache>
            </c:numRef>
          </c:val>
          <c:extLst>
            <c:ext xmlns:c16="http://schemas.microsoft.com/office/drawing/2014/chart" uri="{C3380CC4-5D6E-409C-BE32-E72D297353CC}">
              <c16:uniqueId val="{00000000-23D2-4F7C-AE44-D70CDD4E1523}"/>
            </c:ext>
          </c:extLst>
        </c:ser>
        <c:ser>
          <c:idx val="1"/>
          <c:order val="1"/>
          <c:tx>
            <c:strRef>
              <c:f>Graphs!$GL$36:$GL$37</c:f>
              <c:strCache>
                <c:ptCount val="2"/>
                <c:pt idx="0">
                  <c:v>Plant height (cm)</c:v>
                </c:pt>
                <c:pt idx="1">
                  <c:v>90 DAS</c:v>
                </c:pt>
              </c:strCache>
            </c:strRef>
          </c:tx>
          <c:spPr>
            <a:solidFill>
              <a:schemeClr val="accent2"/>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Graphs!$GL$38:$GL$44</c:f>
              <c:numCache>
                <c:formatCode>General</c:formatCode>
                <c:ptCount val="7"/>
                <c:pt idx="0">
                  <c:v>60.6</c:v>
                </c:pt>
                <c:pt idx="1">
                  <c:v>64.400000000000006</c:v>
                </c:pt>
                <c:pt idx="2">
                  <c:v>63</c:v>
                </c:pt>
                <c:pt idx="3">
                  <c:v>64.7</c:v>
                </c:pt>
                <c:pt idx="4">
                  <c:v>71.3</c:v>
                </c:pt>
                <c:pt idx="5">
                  <c:v>63.3</c:v>
                </c:pt>
                <c:pt idx="6">
                  <c:v>67.8</c:v>
                </c:pt>
              </c:numCache>
            </c:numRef>
          </c:val>
          <c:extLst>
            <c:ext xmlns:c16="http://schemas.microsoft.com/office/drawing/2014/chart" uri="{C3380CC4-5D6E-409C-BE32-E72D297353CC}">
              <c16:uniqueId val="{00000001-23D2-4F7C-AE44-D70CDD4E1523}"/>
            </c:ext>
          </c:extLst>
        </c:ser>
        <c:ser>
          <c:idx val="2"/>
          <c:order val="2"/>
          <c:tx>
            <c:strRef>
              <c:f>Graphs!$GM$36:$GM$37</c:f>
              <c:strCache>
                <c:ptCount val="2"/>
                <c:pt idx="0">
                  <c:v>Number of leaves plant⁻¹</c:v>
                </c:pt>
                <c:pt idx="1">
                  <c:v>60 DAS</c:v>
                </c:pt>
              </c:strCache>
            </c:strRef>
          </c:tx>
          <c:spPr>
            <a:solidFill>
              <a:srgbClr val="EE000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Graphs!$GM$38:$GM$44</c:f>
              <c:numCache>
                <c:formatCode>General</c:formatCode>
                <c:ptCount val="7"/>
                <c:pt idx="0">
                  <c:v>100.8</c:v>
                </c:pt>
                <c:pt idx="1">
                  <c:v>112.3</c:v>
                </c:pt>
                <c:pt idx="2">
                  <c:v>106.1</c:v>
                </c:pt>
                <c:pt idx="3">
                  <c:v>119.1</c:v>
                </c:pt>
                <c:pt idx="4">
                  <c:v>125.8</c:v>
                </c:pt>
                <c:pt idx="5">
                  <c:v>108.5</c:v>
                </c:pt>
                <c:pt idx="6">
                  <c:v>121.6</c:v>
                </c:pt>
              </c:numCache>
            </c:numRef>
          </c:val>
          <c:extLst>
            <c:ext xmlns:c16="http://schemas.microsoft.com/office/drawing/2014/chart" uri="{C3380CC4-5D6E-409C-BE32-E72D297353CC}">
              <c16:uniqueId val="{00000002-23D2-4F7C-AE44-D70CDD4E1523}"/>
            </c:ext>
          </c:extLst>
        </c:ser>
        <c:ser>
          <c:idx val="3"/>
          <c:order val="3"/>
          <c:tx>
            <c:strRef>
              <c:f>Graphs!$GN$36:$GN$37</c:f>
              <c:strCache>
                <c:ptCount val="2"/>
                <c:pt idx="0">
                  <c:v>Number of leaves plant⁻¹</c:v>
                </c:pt>
                <c:pt idx="1">
                  <c:v>90 DAS</c:v>
                </c:pt>
              </c:strCache>
            </c:strRef>
          </c:tx>
          <c:spPr>
            <a:solidFill>
              <a:schemeClr val="accent4"/>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Graphs!$GN$38:$GN$44</c:f>
              <c:numCache>
                <c:formatCode>General</c:formatCode>
                <c:ptCount val="7"/>
                <c:pt idx="0">
                  <c:v>149.1</c:v>
                </c:pt>
                <c:pt idx="1">
                  <c:v>165.9</c:v>
                </c:pt>
                <c:pt idx="2">
                  <c:v>153.80000000000001</c:v>
                </c:pt>
                <c:pt idx="3">
                  <c:v>168.9</c:v>
                </c:pt>
                <c:pt idx="4">
                  <c:v>183.1</c:v>
                </c:pt>
                <c:pt idx="5">
                  <c:v>158.19999999999999</c:v>
                </c:pt>
                <c:pt idx="6">
                  <c:v>174.9</c:v>
                </c:pt>
              </c:numCache>
            </c:numRef>
          </c:val>
          <c:extLst>
            <c:ext xmlns:c16="http://schemas.microsoft.com/office/drawing/2014/chart" uri="{C3380CC4-5D6E-409C-BE32-E72D297353CC}">
              <c16:uniqueId val="{00000003-23D2-4F7C-AE44-D70CDD4E1523}"/>
            </c:ext>
          </c:extLst>
        </c:ser>
        <c:ser>
          <c:idx val="4"/>
          <c:order val="4"/>
          <c:tx>
            <c:strRef>
              <c:f>Graphs!$GO$36:$GO$37</c:f>
              <c:strCache>
                <c:ptCount val="2"/>
                <c:pt idx="0">
                  <c:v>Leaf area (cm⁻¹ )</c:v>
                </c:pt>
                <c:pt idx="1">
                  <c:v>60 DAS</c:v>
                </c:pt>
              </c:strCache>
            </c:strRef>
          </c:tx>
          <c:spPr>
            <a:solidFill>
              <a:srgbClr val="7030A0"/>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Graphs!$GO$38:$GO$44</c:f>
              <c:numCache>
                <c:formatCode>General</c:formatCode>
                <c:ptCount val="7"/>
                <c:pt idx="0">
                  <c:v>39.700000000000003</c:v>
                </c:pt>
                <c:pt idx="1">
                  <c:v>43.2</c:v>
                </c:pt>
                <c:pt idx="2">
                  <c:v>40.6</c:v>
                </c:pt>
                <c:pt idx="3">
                  <c:v>43.2</c:v>
                </c:pt>
                <c:pt idx="4">
                  <c:v>48.1</c:v>
                </c:pt>
                <c:pt idx="5">
                  <c:v>42.4</c:v>
                </c:pt>
                <c:pt idx="6">
                  <c:v>45.2</c:v>
                </c:pt>
              </c:numCache>
            </c:numRef>
          </c:val>
          <c:extLst>
            <c:ext xmlns:c16="http://schemas.microsoft.com/office/drawing/2014/chart" uri="{C3380CC4-5D6E-409C-BE32-E72D297353CC}">
              <c16:uniqueId val="{00000004-23D2-4F7C-AE44-D70CDD4E1523}"/>
            </c:ext>
          </c:extLst>
        </c:ser>
        <c:ser>
          <c:idx val="5"/>
          <c:order val="5"/>
          <c:tx>
            <c:strRef>
              <c:f>Graphs!$GP$36:$GP$37</c:f>
              <c:strCache>
                <c:ptCount val="2"/>
                <c:pt idx="0">
                  <c:v>Leaf area (cm⁻¹ )</c:v>
                </c:pt>
                <c:pt idx="1">
                  <c:v>90 DAS</c:v>
                </c:pt>
              </c:strCache>
            </c:strRef>
          </c:tx>
          <c:spPr>
            <a:solidFill>
              <a:schemeClr val="accent6"/>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Graphs!$GP$38:$GP$44</c:f>
              <c:numCache>
                <c:formatCode>General</c:formatCode>
                <c:ptCount val="7"/>
                <c:pt idx="0">
                  <c:v>44.4</c:v>
                </c:pt>
                <c:pt idx="1">
                  <c:v>50.1</c:v>
                </c:pt>
                <c:pt idx="2">
                  <c:v>45.6</c:v>
                </c:pt>
                <c:pt idx="3">
                  <c:v>51</c:v>
                </c:pt>
                <c:pt idx="4">
                  <c:v>52.6</c:v>
                </c:pt>
                <c:pt idx="5">
                  <c:v>0</c:v>
                </c:pt>
                <c:pt idx="6">
                  <c:v>51.7</c:v>
                </c:pt>
              </c:numCache>
            </c:numRef>
          </c:val>
          <c:extLst>
            <c:ext xmlns:c16="http://schemas.microsoft.com/office/drawing/2014/chart" uri="{C3380CC4-5D6E-409C-BE32-E72D297353CC}">
              <c16:uniqueId val="{00000005-23D2-4F7C-AE44-D70CDD4E1523}"/>
            </c:ext>
          </c:extLst>
        </c:ser>
        <c:dLbls>
          <c:showLegendKey val="0"/>
          <c:showVal val="0"/>
          <c:showCatName val="0"/>
          <c:showSerName val="0"/>
          <c:showPercent val="0"/>
          <c:showBubbleSize val="0"/>
        </c:dLbls>
        <c:gapWidth val="219"/>
        <c:overlap val="-27"/>
        <c:axId val="638318464"/>
        <c:axId val="638319424"/>
      </c:barChart>
      <c:catAx>
        <c:axId val="63831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38319424"/>
        <c:crosses val="autoZero"/>
        <c:auto val="1"/>
        <c:lblAlgn val="ctr"/>
        <c:lblOffset val="100"/>
        <c:noMultiLvlLbl val="0"/>
      </c:catAx>
      <c:valAx>
        <c:axId val="63831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3831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b="1">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Number of branches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Graphs!$GK$79:$GK$80</c:f>
              <c:strCache>
                <c:ptCount val="2"/>
                <c:pt idx="0">
                  <c:v>Number of  branches (plant⁻¹) </c:v>
                </c:pt>
                <c:pt idx="1">
                  <c:v>60 DAS</c:v>
                </c:pt>
              </c:strCache>
            </c:strRef>
          </c:tx>
          <c:spPr>
            <a:solidFill>
              <a:schemeClr val="accent1"/>
            </a:solidFill>
            <a:ln>
              <a:noFill/>
            </a:ln>
            <a:effectLst/>
            <a:sp3d/>
          </c:spPr>
          <c:invertIfNegative val="0"/>
          <c:cat>
            <c:strRef>
              <c:f>Graphs!$GJ$81:$GJ$87</c:f>
              <c:strCache>
                <c:ptCount val="7"/>
                <c:pt idx="0">
                  <c:v>T₁</c:v>
                </c:pt>
                <c:pt idx="1">
                  <c:v>T₂</c:v>
                </c:pt>
                <c:pt idx="2">
                  <c:v>T₃</c:v>
                </c:pt>
                <c:pt idx="3">
                  <c:v>T₄ </c:v>
                </c:pt>
                <c:pt idx="4">
                  <c:v>T₅ </c:v>
                </c:pt>
                <c:pt idx="5">
                  <c:v>T₆ </c:v>
                </c:pt>
                <c:pt idx="6">
                  <c:v>T₇</c:v>
                </c:pt>
              </c:strCache>
            </c:strRef>
          </c:cat>
          <c:val>
            <c:numRef>
              <c:f>Graphs!$GK$81:$GK$87</c:f>
              <c:numCache>
                <c:formatCode>General</c:formatCode>
                <c:ptCount val="7"/>
                <c:pt idx="0">
                  <c:v>2.57</c:v>
                </c:pt>
                <c:pt idx="1">
                  <c:v>3.76</c:v>
                </c:pt>
                <c:pt idx="2">
                  <c:v>2.83</c:v>
                </c:pt>
                <c:pt idx="3">
                  <c:v>3.3</c:v>
                </c:pt>
                <c:pt idx="4">
                  <c:v>3.6</c:v>
                </c:pt>
                <c:pt idx="5">
                  <c:v>2.93</c:v>
                </c:pt>
                <c:pt idx="6">
                  <c:v>3.4</c:v>
                </c:pt>
              </c:numCache>
            </c:numRef>
          </c:val>
          <c:extLst>
            <c:ext xmlns:c16="http://schemas.microsoft.com/office/drawing/2014/chart" uri="{C3380CC4-5D6E-409C-BE32-E72D297353CC}">
              <c16:uniqueId val="{00000000-0238-4BC3-B10C-E3DF5F8B5B26}"/>
            </c:ext>
          </c:extLst>
        </c:ser>
        <c:ser>
          <c:idx val="1"/>
          <c:order val="1"/>
          <c:tx>
            <c:strRef>
              <c:f>Graphs!$GL$79:$GL$80</c:f>
              <c:strCache>
                <c:ptCount val="2"/>
                <c:pt idx="0">
                  <c:v>Number of  branches (plant⁻¹) </c:v>
                </c:pt>
                <c:pt idx="1">
                  <c:v>90 DAS</c:v>
                </c:pt>
              </c:strCache>
            </c:strRef>
          </c:tx>
          <c:spPr>
            <a:solidFill>
              <a:schemeClr val="accent2"/>
            </a:solidFill>
            <a:ln>
              <a:noFill/>
            </a:ln>
            <a:effectLst/>
            <a:sp3d/>
          </c:spPr>
          <c:invertIfNegative val="0"/>
          <c:cat>
            <c:strRef>
              <c:f>Graphs!$GJ$81:$GJ$87</c:f>
              <c:strCache>
                <c:ptCount val="7"/>
                <c:pt idx="0">
                  <c:v>T₁</c:v>
                </c:pt>
                <c:pt idx="1">
                  <c:v>T₂</c:v>
                </c:pt>
                <c:pt idx="2">
                  <c:v>T₃</c:v>
                </c:pt>
                <c:pt idx="3">
                  <c:v>T₄ </c:v>
                </c:pt>
                <c:pt idx="4">
                  <c:v>T₅ </c:v>
                </c:pt>
                <c:pt idx="5">
                  <c:v>T₆ </c:v>
                </c:pt>
                <c:pt idx="6">
                  <c:v>T₇</c:v>
                </c:pt>
              </c:strCache>
            </c:strRef>
          </c:cat>
          <c:val>
            <c:numRef>
              <c:f>Graphs!$GL$81:$GL$87</c:f>
              <c:numCache>
                <c:formatCode>General</c:formatCode>
                <c:ptCount val="7"/>
                <c:pt idx="0">
                  <c:v>15.4</c:v>
                </c:pt>
                <c:pt idx="1">
                  <c:v>16.03</c:v>
                </c:pt>
                <c:pt idx="2">
                  <c:v>15.13</c:v>
                </c:pt>
                <c:pt idx="3">
                  <c:v>16.77</c:v>
                </c:pt>
                <c:pt idx="4">
                  <c:v>19.13</c:v>
                </c:pt>
                <c:pt idx="5">
                  <c:v>15.4</c:v>
                </c:pt>
                <c:pt idx="6">
                  <c:v>18.07</c:v>
                </c:pt>
              </c:numCache>
            </c:numRef>
          </c:val>
          <c:extLst>
            <c:ext xmlns:c16="http://schemas.microsoft.com/office/drawing/2014/chart" uri="{C3380CC4-5D6E-409C-BE32-E72D297353CC}">
              <c16:uniqueId val="{00000001-0238-4BC3-B10C-E3DF5F8B5B26}"/>
            </c:ext>
          </c:extLst>
        </c:ser>
        <c:dLbls>
          <c:showLegendKey val="0"/>
          <c:showVal val="0"/>
          <c:showCatName val="0"/>
          <c:showSerName val="0"/>
          <c:showPercent val="0"/>
          <c:showBubbleSize val="0"/>
        </c:dLbls>
        <c:gapWidth val="150"/>
        <c:shape val="box"/>
        <c:axId val="787774896"/>
        <c:axId val="787776336"/>
        <c:axId val="0"/>
      </c:bar3DChart>
      <c:catAx>
        <c:axId val="787774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76336"/>
        <c:crosses val="autoZero"/>
        <c:auto val="1"/>
        <c:lblAlgn val="ctr"/>
        <c:lblOffset val="100"/>
        <c:noMultiLvlLbl val="0"/>
      </c:catAx>
      <c:valAx>
        <c:axId val="787776336"/>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7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Yield attributes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solidFill>
            <a:schemeClr val="accent3">
              <a:lumMod val="20000"/>
              <a:lumOff val="80000"/>
            </a:schemeClr>
          </a:solidFill>
        </a:ln>
        <a:effectLst/>
        <a:sp3d>
          <a:contourClr>
            <a:schemeClr val="accent3">
              <a:lumMod val="20000"/>
              <a:lumOff val="80000"/>
            </a:schemeClr>
          </a:contourClr>
        </a:sp3d>
      </c:spPr>
    </c:sideWall>
    <c:backWall>
      <c:thickness val="0"/>
      <c:spPr>
        <a:noFill/>
        <a:ln>
          <a:solidFill>
            <a:schemeClr val="accent3">
              <a:lumMod val="20000"/>
              <a:lumOff val="80000"/>
            </a:schemeClr>
          </a:solidFill>
        </a:ln>
        <a:effectLst/>
        <a:sp3d>
          <a:contourClr>
            <a:schemeClr val="accent3">
              <a:lumMod val="20000"/>
              <a:lumOff val="80000"/>
            </a:schemeClr>
          </a:contourClr>
        </a:sp3d>
      </c:spPr>
    </c:backWall>
    <c:plotArea>
      <c:layout/>
      <c:bar3DChart>
        <c:barDir val="col"/>
        <c:grouping val="clustered"/>
        <c:varyColors val="0"/>
        <c:ser>
          <c:idx val="0"/>
          <c:order val="0"/>
          <c:tx>
            <c:strRef>
              <c:f>Graphs!$GX$36:$GX$38</c:f>
              <c:strCache>
                <c:ptCount val="3"/>
                <c:pt idx="0">
                  <c:v>Number of branches (plant⁻¹)</c:v>
                </c:pt>
              </c:strCache>
            </c:strRef>
          </c:tx>
          <c:spPr>
            <a:solidFill>
              <a:srgbClr val="C00000"/>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Graphs!$GX$39:$GX$45</c:f>
              <c:numCache>
                <c:formatCode>General</c:formatCode>
                <c:ptCount val="7"/>
                <c:pt idx="0">
                  <c:v>30.2</c:v>
                </c:pt>
                <c:pt idx="1">
                  <c:v>33.799999999999997</c:v>
                </c:pt>
                <c:pt idx="2">
                  <c:v>31.5</c:v>
                </c:pt>
                <c:pt idx="3">
                  <c:v>35.700000000000003</c:v>
                </c:pt>
                <c:pt idx="4">
                  <c:v>37.700000000000003</c:v>
                </c:pt>
                <c:pt idx="5">
                  <c:v>32.200000000000003</c:v>
                </c:pt>
                <c:pt idx="6">
                  <c:v>34.299999999999997</c:v>
                </c:pt>
              </c:numCache>
            </c:numRef>
          </c:val>
          <c:extLst>
            <c:ext xmlns:c16="http://schemas.microsoft.com/office/drawing/2014/chart" uri="{C3380CC4-5D6E-409C-BE32-E72D297353CC}">
              <c16:uniqueId val="{00000000-B869-4B0E-AE10-A26770A58B72}"/>
            </c:ext>
          </c:extLst>
        </c:ser>
        <c:ser>
          <c:idx val="1"/>
          <c:order val="1"/>
          <c:tx>
            <c:strRef>
              <c:f>Graphs!$GY$36:$GY$38</c:f>
              <c:strCache>
                <c:ptCount val="3"/>
                <c:pt idx="0">
                  <c:v>Number of seeds capsule⁻¹ </c:v>
                </c:pt>
              </c:strCache>
            </c:strRef>
          </c:tx>
          <c:spPr>
            <a:solidFill>
              <a:schemeClr val="accent2"/>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Graphs!$GY$39:$GY$45</c:f>
              <c:numCache>
                <c:formatCode>General</c:formatCode>
                <c:ptCount val="7"/>
                <c:pt idx="0">
                  <c:v>7.4</c:v>
                </c:pt>
                <c:pt idx="1">
                  <c:v>8.4</c:v>
                </c:pt>
                <c:pt idx="2">
                  <c:v>7.8</c:v>
                </c:pt>
                <c:pt idx="3">
                  <c:v>8.5</c:v>
                </c:pt>
                <c:pt idx="4">
                  <c:v>8.9</c:v>
                </c:pt>
                <c:pt idx="5">
                  <c:v>8</c:v>
                </c:pt>
                <c:pt idx="6">
                  <c:v>8.6999999999999993</c:v>
                </c:pt>
              </c:numCache>
            </c:numRef>
          </c:val>
          <c:extLst>
            <c:ext xmlns:c16="http://schemas.microsoft.com/office/drawing/2014/chart" uri="{C3380CC4-5D6E-409C-BE32-E72D297353CC}">
              <c16:uniqueId val="{00000001-B869-4B0E-AE10-A26770A58B72}"/>
            </c:ext>
          </c:extLst>
        </c:ser>
        <c:ser>
          <c:idx val="2"/>
          <c:order val="2"/>
          <c:tx>
            <c:strRef>
              <c:f>Graphs!$GZ$36:$GZ$38</c:f>
              <c:strCache>
                <c:ptCount val="3"/>
                <c:pt idx="0">
                  <c:v>1000 Grain weight (g)</c:v>
                </c:pt>
              </c:strCache>
            </c:strRef>
          </c:tx>
          <c:spPr>
            <a:solidFill>
              <a:srgbClr val="00B050"/>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Graphs!$GZ$39:$GZ$45</c:f>
              <c:numCache>
                <c:formatCode>General</c:formatCode>
                <c:ptCount val="7"/>
                <c:pt idx="0">
                  <c:v>6.7</c:v>
                </c:pt>
                <c:pt idx="1">
                  <c:v>7.5</c:v>
                </c:pt>
                <c:pt idx="2">
                  <c:v>7</c:v>
                </c:pt>
                <c:pt idx="3">
                  <c:v>7.6</c:v>
                </c:pt>
                <c:pt idx="4">
                  <c:v>8.1</c:v>
                </c:pt>
                <c:pt idx="5">
                  <c:v>7.2</c:v>
                </c:pt>
                <c:pt idx="6">
                  <c:v>7.8</c:v>
                </c:pt>
              </c:numCache>
            </c:numRef>
          </c:val>
          <c:extLst>
            <c:ext xmlns:c16="http://schemas.microsoft.com/office/drawing/2014/chart" uri="{C3380CC4-5D6E-409C-BE32-E72D297353CC}">
              <c16:uniqueId val="{00000002-B869-4B0E-AE10-A26770A58B72}"/>
            </c:ext>
          </c:extLst>
        </c:ser>
        <c:dLbls>
          <c:showLegendKey val="0"/>
          <c:showVal val="0"/>
          <c:showCatName val="0"/>
          <c:showSerName val="0"/>
          <c:showPercent val="0"/>
          <c:showBubbleSize val="0"/>
        </c:dLbls>
        <c:gapWidth val="150"/>
        <c:shape val="box"/>
        <c:axId val="787742256"/>
        <c:axId val="787742736"/>
        <c:axId val="0"/>
      </c:bar3DChart>
      <c:catAx>
        <c:axId val="787742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42736"/>
        <c:crosses val="autoZero"/>
        <c:auto val="1"/>
        <c:lblAlgn val="ctr"/>
        <c:lblOffset val="100"/>
        <c:noMultiLvlLbl val="0"/>
      </c:catAx>
      <c:valAx>
        <c:axId val="787742736"/>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4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2508-8F97-4369-8A79-057F6C50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14</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rohitgouatm@gmail.com</dc:creator>
  <cp:keywords/>
  <dc:description/>
  <cp:lastModifiedBy>SDI 1084</cp:lastModifiedBy>
  <cp:revision>30</cp:revision>
  <dcterms:created xsi:type="dcterms:W3CDTF">2025-09-18T08:05:00Z</dcterms:created>
  <dcterms:modified xsi:type="dcterms:W3CDTF">2025-09-23T06:55:00Z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21d3c2fa-6e11-39f2-a8b4-4ffc1e739b04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