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14BA28" w14:textId="2EBBCCF6" w:rsidR="00EF715A" w:rsidRDefault="00234962" w:rsidP="00DA0C34">
      <w:pPr>
        <w:spacing w:line="240" w:lineRule="auto"/>
        <w:jc w:val="center"/>
        <w:rPr>
          <w:rFonts w:ascii="Arial" w:hAnsi="Arial" w:cs="Arial"/>
          <w:b/>
          <w:bCs/>
          <w:sz w:val="36"/>
          <w:szCs w:val="36"/>
        </w:rPr>
      </w:pPr>
      <w:r w:rsidRPr="00122115">
        <w:rPr>
          <w:rFonts w:ascii="Arial" w:hAnsi="Arial" w:cs="Arial"/>
          <w:b/>
          <w:bCs/>
          <w:sz w:val="36"/>
          <w:szCs w:val="36"/>
        </w:rPr>
        <w:t>Seed Germination in Avocado: A Study on the Effects of Growth Regulators and Chemicals</w:t>
      </w:r>
    </w:p>
    <w:p w14:paraId="139956CB" w14:textId="77777777" w:rsidR="00710585" w:rsidRDefault="00710585" w:rsidP="00DA0C34">
      <w:pPr>
        <w:spacing w:after="0" w:line="240" w:lineRule="auto"/>
        <w:jc w:val="center"/>
        <w:rPr>
          <w:rFonts w:ascii="Arial" w:hAnsi="Arial" w:cs="Arial"/>
          <w:iCs/>
          <w:sz w:val="20"/>
          <w:szCs w:val="20"/>
          <w:lang w:val="en-US"/>
        </w:rPr>
      </w:pPr>
    </w:p>
    <w:p w14:paraId="2080DACB" w14:textId="77777777" w:rsidR="00710585" w:rsidRPr="00710585" w:rsidRDefault="00710585" w:rsidP="00DA0C34">
      <w:pPr>
        <w:spacing w:after="0" w:line="240" w:lineRule="auto"/>
        <w:jc w:val="center"/>
        <w:rPr>
          <w:rFonts w:ascii="Arial" w:hAnsi="Arial" w:cs="Arial"/>
          <w:iCs/>
          <w:sz w:val="20"/>
          <w:szCs w:val="20"/>
          <w:lang w:val="en-US"/>
        </w:rPr>
      </w:pPr>
    </w:p>
    <w:p w14:paraId="3FBAA02E" w14:textId="10BAA228" w:rsidR="00B03F67" w:rsidRPr="00234962" w:rsidRDefault="00B73CEE" w:rsidP="00DA0C34">
      <w:pPr>
        <w:spacing w:line="240" w:lineRule="auto"/>
        <w:jc w:val="both"/>
        <w:rPr>
          <w:rFonts w:ascii="Arial" w:hAnsi="Arial" w:cs="Arial"/>
          <w:b/>
          <w:bCs/>
        </w:rPr>
      </w:pPr>
      <w:r w:rsidRPr="00710585">
        <w:rPr>
          <w:rFonts w:ascii="Arial" w:hAnsi="Arial" w:cs="Arial"/>
          <w:b/>
          <w:bCs/>
          <w:sz w:val="22"/>
          <w:szCs w:val="22"/>
        </w:rPr>
        <w:t>ABSTRACT</w:t>
      </w:r>
    </w:p>
    <w:p w14:paraId="6E3D2B01" w14:textId="71470634" w:rsidR="002D7C12" w:rsidRPr="00710585" w:rsidRDefault="00B03F67" w:rsidP="00DA0C34">
      <w:pPr>
        <w:spacing w:line="240" w:lineRule="auto"/>
        <w:jc w:val="both"/>
        <w:rPr>
          <w:rFonts w:ascii="Arial" w:hAnsi="Arial" w:cs="Arial"/>
        </w:rPr>
      </w:pPr>
      <w:r w:rsidRPr="00710585">
        <w:rPr>
          <w:rFonts w:ascii="Arial" w:hAnsi="Arial" w:cs="Arial"/>
          <w:sz w:val="20"/>
          <w:szCs w:val="20"/>
        </w:rPr>
        <w:t xml:space="preserve">This study investigated the effect of various growth regulators and chemicals on the seed germination and seedling </w:t>
      </w:r>
      <w:r w:rsidR="00710585" w:rsidRPr="00710585">
        <w:rPr>
          <w:rFonts w:ascii="Arial" w:hAnsi="Arial" w:cs="Arial"/>
          <w:sz w:val="20"/>
          <w:szCs w:val="20"/>
        </w:rPr>
        <w:t>vigour</w:t>
      </w:r>
      <w:r w:rsidRPr="00710585">
        <w:rPr>
          <w:rFonts w:ascii="Arial" w:hAnsi="Arial" w:cs="Arial"/>
          <w:sz w:val="20"/>
          <w:szCs w:val="20"/>
        </w:rPr>
        <w:t xml:space="preserve"> of avocado (</w:t>
      </w:r>
      <w:proofErr w:type="spellStart"/>
      <w:r w:rsidRPr="00710585">
        <w:rPr>
          <w:rFonts w:ascii="Arial" w:hAnsi="Arial" w:cs="Arial"/>
          <w:i/>
          <w:iCs/>
          <w:sz w:val="20"/>
          <w:szCs w:val="20"/>
        </w:rPr>
        <w:t>Persea</w:t>
      </w:r>
      <w:proofErr w:type="spellEnd"/>
      <w:r w:rsidRPr="00710585">
        <w:rPr>
          <w:rFonts w:ascii="Arial" w:hAnsi="Arial" w:cs="Arial"/>
          <w:i/>
          <w:iCs/>
          <w:sz w:val="20"/>
          <w:szCs w:val="20"/>
        </w:rPr>
        <w:t xml:space="preserve"> </w:t>
      </w:r>
      <w:proofErr w:type="spellStart"/>
      <w:r w:rsidRPr="00710585">
        <w:rPr>
          <w:rFonts w:ascii="Arial" w:hAnsi="Arial" w:cs="Arial"/>
          <w:i/>
          <w:iCs/>
          <w:sz w:val="20"/>
          <w:szCs w:val="20"/>
        </w:rPr>
        <w:t>americana</w:t>
      </w:r>
      <w:proofErr w:type="spellEnd"/>
      <w:r w:rsidRPr="00710585">
        <w:rPr>
          <w:rFonts w:ascii="Arial" w:hAnsi="Arial" w:cs="Arial"/>
          <w:sz w:val="20"/>
          <w:szCs w:val="20"/>
        </w:rPr>
        <w:t xml:space="preserve"> Mill.). Given the short viability (2–3 weeks) and slow, uneven germination (40–60 days) of avocado seeds, which challenges large-scale propagation, this research aimed to enhance the germination potential and seedling uniformity. The experiment was conducted in Mysuru</w:t>
      </w:r>
      <w:r w:rsidR="001D767C" w:rsidRPr="00710585">
        <w:rPr>
          <w:rFonts w:ascii="Arial" w:hAnsi="Arial" w:cs="Arial"/>
          <w:sz w:val="20"/>
          <w:szCs w:val="20"/>
        </w:rPr>
        <w:t xml:space="preserve">. </w:t>
      </w:r>
      <w:r w:rsidRPr="00710585">
        <w:rPr>
          <w:rFonts w:ascii="Arial" w:hAnsi="Arial" w:cs="Arial"/>
          <w:sz w:val="20"/>
          <w:szCs w:val="20"/>
        </w:rPr>
        <w:t xml:space="preserve">Significant differences were observed across all treatments. The most </w:t>
      </w:r>
      <w:r w:rsidR="00710585" w:rsidRPr="00710585">
        <w:rPr>
          <w:rFonts w:ascii="Arial" w:hAnsi="Arial" w:cs="Arial"/>
          <w:sz w:val="20"/>
          <w:szCs w:val="20"/>
        </w:rPr>
        <w:t>favourable</w:t>
      </w:r>
      <w:r w:rsidRPr="00710585">
        <w:rPr>
          <w:rFonts w:ascii="Arial" w:hAnsi="Arial" w:cs="Arial"/>
          <w:sz w:val="20"/>
          <w:szCs w:val="20"/>
        </w:rPr>
        <w:t xml:space="preserve"> results for germination were achieved with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100 ppm, which</w:t>
      </w:r>
      <w:r w:rsidR="001D767C" w:rsidRPr="00710585">
        <w:rPr>
          <w:rFonts w:ascii="Arial" w:hAnsi="Arial" w:cs="Arial"/>
          <w:sz w:val="20"/>
          <w:szCs w:val="20"/>
        </w:rPr>
        <w:t xml:space="preserve"> i</w:t>
      </w:r>
      <w:r w:rsidRPr="00710585">
        <w:rPr>
          <w:rFonts w:ascii="Arial" w:hAnsi="Arial" w:cs="Arial"/>
          <w:sz w:val="20"/>
          <w:szCs w:val="20"/>
        </w:rPr>
        <w:t>nitiated germination earliest (13.33 days)</w:t>
      </w:r>
      <w:r w:rsidR="004D4873" w:rsidRPr="00710585">
        <w:rPr>
          <w:rFonts w:ascii="Arial" w:hAnsi="Arial" w:cs="Arial"/>
          <w:sz w:val="20"/>
          <w:szCs w:val="20"/>
        </w:rPr>
        <w:t>, c</w:t>
      </w:r>
      <w:r w:rsidRPr="00710585">
        <w:rPr>
          <w:rFonts w:ascii="Arial" w:hAnsi="Arial" w:cs="Arial"/>
          <w:sz w:val="20"/>
          <w:szCs w:val="20"/>
        </w:rPr>
        <w:t>ompleted germination fastest (19.67 days)</w:t>
      </w:r>
      <w:r w:rsidR="004D4873" w:rsidRPr="00710585">
        <w:rPr>
          <w:rFonts w:ascii="Arial" w:hAnsi="Arial" w:cs="Arial"/>
          <w:sz w:val="20"/>
          <w:szCs w:val="20"/>
        </w:rPr>
        <w:t>, r</w:t>
      </w:r>
      <w:r w:rsidRPr="00710585">
        <w:rPr>
          <w:rFonts w:ascii="Arial" w:hAnsi="Arial" w:cs="Arial"/>
          <w:sz w:val="20"/>
          <w:szCs w:val="20"/>
        </w:rPr>
        <w:t xml:space="preserve">ecorded the highest germination percentage (88.93%), comparable to </w:t>
      </w:r>
      <w:r w:rsidR="00CD6C48" w:rsidRPr="00710585">
        <w:rPr>
          <w:rFonts w:ascii="Arial" w:hAnsi="Arial" w:cs="Arial"/>
          <w:sz w:val="20"/>
          <w:szCs w:val="20"/>
        </w:rPr>
        <w:t>KNO</w:t>
      </w:r>
      <w:r w:rsidR="00CD6C48" w:rsidRPr="00710585">
        <w:rPr>
          <w:rFonts w:ascii="Arial" w:hAnsi="Arial" w:cs="Arial"/>
          <w:sz w:val="20"/>
          <w:szCs w:val="20"/>
          <w:vertAlign w:val="subscript"/>
        </w:rPr>
        <w:t>3</w:t>
      </w:r>
      <w:r w:rsidRPr="00710585">
        <w:rPr>
          <w:rFonts w:ascii="Arial" w:hAnsi="Arial" w:cs="Arial"/>
          <w:sz w:val="20"/>
          <w:szCs w:val="20"/>
        </w:rPr>
        <w:t xml:space="preserve"> 2% (85.00%)</w:t>
      </w:r>
      <w:r w:rsidR="004D4873" w:rsidRPr="00710585">
        <w:rPr>
          <w:rFonts w:ascii="Arial" w:hAnsi="Arial" w:cs="Arial"/>
          <w:sz w:val="20"/>
          <w:szCs w:val="20"/>
        </w:rPr>
        <w:t xml:space="preserve">. </w:t>
      </w:r>
      <w:r w:rsidRPr="00710585">
        <w:rPr>
          <w:rFonts w:ascii="Arial" w:hAnsi="Arial" w:cs="Arial"/>
          <w:sz w:val="20"/>
          <w:szCs w:val="20"/>
        </w:rPr>
        <w:t>Untreated seeds showed the lowest germination (41.9%)</w:t>
      </w:r>
      <w:r w:rsidR="004D4873" w:rsidRPr="00710585">
        <w:rPr>
          <w:rFonts w:ascii="Arial" w:hAnsi="Arial" w:cs="Arial"/>
          <w:sz w:val="20"/>
          <w:szCs w:val="20"/>
        </w:rPr>
        <w:t xml:space="preserve">. </w:t>
      </w:r>
      <w:r w:rsidRPr="00710585">
        <w:rPr>
          <w:rFonts w:ascii="Arial" w:hAnsi="Arial" w:cs="Arial"/>
          <w:sz w:val="20"/>
          <w:szCs w:val="20"/>
        </w:rPr>
        <w:t xml:space="preserve">Regarding seedling growth,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at 100 ppm and 200 ppm generally produced the best results.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200 ppm resulted in the maximum stem diameter (7.54 mm), </w:t>
      </w:r>
      <w:r w:rsidR="004D4873" w:rsidRPr="00710585">
        <w:rPr>
          <w:rFonts w:ascii="Arial" w:hAnsi="Arial" w:cs="Arial"/>
          <w:sz w:val="20"/>
          <w:szCs w:val="20"/>
        </w:rPr>
        <w:t>on for with</w:t>
      </w:r>
      <w:r w:rsidRPr="00710585">
        <w:rPr>
          <w:rFonts w:ascii="Arial" w:hAnsi="Arial" w:cs="Arial"/>
          <w:sz w:val="20"/>
          <w:szCs w:val="20"/>
        </w:rPr>
        <w:t xml:space="preserve">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100 ppm (7.50 mm</w:t>
      </w:r>
      <w:r w:rsidR="004D4873" w:rsidRPr="00710585">
        <w:rPr>
          <w:rFonts w:ascii="Arial" w:hAnsi="Arial" w:cs="Arial"/>
          <w:sz w:val="20"/>
          <w:szCs w:val="20"/>
        </w:rPr>
        <w:t xml:space="preserve">).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200 ppm yielded the greatest seedling length (99.7 cm), followed by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100 ppm (95.57 cm</w:t>
      </w:r>
      <w:r w:rsidR="004D4873" w:rsidRPr="00710585">
        <w:rPr>
          <w:rFonts w:ascii="Arial" w:hAnsi="Arial" w:cs="Arial"/>
          <w:sz w:val="20"/>
          <w:szCs w:val="20"/>
        </w:rPr>
        <w:t xml:space="preserve">).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004D4873" w:rsidRPr="00710585">
        <w:rPr>
          <w:rFonts w:ascii="Arial" w:hAnsi="Arial" w:cs="Arial"/>
          <w:sz w:val="20"/>
          <w:szCs w:val="20"/>
        </w:rPr>
        <w:t xml:space="preserve"> at </w:t>
      </w:r>
      <w:r w:rsidRPr="00710585">
        <w:rPr>
          <w:rFonts w:ascii="Arial" w:hAnsi="Arial" w:cs="Arial"/>
          <w:sz w:val="20"/>
          <w:szCs w:val="20"/>
        </w:rPr>
        <w:t>100 ppm resulted in the highest dry weight (53.2 g)</w:t>
      </w:r>
      <w:r w:rsidR="004D4873" w:rsidRPr="00710585">
        <w:rPr>
          <w:rFonts w:ascii="Arial" w:hAnsi="Arial" w:cs="Arial"/>
          <w:sz w:val="20"/>
          <w:szCs w:val="20"/>
        </w:rPr>
        <w:t xml:space="preserve">. </w:t>
      </w:r>
      <w:r w:rsidRPr="00710585">
        <w:rPr>
          <w:rFonts w:ascii="Arial" w:hAnsi="Arial" w:cs="Arial"/>
          <w:sz w:val="20"/>
          <w:szCs w:val="20"/>
        </w:rPr>
        <w:t xml:space="preserve">The highest values for Seedling Vigour Index I (9121.07) and Seedling Vigour Index II (4730.77) were recorded with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100 </w:t>
      </w:r>
      <w:r w:rsidR="004D4873" w:rsidRPr="00710585">
        <w:rPr>
          <w:rFonts w:ascii="Arial" w:hAnsi="Arial" w:cs="Arial"/>
          <w:sz w:val="20"/>
          <w:szCs w:val="20"/>
        </w:rPr>
        <w:t xml:space="preserve">ppm. </w:t>
      </w:r>
      <w:r w:rsidR="00CD6C48" w:rsidRPr="00710585">
        <w:rPr>
          <w:rFonts w:ascii="Arial" w:hAnsi="Arial" w:cs="Arial"/>
          <w:sz w:val="20"/>
          <w:szCs w:val="20"/>
        </w:rPr>
        <w:t>GA</w:t>
      </w:r>
      <w:r w:rsidR="00CD6C48" w:rsidRPr="00710585">
        <w:rPr>
          <w:rFonts w:ascii="Arial" w:hAnsi="Arial" w:cs="Arial"/>
          <w:sz w:val="20"/>
          <w:szCs w:val="20"/>
          <w:vertAlign w:val="subscript"/>
        </w:rPr>
        <w:t>3</w:t>
      </w:r>
      <w:r w:rsidRPr="00710585">
        <w:rPr>
          <w:rFonts w:ascii="Arial" w:hAnsi="Arial" w:cs="Arial"/>
          <w:sz w:val="20"/>
          <w:szCs w:val="20"/>
        </w:rPr>
        <w:t xml:space="preserve"> at 100 ppm proved to be the most effective treatment for increasing both the germination potential and overall seedling vigour of</w:t>
      </w:r>
      <w:r w:rsidR="00122115" w:rsidRPr="00710585">
        <w:rPr>
          <w:rFonts w:ascii="Arial" w:hAnsi="Arial" w:cs="Arial"/>
          <w:sz w:val="20"/>
          <w:szCs w:val="20"/>
        </w:rPr>
        <w:t xml:space="preserve"> </w:t>
      </w:r>
      <w:r w:rsidRPr="00710585">
        <w:rPr>
          <w:rFonts w:ascii="Arial" w:hAnsi="Arial" w:cs="Arial"/>
          <w:sz w:val="20"/>
          <w:szCs w:val="20"/>
        </w:rPr>
        <w:t>avocad</w:t>
      </w:r>
      <w:r w:rsidR="004D4873" w:rsidRPr="00710585">
        <w:rPr>
          <w:rFonts w:ascii="Arial" w:hAnsi="Arial" w:cs="Arial"/>
          <w:sz w:val="20"/>
          <w:szCs w:val="20"/>
        </w:rPr>
        <w:t>o.</w:t>
      </w:r>
      <w:r w:rsidR="004D4873" w:rsidRPr="00234962">
        <w:rPr>
          <w:rFonts w:ascii="Arial" w:hAnsi="Arial" w:cs="Arial"/>
        </w:rPr>
        <w:br/>
      </w:r>
      <w:bookmarkStart w:id="0" w:name="_GoBack"/>
      <w:bookmarkEnd w:id="0"/>
      <w:r w:rsidR="004D4873" w:rsidRPr="00234962">
        <w:rPr>
          <w:rFonts w:ascii="Arial" w:hAnsi="Arial" w:cs="Arial"/>
        </w:rPr>
        <w:br/>
      </w:r>
      <w:r w:rsidR="004D4873" w:rsidRPr="00710585">
        <w:rPr>
          <w:rFonts w:ascii="Arial" w:hAnsi="Arial" w:cs="Arial"/>
          <w:b/>
          <w:bCs/>
          <w:i/>
          <w:iCs/>
          <w:sz w:val="20"/>
          <w:szCs w:val="20"/>
        </w:rPr>
        <w:t xml:space="preserve">Key words: </w:t>
      </w:r>
      <w:r w:rsidR="00CD6C48" w:rsidRPr="00710585">
        <w:rPr>
          <w:rFonts w:ascii="Arial" w:hAnsi="Arial" w:cs="Arial"/>
          <w:i/>
          <w:iCs/>
          <w:sz w:val="20"/>
          <w:szCs w:val="20"/>
        </w:rPr>
        <w:t>GA</w:t>
      </w:r>
      <w:r w:rsidR="00CD6C48" w:rsidRPr="00710585">
        <w:rPr>
          <w:rFonts w:ascii="Arial" w:hAnsi="Arial" w:cs="Arial"/>
          <w:i/>
          <w:iCs/>
          <w:sz w:val="20"/>
          <w:szCs w:val="20"/>
          <w:vertAlign w:val="subscript"/>
        </w:rPr>
        <w:t>3</w:t>
      </w:r>
      <w:r w:rsidR="000E457A" w:rsidRPr="00710585">
        <w:rPr>
          <w:rFonts w:ascii="Arial" w:hAnsi="Arial" w:cs="Arial"/>
          <w:i/>
          <w:iCs/>
          <w:sz w:val="20"/>
          <w:szCs w:val="20"/>
        </w:rPr>
        <w:t xml:space="preserve"> (Gibberellic Acid), Seed Germination, Seedling Vigour</w:t>
      </w:r>
      <w:r w:rsidR="00C26CBF" w:rsidRPr="00710585">
        <w:rPr>
          <w:rFonts w:ascii="Arial" w:hAnsi="Arial" w:cs="Arial"/>
          <w:i/>
          <w:iCs/>
          <w:sz w:val="20"/>
          <w:szCs w:val="20"/>
        </w:rPr>
        <w:t xml:space="preserve">, </w:t>
      </w:r>
      <w:r w:rsidR="00CD6C48" w:rsidRPr="00710585">
        <w:rPr>
          <w:rFonts w:ascii="Arial" w:hAnsi="Arial" w:cs="Arial"/>
          <w:i/>
          <w:iCs/>
          <w:sz w:val="20"/>
          <w:szCs w:val="20"/>
        </w:rPr>
        <w:t>KNO</w:t>
      </w:r>
      <w:r w:rsidR="00CD6C48" w:rsidRPr="00710585">
        <w:rPr>
          <w:rFonts w:ascii="Arial" w:hAnsi="Arial" w:cs="Arial"/>
          <w:i/>
          <w:iCs/>
          <w:sz w:val="20"/>
          <w:szCs w:val="20"/>
          <w:vertAlign w:val="subscript"/>
        </w:rPr>
        <w:t>3</w:t>
      </w:r>
      <w:r w:rsidR="000E457A" w:rsidRPr="00710585">
        <w:rPr>
          <w:rFonts w:ascii="Arial" w:hAnsi="Arial" w:cs="Arial"/>
          <w:i/>
          <w:iCs/>
          <w:sz w:val="20"/>
          <w:szCs w:val="20"/>
        </w:rPr>
        <w:t xml:space="preserve"> (Potassium Nitrate)</w:t>
      </w:r>
    </w:p>
    <w:p w14:paraId="29E8FDA2" w14:textId="65580DAB" w:rsidR="00F37A3E" w:rsidRPr="00234962" w:rsidRDefault="00954FA6" w:rsidP="00DA0C34">
      <w:pPr>
        <w:numPr>
          <w:ilvl w:val="0"/>
          <w:numId w:val="3"/>
        </w:numPr>
        <w:spacing w:line="240" w:lineRule="auto"/>
        <w:ind w:left="284" w:hanging="284"/>
        <w:jc w:val="both"/>
        <w:rPr>
          <w:rFonts w:ascii="Arial" w:hAnsi="Arial" w:cs="Arial"/>
          <w:b/>
          <w:bCs/>
        </w:rPr>
      </w:pPr>
      <w:r w:rsidRPr="00234962">
        <w:rPr>
          <w:rFonts w:ascii="Arial" w:hAnsi="Arial" w:cs="Arial"/>
          <w:b/>
          <w:bCs/>
        </w:rPr>
        <w:t>INTRODUCTION</w:t>
      </w:r>
    </w:p>
    <w:p w14:paraId="3E6B2FC1" w14:textId="1673F015" w:rsidR="00FC0450" w:rsidRPr="00954FA6" w:rsidRDefault="00EF715A" w:rsidP="00DA0C34">
      <w:pPr>
        <w:spacing w:line="240" w:lineRule="auto"/>
        <w:jc w:val="both"/>
        <w:rPr>
          <w:rFonts w:ascii="Arial" w:hAnsi="Arial" w:cs="Arial"/>
          <w:sz w:val="20"/>
          <w:szCs w:val="20"/>
        </w:rPr>
      </w:pPr>
      <w:r w:rsidRPr="00954FA6">
        <w:rPr>
          <w:rFonts w:ascii="Arial" w:hAnsi="Arial" w:cs="Arial"/>
          <w:sz w:val="20"/>
          <w:szCs w:val="20"/>
        </w:rPr>
        <w:t xml:space="preserve">Avocado is a fruit crop which belongs to the family </w:t>
      </w:r>
      <w:proofErr w:type="spellStart"/>
      <w:r w:rsidRPr="00954FA6">
        <w:rPr>
          <w:rFonts w:ascii="Arial" w:hAnsi="Arial" w:cs="Arial"/>
          <w:sz w:val="20"/>
          <w:szCs w:val="20"/>
        </w:rPr>
        <w:t>Lauraceae</w:t>
      </w:r>
      <w:proofErr w:type="spellEnd"/>
      <w:r w:rsidRPr="00954FA6">
        <w:rPr>
          <w:rFonts w:ascii="Arial" w:hAnsi="Arial" w:cs="Arial"/>
          <w:sz w:val="20"/>
          <w:szCs w:val="20"/>
        </w:rPr>
        <w:t xml:space="preserve"> and order </w:t>
      </w:r>
      <w:proofErr w:type="spellStart"/>
      <w:r w:rsidRPr="00954FA6">
        <w:rPr>
          <w:rFonts w:ascii="Arial" w:hAnsi="Arial" w:cs="Arial"/>
          <w:sz w:val="20"/>
          <w:szCs w:val="20"/>
        </w:rPr>
        <w:t>laurales</w:t>
      </w:r>
      <w:proofErr w:type="spellEnd"/>
      <w:r w:rsidRPr="00954FA6">
        <w:rPr>
          <w:rFonts w:ascii="Arial" w:hAnsi="Arial" w:cs="Arial"/>
          <w:sz w:val="20"/>
          <w:szCs w:val="20"/>
        </w:rPr>
        <w:t xml:space="preserve"> which includes few important spices like cinnamon, bay leaf, camphor and sassafras. It is popularly known as </w:t>
      </w:r>
      <w:proofErr w:type="spellStart"/>
      <w:r w:rsidRPr="00954FA6">
        <w:rPr>
          <w:rFonts w:ascii="Arial" w:hAnsi="Arial" w:cs="Arial"/>
          <w:sz w:val="20"/>
          <w:szCs w:val="20"/>
        </w:rPr>
        <w:t>Aguacate</w:t>
      </w:r>
      <w:proofErr w:type="spellEnd"/>
      <w:r w:rsidRPr="00954FA6">
        <w:rPr>
          <w:rFonts w:ascii="Arial" w:hAnsi="Arial" w:cs="Arial"/>
          <w:sz w:val="20"/>
          <w:szCs w:val="20"/>
        </w:rPr>
        <w:t>, Alligator pear and Butter fruit. The word “Avocado” got its derivation from the Spanish word “</w:t>
      </w:r>
      <w:proofErr w:type="spellStart"/>
      <w:r w:rsidRPr="00954FA6">
        <w:rPr>
          <w:rFonts w:ascii="Arial" w:hAnsi="Arial" w:cs="Arial"/>
          <w:sz w:val="20"/>
          <w:szCs w:val="20"/>
        </w:rPr>
        <w:t>ahuacatl</w:t>
      </w:r>
      <w:proofErr w:type="spellEnd"/>
      <w:r w:rsidRPr="00954FA6">
        <w:rPr>
          <w:rFonts w:ascii="Arial" w:hAnsi="Arial" w:cs="Arial"/>
          <w:sz w:val="20"/>
          <w:szCs w:val="20"/>
        </w:rPr>
        <w:t xml:space="preserve">” which literally means “testicle” due to the resemblance of the shape. </w:t>
      </w:r>
      <w:r w:rsidR="00D93B34" w:rsidRPr="00954FA6">
        <w:rPr>
          <w:rFonts w:ascii="Arial" w:hAnsi="Arial" w:cs="Arial"/>
          <w:sz w:val="20"/>
          <w:szCs w:val="20"/>
        </w:rPr>
        <w:t>The genus </w:t>
      </w:r>
      <w:proofErr w:type="spellStart"/>
      <w:r w:rsidR="00D93B34" w:rsidRPr="00954FA6">
        <w:rPr>
          <w:rFonts w:ascii="Arial" w:hAnsi="Arial" w:cs="Arial"/>
          <w:i/>
          <w:iCs/>
          <w:sz w:val="20"/>
          <w:szCs w:val="20"/>
        </w:rPr>
        <w:t>Persea</w:t>
      </w:r>
      <w:proofErr w:type="spellEnd"/>
      <w:r w:rsidR="00D93B34" w:rsidRPr="00954FA6">
        <w:rPr>
          <w:rFonts w:ascii="Arial" w:hAnsi="Arial" w:cs="Arial"/>
          <w:sz w:val="20"/>
          <w:szCs w:val="20"/>
        </w:rPr>
        <w:t> comprises about 50 species, of which </w:t>
      </w:r>
      <w:proofErr w:type="spellStart"/>
      <w:r w:rsidR="00D93B34" w:rsidRPr="00954FA6">
        <w:rPr>
          <w:rFonts w:ascii="Arial" w:hAnsi="Arial" w:cs="Arial"/>
          <w:i/>
          <w:iCs/>
          <w:sz w:val="20"/>
          <w:szCs w:val="20"/>
        </w:rPr>
        <w:t>Persea</w:t>
      </w:r>
      <w:proofErr w:type="spellEnd"/>
      <w:r w:rsidR="00D93B34" w:rsidRPr="00954FA6">
        <w:rPr>
          <w:rFonts w:ascii="Arial" w:hAnsi="Arial" w:cs="Arial"/>
          <w:i/>
          <w:iCs/>
          <w:sz w:val="20"/>
          <w:szCs w:val="20"/>
        </w:rPr>
        <w:t xml:space="preserve"> </w:t>
      </w:r>
      <w:proofErr w:type="spellStart"/>
      <w:r w:rsidR="00D93B34" w:rsidRPr="00954FA6">
        <w:rPr>
          <w:rFonts w:ascii="Arial" w:hAnsi="Arial" w:cs="Arial"/>
          <w:i/>
          <w:iCs/>
          <w:sz w:val="20"/>
          <w:szCs w:val="20"/>
        </w:rPr>
        <w:t>americana</w:t>
      </w:r>
      <w:proofErr w:type="spellEnd"/>
      <w:r w:rsidR="00D93B34" w:rsidRPr="00954FA6">
        <w:rPr>
          <w:rFonts w:ascii="Arial" w:hAnsi="Arial" w:cs="Arial"/>
          <w:sz w:val="20"/>
          <w:szCs w:val="20"/>
        </w:rPr>
        <w:t> is the true avocado. Native to the New World, particularly Central America and Mexico, </w:t>
      </w:r>
      <w:r w:rsidR="00D93B34" w:rsidRPr="00954FA6">
        <w:rPr>
          <w:rFonts w:ascii="Arial" w:hAnsi="Arial" w:cs="Arial"/>
          <w:i/>
          <w:iCs/>
          <w:sz w:val="20"/>
          <w:szCs w:val="20"/>
        </w:rPr>
        <w:t>P. americana</w:t>
      </w:r>
      <w:r w:rsidR="00D93B34" w:rsidRPr="00954FA6">
        <w:rPr>
          <w:rFonts w:ascii="Arial" w:hAnsi="Arial" w:cs="Arial"/>
          <w:sz w:val="20"/>
          <w:szCs w:val="20"/>
        </w:rPr>
        <w:t> is a relatively recent global crop</w:t>
      </w:r>
      <w:r w:rsidR="00F768F1" w:rsidRPr="00954FA6">
        <w:rPr>
          <w:rFonts w:ascii="Arial" w:hAnsi="Arial" w:cs="Arial"/>
          <w:sz w:val="20"/>
          <w:szCs w:val="20"/>
        </w:rPr>
        <w:t xml:space="preserve"> (Bergh and </w:t>
      </w:r>
      <w:proofErr w:type="spellStart"/>
      <w:r w:rsidR="00F768F1" w:rsidRPr="00954FA6">
        <w:rPr>
          <w:rFonts w:ascii="Arial" w:hAnsi="Arial" w:cs="Arial"/>
          <w:sz w:val="20"/>
          <w:szCs w:val="20"/>
        </w:rPr>
        <w:t>Ellstrand</w:t>
      </w:r>
      <w:proofErr w:type="spellEnd"/>
      <w:r w:rsidR="00F768F1" w:rsidRPr="00954FA6">
        <w:rPr>
          <w:rFonts w:ascii="Arial" w:hAnsi="Arial" w:cs="Arial"/>
          <w:sz w:val="20"/>
          <w:szCs w:val="20"/>
        </w:rPr>
        <w:t xml:space="preserve"> 1986)</w:t>
      </w:r>
      <w:r w:rsidR="00D93B34" w:rsidRPr="00954FA6">
        <w:rPr>
          <w:rFonts w:ascii="Arial" w:hAnsi="Arial" w:cs="Arial"/>
          <w:sz w:val="20"/>
          <w:szCs w:val="20"/>
        </w:rPr>
        <w:t>. Historical records suggest it was first cultivated in Mexico around 500 BC</w:t>
      </w:r>
      <w:r w:rsidR="00F768F1" w:rsidRPr="00954FA6">
        <w:rPr>
          <w:rFonts w:ascii="Arial" w:hAnsi="Arial" w:cs="Arial"/>
          <w:sz w:val="20"/>
          <w:szCs w:val="20"/>
        </w:rPr>
        <w:t xml:space="preserve"> (</w:t>
      </w:r>
      <w:proofErr w:type="spellStart"/>
      <w:r w:rsidR="00F768F1" w:rsidRPr="00954FA6">
        <w:rPr>
          <w:rFonts w:ascii="Arial" w:hAnsi="Arial" w:cs="Arial"/>
          <w:sz w:val="20"/>
          <w:szCs w:val="20"/>
        </w:rPr>
        <w:t>Duester</w:t>
      </w:r>
      <w:proofErr w:type="spellEnd"/>
      <w:r w:rsidR="00F768F1" w:rsidRPr="00954FA6">
        <w:rPr>
          <w:rFonts w:ascii="Arial" w:hAnsi="Arial" w:cs="Arial"/>
          <w:sz w:val="20"/>
          <w:szCs w:val="20"/>
        </w:rPr>
        <w:t xml:space="preserve">, 2000; Rainey </w:t>
      </w:r>
      <w:r w:rsidR="00FE73D0" w:rsidRPr="00954FA6">
        <w:rPr>
          <w:rFonts w:ascii="Arial" w:hAnsi="Arial" w:cs="Arial"/>
          <w:i/>
          <w:iCs/>
          <w:sz w:val="20"/>
          <w:szCs w:val="20"/>
        </w:rPr>
        <w:t>et al.,</w:t>
      </w:r>
      <w:r w:rsidR="00FE73D0" w:rsidRPr="00954FA6">
        <w:rPr>
          <w:rFonts w:ascii="Arial" w:hAnsi="Arial" w:cs="Arial"/>
          <w:sz w:val="20"/>
          <w:szCs w:val="20"/>
        </w:rPr>
        <w:t xml:space="preserve"> </w:t>
      </w:r>
      <w:r w:rsidR="00F768F1" w:rsidRPr="00954FA6">
        <w:rPr>
          <w:rFonts w:ascii="Arial" w:hAnsi="Arial" w:cs="Arial"/>
          <w:sz w:val="20"/>
          <w:szCs w:val="20"/>
        </w:rPr>
        <w:t>1994)</w:t>
      </w:r>
      <w:r w:rsidR="00D93B34" w:rsidRPr="00954FA6">
        <w:rPr>
          <w:rFonts w:ascii="Arial" w:hAnsi="Arial" w:cs="Arial"/>
          <w:sz w:val="20"/>
          <w:szCs w:val="20"/>
        </w:rPr>
        <w:t xml:space="preserve">. Initially grown in Mexico, Central America, Colombia, and Ecuador, avocado cultivation spread widely after the Mexican variety ‘Fuerte’ was introduced to California in 1911. Today, it is an important commercial fruit in countries such as the United States, Puerto Rico, Brazil, the Dominican Republic, Chile, Australia, Indonesia, Israel, South Africa, and Spain </w:t>
      </w:r>
      <w:r w:rsidRPr="00954FA6">
        <w:rPr>
          <w:rFonts w:ascii="Arial" w:hAnsi="Arial" w:cs="Arial"/>
          <w:sz w:val="20"/>
          <w:szCs w:val="20"/>
        </w:rPr>
        <w:t>(Ben-Yaacov and Michelson, 1995).</w:t>
      </w:r>
    </w:p>
    <w:p w14:paraId="32D9E918" w14:textId="21ED75EC" w:rsidR="00C8794E" w:rsidRPr="00954FA6" w:rsidRDefault="00C8794E" w:rsidP="00DA0C34">
      <w:pPr>
        <w:spacing w:line="240" w:lineRule="auto"/>
        <w:jc w:val="both"/>
        <w:rPr>
          <w:rFonts w:ascii="Arial" w:hAnsi="Arial" w:cs="Arial"/>
          <w:sz w:val="20"/>
          <w:szCs w:val="20"/>
        </w:rPr>
      </w:pPr>
      <w:r w:rsidRPr="00954FA6">
        <w:rPr>
          <w:rFonts w:ascii="Arial" w:hAnsi="Arial" w:cs="Arial"/>
          <w:sz w:val="20"/>
          <w:szCs w:val="20"/>
        </w:rPr>
        <w:t>Avocado is a nutrient-rich fruit with high fat content, second only to olives in oil concentration. Its oil content ranges from 5–40%, varying by variety, cultivation area, and season. The fruit’s lipids are about 60% monounsaturated fatty acids (MUFA) and roughly 13% essential fatty acids, including linoleic and linolenic acids, which benefit cardiovascular health (</w:t>
      </w:r>
      <w:proofErr w:type="spellStart"/>
      <w:r w:rsidRPr="00954FA6">
        <w:rPr>
          <w:rFonts w:ascii="Arial" w:hAnsi="Arial" w:cs="Arial"/>
          <w:sz w:val="20"/>
          <w:szCs w:val="20"/>
        </w:rPr>
        <w:t>Pedreschi</w:t>
      </w:r>
      <w:proofErr w:type="spellEnd"/>
      <w:r w:rsidRPr="00954FA6">
        <w:rPr>
          <w:rFonts w:ascii="Arial" w:hAnsi="Arial" w:cs="Arial"/>
          <w:sz w:val="20"/>
          <w:szCs w:val="20"/>
        </w:rPr>
        <w:t xml:space="preserve"> </w:t>
      </w:r>
      <w:r w:rsidR="00FE73D0" w:rsidRPr="00954FA6">
        <w:rPr>
          <w:rFonts w:ascii="Arial" w:hAnsi="Arial" w:cs="Arial"/>
          <w:i/>
          <w:iCs/>
          <w:sz w:val="20"/>
          <w:szCs w:val="20"/>
        </w:rPr>
        <w:t>et al.,</w:t>
      </w:r>
      <w:r w:rsidR="00FE73D0" w:rsidRPr="00954FA6">
        <w:rPr>
          <w:rFonts w:ascii="Arial" w:hAnsi="Arial" w:cs="Arial"/>
          <w:sz w:val="20"/>
          <w:szCs w:val="20"/>
        </w:rPr>
        <w:t xml:space="preserve"> </w:t>
      </w:r>
      <w:r w:rsidRPr="00954FA6">
        <w:rPr>
          <w:rFonts w:ascii="Arial" w:hAnsi="Arial" w:cs="Arial"/>
          <w:sz w:val="20"/>
          <w:szCs w:val="20"/>
        </w:rPr>
        <w:t xml:space="preserve">2016). Due to its low sugar content, avocado is suitable for diabetics (Meyer and Terry, 2010). It provides 25 essential nutrients, such as protein, </w:t>
      </w:r>
      <w:proofErr w:type="spellStart"/>
      <w:r w:rsidRPr="00954FA6">
        <w:rPr>
          <w:rFonts w:ascii="Arial" w:hAnsi="Arial" w:cs="Arial"/>
          <w:sz w:val="20"/>
          <w:szCs w:val="20"/>
        </w:rPr>
        <w:t>fiber</w:t>
      </w:r>
      <w:proofErr w:type="spellEnd"/>
      <w:r w:rsidRPr="00954FA6">
        <w:rPr>
          <w:rFonts w:ascii="Arial" w:hAnsi="Arial" w:cs="Arial"/>
          <w:sz w:val="20"/>
          <w:szCs w:val="20"/>
        </w:rPr>
        <w:t>, vitamins A, B</w:t>
      </w:r>
      <w:r w:rsidRPr="00954FA6">
        <w:rPr>
          <w:rFonts w:ascii="Arial" w:hAnsi="Arial" w:cs="Arial"/>
          <w:sz w:val="20"/>
          <w:szCs w:val="20"/>
          <w:vertAlign w:val="subscript"/>
        </w:rPr>
        <w:t>6</w:t>
      </w:r>
      <w:r w:rsidRPr="00954FA6">
        <w:rPr>
          <w:rFonts w:ascii="Arial" w:hAnsi="Arial" w:cs="Arial"/>
          <w:sz w:val="20"/>
          <w:szCs w:val="20"/>
        </w:rPr>
        <w:t xml:space="preserve">, C, E, and minerals like copper, potassium, and pantothenic acid. Per 100 g, avocado pulp contains 26.5 g fat, 5.1 g carbohydrates, 1.8 g protein, and dietary </w:t>
      </w:r>
      <w:proofErr w:type="spellStart"/>
      <w:r w:rsidRPr="00954FA6">
        <w:rPr>
          <w:rFonts w:ascii="Arial" w:hAnsi="Arial" w:cs="Arial"/>
          <w:sz w:val="20"/>
          <w:szCs w:val="20"/>
        </w:rPr>
        <w:t>fiber</w:t>
      </w:r>
      <w:proofErr w:type="spellEnd"/>
      <w:r w:rsidRPr="00954FA6">
        <w:rPr>
          <w:rFonts w:ascii="Arial" w:hAnsi="Arial" w:cs="Arial"/>
          <w:sz w:val="20"/>
          <w:szCs w:val="20"/>
        </w:rPr>
        <w:t xml:space="preserve">, as well as minerals including potassium, calcium (10 mg), phosphorus (38 mg), sodium (368 mg), magnesium (35 g), </w:t>
      </w:r>
      <w:proofErr w:type="spellStart"/>
      <w:r w:rsidRPr="00954FA6">
        <w:rPr>
          <w:rFonts w:ascii="Arial" w:hAnsi="Arial" w:cs="Arial"/>
          <w:sz w:val="20"/>
          <w:szCs w:val="20"/>
        </w:rPr>
        <w:t>sulfur</w:t>
      </w:r>
      <w:proofErr w:type="spellEnd"/>
      <w:r w:rsidRPr="00954FA6">
        <w:rPr>
          <w:rFonts w:ascii="Arial" w:hAnsi="Arial" w:cs="Arial"/>
          <w:sz w:val="20"/>
          <w:szCs w:val="20"/>
        </w:rPr>
        <w:t xml:space="preserve"> (28.5 g), and vitamins like ascorbic acid (16 mg), niacin (1.10 mg), and carotene (0.17 mg) (Ghosh, 2000). Avocado has the highest energy value among fresh fruits, providing about 245 kcal per 100 g. It also improves absorption of fat-soluble nutrients from other foods (Senior, 2018). In India, avocado demand is rapidly increasing, outpacing local supply due to its recognized health benefits and suitability for diabetic diets</w:t>
      </w:r>
      <w:r w:rsidR="005C68FD" w:rsidRPr="00954FA6">
        <w:rPr>
          <w:rFonts w:ascii="Arial" w:hAnsi="Arial" w:cs="Arial"/>
          <w:sz w:val="20"/>
          <w:szCs w:val="20"/>
        </w:rPr>
        <w:t>.</w:t>
      </w:r>
    </w:p>
    <w:p w14:paraId="0CD6DBBC" w14:textId="2B2E5F83" w:rsidR="00CA5439" w:rsidRPr="00954FA6" w:rsidRDefault="00CA5439" w:rsidP="00DA0C34">
      <w:pPr>
        <w:spacing w:line="240" w:lineRule="auto"/>
        <w:jc w:val="both"/>
        <w:rPr>
          <w:rFonts w:ascii="Arial" w:hAnsi="Arial" w:cs="Arial"/>
          <w:sz w:val="20"/>
          <w:szCs w:val="20"/>
        </w:rPr>
      </w:pPr>
      <w:r w:rsidRPr="00954FA6">
        <w:rPr>
          <w:rFonts w:ascii="Arial" w:hAnsi="Arial" w:cs="Arial"/>
          <w:sz w:val="20"/>
          <w:szCs w:val="20"/>
        </w:rPr>
        <w:t xml:space="preserve">Avocado trees reach heights of 20–22 meters and have alternately arranged leaves. Grafted plants produce fruit within one to two years, whereas seedlings require 8–10 years (Schaffer </w:t>
      </w:r>
      <w:r w:rsidR="00FE73D0" w:rsidRPr="00954FA6">
        <w:rPr>
          <w:rFonts w:ascii="Arial" w:hAnsi="Arial" w:cs="Arial"/>
          <w:i/>
          <w:iCs/>
          <w:sz w:val="20"/>
          <w:szCs w:val="20"/>
        </w:rPr>
        <w:t>et al.,</w:t>
      </w:r>
      <w:r w:rsidR="00FE73D0" w:rsidRPr="00954FA6">
        <w:rPr>
          <w:rFonts w:ascii="Arial" w:hAnsi="Arial" w:cs="Arial"/>
          <w:sz w:val="20"/>
          <w:szCs w:val="20"/>
        </w:rPr>
        <w:t xml:space="preserve"> </w:t>
      </w:r>
      <w:r w:rsidRPr="00954FA6">
        <w:rPr>
          <w:rFonts w:ascii="Arial" w:hAnsi="Arial" w:cs="Arial"/>
          <w:sz w:val="20"/>
          <w:szCs w:val="20"/>
        </w:rPr>
        <w:t xml:space="preserve">2013). The trees have shallow roots, resulting in low water uptake and hydraulic conductance. Avocado exhibits a distinctive flowering </w:t>
      </w:r>
      <w:r w:rsidR="00FE73D0" w:rsidRPr="00954FA6">
        <w:rPr>
          <w:rFonts w:ascii="Arial" w:hAnsi="Arial" w:cs="Arial"/>
          <w:sz w:val="20"/>
          <w:szCs w:val="20"/>
        </w:rPr>
        <w:t>behaviour</w:t>
      </w:r>
      <w:r w:rsidRPr="00954FA6">
        <w:rPr>
          <w:rFonts w:ascii="Arial" w:hAnsi="Arial" w:cs="Arial"/>
          <w:sz w:val="20"/>
          <w:szCs w:val="20"/>
        </w:rPr>
        <w:t xml:space="preserve"> called PDSD (protogynous diurnally synchronous dichogamy), which promotes cross-pollination and causes seedling-origin plants to be highly heterozygous and heterogeneous, making them an excellent source for breeding. Furthermore, in India, avocado is mainly propagated using seeds and these seeds serve as rootstocks. However, avocado seeds have a short viability period of only 2 to 3 weeks (Hakimi, 2020), and typically show slow and uneven germination, taking 40–60 days to sprout after sowing (Sauls and Campbell, 1980; </w:t>
      </w:r>
      <w:proofErr w:type="spellStart"/>
      <w:r w:rsidRPr="00954FA6">
        <w:rPr>
          <w:rFonts w:ascii="Arial" w:hAnsi="Arial" w:cs="Arial"/>
          <w:sz w:val="20"/>
          <w:szCs w:val="20"/>
        </w:rPr>
        <w:lastRenderedPageBreak/>
        <w:t>Elekou</w:t>
      </w:r>
      <w:proofErr w:type="spellEnd"/>
      <w:r w:rsidRPr="00954FA6">
        <w:rPr>
          <w:rFonts w:ascii="Arial" w:hAnsi="Arial" w:cs="Arial"/>
          <w:sz w:val="20"/>
          <w:szCs w:val="20"/>
        </w:rPr>
        <w:t xml:space="preserve"> </w:t>
      </w:r>
      <w:r w:rsidR="00FE73D0" w:rsidRPr="00954FA6">
        <w:rPr>
          <w:rFonts w:ascii="Arial" w:hAnsi="Arial" w:cs="Arial"/>
          <w:i/>
          <w:iCs/>
          <w:sz w:val="20"/>
          <w:szCs w:val="20"/>
        </w:rPr>
        <w:t>et al.,</w:t>
      </w:r>
      <w:r w:rsidR="00FE73D0" w:rsidRPr="00954FA6">
        <w:rPr>
          <w:rFonts w:ascii="Arial" w:hAnsi="Arial" w:cs="Arial"/>
          <w:sz w:val="20"/>
          <w:szCs w:val="20"/>
        </w:rPr>
        <w:t xml:space="preserve"> </w:t>
      </w:r>
      <w:r w:rsidRPr="00954FA6">
        <w:rPr>
          <w:rFonts w:ascii="Arial" w:hAnsi="Arial" w:cs="Arial"/>
          <w:sz w:val="20"/>
          <w:szCs w:val="20"/>
        </w:rPr>
        <w:t>2022). This slow and irregular process can cause delays and inconsistency in nursery seedling production, posing challenges for large-scale propagation.</w:t>
      </w:r>
    </w:p>
    <w:p w14:paraId="0EB0FB24" w14:textId="2D12FCDB" w:rsidR="00CA5439" w:rsidRDefault="00CA5439" w:rsidP="00DA0C34">
      <w:pPr>
        <w:spacing w:line="240" w:lineRule="auto"/>
        <w:jc w:val="both"/>
        <w:rPr>
          <w:rFonts w:ascii="Arial" w:hAnsi="Arial" w:cs="Arial"/>
          <w:sz w:val="20"/>
          <w:szCs w:val="20"/>
        </w:rPr>
      </w:pPr>
      <w:r w:rsidRPr="00954FA6">
        <w:rPr>
          <w:rFonts w:ascii="Arial" w:hAnsi="Arial" w:cs="Arial"/>
          <w:sz w:val="20"/>
          <w:szCs w:val="20"/>
        </w:rPr>
        <w:t xml:space="preserve">Given the growing demand for avocado in both local and international markets, it is crucial to explore strategies to enhance seed germination rates, thereby improving seedling uniformity to facilitate mass propagation. It is well known that growth regulators such as </w:t>
      </w:r>
      <w:r w:rsidR="00CD6C48" w:rsidRPr="00954FA6">
        <w:rPr>
          <w:rFonts w:ascii="Arial" w:hAnsi="Arial" w:cs="Arial"/>
          <w:sz w:val="20"/>
          <w:szCs w:val="20"/>
        </w:rPr>
        <w:t>GA</w:t>
      </w:r>
      <w:r w:rsidR="00CD6C48" w:rsidRPr="00954FA6">
        <w:rPr>
          <w:rFonts w:ascii="Arial" w:hAnsi="Arial" w:cs="Arial"/>
          <w:sz w:val="20"/>
          <w:szCs w:val="20"/>
          <w:vertAlign w:val="subscript"/>
        </w:rPr>
        <w:t>3</w:t>
      </w:r>
      <w:r w:rsidRPr="00954FA6">
        <w:rPr>
          <w:rFonts w:ascii="Arial" w:hAnsi="Arial" w:cs="Arial"/>
          <w:sz w:val="20"/>
          <w:szCs w:val="20"/>
        </w:rPr>
        <w:t xml:space="preserve"> and chemicals like thiourea and </w:t>
      </w:r>
      <w:r w:rsidR="00CD6C48" w:rsidRPr="00954FA6">
        <w:rPr>
          <w:rFonts w:ascii="Arial" w:hAnsi="Arial" w:cs="Arial"/>
          <w:sz w:val="20"/>
          <w:szCs w:val="20"/>
        </w:rPr>
        <w:t>KNO</w:t>
      </w:r>
      <w:r w:rsidR="00CD6C48" w:rsidRPr="00954FA6">
        <w:rPr>
          <w:rFonts w:ascii="Arial" w:hAnsi="Arial" w:cs="Arial"/>
          <w:sz w:val="20"/>
          <w:szCs w:val="20"/>
          <w:vertAlign w:val="subscript"/>
        </w:rPr>
        <w:t>3</w:t>
      </w:r>
      <w:r w:rsidRPr="00954FA6">
        <w:rPr>
          <w:rFonts w:ascii="Arial" w:hAnsi="Arial" w:cs="Arial"/>
          <w:sz w:val="20"/>
          <w:szCs w:val="20"/>
        </w:rPr>
        <w:t xml:space="preserve"> can improve seed germination. Therefore, this study was undertaken to increase the germination potential of avocado seedlings using various chemicals and growth regulators.</w:t>
      </w:r>
    </w:p>
    <w:p w14:paraId="7B8EACBD" w14:textId="77777777" w:rsidR="00454C3A" w:rsidRPr="00954FA6" w:rsidRDefault="00454C3A" w:rsidP="00DA0C34">
      <w:pPr>
        <w:spacing w:line="240" w:lineRule="auto"/>
        <w:jc w:val="both"/>
        <w:rPr>
          <w:rFonts w:ascii="Arial" w:hAnsi="Arial" w:cs="Arial"/>
          <w:sz w:val="20"/>
          <w:szCs w:val="20"/>
        </w:rPr>
      </w:pPr>
    </w:p>
    <w:p w14:paraId="357AAE51" w14:textId="5315D46F" w:rsidR="009E75A9" w:rsidRPr="00234962" w:rsidRDefault="00954FA6" w:rsidP="00DA0C34">
      <w:pPr>
        <w:numPr>
          <w:ilvl w:val="0"/>
          <w:numId w:val="3"/>
        </w:numPr>
        <w:tabs>
          <w:tab w:val="left" w:pos="1227"/>
        </w:tabs>
        <w:spacing w:line="240" w:lineRule="auto"/>
        <w:ind w:left="284" w:hanging="284"/>
        <w:jc w:val="both"/>
        <w:rPr>
          <w:rFonts w:ascii="Arial" w:hAnsi="Arial" w:cs="Arial"/>
          <w:b/>
          <w:bCs/>
        </w:rPr>
      </w:pPr>
      <w:r w:rsidRPr="00234962">
        <w:rPr>
          <w:rFonts w:ascii="Arial" w:hAnsi="Arial" w:cs="Arial"/>
          <w:b/>
          <w:bCs/>
        </w:rPr>
        <w:t>MATERIALS AND METHODS</w:t>
      </w:r>
    </w:p>
    <w:p w14:paraId="47E0CBDA" w14:textId="569C8D14" w:rsidR="002E47DE" w:rsidRPr="005A6F77" w:rsidRDefault="007C4765" w:rsidP="00DA0C34">
      <w:pPr>
        <w:spacing w:line="240" w:lineRule="auto"/>
        <w:jc w:val="both"/>
        <w:rPr>
          <w:rFonts w:ascii="Arial" w:hAnsi="Arial" w:cs="Arial"/>
          <w:bCs/>
          <w:sz w:val="20"/>
          <w:szCs w:val="20"/>
        </w:rPr>
      </w:pPr>
      <w:r w:rsidRPr="005A6F77">
        <w:rPr>
          <w:rFonts w:ascii="Arial" w:hAnsi="Arial" w:cs="Arial"/>
          <w:sz w:val="20"/>
          <w:szCs w:val="20"/>
        </w:rPr>
        <w:t xml:space="preserve">The present experiment was carried out in the college of Horticulture Mysuru during 2018-19 by collecting the fruits from two orchards in </w:t>
      </w:r>
      <w:proofErr w:type="spellStart"/>
      <w:r w:rsidRPr="005A6F77">
        <w:rPr>
          <w:rFonts w:ascii="Arial" w:hAnsi="Arial" w:cs="Arial"/>
          <w:sz w:val="20"/>
          <w:szCs w:val="20"/>
        </w:rPr>
        <w:t>Virajpet</w:t>
      </w:r>
      <w:proofErr w:type="spellEnd"/>
      <w:r w:rsidRPr="005A6F77">
        <w:rPr>
          <w:rFonts w:ascii="Arial" w:hAnsi="Arial" w:cs="Arial"/>
          <w:sz w:val="20"/>
          <w:szCs w:val="20"/>
        </w:rPr>
        <w:t xml:space="preserve"> and </w:t>
      </w:r>
      <w:proofErr w:type="spellStart"/>
      <w:r w:rsidRPr="005A6F77">
        <w:rPr>
          <w:rFonts w:ascii="Arial" w:hAnsi="Arial" w:cs="Arial"/>
          <w:sz w:val="20"/>
          <w:szCs w:val="20"/>
        </w:rPr>
        <w:t>Madikeri</w:t>
      </w:r>
      <w:proofErr w:type="spellEnd"/>
      <w:r w:rsidRPr="005A6F77">
        <w:rPr>
          <w:rFonts w:ascii="Arial" w:hAnsi="Arial" w:cs="Arial"/>
          <w:sz w:val="20"/>
          <w:szCs w:val="20"/>
        </w:rPr>
        <w:t>. Seeds were extracted from healthy, ripe fruits by cutting them open and manually removing the seeds from the pulp. After extraction, the seeds were thoroughly washed and shade-dried on paper for 24 hours at a constant room temperature. They were then divided into eight uniform groups for treatment as mentioned treatment details in table 1 with three replications</w:t>
      </w:r>
      <w:r w:rsidR="00786EB1" w:rsidRPr="005A6F77">
        <w:rPr>
          <w:rFonts w:ascii="Arial" w:hAnsi="Arial" w:cs="Arial"/>
          <w:sz w:val="20"/>
          <w:szCs w:val="20"/>
        </w:rPr>
        <w:t xml:space="preserve"> for 24 hours</w:t>
      </w:r>
      <w:r w:rsidRPr="005A6F77">
        <w:rPr>
          <w:rFonts w:ascii="Arial" w:hAnsi="Arial" w:cs="Arial"/>
          <w:sz w:val="20"/>
          <w:szCs w:val="20"/>
        </w:rPr>
        <w:t>.</w:t>
      </w:r>
      <w:r w:rsidR="00786EB1" w:rsidRPr="005A6F77">
        <w:rPr>
          <w:rFonts w:ascii="Arial" w:hAnsi="Arial" w:cs="Arial"/>
          <w:sz w:val="20"/>
          <w:szCs w:val="20"/>
        </w:rPr>
        <w:t xml:space="preserve"> The seeds were then sown in polybags of size 20x12cm, containing sand, red earth, and farm yard manure (FYM) in 1:1:1 proportion. The polybags were </w:t>
      </w:r>
      <w:r w:rsidR="00B833C2" w:rsidRPr="005A6F77">
        <w:rPr>
          <w:rFonts w:ascii="Arial" w:hAnsi="Arial" w:cs="Arial"/>
          <w:sz w:val="20"/>
          <w:szCs w:val="20"/>
        </w:rPr>
        <w:t>labelled</w:t>
      </w:r>
      <w:r w:rsidR="00786EB1" w:rsidRPr="005A6F77">
        <w:rPr>
          <w:rFonts w:ascii="Arial" w:hAnsi="Arial" w:cs="Arial"/>
          <w:sz w:val="20"/>
          <w:szCs w:val="20"/>
        </w:rPr>
        <w:t xml:space="preserve"> and placed in an order of treatments. The polybags were watered daily and cultural operations like weeding were done as and when required.</w:t>
      </w:r>
      <w:r w:rsidR="002E47DE" w:rsidRPr="005A6F77">
        <w:rPr>
          <w:rFonts w:ascii="Arial" w:hAnsi="Arial" w:cs="Arial"/>
          <w:sz w:val="20"/>
          <w:szCs w:val="20"/>
        </w:rPr>
        <w:t xml:space="preserve"> </w:t>
      </w:r>
      <w:r w:rsidR="002E47DE" w:rsidRPr="005A6F77">
        <w:rPr>
          <w:rFonts w:ascii="Arial" w:hAnsi="Arial" w:cs="Arial"/>
          <w:bCs/>
          <w:sz w:val="20"/>
          <w:szCs w:val="20"/>
        </w:rPr>
        <w:t xml:space="preserve">Observations like number of days taken for initiation of germination, number of days taken for 50 per cent germination, number of days taken for complete germination, seedling growth parameters, diameter of stem (mm), Length of seedlings (cm), dry weight of seedlings (g) (after 150 days sowing.) were taken. The germination percentage was worked out after complete germination and it was calculated by dividing total number of seeds germinated with the number of seeds sown and multiplied by 100. The vigour index I and vigour index II were calculated considering the seedling height and seedling dry weight. The seedling </w:t>
      </w:r>
      <w:r w:rsidR="00FE73D0" w:rsidRPr="005A6F77">
        <w:rPr>
          <w:rFonts w:ascii="Arial" w:hAnsi="Arial" w:cs="Arial"/>
          <w:bCs/>
          <w:sz w:val="20"/>
          <w:szCs w:val="20"/>
        </w:rPr>
        <w:t>vigour</w:t>
      </w:r>
      <w:r w:rsidR="002E47DE" w:rsidRPr="005A6F77">
        <w:rPr>
          <w:rFonts w:ascii="Arial" w:hAnsi="Arial" w:cs="Arial"/>
          <w:bCs/>
          <w:sz w:val="20"/>
          <w:szCs w:val="20"/>
        </w:rPr>
        <w:t xml:space="preserve"> was calculated based on the following formulas (Bewley and Black, 1982):</w:t>
      </w:r>
    </w:p>
    <w:p w14:paraId="15F942FD" w14:textId="77777777" w:rsidR="002E47DE" w:rsidRPr="005A6F77" w:rsidRDefault="002E47DE" w:rsidP="00DA0C34">
      <w:pPr>
        <w:tabs>
          <w:tab w:val="left" w:pos="1189"/>
          <w:tab w:val="left" w:pos="6946"/>
        </w:tabs>
        <w:spacing w:after="120" w:line="240" w:lineRule="auto"/>
        <w:jc w:val="both"/>
        <w:rPr>
          <w:rFonts w:ascii="Arial" w:hAnsi="Arial" w:cs="Arial"/>
          <w:bCs/>
          <w:sz w:val="20"/>
          <w:szCs w:val="20"/>
        </w:rPr>
      </w:pPr>
      <w:r w:rsidRPr="005A6F77">
        <w:rPr>
          <w:rFonts w:ascii="Arial" w:hAnsi="Arial" w:cs="Arial"/>
          <w:bCs/>
          <w:sz w:val="20"/>
          <w:szCs w:val="20"/>
        </w:rPr>
        <w:t>Seedling vigour index I (cm) = Germination percentage x means seedling length (cm)</w:t>
      </w:r>
    </w:p>
    <w:p w14:paraId="3291C39E" w14:textId="0EEA8D9A" w:rsidR="007C4765" w:rsidRPr="005A6F77" w:rsidRDefault="002E47DE" w:rsidP="00DA0C34">
      <w:pPr>
        <w:tabs>
          <w:tab w:val="left" w:pos="1189"/>
          <w:tab w:val="left" w:pos="6946"/>
        </w:tabs>
        <w:spacing w:before="120" w:after="120" w:line="240" w:lineRule="auto"/>
        <w:jc w:val="both"/>
        <w:rPr>
          <w:rFonts w:ascii="Arial" w:hAnsi="Arial" w:cs="Arial"/>
          <w:bCs/>
          <w:sz w:val="20"/>
          <w:szCs w:val="20"/>
        </w:rPr>
      </w:pPr>
      <w:r w:rsidRPr="005A6F77">
        <w:rPr>
          <w:rFonts w:ascii="Arial" w:hAnsi="Arial" w:cs="Arial"/>
          <w:bCs/>
          <w:sz w:val="20"/>
          <w:szCs w:val="20"/>
        </w:rPr>
        <w:t>Seedling vigour index II (g) = Germination percentage x dry weight of the seedling (g)</w:t>
      </w:r>
    </w:p>
    <w:p w14:paraId="069BDBBF" w14:textId="77777777" w:rsidR="005A6F77" w:rsidRDefault="005A6F77" w:rsidP="00DA0C34">
      <w:pPr>
        <w:tabs>
          <w:tab w:val="left" w:pos="1227"/>
        </w:tabs>
        <w:spacing w:line="240" w:lineRule="auto"/>
        <w:jc w:val="center"/>
        <w:rPr>
          <w:rFonts w:ascii="Arial" w:hAnsi="Arial" w:cs="Arial"/>
          <w:b/>
          <w:bCs/>
          <w:sz w:val="20"/>
          <w:szCs w:val="20"/>
        </w:rPr>
      </w:pPr>
    </w:p>
    <w:p w14:paraId="1755DCE6" w14:textId="3FED1DC5" w:rsidR="000A035F" w:rsidRPr="00954FA6" w:rsidRDefault="000A035F" w:rsidP="00DA0C34">
      <w:pPr>
        <w:tabs>
          <w:tab w:val="left" w:pos="1227"/>
        </w:tabs>
        <w:spacing w:line="240" w:lineRule="auto"/>
        <w:jc w:val="center"/>
        <w:rPr>
          <w:rFonts w:ascii="Arial" w:hAnsi="Arial" w:cs="Arial"/>
          <w:b/>
          <w:bCs/>
          <w:sz w:val="20"/>
          <w:szCs w:val="20"/>
        </w:rPr>
      </w:pPr>
      <w:r w:rsidRPr="00954FA6">
        <w:rPr>
          <w:rFonts w:ascii="Arial" w:hAnsi="Arial" w:cs="Arial"/>
          <w:b/>
          <w:bCs/>
          <w:sz w:val="20"/>
          <w:szCs w:val="20"/>
        </w:rPr>
        <w:t>Table 1. Treatment details</w:t>
      </w:r>
    </w:p>
    <w:tbl>
      <w:tblPr>
        <w:tblStyle w:val="TableGrid"/>
        <w:tblW w:w="0" w:type="auto"/>
        <w:tblLook w:val="04A0" w:firstRow="1" w:lastRow="0" w:firstColumn="1" w:lastColumn="0" w:noHBand="0" w:noVBand="1"/>
      </w:tblPr>
      <w:tblGrid>
        <w:gridCol w:w="2122"/>
        <w:gridCol w:w="6894"/>
      </w:tblGrid>
      <w:tr w:rsidR="000A035F" w:rsidRPr="00954FA6" w14:paraId="4A770161" w14:textId="77777777" w:rsidTr="005A6F77">
        <w:tc>
          <w:tcPr>
            <w:tcW w:w="2122" w:type="dxa"/>
          </w:tcPr>
          <w:p w14:paraId="391E94FA" w14:textId="34879DF7" w:rsidR="000A035F" w:rsidRPr="007663C8" w:rsidRDefault="000A035F" w:rsidP="00DA0C34">
            <w:pPr>
              <w:jc w:val="center"/>
              <w:rPr>
                <w:rFonts w:ascii="Arial" w:eastAsia="Calibri" w:hAnsi="Arial" w:cs="Arial"/>
                <w:b/>
                <w:bCs/>
                <w:kern w:val="0"/>
                <w:sz w:val="20"/>
                <w:szCs w:val="20"/>
                <w:lang w:val="en-US"/>
                <w14:ligatures w14:val="none"/>
              </w:rPr>
            </w:pPr>
            <w:r w:rsidRPr="007663C8">
              <w:rPr>
                <w:rFonts w:ascii="Arial" w:eastAsia="Calibri" w:hAnsi="Arial" w:cs="Arial"/>
                <w:b/>
                <w:bCs/>
                <w:kern w:val="0"/>
                <w:sz w:val="20"/>
                <w:szCs w:val="20"/>
                <w:lang w:val="en-US"/>
                <w14:ligatures w14:val="none"/>
              </w:rPr>
              <w:t>Treatment symbol</w:t>
            </w:r>
          </w:p>
        </w:tc>
        <w:tc>
          <w:tcPr>
            <w:tcW w:w="6894" w:type="dxa"/>
          </w:tcPr>
          <w:p w14:paraId="65460692" w14:textId="2A816C91" w:rsidR="000A035F" w:rsidRPr="007663C8" w:rsidRDefault="000A035F" w:rsidP="00DA0C34">
            <w:pPr>
              <w:jc w:val="center"/>
              <w:rPr>
                <w:rFonts w:ascii="Arial" w:eastAsia="Calibri" w:hAnsi="Arial" w:cs="Arial"/>
                <w:b/>
                <w:bCs/>
                <w:kern w:val="0"/>
                <w:sz w:val="20"/>
                <w:szCs w:val="20"/>
                <w:lang w:val="en-US"/>
                <w14:ligatures w14:val="none"/>
              </w:rPr>
            </w:pPr>
            <w:r w:rsidRPr="007663C8">
              <w:rPr>
                <w:rFonts w:ascii="Arial" w:eastAsia="Calibri" w:hAnsi="Arial" w:cs="Arial"/>
                <w:b/>
                <w:bCs/>
                <w:kern w:val="0"/>
                <w:sz w:val="20"/>
                <w:szCs w:val="20"/>
                <w:lang w:val="en-US"/>
                <w14:ligatures w14:val="none"/>
              </w:rPr>
              <w:t>Treatment combination</w:t>
            </w:r>
          </w:p>
        </w:tc>
      </w:tr>
      <w:tr w:rsidR="000A035F" w:rsidRPr="00954FA6" w14:paraId="7719F6AB" w14:textId="77777777" w:rsidTr="005A6F77">
        <w:tc>
          <w:tcPr>
            <w:tcW w:w="2122" w:type="dxa"/>
          </w:tcPr>
          <w:p w14:paraId="11C7591B" w14:textId="32E942A0"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1</w:t>
            </w:r>
          </w:p>
        </w:tc>
        <w:tc>
          <w:tcPr>
            <w:tcW w:w="6894" w:type="dxa"/>
          </w:tcPr>
          <w:p w14:paraId="27B21D47" w14:textId="53985643"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Control (untreated)</w:t>
            </w:r>
          </w:p>
        </w:tc>
      </w:tr>
      <w:tr w:rsidR="000A035F" w:rsidRPr="00954FA6" w14:paraId="4FE81172" w14:textId="77777777" w:rsidTr="005A6F77">
        <w:tc>
          <w:tcPr>
            <w:tcW w:w="2122" w:type="dxa"/>
          </w:tcPr>
          <w:p w14:paraId="3A190212" w14:textId="0F4E8FD2"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2</w:t>
            </w:r>
          </w:p>
        </w:tc>
        <w:tc>
          <w:tcPr>
            <w:tcW w:w="6894" w:type="dxa"/>
          </w:tcPr>
          <w:p w14:paraId="6C71416E" w14:textId="7AE3EA5C"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Water soaking (24 hours)</w:t>
            </w:r>
          </w:p>
        </w:tc>
      </w:tr>
      <w:tr w:rsidR="000A035F" w:rsidRPr="00954FA6" w14:paraId="1B48448A" w14:textId="77777777" w:rsidTr="005A6F77">
        <w:tc>
          <w:tcPr>
            <w:tcW w:w="2122" w:type="dxa"/>
          </w:tcPr>
          <w:p w14:paraId="14F21F41" w14:textId="1FED8EE1"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3</w:t>
            </w:r>
          </w:p>
        </w:tc>
        <w:tc>
          <w:tcPr>
            <w:tcW w:w="6894" w:type="dxa"/>
          </w:tcPr>
          <w:p w14:paraId="27A5B61D" w14:textId="41045475"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 xml:space="preserve">Seed treatment with </w:t>
            </w:r>
            <w:r w:rsidR="00CD6C48" w:rsidRPr="00954FA6">
              <w:rPr>
                <w:rFonts w:ascii="Arial" w:hAnsi="Arial" w:cs="Arial"/>
                <w:sz w:val="20"/>
                <w:szCs w:val="20"/>
              </w:rPr>
              <w:t>GA</w:t>
            </w:r>
            <w:r w:rsidR="00CD6C48" w:rsidRPr="00954FA6">
              <w:rPr>
                <w:rFonts w:ascii="Arial" w:hAnsi="Arial" w:cs="Arial"/>
                <w:sz w:val="20"/>
                <w:szCs w:val="20"/>
                <w:vertAlign w:val="subscript"/>
              </w:rPr>
              <w:t>3</w:t>
            </w:r>
            <w:r w:rsidRPr="00954FA6">
              <w:rPr>
                <w:rFonts w:ascii="Arial" w:eastAsia="Calibri" w:hAnsi="Arial" w:cs="Arial"/>
                <w:kern w:val="0"/>
                <w:sz w:val="20"/>
                <w:szCs w:val="20"/>
                <w:lang w:val="en-US"/>
                <w14:ligatures w14:val="none"/>
              </w:rPr>
              <w:t xml:space="preserve"> 100 ppm</w:t>
            </w:r>
          </w:p>
        </w:tc>
      </w:tr>
      <w:tr w:rsidR="000A035F" w:rsidRPr="00954FA6" w14:paraId="13684D71" w14:textId="77777777" w:rsidTr="005A6F77">
        <w:tc>
          <w:tcPr>
            <w:tcW w:w="2122" w:type="dxa"/>
          </w:tcPr>
          <w:p w14:paraId="3E7A18FB" w14:textId="53FED1D2"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4</w:t>
            </w:r>
          </w:p>
        </w:tc>
        <w:tc>
          <w:tcPr>
            <w:tcW w:w="6894" w:type="dxa"/>
          </w:tcPr>
          <w:p w14:paraId="6D1D2D86" w14:textId="5FC3AA8A"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 xml:space="preserve">Seed treatment with </w:t>
            </w:r>
            <w:r w:rsidR="00CD6C48" w:rsidRPr="00954FA6">
              <w:rPr>
                <w:rFonts w:ascii="Arial" w:hAnsi="Arial" w:cs="Arial"/>
                <w:sz w:val="20"/>
                <w:szCs w:val="20"/>
              </w:rPr>
              <w:t>GA</w:t>
            </w:r>
            <w:r w:rsidR="00CD6C48" w:rsidRPr="00954FA6">
              <w:rPr>
                <w:rFonts w:ascii="Arial" w:hAnsi="Arial" w:cs="Arial"/>
                <w:sz w:val="20"/>
                <w:szCs w:val="20"/>
                <w:vertAlign w:val="subscript"/>
              </w:rPr>
              <w:t>3</w:t>
            </w:r>
            <w:r w:rsidRPr="00954FA6">
              <w:rPr>
                <w:rFonts w:ascii="Arial" w:eastAsia="Calibri" w:hAnsi="Arial" w:cs="Arial"/>
                <w:kern w:val="0"/>
                <w:sz w:val="20"/>
                <w:szCs w:val="20"/>
                <w:lang w:val="en-US"/>
                <w14:ligatures w14:val="none"/>
              </w:rPr>
              <w:t xml:space="preserve"> 200 ppm</w:t>
            </w:r>
          </w:p>
        </w:tc>
      </w:tr>
      <w:tr w:rsidR="000A035F" w:rsidRPr="00954FA6" w14:paraId="3ECF1D00" w14:textId="77777777" w:rsidTr="005A6F77">
        <w:tc>
          <w:tcPr>
            <w:tcW w:w="2122" w:type="dxa"/>
          </w:tcPr>
          <w:p w14:paraId="236FA0EC" w14:textId="65C459F3"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5</w:t>
            </w:r>
          </w:p>
        </w:tc>
        <w:tc>
          <w:tcPr>
            <w:tcW w:w="6894" w:type="dxa"/>
          </w:tcPr>
          <w:p w14:paraId="0C7D5268" w14:textId="4C5315EF"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Seed treatment with Thiourea at 1%</w:t>
            </w:r>
          </w:p>
        </w:tc>
      </w:tr>
      <w:tr w:rsidR="000A035F" w:rsidRPr="00954FA6" w14:paraId="7B6AE63F" w14:textId="77777777" w:rsidTr="005A6F77">
        <w:tc>
          <w:tcPr>
            <w:tcW w:w="2122" w:type="dxa"/>
          </w:tcPr>
          <w:p w14:paraId="2A984BD6" w14:textId="4BB00737"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6</w:t>
            </w:r>
          </w:p>
        </w:tc>
        <w:tc>
          <w:tcPr>
            <w:tcW w:w="6894" w:type="dxa"/>
          </w:tcPr>
          <w:p w14:paraId="2FA22B7B" w14:textId="60A36CDE"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Seed treatment with Thiourea at 2%</w:t>
            </w:r>
          </w:p>
        </w:tc>
      </w:tr>
      <w:tr w:rsidR="000A035F" w:rsidRPr="00954FA6" w14:paraId="2584940A" w14:textId="77777777" w:rsidTr="005A6F77">
        <w:tc>
          <w:tcPr>
            <w:tcW w:w="2122" w:type="dxa"/>
          </w:tcPr>
          <w:p w14:paraId="06BD3793" w14:textId="3B0D9599"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7</w:t>
            </w:r>
          </w:p>
        </w:tc>
        <w:tc>
          <w:tcPr>
            <w:tcW w:w="6894" w:type="dxa"/>
          </w:tcPr>
          <w:p w14:paraId="2409C2D8" w14:textId="0229AA7C"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 xml:space="preserve">Seed treatment with </w:t>
            </w:r>
            <w:r w:rsidR="00CD6C48" w:rsidRPr="00954FA6">
              <w:rPr>
                <w:rFonts w:ascii="Arial" w:hAnsi="Arial" w:cs="Arial"/>
                <w:sz w:val="20"/>
                <w:szCs w:val="20"/>
              </w:rPr>
              <w:t>KNO</w:t>
            </w:r>
            <w:r w:rsidR="00CD6C48" w:rsidRPr="00954FA6">
              <w:rPr>
                <w:rFonts w:ascii="Arial" w:hAnsi="Arial" w:cs="Arial"/>
                <w:sz w:val="20"/>
                <w:szCs w:val="20"/>
                <w:vertAlign w:val="subscript"/>
              </w:rPr>
              <w:t>3</w:t>
            </w:r>
            <w:r w:rsidRPr="00954FA6">
              <w:rPr>
                <w:rFonts w:ascii="Arial" w:eastAsia="Calibri" w:hAnsi="Arial" w:cs="Arial"/>
                <w:kern w:val="0"/>
                <w:sz w:val="20"/>
                <w:szCs w:val="20"/>
                <w:lang w:val="en-US"/>
                <w14:ligatures w14:val="none"/>
              </w:rPr>
              <w:t xml:space="preserve"> at 1%</w:t>
            </w:r>
          </w:p>
        </w:tc>
      </w:tr>
      <w:tr w:rsidR="000A035F" w:rsidRPr="00954FA6" w14:paraId="0B7775F1" w14:textId="77777777" w:rsidTr="005A6F77">
        <w:tc>
          <w:tcPr>
            <w:tcW w:w="2122" w:type="dxa"/>
          </w:tcPr>
          <w:p w14:paraId="33C0DD3A" w14:textId="2BDB6692" w:rsidR="000A035F" w:rsidRPr="00954FA6" w:rsidRDefault="00477766" w:rsidP="00DA0C34">
            <w:pPr>
              <w:jc w:val="cente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T</w:t>
            </w:r>
            <w:r w:rsidRPr="00954FA6">
              <w:rPr>
                <w:rFonts w:ascii="Arial" w:eastAsia="Calibri" w:hAnsi="Arial" w:cs="Arial"/>
                <w:kern w:val="0"/>
                <w:sz w:val="20"/>
                <w:szCs w:val="20"/>
                <w:vertAlign w:val="subscript"/>
                <w:lang w:val="en-US"/>
                <w14:ligatures w14:val="none"/>
              </w:rPr>
              <w:t>8</w:t>
            </w:r>
          </w:p>
        </w:tc>
        <w:tc>
          <w:tcPr>
            <w:tcW w:w="6894" w:type="dxa"/>
          </w:tcPr>
          <w:p w14:paraId="08F3C920" w14:textId="65274B32" w:rsidR="000A035F" w:rsidRPr="00954FA6" w:rsidRDefault="000A035F" w:rsidP="00DA0C34">
            <w:pPr>
              <w:rPr>
                <w:rFonts w:ascii="Arial" w:eastAsia="Calibri" w:hAnsi="Arial" w:cs="Arial"/>
                <w:kern w:val="0"/>
                <w:sz w:val="20"/>
                <w:szCs w:val="20"/>
                <w:lang w:val="en-US"/>
                <w14:ligatures w14:val="none"/>
              </w:rPr>
            </w:pPr>
            <w:r w:rsidRPr="00954FA6">
              <w:rPr>
                <w:rFonts w:ascii="Arial" w:eastAsia="Calibri" w:hAnsi="Arial" w:cs="Arial"/>
                <w:kern w:val="0"/>
                <w:sz w:val="20"/>
                <w:szCs w:val="20"/>
                <w:lang w:val="en-US"/>
                <w14:ligatures w14:val="none"/>
              </w:rPr>
              <w:t xml:space="preserve">Seed treatment with </w:t>
            </w:r>
            <w:r w:rsidR="00CD6C48" w:rsidRPr="00954FA6">
              <w:rPr>
                <w:rFonts w:ascii="Arial" w:hAnsi="Arial" w:cs="Arial"/>
                <w:sz w:val="20"/>
                <w:szCs w:val="20"/>
              </w:rPr>
              <w:t>KNO</w:t>
            </w:r>
            <w:r w:rsidR="00CD6C48" w:rsidRPr="00954FA6">
              <w:rPr>
                <w:rFonts w:ascii="Arial" w:hAnsi="Arial" w:cs="Arial"/>
                <w:sz w:val="20"/>
                <w:szCs w:val="20"/>
                <w:vertAlign w:val="subscript"/>
              </w:rPr>
              <w:t>3</w:t>
            </w:r>
            <w:r w:rsidRPr="00954FA6">
              <w:rPr>
                <w:rFonts w:ascii="Arial" w:eastAsia="Calibri" w:hAnsi="Arial" w:cs="Arial"/>
                <w:kern w:val="0"/>
                <w:sz w:val="20"/>
                <w:szCs w:val="20"/>
                <w:lang w:val="en-US"/>
                <w14:ligatures w14:val="none"/>
              </w:rPr>
              <w:t xml:space="preserve"> at 2%</w:t>
            </w:r>
          </w:p>
        </w:tc>
      </w:tr>
    </w:tbl>
    <w:p w14:paraId="420DDD7C" w14:textId="3A9BC587" w:rsidR="0017381C" w:rsidRPr="00954FA6" w:rsidRDefault="009E75A9" w:rsidP="00DA0C34">
      <w:pPr>
        <w:spacing w:before="120" w:after="120" w:line="240" w:lineRule="auto"/>
        <w:jc w:val="both"/>
        <w:rPr>
          <w:rFonts w:ascii="Arial" w:hAnsi="Arial" w:cs="Arial"/>
          <w:b/>
          <w:sz w:val="22"/>
          <w:szCs w:val="22"/>
        </w:rPr>
      </w:pPr>
      <w:r w:rsidRPr="00954FA6">
        <w:rPr>
          <w:rFonts w:ascii="Arial" w:hAnsi="Arial" w:cs="Arial"/>
          <w:b/>
          <w:sz w:val="22"/>
          <w:szCs w:val="22"/>
        </w:rPr>
        <w:t xml:space="preserve">2.1 </w:t>
      </w:r>
      <w:r w:rsidR="0017381C" w:rsidRPr="00954FA6">
        <w:rPr>
          <w:rFonts w:ascii="Arial" w:hAnsi="Arial" w:cs="Arial"/>
          <w:b/>
          <w:sz w:val="22"/>
          <w:szCs w:val="22"/>
        </w:rPr>
        <w:t>Statistical analysis</w:t>
      </w:r>
    </w:p>
    <w:p w14:paraId="28F6C214" w14:textId="77777777" w:rsidR="0017381C" w:rsidRDefault="0017381C" w:rsidP="00DA0C34">
      <w:pPr>
        <w:spacing w:before="120" w:after="120" w:line="240" w:lineRule="auto"/>
        <w:jc w:val="both"/>
        <w:rPr>
          <w:rFonts w:ascii="Arial" w:hAnsi="Arial" w:cs="Arial"/>
          <w:sz w:val="20"/>
          <w:szCs w:val="20"/>
        </w:rPr>
      </w:pPr>
      <w:r w:rsidRPr="005A6F77">
        <w:rPr>
          <w:rFonts w:ascii="Arial" w:hAnsi="Arial" w:cs="Arial"/>
          <w:sz w:val="20"/>
          <w:szCs w:val="20"/>
        </w:rPr>
        <w:t xml:space="preserve">The data recorded were subjected to statistical analysis by completely randomized design (CRD). Analysis of variance (ANOVA) was conducted to determine whether significant difference existed between different treatments on the recorded data. Interpretation of data was carried as per the guidelines suggested by </w:t>
      </w:r>
      <w:proofErr w:type="spellStart"/>
      <w:r w:rsidRPr="005A6F77">
        <w:rPr>
          <w:rFonts w:ascii="Arial" w:hAnsi="Arial" w:cs="Arial"/>
          <w:sz w:val="20"/>
          <w:szCs w:val="20"/>
        </w:rPr>
        <w:t>Panse</w:t>
      </w:r>
      <w:proofErr w:type="spellEnd"/>
      <w:r w:rsidRPr="005A6F77">
        <w:rPr>
          <w:rFonts w:ascii="Arial" w:hAnsi="Arial" w:cs="Arial"/>
          <w:sz w:val="20"/>
          <w:szCs w:val="20"/>
        </w:rPr>
        <w:t xml:space="preserve"> and </w:t>
      </w:r>
      <w:proofErr w:type="spellStart"/>
      <w:r w:rsidRPr="005A6F77">
        <w:rPr>
          <w:rFonts w:ascii="Arial" w:hAnsi="Arial" w:cs="Arial"/>
          <w:sz w:val="20"/>
          <w:szCs w:val="20"/>
        </w:rPr>
        <w:t>Sukhatme</w:t>
      </w:r>
      <w:proofErr w:type="spellEnd"/>
      <w:r w:rsidRPr="005A6F77">
        <w:rPr>
          <w:rFonts w:ascii="Arial" w:hAnsi="Arial" w:cs="Arial"/>
          <w:sz w:val="20"/>
          <w:szCs w:val="20"/>
        </w:rPr>
        <w:t xml:space="preserve"> (1985).</w:t>
      </w:r>
    </w:p>
    <w:p w14:paraId="27A88EB7" w14:textId="77777777" w:rsidR="006A17CC" w:rsidRPr="005A6F77" w:rsidRDefault="006A17CC" w:rsidP="00DA0C34">
      <w:pPr>
        <w:spacing w:before="120" w:after="120" w:line="240" w:lineRule="auto"/>
        <w:jc w:val="both"/>
        <w:rPr>
          <w:rFonts w:ascii="Arial" w:hAnsi="Arial" w:cs="Arial"/>
          <w:b/>
          <w:sz w:val="20"/>
          <w:szCs w:val="20"/>
        </w:rPr>
      </w:pPr>
    </w:p>
    <w:p w14:paraId="29899355" w14:textId="3A2B5962" w:rsidR="00A80146" w:rsidRPr="00234962" w:rsidRDefault="006A17CC" w:rsidP="00DA0C34">
      <w:pPr>
        <w:numPr>
          <w:ilvl w:val="0"/>
          <w:numId w:val="3"/>
        </w:numPr>
        <w:tabs>
          <w:tab w:val="left" w:pos="1227"/>
        </w:tabs>
        <w:spacing w:line="240" w:lineRule="auto"/>
        <w:ind w:left="284" w:hanging="284"/>
        <w:jc w:val="both"/>
        <w:rPr>
          <w:rFonts w:ascii="Arial" w:hAnsi="Arial" w:cs="Arial"/>
          <w:b/>
          <w:bCs/>
        </w:rPr>
      </w:pPr>
      <w:r w:rsidRPr="00234962">
        <w:rPr>
          <w:rFonts w:ascii="Arial" w:hAnsi="Arial" w:cs="Arial"/>
          <w:b/>
          <w:bCs/>
        </w:rPr>
        <w:t>RESULTS AND DISCUSSION</w:t>
      </w:r>
    </w:p>
    <w:p w14:paraId="6A1F97C5" w14:textId="2C10C6EA" w:rsidR="006C0ADD" w:rsidRPr="006A17CC" w:rsidRDefault="009E75A9" w:rsidP="00DA0C34">
      <w:pPr>
        <w:pStyle w:val="BodyText"/>
        <w:spacing w:after="240"/>
        <w:jc w:val="both"/>
        <w:rPr>
          <w:rFonts w:ascii="Arial" w:hAnsi="Arial" w:cs="Arial"/>
          <w:b/>
          <w:sz w:val="22"/>
          <w:szCs w:val="22"/>
        </w:rPr>
      </w:pPr>
      <w:r w:rsidRPr="006A17CC">
        <w:rPr>
          <w:rFonts w:ascii="Arial" w:hAnsi="Arial" w:cs="Arial"/>
          <w:b/>
          <w:sz w:val="22"/>
          <w:szCs w:val="22"/>
        </w:rPr>
        <w:t xml:space="preserve">3.1 </w:t>
      </w:r>
      <w:r w:rsidR="00770A2B" w:rsidRPr="006A17CC">
        <w:rPr>
          <w:rFonts w:ascii="Arial" w:hAnsi="Arial" w:cs="Arial"/>
          <w:b/>
          <w:sz w:val="22"/>
          <w:szCs w:val="22"/>
        </w:rPr>
        <w:t>Effect on s</w:t>
      </w:r>
      <w:r w:rsidR="006C0ADD" w:rsidRPr="006A17CC">
        <w:rPr>
          <w:rFonts w:ascii="Arial" w:hAnsi="Arial" w:cs="Arial"/>
          <w:b/>
          <w:sz w:val="22"/>
          <w:szCs w:val="22"/>
        </w:rPr>
        <w:t xml:space="preserve">eed </w:t>
      </w:r>
      <w:r w:rsidR="00770A2B" w:rsidRPr="006A17CC">
        <w:rPr>
          <w:rFonts w:ascii="Arial" w:hAnsi="Arial" w:cs="Arial"/>
          <w:b/>
          <w:sz w:val="22"/>
          <w:szCs w:val="22"/>
        </w:rPr>
        <w:t>g</w:t>
      </w:r>
      <w:r w:rsidR="006C0ADD" w:rsidRPr="006A17CC">
        <w:rPr>
          <w:rFonts w:ascii="Arial" w:hAnsi="Arial" w:cs="Arial"/>
          <w:b/>
          <w:sz w:val="22"/>
          <w:szCs w:val="22"/>
        </w:rPr>
        <w:t>ermination</w:t>
      </w:r>
    </w:p>
    <w:p w14:paraId="77A5AD8C" w14:textId="5655D43B" w:rsidR="006C0ADD" w:rsidRPr="006A17CC" w:rsidRDefault="006C0ADD" w:rsidP="00DA0C34">
      <w:pPr>
        <w:pStyle w:val="BodyText"/>
        <w:spacing w:after="240"/>
        <w:jc w:val="both"/>
        <w:rPr>
          <w:rFonts w:ascii="Arial" w:hAnsi="Arial" w:cs="Arial"/>
          <w:sz w:val="20"/>
          <w:szCs w:val="20"/>
        </w:rPr>
      </w:pPr>
      <w:r w:rsidRPr="006A17CC">
        <w:rPr>
          <w:rFonts w:ascii="Arial" w:hAnsi="Arial" w:cs="Arial"/>
          <w:sz w:val="20"/>
          <w:szCs w:val="20"/>
        </w:rPr>
        <w:t xml:space="preserve">A significant difference was observed among treatments regarding the days to germination initiation. Seeds treated with </w:t>
      </w:r>
      <w:r w:rsidR="00CD6C48" w:rsidRPr="006A17CC">
        <w:rPr>
          <w:rFonts w:ascii="Arial" w:hAnsi="Arial" w:cs="Arial"/>
          <w:sz w:val="20"/>
          <w:szCs w:val="20"/>
        </w:rPr>
        <w:t>GA</w:t>
      </w:r>
      <w:r w:rsidR="00CD6C48" w:rsidRPr="006A17CC">
        <w:rPr>
          <w:rFonts w:ascii="Arial" w:hAnsi="Arial" w:cs="Arial"/>
          <w:sz w:val="20"/>
          <w:szCs w:val="20"/>
          <w:vertAlign w:val="subscript"/>
        </w:rPr>
        <w:t>3</w:t>
      </w:r>
      <w:r w:rsidRPr="006A17CC">
        <w:rPr>
          <w:rFonts w:ascii="Arial" w:hAnsi="Arial" w:cs="Arial"/>
          <w:sz w:val="20"/>
          <w:szCs w:val="20"/>
        </w:rPr>
        <w:t xml:space="preserve"> at 100 ppm initiated germination earliest (13.33 days), closely followed by </w:t>
      </w:r>
      <w:r w:rsidR="00CD6C48" w:rsidRPr="006A17CC">
        <w:rPr>
          <w:rFonts w:ascii="Arial" w:hAnsi="Arial" w:cs="Arial"/>
          <w:sz w:val="20"/>
          <w:szCs w:val="20"/>
        </w:rPr>
        <w:t>GA</w:t>
      </w:r>
      <w:r w:rsidR="00CD6C48" w:rsidRPr="006A17CC">
        <w:rPr>
          <w:rFonts w:ascii="Arial" w:hAnsi="Arial" w:cs="Arial"/>
          <w:sz w:val="20"/>
          <w:szCs w:val="20"/>
          <w:vertAlign w:val="subscript"/>
        </w:rPr>
        <w:t>3</w:t>
      </w:r>
      <w:r w:rsidRPr="006A17CC">
        <w:rPr>
          <w:rFonts w:ascii="Arial" w:hAnsi="Arial" w:cs="Arial"/>
          <w:sz w:val="20"/>
          <w:szCs w:val="20"/>
        </w:rPr>
        <w:t xml:space="preserve"> at 200 ppm (15.67 days) and </w:t>
      </w:r>
      <w:r w:rsidR="00CD6C48" w:rsidRPr="006A17CC">
        <w:rPr>
          <w:rFonts w:ascii="Arial" w:hAnsi="Arial" w:cs="Arial"/>
          <w:sz w:val="20"/>
          <w:szCs w:val="20"/>
        </w:rPr>
        <w:t>KNO</w:t>
      </w:r>
      <w:r w:rsidR="00CD6C48" w:rsidRPr="006A17CC">
        <w:rPr>
          <w:rFonts w:ascii="Arial" w:hAnsi="Arial" w:cs="Arial"/>
          <w:sz w:val="20"/>
          <w:szCs w:val="20"/>
          <w:vertAlign w:val="subscript"/>
        </w:rPr>
        <w:t>3</w:t>
      </w:r>
      <w:r w:rsidRPr="006A17CC">
        <w:rPr>
          <w:rFonts w:ascii="Arial" w:hAnsi="Arial" w:cs="Arial"/>
          <w:sz w:val="20"/>
          <w:szCs w:val="20"/>
        </w:rPr>
        <w:t xml:space="preserve"> at 2% (18.33 days). Untreated seeds took the longest (26 days), similar to water-soaked seeds (23.67 days). Complete germination was fastest with </w:t>
      </w:r>
      <w:r w:rsidR="00CD6C48" w:rsidRPr="006A17CC">
        <w:rPr>
          <w:rFonts w:ascii="Arial" w:hAnsi="Arial" w:cs="Arial"/>
          <w:sz w:val="20"/>
          <w:szCs w:val="20"/>
        </w:rPr>
        <w:t>GA</w:t>
      </w:r>
      <w:r w:rsidR="00CD6C48" w:rsidRPr="006A17CC">
        <w:rPr>
          <w:rFonts w:ascii="Arial" w:hAnsi="Arial" w:cs="Arial"/>
          <w:sz w:val="20"/>
          <w:szCs w:val="20"/>
          <w:vertAlign w:val="subscript"/>
        </w:rPr>
        <w:t>3</w:t>
      </w:r>
      <w:r w:rsidRPr="006A17CC">
        <w:rPr>
          <w:rFonts w:ascii="Arial" w:hAnsi="Arial" w:cs="Arial"/>
          <w:sz w:val="20"/>
          <w:szCs w:val="20"/>
        </w:rPr>
        <w:t xml:space="preserve"> 100 ppm (19.67 days) and </w:t>
      </w:r>
      <w:r w:rsidR="00CD6C48" w:rsidRPr="006A17CC">
        <w:rPr>
          <w:rFonts w:ascii="Arial" w:hAnsi="Arial" w:cs="Arial"/>
          <w:sz w:val="20"/>
          <w:szCs w:val="20"/>
        </w:rPr>
        <w:t>GA</w:t>
      </w:r>
      <w:r w:rsidR="00CD6C48" w:rsidRPr="006A17CC">
        <w:rPr>
          <w:rFonts w:ascii="Arial" w:hAnsi="Arial" w:cs="Arial"/>
          <w:sz w:val="20"/>
          <w:szCs w:val="20"/>
          <w:vertAlign w:val="subscript"/>
        </w:rPr>
        <w:t>3</w:t>
      </w:r>
      <w:r w:rsidRPr="006A17CC">
        <w:rPr>
          <w:rFonts w:ascii="Arial" w:hAnsi="Arial" w:cs="Arial"/>
          <w:sz w:val="20"/>
          <w:szCs w:val="20"/>
        </w:rPr>
        <w:t xml:space="preserve"> 200 ppm (23 days), while control seeds took 36.67 days. The highest germination percentage was found in seeds treated with </w:t>
      </w:r>
      <w:r w:rsidR="00CD6C48" w:rsidRPr="006A17CC">
        <w:rPr>
          <w:rFonts w:ascii="Arial" w:hAnsi="Arial" w:cs="Arial"/>
          <w:sz w:val="20"/>
          <w:szCs w:val="20"/>
        </w:rPr>
        <w:t>GA</w:t>
      </w:r>
      <w:r w:rsidR="00CD6C48" w:rsidRPr="006A17CC">
        <w:rPr>
          <w:rFonts w:ascii="Arial" w:hAnsi="Arial" w:cs="Arial"/>
          <w:sz w:val="20"/>
          <w:szCs w:val="20"/>
          <w:vertAlign w:val="subscript"/>
        </w:rPr>
        <w:t>3</w:t>
      </w:r>
      <w:r w:rsidRPr="006A17CC">
        <w:rPr>
          <w:rFonts w:ascii="Arial" w:hAnsi="Arial" w:cs="Arial"/>
          <w:sz w:val="20"/>
          <w:szCs w:val="20"/>
        </w:rPr>
        <w:t xml:space="preserve"> 100 ppm (88.93%), comparable to </w:t>
      </w:r>
      <w:r w:rsidR="00CD6C48" w:rsidRPr="006A17CC">
        <w:rPr>
          <w:rFonts w:ascii="Arial" w:hAnsi="Arial" w:cs="Arial"/>
          <w:sz w:val="20"/>
          <w:szCs w:val="20"/>
        </w:rPr>
        <w:t>KNO</w:t>
      </w:r>
      <w:r w:rsidR="00CD6C48" w:rsidRPr="006A17CC">
        <w:rPr>
          <w:rFonts w:ascii="Arial" w:hAnsi="Arial" w:cs="Arial"/>
          <w:sz w:val="20"/>
          <w:szCs w:val="20"/>
          <w:vertAlign w:val="subscript"/>
        </w:rPr>
        <w:t>3</w:t>
      </w:r>
      <w:r w:rsidRPr="006A17CC">
        <w:rPr>
          <w:rFonts w:ascii="Arial" w:hAnsi="Arial" w:cs="Arial"/>
          <w:sz w:val="20"/>
          <w:szCs w:val="20"/>
        </w:rPr>
        <w:t xml:space="preserve"> </w:t>
      </w:r>
      <w:r w:rsidRPr="006A17CC">
        <w:rPr>
          <w:rFonts w:ascii="Arial" w:hAnsi="Arial" w:cs="Arial"/>
          <w:sz w:val="20"/>
          <w:szCs w:val="20"/>
        </w:rPr>
        <w:lastRenderedPageBreak/>
        <w:t>2% treated seeds (85%), and lowest in untreated seeds (41.9%) (Table 2).</w:t>
      </w:r>
    </w:p>
    <w:p w14:paraId="29FFC933" w14:textId="1C421A20" w:rsidR="006C0ADD" w:rsidRPr="006A17CC" w:rsidRDefault="00CD6C48" w:rsidP="00DA0C34">
      <w:pPr>
        <w:pStyle w:val="BodyText"/>
        <w:spacing w:after="240"/>
        <w:ind w:firstLine="720"/>
        <w:jc w:val="both"/>
        <w:rPr>
          <w:rFonts w:ascii="Arial" w:hAnsi="Arial" w:cs="Arial"/>
          <w:sz w:val="20"/>
          <w:szCs w:val="20"/>
        </w:rPr>
      </w:pPr>
      <w:r w:rsidRPr="006A17CC">
        <w:rPr>
          <w:rFonts w:ascii="Arial" w:hAnsi="Arial" w:cs="Arial"/>
          <w:sz w:val="20"/>
          <w:szCs w:val="20"/>
        </w:rPr>
        <w:t>GA</w:t>
      </w:r>
      <w:r w:rsidRPr="006A17CC">
        <w:rPr>
          <w:rFonts w:ascii="Arial" w:hAnsi="Arial" w:cs="Arial"/>
          <w:sz w:val="20"/>
          <w:szCs w:val="20"/>
          <w:vertAlign w:val="subscript"/>
        </w:rPr>
        <w:t>3</w:t>
      </w:r>
      <w:r w:rsidR="006C0ADD" w:rsidRPr="006A17CC">
        <w:rPr>
          <w:rFonts w:ascii="Arial" w:hAnsi="Arial" w:cs="Arial"/>
          <w:sz w:val="20"/>
          <w:szCs w:val="20"/>
        </w:rPr>
        <w:t xml:space="preserve"> accelerates germination by promoting radicle emergence and activating hydrolytic enzymes like α-amylase, proteases, and β-</w:t>
      </w:r>
      <w:proofErr w:type="spellStart"/>
      <w:r w:rsidR="006C0ADD" w:rsidRPr="006A17CC">
        <w:rPr>
          <w:rFonts w:ascii="Arial" w:hAnsi="Arial" w:cs="Arial"/>
          <w:sz w:val="20"/>
          <w:szCs w:val="20"/>
        </w:rPr>
        <w:t>glucanases</w:t>
      </w:r>
      <w:proofErr w:type="spellEnd"/>
      <w:r w:rsidR="006C0ADD" w:rsidRPr="006A17CC">
        <w:rPr>
          <w:rFonts w:ascii="Arial" w:hAnsi="Arial" w:cs="Arial"/>
          <w:sz w:val="20"/>
          <w:szCs w:val="20"/>
        </w:rPr>
        <w:t xml:space="preserve">, which convert stored food to forms useful for the embryo (Jacobsen and Olszewski, 1993; Nolan and Ho, 1988; Joshi, 2018). It also enhances cell wall plasticity and water absorption, countering dormancy via enzyme induction and inhibitor suppression (Gupta and Chakrabarty, 2013; Vachhani </w:t>
      </w:r>
      <w:r w:rsidR="00FE73D0" w:rsidRPr="006A17CC">
        <w:rPr>
          <w:rFonts w:ascii="Arial" w:hAnsi="Arial" w:cs="Arial"/>
          <w:i/>
          <w:iCs/>
          <w:sz w:val="20"/>
          <w:szCs w:val="20"/>
        </w:rPr>
        <w:t>et al.,</w:t>
      </w:r>
      <w:r w:rsidR="00FE73D0" w:rsidRPr="006A17CC">
        <w:rPr>
          <w:rFonts w:ascii="Arial" w:hAnsi="Arial" w:cs="Arial"/>
          <w:sz w:val="20"/>
          <w:szCs w:val="20"/>
        </w:rPr>
        <w:t xml:space="preserve"> </w:t>
      </w:r>
      <w:r w:rsidR="006C0ADD" w:rsidRPr="006A17CC">
        <w:rPr>
          <w:rFonts w:ascii="Arial" w:hAnsi="Arial" w:cs="Arial"/>
          <w:sz w:val="20"/>
          <w:szCs w:val="20"/>
        </w:rPr>
        <w:t xml:space="preserve">2014; Rai </w:t>
      </w:r>
      <w:r w:rsidR="00FE73D0" w:rsidRPr="006A17CC">
        <w:rPr>
          <w:rFonts w:ascii="Arial" w:hAnsi="Arial" w:cs="Arial"/>
          <w:i/>
          <w:iCs/>
          <w:sz w:val="20"/>
          <w:szCs w:val="20"/>
        </w:rPr>
        <w:t>et al.,</w:t>
      </w:r>
      <w:r w:rsidR="00FE73D0" w:rsidRPr="006A17CC">
        <w:rPr>
          <w:rFonts w:ascii="Arial" w:hAnsi="Arial" w:cs="Arial"/>
          <w:sz w:val="20"/>
          <w:szCs w:val="20"/>
        </w:rPr>
        <w:t xml:space="preserve"> </w:t>
      </w:r>
      <w:r w:rsidR="006C0ADD" w:rsidRPr="006A17CC">
        <w:rPr>
          <w:rFonts w:ascii="Arial" w:hAnsi="Arial" w:cs="Arial"/>
          <w:sz w:val="20"/>
          <w:szCs w:val="20"/>
        </w:rPr>
        <w:t xml:space="preserve">2018). These findings align with earlier works on avocado and other fruit seeds (Reshma and Simi, 2019; Lay </w:t>
      </w:r>
      <w:r w:rsidR="00FE73D0" w:rsidRPr="006A17CC">
        <w:rPr>
          <w:rFonts w:ascii="Arial" w:hAnsi="Arial" w:cs="Arial"/>
          <w:i/>
          <w:iCs/>
          <w:sz w:val="20"/>
          <w:szCs w:val="20"/>
        </w:rPr>
        <w:t>et al.,</w:t>
      </w:r>
      <w:r w:rsidR="00FE73D0" w:rsidRPr="006A17CC">
        <w:rPr>
          <w:rFonts w:ascii="Arial" w:hAnsi="Arial" w:cs="Arial"/>
          <w:sz w:val="20"/>
          <w:szCs w:val="20"/>
        </w:rPr>
        <w:t xml:space="preserve"> </w:t>
      </w:r>
      <w:r w:rsidR="006C0ADD" w:rsidRPr="006A17CC">
        <w:rPr>
          <w:rFonts w:ascii="Arial" w:hAnsi="Arial" w:cs="Arial"/>
          <w:sz w:val="20"/>
          <w:szCs w:val="20"/>
        </w:rPr>
        <w:t xml:space="preserve">2013; </w:t>
      </w:r>
      <w:proofErr w:type="spellStart"/>
      <w:r w:rsidR="006C0ADD" w:rsidRPr="006A17CC">
        <w:rPr>
          <w:rFonts w:ascii="Arial" w:hAnsi="Arial" w:cs="Arial"/>
          <w:sz w:val="20"/>
          <w:szCs w:val="20"/>
        </w:rPr>
        <w:t>Boricha</w:t>
      </w:r>
      <w:proofErr w:type="spellEnd"/>
      <w:r w:rsidR="006C0ADD" w:rsidRPr="006A17CC">
        <w:rPr>
          <w:rFonts w:ascii="Arial" w:hAnsi="Arial" w:cs="Arial"/>
          <w:sz w:val="20"/>
          <w:szCs w:val="20"/>
        </w:rPr>
        <w:t xml:space="preserve"> </w:t>
      </w:r>
      <w:r w:rsidR="00FE73D0" w:rsidRPr="006A17CC">
        <w:rPr>
          <w:rFonts w:ascii="Arial" w:hAnsi="Arial" w:cs="Arial"/>
          <w:i/>
          <w:iCs/>
          <w:sz w:val="20"/>
          <w:szCs w:val="20"/>
        </w:rPr>
        <w:t>et al.,</w:t>
      </w:r>
      <w:r w:rsidR="00FE73D0" w:rsidRPr="006A17CC">
        <w:rPr>
          <w:rFonts w:ascii="Arial" w:hAnsi="Arial" w:cs="Arial"/>
          <w:sz w:val="20"/>
          <w:szCs w:val="20"/>
        </w:rPr>
        <w:t xml:space="preserve"> </w:t>
      </w:r>
      <w:r w:rsidR="006C0ADD" w:rsidRPr="006A17CC">
        <w:rPr>
          <w:rFonts w:ascii="Arial" w:hAnsi="Arial" w:cs="Arial"/>
          <w:sz w:val="20"/>
          <w:szCs w:val="20"/>
        </w:rPr>
        <w:t xml:space="preserve">2020; </w:t>
      </w:r>
      <w:proofErr w:type="spellStart"/>
      <w:r w:rsidR="006C0ADD" w:rsidRPr="006A17CC">
        <w:rPr>
          <w:rFonts w:ascii="Arial" w:hAnsi="Arial" w:cs="Arial"/>
          <w:sz w:val="20"/>
          <w:szCs w:val="20"/>
        </w:rPr>
        <w:t>Shafrir</w:t>
      </w:r>
      <w:proofErr w:type="spellEnd"/>
      <w:r w:rsidR="006C0ADD" w:rsidRPr="006A17CC">
        <w:rPr>
          <w:rFonts w:ascii="Arial" w:hAnsi="Arial" w:cs="Arial"/>
          <w:sz w:val="20"/>
          <w:szCs w:val="20"/>
        </w:rPr>
        <w:t>, 1970).</w:t>
      </w:r>
    </w:p>
    <w:p w14:paraId="2C23EAEF" w14:textId="053F22A2" w:rsidR="00DD07EF" w:rsidRPr="006043DB" w:rsidRDefault="00DD07EF" w:rsidP="00CD2810">
      <w:pPr>
        <w:spacing w:after="0" w:line="240" w:lineRule="auto"/>
        <w:ind w:left="851" w:hanging="851"/>
        <w:jc w:val="both"/>
        <w:rPr>
          <w:rFonts w:ascii="Arial" w:hAnsi="Arial" w:cs="Arial"/>
          <w:b/>
          <w:sz w:val="20"/>
          <w:szCs w:val="20"/>
        </w:rPr>
      </w:pPr>
      <w:r w:rsidRPr="006043DB">
        <w:rPr>
          <w:rFonts w:ascii="Arial" w:hAnsi="Arial" w:cs="Arial"/>
          <w:b/>
          <w:bCs/>
          <w:sz w:val="20"/>
          <w:szCs w:val="20"/>
        </w:rPr>
        <w:t>Table 2. Effect</w:t>
      </w:r>
      <w:r w:rsidRPr="006043DB">
        <w:rPr>
          <w:rFonts w:ascii="Arial" w:hAnsi="Arial" w:cs="Arial"/>
          <w:b/>
          <w:sz w:val="20"/>
          <w:szCs w:val="20"/>
        </w:rPr>
        <w:t xml:space="preserve"> of different growth regulators and chemicals on days taken for initiation of germination, fifty per cent germination, complete germination and germination percentage of the avocado seeds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226"/>
        <w:gridCol w:w="1361"/>
        <w:gridCol w:w="1361"/>
        <w:gridCol w:w="1361"/>
        <w:gridCol w:w="1394"/>
      </w:tblGrid>
      <w:tr w:rsidR="00DD07EF" w:rsidRPr="00A56F6F" w14:paraId="6A7A498D" w14:textId="77777777" w:rsidTr="00824227">
        <w:trPr>
          <w:trHeight w:val="510"/>
        </w:trPr>
        <w:tc>
          <w:tcPr>
            <w:tcW w:w="300" w:type="pct"/>
            <w:vAlign w:val="center"/>
          </w:tcPr>
          <w:p w14:paraId="5B621F29"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Sl. No.</w:t>
            </w:r>
          </w:p>
        </w:tc>
        <w:tc>
          <w:tcPr>
            <w:tcW w:w="1919" w:type="pct"/>
            <w:vAlign w:val="center"/>
          </w:tcPr>
          <w:p w14:paraId="5E524F25"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Treatments</w:t>
            </w:r>
          </w:p>
        </w:tc>
        <w:tc>
          <w:tcPr>
            <w:tcW w:w="695" w:type="pct"/>
            <w:vAlign w:val="center"/>
          </w:tcPr>
          <w:p w14:paraId="16B323D2"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Days taken for initiation of germination</w:t>
            </w:r>
          </w:p>
          <w:p w14:paraId="7171FFE9"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(days)</w:t>
            </w:r>
          </w:p>
        </w:tc>
        <w:tc>
          <w:tcPr>
            <w:tcW w:w="695" w:type="pct"/>
            <w:vAlign w:val="center"/>
          </w:tcPr>
          <w:p w14:paraId="3D737891"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Days taken for 50 per cent germination</w:t>
            </w:r>
          </w:p>
          <w:p w14:paraId="11E5344F"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b/>
                <w:sz w:val="20"/>
                <w:szCs w:val="20"/>
              </w:rPr>
              <w:t>(days)</w:t>
            </w:r>
          </w:p>
        </w:tc>
        <w:tc>
          <w:tcPr>
            <w:tcW w:w="695" w:type="pct"/>
            <w:vAlign w:val="center"/>
          </w:tcPr>
          <w:p w14:paraId="2114882D"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Days taken for complete germination</w:t>
            </w:r>
          </w:p>
          <w:p w14:paraId="2BB8F925"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b/>
                <w:sz w:val="20"/>
                <w:szCs w:val="20"/>
              </w:rPr>
              <w:t>(days)</w:t>
            </w:r>
          </w:p>
        </w:tc>
        <w:tc>
          <w:tcPr>
            <w:tcW w:w="695" w:type="pct"/>
            <w:vAlign w:val="center"/>
          </w:tcPr>
          <w:p w14:paraId="723ACF43"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Germination percentage</w:t>
            </w:r>
          </w:p>
          <w:p w14:paraId="552E40D7"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w:t>
            </w:r>
          </w:p>
        </w:tc>
      </w:tr>
      <w:tr w:rsidR="00DD07EF" w:rsidRPr="00A56F6F" w14:paraId="4007C43D" w14:textId="77777777" w:rsidTr="00824227">
        <w:trPr>
          <w:trHeight w:val="510"/>
        </w:trPr>
        <w:tc>
          <w:tcPr>
            <w:tcW w:w="300" w:type="pct"/>
            <w:vAlign w:val="center"/>
          </w:tcPr>
          <w:p w14:paraId="70649111"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w:t>
            </w:r>
          </w:p>
        </w:tc>
        <w:tc>
          <w:tcPr>
            <w:tcW w:w="1919" w:type="pct"/>
            <w:vAlign w:val="center"/>
          </w:tcPr>
          <w:p w14:paraId="5D1E3A20" w14:textId="574E21BE"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1</w:t>
            </w:r>
            <w:r w:rsidR="00DD07EF" w:rsidRPr="00A56F6F">
              <w:rPr>
                <w:rFonts w:ascii="Arial" w:hAnsi="Arial" w:cs="Arial"/>
                <w:sz w:val="20"/>
                <w:szCs w:val="20"/>
              </w:rPr>
              <w:t>: Control (untreated)</w:t>
            </w:r>
          </w:p>
        </w:tc>
        <w:tc>
          <w:tcPr>
            <w:tcW w:w="695" w:type="pct"/>
            <w:vAlign w:val="center"/>
          </w:tcPr>
          <w:p w14:paraId="6BA8CEB0"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26.00</w:t>
            </w:r>
          </w:p>
        </w:tc>
        <w:tc>
          <w:tcPr>
            <w:tcW w:w="695" w:type="pct"/>
            <w:vAlign w:val="center"/>
          </w:tcPr>
          <w:p w14:paraId="460E39D0"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31.67</w:t>
            </w:r>
          </w:p>
        </w:tc>
        <w:tc>
          <w:tcPr>
            <w:tcW w:w="695" w:type="pct"/>
            <w:vAlign w:val="center"/>
          </w:tcPr>
          <w:p w14:paraId="2ACCAE6A"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36.67</w:t>
            </w:r>
          </w:p>
        </w:tc>
        <w:tc>
          <w:tcPr>
            <w:tcW w:w="695" w:type="pct"/>
            <w:vAlign w:val="center"/>
          </w:tcPr>
          <w:p w14:paraId="094BE7C9"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41.90</w:t>
            </w:r>
          </w:p>
        </w:tc>
      </w:tr>
      <w:tr w:rsidR="00DD07EF" w:rsidRPr="00A56F6F" w14:paraId="6CEEBF32" w14:textId="77777777" w:rsidTr="00824227">
        <w:trPr>
          <w:trHeight w:val="510"/>
        </w:trPr>
        <w:tc>
          <w:tcPr>
            <w:tcW w:w="300" w:type="pct"/>
            <w:vAlign w:val="center"/>
          </w:tcPr>
          <w:p w14:paraId="0500372C"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2</w:t>
            </w:r>
          </w:p>
        </w:tc>
        <w:tc>
          <w:tcPr>
            <w:tcW w:w="1919" w:type="pct"/>
            <w:vAlign w:val="center"/>
          </w:tcPr>
          <w:p w14:paraId="745152BF" w14:textId="414B8F2C"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2</w:t>
            </w:r>
            <w:r w:rsidR="00DD07EF" w:rsidRPr="00A56F6F">
              <w:rPr>
                <w:rFonts w:ascii="Arial" w:hAnsi="Arial" w:cs="Arial"/>
                <w:sz w:val="20"/>
                <w:szCs w:val="20"/>
              </w:rPr>
              <w:t>: Water soaking (24 hours)</w:t>
            </w:r>
          </w:p>
        </w:tc>
        <w:tc>
          <w:tcPr>
            <w:tcW w:w="695" w:type="pct"/>
            <w:vAlign w:val="center"/>
          </w:tcPr>
          <w:p w14:paraId="6EE05954"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23.67</w:t>
            </w:r>
          </w:p>
        </w:tc>
        <w:tc>
          <w:tcPr>
            <w:tcW w:w="695" w:type="pct"/>
            <w:vAlign w:val="center"/>
          </w:tcPr>
          <w:p w14:paraId="2FCFD3BE"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27.67</w:t>
            </w:r>
          </w:p>
        </w:tc>
        <w:tc>
          <w:tcPr>
            <w:tcW w:w="695" w:type="pct"/>
            <w:vAlign w:val="center"/>
          </w:tcPr>
          <w:p w14:paraId="52FAECF9"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31.33</w:t>
            </w:r>
          </w:p>
        </w:tc>
        <w:tc>
          <w:tcPr>
            <w:tcW w:w="695" w:type="pct"/>
            <w:vAlign w:val="center"/>
          </w:tcPr>
          <w:p w14:paraId="7F61FB33"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65.66</w:t>
            </w:r>
          </w:p>
        </w:tc>
      </w:tr>
      <w:tr w:rsidR="00DD07EF" w:rsidRPr="00A56F6F" w14:paraId="3A122EE0" w14:textId="77777777" w:rsidTr="00824227">
        <w:trPr>
          <w:trHeight w:val="510"/>
        </w:trPr>
        <w:tc>
          <w:tcPr>
            <w:tcW w:w="300" w:type="pct"/>
            <w:vAlign w:val="center"/>
          </w:tcPr>
          <w:p w14:paraId="1E29E21E"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3</w:t>
            </w:r>
          </w:p>
        </w:tc>
        <w:tc>
          <w:tcPr>
            <w:tcW w:w="1919" w:type="pct"/>
            <w:vAlign w:val="center"/>
          </w:tcPr>
          <w:p w14:paraId="47D4639A" w14:textId="46A3F054"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3</w:t>
            </w:r>
            <w:r w:rsidR="00DD07EF" w:rsidRPr="00A56F6F">
              <w:rPr>
                <w:rFonts w:ascii="Arial" w:hAnsi="Arial" w:cs="Arial"/>
                <w:sz w:val="20"/>
                <w:szCs w:val="20"/>
              </w:rPr>
              <w:t xml:space="preserve">: Seed treatment with </w:t>
            </w:r>
            <w:r w:rsidR="00CD6C48" w:rsidRPr="00A56F6F">
              <w:rPr>
                <w:rFonts w:ascii="Arial" w:hAnsi="Arial" w:cs="Arial"/>
                <w:sz w:val="20"/>
                <w:szCs w:val="20"/>
              </w:rPr>
              <w:t>GA</w:t>
            </w:r>
            <w:r w:rsidR="00CD6C48" w:rsidRPr="00A56F6F">
              <w:rPr>
                <w:rFonts w:ascii="Arial" w:hAnsi="Arial" w:cs="Arial"/>
                <w:sz w:val="20"/>
                <w:szCs w:val="20"/>
                <w:vertAlign w:val="subscript"/>
              </w:rPr>
              <w:t>3</w:t>
            </w:r>
            <w:r w:rsidR="00DD07EF" w:rsidRPr="00A56F6F">
              <w:rPr>
                <w:rFonts w:ascii="Arial" w:hAnsi="Arial" w:cs="Arial"/>
                <w:sz w:val="20"/>
                <w:szCs w:val="20"/>
              </w:rPr>
              <w:t xml:space="preserve"> 100 ppm</w:t>
            </w:r>
          </w:p>
        </w:tc>
        <w:tc>
          <w:tcPr>
            <w:tcW w:w="695" w:type="pct"/>
            <w:vAlign w:val="center"/>
          </w:tcPr>
          <w:p w14:paraId="39FDE875"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13.33</w:t>
            </w:r>
          </w:p>
        </w:tc>
        <w:tc>
          <w:tcPr>
            <w:tcW w:w="695" w:type="pct"/>
            <w:vAlign w:val="center"/>
          </w:tcPr>
          <w:p w14:paraId="5CCB9E5A"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16.33</w:t>
            </w:r>
          </w:p>
        </w:tc>
        <w:tc>
          <w:tcPr>
            <w:tcW w:w="695" w:type="pct"/>
            <w:vAlign w:val="center"/>
          </w:tcPr>
          <w:p w14:paraId="0A86D856"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19.67</w:t>
            </w:r>
          </w:p>
        </w:tc>
        <w:tc>
          <w:tcPr>
            <w:tcW w:w="695" w:type="pct"/>
            <w:vAlign w:val="center"/>
          </w:tcPr>
          <w:p w14:paraId="72261575"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88.93</w:t>
            </w:r>
          </w:p>
        </w:tc>
      </w:tr>
      <w:tr w:rsidR="00DD07EF" w:rsidRPr="00A56F6F" w14:paraId="4B060FF3" w14:textId="77777777" w:rsidTr="00824227">
        <w:trPr>
          <w:trHeight w:val="510"/>
        </w:trPr>
        <w:tc>
          <w:tcPr>
            <w:tcW w:w="300" w:type="pct"/>
            <w:vAlign w:val="center"/>
          </w:tcPr>
          <w:p w14:paraId="669D2D80"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4</w:t>
            </w:r>
          </w:p>
        </w:tc>
        <w:tc>
          <w:tcPr>
            <w:tcW w:w="1919" w:type="pct"/>
            <w:vAlign w:val="center"/>
          </w:tcPr>
          <w:p w14:paraId="36E77772" w14:textId="14CFD776"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4</w:t>
            </w:r>
            <w:r w:rsidR="00DD07EF" w:rsidRPr="00A56F6F">
              <w:rPr>
                <w:rFonts w:ascii="Arial" w:hAnsi="Arial" w:cs="Arial"/>
                <w:sz w:val="20"/>
                <w:szCs w:val="20"/>
              </w:rPr>
              <w:t xml:space="preserve">: Seed treatment with </w:t>
            </w:r>
            <w:r w:rsidR="00CD6C48" w:rsidRPr="00A56F6F">
              <w:rPr>
                <w:rFonts w:ascii="Arial" w:hAnsi="Arial" w:cs="Arial"/>
                <w:sz w:val="20"/>
                <w:szCs w:val="20"/>
              </w:rPr>
              <w:t>GA</w:t>
            </w:r>
            <w:r w:rsidR="00CD6C48" w:rsidRPr="00A56F6F">
              <w:rPr>
                <w:rFonts w:ascii="Arial" w:hAnsi="Arial" w:cs="Arial"/>
                <w:sz w:val="20"/>
                <w:szCs w:val="20"/>
                <w:vertAlign w:val="subscript"/>
              </w:rPr>
              <w:t>3</w:t>
            </w:r>
            <w:r w:rsidR="00DD07EF" w:rsidRPr="00A56F6F">
              <w:rPr>
                <w:rFonts w:ascii="Arial" w:hAnsi="Arial" w:cs="Arial"/>
                <w:sz w:val="20"/>
                <w:szCs w:val="20"/>
              </w:rPr>
              <w:t xml:space="preserve"> 200 ppm</w:t>
            </w:r>
          </w:p>
        </w:tc>
        <w:tc>
          <w:tcPr>
            <w:tcW w:w="695" w:type="pct"/>
            <w:vAlign w:val="center"/>
          </w:tcPr>
          <w:p w14:paraId="68DE1220"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15.67</w:t>
            </w:r>
          </w:p>
        </w:tc>
        <w:tc>
          <w:tcPr>
            <w:tcW w:w="695" w:type="pct"/>
            <w:vAlign w:val="center"/>
          </w:tcPr>
          <w:p w14:paraId="2A6A3AEE"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19.00</w:t>
            </w:r>
          </w:p>
        </w:tc>
        <w:tc>
          <w:tcPr>
            <w:tcW w:w="695" w:type="pct"/>
            <w:vAlign w:val="center"/>
          </w:tcPr>
          <w:p w14:paraId="4863861E"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23.00</w:t>
            </w:r>
          </w:p>
        </w:tc>
        <w:tc>
          <w:tcPr>
            <w:tcW w:w="695" w:type="pct"/>
            <w:vAlign w:val="center"/>
          </w:tcPr>
          <w:p w14:paraId="2D1CF595"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82.36</w:t>
            </w:r>
          </w:p>
        </w:tc>
      </w:tr>
      <w:tr w:rsidR="00DD07EF" w:rsidRPr="00A56F6F" w14:paraId="3A96E996" w14:textId="77777777" w:rsidTr="00824227">
        <w:trPr>
          <w:trHeight w:val="510"/>
        </w:trPr>
        <w:tc>
          <w:tcPr>
            <w:tcW w:w="300" w:type="pct"/>
            <w:vAlign w:val="center"/>
          </w:tcPr>
          <w:p w14:paraId="429EA74F"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5</w:t>
            </w:r>
          </w:p>
        </w:tc>
        <w:tc>
          <w:tcPr>
            <w:tcW w:w="1919" w:type="pct"/>
            <w:vAlign w:val="center"/>
          </w:tcPr>
          <w:p w14:paraId="5B8546DB" w14:textId="1409F63D"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5</w:t>
            </w:r>
            <w:r w:rsidR="00DD07EF" w:rsidRPr="00A56F6F">
              <w:rPr>
                <w:rFonts w:ascii="Arial" w:hAnsi="Arial" w:cs="Arial"/>
                <w:sz w:val="20"/>
                <w:szCs w:val="20"/>
              </w:rPr>
              <w:t>: Seed treatment with Thiourea at 1%</w:t>
            </w:r>
          </w:p>
        </w:tc>
        <w:tc>
          <w:tcPr>
            <w:tcW w:w="695" w:type="pct"/>
            <w:vAlign w:val="center"/>
          </w:tcPr>
          <w:p w14:paraId="22FC3280"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19.33</w:t>
            </w:r>
          </w:p>
        </w:tc>
        <w:tc>
          <w:tcPr>
            <w:tcW w:w="695" w:type="pct"/>
            <w:vAlign w:val="center"/>
          </w:tcPr>
          <w:p w14:paraId="402A2467"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22.67</w:t>
            </w:r>
          </w:p>
        </w:tc>
        <w:tc>
          <w:tcPr>
            <w:tcW w:w="695" w:type="pct"/>
            <w:vAlign w:val="center"/>
          </w:tcPr>
          <w:p w14:paraId="2BC35D55"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25.33</w:t>
            </w:r>
          </w:p>
        </w:tc>
        <w:tc>
          <w:tcPr>
            <w:tcW w:w="695" w:type="pct"/>
            <w:vAlign w:val="center"/>
          </w:tcPr>
          <w:p w14:paraId="00E05E86"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68.65</w:t>
            </w:r>
          </w:p>
        </w:tc>
      </w:tr>
      <w:tr w:rsidR="00DD07EF" w:rsidRPr="00A56F6F" w14:paraId="1A31D711" w14:textId="77777777" w:rsidTr="00824227">
        <w:trPr>
          <w:trHeight w:val="510"/>
        </w:trPr>
        <w:tc>
          <w:tcPr>
            <w:tcW w:w="300" w:type="pct"/>
            <w:vAlign w:val="center"/>
          </w:tcPr>
          <w:p w14:paraId="4A8BEE18"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6</w:t>
            </w:r>
          </w:p>
        </w:tc>
        <w:tc>
          <w:tcPr>
            <w:tcW w:w="1919" w:type="pct"/>
            <w:vAlign w:val="center"/>
          </w:tcPr>
          <w:p w14:paraId="7539E269" w14:textId="2DAEAED3"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6</w:t>
            </w:r>
            <w:r w:rsidR="00DD07EF" w:rsidRPr="00A56F6F">
              <w:rPr>
                <w:rFonts w:ascii="Arial" w:hAnsi="Arial" w:cs="Arial"/>
                <w:sz w:val="20"/>
                <w:szCs w:val="20"/>
              </w:rPr>
              <w:t>: Seed treatment with Thiourea at 2%</w:t>
            </w:r>
          </w:p>
        </w:tc>
        <w:tc>
          <w:tcPr>
            <w:tcW w:w="695" w:type="pct"/>
            <w:vAlign w:val="center"/>
          </w:tcPr>
          <w:p w14:paraId="48AFD23A"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20.00</w:t>
            </w:r>
          </w:p>
        </w:tc>
        <w:tc>
          <w:tcPr>
            <w:tcW w:w="695" w:type="pct"/>
            <w:vAlign w:val="center"/>
          </w:tcPr>
          <w:p w14:paraId="1C20CD1F"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23.67</w:t>
            </w:r>
          </w:p>
        </w:tc>
        <w:tc>
          <w:tcPr>
            <w:tcW w:w="695" w:type="pct"/>
            <w:vAlign w:val="center"/>
          </w:tcPr>
          <w:p w14:paraId="3169CDC4"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26.67</w:t>
            </w:r>
          </w:p>
        </w:tc>
        <w:tc>
          <w:tcPr>
            <w:tcW w:w="695" w:type="pct"/>
            <w:vAlign w:val="center"/>
          </w:tcPr>
          <w:p w14:paraId="4307B830"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76.55</w:t>
            </w:r>
          </w:p>
        </w:tc>
      </w:tr>
      <w:tr w:rsidR="00DD07EF" w:rsidRPr="00A56F6F" w14:paraId="1FFBF0F8" w14:textId="77777777" w:rsidTr="00824227">
        <w:trPr>
          <w:trHeight w:val="510"/>
        </w:trPr>
        <w:tc>
          <w:tcPr>
            <w:tcW w:w="300" w:type="pct"/>
            <w:vAlign w:val="center"/>
          </w:tcPr>
          <w:p w14:paraId="0514618D"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7</w:t>
            </w:r>
          </w:p>
        </w:tc>
        <w:tc>
          <w:tcPr>
            <w:tcW w:w="1919" w:type="pct"/>
            <w:vAlign w:val="center"/>
          </w:tcPr>
          <w:p w14:paraId="79EEFE70" w14:textId="55403531"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7</w:t>
            </w:r>
            <w:r w:rsidR="00DD07EF" w:rsidRPr="00A56F6F">
              <w:rPr>
                <w:rFonts w:ascii="Arial" w:hAnsi="Arial" w:cs="Arial"/>
                <w:sz w:val="20"/>
                <w:szCs w:val="20"/>
              </w:rPr>
              <w:t xml:space="preserve">: Seed treatment with </w:t>
            </w:r>
            <w:r w:rsidR="00CD6C48" w:rsidRPr="00A56F6F">
              <w:rPr>
                <w:rFonts w:ascii="Arial" w:hAnsi="Arial" w:cs="Arial"/>
                <w:sz w:val="20"/>
                <w:szCs w:val="20"/>
              </w:rPr>
              <w:t>KNO</w:t>
            </w:r>
            <w:r w:rsidR="00CD6C48" w:rsidRPr="00A56F6F">
              <w:rPr>
                <w:rFonts w:ascii="Arial" w:hAnsi="Arial" w:cs="Arial"/>
                <w:sz w:val="20"/>
                <w:szCs w:val="20"/>
                <w:vertAlign w:val="subscript"/>
              </w:rPr>
              <w:t>3</w:t>
            </w:r>
            <w:r w:rsidR="00DD07EF" w:rsidRPr="00A56F6F">
              <w:rPr>
                <w:rFonts w:ascii="Arial" w:hAnsi="Arial" w:cs="Arial"/>
                <w:sz w:val="20"/>
                <w:szCs w:val="20"/>
              </w:rPr>
              <w:t xml:space="preserve"> at 1%</w:t>
            </w:r>
          </w:p>
        </w:tc>
        <w:tc>
          <w:tcPr>
            <w:tcW w:w="695" w:type="pct"/>
            <w:vAlign w:val="center"/>
          </w:tcPr>
          <w:p w14:paraId="60A412EF"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18.67</w:t>
            </w:r>
          </w:p>
        </w:tc>
        <w:tc>
          <w:tcPr>
            <w:tcW w:w="695" w:type="pct"/>
            <w:vAlign w:val="center"/>
          </w:tcPr>
          <w:p w14:paraId="11774B98"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22.33</w:t>
            </w:r>
          </w:p>
        </w:tc>
        <w:tc>
          <w:tcPr>
            <w:tcW w:w="695" w:type="pct"/>
            <w:vAlign w:val="center"/>
          </w:tcPr>
          <w:p w14:paraId="289BC7DC"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26.00</w:t>
            </w:r>
          </w:p>
        </w:tc>
        <w:tc>
          <w:tcPr>
            <w:tcW w:w="695" w:type="pct"/>
            <w:vAlign w:val="center"/>
          </w:tcPr>
          <w:p w14:paraId="7B4EFAE4"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64.85</w:t>
            </w:r>
          </w:p>
        </w:tc>
      </w:tr>
      <w:tr w:rsidR="00DD07EF" w:rsidRPr="00A56F6F" w14:paraId="49FF26C0" w14:textId="77777777" w:rsidTr="00824227">
        <w:trPr>
          <w:trHeight w:val="510"/>
        </w:trPr>
        <w:tc>
          <w:tcPr>
            <w:tcW w:w="300" w:type="pct"/>
            <w:vAlign w:val="center"/>
          </w:tcPr>
          <w:p w14:paraId="1F58228D"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8</w:t>
            </w:r>
          </w:p>
        </w:tc>
        <w:tc>
          <w:tcPr>
            <w:tcW w:w="1919" w:type="pct"/>
            <w:vAlign w:val="center"/>
          </w:tcPr>
          <w:p w14:paraId="13324781" w14:textId="2215F01E" w:rsidR="00DD07EF" w:rsidRPr="00A56F6F" w:rsidRDefault="00477766" w:rsidP="00DA0C34">
            <w:pPr>
              <w:spacing w:after="0" w:line="240" w:lineRule="auto"/>
              <w:contextualSpacing/>
              <w:rPr>
                <w:rFonts w:ascii="Arial" w:hAnsi="Arial" w:cs="Arial"/>
                <w:sz w:val="20"/>
                <w:szCs w:val="20"/>
              </w:rPr>
            </w:pPr>
            <w:r w:rsidRPr="00A56F6F">
              <w:rPr>
                <w:rFonts w:ascii="Arial" w:eastAsia="Calibri" w:hAnsi="Arial" w:cs="Arial"/>
                <w:kern w:val="0"/>
                <w:sz w:val="20"/>
                <w:szCs w:val="20"/>
                <w:lang w:val="en-US"/>
                <w14:ligatures w14:val="none"/>
              </w:rPr>
              <w:t>T</w:t>
            </w:r>
            <w:r w:rsidRPr="00A56F6F">
              <w:rPr>
                <w:rFonts w:ascii="Arial" w:eastAsia="Calibri" w:hAnsi="Arial" w:cs="Arial"/>
                <w:kern w:val="0"/>
                <w:sz w:val="20"/>
                <w:szCs w:val="20"/>
                <w:vertAlign w:val="subscript"/>
                <w:lang w:val="en-US"/>
                <w14:ligatures w14:val="none"/>
              </w:rPr>
              <w:t>8</w:t>
            </w:r>
            <w:r w:rsidR="00DD07EF" w:rsidRPr="00A56F6F">
              <w:rPr>
                <w:rFonts w:ascii="Arial" w:hAnsi="Arial" w:cs="Arial"/>
                <w:sz w:val="20"/>
                <w:szCs w:val="20"/>
              </w:rPr>
              <w:t xml:space="preserve">: Seed treatment with </w:t>
            </w:r>
            <w:r w:rsidR="00CD6C48" w:rsidRPr="00A56F6F">
              <w:rPr>
                <w:rFonts w:ascii="Arial" w:hAnsi="Arial" w:cs="Arial"/>
                <w:sz w:val="20"/>
                <w:szCs w:val="20"/>
              </w:rPr>
              <w:t>KNO</w:t>
            </w:r>
            <w:r w:rsidR="00CD6C48" w:rsidRPr="00A56F6F">
              <w:rPr>
                <w:rFonts w:ascii="Arial" w:hAnsi="Arial" w:cs="Arial"/>
                <w:sz w:val="20"/>
                <w:szCs w:val="20"/>
                <w:vertAlign w:val="subscript"/>
              </w:rPr>
              <w:t>3</w:t>
            </w:r>
            <w:r w:rsidR="00DD07EF" w:rsidRPr="00A56F6F">
              <w:rPr>
                <w:rFonts w:ascii="Arial" w:hAnsi="Arial" w:cs="Arial"/>
                <w:sz w:val="20"/>
                <w:szCs w:val="20"/>
              </w:rPr>
              <w:t xml:space="preserve"> at 2%</w:t>
            </w:r>
          </w:p>
        </w:tc>
        <w:tc>
          <w:tcPr>
            <w:tcW w:w="695" w:type="pct"/>
            <w:vAlign w:val="center"/>
          </w:tcPr>
          <w:p w14:paraId="0AEDCFE5"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18.33</w:t>
            </w:r>
          </w:p>
        </w:tc>
        <w:tc>
          <w:tcPr>
            <w:tcW w:w="695" w:type="pct"/>
            <w:vAlign w:val="center"/>
          </w:tcPr>
          <w:p w14:paraId="604D483A"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22.67</w:t>
            </w:r>
          </w:p>
        </w:tc>
        <w:tc>
          <w:tcPr>
            <w:tcW w:w="695" w:type="pct"/>
            <w:vAlign w:val="center"/>
          </w:tcPr>
          <w:p w14:paraId="0FD8B037"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26.00</w:t>
            </w:r>
          </w:p>
        </w:tc>
        <w:tc>
          <w:tcPr>
            <w:tcW w:w="695" w:type="pct"/>
            <w:vAlign w:val="center"/>
          </w:tcPr>
          <w:p w14:paraId="06ECEAFA" w14:textId="77777777" w:rsidR="00DD07EF" w:rsidRPr="00A56F6F" w:rsidRDefault="00DD07EF" w:rsidP="00DA0C34">
            <w:pPr>
              <w:spacing w:after="0" w:line="240" w:lineRule="auto"/>
              <w:contextualSpacing/>
              <w:jc w:val="center"/>
              <w:rPr>
                <w:rFonts w:ascii="Arial" w:eastAsia="Times New Roman" w:hAnsi="Arial" w:cs="Arial"/>
                <w:sz w:val="20"/>
                <w:szCs w:val="20"/>
              </w:rPr>
            </w:pPr>
            <w:r w:rsidRPr="00A56F6F">
              <w:rPr>
                <w:rFonts w:ascii="Arial" w:eastAsia="Times New Roman" w:hAnsi="Arial" w:cs="Arial"/>
                <w:sz w:val="20"/>
                <w:szCs w:val="20"/>
              </w:rPr>
              <w:t>85.00</w:t>
            </w:r>
          </w:p>
        </w:tc>
      </w:tr>
      <w:tr w:rsidR="00DD07EF" w:rsidRPr="00A56F6F" w14:paraId="15C56406" w14:textId="77777777" w:rsidTr="00824227">
        <w:trPr>
          <w:trHeight w:val="510"/>
        </w:trPr>
        <w:tc>
          <w:tcPr>
            <w:tcW w:w="2219" w:type="pct"/>
            <w:gridSpan w:val="2"/>
            <w:vAlign w:val="center"/>
          </w:tcPr>
          <w:p w14:paraId="5C7E7ADA" w14:textId="4E126AD9" w:rsidR="00DD07EF" w:rsidRPr="00A56F6F" w:rsidRDefault="00601F0C" w:rsidP="00DA0C34">
            <w:pPr>
              <w:spacing w:after="0" w:line="240" w:lineRule="auto"/>
              <w:contextualSpacing/>
              <w:jc w:val="center"/>
              <w:rPr>
                <w:rFonts w:ascii="Arial" w:hAnsi="Arial" w:cs="Arial"/>
                <w:b/>
                <w:sz w:val="20"/>
                <w:szCs w:val="20"/>
              </w:rPr>
            </w:pPr>
            <w:proofErr w:type="spellStart"/>
            <w:r>
              <w:rPr>
                <w:rFonts w:ascii="Arial" w:hAnsi="Arial" w:cs="Arial"/>
                <w:b/>
                <w:sz w:val="20"/>
                <w:szCs w:val="20"/>
              </w:rPr>
              <w:t>S.E.m</w:t>
            </w:r>
            <w:proofErr w:type="spellEnd"/>
            <w:r w:rsidR="00DD07EF" w:rsidRPr="00A56F6F">
              <w:rPr>
                <w:rFonts w:ascii="Arial" w:hAnsi="Arial" w:cs="Arial"/>
                <w:b/>
                <w:sz w:val="20"/>
                <w:szCs w:val="20"/>
              </w:rPr>
              <w:t>±</w:t>
            </w:r>
          </w:p>
        </w:tc>
        <w:tc>
          <w:tcPr>
            <w:tcW w:w="695" w:type="pct"/>
            <w:vAlign w:val="center"/>
          </w:tcPr>
          <w:p w14:paraId="7B3BD4A2"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1.21</w:t>
            </w:r>
          </w:p>
        </w:tc>
        <w:tc>
          <w:tcPr>
            <w:tcW w:w="695" w:type="pct"/>
            <w:vAlign w:val="center"/>
          </w:tcPr>
          <w:p w14:paraId="41594A14"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1.11</w:t>
            </w:r>
          </w:p>
        </w:tc>
        <w:tc>
          <w:tcPr>
            <w:tcW w:w="695" w:type="pct"/>
            <w:vAlign w:val="center"/>
          </w:tcPr>
          <w:p w14:paraId="197BCB97"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1.33</w:t>
            </w:r>
          </w:p>
        </w:tc>
        <w:tc>
          <w:tcPr>
            <w:tcW w:w="695" w:type="pct"/>
            <w:vAlign w:val="center"/>
          </w:tcPr>
          <w:p w14:paraId="3D3E3007"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1.49</w:t>
            </w:r>
          </w:p>
        </w:tc>
      </w:tr>
      <w:tr w:rsidR="00DD07EF" w:rsidRPr="00A56F6F" w14:paraId="1BF2B3EE" w14:textId="77777777" w:rsidTr="00824227">
        <w:trPr>
          <w:trHeight w:val="510"/>
        </w:trPr>
        <w:tc>
          <w:tcPr>
            <w:tcW w:w="2219" w:type="pct"/>
            <w:gridSpan w:val="2"/>
            <w:vAlign w:val="center"/>
          </w:tcPr>
          <w:p w14:paraId="509AE7BC"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C.D. @ 5%</w:t>
            </w:r>
          </w:p>
        </w:tc>
        <w:tc>
          <w:tcPr>
            <w:tcW w:w="695" w:type="pct"/>
            <w:vAlign w:val="center"/>
          </w:tcPr>
          <w:p w14:paraId="61B901EB"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3.62</w:t>
            </w:r>
          </w:p>
        </w:tc>
        <w:tc>
          <w:tcPr>
            <w:tcW w:w="695" w:type="pct"/>
            <w:vAlign w:val="center"/>
          </w:tcPr>
          <w:p w14:paraId="118B806C"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3.31</w:t>
            </w:r>
          </w:p>
        </w:tc>
        <w:tc>
          <w:tcPr>
            <w:tcW w:w="695" w:type="pct"/>
            <w:vAlign w:val="center"/>
          </w:tcPr>
          <w:p w14:paraId="2FCA5FDD"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4.00</w:t>
            </w:r>
          </w:p>
        </w:tc>
        <w:tc>
          <w:tcPr>
            <w:tcW w:w="695" w:type="pct"/>
            <w:vAlign w:val="center"/>
          </w:tcPr>
          <w:p w14:paraId="01CC76B5"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4.46</w:t>
            </w:r>
          </w:p>
        </w:tc>
      </w:tr>
      <w:tr w:rsidR="00DD07EF" w:rsidRPr="00A56F6F" w14:paraId="6FFA92D9" w14:textId="77777777" w:rsidTr="00824227">
        <w:trPr>
          <w:trHeight w:val="510"/>
        </w:trPr>
        <w:tc>
          <w:tcPr>
            <w:tcW w:w="2219" w:type="pct"/>
            <w:gridSpan w:val="2"/>
            <w:vAlign w:val="center"/>
          </w:tcPr>
          <w:p w14:paraId="48ED7174" w14:textId="77777777" w:rsidR="00DD07EF" w:rsidRPr="00A56F6F" w:rsidRDefault="00DD07EF" w:rsidP="00DA0C34">
            <w:pPr>
              <w:spacing w:after="0" w:line="240" w:lineRule="auto"/>
              <w:contextualSpacing/>
              <w:jc w:val="center"/>
              <w:rPr>
                <w:rFonts w:ascii="Arial" w:hAnsi="Arial" w:cs="Arial"/>
                <w:b/>
                <w:sz w:val="20"/>
                <w:szCs w:val="20"/>
              </w:rPr>
            </w:pPr>
            <w:r w:rsidRPr="00A56F6F">
              <w:rPr>
                <w:rFonts w:ascii="Arial" w:hAnsi="Arial" w:cs="Arial"/>
                <w:b/>
                <w:sz w:val="20"/>
                <w:szCs w:val="20"/>
              </w:rPr>
              <w:t>C.V. (%)</w:t>
            </w:r>
          </w:p>
        </w:tc>
        <w:tc>
          <w:tcPr>
            <w:tcW w:w="695" w:type="pct"/>
            <w:vAlign w:val="center"/>
          </w:tcPr>
          <w:p w14:paraId="58263E44"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10.80</w:t>
            </w:r>
          </w:p>
        </w:tc>
        <w:tc>
          <w:tcPr>
            <w:tcW w:w="695" w:type="pct"/>
            <w:vAlign w:val="center"/>
          </w:tcPr>
          <w:p w14:paraId="4E2F8959"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8.24</w:t>
            </w:r>
          </w:p>
        </w:tc>
        <w:tc>
          <w:tcPr>
            <w:tcW w:w="695" w:type="pct"/>
            <w:vAlign w:val="center"/>
          </w:tcPr>
          <w:p w14:paraId="10B50296"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8.61</w:t>
            </w:r>
          </w:p>
        </w:tc>
        <w:tc>
          <w:tcPr>
            <w:tcW w:w="695" w:type="pct"/>
            <w:vAlign w:val="center"/>
          </w:tcPr>
          <w:p w14:paraId="0B30F383" w14:textId="77777777" w:rsidR="00DD07EF" w:rsidRPr="00A56F6F" w:rsidRDefault="00DD07EF" w:rsidP="00DA0C34">
            <w:pPr>
              <w:spacing w:after="0" w:line="240" w:lineRule="auto"/>
              <w:contextualSpacing/>
              <w:jc w:val="center"/>
              <w:rPr>
                <w:rFonts w:ascii="Arial" w:hAnsi="Arial" w:cs="Arial"/>
                <w:sz w:val="20"/>
                <w:szCs w:val="20"/>
              </w:rPr>
            </w:pPr>
            <w:r w:rsidRPr="00A56F6F">
              <w:rPr>
                <w:rFonts w:ascii="Arial" w:hAnsi="Arial" w:cs="Arial"/>
                <w:sz w:val="20"/>
                <w:szCs w:val="20"/>
              </w:rPr>
              <w:t>3.59</w:t>
            </w:r>
          </w:p>
        </w:tc>
      </w:tr>
    </w:tbl>
    <w:p w14:paraId="0E98FBC1" w14:textId="77777777" w:rsidR="00DD07EF" w:rsidRPr="00234962" w:rsidRDefault="00DD07EF" w:rsidP="00DA0C34">
      <w:pPr>
        <w:pStyle w:val="BodyText"/>
        <w:spacing w:after="240"/>
        <w:jc w:val="both"/>
        <w:rPr>
          <w:rFonts w:ascii="Arial" w:hAnsi="Arial" w:cs="Arial"/>
        </w:rPr>
      </w:pPr>
    </w:p>
    <w:p w14:paraId="47928FA6" w14:textId="6C70D892" w:rsidR="006C0ADD" w:rsidRPr="00866E5A" w:rsidRDefault="009E75A9" w:rsidP="00DA0C34">
      <w:pPr>
        <w:pStyle w:val="BodyText"/>
        <w:tabs>
          <w:tab w:val="left" w:pos="3587"/>
        </w:tabs>
        <w:spacing w:after="240"/>
        <w:jc w:val="both"/>
        <w:rPr>
          <w:rFonts w:ascii="Arial" w:hAnsi="Arial" w:cs="Arial"/>
          <w:b/>
          <w:sz w:val="22"/>
          <w:szCs w:val="22"/>
        </w:rPr>
      </w:pPr>
      <w:r w:rsidRPr="00866E5A">
        <w:rPr>
          <w:rFonts w:ascii="Arial" w:hAnsi="Arial" w:cs="Arial"/>
          <w:b/>
          <w:sz w:val="22"/>
          <w:szCs w:val="22"/>
        </w:rPr>
        <w:t xml:space="preserve">3.2 </w:t>
      </w:r>
      <w:r w:rsidR="006C0ADD" w:rsidRPr="00866E5A">
        <w:rPr>
          <w:rFonts w:ascii="Arial" w:hAnsi="Arial" w:cs="Arial"/>
          <w:b/>
          <w:sz w:val="22"/>
          <w:szCs w:val="22"/>
        </w:rPr>
        <w:t>Effect on seedling growth</w:t>
      </w:r>
      <w:r w:rsidR="005F41E3" w:rsidRPr="00866E5A">
        <w:rPr>
          <w:rFonts w:ascii="Arial" w:hAnsi="Arial" w:cs="Arial"/>
          <w:b/>
          <w:sz w:val="22"/>
          <w:szCs w:val="22"/>
        </w:rPr>
        <w:tab/>
      </w:r>
    </w:p>
    <w:p w14:paraId="651BD179" w14:textId="68BA8F93" w:rsidR="00BE052F" w:rsidRPr="00866E5A" w:rsidRDefault="00BE052F" w:rsidP="00DA0C34">
      <w:pPr>
        <w:pStyle w:val="BodyText"/>
        <w:spacing w:after="240"/>
        <w:jc w:val="both"/>
        <w:rPr>
          <w:rFonts w:ascii="Arial" w:hAnsi="Arial" w:cs="Arial"/>
          <w:bCs/>
          <w:sz w:val="20"/>
          <w:szCs w:val="20"/>
          <w:lang w:val="en-IN"/>
        </w:rPr>
      </w:pPr>
      <w:r w:rsidRPr="00866E5A">
        <w:rPr>
          <w:rFonts w:ascii="Arial" w:hAnsi="Arial" w:cs="Arial"/>
          <w:bCs/>
          <w:sz w:val="20"/>
          <w:szCs w:val="20"/>
          <w:lang w:val="en-IN"/>
        </w:rPr>
        <w:t xml:space="preserve">Significant differences were found among treatments in stem diameter, seedling length, and dry weight. The maximum stem diameter was observed in seedlings treated with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at 200 ppm (7.54 mm), which was statistically similar to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100 ppm (7.50 mm), while the control recorded the lowest (5.05 mm). Seedling length was greatest in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200 ppm (99.7 cm), followed by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100 ppm (95.57 cm). The shortest seedlings emerged in the Thiourea 2% (67.07 cm), control (70.73 cm), and </w:t>
      </w:r>
      <w:r w:rsidR="00CD6C48" w:rsidRPr="00866E5A">
        <w:rPr>
          <w:rFonts w:ascii="Arial" w:hAnsi="Arial" w:cs="Arial"/>
          <w:sz w:val="20"/>
          <w:szCs w:val="20"/>
        </w:rPr>
        <w:t>KNO</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2% (70.1 cm) groups. For dry weight,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100 ppm yielded the highest value (53.2 g), followed by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200 ppm (40.78 g), with the lowest being in the control (11.85 g) and Thiourea 1% (12.62 g).</w:t>
      </w:r>
    </w:p>
    <w:p w14:paraId="773FFC33" w14:textId="57D67F81" w:rsidR="00BE052F" w:rsidRPr="00866E5A" w:rsidRDefault="00BE052F" w:rsidP="00DA0C34">
      <w:pPr>
        <w:pStyle w:val="BodyText"/>
        <w:spacing w:after="240"/>
        <w:jc w:val="both"/>
        <w:rPr>
          <w:rFonts w:ascii="Arial" w:hAnsi="Arial" w:cs="Arial"/>
          <w:bCs/>
          <w:sz w:val="20"/>
          <w:szCs w:val="20"/>
        </w:rPr>
      </w:pPr>
      <w:r w:rsidRPr="00866E5A">
        <w:rPr>
          <w:rFonts w:ascii="Arial" w:hAnsi="Arial" w:cs="Arial"/>
          <w:bCs/>
          <w:sz w:val="20"/>
          <w:szCs w:val="20"/>
          <w:lang w:val="en-IN"/>
        </w:rPr>
        <w:t xml:space="preserve">Overall, treatments with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 at 100 and 200 ppm produced the best growth in avocado seedlings</w:t>
      </w:r>
      <w:r w:rsidR="000D7292" w:rsidRPr="00866E5A">
        <w:rPr>
          <w:rFonts w:ascii="Arial" w:hAnsi="Arial" w:cs="Arial"/>
          <w:bCs/>
          <w:sz w:val="20"/>
          <w:szCs w:val="20"/>
          <w:lang w:val="en-IN"/>
        </w:rPr>
        <w:t xml:space="preserve"> (Fig. 1 and 2)</w:t>
      </w:r>
      <w:r w:rsidRPr="00866E5A">
        <w:rPr>
          <w:rFonts w:ascii="Arial" w:hAnsi="Arial" w:cs="Arial"/>
          <w:bCs/>
          <w:sz w:val="20"/>
          <w:szCs w:val="20"/>
          <w:lang w:val="en-IN"/>
        </w:rPr>
        <w:t xml:space="preserve">, demonstrating increased height, stem diameter, and dry weight compared to other treatments. These results align with previous studies that highlight </w:t>
      </w:r>
      <w:r w:rsidR="00CD6C48" w:rsidRPr="00866E5A">
        <w:rPr>
          <w:rFonts w:ascii="Arial" w:hAnsi="Arial" w:cs="Arial"/>
          <w:sz w:val="20"/>
          <w:szCs w:val="20"/>
        </w:rPr>
        <w:t>GA</w:t>
      </w:r>
      <w:r w:rsidR="00CD6C48" w:rsidRPr="00866E5A">
        <w:rPr>
          <w:rFonts w:ascii="Arial" w:hAnsi="Arial" w:cs="Arial"/>
          <w:sz w:val="20"/>
          <w:szCs w:val="20"/>
          <w:vertAlign w:val="subscript"/>
        </w:rPr>
        <w:t>3</w:t>
      </w:r>
      <w:r w:rsidRPr="00866E5A">
        <w:rPr>
          <w:rFonts w:ascii="Arial" w:hAnsi="Arial" w:cs="Arial"/>
          <w:bCs/>
          <w:sz w:val="20"/>
          <w:szCs w:val="20"/>
          <w:lang w:val="en-IN"/>
        </w:rPr>
        <w:t xml:space="preserve">'s role in promoting shoot growth, internode elongation, cell division and expansion, and improved nutrient uptake (Vasantha </w:t>
      </w:r>
      <w:r w:rsidR="00FE73D0" w:rsidRPr="00866E5A">
        <w:rPr>
          <w:rFonts w:ascii="Arial" w:hAnsi="Arial" w:cs="Arial"/>
          <w:i/>
          <w:iCs/>
          <w:sz w:val="20"/>
          <w:szCs w:val="20"/>
        </w:rPr>
        <w:t>et al.,</w:t>
      </w:r>
      <w:r w:rsidR="00FE73D0" w:rsidRPr="00866E5A">
        <w:rPr>
          <w:rFonts w:ascii="Arial" w:hAnsi="Arial" w:cs="Arial"/>
          <w:sz w:val="20"/>
          <w:szCs w:val="20"/>
        </w:rPr>
        <w:t xml:space="preserve"> </w:t>
      </w:r>
      <w:r w:rsidRPr="00866E5A">
        <w:rPr>
          <w:rFonts w:ascii="Arial" w:hAnsi="Arial" w:cs="Arial"/>
          <w:bCs/>
          <w:sz w:val="20"/>
          <w:szCs w:val="20"/>
          <w:lang w:val="en-IN"/>
        </w:rPr>
        <w:t xml:space="preserve">2014; Patil </w:t>
      </w:r>
      <w:r w:rsidR="00FE73D0" w:rsidRPr="00866E5A">
        <w:rPr>
          <w:rFonts w:ascii="Arial" w:hAnsi="Arial" w:cs="Arial"/>
          <w:i/>
          <w:iCs/>
          <w:sz w:val="20"/>
          <w:szCs w:val="20"/>
        </w:rPr>
        <w:t>et al.,</w:t>
      </w:r>
      <w:r w:rsidR="00FE73D0" w:rsidRPr="00866E5A">
        <w:rPr>
          <w:rFonts w:ascii="Arial" w:hAnsi="Arial" w:cs="Arial"/>
          <w:sz w:val="20"/>
          <w:szCs w:val="20"/>
        </w:rPr>
        <w:t xml:space="preserve"> </w:t>
      </w:r>
      <w:r w:rsidRPr="00866E5A">
        <w:rPr>
          <w:rFonts w:ascii="Arial" w:hAnsi="Arial" w:cs="Arial"/>
          <w:bCs/>
          <w:sz w:val="20"/>
          <w:szCs w:val="20"/>
          <w:lang w:val="en-IN"/>
        </w:rPr>
        <w:t xml:space="preserve">2018; Lovell and Booth, 1967). This is because </w:t>
      </w:r>
      <w:r w:rsidRPr="00866E5A">
        <w:rPr>
          <w:rFonts w:ascii="Arial" w:hAnsi="Arial" w:cs="Arial"/>
          <w:bCs/>
          <w:sz w:val="20"/>
          <w:szCs w:val="20"/>
          <w:shd w:val="clear" w:color="auto" w:fill="FFFFFF"/>
        </w:rPr>
        <w:t>GA plays an important role in internode elongation. It stimulates cell division and expansion in response to light or dark.</w:t>
      </w:r>
      <w:r w:rsidRPr="00866E5A">
        <w:rPr>
          <w:rFonts w:ascii="Arial" w:hAnsi="Arial" w:cs="Arial"/>
          <w:bCs/>
          <w:sz w:val="20"/>
          <w:szCs w:val="20"/>
        </w:rPr>
        <w:t xml:space="preserve"> Another reason could be the increased osmotic uptake of nutrients, causing cell elongation and thus </w:t>
      </w:r>
      <w:r w:rsidRPr="00866E5A">
        <w:rPr>
          <w:rFonts w:ascii="Arial" w:hAnsi="Arial" w:cs="Arial"/>
          <w:bCs/>
          <w:sz w:val="20"/>
          <w:szCs w:val="20"/>
        </w:rPr>
        <w:lastRenderedPageBreak/>
        <w:t>increasing height of the plant and stem diameter was also increased due to greater cell division and elongation at the stem portion (Paleg, 1960).</w:t>
      </w:r>
    </w:p>
    <w:p w14:paraId="06DC7649" w14:textId="176C1A60" w:rsidR="005F41E3" w:rsidRPr="00B872B6" w:rsidRDefault="005F41E3" w:rsidP="002546A4">
      <w:pPr>
        <w:pStyle w:val="BodyText"/>
        <w:spacing w:after="240"/>
        <w:ind w:left="709" w:hanging="709"/>
        <w:jc w:val="both"/>
        <w:rPr>
          <w:rFonts w:ascii="Arial" w:hAnsi="Arial" w:cs="Arial"/>
          <w:bCs/>
          <w:sz w:val="20"/>
          <w:szCs w:val="20"/>
        </w:rPr>
      </w:pPr>
      <w:r w:rsidRPr="00B872B6">
        <w:rPr>
          <w:rFonts w:ascii="Arial" w:hAnsi="Arial" w:cs="Arial"/>
          <w:b/>
          <w:sz w:val="20"/>
          <w:szCs w:val="20"/>
        </w:rPr>
        <w:t>Table 3. Effect of different growth regulators and chemicals on stem diameter, seedling length, dry weight of seedling and vigour index of the avocado seeds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621"/>
        <w:gridCol w:w="1161"/>
        <w:gridCol w:w="1111"/>
        <w:gridCol w:w="1068"/>
        <w:gridCol w:w="1444"/>
        <w:gridCol w:w="1253"/>
      </w:tblGrid>
      <w:tr w:rsidR="005F41E3" w:rsidRPr="00B872B6" w14:paraId="464B65D0" w14:textId="77777777" w:rsidTr="005F41E3">
        <w:trPr>
          <w:trHeight w:val="397"/>
        </w:trPr>
        <w:tc>
          <w:tcPr>
            <w:tcW w:w="316" w:type="pct"/>
            <w:vAlign w:val="center"/>
          </w:tcPr>
          <w:p w14:paraId="37813522"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Sl. No.</w:t>
            </w:r>
          </w:p>
        </w:tc>
        <w:tc>
          <w:tcPr>
            <w:tcW w:w="1417" w:type="pct"/>
            <w:vAlign w:val="center"/>
          </w:tcPr>
          <w:p w14:paraId="72E02361"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Treatments</w:t>
            </w:r>
          </w:p>
        </w:tc>
        <w:tc>
          <w:tcPr>
            <w:tcW w:w="628" w:type="pct"/>
            <w:vAlign w:val="center"/>
          </w:tcPr>
          <w:p w14:paraId="1BBA2BC3"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Stem diameter (mm)</w:t>
            </w:r>
          </w:p>
        </w:tc>
        <w:tc>
          <w:tcPr>
            <w:tcW w:w="601" w:type="pct"/>
            <w:vAlign w:val="center"/>
          </w:tcPr>
          <w:p w14:paraId="502DA47E"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Seedling length (cm)</w:t>
            </w:r>
          </w:p>
        </w:tc>
        <w:tc>
          <w:tcPr>
            <w:tcW w:w="578" w:type="pct"/>
            <w:vAlign w:val="center"/>
          </w:tcPr>
          <w:p w14:paraId="020C48A6"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Dry weight of seedling (g)</w:t>
            </w:r>
          </w:p>
        </w:tc>
        <w:tc>
          <w:tcPr>
            <w:tcW w:w="781" w:type="pct"/>
            <w:vAlign w:val="center"/>
          </w:tcPr>
          <w:p w14:paraId="2C4BB7BC"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Seedling vigour index I (cm)</w:t>
            </w:r>
          </w:p>
        </w:tc>
        <w:tc>
          <w:tcPr>
            <w:tcW w:w="679" w:type="pct"/>
            <w:vAlign w:val="center"/>
          </w:tcPr>
          <w:p w14:paraId="6FD48050"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Seedling vigour index II (g)</w:t>
            </w:r>
          </w:p>
        </w:tc>
      </w:tr>
      <w:tr w:rsidR="005F41E3" w:rsidRPr="00B872B6" w14:paraId="58AAB935" w14:textId="77777777" w:rsidTr="005F41E3">
        <w:trPr>
          <w:trHeight w:val="510"/>
        </w:trPr>
        <w:tc>
          <w:tcPr>
            <w:tcW w:w="316" w:type="pct"/>
            <w:vAlign w:val="center"/>
          </w:tcPr>
          <w:p w14:paraId="558DB401"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1</w:t>
            </w:r>
          </w:p>
        </w:tc>
        <w:tc>
          <w:tcPr>
            <w:tcW w:w="1417" w:type="pct"/>
            <w:vAlign w:val="center"/>
          </w:tcPr>
          <w:p w14:paraId="383F633B" w14:textId="78B7D8EC" w:rsidR="005F41E3" w:rsidRPr="00B872B6" w:rsidRDefault="00477766" w:rsidP="00DA0C34">
            <w:pPr>
              <w:spacing w:after="0" w:line="240" w:lineRule="auto"/>
              <w:contextualSpacing/>
              <w:rPr>
                <w:rFonts w:ascii="Arial" w:hAnsi="Arial" w:cs="Arial"/>
                <w:color w:val="000000"/>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1</w:t>
            </w:r>
            <w:r w:rsidR="005F41E3" w:rsidRPr="00B872B6">
              <w:rPr>
                <w:rFonts w:ascii="Arial" w:hAnsi="Arial" w:cs="Arial"/>
                <w:color w:val="000000"/>
                <w:sz w:val="20"/>
                <w:szCs w:val="20"/>
              </w:rPr>
              <w:t>: Control (untreated)</w:t>
            </w:r>
          </w:p>
        </w:tc>
        <w:tc>
          <w:tcPr>
            <w:tcW w:w="628" w:type="pct"/>
            <w:vAlign w:val="center"/>
          </w:tcPr>
          <w:p w14:paraId="72CE923E"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5.05</w:t>
            </w:r>
          </w:p>
        </w:tc>
        <w:tc>
          <w:tcPr>
            <w:tcW w:w="601" w:type="pct"/>
            <w:vAlign w:val="center"/>
          </w:tcPr>
          <w:p w14:paraId="79CD3D1F"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70.73</w:t>
            </w:r>
          </w:p>
        </w:tc>
        <w:tc>
          <w:tcPr>
            <w:tcW w:w="578" w:type="pct"/>
            <w:vAlign w:val="center"/>
          </w:tcPr>
          <w:p w14:paraId="51AEBDFB"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11.85</w:t>
            </w:r>
          </w:p>
        </w:tc>
        <w:tc>
          <w:tcPr>
            <w:tcW w:w="781" w:type="pct"/>
            <w:vAlign w:val="center"/>
          </w:tcPr>
          <w:p w14:paraId="37BB196E"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4179.38 (64.65)</w:t>
            </w:r>
          </w:p>
        </w:tc>
        <w:tc>
          <w:tcPr>
            <w:tcW w:w="679" w:type="pct"/>
            <w:vAlign w:val="center"/>
          </w:tcPr>
          <w:p w14:paraId="1FCB633C"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494.50 (22.25)</w:t>
            </w:r>
          </w:p>
        </w:tc>
      </w:tr>
      <w:tr w:rsidR="005F41E3" w:rsidRPr="00B872B6" w14:paraId="2BB286C2" w14:textId="77777777" w:rsidTr="005F41E3">
        <w:trPr>
          <w:trHeight w:val="510"/>
        </w:trPr>
        <w:tc>
          <w:tcPr>
            <w:tcW w:w="316" w:type="pct"/>
            <w:vAlign w:val="center"/>
          </w:tcPr>
          <w:p w14:paraId="288FF9E0"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2</w:t>
            </w:r>
          </w:p>
        </w:tc>
        <w:tc>
          <w:tcPr>
            <w:tcW w:w="1417" w:type="pct"/>
            <w:vAlign w:val="center"/>
          </w:tcPr>
          <w:p w14:paraId="3671D520" w14:textId="11F723AE" w:rsidR="005F41E3" w:rsidRPr="00B872B6" w:rsidRDefault="00477766" w:rsidP="00DA0C34">
            <w:pPr>
              <w:spacing w:after="0" w:line="240" w:lineRule="auto"/>
              <w:contextualSpacing/>
              <w:rPr>
                <w:rFonts w:ascii="Arial" w:hAnsi="Arial" w:cs="Arial"/>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2</w:t>
            </w:r>
            <w:r w:rsidR="005F41E3" w:rsidRPr="00B872B6">
              <w:rPr>
                <w:rFonts w:ascii="Arial" w:hAnsi="Arial" w:cs="Arial"/>
                <w:color w:val="000000"/>
                <w:sz w:val="20"/>
                <w:szCs w:val="20"/>
              </w:rPr>
              <w:t>: Water soaking (24 hours)</w:t>
            </w:r>
          </w:p>
        </w:tc>
        <w:tc>
          <w:tcPr>
            <w:tcW w:w="628" w:type="pct"/>
            <w:vAlign w:val="center"/>
          </w:tcPr>
          <w:p w14:paraId="480A02CB"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6.15</w:t>
            </w:r>
          </w:p>
        </w:tc>
        <w:tc>
          <w:tcPr>
            <w:tcW w:w="601" w:type="pct"/>
            <w:vAlign w:val="center"/>
          </w:tcPr>
          <w:p w14:paraId="4319FB3D"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85.03</w:t>
            </w:r>
          </w:p>
        </w:tc>
        <w:tc>
          <w:tcPr>
            <w:tcW w:w="578" w:type="pct"/>
            <w:vAlign w:val="center"/>
          </w:tcPr>
          <w:p w14:paraId="56C836AA"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24.48</w:t>
            </w:r>
          </w:p>
        </w:tc>
        <w:tc>
          <w:tcPr>
            <w:tcW w:w="781" w:type="pct"/>
            <w:vAlign w:val="center"/>
          </w:tcPr>
          <w:p w14:paraId="59E5F9FD"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6005.69 (77.50)</w:t>
            </w:r>
          </w:p>
        </w:tc>
        <w:tc>
          <w:tcPr>
            <w:tcW w:w="679" w:type="pct"/>
            <w:vAlign w:val="center"/>
          </w:tcPr>
          <w:p w14:paraId="66B43DC4"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1606.61 (40.09)</w:t>
            </w:r>
          </w:p>
        </w:tc>
      </w:tr>
      <w:tr w:rsidR="005F41E3" w:rsidRPr="00B872B6" w14:paraId="40FCD12F" w14:textId="77777777" w:rsidTr="005F41E3">
        <w:trPr>
          <w:trHeight w:val="510"/>
        </w:trPr>
        <w:tc>
          <w:tcPr>
            <w:tcW w:w="316" w:type="pct"/>
            <w:vAlign w:val="center"/>
          </w:tcPr>
          <w:p w14:paraId="7AE8924C"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3</w:t>
            </w:r>
          </w:p>
        </w:tc>
        <w:tc>
          <w:tcPr>
            <w:tcW w:w="1417" w:type="pct"/>
            <w:vAlign w:val="center"/>
          </w:tcPr>
          <w:p w14:paraId="474154EF" w14:textId="4B8BB5F3" w:rsidR="005F41E3" w:rsidRPr="00B872B6" w:rsidRDefault="00477766" w:rsidP="00DA0C34">
            <w:pPr>
              <w:spacing w:after="0" w:line="240" w:lineRule="auto"/>
              <w:contextualSpacing/>
              <w:rPr>
                <w:rFonts w:ascii="Arial" w:hAnsi="Arial" w:cs="Arial"/>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3</w:t>
            </w:r>
            <w:r w:rsidR="005F41E3" w:rsidRPr="00B872B6">
              <w:rPr>
                <w:rFonts w:ascii="Arial" w:hAnsi="Arial" w:cs="Arial"/>
                <w:color w:val="000000"/>
                <w:sz w:val="20"/>
                <w:szCs w:val="20"/>
              </w:rPr>
              <w:t xml:space="preserve">: Seed treatment with </w:t>
            </w:r>
            <w:r w:rsidR="00CD6C48" w:rsidRPr="00B872B6">
              <w:rPr>
                <w:rFonts w:ascii="Arial" w:hAnsi="Arial" w:cs="Arial"/>
                <w:sz w:val="20"/>
                <w:szCs w:val="20"/>
              </w:rPr>
              <w:t>GA</w:t>
            </w:r>
            <w:r w:rsidR="00CD6C48" w:rsidRPr="00B872B6">
              <w:rPr>
                <w:rFonts w:ascii="Arial" w:hAnsi="Arial" w:cs="Arial"/>
                <w:sz w:val="20"/>
                <w:szCs w:val="20"/>
                <w:vertAlign w:val="subscript"/>
              </w:rPr>
              <w:t>3</w:t>
            </w:r>
            <w:r w:rsidR="005F41E3" w:rsidRPr="00B872B6">
              <w:rPr>
                <w:rFonts w:ascii="Arial" w:hAnsi="Arial" w:cs="Arial"/>
                <w:color w:val="000000"/>
                <w:sz w:val="20"/>
                <w:szCs w:val="20"/>
              </w:rPr>
              <w:t xml:space="preserve"> 100 ppm</w:t>
            </w:r>
          </w:p>
        </w:tc>
        <w:tc>
          <w:tcPr>
            <w:tcW w:w="628" w:type="pct"/>
            <w:vAlign w:val="center"/>
          </w:tcPr>
          <w:p w14:paraId="3064413F"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7.50</w:t>
            </w:r>
          </w:p>
        </w:tc>
        <w:tc>
          <w:tcPr>
            <w:tcW w:w="601" w:type="pct"/>
            <w:vAlign w:val="center"/>
          </w:tcPr>
          <w:p w14:paraId="1127E15C"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95.57</w:t>
            </w:r>
          </w:p>
        </w:tc>
        <w:tc>
          <w:tcPr>
            <w:tcW w:w="578" w:type="pct"/>
            <w:vAlign w:val="center"/>
          </w:tcPr>
          <w:p w14:paraId="41FD473C"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53.20</w:t>
            </w:r>
          </w:p>
        </w:tc>
        <w:tc>
          <w:tcPr>
            <w:tcW w:w="781" w:type="pct"/>
            <w:vAlign w:val="center"/>
          </w:tcPr>
          <w:p w14:paraId="2CA2A735"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9121.07 (95.51)</w:t>
            </w:r>
          </w:p>
        </w:tc>
        <w:tc>
          <w:tcPr>
            <w:tcW w:w="679" w:type="pct"/>
            <w:vAlign w:val="center"/>
          </w:tcPr>
          <w:p w14:paraId="76F570FF"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4730.77 (68.78)</w:t>
            </w:r>
          </w:p>
        </w:tc>
      </w:tr>
      <w:tr w:rsidR="005F41E3" w:rsidRPr="00B872B6" w14:paraId="0360762B" w14:textId="77777777" w:rsidTr="005F41E3">
        <w:trPr>
          <w:trHeight w:val="510"/>
        </w:trPr>
        <w:tc>
          <w:tcPr>
            <w:tcW w:w="316" w:type="pct"/>
            <w:vAlign w:val="center"/>
          </w:tcPr>
          <w:p w14:paraId="3DF1DD4E"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4</w:t>
            </w:r>
          </w:p>
        </w:tc>
        <w:tc>
          <w:tcPr>
            <w:tcW w:w="1417" w:type="pct"/>
            <w:vAlign w:val="center"/>
          </w:tcPr>
          <w:p w14:paraId="02C3BC07" w14:textId="28587920" w:rsidR="005F41E3" w:rsidRPr="00B872B6" w:rsidRDefault="00477766" w:rsidP="00DA0C34">
            <w:pPr>
              <w:spacing w:after="0" w:line="240" w:lineRule="auto"/>
              <w:contextualSpacing/>
              <w:rPr>
                <w:rFonts w:ascii="Arial" w:hAnsi="Arial" w:cs="Arial"/>
                <w:color w:val="000000"/>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4</w:t>
            </w:r>
            <w:r w:rsidR="005F41E3" w:rsidRPr="00B872B6">
              <w:rPr>
                <w:rFonts w:ascii="Arial" w:hAnsi="Arial" w:cs="Arial"/>
                <w:color w:val="000000"/>
                <w:sz w:val="20"/>
                <w:szCs w:val="20"/>
              </w:rPr>
              <w:t xml:space="preserve">: Seed treatment with </w:t>
            </w:r>
            <w:r w:rsidR="00CD6C48" w:rsidRPr="00B872B6">
              <w:rPr>
                <w:rFonts w:ascii="Arial" w:hAnsi="Arial" w:cs="Arial"/>
                <w:sz w:val="20"/>
                <w:szCs w:val="20"/>
              </w:rPr>
              <w:t>GA</w:t>
            </w:r>
            <w:r w:rsidR="00CD6C48" w:rsidRPr="00B872B6">
              <w:rPr>
                <w:rFonts w:ascii="Arial" w:hAnsi="Arial" w:cs="Arial"/>
                <w:sz w:val="20"/>
                <w:szCs w:val="20"/>
                <w:vertAlign w:val="subscript"/>
              </w:rPr>
              <w:t>3</w:t>
            </w:r>
            <w:r w:rsidR="005F41E3" w:rsidRPr="00B872B6">
              <w:rPr>
                <w:rFonts w:ascii="Arial" w:hAnsi="Arial" w:cs="Arial"/>
                <w:color w:val="000000"/>
                <w:sz w:val="20"/>
                <w:szCs w:val="20"/>
              </w:rPr>
              <w:t xml:space="preserve"> 200 ppm</w:t>
            </w:r>
          </w:p>
        </w:tc>
        <w:tc>
          <w:tcPr>
            <w:tcW w:w="628" w:type="pct"/>
            <w:vAlign w:val="center"/>
          </w:tcPr>
          <w:p w14:paraId="2A10FEFC"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7.54</w:t>
            </w:r>
          </w:p>
        </w:tc>
        <w:tc>
          <w:tcPr>
            <w:tcW w:w="601" w:type="pct"/>
            <w:vAlign w:val="center"/>
          </w:tcPr>
          <w:p w14:paraId="6912C3FE"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99.70</w:t>
            </w:r>
          </w:p>
        </w:tc>
        <w:tc>
          <w:tcPr>
            <w:tcW w:w="578" w:type="pct"/>
            <w:vAlign w:val="center"/>
          </w:tcPr>
          <w:p w14:paraId="0FF5CBD5"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40.78</w:t>
            </w:r>
          </w:p>
        </w:tc>
        <w:tc>
          <w:tcPr>
            <w:tcW w:w="781" w:type="pct"/>
            <w:vAlign w:val="center"/>
          </w:tcPr>
          <w:p w14:paraId="639954B6"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9064.44 (95.21)</w:t>
            </w:r>
          </w:p>
        </w:tc>
        <w:tc>
          <w:tcPr>
            <w:tcW w:w="679" w:type="pct"/>
            <w:vAlign w:val="center"/>
          </w:tcPr>
          <w:p w14:paraId="0C53BC03"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3362.95 (57.99)</w:t>
            </w:r>
          </w:p>
        </w:tc>
      </w:tr>
      <w:tr w:rsidR="005F41E3" w:rsidRPr="00B872B6" w14:paraId="63313FE9" w14:textId="77777777" w:rsidTr="005F41E3">
        <w:trPr>
          <w:trHeight w:val="510"/>
        </w:trPr>
        <w:tc>
          <w:tcPr>
            <w:tcW w:w="316" w:type="pct"/>
            <w:vAlign w:val="center"/>
          </w:tcPr>
          <w:p w14:paraId="26A1F024"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5</w:t>
            </w:r>
          </w:p>
        </w:tc>
        <w:tc>
          <w:tcPr>
            <w:tcW w:w="1417" w:type="pct"/>
            <w:vAlign w:val="center"/>
          </w:tcPr>
          <w:p w14:paraId="2D86687A" w14:textId="544B5366" w:rsidR="005F41E3" w:rsidRPr="00B872B6" w:rsidRDefault="00477766" w:rsidP="00DA0C34">
            <w:pPr>
              <w:spacing w:after="0" w:line="240" w:lineRule="auto"/>
              <w:contextualSpacing/>
              <w:rPr>
                <w:rFonts w:ascii="Arial" w:hAnsi="Arial" w:cs="Arial"/>
                <w:color w:val="000000"/>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5</w:t>
            </w:r>
            <w:r w:rsidR="005F41E3" w:rsidRPr="00B872B6">
              <w:rPr>
                <w:rFonts w:ascii="Arial" w:hAnsi="Arial" w:cs="Arial"/>
                <w:color w:val="000000"/>
                <w:sz w:val="20"/>
                <w:szCs w:val="20"/>
              </w:rPr>
              <w:t>: Seed treatment with Thiourea at 1%</w:t>
            </w:r>
          </w:p>
        </w:tc>
        <w:tc>
          <w:tcPr>
            <w:tcW w:w="628" w:type="pct"/>
            <w:vAlign w:val="center"/>
          </w:tcPr>
          <w:p w14:paraId="1862CA2B"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5.53</w:t>
            </w:r>
          </w:p>
        </w:tc>
        <w:tc>
          <w:tcPr>
            <w:tcW w:w="601" w:type="pct"/>
            <w:vAlign w:val="center"/>
          </w:tcPr>
          <w:p w14:paraId="20F28FCA"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83.67</w:t>
            </w:r>
          </w:p>
        </w:tc>
        <w:tc>
          <w:tcPr>
            <w:tcW w:w="578" w:type="pct"/>
            <w:vAlign w:val="center"/>
          </w:tcPr>
          <w:p w14:paraId="14830CC1"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12.62</w:t>
            </w:r>
          </w:p>
        </w:tc>
        <w:tc>
          <w:tcPr>
            <w:tcW w:w="781" w:type="pct"/>
            <w:vAlign w:val="center"/>
          </w:tcPr>
          <w:p w14:paraId="028D0FD3"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6463.58 (80.40)</w:t>
            </w:r>
          </w:p>
        </w:tc>
        <w:tc>
          <w:tcPr>
            <w:tcW w:w="679" w:type="pct"/>
            <w:vAlign w:val="center"/>
          </w:tcPr>
          <w:p w14:paraId="78A4BE9B"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866.80 (29.45)</w:t>
            </w:r>
          </w:p>
        </w:tc>
      </w:tr>
      <w:tr w:rsidR="005F41E3" w:rsidRPr="00B872B6" w14:paraId="69E30FD2" w14:textId="77777777" w:rsidTr="005F41E3">
        <w:trPr>
          <w:trHeight w:val="510"/>
        </w:trPr>
        <w:tc>
          <w:tcPr>
            <w:tcW w:w="316" w:type="pct"/>
            <w:vAlign w:val="center"/>
          </w:tcPr>
          <w:p w14:paraId="736DCB4C"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6</w:t>
            </w:r>
          </w:p>
        </w:tc>
        <w:tc>
          <w:tcPr>
            <w:tcW w:w="1417" w:type="pct"/>
            <w:vAlign w:val="center"/>
          </w:tcPr>
          <w:p w14:paraId="561D13E6" w14:textId="3AC528AC" w:rsidR="005F41E3" w:rsidRPr="00B872B6" w:rsidRDefault="00477766" w:rsidP="00DA0C34">
            <w:pPr>
              <w:spacing w:after="0" w:line="240" w:lineRule="auto"/>
              <w:contextualSpacing/>
              <w:rPr>
                <w:rFonts w:ascii="Arial" w:hAnsi="Arial" w:cs="Arial"/>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6</w:t>
            </w:r>
            <w:r w:rsidR="005F41E3" w:rsidRPr="00B872B6">
              <w:rPr>
                <w:rFonts w:ascii="Arial" w:hAnsi="Arial" w:cs="Arial"/>
                <w:color w:val="000000"/>
                <w:sz w:val="20"/>
                <w:szCs w:val="20"/>
              </w:rPr>
              <w:t>: Seed treatment with Thiourea at 2%</w:t>
            </w:r>
          </w:p>
        </w:tc>
        <w:tc>
          <w:tcPr>
            <w:tcW w:w="628" w:type="pct"/>
            <w:vAlign w:val="center"/>
          </w:tcPr>
          <w:p w14:paraId="349150F9"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6.20</w:t>
            </w:r>
          </w:p>
        </w:tc>
        <w:tc>
          <w:tcPr>
            <w:tcW w:w="601" w:type="pct"/>
            <w:vAlign w:val="center"/>
          </w:tcPr>
          <w:p w14:paraId="45DC21F2"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67.07</w:t>
            </w:r>
          </w:p>
        </w:tc>
        <w:tc>
          <w:tcPr>
            <w:tcW w:w="578" w:type="pct"/>
            <w:vAlign w:val="center"/>
          </w:tcPr>
          <w:p w14:paraId="290F1150"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19.26</w:t>
            </w:r>
          </w:p>
        </w:tc>
        <w:tc>
          <w:tcPr>
            <w:tcW w:w="781" w:type="pct"/>
            <w:vAlign w:val="center"/>
          </w:tcPr>
          <w:p w14:paraId="42180015"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5489.03 (74.09)</w:t>
            </w:r>
          </w:p>
        </w:tc>
        <w:tc>
          <w:tcPr>
            <w:tcW w:w="679" w:type="pct"/>
            <w:vAlign w:val="center"/>
          </w:tcPr>
          <w:p w14:paraId="2DC7ED30"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1474.18 (38.40)</w:t>
            </w:r>
          </w:p>
        </w:tc>
      </w:tr>
      <w:tr w:rsidR="005F41E3" w:rsidRPr="00B872B6" w14:paraId="671E6E44" w14:textId="77777777" w:rsidTr="005F41E3">
        <w:trPr>
          <w:trHeight w:val="510"/>
        </w:trPr>
        <w:tc>
          <w:tcPr>
            <w:tcW w:w="316" w:type="pct"/>
            <w:vAlign w:val="center"/>
          </w:tcPr>
          <w:p w14:paraId="46E2CCC5"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7</w:t>
            </w:r>
          </w:p>
        </w:tc>
        <w:tc>
          <w:tcPr>
            <w:tcW w:w="1417" w:type="pct"/>
            <w:vAlign w:val="center"/>
          </w:tcPr>
          <w:p w14:paraId="05D68779" w14:textId="53686272" w:rsidR="005F41E3" w:rsidRPr="00B872B6" w:rsidRDefault="00477766" w:rsidP="00DA0C34">
            <w:pPr>
              <w:spacing w:after="0" w:line="240" w:lineRule="auto"/>
              <w:contextualSpacing/>
              <w:rPr>
                <w:rFonts w:ascii="Arial" w:hAnsi="Arial" w:cs="Arial"/>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7</w:t>
            </w:r>
            <w:r w:rsidR="005F41E3" w:rsidRPr="00B872B6">
              <w:rPr>
                <w:rFonts w:ascii="Arial" w:hAnsi="Arial" w:cs="Arial"/>
                <w:color w:val="000000"/>
                <w:sz w:val="20"/>
                <w:szCs w:val="20"/>
              </w:rPr>
              <w:t xml:space="preserve">: Seed treatment with </w:t>
            </w:r>
            <w:r w:rsidR="00CD6C48" w:rsidRPr="00B872B6">
              <w:rPr>
                <w:rFonts w:ascii="Arial" w:hAnsi="Arial" w:cs="Arial"/>
                <w:sz w:val="20"/>
                <w:szCs w:val="20"/>
              </w:rPr>
              <w:t>KNO</w:t>
            </w:r>
            <w:r w:rsidR="00CD6C48" w:rsidRPr="00B872B6">
              <w:rPr>
                <w:rFonts w:ascii="Arial" w:hAnsi="Arial" w:cs="Arial"/>
                <w:sz w:val="20"/>
                <w:szCs w:val="20"/>
                <w:vertAlign w:val="subscript"/>
              </w:rPr>
              <w:t>3</w:t>
            </w:r>
            <w:r w:rsidR="005F41E3" w:rsidRPr="00B872B6">
              <w:rPr>
                <w:rFonts w:ascii="Arial" w:hAnsi="Arial" w:cs="Arial"/>
                <w:color w:val="000000"/>
                <w:sz w:val="20"/>
                <w:szCs w:val="20"/>
              </w:rPr>
              <w:t xml:space="preserve"> at 1%</w:t>
            </w:r>
          </w:p>
        </w:tc>
        <w:tc>
          <w:tcPr>
            <w:tcW w:w="628" w:type="pct"/>
            <w:vAlign w:val="center"/>
          </w:tcPr>
          <w:p w14:paraId="1217E1A2"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5.89</w:t>
            </w:r>
          </w:p>
        </w:tc>
        <w:tc>
          <w:tcPr>
            <w:tcW w:w="601" w:type="pct"/>
            <w:vAlign w:val="center"/>
          </w:tcPr>
          <w:p w14:paraId="3937D1ED"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71.22</w:t>
            </w:r>
          </w:p>
        </w:tc>
        <w:tc>
          <w:tcPr>
            <w:tcW w:w="578" w:type="pct"/>
            <w:vAlign w:val="center"/>
          </w:tcPr>
          <w:p w14:paraId="2D7D5547"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21.10</w:t>
            </w:r>
          </w:p>
        </w:tc>
        <w:tc>
          <w:tcPr>
            <w:tcW w:w="781" w:type="pct"/>
            <w:vAlign w:val="center"/>
          </w:tcPr>
          <w:p w14:paraId="3C3D5903"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5165.75 (71.88)</w:t>
            </w:r>
          </w:p>
        </w:tc>
        <w:tc>
          <w:tcPr>
            <w:tcW w:w="679" w:type="pct"/>
            <w:vAlign w:val="center"/>
          </w:tcPr>
          <w:p w14:paraId="188CA83A"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1368.81 (37.00)</w:t>
            </w:r>
          </w:p>
        </w:tc>
      </w:tr>
      <w:tr w:rsidR="005F41E3" w:rsidRPr="00B872B6" w14:paraId="5B6079D7" w14:textId="77777777" w:rsidTr="005F41E3">
        <w:trPr>
          <w:trHeight w:val="510"/>
        </w:trPr>
        <w:tc>
          <w:tcPr>
            <w:tcW w:w="316" w:type="pct"/>
            <w:vAlign w:val="center"/>
          </w:tcPr>
          <w:p w14:paraId="1579258F" w14:textId="77777777" w:rsidR="005F41E3" w:rsidRPr="00B872B6" w:rsidRDefault="005F41E3" w:rsidP="00DA0C34">
            <w:pPr>
              <w:spacing w:after="0" w:line="240" w:lineRule="auto"/>
              <w:contextualSpacing/>
              <w:jc w:val="center"/>
              <w:rPr>
                <w:rFonts w:ascii="Arial" w:hAnsi="Arial" w:cs="Arial"/>
                <w:sz w:val="20"/>
                <w:szCs w:val="20"/>
              </w:rPr>
            </w:pPr>
            <w:r w:rsidRPr="00B872B6">
              <w:rPr>
                <w:rFonts w:ascii="Arial" w:hAnsi="Arial" w:cs="Arial"/>
                <w:sz w:val="20"/>
                <w:szCs w:val="20"/>
              </w:rPr>
              <w:t>8</w:t>
            </w:r>
          </w:p>
        </w:tc>
        <w:tc>
          <w:tcPr>
            <w:tcW w:w="1417" w:type="pct"/>
            <w:vAlign w:val="center"/>
          </w:tcPr>
          <w:p w14:paraId="63A2A647" w14:textId="08711207" w:rsidR="005F41E3" w:rsidRPr="00B872B6" w:rsidRDefault="00477766" w:rsidP="00DA0C34">
            <w:pPr>
              <w:spacing w:after="0" w:line="240" w:lineRule="auto"/>
              <w:contextualSpacing/>
              <w:rPr>
                <w:rFonts w:ascii="Arial" w:hAnsi="Arial" w:cs="Arial"/>
                <w:sz w:val="20"/>
                <w:szCs w:val="20"/>
              </w:rPr>
            </w:pPr>
            <w:r w:rsidRPr="00B872B6">
              <w:rPr>
                <w:rFonts w:ascii="Arial" w:eastAsia="Calibri" w:hAnsi="Arial" w:cs="Arial"/>
                <w:kern w:val="0"/>
                <w:sz w:val="20"/>
                <w:szCs w:val="20"/>
                <w:lang w:val="en-US"/>
                <w14:ligatures w14:val="none"/>
              </w:rPr>
              <w:t>T</w:t>
            </w:r>
            <w:r w:rsidRPr="00B872B6">
              <w:rPr>
                <w:rFonts w:ascii="Arial" w:eastAsia="Calibri" w:hAnsi="Arial" w:cs="Arial"/>
                <w:kern w:val="0"/>
                <w:sz w:val="20"/>
                <w:szCs w:val="20"/>
                <w:vertAlign w:val="subscript"/>
                <w:lang w:val="en-US"/>
                <w14:ligatures w14:val="none"/>
              </w:rPr>
              <w:t>8</w:t>
            </w:r>
            <w:r w:rsidR="005F41E3" w:rsidRPr="00B872B6">
              <w:rPr>
                <w:rFonts w:ascii="Arial" w:hAnsi="Arial" w:cs="Arial"/>
                <w:color w:val="000000"/>
                <w:sz w:val="20"/>
                <w:szCs w:val="20"/>
              </w:rPr>
              <w:t xml:space="preserve">: Seed treatment with </w:t>
            </w:r>
            <w:r w:rsidR="00CD6C48" w:rsidRPr="00B872B6">
              <w:rPr>
                <w:rFonts w:ascii="Arial" w:hAnsi="Arial" w:cs="Arial"/>
                <w:sz w:val="20"/>
                <w:szCs w:val="20"/>
              </w:rPr>
              <w:t>KNO</w:t>
            </w:r>
            <w:r w:rsidR="00CD6C48" w:rsidRPr="00B872B6">
              <w:rPr>
                <w:rFonts w:ascii="Arial" w:hAnsi="Arial" w:cs="Arial"/>
                <w:sz w:val="20"/>
                <w:szCs w:val="20"/>
                <w:vertAlign w:val="subscript"/>
              </w:rPr>
              <w:t>3</w:t>
            </w:r>
            <w:r w:rsidR="005F41E3" w:rsidRPr="00B872B6">
              <w:rPr>
                <w:rFonts w:ascii="Arial" w:hAnsi="Arial" w:cs="Arial"/>
                <w:color w:val="000000"/>
                <w:sz w:val="20"/>
                <w:szCs w:val="20"/>
              </w:rPr>
              <w:t xml:space="preserve"> at 2%</w:t>
            </w:r>
          </w:p>
        </w:tc>
        <w:tc>
          <w:tcPr>
            <w:tcW w:w="628" w:type="pct"/>
            <w:vAlign w:val="center"/>
          </w:tcPr>
          <w:p w14:paraId="71D1EEFF"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7.21</w:t>
            </w:r>
          </w:p>
        </w:tc>
        <w:tc>
          <w:tcPr>
            <w:tcW w:w="601" w:type="pct"/>
            <w:vAlign w:val="center"/>
          </w:tcPr>
          <w:p w14:paraId="1DCA9A7C"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70.10</w:t>
            </w:r>
          </w:p>
        </w:tc>
        <w:tc>
          <w:tcPr>
            <w:tcW w:w="578" w:type="pct"/>
            <w:vAlign w:val="center"/>
          </w:tcPr>
          <w:p w14:paraId="0095459E"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20.33</w:t>
            </w:r>
          </w:p>
        </w:tc>
        <w:tc>
          <w:tcPr>
            <w:tcW w:w="781" w:type="pct"/>
            <w:vAlign w:val="center"/>
          </w:tcPr>
          <w:p w14:paraId="799C6535"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6055.65 (77.82)</w:t>
            </w:r>
          </w:p>
        </w:tc>
        <w:tc>
          <w:tcPr>
            <w:tcW w:w="679" w:type="pct"/>
            <w:vAlign w:val="center"/>
          </w:tcPr>
          <w:p w14:paraId="7FE3A5E7" w14:textId="77777777" w:rsidR="005F41E3" w:rsidRPr="00B872B6" w:rsidRDefault="005F41E3" w:rsidP="00DA0C34">
            <w:pPr>
              <w:spacing w:after="0" w:line="240" w:lineRule="auto"/>
              <w:contextualSpacing/>
              <w:jc w:val="center"/>
              <w:rPr>
                <w:rFonts w:ascii="Arial" w:eastAsia="Times New Roman" w:hAnsi="Arial" w:cs="Arial"/>
                <w:color w:val="000000"/>
                <w:sz w:val="20"/>
                <w:szCs w:val="20"/>
              </w:rPr>
            </w:pPr>
            <w:r w:rsidRPr="00B872B6">
              <w:rPr>
                <w:rFonts w:ascii="Arial" w:eastAsia="Times New Roman" w:hAnsi="Arial" w:cs="Arial"/>
                <w:color w:val="000000"/>
                <w:sz w:val="20"/>
                <w:szCs w:val="20"/>
              </w:rPr>
              <w:t>1728.85 (41.58)</w:t>
            </w:r>
          </w:p>
        </w:tc>
      </w:tr>
      <w:tr w:rsidR="005F41E3" w:rsidRPr="00B872B6" w14:paraId="6483B625" w14:textId="77777777" w:rsidTr="005F41E3">
        <w:trPr>
          <w:trHeight w:val="510"/>
        </w:trPr>
        <w:tc>
          <w:tcPr>
            <w:tcW w:w="1734" w:type="pct"/>
            <w:gridSpan w:val="2"/>
            <w:vAlign w:val="center"/>
          </w:tcPr>
          <w:p w14:paraId="1F2F0EBD" w14:textId="77777777" w:rsidR="005F41E3" w:rsidRPr="00B872B6" w:rsidRDefault="005F41E3" w:rsidP="00DA0C34">
            <w:pPr>
              <w:spacing w:after="0" w:line="240" w:lineRule="auto"/>
              <w:contextualSpacing/>
              <w:jc w:val="center"/>
              <w:rPr>
                <w:rFonts w:ascii="Arial" w:hAnsi="Arial" w:cs="Arial"/>
                <w:b/>
                <w:sz w:val="20"/>
                <w:szCs w:val="20"/>
              </w:rPr>
            </w:pPr>
            <w:proofErr w:type="spellStart"/>
            <w:r w:rsidRPr="00B872B6">
              <w:rPr>
                <w:rFonts w:ascii="Arial" w:hAnsi="Arial" w:cs="Arial"/>
                <w:b/>
                <w:sz w:val="20"/>
                <w:szCs w:val="20"/>
              </w:rPr>
              <w:t>S.E.m</w:t>
            </w:r>
            <w:proofErr w:type="spellEnd"/>
            <w:r w:rsidRPr="00B872B6">
              <w:rPr>
                <w:rFonts w:ascii="Arial" w:hAnsi="Arial" w:cs="Arial"/>
                <w:b/>
                <w:sz w:val="20"/>
                <w:szCs w:val="20"/>
              </w:rPr>
              <w:t xml:space="preserve"> ±</w:t>
            </w:r>
          </w:p>
        </w:tc>
        <w:tc>
          <w:tcPr>
            <w:tcW w:w="628" w:type="pct"/>
            <w:vAlign w:val="center"/>
          </w:tcPr>
          <w:p w14:paraId="6B553622"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0.05</w:t>
            </w:r>
          </w:p>
        </w:tc>
        <w:tc>
          <w:tcPr>
            <w:tcW w:w="601" w:type="pct"/>
            <w:vAlign w:val="center"/>
          </w:tcPr>
          <w:p w14:paraId="3F0AAF83"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1.63</w:t>
            </w:r>
          </w:p>
        </w:tc>
        <w:tc>
          <w:tcPr>
            <w:tcW w:w="578" w:type="pct"/>
            <w:vAlign w:val="center"/>
          </w:tcPr>
          <w:p w14:paraId="17FC037E"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1.00</w:t>
            </w:r>
          </w:p>
        </w:tc>
        <w:tc>
          <w:tcPr>
            <w:tcW w:w="781" w:type="pct"/>
            <w:vAlign w:val="center"/>
          </w:tcPr>
          <w:p w14:paraId="3A1EB684"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0.83</w:t>
            </w:r>
          </w:p>
        </w:tc>
        <w:tc>
          <w:tcPr>
            <w:tcW w:w="679" w:type="pct"/>
            <w:vAlign w:val="center"/>
          </w:tcPr>
          <w:p w14:paraId="474CB334"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0.86</w:t>
            </w:r>
          </w:p>
        </w:tc>
      </w:tr>
      <w:tr w:rsidR="005F41E3" w:rsidRPr="00B872B6" w14:paraId="4CBEDD0E" w14:textId="77777777" w:rsidTr="005F41E3">
        <w:trPr>
          <w:trHeight w:val="510"/>
        </w:trPr>
        <w:tc>
          <w:tcPr>
            <w:tcW w:w="1734" w:type="pct"/>
            <w:gridSpan w:val="2"/>
            <w:vAlign w:val="center"/>
          </w:tcPr>
          <w:p w14:paraId="2BEF84A1"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C.D. @ 5%</w:t>
            </w:r>
          </w:p>
        </w:tc>
        <w:tc>
          <w:tcPr>
            <w:tcW w:w="628" w:type="pct"/>
            <w:vAlign w:val="center"/>
          </w:tcPr>
          <w:p w14:paraId="1EBFF081"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0.15</w:t>
            </w:r>
          </w:p>
        </w:tc>
        <w:tc>
          <w:tcPr>
            <w:tcW w:w="601" w:type="pct"/>
            <w:vAlign w:val="center"/>
          </w:tcPr>
          <w:p w14:paraId="447A3A70"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4.88</w:t>
            </w:r>
          </w:p>
        </w:tc>
        <w:tc>
          <w:tcPr>
            <w:tcW w:w="578" w:type="pct"/>
            <w:vAlign w:val="center"/>
          </w:tcPr>
          <w:p w14:paraId="2020AFA9"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3.01</w:t>
            </w:r>
          </w:p>
        </w:tc>
        <w:tc>
          <w:tcPr>
            <w:tcW w:w="781" w:type="pct"/>
            <w:vAlign w:val="center"/>
          </w:tcPr>
          <w:p w14:paraId="20FF9920"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2.49</w:t>
            </w:r>
          </w:p>
        </w:tc>
        <w:tc>
          <w:tcPr>
            <w:tcW w:w="679" w:type="pct"/>
            <w:vAlign w:val="center"/>
          </w:tcPr>
          <w:p w14:paraId="08A212FB"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2.57</w:t>
            </w:r>
          </w:p>
        </w:tc>
      </w:tr>
      <w:tr w:rsidR="005F41E3" w:rsidRPr="00B872B6" w14:paraId="40CE4BB3" w14:textId="77777777" w:rsidTr="005F41E3">
        <w:trPr>
          <w:trHeight w:val="510"/>
        </w:trPr>
        <w:tc>
          <w:tcPr>
            <w:tcW w:w="1734" w:type="pct"/>
            <w:gridSpan w:val="2"/>
            <w:vAlign w:val="center"/>
          </w:tcPr>
          <w:p w14:paraId="513352ED" w14:textId="77777777" w:rsidR="005F41E3" w:rsidRPr="00B872B6" w:rsidRDefault="005F41E3" w:rsidP="00DA0C34">
            <w:pPr>
              <w:spacing w:after="0" w:line="240" w:lineRule="auto"/>
              <w:contextualSpacing/>
              <w:jc w:val="center"/>
              <w:rPr>
                <w:rFonts w:ascii="Arial" w:hAnsi="Arial" w:cs="Arial"/>
                <w:b/>
                <w:sz w:val="20"/>
                <w:szCs w:val="20"/>
              </w:rPr>
            </w:pPr>
            <w:r w:rsidRPr="00B872B6">
              <w:rPr>
                <w:rFonts w:ascii="Arial" w:hAnsi="Arial" w:cs="Arial"/>
                <w:b/>
                <w:sz w:val="20"/>
                <w:szCs w:val="20"/>
              </w:rPr>
              <w:t>C.V. (%)</w:t>
            </w:r>
          </w:p>
        </w:tc>
        <w:tc>
          <w:tcPr>
            <w:tcW w:w="628" w:type="pct"/>
            <w:vAlign w:val="center"/>
          </w:tcPr>
          <w:p w14:paraId="39013D11"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1.34</w:t>
            </w:r>
          </w:p>
        </w:tc>
        <w:tc>
          <w:tcPr>
            <w:tcW w:w="601" w:type="pct"/>
            <w:vAlign w:val="center"/>
          </w:tcPr>
          <w:p w14:paraId="7F908F63"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3.51</w:t>
            </w:r>
          </w:p>
        </w:tc>
        <w:tc>
          <w:tcPr>
            <w:tcW w:w="578" w:type="pct"/>
            <w:vAlign w:val="center"/>
          </w:tcPr>
          <w:p w14:paraId="67D9BD7A"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6.82</w:t>
            </w:r>
          </w:p>
        </w:tc>
        <w:tc>
          <w:tcPr>
            <w:tcW w:w="781" w:type="pct"/>
            <w:vAlign w:val="center"/>
          </w:tcPr>
          <w:p w14:paraId="2746DC8B"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1.81</w:t>
            </w:r>
          </w:p>
        </w:tc>
        <w:tc>
          <w:tcPr>
            <w:tcW w:w="679" w:type="pct"/>
            <w:vAlign w:val="center"/>
          </w:tcPr>
          <w:p w14:paraId="64879790" w14:textId="77777777" w:rsidR="005F41E3" w:rsidRPr="00B872B6" w:rsidRDefault="005F41E3" w:rsidP="00DA0C34">
            <w:pPr>
              <w:spacing w:after="0" w:line="240" w:lineRule="auto"/>
              <w:contextualSpacing/>
              <w:jc w:val="center"/>
              <w:rPr>
                <w:rFonts w:ascii="Arial" w:hAnsi="Arial" w:cs="Arial"/>
                <w:color w:val="000000"/>
                <w:sz w:val="20"/>
                <w:szCs w:val="20"/>
              </w:rPr>
            </w:pPr>
            <w:r w:rsidRPr="00B872B6">
              <w:rPr>
                <w:rFonts w:ascii="Arial" w:hAnsi="Arial" w:cs="Arial"/>
                <w:color w:val="000000"/>
                <w:sz w:val="20"/>
                <w:szCs w:val="20"/>
              </w:rPr>
              <w:t>3.54</w:t>
            </w:r>
          </w:p>
        </w:tc>
      </w:tr>
    </w:tbl>
    <w:p w14:paraId="3F8FDD7B" w14:textId="04290667" w:rsidR="007C0CEB" w:rsidRPr="003F4029" w:rsidRDefault="005F41E3" w:rsidP="003F4029">
      <w:pPr>
        <w:pStyle w:val="BodyText"/>
        <w:spacing w:after="240"/>
        <w:ind w:firstLine="720"/>
        <w:jc w:val="center"/>
        <w:rPr>
          <w:rFonts w:ascii="Arial" w:hAnsi="Arial" w:cs="Arial"/>
          <w:sz w:val="20"/>
          <w:szCs w:val="20"/>
        </w:rPr>
      </w:pPr>
      <w:r w:rsidRPr="00B872B6">
        <w:rPr>
          <w:rFonts w:ascii="Arial" w:hAnsi="Arial" w:cs="Arial"/>
          <w:sz w:val="20"/>
          <w:szCs w:val="20"/>
        </w:rPr>
        <w:t>(Figures in the parenthesis are values of square root transformation)</w:t>
      </w:r>
    </w:p>
    <w:p w14:paraId="1C28B833" w14:textId="3A702AE2" w:rsidR="007F731D" w:rsidRPr="009473CD" w:rsidRDefault="009E75A9" w:rsidP="00DA0C34">
      <w:pPr>
        <w:pStyle w:val="ListParagraph"/>
        <w:spacing w:before="240" w:after="240" w:line="240" w:lineRule="auto"/>
        <w:ind w:left="0"/>
        <w:contextualSpacing w:val="0"/>
        <w:jc w:val="both"/>
        <w:rPr>
          <w:rFonts w:ascii="Arial" w:hAnsi="Arial" w:cs="Arial"/>
          <w:b/>
          <w:sz w:val="22"/>
          <w:szCs w:val="22"/>
        </w:rPr>
      </w:pPr>
      <w:r w:rsidRPr="009473CD">
        <w:rPr>
          <w:rFonts w:ascii="Arial" w:hAnsi="Arial" w:cs="Arial"/>
          <w:b/>
          <w:sz w:val="22"/>
          <w:szCs w:val="22"/>
        </w:rPr>
        <w:t xml:space="preserve">3.3 </w:t>
      </w:r>
      <w:r w:rsidR="007F731D" w:rsidRPr="009473CD">
        <w:rPr>
          <w:rFonts w:ascii="Arial" w:hAnsi="Arial" w:cs="Arial"/>
          <w:b/>
          <w:sz w:val="22"/>
          <w:szCs w:val="22"/>
        </w:rPr>
        <w:t>Seedling vigour index</w:t>
      </w:r>
    </w:p>
    <w:p w14:paraId="4DA8D76C" w14:textId="74CF4906" w:rsidR="00AB0736" w:rsidRPr="009473CD" w:rsidRDefault="00AB0736" w:rsidP="00DA0C34">
      <w:pPr>
        <w:tabs>
          <w:tab w:val="left" w:pos="1227"/>
        </w:tabs>
        <w:spacing w:line="240" w:lineRule="auto"/>
        <w:jc w:val="both"/>
        <w:rPr>
          <w:rFonts w:ascii="Arial" w:hAnsi="Arial" w:cs="Arial"/>
          <w:sz w:val="20"/>
          <w:szCs w:val="20"/>
        </w:rPr>
      </w:pPr>
      <w:r w:rsidRPr="009473CD">
        <w:rPr>
          <w:rFonts w:ascii="Arial" w:hAnsi="Arial" w:cs="Arial"/>
          <w:sz w:val="20"/>
          <w:szCs w:val="20"/>
        </w:rPr>
        <w:t xml:space="preserve">A significant difference was found among treatments for vigour index-I (Table 3). The highest value was observed in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100 ppm treated seedlings (9121.07), which was at par with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200 ppm (9064.44). The control showed the lowest vigour index (4179.38).</w:t>
      </w:r>
      <w:r w:rsidR="0038331D" w:rsidRPr="009473CD">
        <w:rPr>
          <w:rFonts w:ascii="Arial" w:hAnsi="Arial" w:cs="Arial"/>
          <w:sz w:val="20"/>
          <w:szCs w:val="20"/>
        </w:rPr>
        <w:t xml:space="preserve"> </w:t>
      </w:r>
      <w:r w:rsidRPr="009473CD">
        <w:rPr>
          <w:rFonts w:ascii="Arial" w:hAnsi="Arial" w:cs="Arial"/>
          <w:sz w:val="20"/>
          <w:szCs w:val="20"/>
        </w:rPr>
        <w:t xml:space="preserve">Significant variation was also observed in vigour index-II among pre-sowing treatments (Table 3).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100 ppm recorded the highest value (4730.77), followed by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200 ppm (3362.95) and </w:t>
      </w:r>
      <w:r w:rsidR="00CD6C48" w:rsidRPr="009473CD">
        <w:rPr>
          <w:rFonts w:ascii="Arial" w:hAnsi="Arial" w:cs="Arial"/>
          <w:sz w:val="20"/>
          <w:szCs w:val="20"/>
        </w:rPr>
        <w:t>KNO</w:t>
      </w:r>
      <w:r w:rsidR="00CD6C48" w:rsidRPr="009473CD">
        <w:rPr>
          <w:rFonts w:ascii="Arial" w:hAnsi="Arial" w:cs="Arial"/>
          <w:sz w:val="20"/>
          <w:szCs w:val="20"/>
          <w:vertAlign w:val="subscript"/>
        </w:rPr>
        <w:t>3</w:t>
      </w:r>
      <w:r w:rsidRPr="009473CD">
        <w:rPr>
          <w:rFonts w:ascii="Arial" w:hAnsi="Arial" w:cs="Arial"/>
          <w:sz w:val="20"/>
          <w:szCs w:val="20"/>
        </w:rPr>
        <w:t xml:space="preserve"> at 2% (1728.85). The lowest vigour index-II was found in the control (494.50)</w:t>
      </w:r>
      <w:r w:rsidR="00F070EB" w:rsidRPr="009473CD">
        <w:rPr>
          <w:rFonts w:ascii="Arial" w:hAnsi="Arial" w:cs="Arial"/>
          <w:sz w:val="20"/>
          <w:szCs w:val="20"/>
        </w:rPr>
        <w:t xml:space="preserve"> (Table 3)</w:t>
      </w:r>
      <w:r w:rsidRPr="009473CD">
        <w:rPr>
          <w:rFonts w:ascii="Arial" w:hAnsi="Arial" w:cs="Arial"/>
          <w:sz w:val="20"/>
          <w:szCs w:val="20"/>
        </w:rPr>
        <w:t>.</w:t>
      </w:r>
    </w:p>
    <w:p w14:paraId="4D8E3AF4" w14:textId="05D01874" w:rsidR="00AB0736" w:rsidRPr="009473CD" w:rsidRDefault="00AB0736" w:rsidP="00DA0C34">
      <w:pPr>
        <w:tabs>
          <w:tab w:val="left" w:pos="1227"/>
        </w:tabs>
        <w:spacing w:line="240" w:lineRule="auto"/>
        <w:jc w:val="both"/>
        <w:rPr>
          <w:rFonts w:ascii="Arial" w:hAnsi="Arial" w:cs="Arial"/>
          <w:sz w:val="20"/>
          <w:szCs w:val="20"/>
        </w:rPr>
      </w:pPr>
      <w:r w:rsidRPr="009473CD">
        <w:rPr>
          <w:rFonts w:ascii="Arial" w:hAnsi="Arial" w:cs="Arial"/>
          <w:sz w:val="20"/>
          <w:szCs w:val="20"/>
        </w:rPr>
        <w:t xml:space="preserve">High values for dry weight (53.2 g), vigour index-I (9121.07), and vigour index-II (4730.77) were all observed in seedlings treated with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100 ppm </w:t>
      </w:r>
      <w:r w:rsidR="00F070EB" w:rsidRPr="009473CD">
        <w:rPr>
          <w:rFonts w:ascii="Arial" w:hAnsi="Arial" w:cs="Arial"/>
          <w:sz w:val="20"/>
          <w:szCs w:val="20"/>
        </w:rPr>
        <w:t>(Fig. 3</w:t>
      </w:r>
      <w:r w:rsidRPr="009473CD">
        <w:rPr>
          <w:rFonts w:ascii="Arial" w:hAnsi="Arial" w:cs="Arial"/>
          <w:sz w:val="20"/>
          <w:szCs w:val="20"/>
        </w:rPr>
        <w:t xml:space="preserve">). Although seedling height was greater in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200 ppm, vigour index-I was highest in </w:t>
      </w:r>
      <w:r w:rsidR="00CD6C48" w:rsidRPr="009473CD">
        <w:rPr>
          <w:rFonts w:ascii="Arial" w:hAnsi="Arial" w:cs="Arial"/>
          <w:sz w:val="20"/>
          <w:szCs w:val="20"/>
        </w:rPr>
        <w:t>GA</w:t>
      </w:r>
      <w:r w:rsidR="00CD6C48" w:rsidRPr="009473CD">
        <w:rPr>
          <w:rFonts w:ascii="Arial" w:hAnsi="Arial" w:cs="Arial"/>
          <w:sz w:val="20"/>
          <w:szCs w:val="20"/>
          <w:vertAlign w:val="subscript"/>
        </w:rPr>
        <w:t>3</w:t>
      </w:r>
      <w:r w:rsidRPr="009473CD">
        <w:rPr>
          <w:rFonts w:ascii="Arial" w:hAnsi="Arial" w:cs="Arial"/>
          <w:sz w:val="20"/>
          <w:szCs w:val="20"/>
        </w:rPr>
        <w:t xml:space="preserve"> 100 ppm, likely due to higher germination percentage in that treatment. These findings align with Kumawat </w:t>
      </w:r>
      <w:r w:rsidRPr="009473CD">
        <w:rPr>
          <w:rFonts w:ascii="Arial" w:hAnsi="Arial" w:cs="Arial"/>
          <w:i/>
          <w:iCs/>
          <w:sz w:val="20"/>
          <w:szCs w:val="20"/>
        </w:rPr>
        <w:t>et al</w:t>
      </w:r>
      <w:r w:rsidRPr="009473CD">
        <w:rPr>
          <w:rFonts w:ascii="Arial" w:hAnsi="Arial" w:cs="Arial"/>
          <w:sz w:val="20"/>
          <w:szCs w:val="20"/>
        </w:rPr>
        <w:t xml:space="preserve">. (2014) in papaya and </w:t>
      </w:r>
      <w:proofErr w:type="spellStart"/>
      <w:r w:rsidRPr="009473CD">
        <w:rPr>
          <w:rFonts w:ascii="Arial" w:hAnsi="Arial" w:cs="Arial"/>
          <w:sz w:val="20"/>
          <w:szCs w:val="20"/>
        </w:rPr>
        <w:t>Pampanna</w:t>
      </w:r>
      <w:proofErr w:type="spellEnd"/>
      <w:r w:rsidRPr="009473CD">
        <w:rPr>
          <w:rFonts w:ascii="Arial" w:hAnsi="Arial" w:cs="Arial"/>
          <w:sz w:val="20"/>
          <w:szCs w:val="20"/>
        </w:rPr>
        <w:t xml:space="preserve"> and </w:t>
      </w:r>
      <w:proofErr w:type="spellStart"/>
      <w:r w:rsidRPr="009473CD">
        <w:rPr>
          <w:rFonts w:ascii="Arial" w:hAnsi="Arial" w:cs="Arial"/>
          <w:sz w:val="20"/>
          <w:szCs w:val="20"/>
        </w:rPr>
        <w:t>Sulikeri</w:t>
      </w:r>
      <w:proofErr w:type="spellEnd"/>
      <w:r w:rsidRPr="009473CD">
        <w:rPr>
          <w:rFonts w:ascii="Arial" w:hAnsi="Arial" w:cs="Arial"/>
          <w:sz w:val="20"/>
          <w:szCs w:val="20"/>
        </w:rPr>
        <w:t xml:space="preserve"> (2001) in sapota. </w:t>
      </w:r>
      <w:r w:rsidR="00CD6C48" w:rsidRPr="009473CD">
        <w:rPr>
          <w:rFonts w:ascii="Arial" w:hAnsi="Arial" w:cs="Arial"/>
          <w:sz w:val="20"/>
          <w:szCs w:val="20"/>
        </w:rPr>
        <w:t>KNO</w:t>
      </w:r>
      <w:r w:rsidR="00CD6C48" w:rsidRPr="009473CD">
        <w:rPr>
          <w:rFonts w:ascii="Arial" w:hAnsi="Arial" w:cs="Arial"/>
          <w:sz w:val="20"/>
          <w:szCs w:val="20"/>
          <w:vertAlign w:val="subscript"/>
        </w:rPr>
        <w:t>3</w:t>
      </w:r>
      <w:r w:rsidRPr="009473CD">
        <w:rPr>
          <w:rFonts w:ascii="Arial" w:hAnsi="Arial" w:cs="Arial"/>
          <w:sz w:val="20"/>
          <w:szCs w:val="20"/>
        </w:rPr>
        <w:t xml:space="preserve"> treatment also resulted in </w:t>
      </w:r>
      <w:r w:rsidR="000C694C" w:rsidRPr="009473CD">
        <w:rPr>
          <w:rFonts w:ascii="Arial" w:hAnsi="Arial" w:cs="Arial"/>
          <w:sz w:val="20"/>
          <w:szCs w:val="20"/>
        </w:rPr>
        <w:t>favourable</w:t>
      </w:r>
      <w:r w:rsidRPr="009473CD">
        <w:rPr>
          <w:rFonts w:ascii="Arial" w:hAnsi="Arial" w:cs="Arial"/>
          <w:sz w:val="20"/>
          <w:szCs w:val="20"/>
        </w:rPr>
        <w:t xml:space="preserve"> germination and growth.</w:t>
      </w:r>
      <w:r w:rsidR="0038331D" w:rsidRPr="009473CD">
        <w:rPr>
          <w:rFonts w:ascii="Arial" w:hAnsi="Arial" w:cs="Arial"/>
          <w:sz w:val="20"/>
          <w:szCs w:val="20"/>
        </w:rPr>
        <w:t xml:space="preserve"> </w:t>
      </w:r>
      <w:r w:rsidRPr="009473CD">
        <w:rPr>
          <w:rFonts w:ascii="Arial" w:hAnsi="Arial" w:cs="Arial"/>
          <w:sz w:val="20"/>
          <w:szCs w:val="20"/>
        </w:rPr>
        <w:t xml:space="preserve">This outcome may be attributed to overall seedling growth, increased photosynthesis rate, and greater assimilation and distribution of assimilates, leading to higher dry matter accumulation—consistent with </w:t>
      </w:r>
      <w:proofErr w:type="spellStart"/>
      <w:r w:rsidRPr="009473CD">
        <w:rPr>
          <w:rFonts w:ascii="Arial" w:hAnsi="Arial" w:cs="Arial"/>
          <w:sz w:val="20"/>
          <w:szCs w:val="20"/>
        </w:rPr>
        <w:t>Khatana</w:t>
      </w:r>
      <w:proofErr w:type="spellEnd"/>
      <w:r w:rsidRPr="009473CD">
        <w:rPr>
          <w:rFonts w:ascii="Arial" w:hAnsi="Arial" w:cs="Arial"/>
          <w:sz w:val="20"/>
          <w:szCs w:val="20"/>
        </w:rPr>
        <w:t xml:space="preserve"> </w:t>
      </w:r>
      <w:r w:rsidRPr="009473CD">
        <w:rPr>
          <w:rFonts w:ascii="Arial" w:hAnsi="Arial" w:cs="Arial"/>
          <w:i/>
          <w:iCs/>
          <w:sz w:val="20"/>
          <w:szCs w:val="20"/>
        </w:rPr>
        <w:t>et al</w:t>
      </w:r>
      <w:r w:rsidRPr="009473CD">
        <w:rPr>
          <w:rFonts w:ascii="Arial" w:hAnsi="Arial" w:cs="Arial"/>
          <w:sz w:val="20"/>
          <w:szCs w:val="20"/>
        </w:rPr>
        <w:t xml:space="preserve">. (2015) in </w:t>
      </w:r>
      <w:proofErr w:type="spellStart"/>
      <w:r w:rsidRPr="009473CD">
        <w:rPr>
          <w:rFonts w:ascii="Arial" w:hAnsi="Arial" w:cs="Arial"/>
          <w:sz w:val="20"/>
          <w:szCs w:val="20"/>
        </w:rPr>
        <w:t>Kagzi</w:t>
      </w:r>
      <w:proofErr w:type="spellEnd"/>
      <w:r w:rsidRPr="009473CD">
        <w:rPr>
          <w:rFonts w:ascii="Arial" w:hAnsi="Arial" w:cs="Arial"/>
          <w:sz w:val="20"/>
          <w:szCs w:val="20"/>
        </w:rPr>
        <w:t xml:space="preserve"> lime and Patil </w:t>
      </w:r>
      <w:r w:rsidRPr="009473CD">
        <w:rPr>
          <w:rFonts w:ascii="Arial" w:hAnsi="Arial" w:cs="Arial"/>
          <w:i/>
          <w:iCs/>
          <w:sz w:val="20"/>
          <w:szCs w:val="20"/>
        </w:rPr>
        <w:t>et al</w:t>
      </w:r>
      <w:r w:rsidRPr="009473CD">
        <w:rPr>
          <w:rFonts w:ascii="Arial" w:hAnsi="Arial" w:cs="Arial"/>
          <w:sz w:val="20"/>
          <w:szCs w:val="20"/>
        </w:rPr>
        <w:t>. (2012) in citrus.</w:t>
      </w:r>
    </w:p>
    <w:p w14:paraId="0EBFC8A9" w14:textId="1B46DC3B" w:rsidR="007C0CEB" w:rsidRDefault="00CD6C48" w:rsidP="00DA0C34">
      <w:pPr>
        <w:tabs>
          <w:tab w:val="left" w:pos="1227"/>
        </w:tabs>
        <w:spacing w:line="240" w:lineRule="auto"/>
        <w:jc w:val="both"/>
        <w:rPr>
          <w:rFonts w:ascii="Arial" w:hAnsi="Arial" w:cs="Arial"/>
          <w:sz w:val="20"/>
          <w:szCs w:val="20"/>
        </w:rPr>
      </w:pPr>
      <w:r w:rsidRPr="009473CD">
        <w:rPr>
          <w:rFonts w:ascii="Arial" w:hAnsi="Arial" w:cs="Arial"/>
          <w:sz w:val="20"/>
          <w:szCs w:val="20"/>
        </w:rPr>
        <w:t>KNO</w:t>
      </w:r>
      <w:r w:rsidRPr="009473CD">
        <w:rPr>
          <w:rFonts w:ascii="Arial" w:hAnsi="Arial" w:cs="Arial"/>
          <w:sz w:val="20"/>
          <w:szCs w:val="20"/>
          <w:vertAlign w:val="subscript"/>
        </w:rPr>
        <w:t>3</w:t>
      </w:r>
      <w:r w:rsidR="00AB0736" w:rsidRPr="009473CD">
        <w:rPr>
          <w:rFonts w:ascii="Arial" w:hAnsi="Arial" w:cs="Arial"/>
          <w:sz w:val="20"/>
          <w:szCs w:val="20"/>
        </w:rPr>
        <w:t xml:space="preserve"> aids nitrate (NO3) uptake through nitrate reductase (NR), boosting protein metabolism in the embryo and activating the antioxidant response, making seeds more resilient to stress (Lara </w:t>
      </w:r>
      <w:r w:rsidR="00FE73D0" w:rsidRPr="009473CD">
        <w:rPr>
          <w:rFonts w:ascii="Arial" w:hAnsi="Arial" w:cs="Arial"/>
          <w:i/>
          <w:iCs/>
          <w:sz w:val="20"/>
          <w:szCs w:val="20"/>
        </w:rPr>
        <w:t>et al.,</w:t>
      </w:r>
      <w:r w:rsidR="00FE73D0" w:rsidRPr="009473CD">
        <w:rPr>
          <w:rFonts w:ascii="Arial" w:hAnsi="Arial" w:cs="Arial"/>
          <w:sz w:val="20"/>
          <w:szCs w:val="20"/>
        </w:rPr>
        <w:t xml:space="preserve"> </w:t>
      </w:r>
      <w:r w:rsidR="00AB0736" w:rsidRPr="009473CD">
        <w:rPr>
          <w:rFonts w:ascii="Arial" w:hAnsi="Arial" w:cs="Arial"/>
          <w:sz w:val="20"/>
          <w:szCs w:val="20"/>
        </w:rPr>
        <w:t>2014). It also influences cell membrane permeability, activating enzymes for carbohydrate metabolism and protein synthesis, thus increasing shoot and root length as well as dry matter.</w:t>
      </w:r>
      <w:r w:rsidR="00F902F9" w:rsidRPr="009473CD">
        <w:rPr>
          <w:rFonts w:ascii="Arial" w:hAnsi="Arial" w:cs="Arial"/>
          <w:sz w:val="20"/>
          <w:szCs w:val="20"/>
        </w:rPr>
        <w:t xml:space="preserve"> </w:t>
      </w:r>
      <w:r w:rsidR="00AB0736" w:rsidRPr="009473CD">
        <w:rPr>
          <w:rFonts w:ascii="Arial" w:hAnsi="Arial" w:cs="Arial"/>
          <w:sz w:val="20"/>
          <w:szCs w:val="20"/>
        </w:rPr>
        <w:t xml:space="preserve">Though thiourea is beneficial for germination and seedling growth in fruit crops like pear (Dhillon and Sharma, 1978) and </w:t>
      </w:r>
      <w:proofErr w:type="spellStart"/>
      <w:r w:rsidR="00AB0736" w:rsidRPr="009473CD">
        <w:rPr>
          <w:rFonts w:ascii="Arial" w:hAnsi="Arial" w:cs="Arial"/>
          <w:sz w:val="20"/>
          <w:szCs w:val="20"/>
        </w:rPr>
        <w:t>ber</w:t>
      </w:r>
      <w:proofErr w:type="spellEnd"/>
      <w:r w:rsidR="00AB0736" w:rsidRPr="009473CD">
        <w:rPr>
          <w:rFonts w:ascii="Arial" w:hAnsi="Arial" w:cs="Arial"/>
          <w:sz w:val="20"/>
          <w:szCs w:val="20"/>
        </w:rPr>
        <w:t xml:space="preserve"> (Murthy, 1984), its effect on avocado germination was less notable than </w:t>
      </w:r>
      <w:r w:rsidRPr="009473CD">
        <w:rPr>
          <w:rFonts w:ascii="Arial" w:hAnsi="Arial" w:cs="Arial"/>
          <w:sz w:val="20"/>
          <w:szCs w:val="20"/>
        </w:rPr>
        <w:t>GA</w:t>
      </w:r>
      <w:r w:rsidRPr="009473CD">
        <w:rPr>
          <w:rFonts w:ascii="Arial" w:hAnsi="Arial" w:cs="Arial"/>
          <w:sz w:val="20"/>
          <w:szCs w:val="20"/>
          <w:vertAlign w:val="subscript"/>
        </w:rPr>
        <w:t>3</w:t>
      </w:r>
      <w:r w:rsidR="00AB0736" w:rsidRPr="009473CD">
        <w:rPr>
          <w:rFonts w:ascii="Arial" w:hAnsi="Arial" w:cs="Arial"/>
          <w:sz w:val="20"/>
          <w:szCs w:val="20"/>
        </w:rPr>
        <w:t xml:space="preserve"> and </w:t>
      </w:r>
      <w:r w:rsidRPr="009473CD">
        <w:rPr>
          <w:rFonts w:ascii="Arial" w:hAnsi="Arial" w:cs="Arial"/>
          <w:sz w:val="20"/>
          <w:szCs w:val="20"/>
        </w:rPr>
        <w:t>KNO</w:t>
      </w:r>
      <w:r w:rsidRPr="009473CD">
        <w:rPr>
          <w:rFonts w:ascii="Arial" w:hAnsi="Arial" w:cs="Arial"/>
          <w:sz w:val="20"/>
          <w:szCs w:val="20"/>
          <w:vertAlign w:val="subscript"/>
        </w:rPr>
        <w:t>3</w:t>
      </w:r>
      <w:r w:rsidR="00AB0736" w:rsidRPr="009473CD">
        <w:rPr>
          <w:rFonts w:ascii="Arial" w:hAnsi="Arial" w:cs="Arial"/>
          <w:sz w:val="20"/>
          <w:szCs w:val="20"/>
        </w:rPr>
        <w:t>, likely because it does not directly affect hydrolytic enzymes.</w:t>
      </w:r>
    </w:p>
    <w:p w14:paraId="2B6538C5" w14:textId="653F9815" w:rsidR="003F4029" w:rsidRPr="009473CD" w:rsidRDefault="003F4029" w:rsidP="003F4029">
      <w:pPr>
        <w:tabs>
          <w:tab w:val="left" w:pos="1227"/>
        </w:tabs>
        <w:spacing w:line="240" w:lineRule="auto"/>
        <w:jc w:val="center"/>
        <w:rPr>
          <w:rFonts w:ascii="Arial" w:hAnsi="Arial" w:cs="Arial"/>
          <w:sz w:val="20"/>
          <w:szCs w:val="20"/>
        </w:rPr>
      </w:pPr>
      <w:r w:rsidRPr="00234962">
        <w:rPr>
          <w:rFonts w:ascii="Arial" w:hAnsi="Arial" w:cs="Arial"/>
          <w:noProof/>
          <w:lang w:eastAsia="en-IN"/>
        </w:rPr>
        <w:lastRenderedPageBreak/>
        <w:drawing>
          <wp:inline distT="0" distB="0" distL="0" distR="0" wp14:anchorId="53BA5883" wp14:editId="5D52BA76">
            <wp:extent cx="4854624" cy="5234940"/>
            <wp:effectExtent l="0" t="0" r="0" b="0"/>
            <wp:docPr id="1915786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7025"/>
                    <a:stretch>
                      <a:fillRect/>
                    </a:stretch>
                  </pic:blipFill>
                  <pic:spPr bwMode="auto">
                    <a:xfrm>
                      <a:off x="0" y="0"/>
                      <a:ext cx="4864618" cy="5245717"/>
                    </a:xfrm>
                    <a:prstGeom prst="rect">
                      <a:avLst/>
                    </a:prstGeom>
                    <a:noFill/>
                    <a:ln>
                      <a:noFill/>
                    </a:ln>
                    <a:extLst>
                      <a:ext uri="{53640926-AAD7-44D8-BBD7-CCE9431645EC}">
                        <a14:shadowObscured xmlns:a14="http://schemas.microsoft.com/office/drawing/2010/main"/>
                      </a:ext>
                    </a:extLst>
                  </pic:spPr>
                </pic:pic>
              </a:graphicData>
            </a:graphic>
          </wp:inline>
        </w:drawing>
      </w:r>
    </w:p>
    <w:p w14:paraId="49004E48" w14:textId="03FF2EE1" w:rsidR="00292CFF" w:rsidRPr="00DA0C34" w:rsidRDefault="00DA0C34" w:rsidP="009C0391">
      <w:pPr>
        <w:tabs>
          <w:tab w:val="left" w:pos="1227"/>
        </w:tabs>
        <w:spacing w:line="240" w:lineRule="auto"/>
        <w:jc w:val="both"/>
        <w:rPr>
          <w:rFonts w:ascii="Arial" w:hAnsi="Arial" w:cs="Arial"/>
          <w:b/>
          <w:bCs/>
          <w:lang w:val="en-US"/>
        </w:rPr>
      </w:pPr>
      <w:r w:rsidRPr="00DA0C34">
        <w:rPr>
          <w:rFonts w:ascii="Arial" w:hAnsi="Arial" w:cs="Arial"/>
          <w:b/>
          <w:bCs/>
          <w:lang w:val="en-US"/>
        </w:rPr>
        <w:t xml:space="preserve">CONCLUSION </w:t>
      </w:r>
    </w:p>
    <w:p w14:paraId="44186757" w14:textId="087B7EDB" w:rsidR="00CD33DD" w:rsidRDefault="00BF02C2" w:rsidP="00DA0C34">
      <w:pPr>
        <w:tabs>
          <w:tab w:val="left" w:pos="1227"/>
        </w:tabs>
        <w:spacing w:line="240" w:lineRule="auto"/>
        <w:jc w:val="both"/>
        <w:rPr>
          <w:rFonts w:ascii="Arial" w:hAnsi="Arial" w:cs="Arial"/>
          <w:sz w:val="20"/>
          <w:szCs w:val="20"/>
        </w:rPr>
      </w:pPr>
      <w:r w:rsidRPr="00DA0C34">
        <w:rPr>
          <w:rFonts w:ascii="Arial" w:hAnsi="Arial" w:cs="Arial"/>
          <w:sz w:val="20"/>
          <w:szCs w:val="20"/>
        </w:rPr>
        <w:t xml:space="preserve">Treatment with </w:t>
      </w:r>
      <w:r w:rsidR="00CD6C48" w:rsidRPr="00DA0C34">
        <w:rPr>
          <w:rFonts w:ascii="Arial" w:hAnsi="Arial" w:cs="Arial"/>
          <w:sz w:val="20"/>
          <w:szCs w:val="20"/>
        </w:rPr>
        <w:t>GA</w:t>
      </w:r>
      <w:r w:rsidR="00CD6C48" w:rsidRPr="00DA0C34">
        <w:rPr>
          <w:rFonts w:ascii="Arial" w:hAnsi="Arial" w:cs="Arial"/>
          <w:sz w:val="20"/>
          <w:szCs w:val="20"/>
          <w:vertAlign w:val="subscript"/>
        </w:rPr>
        <w:t>3</w:t>
      </w:r>
      <w:r w:rsidRPr="00DA0C34">
        <w:rPr>
          <w:rFonts w:ascii="Arial" w:hAnsi="Arial" w:cs="Arial"/>
          <w:sz w:val="20"/>
          <w:szCs w:val="20"/>
        </w:rPr>
        <w:t xml:space="preserve"> @100 ppm significantly reduced the time taken for germination of avocado seeds. Highest germination percentage was seen in treatment with </w:t>
      </w:r>
      <w:r w:rsidR="00CD6C48" w:rsidRPr="00DA0C34">
        <w:rPr>
          <w:rFonts w:ascii="Arial" w:hAnsi="Arial" w:cs="Arial"/>
          <w:sz w:val="20"/>
          <w:szCs w:val="20"/>
        </w:rPr>
        <w:t>GA</w:t>
      </w:r>
      <w:r w:rsidR="00CD6C48" w:rsidRPr="00DA0C34">
        <w:rPr>
          <w:rFonts w:ascii="Arial" w:hAnsi="Arial" w:cs="Arial"/>
          <w:sz w:val="20"/>
          <w:szCs w:val="20"/>
          <w:vertAlign w:val="subscript"/>
        </w:rPr>
        <w:t>3</w:t>
      </w:r>
      <w:r w:rsidRPr="00DA0C34">
        <w:rPr>
          <w:rFonts w:ascii="Arial" w:hAnsi="Arial" w:cs="Arial"/>
          <w:sz w:val="20"/>
          <w:szCs w:val="20"/>
          <w:vertAlign w:val="subscript"/>
        </w:rPr>
        <w:t xml:space="preserve"> </w:t>
      </w:r>
      <w:r w:rsidRPr="00DA0C34">
        <w:rPr>
          <w:rFonts w:ascii="Arial" w:hAnsi="Arial" w:cs="Arial"/>
          <w:sz w:val="20"/>
          <w:szCs w:val="20"/>
        </w:rPr>
        <w:t xml:space="preserve">@ 100ppm. Highest seedling height and stem diameter were recorded from the seeds treated with </w:t>
      </w:r>
      <w:r w:rsidR="00CD6C48" w:rsidRPr="00DA0C34">
        <w:rPr>
          <w:rFonts w:ascii="Arial" w:hAnsi="Arial" w:cs="Arial"/>
          <w:sz w:val="20"/>
          <w:szCs w:val="20"/>
        </w:rPr>
        <w:t>GA</w:t>
      </w:r>
      <w:r w:rsidR="00CD6C48" w:rsidRPr="00DA0C34">
        <w:rPr>
          <w:rFonts w:ascii="Arial" w:hAnsi="Arial" w:cs="Arial"/>
          <w:sz w:val="20"/>
          <w:szCs w:val="20"/>
          <w:vertAlign w:val="subscript"/>
        </w:rPr>
        <w:t>3</w:t>
      </w:r>
      <w:r w:rsidRPr="00DA0C34">
        <w:rPr>
          <w:rFonts w:ascii="Arial" w:hAnsi="Arial" w:cs="Arial"/>
          <w:sz w:val="20"/>
          <w:szCs w:val="20"/>
        </w:rPr>
        <w:t xml:space="preserve"> @200 ppm, followed by </w:t>
      </w:r>
      <w:r w:rsidR="00CD6C48" w:rsidRPr="00DA0C34">
        <w:rPr>
          <w:rFonts w:ascii="Arial" w:hAnsi="Arial" w:cs="Arial"/>
          <w:sz w:val="20"/>
          <w:szCs w:val="20"/>
        </w:rPr>
        <w:t>GA</w:t>
      </w:r>
      <w:r w:rsidR="00CD6C48" w:rsidRPr="00DA0C34">
        <w:rPr>
          <w:rFonts w:ascii="Arial" w:hAnsi="Arial" w:cs="Arial"/>
          <w:sz w:val="20"/>
          <w:szCs w:val="20"/>
          <w:vertAlign w:val="subscript"/>
        </w:rPr>
        <w:t>3</w:t>
      </w:r>
      <w:r w:rsidRPr="00DA0C34">
        <w:rPr>
          <w:rFonts w:ascii="Arial" w:hAnsi="Arial" w:cs="Arial"/>
          <w:sz w:val="20"/>
          <w:szCs w:val="20"/>
        </w:rPr>
        <w:t xml:space="preserve"> @100 ppm. The values for dry weight, seedling vigour index-I and seedling vigour index-II were high in the seedlings treated with </w:t>
      </w:r>
      <w:r w:rsidR="00CD6C48" w:rsidRPr="00DA0C34">
        <w:rPr>
          <w:rFonts w:ascii="Arial" w:hAnsi="Arial" w:cs="Arial"/>
          <w:sz w:val="20"/>
          <w:szCs w:val="20"/>
        </w:rPr>
        <w:t>GA</w:t>
      </w:r>
      <w:r w:rsidR="00CD6C48" w:rsidRPr="00DA0C34">
        <w:rPr>
          <w:rFonts w:ascii="Arial" w:hAnsi="Arial" w:cs="Arial"/>
          <w:sz w:val="20"/>
          <w:szCs w:val="20"/>
          <w:vertAlign w:val="subscript"/>
        </w:rPr>
        <w:t>3</w:t>
      </w:r>
      <w:r w:rsidRPr="00DA0C34">
        <w:rPr>
          <w:rFonts w:ascii="Arial" w:hAnsi="Arial" w:cs="Arial"/>
          <w:sz w:val="20"/>
          <w:szCs w:val="20"/>
          <w:vertAlign w:val="subscript"/>
        </w:rPr>
        <w:t xml:space="preserve"> </w:t>
      </w:r>
      <w:r w:rsidRPr="00DA0C34">
        <w:rPr>
          <w:rFonts w:ascii="Arial" w:hAnsi="Arial" w:cs="Arial"/>
          <w:sz w:val="20"/>
          <w:szCs w:val="20"/>
        </w:rPr>
        <w:t xml:space="preserve">@100 ppm. Hence from the present study, it can be concluded that </w:t>
      </w:r>
      <w:r w:rsidR="00CD6C48" w:rsidRPr="00DA0C34">
        <w:rPr>
          <w:rFonts w:ascii="Arial" w:hAnsi="Arial" w:cs="Arial"/>
          <w:sz w:val="20"/>
          <w:szCs w:val="20"/>
        </w:rPr>
        <w:t>GA</w:t>
      </w:r>
      <w:r w:rsidR="00CD6C48" w:rsidRPr="00DA0C34">
        <w:rPr>
          <w:rFonts w:ascii="Arial" w:hAnsi="Arial" w:cs="Arial"/>
          <w:sz w:val="20"/>
          <w:szCs w:val="20"/>
          <w:vertAlign w:val="subscript"/>
        </w:rPr>
        <w:t>3</w:t>
      </w:r>
      <w:r w:rsidRPr="00DA0C34">
        <w:rPr>
          <w:rFonts w:ascii="Arial" w:hAnsi="Arial" w:cs="Arial"/>
          <w:sz w:val="20"/>
          <w:szCs w:val="20"/>
        </w:rPr>
        <w:t xml:space="preserve"> at 100 ppm is better for improving seed germination followed by </w:t>
      </w:r>
      <w:r w:rsidR="00CD6C48" w:rsidRPr="00DA0C34">
        <w:rPr>
          <w:rFonts w:ascii="Arial" w:hAnsi="Arial" w:cs="Arial"/>
          <w:sz w:val="20"/>
          <w:szCs w:val="20"/>
        </w:rPr>
        <w:t>KNO</w:t>
      </w:r>
      <w:r w:rsidR="00CD6C48" w:rsidRPr="00DA0C34">
        <w:rPr>
          <w:rFonts w:ascii="Arial" w:hAnsi="Arial" w:cs="Arial"/>
          <w:sz w:val="20"/>
          <w:szCs w:val="20"/>
          <w:vertAlign w:val="subscript"/>
        </w:rPr>
        <w:t>3</w:t>
      </w:r>
      <w:r w:rsidRPr="00DA0C34">
        <w:rPr>
          <w:rFonts w:ascii="Arial" w:hAnsi="Arial" w:cs="Arial"/>
          <w:sz w:val="20"/>
          <w:szCs w:val="20"/>
        </w:rPr>
        <w:t xml:space="preserve">. In future line other organic products like </w:t>
      </w:r>
      <w:proofErr w:type="spellStart"/>
      <w:r w:rsidRPr="00DA0C34">
        <w:rPr>
          <w:rFonts w:ascii="Arial" w:hAnsi="Arial" w:cs="Arial"/>
          <w:sz w:val="20"/>
          <w:szCs w:val="20"/>
        </w:rPr>
        <w:t>Vermi</w:t>
      </w:r>
      <w:proofErr w:type="spellEnd"/>
      <w:r w:rsidRPr="00DA0C34">
        <w:rPr>
          <w:rFonts w:ascii="Arial" w:hAnsi="Arial" w:cs="Arial"/>
          <w:sz w:val="20"/>
          <w:szCs w:val="20"/>
        </w:rPr>
        <w:t xml:space="preserve">-wash, </w:t>
      </w:r>
      <w:proofErr w:type="spellStart"/>
      <w:r w:rsidRPr="00DA0C34">
        <w:rPr>
          <w:rFonts w:ascii="Arial" w:hAnsi="Arial" w:cs="Arial"/>
          <w:sz w:val="20"/>
          <w:szCs w:val="20"/>
        </w:rPr>
        <w:t>Beejamruth</w:t>
      </w:r>
      <w:proofErr w:type="spellEnd"/>
      <w:r w:rsidRPr="00DA0C34">
        <w:rPr>
          <w:rFonts w:ascii="Arial" w:hAnsi="Arial" w:cs="Arial"/>
          <w:sz w:val="20"/>
          <w:szCs w:val="20"/>
        </w:rPr>
        <w:t xml:space="preserve">, </w:t>
      </w:r>
      <w:proofErr w:type="spellStart"/>
      <w:r w:rsidRPr="00DA0C34">
        <w:rPr>
          <w:rFonts w:ascii="Arial" w:hAnsi="Arial" w:cs="Arial"/>
          <w:sz w:val="20"/>
          <w:szCs w:val="20"/>
        </w:rPr>
        <w:t>Jeevamruth</w:t>
      </w:r>
      <w:proofErr w:type="spellEnd"/>
      <w:r w:rsidRPr="00DA0C34">
        <w:rPr>
          <w:rFonts w:ascii="Arial" w:hAnsi="Arial" w:cs="Arial"/>
          <w:sz w:val="20"/>
          <w:szCs w:val="20"/>
        </w:rPr>
        <w:t xml:space="preserve"> and novel phytohormones like salicylic acid, </w:t>
      </w:r>
      <w:proofErr w:type="spellStart"/>
      <w:r w:rsidRPr="00DA0C34">
        <w:rPr>
          <w:rFonts w:ascii="Arial" w:hAnsi="Arial" w:cs="Arial"/>
          <w:sz w:val="20"/>
          <w:szCs w:val="20"/>
        </w:rPr>
        <w:t>brasinosteroids</w:t>
      </w:r>
      <w:proofErr w:type="spellEnd"/>
      <w:r w:rsidRPr="00DA0C34">
        <w:rPr>
          <w:rFonts w:ascii="Arial" w:hAnsi="Arial" w:cs="Arial"/>
          <w:sz w:val="20"/>
          <w:szCs w:val="20"/>
        </w:rPr>
        <w:t xml:space="preserve"> can be studies for enhanced and uniform germination.</w:t>
      </w:r>
    </w:p>
    <w:p w14:paraId="064B6DD5" w14:textId="6A02BDE1" w:rsidR="00C01C69" w:rsidRPr="00234962" w:rsidRDefault="009C0391" w:rsidP="009C0391">
      <w:pPr>
        <w:tabs>
          <w:tab w:val="left" w:pos="1227"/>
        </w:tabs>
        <w:spacing w:line="240" w:lineRule="auto"/>
        <w:jc w:val="both"/>
        <w:rPr>
          <w:rFonts w:ascii="Arial" w:hAnsi="Arial" w:cs="Arial"/>
          <w:b/>
          <w:bCs/>
          <w:lang w:val="en-US"/>
        </w:rPr>
      </w:pPr>
      <w:r w:rsidRPr="00234962">
        <w:rPr>
          <w:rFonts w:ascii="Arial" w:hAnsi="Arial" w:cs="Arial"/>
          <w:b/>
          <w:bCs/>
          <w:lang w:val="en-US"/>
        </w:rPr>
        <w:t>REFERENCES:</w:t>
      </w:r>
    </w:p>
    <w:p w14:paraId="7D21F202" w14:textId="4962A7CB" w:rsidR="00FA3166" w:rsidRDefault="00FA3166" w:rsidP="00FA3166">
      <w:pPr>
        <w:spacing w:after="0" w:line="240" w:lineRule="auto"/>
        <w:ind w:left="720" w:hanging="720"/>
        <w:jc w:val="both"/>
        <w:rPr>
          <w:rFonts w:ascii="Arial" w:hAnsi="Arial" w:cs="Arial"/>
          <w:sz w:val="20"/>
          <w:szCs w:val="20"/>
          <w:shd w:val="clear" w:color="auto" w:fill="FFFFFF"/>
        </w:rPr>
      </w:pPr>
      <w:r w:rsidRPr="0070509C">
        <w:rPr>
          <w:rFonts w:ascii="Arial" w:hAnsi="Arial" w:cs="Arial"/>
          <w:sz w:val="20"/>
          <w:szCs w:val="20"/>
          <w:shd w:val="clear" w:color="auto" w:fill="FFFFFF"/>
        </w:rPr>
        <w:t>Ben-Yaacov, A. &amp; Michelson, E. (1995). Avocado rootstocks. </w:t>
      </w:r>
      <w:r w:rsidRPr="0070509C">
        <w:rPr>
          <w:rFonts w:ascii="Arial" w:hAnsi="Arial" w:cs="Arial"/>
          <w:i/>
          <w:iCs/>
          <w:sz w:val="20"/>
          <w:szCs w:val="20"/>
          <w:shd w:val="clear" w:color="auto" w:fill="FFFFFF"/>
        </w:rPr>
        <w:t>Horticultural Review. 17</w:t>
      </w:r>
      <w:r w:rsidRPr="0070509C">
        <w:rPr>
          <w:rFonts w:ascii="Arial" w:hAnsi="Arial" w:cs="Arial"/>
          <w:sz w:val="20"/>
          <w:szCs w:val="20"/>
          <w:shd w:val="clear" w:color="auto" w:fill="FFFFFF"/>
        </w:rPr>
        <w:t>: 381-429.</w:t>
      </w:r>
    </w:p>
    <w:p w14:paraId="6EA645E8"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2D926184" w14:textId="7777777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Bergh, B. &amp; </w:t>
      </w:r>
      <w:proofErr w:type="spellStart"/>
      <w:r w:rsidRPr="00FA3166">
        <w:rPr>
          <w:rFonts w:ascii="Arial" w:hAnsi="Arial" w:cs="Arial"/>
          <w:sz w:val="20"/>
          <w:szCs w:val="20"/>
          <w:shd w:val="clear" w:color="auto" w:fill="FFFFFF"/>
        </w:rPr>
        <w:t>Ellstrand</w:t>
      </w:r>
      <w:proofErr w:type="spellEnd"/>
      <w:r w:rsidRPr="00FA3166">
        <w:rPr>
          <w:rFonts w:ascii="Arial" w:hAnsi="Arial" w:cs="Arial"/>
          <w:sz w:val="20"/>
          <w:szCs w:val="20"/>
          <w:shd w:val="clear" w:color="auto" w:fill="FFFFFF"/>
        </w:rPr>
        <w:t xml:space="preserve">, N., (1986). Taxonomy of the avocado. California Avocado Society Yearbook, </w:t>
      </w:r>
      <w:r w:rsidRPr="00FA3166">
        <w:rPr>
          <w:rFonts w:ascii="Arial" w:hAnsi="Arial" w:cs="Arial"/>
          <w:i/>
          <w:iCs/>
          <w:sz w:val="20"/>
          <w:szCs w:val="20"/>
          <w:shd w:val="clear" w:color="auto" w:fill="FFFFFF"/>
        </w:rPr>
        <w:t>70:</w:t>
      </w:r>
      <w:r w:rsidRPr="00FA3166">
        <w:rPr>
          <w:rFonts w:ascii="Arial" w:hAnsi="Arial" w:cs="Arial"/>
          <w:sz w:val="20"/>
          <w:szCs w:val="20"/>
          <w:shd w:val="clear" w:color="auto" w:fill="FFFFFF"/>
        </w:rPr>
        <w:t xml:space="preserve"> 135-145.</w:t>
      </w:r>
    </w:p>
    <w:p w14:paraId="0ECE08D0"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63B3D161" w14:textId="6C51BF3B"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Bewley, J. D. &amp; Black, M., (1982). Viability and longevity. In: Bewley, J.D. &amp; Black, M. (Eds.), Physiology and Biochemistry of Seeds in Relation to Germination. </w:t>
      </w:r>
      <w:r w:rsidRPr="00FA3166">
        <w:rPr>
          <w:rFonts w:ascii="Arial" w:hAnsi="Arial" w:cs="Arial"/>
          <w:i/>
          <w:iCs/>
          <w:sz w:val="20"/>
          <w:szCs w:val="20"/>
          <w:shd w:val="clear" w:color="auto" w:fill="FFFFFF"/>
        </w:rPr>
        <w:t>Springer, Berlin, Heidelberg</w:t>
      </w:r>
      <w:r>
        <w:rPr>
          <w:rFonts w:ascii="Arial" w:hAnsi="Arial" w:cs="Arial"/>
          <w:sz w:val="20"/>
          <w:szCs w:val="20"/>
          <w:shd w:val="clear" w:color="auto" w:fill="FFFFFF"/>
        </w:rPr>
        <w:t>.</w:t>
      </w:r>
      <w:r w:rsidRPr="00FA3166">
        <w:rPr>
          <w:rFonts w:ascii="Arial" w:hAnsi="Arial" w:cs="Arial"/>
          <w:sz w:val="20"/>
          <w:szCs w:val="20"/>
          <w:shd w:val="clear" w:color="auto" w:fill="FFFFFF"/>
        </w:rPr>
        <w:t xml:space="preserve"> 1-59.</w:t>
      </w:r>
    </w:p>
    <w:p w14:paraId="271EF8D2" w14:textId="77777777" w:rsidR="00FA3166" w:rsidRPr="00FA3166" w:rsidRDefault="00FA3166" w:rsidP="00FA3166">
      <w:pPr>
        <w:spacing w:after="0" w:line="240" w:lineRule="auto"/>
        <w:ind w:left="720" w:hanging="720"/>
        <w:jc w:val="both"/>
        <w:rPr>
          <w:rFonts w:ascii="Arial" w:hAnsi="Arial" w:cs="Arial"/>
          <w:sz w:val="20"/>
          <w:szCs w:val="20"/>
          <w:shd w:val="clear" w:color="auto" w:fill="FFFFFF"/>
        </w:rPr>
      </w:pPr>
    </w:p>
    <w:p w14:paraId="04745A92" w14:textId="7D55FDC4" w:rsidR="00FA3166" w:rsidRDefault="00FA3166" w:rsidP="00FA3166">
      <w:pPr>
        <w:spacing w:after="0" w:line="240" w:lineRule="auto"/>
        <w:ind w:left="720" w:hanging="720"/>
        <w:jc w:val="both"/>
        <w:rPr>
          <w:rFonts w:ascii="Arial" w:hAnsi="Arial" w:cs="Arial"/>
          <w:sz w:val="20"/>
          <w:szCs w:val="20"/>
          <w:shd w:val="clear" w:color="auto" w:fill="FFFFFF"/>
        </w:rPr>
      </w:pPr>
      <w:proofErr w:type="spellStart"/>
      <w:r w:rsidRPr="00FA3166">
        <w:rPr>
          <w:rFonts w:ascii="Arial" w:hAnsi="Arial" w:cs="Arial"/>
          <w:sz w:val="20"/>
          <w:szCs w:val="20"/>
          <w:shd w:val="clear" w:color="auto" w:fill="FFFFFF"/>
        </w:rPr>
        <w:t>Boricha</w:t>
      </w:r>
      <w:proofErr w:type="spellEnd"/>
      <w:r w:rsidRPr="00FA3166">
        <w:rPr>
          <w:rFonts w:ascii="Arial" w:hAnsi="Arial" w:cs="Arial"/>
          <w:sz w:val="20"/>
          <w:szCs w:val="20"/>
          <w:shd w:val="clear" w:color="auto" w:fill="FFFFFF"/>
        </w:rPr>
        <w:t xml:space="preserve">, U. K., Parmar, B. R., Parmar, A. B., Rathod, S. D., Patel, M. V. &amp; Pandey, A. K., (2020). Effect of pre-sowing treatments on seed germination and seedling growth of guava. </w:t>
      </w:r>
      <w:r w:rsidRPr="00FA3166">
        <w:rPr>
          <w:rFonts w:ascii="Arial" w:hAnsi="Arial" w:cs="Arial"/>
          <w:i/>
          <w:iCs/>
          <w:sz w:val="20"/>
          <w:szCs w:val="20"/>
          <w:shd w:val="clear" w:color="auto" w:fill="FFFFFF"/>
        </w:rPr>
        <w:t>The Pharma Innovation Journal</w:t>
      </w:r>
      <w:r>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9</w:t>
      </w:r>
      <w:r w:rsidRPr="00FA3166">
        <w:rPr>
          <w:rFonts w:ascii="Arial" w:hAnsi="Arial" w:cs="Arial"/>
          <w:sz w:val="20"/>
          <w:szCs w:val="20"/>
          <w:shd w:val="clear" w:color="auto" w:fill="FFFFFF"/>
        </w:rPr>
        <w:t>(9): 431-433.</w:t>
      </w:r>
    </w:p>
    <w:p w14:paraId="32C72528"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7EC34ED4" w14:textId="1516C913"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lastRenderedPageBreak/>
        <w:t xml:space="preserve">Dhillon, B. S. &amp; Sharma, M. R., (1978). Note on the effect of growth regulators on the germination of wild pear seeds. </w:t>
      </w:r>
      <w:r w:rsidRPr="00FA3166">
        <w:rPr>
          <w:rFonts w:ascii="Arial" w:hAnsi="Arial" w:cs="Arial"/>
          <w:i/>
          <w:iCs/>
          <w:sz w:val="20"/>
          <w:szCs w:val="20"/>
          <w:shd w:val="clear" w:color="auto" w:fill="FFFFFF"/>
        </w:rPr>
        <w:t>Indian Journal of Agricultural Sciences.</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25</w:t>
      </w:r>
      <w:r w:rsidRPr="00FA3166">
        <w:rPr>
          <w:rFonts w:ascii="Arial" w:hAnsi="Arial" w:cs="Arial"/>
          <w:sz w:val="20"/>
          <w:szCs w:val="20"/>
          <w:shd w:val="clear" w:color="auto" w:fill="FFFFFF"/>
        </w:rPr>
        <w:t>: 370-372.</w:t>
      </w:r>
    </w:p>
    <w:p w14:paraId="3B4F0317"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5B41946" w14:textId="174222DF" w:rsidR="00FA3166" w:rsidRDefault="00FA3166" w:rsidP="00FA3166">
      <w:pPr>
        <w:spacing w:after="0" w:line="240" w:lineRule="auto"/>
        <w:ind w:left="720" w:hanging="720"/>
        <w:jc w:val="both"/>
        <w:rPr>
          <w:rFonts w:ascii="Arial" w:hAnsi="Arial" w:cs="Arial"/>
          <w:sz w:val="20"/>
          <w:szCs w:val="20"/>
          <w:shd w:val="clear" w:color="auto" w:fill="FFFFFF"/>
        </w:rPr>
      </w:pPr>
      <w:proofErr w:type="spellStart"/>
      <w:r w:rsidRPr="00FA3166">
        <w:rPr>
          <w:rFonts w:ascii="Arial" w:hAnsi="Arial" w:cs="Arial"/>
          <w:sz w:val="20"/>
          <w:szCs w:val="20"/>
          <w:shd w:val="clear" w:color="auto" w:fill="FFFFFF"/>
        </w:rPr>
        <w:t>Duester</w:t>
      </w:r>
      <w:proofErr w:type="spellEnd"/>
      <w:r w:rsidRPr="00FA3166">
        <w:rPr>
          <w:rFonts w:ascii="Arial" w:hAnsi="Arial" w:cs="Arial"/>
          <w:sz w:val="20"/>
          <w:szCs w:val="20"/>
          <w:shd w:val="clear" w:color="auto" w:fill="FFFFFF"/>
        </w:rPr>
        <w:t xml:space="preserve">, K. C., (2000). Avocados: a look beyond basic nutrition for one of nature's whole foods. </w:t>
      </w:r>
      <w:r w:rsidRPr="00FA3166">
        <w:rPr>
          <w:rFonts w:ascii="Arial" w:hAnsi="Arial" w:cs="Arial"/>
          <w:i/>
          <w:iCs/>
          <w:sz w:val="20"/>
          <w:szCs w:val="20"/>
          <w:shd w:val="clear" w:color="auto" w:fill="FFFFFF"/>
        </w:rPr>
        <w:t>Nutrition</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Today.</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35</w:t>
      </w:r>
      <w:r w:rsidRPr="00FA3166">
        <w:rPr>
          <w:rFonts w:ascii="Arial" w:hAnsi="Arial" w:cs="Arial"/>
          <w:sz w:val="20"/>
          <w:szCs w:val="20"/>
          <w:shd w:val="clear" w:color="auto" w:fill="FFFFFF"/>
        </w:rPr>
        <w:t>(4): 151-157.</w:t>
      </w:r>
    </w:p>
    <w:p w14:paraId="7FB05983"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093A4875" w14:textId="77777777" w:rsidR="00FA3166" w:rsidRDefault="00FA3166" w:rsidP="00FA3166">
      <w:pPr>
        <w:spacing w:after="0" w:line="240" w:lineRule="auto"/>
        <w:ind w:left="720" w:hanging="720"/>
        <w:jc w:val="both"/>
        <w:rPr>
          <w:rFonts w:ascii="Arial" w:hAnsi="Arial" w:cs="Arial"/>
          <w:i/>
          <w:iCs/>
          <w:sz w:val="20"/>
          <w:szCs w:val="20"/>
          <w:shd w:val="clear" w:color="auto" w:fill="FFFFFF"/>
        </w:rPr>
      </w:pPr>
      <w:proofErr w:type="spellStart"/>
      <w:r w:rsidRPr="00FA3166">
        <w:rPr>
          <w:rFonts w:ascii="Arial" w:hAnsi="Arial" w:cs="Arial"/>
          <w:sz w:val="20"/>
          <w:szCs w:val="20"/>
          <w:shd w:val="clear" w:color="auto" w:fill="FFFFFF"/>
        </w:rPr>
        <w:t>Elekou</w:t>
      </w:r>
      <w:proofErr w:type="spellEnd"/>
      <w:r w:rsidRPr="00FA3166">
        <w:rPr>
          <w:rFonts w:ascii="Arial" w:hAnsi="Arial" w:cs="Arial"/>
          <w:sz w:val="20"/>
          <w:szCs w:val="20"/>
          <w:shd w:val="clear" w:color="auto" w:fill="FFFFFF"/>
        </w:rPr>
        <w:t xml:space="preserve">, E. A. C., Perea-Arango, I., Suarez-Rodriguez, L. M. &amp; López-Gómez, R., (2022). In vitro seed germination and seedling development of two avocado varieties. In: Seed Biology Updates. </w:t>
      </w:r>
      <w:proofErr w:type="spellStart"/>
      <w:r w:rsidRPr="00FA3166">
        <w:rPr>
          <w:rFonts w:ascii="Arial" w:hAnsi="Arial" w:cs="Arial"/>
          <w:i/>
          <w:iCs/>
          <w:sz w:val="20"/>
          <w:szCs w:val="20"/>
          <w:shd w:val="clear" w:color="auto" w:fill="FFFFFF"/>
        </w:rPr>
        <w:t>IntechOpen</w:t>
      </w:r>
      <w:proofErr w:type="spellEnd"/>
      <w:r w:rsidRPr="00FA3166">
        <w:rPr>
          <w:rFonts w:ascii="Arial" w:hAnsi="Arial" w:cs="Arial"/>
          <w:i/>
          <w:iCs/>
          <w:sz w:val="20"/>
          <w:szCs w:val="20"/>
          <w:shd w:val="clear" w:color="auto" w:fill="FFFFFF"/>
        </w:rPr>
        <w:t>.</w:t>
      </w:r>
    </w:p>
    <w:p w14:paraId="27A68077"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1BFA628F" w14:textId="13D1408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Ghosh, S. P., (2000). Avocado production in India. Avocado Production Asia and the Pacific. </w:t>
      </w:r>
      <w:r w:rsidRPr="00FA3166">
        <w:rPr>
          <w:rFonts w:ascii="Arial" w:hAnsi="Arial" w:cs="Arial"/>
          <w:i/>
          <w:iCs/>
          <w:sz w:val="20"/>
          <w:szCs w:val="20"/>
          <w:shd w:val="clear" w:color="auto" w:fill="FFFFFF"/>
        </w:rPr>
        <w:t>FAO Publisher, Bangkok</w:t>
      </w:r>
      <w:r w:rsidR="00252FE7" w:rsidRP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24-30.</w:t>
      </w:r>
    </w:p>
    <w:p w14:paraId="0CAF6DA9"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6FA3C84F" w14:textId="5D391BCB"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Gupta, R. &amp; Chakrabarty, S. K., (2013). Gibberellic acid in plant: still a mystery unresolved.</w:t>
      </w:r>
      <w:r w:rsidRPr="00FA3166">
        <w:rPr>
          <w:rFonts w:ascii="Arial" w:hAnsi="Arial" w:cs="Arial"/>
          <w:i/>
          <w:iCs/>
          <w:sz w:val="20"/>
          <w:szCs w:val="20"/>
          <w:shd w:val="clear" w:color="auto" w:fill="FFFFFF"/>
        </w:rPr>
        <w:t xml:space="preserve"> Plant </w:t>
      </w:r>
      <w:proofErr w:type="spellStart"/>
      <w:r w:rsidRPr="00FA3166">
        <w:rPr>
          <w:rFonts w:ascii="Arial" w:hAnsi="Arial" w:cs="Arial"/>
          <w:i/>
          <w:iCs/>
          <w:sz w:val="20"/>
          <w:szCs w:val="20"/>
          <w:shd w:val="clear" w:color="auto" w:fill="FFFFFF"/>
        </w:rPr>
        <w:t>Signaling</w:t>
      </w:r>
      <w:proofErr w:type="spellEnd"/>
      <w:r w:rsidRPr="00FA3166">
        <w:rPr>
          <w:rFonts w:ascii="Arial" w:hAnsi="Arial" w:cs="Arial"/>
          <w:i/>
          <w:iCs/>
          <w:sz w:val="20"/>
          <w:szCs w:val="20"/>
          <w:shd w:val="clear" w:color="auto" w:fill="FFFFFF"/>
        </w:rPr>
        <w:t xml:space="preserve"> &amp; </w:t>
      </w:r>
      <w:proofErr w:type="spellStart"/>
      <w:r w:rsidRPr="00FA3166">
        <w:rPr>
          <w:rFonts w:ascii="Arial" w:hAnsi="Arial" w:cs="Arial"/>
          <w:i/>
          <w:iCs/>
          <w:sz w:val="20"/>
          <w:szCs w:val="20"/>
          <w:shd w:val="clear" w:color="auto" w:fill="FFFFFF"/>
        </w:rPr>
        <w:t>Behavior</w:t>
      </w:r>
      <w:proofErr w:type="spellEnd"/>
      <w:r w:rsidR="00252FE7" w:rsidRPr="00252FE7">
        <w:rPr>
          <w:rFonts w:ascii="Arial" w:hAnsi="Arial" w:cs="Arial"/>
          <w:i/>
          <w:iCs/>
          <w:sz w:val="20"/>
          <w:szCs w:val="20"/>
          <w:shd w:val="clear" w:color="auto" w:fill="FFFFFF"/>
        </w:rPr>
        <w:t>.</w:t>
      </w:r>
      <w:r w:rsidRPr="00FA3166">
        <w:rPr>
          <w:rFonts w:ascii="Arial" w:hAnsi="Arial" w:cs="Arial"/>
          <w:i/>
          <w:iCs/>
          <w:sz w:val="20"/>
          <w:szCs w:val="20"/>
          <w:shd w:val="clear" w:color="auto" w:fill="FFFFFF"/>
        </w:rPr>
        <w:t xml:space="preserve"> 8</w:t>
      </w:r>
      <w:r w:rsidRPr="00FA3166">
        <w:rPr>
          <w:rFonts w:ascii="Arial" w:hAnsi="Arial" w:cs="Arial"/>
          <w:sz w:val="20"/>
          <w:szCs w:val="20"/>
          <w:shd w:val="clear" w:color="auto" w:fill="FFFFFF"/>
        </w:rPr>
        <w:t>(9): 1-5.</w:t>
      </w:r>
    </w:p>
    <w:p w14:paraId="6A515196"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79488006" w14:textId="616BAA8F"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Hakimi, N. A. N. G. I. A. L. A. I., (2020). Study on effect of plant growth regulators and chemicals on seed germination of avocado (</w:t>
      </w:r>
      <w:proofErr w:type="spellStart"/>
      <w:r w:rsidRPr="00FA3166">
        <w:rPr>
          <w:rFonts w:ascii="Arial" w:hAnsi="Arial" w:cs="Arial"/>
          <w:sz w:val="20"/>
          <w:szCs w:val="20"/>
          <w:shd w:val="clear" w:color="auto" w:fill="FFFFFF"/>
        </w:rPr>
        <w:t>Persea</w:t>
      </w:r>
      <w:proofErr w:type="spellEnd"/>
      <w:r w:rsidRPr="00FA3166">
        <w:rPr>
          <w:rFonts w:ascii="Arial" w:hAnsi="Arial" w:cs="Arial"/>
          <w:sz w:val="20"/>
          <w:szCs w:val="20"/>
          <w:shd w:val="clear" w:color="auto" w:fill="FFFFFF"/>
        </w:rPr>
        <w:t xml:space="preserve"> </w:t>
      </w:r>
      <w:proofErr w:type="spellStart"/>
      <w:r w:rsidRPr="00FA3166">
        <w:rPr>
          <w:rFonts w:ascii="Arial" w:hAnsi="Arial" w:cs="Arial"/>
          <w:sz w:val="20"/>
          <w:szCs w:val="20"/>
          <w:shd w:val="clear" w:color="auto" w:fill="FFFFFF"/>
        </w:rPr>
        <w:t>americana</w:t>
      </w:r>
      <w:proofErr w:type="spellEnd"/>
      <w:r w:rsidRPr="00FA3166">
        <w:rPr>
          <w:rFonts w:ascii="Arial" w:hAnsi="Arial" w:cs="Arial"/>
          <w:sz w:val="20"/>
          <w:szCs w:val="20"/>
          <w:shd w:val="clear" w:color="auto" w:fill="FFFFFF"/>
        </w:rPr>
        <w:t xml:space="preserve"> Mill.). M.Sc. </w:t>
      </w:r>
      <w:r w:rsidRPr="00FA3166">
        <w:rPr>
          <w:rFonts w:ascii="Arial" w:hAnsi="Arial" w:cs="Arial"/>
          <w:i/>
          <w:iCs/>
          <w:sz w:val="20"/>
          <w:szCs w:val="20"/>
          <w:shd w:val="clear" w:color="auto" w:fill="FFFFFF"/>
        </w:rPr>
        <w:t>Thesis, University of Agricultural and Horticultural Sciences</w:t>
      </w:r>
      <w:r w:rsid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Shivamogga.</w:t>
      </w:r>
    </w:p>
    <w:p w14:paraId="28A7B90F"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6D6453CC" w14:textId="6A50DCF3" w:rsidR="00FA3166" w:rsidRP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Jacobsen, S. E. &amp; Olszewski, N. E., (1993). Mutations at the spindly locus of Arabidopsis alter gibberellin signal transduction. </w:t>
      </w:r>
      <w:r w:rsidRPr="00FA3166">
        <w:rPr>
          <w:rFonts w:ascii="Arial" w:hAnsi="Arial" w:cs="Arial"/>
          <w:i/>
          <w:iCs/>
          <w:sz w:val="20"/>
          <w:szCs w:val="20"/>
          <w:shd w:val="clear" w:color="auto" w:fill="FFFFFF"/>
        </w:rPr>
        <w:t>Plant Cell</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5</w:t>
      </w:r>
      <w:r w:rsidRPr="00FA3166">
        <w:rPr>
          <w:rFonts w:ascii="Arial" w:hAnsi="Arial" w:cs="Arial"/>
          <w:sz w:val="20"/>
          <w:szCs w:val="20"/>
          <w:shd w:val="clear" w:color="auto" w:fill="FFFFFF"/>
        </w:rPr>
        <w:t>: 887–896.</w:t>
      </w:r>
    </w:p>
    <w:p w14:paraId="3CEFAF6C" w14:textId="1E92A292"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Joshi, R., (2018). Role of enzymes in seed germination. </w:t>
      </w:r>
      <w:r w:rsidRPr="00FA3166">
        <w:rPr>
          <w:rFonts w:ascii="Arial" w:hAnsi="Arial" w:cs="Arial"/>
          <w:i/>
          <w:iCs/>
          <w:sz w:val="20"/>
          <w:szCs w:val="20"/>
          <w:shd w:val="clear" w:color="auto" w:fill="FFFFFF"/>
        </w:rPr>
        <w:t>International Journal of Creative Research Thoughts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6</w:t>
      </w:r>
      <w:r w:rsidRPr="00FA3166">
        <w:rPr>
          <w:rFonts w:ascii="Arial" w:hAnsi="Arial" w:cs="Arial"/>
          <w:sz w:val="20"/>
          <w:szCs w:val="20"/>
          <w:shd w:val="clear" w:color="auto" w:fill="FFFFFF"/>
        </w:rPr>
        <w:t>(2): 1481-1485.</w:t>
      </w:r>
    </w:p>
    <w:p w14:paraId="716A3741"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522994E1" w14:textId="39C54B3B" w:rsidR="00FA3166" w:rsidRDefault="00FA3166" w:rsidP="00FA3166">
      <w:pPr>
        <w:spacing w:after="0" w:line="240" w:lineRule="auto"/>
        <w:ind w:left="720" w:hanging="720"/>
        <w:jc w:val="both"/>
        <w:rPr>
          <w:rFonts w:ascii="Arial" w:hAnsi="Arial" w:cs="Arial"/>
          <w:sz w:val="20"/>
          <w:szCs w:val="20"/>
          <w:shd w:val="clear" w:color="auto" w:fill="FFFFFF"/>
        </w:rPr>
      </w:pPr>
      <w:proofErr w:type="spellStart"/>
      <w:r w:rsidRPr="00FA3166">
        <w:rPr>
          <w:rFonts w:ascii="Arial" w:hAnsi="Arial" w:cs="Arial"/>
          <w:sz w:val="20"/>
          <w:szCs w:val="20"/>
          <w:shd w:val="clear" w:color="auto" w:fill="FFFFFF"/>
        </w:rPr>
        <w:t>Khatana</w:t>
      </w:r>
      <w:proofErr w:type="spellEnd"/>
      <w:r w:rsidRPr="00FA3166">
        <w:rPr>
          <w:rFonts w:ascii="Arial" w:hAnsi="Arial" w:cs="Arial"/>
          <w:sz w:val="20"/>
          <w:szCs w:val="20"/>
          <w:shd w:val="clear" w:color="auto" w:fill="FFFFFF"/>
        </w:rPr>
        <w:t xml:space="preserve">, K. J., Jadav, R. G. &amp; </w:t>
      </w:r>
      <w:proofErr w:type="spellStart"/>
      <w:r w:rsidRPr="00FA3166">
        <w:rPr>
          <w:rFonts w:ascii="Arial" w:hAnsi="Arial" w:cs="Arial"/>
          <w:sz w:val="20"/>
          <w:szCs w:val="20"/>
          <w:shd w:val="clear" w:color="auto" w:fill="FFFFFF"/>
        </w:rPr>
        <w:t>Nehete</w:t>
      </w:r>
      <w:proofErr w:type="spellEnd"/>
      <w:r w:rsidRPr="00FA3166">
        <w:rPr>
          <w:rFonts w:ascii="Arial" w:hAnsi="Arial" w:cs="Arial"/>
          <w:sz w:val="20"/>
          <w:szCs w:val="20"/>
          <w:shd w:val="clear" w:color="auto" w:fill="FFFFFF"/>
        </w:rPr>
        <w:t xml:space="preserve">, D. S., (2015). Influence of GA3 on germination and growth of acid lime </w:t>
      </w:r>
      <w:r w:rsidRPr="00FA3166">
        <w:rPr>
          <w:rFonts w:ascii="Arial" w:hAnsi="Arial" w:cs="Arial"/>
          <w:i/>
          <w:iCs/>
          <w:sz w:val="20"/>
          <w:szCs w:val="20"/>
          <w:shd w:val="clear" w:color="auto" w:fill="FFFFFF"/>
        </w:rPr>
        <w:t>cv</w:t>
      </w:r>
      <w:r w:rsidRPr="00FA3166">
        <w:rPr>
          <w:rFonts w:ascii="Arial" w:hAnsi="Arial" w:cs="Arial"/>
          <w:sz w:val="20"/>
          <w:szCs w:val="20"/>
          <w:shd w:val="clear" w:color="auto" w:fill="FFFFFF"/>
        </w:rPr>
        <w:t xml:space="preserve">. </w:t>
      </w:r>
      <w:proofErr w:type="spellStart"/>
      <w:r w:rsidRPr="00FA3166">
        <w:rPr>
          <w:rFonts w:ascii="Arial" w:hAnsi="Arial" w:cs="Arial"/>
          <w:sz w:val="20"/>
          <w:szCs w:val="20"/>
          <w:shd w:val="clear" w:color="auto" w:fill="FFFFFF"/>
        </w:rPr>
        <w:t>Kagzilime</w:t>
      </w:r>
      <w:proofErr w:type="spellEnd"/>
      <w:r w:rsidRPr="00FA3166">
        <w:rPr>
          <w:rFonts w:ascii="Arial" w:hAnsi="Arial" w:cs="Arial"/>
          <w:sz w:val="20"/>
          <w:szCs w:val="20"/>
          <w:shd w:val="clear" w:color="auto" w:fill="FFFFFF"/>
        </w:rPr>
        <w:t xml:space="preserve"> under field as well as net house condition. </w:t>
      </w:r>
      <w:r w:rsidRPr="00FA3166">
        <w:rPr>
          <w:rFonts w:ascii="Arial" w:hAnsi="Arial" w:cs="Arial"/>
          <w:i/>
          <w:iCs/>
          <w:sz w:val="20"/>
          <w:szCs w:val="20"/>
          <w:shd w:val="clear" w:color="auto" w:fill="FFFFFF"/>
        </w:rPr>
        <w:t>Asian Journal of Horticulture</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10</w:t>
      </w:r>
      <w:r w:rsidRPr="00FA3166">
        <w:rPr>
          <w:rFonts w:ascii="Arial" w:hAnsi="Arial" w:cs="Arial"/>
          <w:sz w:val="20"/>
          <w:szCs w:val="20"/>
          <w:shd w:val="clear" w:color="auto" w:fill="FFFFFF"/>
        </w:rPr>
        <w:t>(1): 11-16.</w:t>
      </w:r>
    </w:p>
    <w:p w14:paraId="4FA5BC77"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04162FE" w14:textId="1FB42B13"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Kumawat, R., Maji, S. &amp; Meena, D. C., (2014). Studies on seed germination and seedling growth of papaya (Carica papaya L.) cv. Coorg Honey Dew as influenced by media and chemicals. </w:t>
      </w:r>
      <w:r w:rsidRPr="00FA3166">
        <w:rPr>
          <w:rFonts w:ascii="Arial" w:hAnsi="Arial" w:cs="Arial"/>
          <w:i/>
          <w:iCs/>
          <w:sz w:val="20"/>
          <w:szCs w:val="20"/>
          <w:shd w:val="clear" w:color="auto" w:fill="FFFFFF"/>
        </w:rPr>
        <w:t>Journal of Crop and Weed</w:t>
      </w:r>
      <w:r w:rsidR="00252FE7" w:rsidRP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10</w:t>
      </w:r>
      <w:r w:rsidRPr="00FA3166">
        <w:rPr>
          <w:rFonts w:ascii="Arial" w:hAnsi="Arial" w:cs="Arial"/>
          <w:sz w:val="20"/>
          <w:szCs w:val="20"/>
          <w:shd w:val="clear" w:color="auto" w:fill="FFFFFF"/>
        </w:rPr>
        <w:t>(2): 281-286.</w:t>
      </w:r>
    </w:p>
    <w:p w14:paraId="2F26B02A"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077F694B" w14:textId="3EAF180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Lara, T. S., Lira, J. M. S., Rodrigues, A. C., Rakocevi, M. &amp; Alvarenga, A. A., (2014). Potassium nitrate priming affects the activity of nitrate reductase and antioxidant enzymes in tomato germination. </w:t>
      </w:r>
      <w:r w:rsidRPr="00FA3166">
        <w:rPr>
          <w:rFonts w:ascii="Arial" w:hAnsi="Arial" w:cs="Arial"/>
          <w:i/>
          <w:iCs/>
          <w:sz w:val="20"/>
          <w:szCs w:val="20"/>
          <w:shd w:val="clear" w:color="auto" w:fill="FFFFFF"/>
        </w:rPr>
        <w:t>Journal of Agricultural Science</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6(</w:t>
      </w:r>
      <w:r w:rsidRPr="00FA3166">
        <w:rPr>
          <w:rFonts w:ascii="Arial" w:hAnsi="Arial" w:cs="Arial"/>
          <w:sz w:val="20"/>
          <w:szCs w:val="20"/>
          <w:shd w:val="clear" w:color="auto" w:fill="FFFFFF"/>
        </w:rPr>
        <w:t>2): 72-80.</w:t>
      </w:r>
    </w:p>
    <w:p w14:paraId="2D1E19E7"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3DF70C82" w14:textId="6297F19E"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Lay, P., </w:t>
      </w:r>
      <w:proofErr w:type="spellStart"/>
      <w:r w:rsidRPr="00FA3166">
        <w:rPr>
          <w:rFonts w:ascii="Arial" w:hAnsi="Arial" w:cs="Arial"/>
          <w:sz w:val="20"/>
          <w:szCs w:val="20"/>
          <w:shd w:val="clear" w:color="auto" w:fill="FFFFFF"/>
        </w:rPr>
        <w:t>Basvaraju</w:t>
      </w:r>
      <w:proofErr w:type="spellEnd"/>
      <w:r w:rsidRPr="00FA3166">
        <w:rPr>
          <w:rFonts w:ascii="Arial" w:hAnsi="Arial" w:cs="Arial"/>
          <w:sz w:val="20"/>
          <w:szCs w:val="20"/>
          <w:shd w:val="clear" w:color="auto" w:fill="FFFFFF"/>
        </w:rPr>
        <w:t xml:space="preserve">, G. V., Sarika, G. &amp; Amrutha, N., (2013). Effect of seed treatments to enhance seed quality of papaya (Carica papaya L.) cv. Surya. </w:t>
      </w:r>
      <w:r w:rsidRPr="00FA3166">
        <w:rPr>
          <w:rFonts w:ascii="Arial" w:hAnsi="Arial" w:cs="Arial"/>
          <w:i/>
          <w:iCs/>
          <w:sz w:val="20"/>
          <w:szCs w:val="20"/>
          <w:shd w:val="clear" w:color="auto" w:fill="FFFFFF"/>
        </w:rPr>
        <w:t>Greener Journal of Biomedical and Health Science</w:t>
      </w:r>
      <w:r w:rsid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2</w:t>
      </w:r>
      <w:r w:rsidRPr="00FA3166">
        <w:rPr>
          <w:rFonts w:ascii="Arial" w:hAnsi="Arial" w:cs="Arial"/>
          <w:sz w:val="20"/>
          <w:szCs w:val="20"/>
          <w:shd w:val="clear" w:color="auto" w:fill="FFFFFF"/>
        </w:rPr>
        <w:t>: 221-225.</w:t>
      </w:r>
    </w:p>
    <w:p w14:paraId="51C4502F"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49A79BC9" w14:textId="4BF6D34B"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Lovell, P. H. &amp; Booth, A., (1967). Effects of gibberellic acid on growth, tuber formation and carbohydrate distribution in Solanum tuberosum. </w:t>
      </w:r>
      <w:r w:rsidRPr="00FA3166">
        <w:rPr>
          <w:rFonts w:ascii="Arial" w:hAnsi="Arial" w:cs="Arial"/>
          <w:i/>
          <w:iCs/>
          <w:sz w:val="20"/>
          <w:szCs w:val="20"/>
          <w:shd w:val="clear" w:color="auto" w:fill="FFFFFF"/>
        </w:rPr>
        <w:t>New Phytologist</w:t>
      </w:r>
      <w:r w:rsidR="00252FE7" w:rsidRP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66</w:t>
      </w:r>
      <w:r w:rsidRPr="00FA3166">
        <w:rPr>
          <w:rFonts w:ascii="Arial" w:hAnsi="Arial" w:cs="Arial"/>
          <w:sz w:val="20"/>
          <w:szCs w:val="20"/>
          <w:shd w:val="clear" w:color="auto" w:fill="FFFFFF"/>
        </w:rPr>
        <w:t>(4): 525-537.</w:t>
      </w:r>
    </w:p>
    <w:p w14:paraId="394071FD"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3E104F94" w14:textId="51AAA53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Meyer, M. D. &amp; Terry, L. A., (2010). Fatty acid and sugar composition of avocado, cv. Hass, in response to treatment with an ethylene scavenger or 1-methylcyclopropene to extend storage life. </w:t>
      </w:r>
      <w:r w:rsidRPr="00FA3166">
        <w:rPr>
          <w:rFonts w:ascii="Arial" w:hAnsi="Arial" w:cs="Arial"/>
          <w:i/>
          <w:iCs/>
          <w:sz w:val="20"/>
          <w:szCs w:val="20"/>
          <w:shd w:val="clear" w:color="auto" w:fill="FFFFFF"/>
        </w:rPr>
        <w:t>Food Chemistry</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121</w:t>
      </w:r>
      <w:r w:rsidRPr="00FA3166">
        <w:rPr>
          <w:rFonts w:ascii="Arial" w:hAnsi="Arial" w:cs="Arial"/>
          <w:sz w:val="20"/>
          <w:szCs w:val="20"/>
          <w:shd w:val="clear" w:color="auto" w:fill="FFFFFF"/>
        </w:rPr>
        <w:t>: 1203-1210.</w:t>
      </w:r>
    </w:p>
    <w:p w14:paraId="5A72B45A"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12C9A747" w14:textId="7777777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Murthy, B. N. S., (1984). Studies on propagation of </w:t>
      </w:r>
      <w:proofErr w:type="spellStart"/>
      <w:r w:rsidRPr="00FA3166">
        <w:rPr>
          <w:rFonts w:ascii="Arial" w:hAnsi="Arial" w:cs="Arial"/>
          <w:sz w:val="20"/>
          <w:szCs w:val="20"/>
          <w:shd w:val="clear" w:color="auto" w:fill="FFFFFF"/>
        </w:rPr>
        <w:t>ber</w:t>
      </w:r>
      <w:proofErr w:type="spellEnd"/>
      <w:r w:rsidRPr="00FA3166">
        <w:rPr>
          <w:rFonts w:ascii="Arial" w:hAnsi="Arial" w:cs="Arial"/>
          <w:sz w:val="20"/>
          <w:szCs w:val="20"/>
          <w:shd w:val="clear" w:color="auto" w:fill="FFFFFF"/>
        </w:rPr>
        <w:t xml:space="preserve"> (</w:t>
      </w:r>
      <w:proofErr w:type="spellStart"/>
      <w:r w:rsidRPr="00FA3166">
        <w:rPr>
          <w:rFonts w:ascii="Arial" w:hAnsi="Arial" w:cs="Arial"/>
          <w:sz w:val="20"/>
          <w:szCs w:val="20"/>
          <w:shd w:val="clear" w:color="auto" w:fill="FFFFFF"/>
        </w:rPr>
        <w:t>Ziziphus</w:t>
      </w:r>
      <w:proofErr w:type="spellEnd"/>
      <w:r w:rsidRPr="00FA3166">
        <w:rPr>
          <w:rFonts w:ascii="Arial" w:hAnsi="Arial" w:cs="Arial"/>
          <w:sz w:val="20"/>
          <w:szCs w:val="20"/>
          <w:shd w:val="clear" w:color="auto" w:fill="FFFFFF"/>
        </w:rPr>
        <w:t xml:space="preserve"> </w:t>
      </w:r>
      <w:proofErr w:type="spellStart"/>
      <w:r w:rsidRPr="00FA3166">
        <w:rPr>
          <w:rFonts w:ascii="Arial" w:hAnsi="Arial" w:cs="Arial"/>
          <w:sz w:val="20"/>
          <w:szCs w:val="20"/>
          <w:shd w:val="clear" w:color="auto" w:fill="FFFFFF"/>
        </w:rPr>
        <w:t>mauritiana</w:t>
      </w:r>
      <w:proofErr w:type="spellEnd"/>
      <w:r w:rsidRPr="00FA3166">
        <w:rPr>
          <w:rFonts w:ascii="Arial" w:hAnsi="Arial" w:cs="Arial"/>
          <w:sz w:val="20"/>
          <w:szCs w:val="20"/>
          <w:shd w:val="clear" w:color="auto" w:fill="FFFFFF"/>
        </w:rPr>
        <w:t xml:space="preserve"> Lam.). M.Sc. (Hort.) Thesis, University of Agricultural Sciences, Bangalore (India).</w:t>
      </w:r>
    </w:p>
    <w:p w14:paraId="5FA2BAD0"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5D22FF58" w14:textId="4AA45F99"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Nolan, R. C. &amp; Ho, T. H. D., (1988). Hormonal regulation of gene expression in barley aleurone layers. </w:t>
      </w:r>
      <w:r w:rsidRPr="00FA3166">
        <w:rPr>
          <w:rFonts w:ascii="Arial" w:hAnsi="Arial" w:cs="Arial"/>
          <w:i/>
          <w:iCs/>
          <w:sz w:val="20"/>
          <w:szCs w:val="20"/>
          <w:shd w:val="clear" w:color="auto" w:fill="FFFFFF"/>
        </w:rPr>
        <w:t>Planta</w:t>
      </w:r>
      <w:r w:rsid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192</w:t>
      </w:r>
      <w:r w:rsidRPr="00FA3166">
        <w:rPr>
          <w:rFonts w:ascii="Arial" w:hAnsi="Arial" w:cs="Arial"/>
          <w:sz w:val="20"/>
          <w:szCs w:val="20"/>
          <w:shd w:val="clear" w:color="auto" w:fill="FFFFFF"/>
        </w:rPr>
        <w:t>: 332-339.</w:t>
      </w:r>
    </w:p>
    <w:p w14:paraId="06637443"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2AAC7C9" w14:textId="1B50F47F"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Paleg, L. G., (1960). Physiological effects of gibberellic acid II. </w:t>
      </w:r>
      <w:r w:rsidRPr="00FA3166">
        <w:rPr>
          <w:rFonts w:ascii="Arial" w:hAnsi="Arial" w:cs="Arial"/>
          <w:i/>
          <w:iCs/>
          <w:sz w:val="20"/>
          <w:szCs w:val="20"/>
          <w:shd w:val="clear" w:color="auto" w:fill="FFFFFF"/>
        </w:rPr>
        <w:t>Plant Physiology</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35</w:t>
      </w:r>
      <w:r w:rsidRPr="00FA3166">
        <w:rPr>
          <w:rFonts w:ascii="Arial" w:hAnsi="Arial" w:cs="Arial"/>
          <w:sz w:val="20"/>
          <w:szCs w:val="20"/>
          <w:shd w:val="clear" w:color="auto" w:fill="FFFFFF"/>
        </w:rPr>
        <w:t>: 902-906.</w:t>
      </w:r>
    </w:p>
    <w:p w14:paraId="4EA7328F"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0CBF2451" w14:textId="71907421" w:rsidR="00FA3166" w:rsidRDefault="00FA3166" w:rsidP="00FA3166">
      <w:pPr>
        <w:spacing w:after="0" w:line="240" w:lineRule="auto"/>
        <w:ind w:left="720" w:hanging="720"/>
        <w:jc w:val="both"/>
        <w:rPr>
          <w:rFonts w:ascii="Arial" w:hAnsi="Arial" w:cs="Arial"/>
          <w:sz w:val="20"/>
          <w:szCs w:val="20"/>
          <w:shd w:val="clear" w:color="auto" w:fill="FFFFFF"/>
        </w:rPr>
      </w:pPr>
      <w:proofErr w:type="spellStart"/>
      <w:r w:rsidRPr="00FA3166">
        <w:rPr>
          <w:rFonts w:ascii="Arial" w:hAnsi="Arial" w:cs="Arial"/>
          <w:sz w:val="20"/>
          <w:szCs w:val="20"/>
          <w:shd w:val="clear" w:color="auto" w:fill="FFFFFF"/>
        </w:rPr>
        <w:t>Pampanna</w:t>
      </w:r>
      <w:proofErr w:type="spellEnd"/>
      <w:r w:rsidRPr="00FA3166">
        <w:rPr>
          <w:rFonts w:ascii="Arial" w:hAnsi="Arial" w:cs="Arial"/>
          <w:sz w:val="20"/>
          <w:szCs w:val="20"/>
          <w:shd w:val="clear" w:color="auto" w:fill="FFFFFF"/>
        </w:rPr>
        <w:t xml:space="preserve">, Y. &amp; </w:t>
      </w:r>
      <w:proofErr w:type="spellStart"/>
      <w:r w:rsidRPr="00FA3166">
        <w:rPr>
          <w:rFonts w:ascii="Arial" w:hAnsi="Arial" w:cs="Arial"/>
          <w:sz w:val="20"/>
          <w:szCs w:val="20"/>
          <w:shd w:val="clear" w:color="auto" w:fill="FFFFFF"/>
        </w:rPr>
        <w:t>Sulikeri</w:t>
      </w:r>
      <w:proofErr w:type="spellEnd"/>
      <w:r w:rsidRPr="00FA3166">
        <w:rPr>
          <w:rFonts w:ascii="Arial" w:hAnsi="Arial" w:cs="Arial"/>
          <w:sz w:val="20"/>
          <w:szCs w:val="20"/>
          <w:shd w:val="clear" w:color="auto" w:fill="FFFFFF"/>
        </w:rPr>
        <w:t xml:space="preserve">, G. S., (2001). Effect of growth regulators on seed germination and seedling growth of sapota. </w:t>
      </w:r>
      <w:r w:rsidRPr="00FA3166">
        <w:rPr>
          <w:rFonts w:ascii="Arial" w:hAnsi="Arial" w:cs="Arial"/>
          <w:i/>
          <w:iCs/>
          <w:sz w:val="20"/>
          <w:szCs w:val="20"/>
          <w:shd w:val="clear" w:color="auto" w:fill="FFFFFF"/>
        </w:rPr>
        <w:t>Karnataka Journal of Agricultural Sciences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14</w:t>
      </w:r>
      <w:r w:rsidRPr="00FA3166">
        <w:rPr>
          <w:rFonts w:ascii="Arial" w:hAnsi="Arial" w:cs="Arial"/>
          <w:sz w:val="20"/>
          <w:szCs w:val="20"/>
          <w:shd w:val="clear" w:color="auto" w:fill="FFFFFF"/>
        </w:rPr>
        <w:t>(4): 1030-1036.</w:t>
      </w:r>
    </w:p>
    <w:p w14:paraId="0F76D035"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1BE0F70B" w14:textId="7777777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Panse, V. G. &amp; </w:t>
      </w:r>
      <w:proofErr w:type="spellStart"/>
      <w:r w:rsidRPr="00FA3166">
        <w:rPr>
          <w:rFonts w:ascii="Arial" w:hAnsi="Arial" w:cs="Arial"/>
          <w:sz w:val="20"/>
          <w:szCs w:val="20"/>
          <w:shd w:val="clear" w:color="auto" w:fill="FFFFFF"/>
        </w:rPr>
        <w:t>Sukhatme</w:t>
      </w:r>
      <w:proofErr w:type="spellEnd"/>
      <w:r w:rsidRPr="00FA3166">
        <w:rPr>
          <w:rFonts w:ascii="Arial" w:hAnsi="Arial" w:cs="Arial"/>
          <w:sz w:val="20"/>
          <w:szCs w:val="20"/>
          <w:shd w:val="clear" w:color="auto" w:fill="FFFFFF"/>
        </w:rPr>
        <w:t>, P. V., (1985). Statistical methods for agricultural workers. Indian Council of Agricultural Research, New Delhi.</w:t>
      </w:r>
    </w:p>
    <w:p w14:paraId="0F6C2981"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0721CA4" w14:textId="77409FC9"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lastRenderedPageBreak/>
        <w:t xml:space="preserve">Patil, H., Tank, R. V., Bennurmath, P. &amp; </w:t>
      </w:r>
      <w:proofErr w:type="spellStart"/>
      <w:r w:rsidRPr="00FA3166">
        <w:rPr>
          <w:rFonts w:ascii="Arial" w:hAnsi="Arial" w:cs="Arial"/>
          <w:sz w:val="20"/>
          <w:szCs w:val="20"/>
          <w:shd w:val="clear" w:color="auto" w:fill="FFFFFF"/>
        </w:rPr>
        <w:t>Gotur</w:t>
      </w:r>
      <w:proofErr w:type="spellEnd"/>
      <w:r w:rsidRPr="00FA3166">
        <w:rPr>
          <w:rFonts w:ascii="Arial" w:hAnsi="Arial" w:cs="Arial"/>
          <w:sz w:val="20"/>
          <w:szCs w:val="20"/>
          <w:shd w:val="clear" w:color="auto" w:fill="FFFFFF"/>
        </w:rPr>
        <w:t>, M., (2018). Effect of seed treatment and foliar spray of chemical substances on seedling growth of jamun (</w:t>
      </w:r>
      <w:proofErr w:type="spellStart"/>
      <w:r w:rsidRPr="00FA3166">
        <w:rPr>
          <w:rFonts w:ascii="Arial" w:hAnsi="Arial" w:cs="Arial"/>
          <w:i/>
          <w:iCs/>
          <w:sz w:val="20"/>
          <w:szCs w:val="20"/>
          <w:shd w:val="clear" w:color="auto" w:fill="FFFFFF"/>
        </w:rPr>
        <w:t>Syzygium</w:t>
      </w:r>
      <w:proofErr w:type="spellEnd"/>
      <w:r w:rsidRPr="00FA3166">
        <w:rPr>
          <w:rFonts w:ascii="Arial" w:hAnsi="Arial" w:cs="Arial"/>
          <w:i/>
          <w:iCs/>
          <w:sz w:val="20"/>
          <w:szCs w:val="20"/>
          <w:shd w:val="clear" w:color="auto" w:fill="FFFFFF"/>
        </w:rPr>
        <w:t xml:space="preserve"> </w:t>
      </w:r>
      <w:proofErr w:type="spellStart"/>
      <w:r w:rsidRPr="00FA3166">
        <w:rPr>
          <w:rFonts w:ascii="Arial" w:hAnsi="Arial" w:cs="Arial"/>
          <w:i/>
          <w:iCs/>
          <w:sz w:val="20"/>
          <w:szCs w:val="20"/>
          <w:shd w:val="clear" w:color="auto" w:fill="FFFFFF"/>
        </w:rPr>
        <w:t>cumini</w:t>
      </w:r>
      <w:proofErr w:type="spellEnd"/>
      <w:r w:rsidRPr="00FA3166">
        <w:rPr>
          <w:rFonts w:ascii="Arial" w:hAnsi="Arial" w:cs="Arial"/>
          <w:sz w:val="20"/>
          <w:szCs w:val="20"/>
          <w:shd w:val="clear" w:color="auto" w:fill="FFFFFF"/>
        </w:rPr>
        <w:t xml:space="preserve"> L.). </w:t>
      </w:r>
      <w:r w:rsidRPr="00FA3166">
        <w:rPr>
          <w:rFonts w:ascii="Arial" w:hAnsi="Arial" w:cs="Arial"/>
          <w:i/>
          <w:iCs/>
          <w:sz w:val="20"/>
          <w:szCs w:val="20"/>
          <w:shd w:val="clear" w:color="auto" w:fill="FFFFFF"/>
        </w:rPr>
        <w:t>International Journal of Chemical Studies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5</w:t>
      </w:r>
      <w:r w:rsidRPr="00FA3166">
        <w:rPr>
          <w:rFonts w:ascii="Arial" w:hAnsi="Arial" w:cs="Arial"/>
          <w:sz w:val="20"/>
          <w:szCs w:val="20"/>
          <w:shd w:val="clear" w:color="auto" w:fill="FFFFFF"/>
        </w:rPr>
        <w:t>(5): 1676-1680.</w:t>
      </w:r>
    </w:p>
    <w:p w14:paraId="43D337A4"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54C18988" w14:textId="56E428C3"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Patil, S. R., </w:t>
      </w:r>
      <w:proofErr w:type="spellStart"/>
      <w:r w:rsidRPr="00FA3166">
        <w:rPr>
          <w:rFonts w:ascii="Arial" w:hAnsi="Arial" w:cs="Arial"/>
          <w:sz w:val="20"/>
          <w:szCs w:val="20"/>
          <w:shd w:val="clear" w:color="auto" w:fill="FFFFFF"/>
        </w:rPr>
        <w:t>Sonkamble</w:t>
      </w:r>
      <w:proofErr w:type="spellEnd"/>
      <w:r w:rsidRPr="00FA3166">
        <w:rPr>
          <w:rFonts w:ascii="Arial" w:hAnsi="Arial" w:cs="Arial"/>
          <w:sz w:val="20"/>
          <w:szCs w:val="20"/>
          <w:shd w:val="clear" w:color="auto" w:fill="FFFFFF"/>
        </w:rPr>
        <w:t xml:space="preserve">, A. M. &amp; </w:t>
      </w:r>
      <w:proofErr w:type="spellStart"/>
      <w:r w:rsidRPr="00FA3166">
        <w:rPr>
          <w:rFonts w:ascii="Arial" w:hAnsi="Arial" w:cs="Arial"/>
          <w:sz w:val="20"/>
          <w:szCs w:val="20"/>
          <w:shd w:val="clear" w:color="auto" w:fill="FFFFFF"/>
        </w:rPr>
        <w:t>Waskar</w:t>
      </w:r>
      <w:proofErr w:type="spellEnd"/>
      <w:r w:rsidRPr="00FA3166">
        <w:rPr>
          <w:rFonts w:ascii="Arial" w:hAnsi="Arial" w:cs="Arial"/>
          <w:sz w:val="20"/>
          <w:szCs w:val="20"/>
          <w:shd w:val="clear" w:color="auto" w:fill="FFFFFF"/>
        </w:rPr>
        <w:t xml:space="preserve">, D. P., (2012). Effect of growth regulators and chemicals on germination and seedling growth of Rangpur lime under laboratory conditions. </w:t>
      </w:r>
      <w:r w:rsidRPr="00FA3166">
        <w:rPr>
          <w:rFonts w:ascii="Arial" w:hAnsi="Arial" w:cs="Arial"/>
          <w:i/>
          <w:iCs/>
          <w:sz w:val="20"/>
          <w:szCs w:val="20"/>
          <w:shd w:val="clear" w:color="auto" w:fill="FFFFFF"/>
        </w:rPr>
        <w:t>International Journal of Agricultural Sciences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8</w:t>
      </w:r>
      <w:r w:rsidRPr="00FA3166">
        <w:rPr>
          <w:rFonts w:ascii="Arial" w:hAnsi="Arial" w:cs="Arial"/>
          <w:sz w:val="20"/>
          <w:szCs w:val="20"/>
          <w:shd w:val="clear" w:color="auto" w:fill="FFFFFF"/>
        </w:rPr>
        <w:t>(2): 494-497.</w:t>
      </w:r>
    </w:p>
    <w:p w14:paraId="3E12B107"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1FC60AF6" w14:textId="3DA3D5E8" w:rsidR="00FA3166" w:rsidRDefault="00FA3166" w:rsidP="00FA3166">
      <w:pPr>
        <w:spacing w:after="0" w:line="240" w:lineRule="auto"/>
        <w:ind w:left="720" w:hanging="720"/>
        <w:jc w:val="both"/>
        <w:rPr>
          <w:rFonts w:ascii="Arial" w:hAnsi="Arial" w:cs="Arial"/>
          <w:sz w:val="20"/>
          <w:szCs w:val="20"/>
          <w:shd w:val="clear" w:color="auto" w:fill="FFFFFF"/>
        </w:rPr>
      </w:pPr>
      <w:proofErr w:type="spellStart"/>
      <w:r w:rsidRPr="00FA3166">
        <w:rPr>
          <w:rFonts w:ascii="Arial" w:hAnsi="Arial" w:cs="Arial"/>
          <w:sz w:val="20"/>
          <w:szCs w:val="20"/>
          <w:shd w:val="clear" w:color="auto" w:fill="FFFFFF"/>
        </w:rPr>
        <w:t>Pedreschi</w:t>
      </w:r>
      <w:proofErr w:type="spellEnd"/>
      <w:r w:rsidRPr="00FA3166">
        <w:rPr>
          <w:rFonts w:ascii="Arial" w:hAnsi="Arial" w:cs="Arial"/>
          <w:sz w:val="20"/>
          <w:szCs w:val="20"/>
          <w:shd w:val="clear" w:color="auto" w:fill="FFFFFF"/>
        </w:rPr>
        <w:t xml:space="preserve">, R., Hollak, S., Harkema, H., </w:t>
      </w:r>
      <w:proofErr w:type="spellStart"/>
      <w:r w:rsidRPr="00FA3166">
        <w:rPr>
          <w:rFonts w:ascii="Arial" w:hAnsi="Arial" w:cs="Arial"/>
          <w:sz w:val="20"/>
          <w:szCs w:val="20"/>
          <w:shd w:val="clear" w:color="auto" w:fill="FFFFFF"/>
        </w:rPr>
        <w:t>Otma</w:t>
      </w:r>
      <w:proofErr w:type="spellEnd"/>
      <w:r w:rsidRPr="00FA3166">
        <w:rPr>
          <w:rFonts w:ascii="Arial" w:hAnsi="Arial" w:cs="Arial"/>
          <w:sz w:val="20"/>
          <w:szCs w:val="20"/>
          <w:shd w:val="clear" w:color="auto" w:fill="FFFFFF"/>
        </w:rPr>
        <w:t xml:space="preserve">, E., Robledo, P., Westra, E., </w:t>
      </w:r>
      <w:proofErr w:type="spellStart"/>
      <w:r w:rsidRPr="00FA3166">
        <w:rPr>
          <w:rFonts w:ascii="Arial" w:hAnsi="Arial" w:cs="Arial"/>
          <w:sz w:val="20"/>
          <w:szCs w:val="20"/>
          <w:shd w:val="clear" w:color="auto" w:fill="FFFFFF"/>
        </w:rPr>
        <w:t>Somhorst</w:t>
      </w:r>
      <w:proofErr w:type="spellEnd"/>
      <w:r w:rsidRPr="00FA3166">
        <w:rPr>
          <w:rFonts w:ascii="Arial" w:hAnsi="Arial" w:cs="Arial"/>
          <w:sz w:val="20"/>
          <w:szCs w:val="20"/>
          <w:shd w:val="clear" w:color="auto" w:fill="FFFFFF"/>
        </w:rPr>
        <w:t xml:space="preserve">, D., Ferreyra, R. &amp; Defilippi, B. G., (2016). Impact of postharvest ripening strategies on 'Hass' avocado fatty acid profiles. </w:t>
      </w:r>
      <w:r w:rsidRPr="00FA3166">
        <w:rPr>
          <w:rFonts w:ascii="Arial" w:hAnsi="Arial" w:cs="Arial"/>
          <w:i/>
          <w:iCs/>
          <w:sz w:val="20"/>
          <w:szCs w:val="20"/>
          <w:shd w:val="clear" w:color="auto" w:fill="FFFFFF"/>
        </w:rPr>
        <w:t>South African Journal of Botany</w:t>
      </w:r>
      <w:r w:rsidR="00252FE7" w:rsidRP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103</w:t>
      </w:r>
      <w:r w:rsidRPr="00FA3166">
        <w:rPr>
          <w:rFonts w:ascii="Arial" w:hAnsi="Arial" w:cs="Arial"/>
          <w:sz w:val="20"/>
          <w:szCs w:val="20"/>
          <w:shd w:val="clear" w:color="auto" w:fill="FFFFFF"/>
        </w:rPr>
        <w:t>: 32-35.</w:t>
      </w:r>
    </w:p>
    <w:p w14:paraId="17C2C6FC"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0B9F5012" w14:textId="4F6214B4"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Rai, R., Samir, M., Srivastava, R. &amp; Uniyal, S., (2018). Improving seed germination and seedling traits by pre-sowing treatments in </w:t>
      </w:r>
      <w:proofErr w:type="spellStart"/>
      <w:r w:rsidRPr="00FA3166">
        <w:rPr>
          <w:rFonts w:ascii="Arial" w:hAnsi="Arial" w:cs="Arial"/>
          <w:sz w:val="20"/>
          <w:szCs w:val="20"/>
          <w:shd w:val="clear" w:color="auto" w:fill="FFFFFF"/>
        </w:rPr>
        <w:t>Khirni</w:t>
      </w:r>
      <w:proofErr w:type="spellEnd"/>
      <w:r w:rsidRPr="00FA3166">
        <w:rPr>
          <w:rFonts w:ascii="Arial" w:hAnsi="Arial" w:cs="Arial"/>
          <w:sz w:val="20"/>
          <w:szCs w:val="20"/>
          <w:shd w:val="clear" w:color="auto" w:fill="FFFFFF"/>
        </w:rPr>
        <w:t xml:space="preserve"> (</w:t>
      </w:r>
      <w:proofErr w:type="spellStart"/>
      <w:r w:rsidRPr="00FA3166">
        <w:rPr>
          <w:rFonts w:ascii="Arial" w:hAnsi="Arial" w:cs="Arial"/>
          <w:i/>
          <w:iCs/>
          <w:sz w:val="20"/>
          <w:szCs w:val="20"/>
          <w:shd w:val="clear" w:color="auto" w:fill="FFFFFF"/>
        </w:rPr>
        <w:t>Manilkara</w:t>
      </w:r>
      <w:proofErr w:type="spellEnd"/>
      <w:r w:rsidRPr="00FA3166">
        <w:rPr>
          <w:rFonts w:ascii="Arial" w:hAnsi="Arial" w:cs="Arial"/>
          <w:i/>
          <w:iCs/>
          <w:sz w:val="20"/>
          <w:szCs w:val="20"/>
          <w:shd w:val="clear" w:color="auto" w:fill="FFFFFF"/>
        </w:rPr>
        <w:t xml:space="preserve"> </w:t>
      </w:r>
      <w:proofErr w:type="spellStart"/>
      <w:r w:rsidRPr="00FA3166">
        <w:rPr>
          <w:rFonts w:ascii="Arial" w:hAnsi="Arial" w:cs="Arial"/>
          <w:i/>
          <w:iCs/>
          <w:sz w:val="20"/>
          <w:szCs w:val="20"/>
          <w:shd w:val="clear" w:color="auto" w:fill="FFFFFF"/>
        </w:rPr>
        <w:t>hexandra</w:t>
      </w:r>
      <w:proofErr w:type="spellEnd"/>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Bulletin of Environment,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Pharmacology and Life Sciences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7</w:t>
      </w:r>
      <w:r w:rsidRPr="00FA3166">
        <w:rPr>
          <w:rFonts w:ascii="Arial" w:hAnsi="Arial" w:cs="Arial"/>
          <w:sz w:val="20"/>
          <w:szCs w:val="20"/>
          <w:shd w:val="clear" w:color="auto" w:fill="FFFFFF"/>
        </w:rPr>
        <w:t>: 77-81.</w:t>
      </w:r>
    </w:p>
    <w:p w14:paraId="27A9EE8B"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79CF67B3" w14:textId="0BEF953D"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Rainey, C., Affleck, M., Bretschger, K. &amp; Alfin-Slater, R. B., (1994). The California avocado: a new look. </w:t>
      </w:r>
      <w:r w:rsidRPr="00FA3166">
        <w:rPr>
          <w:rFonts w:ascii="Arial" w:hAnsi="Arial" w:cs="Arial"/>
          <w:i/>
          <w:iCs/>
          <w:sz w:val="20"/>
          <w:szCs w:val="20"/>
          <w:shd w:val="clear" w:color="auto" w:fill="FFFFFF"/>
        </w:rPr>
        <w:t>Nutrition Today</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29</w:t>
      </w:r>
      <w:r w:rsidRPr="00FA3166">
        <w:rPr>
          <w:rFonts w:ascii="Arial" w:hAnsi="Arial" w:cs="Arial"/>
          <w:sz w:val="20"/>
          <w:szCs w:val="20"/>
          <w:shd w:val="clear" w:color="auto" w:fill="FFFFFF"/>
        </w:rPr>
        <w:t>(3): 23-27.</w:t>
      </w:r>
    </w:p>
    <w:p w14:paraId="1FA81BCC"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4CA41D4" w14:textId="1901DA93"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Reshma, U. R. &amp; Simi, S., (2019). Effect of pre-sowing treatments, sowing positions and age of stones after extraction on germination of mango. </w:t>
      </w:r>
      <w:r w:rsidRPr="00FA3166">
        <w:rPr>
          <w:rFonts w:ascii="Arial" w:hAnsi="Arial" w:cs="Arial"/>
          <w:i/>
          <w:iCs/>
          <w:sz w:val="20"/>
          <w:szCs w:val="20"/>
          <w:shd w:val="clear" w:color="auto" w:fill="FFFFFF"/>
        </w:rPr>
        <w:t>International Journal of Current Microbiology and Applied Sciences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8</w:t>
      </w:r>
      <w:r w:rsidRPr="00FA3166">
        <w:rPr>
          <w:rFonts w:ascii="Arial" w:hAnsi="Arial" w:cs="Arial"/>
          <w:sz w:val="20"/>
          <w:szCs w:val="20"/>
          <w:shd w:val="clear" w:color="auto" w:fill="FFFFFF"/>
        </w:rPr>
        <w:t>(4): 2565-2573.</w:t>
      </w:r>
    </w:p>
    <w:p w14:paraId="58AB9848"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7E4C28F8" w14:textId="47706296"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Sauls, J. W. &amp; Cambell, C. W., (1980). Avocado seed germination studies. </w:t>
      </w:r>
      <w:r w:rsidRPr="00FA3166">
        <w:rPr>
          <w:rFonts w:ascii="Arial" w:hAnsi="Arial" w:cs="Arial"/>
          <w:i/>
          <w:iCs/>
          <w:sz w:val="20"/>
          <w:szCs w:val="20"/>
          <w:shd w:val="clear" w:color="auto" w:fill="FFFFFF"/>
        </w:rPr>
        <w:t>Florida State Horticultural Science</w:t>
      </w:r>
      <w:r w:rsidR="00252FE7" w:rsidRP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93</w:t>
      </w:r>
      <w:r w:rsidRPr="00FA3166">
        <w:rPr>
          <w:rFonts w:ascii="Arial" w:hAnsi="Arial" w:cs="Arial"/>
          <w:sz w:val="20"/>
          <w:szCs w:val="20"/>
          <w:shd w:val="clear" w:color="auto" w:fill="FFFFFF"/>
        </w:rPr>
        <w:t>: 153-154.</w:t>
      </w:r>
    </w:p>
    <w:p w14:paraId="05E263AE"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4ACCB2D2" w14:textId="7777777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Schaffer, B. A., Wolstenholme, B. N. &amp; Whiley, A. W., (2013). The avocado: botany, production and uses (2nd Ed.). CABI.</w:t>
      </w:r>
    </w:p>
    <w:p w14:paraId="2B3E13B0"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9F4FE87" w14:textId="77777777"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Senior, N., (2018). Communicating the nutrition and health benefits of avocados. </w:t>
      </w:r>
      <w:r w:rsidRPr="00FA3166">
        <w:rPr>
          <w:rFonts w:ascii="Arial" w:hAnsi="Arial" w:cs="Arial"/>
          <w:i/>
          <w:iCs/>
          <w:sz w:val="20"/>
          <w:szCs w:val="20"/>
          <w:shd w:val="clear" w:color="auto" w:fill="FFFFFF"/>
        </w:rPr>
        <w:t>Hort Innovation</w:t>
      </w:r>
      <w:r w:rsidRPr="00FA3166">
        <w:rPr>
          <w:rFonts w:ascii="Arial" w:hAnsi="Arial" w:cs="Arial"/>
          <w:sz w:val="20"/>
          <w:szCs w:val="20"/>
          <w:shd w:val="clear" w:color="auto" w:fill="FFFFFF"/>
        </w:rPr>
        <w:t>, pp. 8.</w:t>
      </w:r>
    </w:p>
    <w:p w14:paraId="3F878542"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36D54B86" w14:textId="77777777" w:rsidR="00FA3166" w:rsidRDefault="00FA3166" w:rsidP="00FA3166">
      <w:pPr>
        <w:spacing w:after="0" w:line="240" w:lineRule="auto"/>
        <w:ind w:left="720" w:hanging="720"/>
        <w:jc w:val="both"/>
        <w:rPr>
          <w:rFonts w:ascii="Arial" w:hAnsi="Arial" w:cs="Arial"/>
          <w:sz w:val="20"/>
          <w:szCs w:val="20"/>
          <w:shd w:val="clear" w:color="auto" w:fill="FFFFFF"/>
        </w:rPr>
      </w:pPr>
      <w:proofErr w:type="spellStart"/>
      <w:r w:rsidRPr="00FA3166">
        <w:rPr>
          <w:rFonts w:ascii="Arial" w:hAnsi="Arial" w:cs="Arial"/>
          <w:sz w:val="20"/>
          <w:szCs w:val="20"/>
          <w:shd w:val="clear" w:color="auto" w:fill="FFFFFF"/>
        </w:rPr>
        <w:t>Shafrir</w:t>
      </w:r>
      <w:proofErr w:type="spellEnd"/>
      <w:r w:rsidRPr="00FA3166">
        <w:rPr>
          <w:rFonts w:ascii="Arial" w:hAnsi="Arial" w:cs="Arial"/>
          <w:sz w:val="20"/>
          <w:szCs w:val="20"/>
          <w:shd w:val="clear" w:color="auto" w:fill="FFFFFF"/>
        </w:rPr>
        <w:t xml:space="preserve">, M., (1970). The effect of gibberellin on germination promotion and grafting of avocado. </w:t>
      </w:r>
      <w:r w:rsidRPr="00FA3166">
        <w:rPr>
          <w:rFonts w:ascii="Arial" w:hAnsi="Arial" w:cs="Arial"/>
          <w:i/>
          <w:iCs/>
          <w:sz w:val="20"/>
          <w:szCs w:val="20"/>
          <w:shd w:val="clear" w:color="auto" w:fill="FFFFFF"/>
        </w:rPr>
        <w:t>Alon Hanotea</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8</w:t>
      </w:r>
      <w:r w:rsidRPr="00FA3166">
        <w:rPr>
          <w:rFonts w:ascii="Arial" w:hAnsi="Arial" w:cs="Arial"/>
          <w:sz w:val="20"/>
          <w:szCs w:val="20"/>
          <w:shd w:val="clear" w:color="auto" w:fill="FFFFFF"/>
        </w:rPr>
        <w:t>: 1-15.</w:t>
      </w:r>
    </w:p>
    <w:p w14:paraId="7C713575"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2FBF1C49" w14:textId="612699C2" w:rsid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Vachhani, K. B., Gohil, J. H., Pandey, R. &amp; Ray, N. R., (2014). Influence of chemicals, PGRs and cow-dung slurry as seed treatment on </w:t>
      </w:r>
      <w:proofErr w:type="spellStart"/>
      <w:r w:rsidRPr="00FA3166">
        <w:rPr>
          <w:rFonts w:ascii="Arial" w:hAnsi="Arial" w:cs="Arial"/>
          <w:sz w:val="20"/>
          <w:szCs w:val="20"/>
          <w:shd w:val="clear" w:color="auto" w:fill="FFFFFF"/>
        </w:rPr>
        <w:t>germiability</w:t>
      </w:r>
      <w:proofErr w:type="spellEnd"/>
      <w:r w:rsidRPr="00FA3166">
        <w:rPr>
          <w:rFonts w:ascii="Arial" w:hAnsi="Arial" w:cs="Arial"/>
          <w:sz w:val="20"/>
          <w:szCs w:val="20"/>
          <w:shd w:val="clear" w:color="auto" w:fill="FFFFFF"/>
        </w:rPr>
        <w:t xml:space="preserve">, growth and development of </w:t>
      </w:r>
      <w:proofErr w:type="spellStart"/>
      <w:r w:rsidRPr="00FA3166">
        <w:rPr>
          <w:rFonts w:ascii="Arial" w:hAnsi="Arial" w:cs="Arial"/>
          <w:sz w:val="20"/>
          <w:szCs w:val="20"/>
          <w:shd w:val="clear" w:color="auto" w:fill="FFFFFF"/>
        </w:rPr>
        <w:t>khirni</w:t>
      </w:r>
      <w:proofErr w:type="spellEnd"/>
      <w:r w:rsidRPr="00FA3166">
        <w:rPr>
          <w:rFonts w:ascii="Arial" w:hAnsi="Arial" w:cs="Arial"/>
          <w:sz w:val="20"/>
          <w:szCs w:val="20"/>
          <w:shd w:val="clear" w:color="auto" w:fill="FFFFFF"/>
        </w:rPr>
        <w:t xml:space="preserve"> (</w:t>
      </w:r>
      <w:proofErr w:type="spellStart"/>
      <w:r w:rsidRPr="00FA3166">
        <w:rPr>
          <w:rFonts w:ascii="Arial" w:hAnsi="Arial" w:cs="Arial"/>
          <w:i/>
          <w:iCs/>
          <w:sz w:val="20"/>
          <w:szCs w:val="20"/>
          <w:shd w:val="clear" w:color="auto" w:fill="FFFFFF"/>
        </w:rPr>
        <w:t>Manilkara</w:t>
      </w:r>
      <w:proofErr w:type="spellEnd"/>
      <w:r w:rsidRPr="00FA3166">
        <w:rPr>
          <w:rFonts w:ascii="Arial" w:hAnsi="Arial" w:cs="Arial"/>
          <w:i/>
          <w:iCs/>
          <w:sz w:val="20"/>
          <w:szCs w:val="20"/>
          <w:shd w:val="clear" w:color="auto" w:fill="FFFFFF"/>
        </w:rPr>
        <w:t xml:space="preserve"> </w:t>
      </w:r>
      <w:proofErr w:type="spellStart"/>
      <w:r w:rsidRPr="00FA3166">
        <w:rPr>
          <w:rFonts w:ascii="Arial" w:hAnsi="Arial" w:cs="Arial"/>
          <w:i/>
          <w:iCs/>
          <w:sz w:val="20"/>
          <w:szCs w:val="20"/>
          <w:shd w:val="clear" w:color="auto" w:fill="FFFFFF"/>
        </w:rPr>
        <w:t>hexandra</w:t>
      </w:r>
      <w:proofErr w:type="spellEnd"/>
      <w:r w:rsidRPr="00FA3166">
        <w:rPr>
          <w:rFonts w:ascii="Arial" w:hAnsi="Arial" w:cs="Arial"/>
          <w:sz w:val="20"/>
          <w:szCs w:val="20"/>
          <w:shd w:val="clear" w:color="auto" w:fill="FFFFFF"/>
        </w:rPr>
        <w:t xml:space="preserve"> </w:t>
      </w:r>
      <w:proofErr w:type="spellStart"/>
      <w:r w:rsidRPr="00FA3166">
        <w:rPr>
          <w:rFonts w:ascii="Arial" w:hAnsi="Arial" w:cs="Arial"/>
          <w:sz w:val="20"/>
          <w:szCs w:val="20"/>
          <w:shd w:val="clear" w:color="auto" w:fill="FFFFFF"/>
        </w:rPr>
        <w:t>Roxb</w:t>
      </w:r>
      <w:proofErr w:type="spellEnd"/>
      <w:r w:rsidRPr="00FA3166">
        <w:rPr>
          <w:rFonts w:ascii="Arial" w:hAnsi="Arial" w:cs="Arial"/>
          <w:sz w:val="20"/>
          <w:szCs w:val="20"/>
          <w:shd w:val="clear" w:color="auto" w:fill="FFFFFF"/>
        </w:rPr>
        <w:t xml:space="preserve">) under net house condition. </w:t>
      </w:r>
      <w:r w:rsidRPr="00FA3166">
        <w:rPr>
          <w:rFonts w:ascii="Arial" w:hAnsi="Arial" w:cs="Arial"/>
          <w:i/>
          <w:iCs/>
          <w:sz w:val="20"/>
          <w:szCs w:val="20"/>
          <w:shd w:val="clear" w:color="auto" w:fill="FFFFFF"/>
        </w:rPr>
        <w:t>Trends in Biosciences</w:t>
      </w:r>
      <w:r w:rsidR="00252FE7">
        <w:rPr>
          <w:rFonts w:ascii="Arial" w:hAnsi="Arial" w:cs="Arial"/>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7</w:t>
      </w:r>
      <w:r w:rsidRPr="00FA3166">
        <w:rPr>
          <w:rFonts w:ascii="Arial" w:hAnsi="Arial" w:cs="Arial"/>
          <w:sz w:val="20"/>
          <w:szCs w:val="20"/>
          <w:shd w:val="clear" w:color="auto" w:fill="FFFFFF"/>
        </w:rPr>
        <w:t>(14): 161-164.</w:t>
      </w:r>
    </w:p>
    <w:p w14:paraId="4EDDD43F" w14:textId="77777777" w:rsidR="00DA01EC" w:rsidRPr="00FA3166" w:rsidRDefault="00DA01EC" w:rsidP="00FA3166">
      <w:pPr>
        <w:spacing w:after="0" w:line="240" w:lineRule="auto"/>
        <w:ind w:left="720" w:hanging="720"/>
        <w:jc w:val="both"/>
        <w:rPr>
          <w:rFonts w:ascii="Arial" w:hAnsi="Arial" w:cs="Arial"/>
          <w:sz w:val="20"/>
          <w:szCs w:val="20"/>
          <w:shd w:val="clear" w:color="auto" w:fill="FFFFFF"/>
        </w:rPr>
      </w:pPr>
    </w:p>
    <w:p w14:paraId="51ACF6BC" w14:textId="2319EA02" w:rsidR="00FA3166" w:rsidRPr="00FA3166" w:rsidRDefault="00FA3166" w:rsidP="00FA3166">
      <w:pPr>
        <w:spacing w:after="0" w:line="240" w:lineRule="auto"/>
        <w:ind w:left="720" w:hanging="720"/>
        <w:jc w:val="both"/>
        <w:rPr>
          <w:rFonts w:ascii="Arial" w:hAnsi="Arial" w:cs="Arial"/>
          <w:sz w:val="20"/>
          <w:szCs w:val="20"/>
          <w:shd w:val="clear" w:color="auto" w:fill="FFFFFF"/>
        </w:rPr>
      </w:pPr>
      <w:r w:rsidRPr="00FA3166">
        <w:rPr>
          <w:rFonts w:ascii="Arial" w:hAnsi="Arial" w:cs="Arial"/>
          <w:sz w:val="20"/>
          <w:szCs w:val="20"/>
          <w:shd w:val="clear" w:color="auto" w:fill="FFFFFF"/>
        </w:rPr>
        <w:t xml:space="preserve">Vasantha, P. T., </w:t>
      </w:r>
      <w:proofErr w:type="spellStart"/>
      <w:r w:rsidRPr="00FA3166">
        <w:rPr>
          <w:rFonts w:ascii="Arial" w:hAnsi="Arial" w:cs="Arial"/>
          <w:sz w:val="20"/>
          <w:szCs w:val="20"/>
          <w:shd w:val="clear" w:color="auto" w:fill="FFFFFF"/>
        </w:rPr>
        <w:t>Vijendrakumar</w:t>
      </w:r>
      <w:proofErr w:type="spellEnd"/>
      <w:r w:rsidRPr="00FA3166">
        <w:rPr>
          <w:rFonts w:ascii="Arial" w:hAnsi="Arial" w:cs="Arial"/>
          <w:sz w:val="20"/>
          <w:szCs w:val="20"/>
          <w:shd w:val="clear" w:color="auto" w:fill="FFFFFF"/>
        </w:rPr>
        <w:t xml:space="preserve">, R. C., Guruprasad, T. R., </w:t>
      </w:r>
      <w:proofErr w:type="spellStart"/>
      <w:r w:rsidRPr="00FA3166">
        <w:rPr>
          <w:rFonts w:ascii="Arial" w:hAnsi="Arial" w:cs="Arial"/>
          <w:sz w:val="20"/>
          <w:szCs w:val="20"/>
          <w:shd w:val="clear" w:color="auto" w:fill="FFFFFF"/>
        </w:rPr>
        <w:t>Mahadevamma</w:t>
      </w:r>
      <w:proofErr w:type="spellEnd"/>
      <w:r w:rsidRPr="00FA3166">
        <w:rPr>
          <w:rFonts w:ascii="Arial" w:hAnsi="Arial" w:cs="Arial"/>
          <w:sz w:val="20"/>
          <w:szCs w:val="20"/>
          <w:shd w:val="clear" w:color="auto" w:fill="FFFFFF"/>
        </w:rPr>
        <w:t>, M. &amp; Santosh, K. V., (2014). Studies on effect of growth regulators and biofertilizers on tamarind (</w:t>
      </w:r>
      <w:r w:rsidRPr="00FA3166">
        <w:rPr>
          <w:rFonts w:ascii="Arial" w:hAnsi="Arial" w:cs="Arial"/>
          <w:i/>
          <w:iCs/>
          <w:sz w:val="20"/>
          <w:szCs w:val="20"/>
          <w:shd w:val="clear" w:color="auto" w:fill="FFFFFF"/>
        </w:rPr>
        <w:t>Tamarindus indica</w:t>
      </w:r>
      <w:r w:rsidRPr="00FA3166">
        <w:rPr>
          <w:rFonts w:ascii="Arial" w:hAnsi="Arial" w:cs="Arial"/>
          <w:sz w:val="20"/>
          <w:szCs w:val="20"/>
          <w:shd w:val="clear" w:color="auto" w:fill="FFFFFF"/>
        </w:rPr>
        <w:t xml:space="preserve"> L.). </w:t>
      </w:r>
      <w:r w:rsidRPr="00FA3166">
        <w:rPr>
          <w:rFonts w:ascii="Arial" w:hAnsi="Arial" w:cs="Arial"/>
          <w:i/>
          <w:iCs/>
          <w:sz w:val="20"/>
          <w:szCs w:val="20"/>
          <w:shd w:val="clear" w:color="auto" w:fill="FFFFFF"/>
        </w:rPr>
        <w:t>Plant Archives</w:t>
      </w:r>
      <w:r w:rsidR="00252FE7" w:rsidRPr="00252FE7">
        <w:rPr>
          <w:rFonts w:ascii="Arial" w:hAnsi="Arial" w:cs="Arial"/>
          <w:i/>
          <w:iCs/>
          <w:sz w:val="20"/>
          <w:szCs w:val="20"/>
          <w:shd w:val="clear" w:color="auto" w:fill="FFFFFF"/>
        </w:rPr>
        <w:t>.</w:t>
      </w:r>
      <w:r w:rsidRPr="00FA3166">
        <w:rPr>
          <w:rFonts w:ascii="Arial" w:hAnsi="Arial" w:cs="Arial"/>
          <w:sz w:val="20"/>
          <w:szCs w:val="20"/>
          <w:shd w:val="clear" w:color="auto" w:fill="FFFFFF"/>
        </w:rPr>
        <w:t xml:space="preserve"> </w:t>
      </w:r>
      <w:r w:rsidRPr="00FA3166">
        <w:rPr>
          <w:rFonts w:ascii="Arial" w:hAnsi="Arial" w:cs="Arial"/>
          <w:i/>
          <w:iCs/>
          <w:sz w:val="20"/>
          <w:szCs w:val="20"/>
          <w:shd w:val="clear" w:color="auto" w:fill="FFFFFF"/>
        </w:rPr>
        <w:t>14</w:t>
      </w:r>
      <w:r w:rsidRPr="00FA3166">
        <w:rPr>
          <w:rFonts w:ascii="Arial" w:hAnsi="Arial" w:cs="Arial"/>
          <w:sz w:val="20"/>
          <w:szCs w:val="20"/>
          <w:shd w:val="clear" w:color="auto" w:fill="FFFFFF"/>
        </w:rPr>
        <w:t>(1): 155-160.</w:t>
      </w:r>
    </w:p>
    <w:p w14:paraId="2D205E0A"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0455ADE9"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49ACDC77"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1F39C8DE"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34DF632D"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2227A530"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16BD3D7A" w14:textId="77777777" w:rsidR="00FA3166" w:rsidRDefault="00FA3166" w:rsidP="00FA3166">
      <w:pPr>
        <w:spacing w:after="0" w:line="240" w:lineRule="auto"/>
        <w:ind w:left="720" w:hanging="720"/>
        <w:jc w:val="both"/>
        <w:rPr>
          <w:rFonts w:ascii="Arial" w:hAnsi="Arial" w:cs="Arial"/>
          <w:sz w:val="20"/>
          <w:szCs w:val="20"/>
          <w:shd w:val="clear" w:color="auto" w:fill="FFFFFF"/>
        </w:rPr>
      </w:pPr>
    </w:p>
    <w:p w14:paraId="6D9179C6" w14:textId="77777777" w:rsidR="00FA3166" w:rsidRPr="00FA3166" w:rsidRDefault="00FA3166" w:rsidP="00FA3166">
      <w:pPr>
        <w:spacing w:after="0" w:line="240" w:lineRule="auto"/>
        <w:jc w:val="both"/>
        <w:rPr>
          <w:rFonts w:ascii="Arial" w:hAnsi="Arial" w:cs="Arial"/>
          <w:sz w:val="20"/>
          <w:szCs w:val="20"/>
          <w:shd w:val="clear" w:color="auto" w:fill="FFFFFF"/>
        </w:rPr>
      </w:pPr>
    </w:p>
    <w:p w14:paraId="3515A2E5" w14:textId="77777777" w:rsidR="00862B11" w:rsidRPr="00FA3166" w:rsidRDefault="00862B11" w:rsidP="002D0EA6">
      <w:pPr>
        <w:tabs>
          <w:tab w:val="left" w:pos="1227"/>
        </w:tabs>
        <w:spacing w:line="240" w:lineRule="auto"/>
        <w:jc w:val="both"/>
        <w:rPr>
          <w:rFonts w:ascii="Arial" w:hAnsi="Arial" w:cs="Arial"/>
          <w:b/>
          <w:bCs/>
          <w:sz w:val="20"/>
          <w:szCs w:val="20"/>
          <w:lang w:val="en-US"/>
        </w:rPr>
      </w:pPr>
    </w:p>
    <w:sectPr w:rsidR="00862B11" w:rsidRPr="00FA3166" w:rsidSect="003A2C2C">
      <w:headerReference w:type="even" r:id="rId8"/>
      <w:headerReference w:type="default" r:id="rId9"/>
      <w:footerReference w:type="even" r:id="rId10"/>
      <w:footerReference w:type="default" r:id="rId11"/>
      <w:headerReference w:type="first" r:id="rId12"/>
      <w:footerReference w:type="first" r:id="rId13"/>
      <w:pgSz w:w="11906" w:h="16838" w:code="9"/>
      <w:pgMar w:top="1135"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5A548" w14:textId="77777777" w:rsidR="007E0C1D" w:rsidRDefault="007E0C1D" w:rsidP="003A2C2C">
      <w:pPr>
        <w:spacing w:after="0" w:line="240" w:lineRule="auto"/>
      </w:pPr>
      <w:r>
        <w:separator/>
      </w:r>
    </w:p>
  </w:endnote>
  <w:endnote w:type="continuationSeparator" w:id="0">
    <w:p w14:paraId="21DC628E" w14:textId="77777777" w:rsidR="007E0C1D" w:rsidRDefault="007E0C1D" w:rsidP="003A2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E21FE" w14:textId="77777777" w:rsidR="00212CBA" w:rsidRDefault="00212C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10ACD" w14:textId="77777777" w:rsidR="00212CBA" w:rsidRDefault="00212C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E1C2" w14:textId="77777777" w:rsidR="00212CBA" w:rsidRDefault="00212C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C4D14" w14:textId="77777777" w:rsidR="007E0C1D" w:rsidRDefault="007E0C1D" w:rsidP="003A2C2C">
      <w:pPr>
        <w:spacing w:after="0" w:line="240" w:lineRule="auto"/>
      </w:pPr>
      <w:r>
        <w:separator/>
      </w:r>
    </w:p>
  </w:footnote>
  <w:footnote w:type="continuationSeparator" w:id="0">
    <w:p w14:paraId="3738044E" w14:textId="77777777" w:rsidR="007E0C1D" w:rsidRDefault="007E0C1D" w:rsidP="003A2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82953" w14:textId="20EFEB0C" w:rsidR="00212CBA" w:rsidRDefault="00212CBA">
    <w:pPr>
      <w:pStyle w:val="Header"/>
    </w:pPr>
    <w:r>
      <w:rPr>
        <w:noProof/>
      </w:rPr>
      <w:pict w14:anchorId="6321C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05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90B3" w14:textId="31558B43" w:rsidR="00212CBA" w:rsidRDefault="00212CBA">
    <w:pPr>
      <w:pStyle w:val="Header"/>
    </w:pPr>
    <w:r>
      <w:rPr>
        <w:noProof/>
      </w:rPr>
      <w:pict w14:anchorId="0735A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05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F52C" w14:textId="29ECEE40" w:rsidR="00212CBA" w:rsidRDefault="00212CBA">
    <w:pPr>
      <w:pStyle w:val="Header"/>
    </w:pPr>
    <w:r>
      <w:rPr>
        <w:noProof/>
      </w:rPr>
      <w:pict w14:anchorId="5EB03B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905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5104"/>
    <w:multiLevelType w:val="hybridMultilevel"/>
    <w:tmpl w:val="897A8E64"/>
    <w:lvl w:ilvl="0" w:tplc="4009000F">
      <w:start w:val="1"/>
      <w:numFmt w:val="decimal"/>
      <w:lvlText w:val="%1."/>
      <w:lvlJc w:val="left"/>
      <w:pPr>
        <w:ind w:left="1146" w:hanging="360"/>
      </w:p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 w15:restartNumberingAfterBreak="0">
    <w:nsid w:val="0966428B"/>
    <w:multiLevelType w:val="multilevel"/>
    <w:tmpl w:val="2A6E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2B1332"/>
    <w:multiLevelType w:val="multilevel"/>
    <w:tmpl w:val="15D05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091706"/>
    <w:multiLevelType w:val="hybridMultilevel"/>
    <w:tmpl w:val="79041B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F6C4876"/>
    <w:multiLevelType w:val="multilevel"/>
    <w:tmpl w:val="B0EE27C4"/>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11C16DB"/>
    <w:multiLevelType w:val="multilevel"/>
    <w:tmpl w:val="98789820"/>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0450"/>
    <w:rsid w:val="00016B85"/>
    <w:rsid w:val="00040EBB"/>
    <w:rsid w:val="00063DAC"/>
    <w:rsid w:val="000839B0"/>
    <w:rsid w:val="000A035F"/>
    <w:rsid w:val="000B3F69"/>
    <w:rsid w:val="000C694C"/>
    <w:rsid w:val="000C73C5"/>
    <w:rsid w:val="000D7292"/>
    <w:rsid w:val="000E457A"/>
    <w:rsid w:val="000F3C2B"/>
    <w:rsid w:val="00122115"/>
    <w:rsid w:val="001261F3"/>
    <w:rsid w:val="001362A3"/>
    <w:rsid w:val="0017381C"/>
    <w:rsid w:val="00192662"/>
    <w:rsid w:val="001D767C"/>
    <w:rsid w:val="00211F3B"/>
    <w:rsid w:val="00212CBA"/>
    <w:rsid w:val="002248D1"/>
    <w:rsid w:val="00234962"/>
    <w:rsid w:val="00252FE7"/>
    <w:rsid w:val="002546A4"/>
    <w:rsid w:val="002556CE"/>
    <w:rsid w:val="002576DA"/>
    <w:rsid w:val="002743C3"/>
    <w:rsid w:val="00292CFF"/>
    <w:rsid w:val="002B2B0C"/>
    <w:rsid w:val="002D0EA6"/>
    <w:rsid w:val="002D7C12"/>
    <w:rsid w:val="002E47DE"/>
    <w:rsid w:val="0034191A"/>
    <w:rsid w:val="0038331D"/>
    <w:rsid w:val="003A2C2C"/>
    <w:rsid w:val="003E5463"/>
    <w:rsid w:val="003F4029"/>
    <w:rsid w:val="00404387"/>
    <w:rsid w:val="0041403F"/>
    <w:rsid w:val="00437BDC"/>
    <w:rsid w:val="00454C3A"/>
    <w:rsid w:val="00464059"/>
    <w:rsid w:val="00477766"/>
    <w:rsid w:val="004A754E"/>
    <w:rsid w:val="004B7F27"/>
    <w:rsid w:val="004D4873"/>
    <w:rsid w:val="0051797D"/>
    <w:rsid w:val="00526B8D"/>
    <w:rsid w:val="005A0483"/>
    <w:rsid w:val="005A3295"/>
    <w:rsid w:val="005A6F77"/>
    <w:rsid w:val="005C0529"/>
    <w:rsid w:val="005C68FD"/>
    <w:rsid w:val="005F41E3"/>
    <w:rsid w:val="00601F0C"/>
    <w:rsid w:val="006043DB"/>
    <w:rsid w:val="00633CFA"/>
    <w:rsid w:val="0064466F"/>
    <w:rsid w:val="00644AB9"/>
    <w:rsid w:val="00651E93"/>
    <w:rsid w:val="006A17CC"/>
    <w:rsid w:val="006C0ADD"/>
    <w:rsid w:val="006C481C"/>
    <w:rsid w:val="006C4C3B"/>
    <w:rsid w:val="006E72D6"/>
    <w:rsid w:val="00710585"/>
    <w:rsid w:val="00723AD5"/>
    <w:rsid w:val="00724729"/>
    <w:rsid w:val="007376CD"/>
    <w:rsid w:val="007534E4"/>
    <w:rsid w:val="00754890"/>
    <w:rsid w:val="007623AC"/>
    <w:rsid w:val="007663C8"/>
    <w:rsid w:val="00770A2B"/>
    <w:rsid w:val="007766D2"/>
    <w:rsid w:val="00786EB1"/>
    <w:rsid w:val="007914E0"/>
    <w:rsid w:val="007917ED"/>
    <w:rsid w:val="007C0CEB"/>
    <w:rsid w:val="007C3819"/>
    <w:rsid w:val="007C4765"/>
    <w:rsid w:val="007C5A6D"/>
    <w:rsid w:val="007D2F5D"/>
    <w:rsid w:val="007E0C1D"/>
    <w:rsid w:val="007E78E0"/>
    <w:rsid w:val="007F731D"/>
    <w:rsid w:val="00862B11"/>
    <w:rsid w:val="00866E5A"/>
    <w:rsid w:val="00890BF2"/>
    <w:rsid w:val="008963D0"/>
    <w:rsid w:val="008A3EE2"/>
    <w:rsid w:val="008A5F2F"/>
    <w:rsid w:val="008B439C"/>
    <w:rsid w:val="008F3B51"/>
    <w:rsid w:val="009267D1"/>
    <w:rsid w:val="009473CD"/>
    <w:rsid w:val="00954FA6"/>
    <w:rsid w:val="00983873"/>
    <w:rsid w:val="009A536E"/>
    <w:rsid w:val="009C0391"/>
    <w:rsid w:val="009D2DB2"/>
    <w:rsid w:val="009E75A9"/>
    <w:rsid w:val="00A56F6F"/>
    <w:rsid w:val="00A80146"/>
    <w:rsid w:val="00AA1089"/>
    <w:rsid w:val="00AB0736"/>
    <w:rsid w:val="00AC1826"/>
    <w:rsid w:val="00B03F67"/>
    <w:rsid w:val="00B2559E"/>
    <w:rsid w:val="00B31558"/>
    <w:rsid w:val="00B41B3C"/>
    <w:rsid w:val="00B73CEE"/>
    <w:rsid w:val="00B833C2"/>
    <w:rsid w:val="00B872B6"/>
    <w:rsid w:val="00BA5FC2"/>
    <w:rsid w:val="00BE052F"/>
    <w:rsid w:val="00BF02C2"/>
    <w:rsid w:val="00BF2A66"/>
    <w:rsid w:val="00C01C69"/>
    <w:rsid w:val="00C209D2"/>
    <w:rsid w:val="00C225CC"/>
    <w:rsid w:val="00C26CBF"/>
    <w:rsid w:val="00C30EB5"/>
    <w:rsid w:val="00C33691"/>
    <w:rsid w:val="00C5463B"/>
    <w:rsid w:val="00C81CD6"/>
    <w:rsid w:val="00C8794E"/>
    <w:rsid w:val="00C93C9C"/>
    <w:rsid w:val="00CA5439"/>
    <w:rsid w:val="00CA600C"/>
    <w:rsid w:val="00CD2810"/>
    <w:rsid w:val="00CD33DD"/>
    <w:rsid w:val="00CD6C48"/>
    <w:rsid w:val="00D62AAF"/>
    <w:rsid w:val="00D93B34"/>
    <w:rsid w:val="00DA01EC"/>
    <w:rsid w:val="00DA0C34"/>
    <w:rsid w:val="00DA595D"/>
    <w:rsid w:val="00DB6B9C"/>
    <w:rsid w:val="00DC5C99"/>
    <w:rsid w:val="00DD07EF"/>
    <w:rsid w:val="00DE46FA"/>
    <w:rsid w:val="00DF2040"/>
    <w:rsid w:val="00E95C48"/>
    <w:rsid w:val="00EA50CF"/>
    <w:rsid w:val="00EA54EF"/>
    <w:rsid w:val="00ED729D"/>
    <w:rsid w:val="00EF715A"/>
    <w:rsid w:val="00F0056B"/>
    <w:rsid w:val="00F070EB"/>
    <w:rsid w:val="00F37A3E"/>
    <w:rsid w:val="00F4596E"/>
    <w:rsid w:val="00F47449"/>
    <w:rsid w:val="00F768F1"/>
    <w:rsid w:val="00F902F9"/>
    <w:rsid w:val="00FA3166"/>
    <w:rsid w:val="00FC0450"/>
    <w:rsid w:val="00FC2B5E"/>
    <w:rsid w:val="00FC5839"/>
    <w:rsid w:val="00FE1F8B"/>
    <w:rsid w:val="00FE73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4DC905"/>
  <w15:docId w15:val="{100B473E-E596-42BD-87D7-06BAD5415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4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C04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C04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C04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C04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C04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04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04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04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4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C04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C04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C04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C04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C04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04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04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0450"/>
    <w:rPr>
      <w:rFonts w:eastAsiaTheme="majorEastAsia" w:cstheme="majorBidi"/>
      <w:color w:val="272727" w:themeColor="text1" w:themeTint="D8"/>
    </w:rPr>
  </w:style>
  <w:style w:type="paragraph" w:styleId="Title">
    <w:name w:val="Title"/>
    <w:basedOn w:val="Normal"/>
    <w:next w:val="Normal"/>
    <w:link w:val="TitleChar"/>
    <w:uiPriority w:val="10"/>
    <w:qFormat/>
    <w:rsid w:val="00FC04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04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04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04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0450"/>
    <w:pPr>
      <w:spacing w:before="160"/>
      <w:jc w:val="center"/>
    </w:pPr>
    <w:rPr>
      <w:i/>
      <w:iCs/>
      <w:color w:val="404040" w:themeColor="text1" w:themeTint="BF"/>
    </w:rPr>
  </w:style>
  <w:style w:type="character" w:customStyle="1" w:styleId="QuoteChar">
    <w:name w:val="Quote Char"/>
    <w:basedOn w:val="DefaultParagraphFont"/>
    <w:link w:val="Quote"/>
    <w:uiPriority w:val="29"/>
    <w:rsid w:val="00FC0450"/>
    <w:rPr>
      <w:i/>
      <w:iCs/>
      <w:color w:val="404040" w:themeColor="text1" w:themeTint="BF"/>
    </w:rPr>
  </w:style>
  <w:style w:type="paragraph" w:styleId="ListParagraph">
    <w:name w:val="List Paragraph"/>
    <w:basedOn w:val="Normal"/>
    <w:uiPriority w:val="34"/>
    <w:qFormat/>
    <w:rsid w:val="00FC0450"/>
    <w:pPr>
      <w:ind w:left="720"/>
      <w:contextualSpacing/>
    </w:pPr>
  </w:style>
  <w:style w:type="character" w:styleId="IntenseEmphasis">
    <w:name w:val="Intense Emphasis"/>
    <w:basedOn w:val="DefaultParagraphFont"/>
    <w:uiPriority w:val="21"/>
    <w:qFormat/>
    <w:rsid w:val="00FC0450"/>
    <w:rPr>
      <w:i/>
      <w:iCs/>
      <w:color w:val="2F5496" w:themeColor="accent1" w:themeShade="BF"/>
    </w:rPr>
  </w:style>
  <w:style w:type="paragraph" w:styleId="IntenseQuote">
    <w:name w:val="Intense Quote"/>
    <w:basedOn w:val="Normal"/>
    <w:next w:val="Normal"/>
    <w:link w:val="IntenseQuoteChar"/>
    <w:uiPriority w:val="30"/>
    <w:qFormat/>
    <w:rsid w:val="00FC04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C0450"/>
    <w:rPr>
      <w:i/>
      <w:iCs/>
      <w:color w:val="2F5496" w:themeColor="accent1" w:themeShade="BF"/>
    </w:rPr>
  </w:style>
  <w:style w:type="character" w:styleId="IntenseReference">
    <w:name w:val="Intense Reference"/>
    <w:basedOn w:val="DefaultParagraphFont"/>
    <w:uiPriority w:val="32"/>
    <w:qFormat/>
    <w:rsid w:val="00FC0450"/>
    <w:rPr>
      <w:b/>
      <w:bCs/>
      <w:smallCaps/>
      <w:color w:val="2F5496" w:themeColor="accent1" w:themeShade="BF"/>
      <w:spacing w:val="5"/>
    </w:rPr>
  </w:style>
  <w:style w:type="paragraph" w:styleId="BodyText">
    <w:name w:val="Body Text"/>
    <w:basedOn w:val="Normal"/>
    <w:link w:val="BodyTextChar"/>
    <w:uiPriority w:val="1"/>
    <w:qFormat/>
    <w:rsid w:val="002576DA"/>
    <w:pPr>
      <w:widowControl w:val="0"/>
      <w:autoSpaceDE w:val="0"/>
      <w:autoSpaceDN w:val="0"/>
      <w:spacing w:after="0" w:line="240" w:lineRule="auto"/>
    </w:pPr>
    <w:rPr>
      <w:rFonts w:ascii="Times New Roman" w:eastAsia="Times New Roman" w:hAnsi="Times New Roman" w:cs="Times New Roman"/>
      <w:kern w:val="0"/>
      <w:lang w:val="x-none" w:eastAsia="x-none" w:bidi="en-US"/>
      <w14:ligatures w14:val="none"/>
    </w:rPr>
  </w:style>
  <w:style w:type="character" w:customStyle="1" w:styleId="BodyTextChar">
    <w:name w:val="Body Text Char"/>
    <w:basedOn w:val="DefaultParagraphFont"/>
    <w:link w:val="BodyText"/>
    <w:uiPriority w:val="1"/>
    <w:rsid w:val="002576DA"/>
    <w:rPr>
      <w:rFonts w:ascii="Times New Roman" w:eastAsia="Times New Roman" w:hAnsi="Times New Roman" w:cs="Times New Roman"/>
      <w:kern w:val="0"/>
      <w:lang w:val="x-none" w:eastAsia="x-none" w:bidi="en-US"/>
      <w14:ligatures w14:val="none"/>
    </w:rPr>
  </w:style>
  <w:style w:type="paragraph" w:styleId="NoSpacing">
    <w:name w:val="No Spacing"/>
    <w:uiPriority w:val="1"/>
    <w:qFormat/>
    <w:rsid w:val="0034191A"/>
    <w:pPr>
      <w:spacing w:after="0" w:line="240" w:lineRule="auto"/>
    </w:pPr>
    <w:rPr>
      <w:rFonts w:ascii="Calibri" w:eastAsia="Times New Roman" w:hAnsi="Calibri" w:cs="Mangal"/>
      <w:kern w:val="0"/>
      <w:sz w:val="22"/>
      <w:szCs w:val="20"/>
      <w:lang w:eastAsia="en-IN" w:bidi="hi-IN"/>
      <w14:ligatures w14:val="none"/>
    </w:rPr>
  </w:style>
  <w:style w:type="table" w:styleId="TableGrid">
    <w:name w:val="Table Grid"/>
    <w:basedOn w:val="TableNormal"/>
    <w:uiPriority w:val="39"/>
    <w:rsid w:val="000A03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6C0ADD"/>
    <w:rPr>
      <w:b/>
      <w:bCs/>
    </w:rPr>
  </w:style>
  <w:style w:type="character" w:customStyle="1" w:styleId="cit-pub-date">
    <w:name w:val="cit-pub-date"/>
    <w:basedOn w:val="DefaultParagraphFont"/>
    <w:rsid w:val="006C0ADD"/>
  </w:style>
  <w:style w:type="paragraph" w:styleId="NormalWeb">
    <w:name w:val="Normal (Web)"/>
    <w:basedOn w:val="Normal"/>
    <w:uiPriority w:val="99"/>
    <w:semiHidden/>
    <w:unhideWhenUsed/>
    <w:rsid w:val="000E457A"/>
    <w:rPr>
      <w:rFonts w:ascii="Times New Roman" w:hAnsi="Times New Roman" w:cs="Times New Roman"/>
    </w:rPr>
  </w:style>
  <w:style w:type="character" w:customStyle="1" w:styleId="jtitle">
    <w:name w:val="jtitle"/>
    <w:basedOn w:val="DefaultParagraphFont"/>
    <w:rsid w:val="00C01C69"/>
  </w:style>
  <w:style w:type="character" w:styleId="Emphasis">
    <w:name w:val="Emphasis"/>
    <w:uiPriority w:val="20"/>
    <w:qFormat/>
    <w:rsid w:val="00C01C69"/>
    <w:rPr>
      <w:i/>
      <w:iCs/>
    </w:rPr>
  </w:style>
  <w:style w:type="paragraph" w:styleId="Header">
    <w:name w:val="header"/>
    <w:basedOn w:val="Normal"/>
    <w:link w:val="HeaderChar"/>
    <w:uiPriority w:val="99"/>
    <w:unhideWhenUsed/>
    <w:rsid w:val="003A2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C2C"/>
  </w:style>
  <w:style w:type="paragraph" w:styleId="Footer">
    <w:name w:val="footer"/>
    <w:basedOn w:val="Normal"/>
    <w:link w:val="FooterChar"/>
    <w:uiPriority w:val="99"/>
    <w:unhideWhenUsed/>
    <w:rsid w:val="003A2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C2C"/>
  </w:style>
  <w:style w:type="paragraph" w:styleId="BalloonText">
    <w:name w:val="Balloon Text"/>
    <w:basedOn w:val="Normal"/>
    <w:link w:val="BalloonTextChar"/>
    <w:uiPriority w:val="99"/>
    <w:semiHidden/>
    <w:unhideWhenUsed/>
    <w:rsid w:val="00601F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F0C"/>
    <w:rPr>
      <w:rFonts w:ascii="Tahoma" w:hAnsi="Tahoma" w:cs="Tahoma"/>
      <w:sz w:val="16"/>
      <w:szCs w:val="16"/>
    </w:rPr>
  </w:style>
  <w:style w:type="character" w:styleId="Hyperlink">
    <w:name w:val="Hyperlink"/>
    <w:basedOn w:val="DefaultParagraphFont"/>
    <w:uiPriority w:val="99"/>
    <w:unhideWhenUsed/>
    <w:rsid w:val="00754890"/>
    <w:rPr>
      <w:color w:val="0563C1" w:themeColor="hyperlink"/>
      <w:u w:val="single"/>
    </w:rPr>
  </w:style>
  <w:style w:type="character" w:styleId="UnresolvedMention">
    <w:name w:val="Unresolved Mention"/>
    <w:basedOn w:val="DefaultParagraphFont"/>
    <w:uiPriority w:val="99"/>
    <w:semiHidden/>
    <w:unhideWhenUsed/>
    <w:rsid w:val="00754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3276</Words>
  <Characters>18677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Pinks H</dc:creator>
  <cp:lastModifiedBy>SDI 1180</cp:lastModifiedBy>
  <cp:revision>16</cp:revision>
  <dcterms:created xsi:type="dcterms:W3CDTF">2025-10-18T06:42:00Z</dcterms:created>
  <dcterms:modified xsi:type="dcterms:W3CDTF">2025-10-18T12:14:00Z</dcterms:modified>
</cp:coreProperties>
</file>