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E265" w14:textId="0C72B357" w:rsidR="003F11E0" w:rsidRDefault="00EC0E33" w:rsidP="003F11E0">
      <w:pPr>
        <w:pStyle w:val="Title"/>
        <w:jc w:val="center"/>
        <w:rPr>
          <w:rFonts w:ascii="Times New Roman" w:hAnsi="Times New Roman" w:cs="Times New Roman"/>
          <w:b/>
          <w:bCs/>
          <w:color w:val="auto"/>
          <w:sz w:val="24"/>
          <w:szCs w:val="24"/>
        </w:rPr>
      </w:pPr>
      <w:r w:rsidRPr="003F11E0">
        <w:rPr>
          <w:rFonts w:ascii="Times New Roman" w:hAnsi="Times New Roman" w:cs="Times New Roman"/>
          <w:b/>
          <w:bCs/>
          <w:color w:val="auto"/>
          <w:sz w:val="24"/>
          <w:szCs w:val="24"/>
        </w:rPr>
        <w:t>Influence of Seed Priming Techniques on Field Performance and Yield Attributes of Bitter Gourd (</w:t>
      </w:r>
      <w:r w:rsidRPr="003F11E0">
        <w:rPr>
          <w:rFonts w:ascii="Times New Roman" w:hAnsi="Times New Roman" w:cs="Times New Roman"/>
          <w:b/>
          <w:bCs/>
          <w:i/>
          <w:iCs/>
          <w:color w:val="auto"/>
          <w:sz w:val="24"/>
          <w:szCs w:val="24"/>
        </w:rPr>
        <w:t>Momordica charantia</w:t>
      </w:r>
      <w:r w:rsidRPr="003F11E0">
        <w:rPr>
          <w:rFonts w:ascii="Times New Roman" w:hAnsi="Times New Roman" w:cs="Times New Roman"/>
          <w:b/>
          <w:bCs/>
          <w:color w:val="auto"/>
          <w:sz w:val="24"/>
          <w:szCs w:val="24"/>
        </w:rPr>
        <w:t xml:space="preserve"> L.)</w:t>
      </w:r>
    </w:p>
    <w:p w14:paraId="7E4732BF" w14:textId="77777777" w:rsidR="006E7369" w:rsidRDefault="006E7369" w:rsidP="003F11E0">
      <w:pPr>
        <w:pStyle w:val="Heading1"/>
        <w:jc w:val="both"/>
        <w:rPr>
          <w:rFonts w:ascii="Times New Roman" w:hAnsi="Times New Roman" w:cs="Times New Roman"/>
          <w:color w:val="auto"/>
          <w:sz w:val="24"/>
          <w:szCs w:val="24"/>
        </w:rPr>
      </w:pPr>
    </w:p>
    <w:p w14:paraId="0E715082" w14:textId="32944C7D"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Abstract</w:t>
      </w:r>
    </w:p>
    <w:p w14:paraId="2C2A53B0" w14:textId="4D125DF3"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present investigation aimed to evaluate the influence of various seed priming techniques on the field performance of bitter gourd (</w:t>
      </w:r>
      <w:r w:rsidRPr="003F11E0">
        <w:rPr>
          <w:rFonts w:ascii="Times New Roman" w:hAnsi="Times New Roman" w:cs="Times New Roman"/>
          <w:i/>
          <w:iCs/>
          <w:sz w:val="24"/>
          <w:szCs w:val="24"/>
        </w:rPr>
        <w:t>Momordica charantia</w:t>
      </w:r>
      <w:r w:rsidRPr="003F11E0">
        <w:rPr>
          <w:rFonts w:ascii="Times New Roman" w:hAnsi="Times New Roman" w:cs="Times New Roman"/>
          <w:sz w:val="24"/>
          <w:szCs w:val="24"/>
        </w:rPr>
        <w:t xml:space="preserve"> L.) cv. Kahalgaon Local. Due to its hard seed coat, bitter gourd seeds exhibit slow and uneven germination, which negatively affects field establishment. To address this, multiple seed priming techniques</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hydro-priming with distilled water, osmo-priming with PEG, halo-priming with KNO₃, and hormonal priming using GA₃ at different concentrations (500 ppm and 1000 ppm)</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were applied for 12 and 18 hours, with unprimed seeds serving as the control. Among all treatments, hormonal priming with GA₃ at 500 ppm for 18 hours significantly improved the speed of emergence, field emergence index, relative growth rate, seedling vigor, and average fruit yield per plant. The findings suggest that pre-sowing seed treatment with GA₃ @ 500 ppm for 18 hours enhances field performance and yield potential of bitter gourd by promoting early and vigorous seedling growth.</w:t>
      </w:r>
    </w:p>
    <w:p w14:paraId="6ED943DA"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Keywords</w:t>
      </w:r>
    </w:p>
    <w:p w14:paraId="200CF5E3" w14:textId="77777777"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Seed priming, Bitter gourd, Field performance, GA₃, Hydropriming, Osmopriming</w:t>
      </w:r>
    </w:p>
    <w:p w14:paraId="2C41CA53"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1. Introduction</w:t>
      </w:r>
    </w:p>
    <w:p w14:paraId="72FBA937" w14:textId="21B07995"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Bitter gourd (</w:t>
      </w:r>
      <w:r w:rsidRPr="003F11E0">
        <w:rPr>
          <w:rFonts w:ascii="Times New Roman" w:hAnsi="Times New Roman" w:cs="Times New Roman"/>
          <w:i/>
          <w:iCs/>
          <w:sz w:val="24"/>
          <w:szCs w:val="24"/>
        </w:rPr>
        <w:t xml:space="preserve">Momordica </w:t>
      </w:r>
      <w:proofErr w:type="spellStart"/>
      <w:r w:rsidRPr="003F11E0">
        <w:rPr>
          <w:rFonts w:ascii="Times New Roman" w:hAnsi="Times New Roman" w:cs="Times New Roman"/>
          <w:i/>
          <w:iCs/>
          <w:sz w:val="24"/>
          <w:szCs w:val="24"/>
        </w:rPr>
        <w:t>charantia</w:t>
      </w:r>
      <w:proofErr w:type="spellEnd"/>
      <w:r w:rsidRPr="003F11E0">
        <w:rPr>
          <w:rFonts w:ascii="Times New Roman" w:hAnsi="Times New Roman" w:cs="Times New Roman"/>
          <w:sz w:val="24"/>
          <w:szCs w:val="24"/>
        </w:rPr>
        <w:t xml:space="preserve"> L.) is a warm-season cucurbitaceous vegetable valued for its nutritional and medicinal importance, particularly its role in managing diabetes and oxidative stress. The crop is monoecious and widely grown across South and Southeast Asia (Pathak et al., 2014). In India, it occupies approximately 107,000 hectares with a total production of 1.29 million metric tonnes (NHB, 2020), while in Bihar it covers 10,002 hectares producing about 83,444 MT (Anonymous, 2018). Despite its potential, the average productivity in Bihar (8.34 t/ha) remains significantly lower than the national average (12.07 t/ha), largely due to poor seed germination and non-uniform seedling emergence under suboptimal field conditions.</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The major constraint in bitter gourd cultivation is the thick seed coat, which delays water imbibition and inhibits radical emergence. Seed priming</w:t>
      </w:r>
      <w:r w:rsidR="003F11E0">
        <w:rPr>
          <w:rFonts w:ascii="Times New Roman" w:hAnsi="Times New Roman" w:cs="Times New Roman"/>
          <w:sz w:val="24"/>
          <w:szCs w:val="24"/>
        </w:rPr>
        <w:t xml:space="preserve"> - </w:t>
      </w:r>
      <w:r w:rsidRPr="003F11E0">
        <w:rPr>
          <w:rFonts w:ascii="Times New Roman" w:hAnsi="Times New Roman" w:cs="Times New Roman"/>
          <w:sz w:val="24"/>
          <w:szCs w:val="24"/>
        </w:rPr>
        <w:t>a controlled hydration technique that activates metabolic processes necessary for germination without radical protrusion</w:t>
      </w:r>
      <w:r w:rsidR="008B4848">
        <w:rPr>
          <w:rFonts w:ascii="Times New Roman" w:hAnsi="Times New Roman" w:cs="Times New Roman"/>
          <w:sz w:val="24"/>
          <w:szCs w:val="24"/>
        </w:rPr>
        <w:t xml:space="preserve"> - </w:t>
      </w:r>
      <w:r w:rsidRPr="003F11E0">
        <w:rPr>
          <w:rFonts w:ascii="Times New Roman" w:hAnsi="Times New Roman" w:cs="Times New Roman"/>
          <w:sz w:val="24"/>
          <w:szCs w:val="24"/>
        </w:rPr>
        <w:t xml:space="preserve">is a practical solution to enhance germination and seedling establishment (Pandita and Nagarajan, 2004). Various priming methods including hydropriming, osmopriming, halopriming, and hormonal priming are known to improve seedling vigor and uniformity under stress conditions </w:t>
      </w:r>
      <w:r w:rsidRPr="003F11E0">
        <w:rPr>
          <w:rFonts w:ascii="Times New Roman" w:hAnsi="Times New Roman" w:cs="Times New Roman"/>
          <w:sz w:val="24"/>
          <w:szCs w:val="24"/>
        </w:rPr>
        <w:lastRenderedPageBreak/>
        <w:t xml:space="preserve">(Girolamo and </w:t>
      </w:r>
      <w:proofErr w:type="spellStart"/>
      <w:r w:rsidRPr="003F11E0">
        <w:rPr>
          <w:rFonts w:ascii="Times New Roman" w:hAnsi="Times New Roman" w:cs="Times New Roman"/>
          <w:sz w:val="24"/>
          <w:szCs w:val="24"/>
        </w:rPr>
        <w:t>Barbanti</w:t>
      </w:r>
      <w:proofErr w:type="spellEnd"/>
      <w:r w:rsidRPr="003F11E0">
        <w:rPr>
          <w:rFonts w:ascii="Times New Roman" w:hAnsi="Times New Roman" w:cs="Times New Roman"/>
          <w:sz w:val="24"/>
          <w:szCs w:val="24"/>
        </w:rPr>
        <w:t>, 2012). Primed seeds generally exhibit accelerated RNA and protein synthesis, enhanced enzymatic activation, and improved metabolic readiness upon rehydration. This results in better emergence, uniform flowering, and improved yield performance. Therefore, this study was conducted to assess the effect of different seed priming techniques on the germination behavior, growth, and yield of bitter gourd under field conditions.</w:t>
      </w:r>
    </w:p>
    <w:p w14:paraId="3B97A5BB"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2. Materials and Methods</w:t>
      </w:r>
    </w:p>
    <w:p w14:paraId="3E15E14A" w14:textId="77777777" w:rsid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experiment was conducted during the summer season of 2021 at the Department of Horticulture (Vegetable and Floriculture), Bihar Agricultural University, Sabour, Bhagalpur, India. The experimental site lies at 25°15′40″N latitude and 87°2′42″E longitude with an altitude of 45.57 m above mean sea level. The soil type was sandy loam with</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good</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drainage.</w:t>
      </w:r>
      <w:r w:rsidR="003F11E0">
        <w:rPr>
          <w:rFonts w:ascii="Times New Roman" w:hAnsi="Times New Roman" w:cs="Times New Roman"/>
          <w:sz w:val="24"/>
          <w:szCs w:val="24"/>
        </w:rPr>
        <w:t xml:space="preserve"> </w:t>
      </w:r>
    </w:p>
    <w:p w14:paraId="6A385B0A" w14:textId="77777777" w:rsidR="003F11E0" w:rsidRPr="003F11E0" w:rsidRDefault="003F11E0" w:rsidP="003F11E0">
      <w:pPr>
        <w:jc w:val="both"/>
        <w:rPr>
          <w:rFonts w:ascii="Times New Roman" w:hAnsi="Times New Roman" w:cs="Times New Roman"/>
          <w:b/>
          <w:sz w:val="24"/>
          <w:szCs w:val="24"/>
        </w:rPr>
      </w:pPr>
      <w:r w:rsidRPr="003F11E0">
        <w:rPr>
          <w:rFonts w:ascii="Times New Roman" w:hAnsi="Times New Roman" w:cs="Times New Roman"/>
          <w:b/>
          <w:sz w:val="24"/>
          <w:szCs w:val="24"/>
        </w:rPr>
        <w:t xml:space="preserve">Genotypic background </w:t>
      </w:r>
      <w:r>
        <w:rPr>
          <w:rFonts w:ascii="Times New Roman" w:hAnsi="Times New Roman" w:cs="Times New Roman"/>
          <w:b/>
          <w:sz w:val="24"/>
          <w:szCs w:val="24"/>
        </w:rPr>
        <w:t>of</w:t>
      </w:r>
      <w:r w:rsidRPr="003F11E0">
        <w:rPr>
          <w:rFonts w:ascii="Times New Roman" w:hAnsi="Times New Roman" w:cs="Times New Roman"/>
          <w:b/>
          <w:sz w:val="24"/>
          <w:szCs w:val="24"/>
        </w:rPr>
        <w:t xml:space="preserve"> </w:t>
      </w:r>
      <w:proofErr w:type="spellStart"/>
      <w:r w:rsidRPr="003F11E0">
        <w:rPr>
          <w:rFonts w:ascii="Times New Roman" w:hAnsi="Times New Roman" w:cs="Times New Roman"/>
          <w:b/>
          <w:sz w:val="24"/>
          <w:szCs w:val="24"/>
        </w:rPr>
        <w:t>Kahalgaon</w:t>
      </w:r>
      <w:proofErr w:type="spellEnd"/>
      <w:r w:rsidRPr="003F11E0">
        <w:rPr>
          <w:rFonts w:ascii="Times New Roman" w:hAnsi="Times New Roman" w:cs="Times New Roman"/>
          <w:b/>
          <w:sz w:val="24"/>
          <w:szCs w:val="24"/>
        </w:rPr>
        <w:t xml:space="preserve"> Local:</w:t>
      </w:r>
    </w:p>
    <w:p w14:paraId="2E4A8495" w14:textId="558CDF83" w:rsid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local bitter gourd cultivar ‘Kahalgaon Local’, developed by pure line selection and well adapted to the regional climate, was used as test material. The experiment was laid out in a Randomized Block Design with three replications and fifteen treatments (Table 1). Spacing was maintained at 0.75 m between plants and 2.0 m between rows.</w:t>
      </w:r>
    </w:p>
    <w:p w14:paraId="6318CC49" w14:textId="18677704" w:rsidR="008820FD" w:rsidRPr="00440938" w:rsidRDefault="008820FD" w:rsidP="008820FD">
      <w:pPr>
        <w:spacing w:before="12" w:after="0" w:line="360" w:lineRule="auto"/>
        <w:jc w:val="both"/>
        <w:rPr>
          <w:rFonts w:ascii="Times New Roman" w:hAnsi="Times New Roman" w:cs="Times New Roman"/>
          <w:b/>
          <w:bCs/>
          <w:sz w:val="24"/>
          <w:szCs w:val="24"/>
        </w:rPr>
      </w:pPr>
      <w:r w:rsidRPr="00440938">
        <w:rPr>
          <w:rFonts w:ascii="Times New Roman" w:hAnsi="Times New Roman" w:cs="Times New Roman"/>
          <w:b/>
          <w:bCs/>
          <w:sz w:val="24"/>
          <w:szCs w:val="24"/>
        </w:rPr>
        <w:t>Table 1 Details of experiment</w:t>
      </w:r>
    </w:p>
    <w:tbl>
      <w:tblPr>
        <w:tblStyle w:val="LightShading"/>
        <w:tblW w:w="4944"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29"/>
        <w:gridCol w:w="5428"/>
      </w:tblGrid>
      <w:tr w:rsidR="008820FD" w:rsidRPr="00440938" w14:paraId="2436AADD" w14:textId="77777777" w:rsidTr="00882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top w:val="none" w:sz="0" w:space="0" w:color="auto"/>
              <w:left w:val="none" w:sz="0" w:space="0" w:color="auto"/>
              <w:bottom w:val="none" w:sz="0" w:space="0" w:color="auto"/>
              <w:right w:val="none" w:sz="0" w:space="0" w:color="auto"/>
            </w:tcBorders>
          </w:tcPr>
          <w:p w14:paraId="4961EEC0" w14:textId="77777777" w:rsidR="008820FD" w:rsidRPr="00440938" w:rsidRDefault="008820FD" w:rsidP="00CC06FB">
            <w:pPr>
              <w:spacing w:before="12" w:line="360" w:lineRule="auto"/>
              <w:jc w:val="both"/>
              <w:rPr>
                <w:rFonts w:ascii="Times New Roman" w:hAnsi="Times New Roman" w:cs="Times New Roman"/>
                <w:b w:val="0"/>
                <w:sz w:val="24"/>
                <w:szCs w:val="24"/>
              </w:rPr>
            </w:pPr>
            <w:r>
              <w:rPr>
                <w:rFonts w:ascii="Times New Roman" w:hAnsi="Times New Roman" w:cs="Times New Roman"/>
                <w:b w:val="0"/>
                <w:sz w:val="24"/>
                <w:szCs w:val="24"/>
              </w:rPr>
              <w:t>Cultivar used</w:t>
            </w:r>
          </w:p>
        </w:tc>
        <w:tc>
          <w:tcPr>
            <w:tcW w:w="3099" w:type="pct"/>
            <w:tcBorders>
              <w:top w:val="none" w:sz="0" w:space="0" w:color="auto"/>
              <w:left w:val="none" w:sz="0" w:space="0" w:color="auto"/>
              <w:bottom w:val="none" w:sz="0" w:space="0" w:color="auto"/>
              <w:right w:val="none" w:sz="0" w:space="0" w:color="auto"/>
            </w:tcBorders>
          </w:tcPr>
          <w:p w14:paraId="4D111A9C" w14:textId="77777777" w:rsidR="008820FD" w:rsidRPr="00440938" w:rsidRDefault="008820FD" w:rsidP="00CC06FB">
            <w:pPr>
              <w:spacing w:before="1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440938">
              <w:rPr>
                <w:rFonts w:ascii="Times New Roman" w:eastAsia="Times New Roman" w:hAnsi="Times New Roman" w:cs="Times New Roman"/>
                <w:b w:val="0"/>
                <w:sz w:val="24"/>
                <w:szCs w:val="24"/>
              </w:rPr>
              <w:t>Kahalgaon</w:t>
            </w:r>
            <w:proofErr w:type="spellEnd"/>
            <w:r w:rsidRPr="00440938">
              <w:rPr>
                <w:rFonts w:ascii="Times New Roman" w:eastAsia="Times New Roman" w:hAnsi="Times New Roman" w:cs="Times New Roman"/>
                <w:b w:val="0"/>
                <w:sz w:val="24"/>
                <w:szCs w:val="24"/>
              </w:rPr>
              <w:t xml:space="preserve"> Local</w:t>
            </w:r>
          </w:p>
        </w:tc>
      </w:tr>
      <w:tr w:rsidR="008820FD" w:rsidRPr="00440938" w14:paraId="4D6F0DB3"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6045B21B"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Design </w:t>
            </w:r>
          </w:p>
        </w:tc>
        <w:tc>
          <w:tcPr>
            <w:tcW w:w="3099" w:type="pct"/>
            <w:tcBorders>
              <w:left w:val="none" w:sz="0" w:space="0" w:color="auto"/>
              <w:right w:val="none" w:sz="0" w:space="0" w:color="auto"/>
            </w:tcBorders>
            <w:shd w:val="clear" w:color="auto" w:fill="auto"/>
          </w:tcPr>
          <w:p w14:paraId="6CCE9D22"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 xml:space="preserve">Completely randomized design </w:t>
            </w:r>
          </w:p>
        </w:tc>
      </w:tr>
      <w:tr w:rsidR="008820FD" w:rsidRPr="00440938" w14:paraId="6E27A16B" w14:textId="77777777" w:rsidTr="008820FD">
        <w:tc>
          <w:tcPr>
            <w:cnfStyle w:val="001000000000" w:firstRow="0" w:lastRow="0" w:firstColumn="1" w:lastColumn="0" w:oddVBand="0" w:evenVBand="0" w:oddHBand="0" w:evenHBand="0" w:firstRowFirstColumn="0" w:firstRowLastColumn="0" w:lastRowFirstColumn="0" w:lastRowLastColumn="0"/>
            <w:tcW w:w="1901" w:type="pct"/>
          </w:tcPr>
          <w:p w14:paraId="386D58AE"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Replication </w:t>
            </w:r>
          </w:p>
        </w:tc>
        <w:tc>
          <w:tcPr>
            <w:tcW w:w="3099" w:type="pct"/>
          </w:tcPr>
          <w:p w14:paraId="55EFDE15"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03</w:t>
            </w:r>
          </w:p>
        </w:tc>
      </w:tr>
      <w:tr w:rsidR="008820FD" w:rsidRPr="00440938" w14:paraId="46084BFF"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01688541"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Treatments</w:t>
            </w:r>
          </w:p>
        </w:tc>
        <w:tc>
          <w:tcPr>
            <w:tcW w:w="3099" w:type="pct"/>
            <w:tcBorders>
              <w:left w:val="none" w:sz="0" w:space="0" w:color="auto"/>
              <w:right w:val="none" w:sz="0" w:space="0" w:color="auto"/>
            </w:tcBorders>
            <w:shd w:val="clear" w:color="auto" w:fill="auto"/>
          </w:tcPr>
          <w:p w14:paraId="21CCBA00"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15</w:t>
            </w:r>
          </w:p>
        </w:tc>
      </w:tr>
      <w:tr w:rsidR="008820FD" w:rsidRPr="00440938" w14:paraId="645516C6" w14:textId="77777777" w:rsidTr="008820FD">
        <w:tc>
          <w:tcPr>
            <w:cnfStyle w:val="001000000000" w:firstRow="0" w:lastRow="0" w:firstColumn="1" w:lastColumn="0" w:oddVBand="0" w:evenVBand="0" w:oddHBand="0" w:evenHBand="0" w:firstRowFirstColumn="0" w:firstRowLastColumn="0" w:lastRowFirstColumn="0" w:lastRowLastColumn="0"/>
            <w:tcW w:w="1901" w:type="pct"/>
          </w:tcPr>
          <w:p w14:paraId="47584B3E"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eastAsia="Times New Roman" w:hAnsi="Times New Roman" w:cs="Times New Roman"/>
                <w:b w:val="0"/>
                <w:sz w:val="24"/>
                <w:szCs w:val="24"/>
              </w:rPr>
              <w:t>Total degree of freedom</w:t>
            </w:r>
          </w:p>
        </w:tc>
        <w:tc>
          <w:tcPr>
            <w:tcW w:w="3099" w:type="pct"/>
          </w:tcPr>
          <w:p w14:paraId="214B6457"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eastAsia="Times New Roman" w:hAnsi="Times New Roman" w:cs="Times New Roman"/>
                <w:sz w:val="24"/>
                <w:szCs w:val="24"/>
              </w:rPr>
              <w:t>(t-1) × (r-1) = (15-1) × (3-1) = 28</w:t>
            </w:r>
          </w:p>
        </w:tc>
      </w:tr>
      <w:tr w:rsidR="008820FD" w:rsidRPr="00440938" w14:paraId="4C25C86C"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2F579A79"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Spacing </w:t>
            </w:r>
          </w:p>
        </w:tc>
        <w:tc>
          <w:tcPr>
            <w:tcW w:w="3099" w:type="pct"/>
            <w:tcBorders>
              <w:left w:val="none" w:sz="0" w:space="0" w:color="auto"/>
              <w:right w:val="none" w:sz="0" w:space="0" w:color="auto"/>
            </w:tcBorders>
            <w:shd w:val="clear" w:color="auto" w:fill="auto"/>
          </w:tcPr>
          <w:p w14:paraId="4ECDE70D"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0.75 m (between the plants) and 2 m (between the rows)</w:t>
            </w:r>
          </w:p>
        </w:tc>
      </w:tr>
      <w:tr w:rsidR="008820FD" w:rsidRPr="00440938" w14:paraId="3C14CF09" w14:textId="77777777" w:rsidTr="008820FD">
        <w:trPr>
          <w:trHeight w:val="312"/>
        </w:trPr>
        <w:tc>
          <w:tcPr>
            <w:cnfStyle w:val="001000000000" w:firstRow="0" w:lastRow="0" w:firstColumn="1" w:lastColumn="0" w:oddVBand="0" w:evenVBand="0" w:oddHBand="0" w:evenHBand="0" w:firstRowFirstColumn="0" w:firstRowLastColumn="0" w:lastRowFirstColumn="0" w:lastRowLastColumn="0"/>
            <w:tcW w:w="1901" w:type="pct"/>
          </w:tcPr>
          <w:p w14:paraId="6086A3E2"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Date of transplanting </w:t>
            </w:r>
          </w:p>
        </w:tc>
        <w:tc>
          <w:tcPr>
            <w:tcW w:w="3099" w:type="pct"/>
          </w:tcPr>
          <w:p w14:paraId="284A0E56"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25</w:t>
            </w:r>
            <w:r w:rsidRPr="00F7725C">
              <w:rPr>
                <w:rFonts w:ascii="Times New Roman" w:hAnsi="Times New Roman" w:cs="Times New Roman"/>
                <w:sz w:val="24"/>
                <w:szCs w:val="24"/>
                <w:vertAlign w:val="superscript"/>
              </w:rPr>
              <w:t>th</w:t>
            </w:r>
            <w:r w:rsidRPr="00F7725C">
              <w:rPr>
                <w:rFonts w:ascii="Times New Roman" w:hAnsi="Times New Roman" w:cs="Times New Roman"/>
                <w:sz w:val="24"/>
                <w:szCs w:val="24"/>
              </w:rPr>
              <w:t xml:space="preserve">  March 2021</w:t>
            </w:r>
          </w:p>
        </w:tc>
      </w:tr>
    </w:tbl>
    <w:p w14:paraId="4021C480" w14:textId="77777777" w:rsidR="008820FD" w:rsidRPr="008820FD" w:rsidRDefault="008820FD" w:rsidP="008820FD">
      <w:pPr>
        <w:jc w:val="both"/>
        <w:rPr>
          <w:rFonts w:ascii="Times New Roman" w:hAnsi="Times New Roman" w:cs="Times New Roman"/>
          <w:b/>
          <w:sz w:val="24"/>
          <w:szCs w:val="24"/>
        </w:rPr>
      </w:pPr>
    </w:p>
    <w:p w14:paraId="20933179" w14:textId="77777777" w:rsidR="00182CB7" w:rsidRDefault="00182CB7" w:rsidP="00182CB7">
      <w:pPr>
        <w:jc w:val="both"/>
        <w:rPr>
          <w:rFonts w:ascii="Times New Roman" w:hAnsi="Times New Roman" w:cs="Times New Roman"/>
          <w:sz w:val="24"/>
          <w:szCs w:val="24"/>
        </w:rPr>
      </w:pPr>
      <w:r w:rsidRPr="008820FD">
        <w:rPr>
          <w:rFonts w:ascii="Times New Roman" w:hAnsi="Times New Roman" w:cs="Times New Roman"/>
          <w:b/>
          <w:bCs/>
          <w:sz w:val="24"/>
          <w:szCs w:val="24"/>
        </w:rPr>
        <w:t>Seed priming treatments:</w:t>
      </w:r>
      <w:r>
        <w:rPr>
          <w:rFonts w:ascii="Times New Roman" w:hAnsi="Times New Roman" w:cs="Times New Roman"/>
          <w:sz w:val="24"/>
          <w:szCs w:val="24"/>
        </w:rPr>
        <w:t xml:space="preserve"> </w:t>
      </w:r>
    </w:p>
    <w:p w14:paraId="3E2806A1" w14:textId="49DDA069" w:rsidR="00182CB7" w:rsidRDefault="00182CB7" w:rsidP="00182CB7">
      <w:pPr>
        <w:jc w:val="both"/>
        <w:rPr>
          <w:rFonts w:ascii="Times New Roman" w:hAnsi="Times New Roman" w:cs="Times New Roman"/>
          <w:b/>
          <w:bCs/>
          <w:sz w:val="24"/>
          <w:szCs w:val="24"/>
        </w:rPr>
      </w:pPr>
      <w:r w:rsidRPr="003F11E0">
        <w:rPr>
          <w:rFonts w:ascii="Times New Roman" w:hAnsi="Times New Roman" w:cs="Times New Roman"/>
          <w:sz w:val="24"/>
          <w:szCs w:val="24"/>
        </w:rPr>
        <w:t xml:space="preserve">Treatments included hydropriming with distilled water, </w:t>
      </w:r>
      <w:proofErr w:type="spellStart"/>
      <w:r w:rsidRPr="003F11E0">
        <w:rPr>
          <w:rFonts w:ascii="Times New Roman" w:hAnsi="Times New Roman" w:cs="Times New Roman"/>
          <w:sz w:val="24"/>
          <w:szCs w:val="24"/>
        </w:rPr>
        <w:t>osmopriming</w:t>
      </w:r>
      <w:proofErr w:type="spellEnd"/>
      <w:r w:rsidRPr="003F11E0">
        <w:rPr>
          <w:rFonts w:ascii="Times New Roman" w:hAnsi="Times New Roman" w:cs="Times New Roman"/>
          <w:sz w:val="24"/>
          <w:szCs w:val="24"/>
        </w:rPr>
        <w:t xml:space="preserve"> with polyethylene glycol (PEG) at 2% and 4%, halopriming with potassium nitrate (KNO₃) at 2% and 4%, and hormonal priming using gibberellic acid (GA₃) at 500 ppm and 1000 ppm for soaking durations of 12 and 18 hours. Unprimed seeds were used as control. Solutions were prepared using analytical-grade chemicals in distilled water following standard protocols.</w:t>
      </w:r>
    </w:p>
    <w:p w14:paraId="113554DE" w14:textId="250EA6F7" w:rsidR="008820FD" w:rsidRDefault="008820FD" w:rsidP="003F11E0">
      <w:pPr>
        <w:jc w:val="both"/>
        <w:rPr>
          <w:rFonts w:ascii="Times New Roman" w:hAnsi="Times New Roman" w:cs="Times New Roman"/>
          <w:sz w:val="24"/>
          <w:szCs w:val="24"/>
        </w:rPr>
      </w:pPr>
      <w:r w:rsidRPr="008820FD">
        <w:rPr>
          <w:rFonts w:ascii="Times New Roman" w:hAnsi="Times New Roman" w:cs="Times New Roman"/>
          <w:b/>
          <w:bCs/>
          <w:sz w:val="24"/>
          <w:szCs w:val="24"/>
        </w:rPr>
        <w:lastRenderedPageBreak/>
        <w:t>Preparation of Chemical and Hormonal Solutions</w:t>
      </w:r>
      <w:r w:rsidRPr="008820FD">
        <w:rPr>
          <w:rFonts w:ascii="Times New Roman" w:hAnsi="Times New Roman" w:cs="Times New Roman"/>
          <w:sz w:val="24"/>
          <w:szCs w:val="24"/>
        </w:rPr>
        <w:t>:</w:t>
      </w:r>
    </w:p>
    <w:p w14:paraId="176EC167" w14:textId="77777777" w:rsidR="008820FD" w:rsidRDefault="008820FD" w:rsidP="003F11E0">
      <w:pPr>
        <w:jc w:val="both"/>
        <w:rPr>
          <w:rFonts w:ascii="Times New Roman" w:hAnsi="Times New Roman" w:cs="Times New Roman"/>
          <w:sz w:val="24"/>
          <w:szCs w:val="24"/>
        </w:rPr>
      </w:pPr>
      <w:r w:rsidRPr="008820FD">
        <w:rPr>
          <w:rFonts w:ascii="Times New Roman" w:hAnsi="Times New Roman" w:cs="Times New Roman"/>
          <w:sz w:val="24"/>
          <w:szCs w:val="24"/>
        </w:rPr>
        <w:t>A 2% polyethylene glycol 8000 (PEG 8000) solution is prepared by dissolving 4 g of PEG 8000 in distilled water and making the final volume up to 200 mL, while a 4% solution is prepared by dissolving 8 g of PEG 8000 in 200 mL of distilled water. Similarly, a 2% potassium nitrate (KNO₃) solution is made by dissolving 4 g of KNO₃ in distilled water and adjusting the final volume to 200 mL, and a 4% solution is prepared by dissolving 8 g of KNO₃ in 200 mL of distilled water. For gibberellic acid (GA₃), a 500 ppm solution is prepared by dissolving 100 mg of GA₃ in distilled water and making the final volume up to 200 mL, whereas a 1000 ppm solution is obtained by dissolving 200 mg of GA₃ in 200 mL of distilled water.</w:t>
      </w:r>
      <w:r>
        <w:rPr>
          <w:rFonts w:ascii="Times New Roman" w:hAnsi="Times New Roman" w:cs="Times New Roman"/>
          <w:sz w:val="24"/>
          <w:szCs w:val="24"/>
        </w:rPr>
        <w:t xml:space="preserve"> </w:t>
      </w:r>
    </w:p>
    <w:p w14:paraId="43BDCF6D" w14:textId="3B4C176F" w:rsidR="000F2035" w:rsidRPr="003F11E0" w:rsidRDefault="00EC0E33" w:rsidP="003F11E0">
      <w:pPr>
        <w:jc w:val="both"/>
        <w:rPr>
          <w:rFonts w:ascii="Times New Roman" w:hAnsi="Times New Roman" w:cs="Times New Roman"/>
          <w:sz w:val="24"/>
          <w:szCs w:val="24"/>
        </w:rPr>
      </w:pPr>
      <w:r w:rsidRPr="00182CB7">
        <w:rPr>
          <w:rFonts w:ascii="Times New Roman" w:hAnsi="Times New Roman" w:cs="Times New Roman"/>
          <w:b/>
          <w:bCs/>
          <w:sz w:val="24"/>
          <w:szCs w:val="24"/>
        </w:rPr>
        <w:t>Data collection:</w:t>
      </w:r>
      <w:r w:rsidR="00182CB7">
        <w:rPr>
          <w:rFonts w:ascii="Times New Roman" w:hAnsi="Times New Roman" w:cs="Times New Roman"/>
          <w:sz w:val="24"/>
          <w:szCs w:val="24"/>
        </w:rPr>
        <w:t xml:space="preserve"> </w:t>
      </w:r>
      <w:r w:rsidRPr="003F11E0">
        <w:rPr>
          <w:rFonts w:ascii="Times New Roman" w:hAnsi="Times New Roman" w:cs="Times New Roman"/>
          <w:sz w:val="24"/>
          <w:szCs w:val="24"/>
        </w:rPr>
        <w:t>Germination and seedling emergence data were recorded daily to compute the speed of emergence (Maguire, 1962). Field emergence index was calculated based on the percentage of seedlings emerging after one week of transplanting. Growth parameters such as node number to first male and female flowers, days to first male and female flowering, days to first fruit harvest, average fruit weight, and average fruit yield per plant were measured. Data were subjected to analysis of variance (ANOVA) following the method of Panse and Sukhatme (1967).</w:t>
      </w:r>
    </w:p>
    <w:p w14:paraId="63CB4FED" w14:textId="77777777" w:rsidR="000F2035" w:rsidRPr="00182CB7" w:rsidRDefault="00EC0E33" w:rsidP="00182CB7">
      <w:pPr>
        <w:pStyle w:val="Heading1"/>
        <w:jc w:val="both"/>
        <w:rPr>
          <w:rFonts w:ascii="Times New Roman" w:hAnsi="Times New Roman" w:cs="Times New Roman"/>
          <w:color w:val="auto"/>
          <w:sz w:val="24"/>
          <w:szCs w:val="24"/>
        </w:rPr>
      </w:pPr>
      <w:r w:rsidRPr="00182CB7">
        <w:rPr>
          <w:rFonts w:ascii="Times New Roman" w:hAnsi="Times New Roman" w:cs="Times New Roman"/>
          <w:color w:val="auto"/>
          <w:sz w:val="24"/>
          <w:szCs w:val="24"/>
        </w:rPr>
        <w:t>3. Results and Discussion</w:t>
      </w:r>
    </w:p>
    <w:p w14:paraId="33ED0BD0" w14:textId="5DE30342" w:rsidR="00182CB7" w:rsidRPr="00182CB7" w:rsidRDefault="00EC0E33" w:rsidP="00182CB7">
      <w:pPr>
        <w:jc w:val="both"/>
        <w:rPr>
          <w:b/>
          <w:bCs/>
          <w:lang w:val="en-IN"/>
        </w:rPr>
      </w:pPr>
      <w:r w:rsidRPr="003F11E0">
        <w:rPr>
          <w:rFonts w:ascii="Times New Roman" w:hAnsi="Times New Roman" w:cs="Times New Roman"/>
          <w:sz w:val="24"/>
          <w:szCs w:val="24"/>
        </w:rPr>
        <w:br/>
      </w:r>
      <w:r w:rsidR="0099437B">
        <w:rPr>
          <w:b/>
          <w:bCs/>
        </w:rPr>
        <w:t xml:space="preserve">The effect of </w:t>
      </w:r>
      <w:r w:rsidR="0099437B" w:rsidRPr="0099437B">
        <w:rPr>
          <w:b/>
          <w:bCs/>
        </w:rPr>
        <w:t xml:space="preserve">Seed Priming on the Speed of Emergence and Field Emergence </w:t>
      </w:r>
      <w:proofErr w:type="gramStart"/>
      <w:r w:rsidR="0099437B" w:rsidRPr="0099437B">
        <w:rPr>
          <w:b/>
          <w:bCs/>
        </w:rPr>
        <w:t xml:space="preserve">Index </w:t>
      </w:r>
      <w:r w:rsidR="0099437B">
        <w:rPr>
          <w:b/>
          <w:bCs/>
        </w:rPr>
        <w:t>;</w:t>
      </w:r>
      <w:proofErr w:type="gramEnd"/>
    </w:p>
    <w:p w14:paraId="27EAFC16" w14:textId="3C451411"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Among the different seed priming treatments evaluated, the highest speed of emergence was recorded in seeds treated with GA₃ at 500 ppm for 18 hours, while the lowest speed of emergence was observed in seeds treated with PEG at 4% for the same duration (Table </w:t>
      </w:r>
      <w:r w:rsidR="008648D5">
        <w:rPr>
          <w:rFonts w:ascii="Times New Roman" w:hAnsi="Times New Roman" w:cs="Times New Roman"/>
          <w:sz w:val="24"/>
          <w:szCs w:val="24"/>
          <w:lang w:val="en-IN"/>
        </w:rPr>
        <w:t>2</w:t>
      </w:r>
      <w:r w:rsidRPr="00182CB7">
        <w:rPr>
          <w:rFonts w:ascii="Times New Roman" w:hAnsi="Times New Roman" w:cs="Times New Roman"/>
          <w:sz w:val="24"/>
          <w:szCs w:val="24"/>
          <w:lang w:val="en-IN"/>
        </w:rPr>
        <w:t xml:space="preserve">). Similarly, the field emergence index was also found to be significantly higher in GA₃ @ 500 ppm (18 hrs) and lowest in PEG @ 4% (18 hrs). This improvement in emergence may be attributed to enhanced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and better root and shoot development. These findings </w:t>
      </w:r>
      <w:r w:rsidR="008B4848" w:rsidRPr="00182CB7">
        <w:rPr>
          <w:rFonts w:ascii="Times New Roman" w:hAnsi="Times New Roman" w:cs="Times New Roman"/>
          <w:sz w:val="24"/>
          <w:szCs w:val="24"/>
          <w:lang w:val="en-IN"/>
        </w:rPr>
        <w:t>agree</w:t>
      </w:r>
      <w:r w:rsidRPr="00182CB7">
        <w:rPr>
          <w:rFonts w:ascii="Times New Roman" w:hAnsi="Times New Roman" w:cs="Times New Roman"/>
          <w:sz w:val="24"/>
          <w:szCs w:val="24"/>
          <w:lang w:val="en-IN"/>
        </w:rPr>
        <w:t xml:space="preserve"> with those of Das et al. (2014), Nisha et al. (2016), and Kumar and Singh (2013), who reported</w:t>
      </w:r>
      <w:r w:rsidRPr="00182CB7">
        <w:rPr>
          <w:rFonts w:ascii="Times New Roman" w:hAnsi="Times New Roman" w:cs="Times New Roman"/>
          <w:b/>
          <w:bCs/>
          <w:sz w:val="24"/>
          <w:szCs w:val="24"/>
          <w:lang w:val="en-IN"/>
        </w:rPr>
        <w:t xml:space="preserve"> </w:t>
      </w:r>
      <w:r w:rsidRPr="00182CB7">
        <w:rPr>
          <w:rFonts w:ascii="Times New Roman" w:hAnsi="Times New Roman" w:cs="Times New Roman"/>
          <w:sz w:val="24"/>
          <w:szCs w:val="24"/>
          <w:lang w:val="en-IN"/>
        </w:rPr>
        <w:t xml:space="preserve">that bitter gourd seeds primed with GA₃ improved germination, field emergence, seedling length, and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index compared to untreated seeds.</w:t>
      </w:r>
    </w:p>
    <w:p w14:paraId="4AED73F6" w14:textId="753D7EF8" w:rsidR="001E32DF" w:rsidRDefault="001E32DF" w:rsidP="001E32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2</w:t>
      </w:r>
      <w:r>
        <w:rPr>
          <w:rFonts w:ascii="Times New Roman" w:hAnsi="Times New Roman" w:cs="Times New Roman"/>
          <w:b/>
          <w:sz w:val="24"/>
          <w:szCs w:val="24"/>
        </w:rPr>
        <w:t xml:space="preserve"> </w:t>
      </w:r>
      <w:r w:rsidRPr="00EF7FEB">
        <w:rPr>
          <w:rFonts w:ascii="Times New Roman" w:hAnsi="Times New Roman" w:cs="Times New Roman"/>
          <w:b/>
          <w:sz w:val="24"/>
          <w:szCs w:val="24"/>
        </w:rPr>
        <w:t xml:space="preserve">Effect seed priming on </w:t>
      </w:r>
      <w:r>
        <w:rPr>
          <w:rFonts w:ascii="Times New Roman" w:hAnsi="Times New Roman" w:cs="Times New Roman"/>
          <w:b/>
          <w:sz w:val="24"/>
          <w:szCs w:val="24"/>
        </w:rPr>
        <w:t xml:space="preserve">speed of emergence and field emergence index </w:t>
      </w:r>
    </w:p>
    <w:p w14:paraId="12867DD6" w14:textId="77777777" w:rsidR="001E32DF" w:rsidRPr="00616351" w:rsidRDefault="001E32DF" w:rsidP="001E32DF">
      <w:pPr>
        <w:spacing w:after="0" w:line="360" w:lineRule="auto"/>
        <w:jc w:val="both"/>
        <w:rPr>
          <w:rFonts w:ascii="Times New Roman" w:hAnsi="Times New Roman" w:cs="Times New Roman"/>
          <w:b/>
          <w:sz w:val="8"/>
          <w:szCs w:val="8"/>
        </w:rPr>
      </w:pPr>
    </w:p>
    <w:tbl>
      <w:tblPr>
        <w:tblStyle w:val="LightShading"/>
        <w:tblW w:w="0" w:type="auto"/>
        <w:tblLook w:val="04A0" w:firstRow="1" w:lastRow="0" w:firstColumn="1" w:lastColumn="0" w:noHBand="0" w:noVBand="1"/>
      </w:tblPr>
      <w:tblGrid>
        <w:gridCol w:w="3671"/>
        <w:gridCol w:w="2292"/>
        <w:gridCol w:w="2893"/>
      </w:tblGrid>
      <w:tr w:rsidR="001E32DF" w:rsidRPr="00616351" w14:paraId="0968A460"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C964093" w14:textId="77777777" w:rsidR="001E32DF" w:rsidRPr="00616351" w:rsidRDefault="001E32DF" w:rsidP="001E32DF">
            <w:pPr>
              <w:jc w:val="both"/>
              <w:rPr>
                <w:rFonts w:ascii="Times New Roman" w:hAnsi="Times New Roman" w:cs="Times New Roman"/>
                <w:bCs w:val="0"/>
                <w:sz w:val="24"/>
                <w:szCs w:val="24"/>
              </w:rPr>
            </w:pPr>
            <w:r w:rsidRPr="00616351">
              <w:rPr>
                <w:rFonts w:ascii="Times New Roman" w:hAnsi="Times New Roman" w:cs="Times New Roman"/>
                <w:bCs w:val="0"/>
                <w:sz w:val="24"/>
                <w:szCs w:val="24"/>
              </w:rPr>
              <w:t>Treatments</w:t>
            </w:r>
          </w:p>
        </w:tc>
        <w:tc>
          <w:tcPr>
            <w:tcW w:w="2340" w:type="dxa"/>
          </w:tcPr>
          <w:p w14:paraId="3B382C55" w14:textId="77777777" w:rsidR="001E32DF" w:rsidRPr="00616351" w:rsidRDefault="001E32DF" w:rsidP="001E32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6351">
              <w:rPr>
                <w:rFonts w:ascii="Times New Roman" w:hAnsi="Times New Roman" w:cs="Times New Roman"/>
                <w:bCs w:val="0"/>
                <w:sz w:val="24"/>
                <w:szCs w:val="24"/>
              </w:rPr>
              <w:t>Speed of emergence</w:t>
            </w:r>
          </w:p>
        </w:tc>
        <w:tc>
          <w:tcPr>
            <w:tcW w:w="2970" w:type="dxa"/>
          </w:tcPr>
          <w:p w14:paraId="7509860D" w14:textId="77777777" w:rsidR="001E32DF" w:rsidRPr="00616351" w:rsidRDefault="001E32DF" w:rsidP="001E32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6351">
              <w:rPr>
                <w:rFonts w:ascii="Times New Roman" w:hAnsi="Times New Roman" w:cs="Times New Roman"/>
                <w:bCs w:val="0"/>
                <w:sz w:val="24"/>
                <w:szCs w:val="24"/>
              </w:rPr>
              <w:t>Field emergence index (%)</w:t>
            </w:r>
          </w:p>
        </w:tc>
      </w:tr>
      <w:tr w:rsidR="001E32DF" w:rsidRPr="00627266" w14:paraId="67D20E6F"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E76AFE6" w14:textId="77777777" w:rsidR="001E32DF" w:rsidRPr="008E4C23" w:rsidRDefault="001E32DF" w:rsidP="00CC06FB">
            <w:pPr>
              <w:pStyle w:val="NormalWeb"/>
              <w:spacing w:line="233" w:lineRule="atLeast"/>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0 </w:t>
            </w:r>
            <w:r w:rsidRPr="008E4C23">
              <w:rPr>
                <w:b w:val="0"/>
                <w:color w:val="000000" w:themeColor="text1"/>
                <w:kern w:val="24"/>
                <w:szCs w:val="32"/>
              </w:rPr>
              <w:t>(Un primed seed)</w:t>
            </w:r>
          </w:p>
        </w:tc>
        <w:tc>
          <w:tcPr>
            <w:tcW w:w="2340" w:type="dxa"/>
            <w:shd w:val="clear" w:color="auto" w:fill="auto"/>
          </w:tcPr>
          <w:p w14:paraId="7A46C6CB"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E4C23">
              <w:rPr>
                <w:rFonts w:ascii="Times New Roman" w:hAnsi="Times New Roman" w:cs="Times New Roman"/>
                <w:color w:val="000000"/>
                <w:sz w:val="24"/>
                <w:szCs w:val="24"/>
              </w:rPr>
              <w:t>9.01</w:t>
            </w:r>
          </w:p>
        </w:tc>
        <w:tc>
          <w:tcPr>
            <w:tcW w:w="2970" w:type="dxa"/>
            <w:shd w:val="clear" w:color="auto" w:fill="auto"/>
          </w:tcPr>
          <w:p w14:paraId="08455B73"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E4C23">
              <w:rPr>
                <w:rFonts w:ascii="Times New Roman" w:hAnsi="Times New Roman" w:cs="Times New Roman"/>
                <w:color w:val="000000"/>
                <w:sz w:val="24"/>
                <w:szCs w:val="24"/>
              </w:rPr>
              <w:t>65.98</w:t>
            </w:r>
          </w:p>
        </w:tc>
      </w:tr>
      <w:tr w:rsidR="001E32DF" w:rsidRPr="00627266" w14:paraId="7866CBEE"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0080B95B"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1</w:t>
            </w:r>
            <w:r w:rsidRPr="008E4C23">
              <w:rPr>
                <w:b w:val="0"/>
                <w:color w:val="000000" w:themeColor="text1"/>
                <w:kern w:val="24"/>
                <w:szCs w:val="32"/>
              </w:rPr>
              <w:t xml:space="preserve"> (Dist. water for12 h)</w:t>
            </w:r>
          </w:p>
        </w:tc>
        <w:tc>
          <w:tcPr>
            <w:tcW w:w="2340" w:type="dxa"/>
          </w:tcPr>
          <w:p w14:paraId="6553834A"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10.38</w:t>
            </w:r>
          </w:p>
        </w:tc>
        <w:tc>
          <w:tcPr>
            <w:tcW w:w="2970" w:type="dxa"/>
          </w:tcPr>
          <w:p w14:paraId="4FE0A6AB"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78.64</w:t>
            </w:r>
          </w:p>
        </w:tc>
      </w:tr>
      <w:tr w:rsidR="001E32DF" w:rsidRPr="00627266" w14:paraId="1E0488F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AAA5330"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lastRenderedPageBreak/>
              <w:t>T</w:t>
            </w:r>
            <w:r w:rsidRPr="008E4C23">
              <w:rPr>
                <w:b w:val="0"/>
                <w:color w:val="000000" w:themeColor="text1"/>
                <w:kern w:val="24"/>
                <w:position w:val="-8"/>
                <w:szCs w:val="32"/>
                <w:vertAlign w:val="subscript"/>
              </w:rPr>
              <w:t>2</w:t>
            </w:r>
            <w:r w:rsidRPr="008E4C23">
              <w:rPr>
                <w:b w:val="0"/>
                <w:color w:val="000000" w:themeColor="text1"/>
                <w:kern w:val="24"/>
                <w:szCs w:val="32"/>
              </w:rPr>
              <w:t xml:space="preserve"> (Dist. water for18 h)</w:t>
            </w:r>
          </w:p>
        </w:tc>
        <w:tc>
          <w:tcPr>
            <w:tcW w:w="2340" w:type="dxa"/>
            <w:shd w:val="clear" w:color="auto" w:fill="auto"/>
          </w:tcPr>
          <w:p w14:paraId="1346174E"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14.14</w:t>
            </w:r>
          </w:p>
        </w:tc>
        <w:tc>
          <w:tcPr>
            <w:tcW w:w="2970" w:type="dxa"/>
            <w:shd w:val="clear" w:color="auto" w:fill="auto"/>
          </w:tcPr>
          <w:p w14:paraId="02F8CE07"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81.30</w:t>
            </w:r>
          </w:p>
        </w:tc>
      </w:tr>
      <w:tr w:rsidR="001E32DF" w:rsidRPr="00627266" w14:paraId="72AD6601"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2F07E5FF"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3</w:t>
            </w:r>
            <w:r w:rsidRPr="008E4C23">
              <w:rPr>
                <w:b w:val="0"/>
                <w:color w:val="000000" w:themeColor="text1"/>
                <w:kern w:val="24"/>
                <w:szCs w:val="32"/>
              </w:rPr>
              <w:t xml:space="preserve"> (2% PEG for 12 h)</w:t>
            </w:r>
          </w:p>
        </w:tc>
        <w:tc>
          <w:tcPr>
            <w:tcW w:w="2340" w:type="dxa"/>
          </w:tcPr>
          <w:p w14:paraId="5D0F25D3"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10.51</w:t>
            </w:r>
          </w:p>
        </w:tc>
        <w:tc>
          <w:tcPr>
            <w:tcW w:w="2970" w:type="dxa"/>
          </w:tcPr>
          <w:p w14:paraId="292B06B7"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82.69</w:t>
            </w:r>
          </w:p>
        </w:tc>
      </w:tr>
      <w:tr w:rsidR="001E32DF" w:rsidRPr="00627266" w14:paraId="6943098E"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12F382B"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4 </w:t>
            </w:r>
            <w:r w:rsidRPr="008E4C23">
              <w:rPr>
                <w:b w:val="0"/>
                <w:color w:val="000000" w:themeColor="text1"/>
                <w:kern w:val="24"/>
                <w:szCs w:val="32"/>
              </w:rPr>
              <w:t>(2% PEG for 18 h)</w:t>
            </w:r>
          </w:p>
        </w:tc>
        <w:tc>
          <w:tcPr>
            <w:tcW w:w="2340" w:type="dxa"/>
            <w:shd w:val="clear" w:color="auto" w:fill="auto"/>
          </w:tcPr>
          <w:p w14:paraId="0B8A6A38"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9.30</w:t>
            </w:r>
          </w:p>
        </w:tc>
        <w:tc>
          <w:tcPr>
            <w:tcW w:w="2970" w:type="dxa"/>
            <w:shd w:val="clear" w:color="auto" w:fill="auto"/>
          </w:tcPr>
          <w:p w14:paraId="58199A58"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73.33</w:t>
            </w:r>
          </w:p>
        </w:tc>
      </w:tr>
      <w:tr w:rsidR="001E32DF" w:rsidRPr="00627266" w14:paraId="4EA4B401"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4BD27E2D"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5 </w:t>
            </w:r>
            <w:r w:rsidRPr="008E4C23">
              <w:rPr>
                <w:b w:val="0"/>
                <w:color w:val="000000" w:themeColor="text1"/>
                <w:kern w:val="24"/>
                <w:szCs w:val="32"/>
              </w:rPr>
              <w:t>(4% PEG for 12 h)</w:t>
            </w:r>
          </w:p>
        </w:tc>
        <w:tc>
          <w:tcPr>
            <w:tcW w:w="2340" w:type="dxa"/>
          </w:tcPr>
          <w:p w14:paraId="653F6C45"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7.96</w:t>
            </w:r>
          </w:p>
        </w:tc>
        <w:tc>
          <w:tcPr>
            <w:tcW w:w="2970" w:type="dxa"/>
          </w:tcPr>
          <w:p w14:paraId="4D2990CC"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43.28</w:t>
            </w:r>
          </w:p>
        </w:tc>
      </w:tr>
      <w:tr w:rsidR="001E32DF" w:rsidRPr="00627266" w14:paraId="1DB757F9"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F9A78A9"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6 </w:t>
            </w:r>
            <w:r w:rsidRPr="008E4C23">
              <w:rPr>
                <w:b w:val="0"/>
                <w:color w:val="000000" w:themeColor="text1"/>
                <w:kern w:val="24"/>
                <w:szCs w:val="32"/>
              </w:rPr>
              <w:t>(4% PEG for 18 h)</w:t>
            </w:r>
          </w:p>
        </w:tc>
        <w:tc>
          <w:tcPr>
            <w:tcW w:w="2340" w:type="dxa"/>
            <w:shd w:val="clear" w:color="auto" w:fill="auto"/>
          </w:tcPr>
          <w:p w14:paraId="0413AD43"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3.87</w:t>
            </w:r>
          </w:p>
        </w:tc>
        <w:tc>
          <w:tcPr>
            <w:tcW w:w="2970" w:type="dxa"/>
            <w:shd w:val="clear" w:color="auto" w:fill="auto"/>
          </w:tcPr>
          <w:p w14:paraId="01EA89DB"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38.64</w:t>
            </w:r>
          </w:p>
        </w:tc>
      </w:tr>
      <w:tr w:rsidR="001E32DF" w:rsidRPr="00627266" w14:paraId="4EAED61D"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1DB6B4E4"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7</w:t>
            </w:r>
            <w:r w:rsidRPr="008E4C23">
              <w:rPr>
                <w:b w:val="0"/>
                <w:color w:val="000000" w:themeColor="text1"/>
                <w:kern w:val="24"/>
                <w:szCs w:val="32"/>
              </w:rPr>
              <w:t xml:space="preserve"> (2% KNO</w:t>
            </w:r>
            <w:r w:rsidRPr="008E4C23">
              <w:rPr>
                <w:b w:val="0"/>
                <w:color w:val="000000" w:themeColor="text1"/>
                <w:kern w:val="24"/>
                <w:position w:val="-8"/>
                <w:szCs w:val="32"/>
                <w:vertAlign w:val="subscript"/>
              </w:rPr>
              <w:t>3</w:t>
            </w:r>
            <w:r w:rsidRPr="008E4C23">
              <w:rPr>
                <w:b w:val="0"/>
                <w:color w:val="000000" w:themeColor="text1"/>
                <w:kern w:val="24"/>
                <w:szCs w:val="32"/>
              </w:rPr>
              <w:t>for 12 h)</w:t>
            </w:r>
          </w:p>
        </w:tc>
        <w:tc>
          <w:tcPr>
            <w:tcW w:w="2340" w:type="dxa"/>
          </w:tcPr>
          <w:p w14:paraId="0546599C"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8.32</w:t>
            </w:r>
          </w:p>
        </w:tc>
        <w:tc>
          <w:tcPr>
            <w:tcW w:w="2970" w:type="dxa"/>
          </w:tcPr>
          <w:p w14:paraId="76E873C9"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57.38</w:t>
            </w:r>
          </w:p>
        </w:tc>
      </w:tr>
      <w:tr w:rsidR="001E32DF" w:rsidRPr="00627266" w14:paraId="664A51E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458E630"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8 </w:t>
            </w:r>
            <w:r w:rsidRPr="008E4C23">
              <w:rPr>
                <w:b w:val="0"/>
                <w:color w:val="000000" w:themeColor="text1"/>
                <w:kern w:val="24"/>
                <w:szCs w:val="32"/>
              </w:rPr>
              <w:t>(2% KNO</w:t>
            </w:r>
            <w:r w:rsidRPr="008E4C23">
              <w:rPr>
                <w:b w:val="0"/>
                <w:color w:val="000000" w:themeColor="text1"/>
                <w:kern w:val="24"/>
                <w:position w:val="-8"/>
                <w:szCs w:val="32"/>
                <w:vertAlign w:val="subscript"/>
              </w:rPr>
              <w:t>3</w:t>
            </w:r>
            <w:r w:rsidRPr="008E4C23">
              <w:rPr>
                <w:b w:val="0"/>
                <w:color w:val="000000" w:themeColor="text1"/>
                <w:kern w:val="24"/>
                <w:szCs w:val="32"/>
              </w:rPr>
              <w:t>for 18 h)</w:t>
            </w:r>
          </w:p>
        </w:tc>
        <w:tc>
          <w:tcPr>
            <w:tcW w:w="2340" w:type="dxa"/>
            <w:shd w:val="clear" w:color="auto" w:fill="auto"/>
          </w:tcPr>
          <w:p w14:paraId="01837624"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8.95</w:t>
            </w:r>
          </w:p>
        </w:tc>
        <w:tc>
          <w:tcPr>
            <w:tcW w:w="2970" w:type="dxa"/>
            <w:shd w:val="clear" w:color="auto" w:fill="auto"/>
          </w:tcPr>
          <w:p w14:paraId="2B57E71F"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60.68</w:t>
            </w:r>
          </w:p>
        </w:tc>
      </w:tr>
      <w:tr w:rsidR="001E32DF" w:rsidRPr="00627266" w14:paraId="687AF3CE"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4C34CE64"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9 </w:t>
            </w:r>
            <w:r w:rsidRPr="008E4C23">
              <w:rPr>
                <w:b w:val="0"/>
                <w:color w:val="000000" w:themeColor="text1"/>
                <w:kern w:val="24"/>
                <w:szCs w:val="32"/>
              </w:rPr>
              <w:t>(4% KNO</w:t>
            </w:r>
            <w:r w:rsidRPr="008E4C23">
              <w:rPr>
                <w:b w:val="0"/>
                <w:color w:val="000000" w:themeColor="text1"/>
                <w:kern w:val="24"/>
                <w:position w:val="-8"/>
                <w:szCs w:val="32"/>
                <w:vertAlign w:val="subscript"/>
              </w:rPr>
              <w:t>3</w:t>
            </w:r>
            <w:r w:rsidRPr="008E4C23">
              <w:rPr>
                <w:b w:val="0"/>
                <w:color w:val="000000" w:themeColor="text1"/>
                <w:kern w:val="24"/>
                <w:szCs w:val="32"/>
              </w:rPr>
              <w:t>for 12 h)</w:t>
            </w:r>
          </w:p>
        </w:tc>
        <w:tc>
          <w:tcPr>
            <w:tcW w:w="2340" w:type="dxa"/>
          </w:tcPr>
          <w:p w14:paraId="20DEAECB"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11.29</w:t>
            </w:r>
          </w:p>
        </w:tc>
        <w:tc>
          <w:tcPr>
            <w:tcW w:w="2970" w:type="dxa"/>
          </w:tcPr>
          <w:p w14:paraId="19E45AC5"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78.35</w:t>
            </w:r>
          </w:p>
        </w:tc>
      </w:tr>
      <w:tr w:rsidR="001E32DF" w:rsidRPr="00627266" w14:paraId="57A20DDA"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FE82789"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10 </w:t>
            </w:r>
            <w:r w:rsidRPr="008E4C23">
              <w:rPr>
                <w:b w:val="0"/>
                <w:color w:val="000000" w:themeColor="text1"/>
                <w:kern w:val="24"/>
                <w:szCs w:val="32"/>
              </w:rPr>
              <w:t>(4% KNO</w:t>
            </w:r>
            <w:r w:rsidRPr="008E4C23">
              <w:rPr>
                <w:b w:val="0"/>
                <w:color w:val="000000" w:themeColor="text1"/>
                <w:kern w:val="24"/>
                <w:position w:val="-8"/>
                <w:szCs w:val="32"/>
                <w:vertAlign w:val="subscript"/>
              </w:rPr>
              <w:t>3</w:t>
            </w:r>
            <w:r w:rsidRPr="008E4C23">
              <w:rPr>
                <w:b w:val="0"/>
                <w:color w:val="000000" w:themeColor="text1"/>
                <w:kern w:val="24"/>
                <w:szCs w:val="32"/>
              </w:rPr>
              <w:t>for 18 h)</w:t>
            </w:r>
          </w:p>
        </w:tc>
        <w:tc>
          <w:tcPr>
            <w:tcW w:w="2340" w:type="dxa"/>
            <w:shd w:val="clear" w:color="auto" w:fill="auto"/>
          </w:tcPr>
          <w:p w14:paraId="18419CB9"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12.20</w:t>
            </w:r>
          </w:p>
        </w:tc>
        <w:tc>
          <w:tcPr>
            <w:tcW w:w="2970" w:type="dxa"/>
            <w:shd w:val="clear" w:color="auto" w:fill="auto"/>
          </w:tcPr>
          <w:p w14:paraId="2826128A"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80.00</w:t>
            </w:r>
          </w:p>
        </w:tc>
      </w:tr>
      <w:tr w:rsidR="001E32DF" w:rsidRPr="00627266" w14:paraId="07F7A46F"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7EFA363D"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11</w:t>
            </w:r>
            <w:r w:rsidRPr="008E4C23">
              <w:rPr>
                <w:b w:val="0"/>
                <w:color w:val="000000" w:themeColor="text1"/>
                <w:kern w:val="24"/>
                <w:szCs w:val="32"/>
              </w:rPr>
              <w:t xml:space="preserve"> (500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12 h)</w:t>
            </w:r>
          </w:p>
        </w:tc>
        <w:tc>
          <w:tcPr>
            <w:tcW w:w="2340" w:type="dxa"/>
          </w:tcPr>
          <w:p w14:paraId="5FFFBE64"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13.86</w:t>
            </w:r>
          </w:p>
        </w:tc>
        <w:tc>
          <w:tcPr>
            <w:tcW w:w="2970" w:type="dxa"/>
          </w:tcPr>
          <w:p w14:paraId="7137E275"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84.00</w:t>
            </w:r>
          </w:p>
        </w:tc>
      </w:tr>
      <w:tr w:rsidR="001E32DF" w:rsidRPr="00627266" w14:paraId="0C22F15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26BE89A"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12 </w:t>
            </w:r>
            <w:r w:rsidRPr="008E4C23">
              <w:rPr>
                <w:b w:val="0"/>
                <w:color w:val="000000" w:themeColor="text1"/>
                <w:kern w:val="24"/>
                <w:szCs w:val="32"/>
              </w:rPr>
              <w:t>(500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18 h)</w:t>
            </w:r>
          </w:p>
        </w:tc>
        <w:tc>
          <w:tcPr>
            <w:tcW w:w="2340" w:type="dxa"/>
            <w:shd w:val="clear" w:color="auto" w:fill="auto"/>
          </w:tcPr>
          <w:p w14:paraId="40C73137"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14.93</w:t>
            </w:r>
          </w:p>
        </w:tc>
        <w:tc>
          <w:tcPr>
            <w:tcW w:w="2970" w:type="dxa"/>
            <w:shd w:val="clear" w:color="auto" w:fill="auto"/>
          </w:tcPr>
          <w:p w14:paraId="34B7D995"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90.66</w:t>
            </w:r>
          </w:p>
        </w:tc>
      </w:tr>
      <w:tr w:rsidR="001E32DF" w:rsidRPr="00627266" w14:paraId="2475CF74"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33923429"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13 </w:t>
            </w:r>
            <w:r w:rsidRPr="008E4C23">
              <w:rPr>
                <w:b w:val="0"/>
                <w:color w:val="000000" w:themeColor="text1"/>
                <w:kern w:val="24"/>
                <w:szCs w:val="32"/>
              </w:rPr>
              <w:t>(1000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12 h)</w:t>
            </w:r>
          </w:p>
        </w:tc>
        <w:tc>
          <w:tcPr>
            <w:tcW w:w="2340" w:type="dxa"/>
          </w:tcPr>
          <w:p w14:paraId="0AE7C54A"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12.88</w:t>
            </w:r>
          </w:p>
        </w:tc>
        <w:tc>
          <w:tcPr>
            <w:tcW w:w="2970" w:type="dxa"/>
          </w:tcPr>
          <w:p w14:paraId="78886ACA" w14:textId="77777777"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83.33</w:t>
            </w:r>
          </w:p>
        </w:tc>
      </w:tr>
      <w:tr w:rsidR="001E32DF" w:rsidRPr="00627266" w14:paraId="4D81EFFA"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bottom w:val="single" w:sz="4" w:space="0" w:color="auto"/>
            </w:tcBorders>
            <w:shd w:val="clear" w:color="auto" w:fill="auto"/>
          </w:tcPr>
          <w:p w14:paraId="56A46995"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14 </w:t>
            </w:r>
            <w:r w:rsidRPr="008E4C23">
              <w:rPr>
                <w:b w:val="0"/>
                <w:color w:val="000000" w:themeColor="text1"/>
                <w:kern w:val="24"/>
                <w:szCs w:val="32"/>
              </w:rPr>
              <w:t>(1000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18 h)</w:t>
            </w:r>
          </w:p>
        </w:tc>
        <w:tc>
          <w:tcPr>
            <w:tcW w:w="2340" w:type="dxa"/>
            <w:tcBorders>
              <w:bottom w:val="single" w:sz="4" w:space="0" w:color="auto"/>
            </w:tcBorders>
            <w:shd w:val="clear" w:color="auto" w:fill="auto"/>
          </w:tcPr>
          <w:p w14:paraId="7C736E2A"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11.59</w:t>
            </w:r>
          </w:p>
        </w:tc>
        <w:tc>
          <w:tcPr>
            <w:tcW w:w="2970" w:type="dxa"/>
            <w:tcBorders>
              <w:bottom w:val="single" w:sz="4" w:space="0" w:color="auto"/>
            </w:tcBorders>
            <w:shd w:val="clear" w:color="auto" w:fill="auto"/>
          </w:tcPr>
          <w:p w14:paraId="735636D1"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82.67</w:t>
            </w:r>
          </w:p>
        </w:tc>
      </w:tr>
      <w:tr w:rsidR="001E32DF" w:rsidRPr="00294EFC" w14:paraId="51B1421A" w14:textId="77777777" w:rsidTr="00CC06FB">
        <w:tc>
          <w:tcPr>
            <w:cnfStyle w:val="001000000000" w:firstRow="0" w:lastRow="0" w:firstColumn="1" w:lastColumn="0" w:oddVBand="0" w:evenVBand="0" w:oddHBand="0" w:evenHBand="0" w:firstRowFirstColumn="0" w:firstRowLastColumn="0" w:lastRowFirstColumn="0" w:lastRowLastColumn="0"/>
            <w:tcW w:w="3780" w:type="dxa"/>
            <w:tcBorders>
              <w:top w:val="single" w:sz="4" w:space="0" w:color="auto"/>
              <w:bottom w:val="nil"/>
            </w:tcBorders>
          </w:tcPr>
          <w:p w14:paraId="0CE033FF" w14:textId="77777777" w:rsidR="001E32DF" w:rsidRPr="00294EFC" w:rsidRDefault="001E32DF" w:rsidP="00CC06FB">
            <w:pPr>
              <w:spacing w:line="360" w:lineRule="auto"/>
              <w:jc w:val="both"/>
              <w:rPr>
                <w:rFonts w:ascii="Times New Roman" w:eastAsia="Times New Roman" w:hAnsi="Times New Roman" w:cs="Times New Roman"/>
                <w:bCs w:val="0"/>
                <w:sz w:val="24"/>
                <w:szCs w:val="24"/>
              </w:rPr>
            </w:pPr>
            <w:r w:rsidRPr="00294EFC">
              <w:rPr>
                <w:rFonts w:ascii="Times New Roman" w:eastAsia="Times New Roman" w:hAnsi="Times New Roman" w:cs="Times New Roman"/>
                <w:bCs w:val="0"/>
                <w:sz w:val="24"/>
                <w:szCs w:val="24"/>
              </w:rPr>
              <w:t>C.D. (P=0.05)</w:t>
            </w:r>
          </w:p>
        </w:tc>
        <w:tc>
          <w:tcPr>
            <w:tcW w:w="2340" w:type="dxa"/>
            <w:tcBorders>
              <w:top w:val="single" w:sz="4" w:space="0" w:color="auto"/>
              <w:bottom w:val="nil"/>
            </w:tcBorders>
          </w:tcPr>
          <w:p w14:paraId="10377FE0" w14:textId="77777777" w:rsidR="001E32DF" w:rsidRPr="00294EFC"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94EFC">
              <w:rPr>
                <w:rFonts w:ascii="Times New Roman" w:hAnsi="Times New Roman" w:cs="Times New Roman"/>
                <w:b/>
                <w:color w:val="auto"/>
                <w:sz w:val="24"/>
                <w:szCs w:val="24"/>
              </w:rPr>
              <w:t>0.95</w:t>
            </w:r>
          </w:p>
        </w:tc>
        <w:tc>
          <w:tcPr>
            <w:tcW w:w="2970" w:type="dxa"/>
            <w:tcBorders>
              <w:top w:val="single" w:sz="4" w:space="0" w:color="auto"/>
              <w:bottom w:val="nil"/>
            </w:tcBorders>
          </w:tcPr>
          <w:p w14:paraId="3C317DBB" w14:textId="77777777" w:rsidR="001E32DF" w:rsidRPr="00294EFC"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94EFC">
              <w:rPr>
                <w:rFonts w:ascii="Times New Roman" w:hAnsi="Times New Roman" w:cs="Times New Roman"/>
                <w:b/>
                <w:color w:val="auto"/>
                <w:sz w:val="24"/>
                <w:szCs w:val="24"/>
              </w:rPr>
              <w:t>2.22</w:t>
            </w:r>
          </w:p>
        </w:tc>
      </w:tr>
      <w:tr w:rsidR="001E32DF" w:rsidRPr="00627266" w14:paraId="642D8281"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nil"/>
            </w:tcBorders>
            <w:shd w:val="clear" w:color="auto" w:fill="auto"/>
          </w:tcPr>
          <w:p w14:paraId="1841D11D" w14:textId="77777777" w:rsidR="001E32DF" w:rsidRPr="00616351" w:rsidRDefault="001E32DF" w:rsidP="00CC06FB">
            <w:pPr>
              <w:spacing w:line="360" w:lineRule="auto"/>
              <w:jc w:val="both"/>
              <w:rPr>
                <w:rFonts w:ascii="Times New Roman" w:eastAsia="Times New Roman" w:hAnsi="Times New Roman" w:cs="Times New Roman"/>
                <w:b w:val="0"/>
                <w:sz w:val="24"/>
                <w:szCs w:val="24"/>
                <w:u w:val="single"/>
              </w:rPr>
            </w:pPr>
            <w:proofErr w:type="spellStart"/>
            <w:r>
              <w:rPr>
                <w:rFonts w:ascii="Times New Roman" w:eastAsia="Times New Roman" w:hAnsi="Times New Roman" w:cs="Times New Roman"/>
                <w:b w:val="0"/>
                <w:sz w:val="24"/>
                <w:szCs w:val="24"/>
              </w:rPr>
              <w:t>S.E</w:t>
            </w:r>
            <w:r w:rsidRPr="008E4C23">
              <w:rPr>
                <w:rFonts w:ascii="Times New Roman" w:eastAsia="Times New Roman" w:hAnsi="Times New Roman" w:cs="Times New Roman"/>
                <w:b w:val="0"/>
                <w:sz w:val="24"/>
                <w:szCs w:val="24"/>
              </w:rPr>
              <w:t>m</w:t>
            </w:r>
            <w:proofErr w:type="spellEnd"/>
            <w:r w:rsidRPr="00616351">
              <w:rPr>
                <w:rFonts w:ascii="Times New Roman" w:eastAsia="Times New Roman" w:hAnsi="Times New Roman" w:cs="Times New Roman"/>
                <w:b w:val="0"/>
                <w:sz w:val="24"/>
                <w:szCs w:val="24"/>
                <w:u w:val="single"/>
              </w:rPr>
              <w:t>+</w:t>
            </w:r>
          </w:p>
        </w:tc>
        <w:tc>
          <w:tcPr>
            <w:tcW w:w="2340" w:type="dxa"/>
            <w:tcBorders>
              <w:top w:val="nil"/>
            </w:tcBorders>
            <w:shd w:val="clear" w:color="auto" w:fill="auto"/>
          </w:tcPr>
          <w:p w14:paraId="30000E11"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C23">
              <w:rPr>
                <w:rFonts w:ascii="Times New Roman" w:hAnsi="Times New Roman" w:cs="Times New Roman"/>
                <w:sz w:val="24"/>
                <w:szCs w:val="24"/>
              </w:rPr>
              <w:t>0.32</w:t>
            </w:r>
          </w:p>
        </w:tc>
        <w:tc>
          <w:tcPr>
            <w:tcW w:w="2970" w:type="dxa"/>
            <w:tcBorders>
              <w:top w:val="nil"/>
            </w:tcBorders>
            <w:shd w:val="clear" w:color="auto" w:fill="auto"/>
          </w:tcPr>
          <w:p w14:paraId="0D28756D"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C23">
              <w:rPr>
                <w:rFonts w:ascii="Times New Roman" w:hAnsi="Times New Roman" w:cs="Times New Roman"/>
                <w:sz w:val="24"/>
                <w:szCs w:val="24"/>
              </w:rPr>
              <w:t>0.76</w:t>
            </w:r>
          </w:p>
        </w:tc>
      </w:tr>
    </w:tbl>
    <w:p w14:paraId="5C378CD3" w14:textId="77777777" w:rsidR="001E32DF" w:rsidRDefault="001E32DF" w:rsidP="00182CB7">
      <w:pPr>
        <w:jc w:val="both"/>
        <w:rPr>
          <w:rFonts w:ascii="Times New Roman" w:hAnsi="Times New Roman" w:cs="Times New Roman"/>
          <w:sz w:val="24"/>
          <w:szCs w:val="24"/>
          <w:lang w:val="en-IN"/>
        </w:rPr>
      </w:pPr>
    </w:p>
    <w:p w14:paraId="1CDAE331" w14:textId="1BEE8D6C" w:rsidR="0099437B" w:rsidRPr="00182CB7" w:rsidRDefault="0099437B" w:rsidP="0099437B">
      <w:pPr>
        <w:autoSpaceDE w:val="0"/>
        <w:autoSpaceDN w:val="0"/>
        <w:adjustRightInd w:val="0"/>
        <w:spacing w:after="0" w:line="360" w:lineRule="auto"/>
        <w:jc w:val="both"/>
        <w:rPr>
          <w:rFonts w:ascii="Times New Roman" w:hAnsi="Times New Roman" w:cs="Times New Roman"/>
          <w:sz w:val="24"/>
          <w:szCs w:val="24"/>
        </w:rPr>
      </w:pPr>
      <w:r w:rsidRPr="00F80499">
        <w:rPr>
          <w:rFonts w:ascii="Times New Roman" w:hAnsi="Times New Roman" w:cs="Times New Roman"/>
          <w:b/>
          <w:sz w:val="24"/>
          <w:szCs w:val="24"/>
        </w:rPr>
        <w:t>Effect of seed priming on growth parameters</w:t>
      </w:r>
      <w:r>
        <w:rPr>
          <w:rFonts w:ascii="Times New Roman" w:hAnsi="Times New Roman" w:cs="Times New Roman"/>
          <w:b/>
          <w:sz w:val="24"/>
          <w:szCs w:val="24"/>
        </w:rPr>
        <w:t>;</w:t>
      </w:r>
    </w:p>
    <w:p w14:paraId="7CD5A371" w14:textId="62C771C5"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In terms of growth parameters, the lowest node number to first male and female flowers was recorded in seeds treated with GA₃ @ 500 ppm for 18 hours (Table </w:t>
      </w:r>
      <w:r w:rsidR="008648D5">
        <w:rPr>
          <w:rFonts w:ascii="Times New Roman" w:hAnsi="Times New Roman" w:cs="Times New Roman"/>
          <w:sz w:val="24"/>
          <w:szCs w:val="24"/>
          <w:lang w:val="en-IN"/>
        </w:rPr>
        <w:t>3</w:t>
      </w:r>
      <w:r w:rsidRPr="00182CB7">
        <w:rPr>
          <w:rFonts w:ascii="Times New Roman" w:hAnsi="Times New Roman" w:cs="Times New Roman"/>
          <w:sz w:val="24"/>
          <w:szCs w:val="24"/>
          <w:lang w:val="en-IN"/>
        </w:rPr>
        <w:t>). The earliest appearance of female flowers was also observed in this treatment, whereas PEG @ 4% (12 hrs) delayed flowering. However, no significant difference was found among treatments for days to first male flower, indicating that this trait is likely controlled by fewer genes and less influenced by priming. These observations are consistent with the findings of Tania et al. (2020).</w:t>
      </w:r>
    </w:p>
    <w:p w14:paraId="72FECCB5" w14:textId="2A4CB3F5" w:rsidR="001E32DF" w:rsidRDefault="001E32DF" w:rsidP="00182CB7">
      <w:pPr>
        <w:jc w:val="both"/>
        <w:rPr>
          <w:rFonts w:ascii="Times New Roman" w:hAnsi="Times New Roman" w:cs="Times New Roman"/>
          <w:sz w:val="24"/>
          <w:szCs w:val="24"/>
          <w:lang w:val="en-IN"/>
        </w:rPr>
      </w:pPr>
    </w:p>
    <w:p w14:paraId="5BA09931" w14:textId="3B21C8D0" w:rsidR="00D67469" w:rsidRDefault="00D67469" w:rsidP="00182CB7">
      <w:pPr>
        <w:jc w:val="both"/>
        <w:rPr>
          <w:rFonts w:ascii="Times New Roman" w:hAnsi="Times New Roman" w:cs="Times New Roman"/>
          <w:sz w:val="24"/>
          <w:szCs w:val="24"/>
          <w:lang w:val="en-IN"/>
        </w:rPr>
      </w:pPr>
    </w:p>
    <w:p w14:paraId="1A21AF81" w14:textId="19569679" w:rsidR="00D67469" w:rsidRDefault="00D67469" w:rsidP="00182CB7">
      <w:pPr>
        <w:jc w:val="both"/>
        <w:rPr>
          <w:rFonts w:ascii="Times New Roman" w:hAnsi="Times New Roman" w:cs="Times New Roman"/>
          <w:sz w:val="24"/>
          <w:szCs w:val="24"/>
          <w:lang w:val="en-IN"/>
        </w:rPr>
      </w:pPr>
    </w:p>
    <w:p w14:paraId="29D752AF" w14:textId="448BDC4A" w:rsidR="00D67469" w:rsidRDefault="00D67469" w:rsidP="00182CB7">
      <w:pPr>
        <w:jc w:val="both"/>
        <w:rPr>
          <w:rFonts w:ascii="Times New Roman" w:hAnsi="Times New Roman" w:cs="Times New Roman"/>
          <w:sz w:val="24"/>
          <w:szCs w:val="24"/>
          <w:lang w:val="en-IN"/>
        </w:rPr>
      </w:pPr>
    </w:p>
    <w:p w14:paraId="448EDF1F" w14:textId="77777777" w:rsidR="00D67469" w:rsidRDefault="00D67469" w:rsidP="00182CB7">
      <w:pPr>
        <w:jc w:val="both"/>
        <w:rPr>
          <w:rFonts w:ascii="Times New Roman" w:hAnsi="Times New Roman" w:cs="Times New Roman"/>
          <w:sz w:val="24"/>
          <w:szCs w:val="24"/>
          <w:lang w:val="en-IN"/>
        </w:rPr>
      </w:pPr>
      <w:bookmarkStart w:id="0" w:name="_GoBack"/>
      <w:bookmarkEnd w:id="0"/>
    </w:p>
    <w:p w14:paraId="087352E5" w14:textId="77777777" w:rsidR="001E32DF" w:rsidRDefault="001E32DF" w:rsidP="00182CB7">
      <w:pPr>
        <w:jc w:val="both"/>
        <w:rPr>
          <w:rFonts w:ascii="Times New Roman" w:hAnsi="Times New Roman" w:cs="Times New Roman"/>
          <w:sz w:val="24"/>
          <w:szCs w:val="24"/>
          <w:lang w:val="en-IN"/>
        </w:rPr>
      </w:pPr>
    </w:p>
    <w:p w14:paraId="69FC66E3" w14:textId="77777777" w:rsidR="001E32DF" w:rsidRDefault="001E32DF" w:rsidP="00182CB7">
      <w:pPr>
        <w:jc w:val="both"/>
        <w:rPr>
          <w:rFonts w:ascii="Times New Roman" w:hAnsi="Times New Roman" w:cs="Times New Roman"/>
          <w:sz w:val="24"/>
          <w:szCs w:val="24"/>
          <w:lang w:val="en-IN"/>
        </w:rPr>
      </w:pPr>
    </w:p>
    <w:p w14:paraId="72756C02" w14:textId="6265A382" w:rsidR="001E32DF" w:rsidRDefault="001E32DF" w:rsidP="001E32D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3</w:t>
      </w:r>
      <w:r w:rsidRPr="00F80499">
        <w:rPr>
          <w:rFonts w:ascii="Times New Roman" w:hAnsi="Times New Roman" w:cs="Times New Roman"/>
          <w:b/>
          <w:sz w:val="24"/>
          <w:szCs w:val="24"/>
        </w:rPr>
        <w:t xml:space="preserve"> Effect of seed priming on growth parameters </w:t>
      </w:r>
    </w:p>
    <w:p w14:paraId="1DBD7B4B" w14:textId="77777777" w:rsidR="001E32DF" w:rsidRPr="00294EFC" w:rsidRDefault="001E32DF" w:rsidP="001E32DF">
      <w:pPr>
        <w:spacing w:after="0"/>
        <w:jc w:val="both"/>
        <w:rPr>
          <w:rFonts w:ascii="Times New Roman" w:hAnsi="Times New Roman" w:cs="Times New Roman"/>
          <w:b/>
          <w:sz w:val="20"/>
          <w:szCs w:val="20"/>
        </w:rPr>
      </w:pPr>
    </w:p>
    <w:tbl>
      <w:tblPr>
        <w:tblStyle w:val="LightShading"/>
        <w:tblW w:w="0" w:type="auto"/>
        <w:tblLook w:val="04A0" w:firstRow="1" w:lastRow="0" w:firstColumn="1" w:lastColumn="0" w:noHBand="0" w:noVBand="1"/>
      </w:tblPr>
      <w:tblGrid>
        <w:gridCol w:w="3219"/>
        <w:gridCol w:w="1259"/>
        <w:gridCol w:w="1494"/>
        <w:gridCol w:w="1407"/>
        <w:gridCol w:w="1477"/>
      </w:tblGrid>
      <w:tr w:rsidR="001E32DF" w:rsidRPr="00294EFC" w14:paraId="25E26E49"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92FBBC0" w14:textId="77777777" w:rsidR="001E32DF" w:rsidRPr="00294EFC" w:rsidRDefault="001E32DF" w:rsidP="00CC06FB">
            <w:pPr>
              <w:jc w:val="both"/>
              <w:rPr>
                <w:rFonts w:ascii="Times New Roman" w:hAnsi="Times New Roman" w:cs="Times New Roman"/>
                <w:bCs w:val="0"/>
              </w:rPr>
            </w:pPr>
            <w:r w:rsidRPr="00294EFC">
              <w:rPr>
                <w:rFonts w:ascii="Times New Roman" w:hAnsi="Times New Roman" w:cs="Times New Roman"/>
                <w:bCs w:val="0"/>
              </w:rPr>
              <w:t>Treatments</w:t>
            </w:r>
          </w:p>
        </w:tc>
        <w:tc>
          <w:tcPr>
            <w:tcW w:w="1283" w:type="dxa"/>
          </w:tcPr>
          <w:p w14:paraId="07425D84"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Node to first male flower</w:t>
            </w:r>
          </w:p>
        </w:tc>
        <w:tc>
          <w:tcPr>
            <w:tcW w:w="1530" w:type="dxa"/>
          </w:tcPr>
          <w:p w14:paraId="180A3D3D"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Node to first female flower</w:t>
            </w:r>
          </w:p>
        </w:tc>
        <w:tc>
          <w:tcPr>
            <w:tcW w:w="1440" w:type="dxa"/>
          </w:tcPr>
          <w:p w14:paraId="5BDC0E0C"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Days to first male flower</w:t>
            </w:r>
          </w:p>
        </w:tc>
        <w:tc>
          <w:tcPr>
            <w:tcW w:w="1512" w:type="dxa"/>
          </w:tcPr>
          <w:p w14:paraId="2413C7BD"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Days to first female flower</w:t>
            </w:r>
          </w:p>
        </w:tc>
      </w:tr>
      <w:tr w:rsidR="001E32DF" w14:paraId="476F6B0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7AADAB13" w14:textId="77777777" w:rsidR="001E32DF" w:rsidRPr="002A0F29" w:rsidRDefault="001E32DF" w:rsidP="00CC06FB">
            <w:pPr>
              <w:pStyle w:val="NormalWeb"/>
              <w:spacing w:line="233" w:lineRule="atLeast"/>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0 </w:t>
            </w:r>
            <w:r w:rsidRPr="002A0F29">
              <w:rPr>
                <w:b w:val="0"/>
                <w:color w:val="000000" w:themeColor="text1"/>
                <w:kern w:val="24"/>
                <w:szCs w:val="32"/>
              </w:rPr>
              <w:t>(Un primed seed)</w:t>
            </w:r>
          </w:p>
        </w:tc>
        <w:tc>
          <w:tcPr>
            <w:tcW w:w="1283" w:type="dxa"/>
            <w:shd w:val="clear" w:color="auto" w:fill="auto"/>
          </w:tcPr>
          <w:p w14:paraId="7388FFD2"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shd w:val="clear" w:color="auto" w:fill="auto"/>
          </w:tcPr>
          <w:p w14:paraId="69CB084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shd w:val="clear" w:color="auto" w:fill="auto"/>
          </w:tcPr>
          <w:p w14:paraId="2D0AA3A1"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0C3424A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14:paraId="061ADD2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186A644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1</w:t>
            </w:r>
            <w:r w:rsidRPr="002A0F29">
              <w:rPr>
                <w:b w:val="0"/>
                <w:color w:val="000000" w:themeColor="text1"/>
                <w:kern w:val="24"/>
                <w:szCs w:val="32"/>
              </w:rPr>
              <w:t xml:space="preserve"> (Dist. water for12 h)</w:t>
            </w:r>
          </w:p>
        </w:tc>
        <w:tc>
          <w:tcPr>
            <w:tcW w:w="1283" w:type="dxa"/>
          </w:tcPr>
          <w:p w14:paraId="4496DFF9"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11.00</w:t>
            </w:r>
          </w:p>
        </w:tc>
        <w:tc>
          <w:tcPr>
            <w:tcW w:w="1530" w:type="dxa"/>
          </w:tcPr>
          <w:p w14:paraId="6B1B32E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tcPr>
          <w:p w14:paraId="0D7D2496"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tcPr>
          <w:p w14:paraId="14F13F6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4101275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4FA3604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2</w:t>
            </w:r>
            <w:r w:rsidRPr="002A0F29">
              <w:rPr>
                <w:b w:val="0"/>
                <w:color w:val="000000" w:themeColor="text1"/>
                <w:kern w:val="24"/>
                <w:szCs w:val="32"/>
              </w:rPr>
              <w:t xml:space="preserve"> (Dist. water for18 h)</w:t>
            </w:r>
          </w:p>
        </w:tc>
        <w:tc>
          <w:tcPr>
            <w:tcW w:w="1283" w:type="dxa"/>
            <w:shd w:val="clear" w:color="auto" w:fill="auto"/>
          </w:tcPr>
          <w:p w14:paraId="49B29E8D"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8.67</w:t>
            </w:r>
          </w:p>
        </w:tc>
        <w:tc>
          <w:tcPr>
            <w:tcW w:w="1530" w:type="dxa"/>
            <w:shd w:val="clear" w:color="auto" w:fill="auto"/>
          </w:tcPr>
          <w:p w14:paraId="6479579E"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20.00</w:t>
            </w:r>
          </w:p>
        </w:tc>
        <w:tc>
          <w:tcPr>
            <w:tcW w:w="1440" w:type="dxa"/>
            <w:shd w:val="clear" w:color="auto" w:fill="auto"/>
          </w:tcPr>
          <w:p w14:paraId="1E2344C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c>
          <w:tcPr>
            <w:tcW w:w="1512" w:type="dxa"/>
            <w:shd w:val="clear" w:color="auto" w:fill="auto"/>
          </w:tcPr>
          <w:p w14:paraId="4A127436"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r>
      <w:tr w:rsidR="001E32DF" w14:paraId="1ECBFF7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44FFC44"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3</w:t>
            </w:r>
            <w:r w:rsidRPr="002A0F29">
              <w:rPr>
                <w:b w:val="0"/>
                <w:color w:val="000000" w:themeColor="text1"/>
                <w:kern w:val="24"/>
                <w:szCs w:val="32"/>
              </w:rPr>
              <w:t xml:space="preserve"> (2% PEG for 12 h)</w:t>
            </w:r>
          </w:p>
        </w:tc>
        <w:tc>
          <w:tcPr>
            <w:tcW w:w="1283" w:type="dxa"/>
          </w:tcPr>
          <w:p w14:paraId="6B8DA29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tcPr>
          <w:p w14:paraId="33A3EF59"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21.33</w:t>
            </w:r>
          </w:p>
        </w:tc>
        <w:tc>
          <w:tcPr>
            <w:tcW w:w="1440" w:type="dxa"/>
          </w:tcPr>
          <w:p w14:paraId="3321F77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43.00</w:t>
            </w:r>
          </w:p>
        </w:tc>
        <w:tc>
          <w:tcPr>
            <w:tcW w:w="1512" w:type="dxa"/>
          </w:tcPr>
          <w:p w14:paraId="392014D5"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14:paraId="5ECBDAA3"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1314CBD5"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4 </w:t>
            </w:r>
            <w:r w:rsidRPr="002A0F29">
              <w:rPr>
                <w:b w:val="0"/>
                <w:color w:val="000000" w:themeColor="text1"/>
                <w:kern w:val="24"/>
                <w:szCs w:val="32"/>
              </w:rPr>
              <w:t>(2% PEG for 18 h)</w:t>
            </w:r>
          </w:p>
        </w:tc>
        <w:tc>
          <w:tcPr>
            <w:tcW w:w="1283" w:type="dxa"/>
            <w:shd w:val="clear" w:color="auto" w:fill="auto"/>
          </w:tcPr>
          <w:p w14:paraId="1FDC5C0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11.33</w:t>
            </w:r>
          </w:p>
        </w:tc>
        <w:tc>
          <w:tcPr>
            <w:tcW w:w="1530" w:type="dxa"/>
            <w:shd w:val="clear" w:color="auto" w:fill="auto"/>
          </w:tcPr>
          <w:p w14:paraId="63C46F55"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21.00</w:t>
            </w:r>
          </w:p>
        </w:tc>
        <w:tc>
          <w:tcPr>
            <w:tcW w:w="1440" w:type="dxa"/>
            <w:shd w:val="clear" w:color="auto" w:fill="auto"/>
          </w:tcPr>
          <w:p w14:paraId="01EFFF7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6F27A402"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07F68EC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4D8F7E00"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5 </w:t>
            </w:r>
            <w:r w:rsidRPr="002A0F29">
              <w:rPr>
                <w:b w:val="0"/>
                <w:color w:val="000000" w:themeColor="text1"/>
                <w:kern w:val="24"/>
                <w:szCs w:val="32"/>
              </w:rPr>
              <w:t>(4% PEG for 12 h)</w:t>
            </w:r>
          </w:p>
        </w:tc>
        <w:tc>
          <w:tcPr>
            <w:tcW w:w="1283" w:type="dxa"/>
          </w:tcPr>
          <w:p w14:paraId="14E1973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12.00</w:t>
            </w:r>
          </w:p>
        </w:tc>
        <w:tc>
          <w:tcPr>
            <w:tcW w:w="1530" w:type="dxa"/>
          </w:tcPr>
          <w:p w14:paraId="2D733BA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20.00</w:t>
            </w:r>
          </w:p>
        </w:tc>
        <w:tc>
          <w:tcPr>
            <w:tcW w:w="1440" w:type="dxa"/>
          </w:tcPr>
          <w:p w14:paraId="38C43642"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c>
          <w:tcPr>
            <w:tcW w:w="1512" w:type="dxa"/>
          </w:tcPr>
          <w:p w14:paraId="5A624B7B"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53.33</w:t>
            </w:r>
          </w:p>
        </w:tc>
      </w:tr>
      <w:tr w:rsidR="001E32DF" w14:paraId="147DF351"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18D0C4C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6 </w:t>
            </w:r>
            <w:r w:rsidRPr="002A0F29">
              <w:rPr>
                <w:b w:val="0"/>
                <w:color w:val="000000" w:themeColor="text1"/>
                <w:kern w:val="24"/>
                <w:szCs w:val="32"/>
              </w:rPr>
              <w:t>(4% PEG for 18 h)</w:t>
            </w:r>
          </w:p>
        </w:tc>
        <w:tc>
          <w:tcPr>
            <w:tcW w:w="1283" w:type="dxa"/>
            <w:shd w:val="clear" w:color="auto" w:fill="auto"/>
          </w:tcPr>
          <w:p w14:paraId="1C1B027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14.00</w:t>
            </w:r>
          </w:p>
        </w:tc>
        <w:tc>
          <w:tcPr>
            <w:tcW w:w="1530" w:type="dxa"/>
            <w:shd w:val="clear" w:color="auto" w:fill="auto"/>
          </w:tcPr>
          <w:p w14:paraId="533AF4E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21.00</w:t>
            </w:r>
          </w:p>
        </w:tc>
        <w:tc>
          <w:tcPr>
            <w:tcW w:w="1440" w:type="dxa"/>
            <w:shd w:val="clear" w:color="auto" w:fill="auto"/>
          </w:tcPr>
          <w:p w14:paraId="17D177E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59F12DFC"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336CC195"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3EEC2AF0"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7</w:t>
            </w:r>
            <w:r w:rsidRPr="002A0F29">
              <w:rPr>
                <w:b w:val="0"/>
                <w:color w:val="000000" w:themeColor="text1"/>
                <w:kern w:val="24"/>
                <w:szCs w:val="32"/>
              </w:rPr>
              <w:t xml:space="preserve"> (2% KNO</w:t>
            </w:r>
            <w:r w:rsidRPr="002A0F29">
              <w:rPr>
                <w:b w:val="0"/>
                <w:color w:val="000000" w:themeColor="text1"/>
                <w:kern w:val="24"/>
                <w:position w:val="-8"/>
                <w:szCs w:val="32"/>
                <w:vertAlign w:val="subscript"/>
              </w:rPr>
              <w:t>3</w:t>
            </w:r>
            <w:r w:rsidRPr="002A0F29">
              <w:rPr>
                <w:b w:val="0"/>
                <w:color w:val="000000" w:themeColor="text1"/>
                <w:kern w:val="24"/>
                <w:szCs w:val="32"/>
              </w:rPr>
              <w:t>for 12 h)</w:t>
            </w:r>
          </w:p>
        </w:tc>
        <w:tc>
          <w:tcPr>
            <w:tcW w:w="1283" w:type="dxa"/>
          </w:tcPr>
          <w:p w14:paraId="0538221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tcPr>
          <w:p w14:paraId="55808B38"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17.00</w:t>
            </w:r>
          </w:p>
        </w:tc>
        <w:tc>
          <w:tcPr>
            <w:tcW w:w="1440" w:type="dxa"/>
          </w:tcPr>
          <w:p w14:paraId="3F69CC65"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c>
          <w:tcPr>
            <w:tcW w:w="1512" w:type="dxa"/>
          </w:tcPr>
          <w:p w14:paraId="58D30B7E"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55C44059"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6E4B3EAD"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8 </w:t>
            </w:r>
            <w:r w:rsidRPr="002A0F29">
              <w:rPr>
                <w:b w:val="0"/>
                <w:color w:val="000000" w:themeColor="text1"/>
                <w:kern w:val="24"/>
                <w:szCs w:val="32"/>
              </w:rPr>
              <w:t>(2% KNO</w:t>
            </w:r>
            <w:r w:rsidRPr="002A0F29">
              <w:rPr>
                <w:b w:val="0"/>
                <w:color w:val="000000" w:themeColor="text1"/>
                <w:kern w:val="24"/>
                <w:position w:val="-8"/>
                <w:szCs w:val="32"/>
                <w:vertAlign w:val="subscript"/>
              </w:rPr>
              <w:t>3</w:t>
            </w:r>
            <w:r w:rsidRPr="002A0F29">
              <w:rPr>
                <w:b w:val="0"/>
                <w:color w:val="000000" w:themeColor="text1"/>
                <w:kern w:val="24"/>
                <w:szCs w:val="32"/>
              </w:rPr>
              <w:t>for 18 h)</w:t>
            </w:r>
          </w:p>
        </w:tc>
        <w:tc>
          <w:tcPr>
            <w:tcW w:w="1283" w:type="dxa"/>
            <w:shd w:val="clear" w:color="auto" w:fill="auto"/>
          </w:tcPr>
          <w:p w14:paraId="57B072F9"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10.33</w:t>
            </w:r>
          </w:p>
        </w:tc>
        <w:tc>
          <w:tcPr>
            <w:tcW w:w="1530" w:type="dxa"/>
            <w:shd w:val="clear" w:color="auto" w:fill="auto"/>
          </w:tcPr>
          <w:p w14:paraId="2737ABAD"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18.67</w:t>
            </w:r>
          </w:p>
        </w:tc>
        <w:tc>
          <w:tcPr>
            <w:tcW w:w="1440" w:type="dxa"/>
            <w:shd w:val="clear" w:color="auto" w:fill="auto"/>
          </w:tcPr>
          <w:p w14:paraId="1DC1D0E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shd w:val="clear" w:color="auto" w:fill="auto"/>
          </w:tcPr>
          <w:p w14:paraId="2F79266F"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49.00</w:t>
            </w:r>
          </w:p>
        </w:tc>
      </w:tr>
      <w:tr w:rsidR="001E32DF" w14:paraId="0C74121E"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4E56FD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9 </w:t>
            </w:r>
            <w:r w:rsidRPr="002A0F29">
              <w:rPr>
                <w:b w:val="0"/>
                <w:color w:val="000000" w:themeColor="text1"/>
                <w:kern w:val="24"/>
                <w:szCs w:val="32"/>
              </w:rPr>
              <w:t>(4% KNO</w:t>
            </w:r>
            <w:r w:rsidRPr="002A0F29">
              <w:rPr>
                <w:b w:val="0"/>
                <w:color w:val="000000" w:themeColor="text1"/>
                <w:kern w:val="24"/>
                <w:position w:val="-8"/>
                <w:szCs w:val="32"/>
                <w:vertAlign w:val="subscript"/>
              </w:rPr>
              <w:t>3</w:t>
            </w:r>
            <w:r w:rsidRPr="002A0F29">
              <w:rPr>
                <w:b w:val="0"/>
                <w:color w:val="000000" w:themeColor="text1"/>
                <w:kern w:val="24"/>
                <w:szCs w:val="32"/>
              </w:rPr>
              <w:t>for 12 h)</w:t>
            </w:r>
          </w:p>
        </w:tc>
        <w:tc>
          <w:tcPr>
            <w:tcW w:w="1283" w:type="dxa"/>
          </w:tcPr>
          <w:p w14:paraId="51019A2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9.33</w:t>
            </w:r>
          </w:p>
        </w:tc>
        <w:tc>
          <w:tcPr>
            <w:tcW w:w="1530" w:type="dxa"/>
          </w:tcPr>
          <w:p w14:paraId="458473DC"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tcPr>
          <w:p w14:paraId="055D8BA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c>
          <w:tcPr>
            <w:tcW w:w="1512" w:type="dxa"/>
          </w:tcPr>
          <w:p w14:paraId="70C33924"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45.67</w:t>
            </w:r>
          </w:p>
        </w:tc>
      </w:tr>
      <w:tr w:rsidR="001E32DF" w14:paraId="68E2CE40"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5BE7BC13"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10 </w:t>
            </w:r>
            <w:r w:rsidRPr="002A0F29">
              <w:rPr>
                <w:b w:val="0"/>
                <w:color w:val="000000" w:themeColor="text1"/>
                <w:kern w:val="24"/>
                <w:szCs w:val="32"/>
              </w:rPr>
              <w:t>(4% KNO</w:t>
            </w:r>
            <w:r w:rsidRPr="002A0F29">
              <w:rPr>
                <w:b w:val="0"/>
                <w:color w:val="000000" w:themeColor="text1"/>
                <w:kern w:val="24"/>
                <w:position w:val="-8"/>
                <w:szCs w:val="32"/>
                <w:vertAlign w:val="subscript"/>
              </w:rPr>
              <w:t>3</w:t>
            </w:r>
            <w:r w:rsidRPr="002A0F29">
              <w:rPr>
                <w:b w:val="0"/>
                <w:color w:val="000000" w:themeColor="text1"/>
                <w:kern w:val="24"/>
                <w:szCs w:val="32"/>
              </w:rPr>
              <w:t>for 18 h)</w:t>
            </w:r>
          </w:p>
        </w:tc>
        <w:tc>
          <w:tcPr>
            <w:tcW w:w="1283" w:type="dxa"/>
            <w:shd w:val="clear" w:color="auto" w:fill="auto"/>
          </w:tcPr>
          <w:p w14:paraId="64270110"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10.67</w:t>
            </w:r>
          </w:p>
        </w:tc>
        <w:tc>
          <w:tcPr>
            <w:tcW w:w="1530" w:type="dxa"/>
            <w:shd w:val="clear" w:color="auto" w:fill="auto"/>
          </w:tcPr>
          <w:p w14:paraId="4760ACB0"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20.00</w:t>
            </w:r>
          </w:p>
        </w:tc>
        <w:tc>
          <w:tcPr>
            <w:tcW w:w="1440" w:type="dxa"/>
            <w:shd w:val="clear" w:color="auto" w:fill="auto"/>
          </w:tcPr>
          <w:p w14:paraId="62CDA8AA"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43.00</w:t>
            </w:r>
          </w:p>
        </w:tc>
        <w:tc>
          <w:tcPr>
            <w:tcW w:w="1512" w:type="dxa"/>
            <w:shd w:val="clear" w:color="auto" w:fill="auto"/>
          </w:tcPr>
          <w:p w14:paraId="06CC5B9A"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51.00</w:t>
            </w:r>
          </w:p>
        </w:tc>
      </w:tr>
      <w:tr w:rsidR="001E32DF" w14:paraId="467DA7B3"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00F6D00"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11</w:t>
            </w:r>
            <w:r w:rsidRPr="002A0F29">
              <w:rPr>
                <w:b w:val="0"/>
                <w:color w:val="000000" w:themeColor="text1"/>
                <w:kern w:val="24"/>
                <w:szCs w:val="32"/>
              </w:rPr>
              <w:t xml:space="preserve"> (500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12 h)</w:t>
            </w:r>
          </w:p>
        </w:tc>
        <w:tc>
          <w:tcPr>
            <w:tcW w:w="1283" w:type="dxa"/>
          </w:tcPr>
          <w:p w14:paraId="4AD58D9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8.00</w:t>
            </w:r>
          </w:p>
        </w:tc>
        <w:tc>
          <w:tcPr>
            <w:tcW w:w="1530" w:type="dxa"/>
          </w:tcPr>
          <w:p w14:paraId="7DA5A59B"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15.00</w:t>
            </w:r>
          </w:p>
        </w:tc>
        <w:tc>
          <w:tcPr>
            <w:tcW w:w="1440" w:type="dxa"/>
          </w:tcPr>
          <w:p w14:paraId="56CF1DA6"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45.33</w:t>
            </w:r>
          </w:p>
        </w:tc>
        <w:tc>
          <w:tcPr>
            <w:tcW w:w="1512" w:type="dxa"/>
          </w:tcPr>
          <w:p w14:paraId="62B14A56"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14:paraId="4B99B2C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5D974B6D"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12 </w:t>
            </w:r>
            <w:r w:rsidRPr="002A0F29">
              <w:rPr>
                <w:b w:val="0"/>
                <w:color w:val="000000" w:themeColor="text1"/>
                <w:kern w:val="24"/>
                <w:szCs w:val="32"/>
              </w:rPr>
              <w:t>(500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18 h)</w:t>
            </w:r>
          </w:p>
        </w:tc>
        <w:tc>
          <w:tcPr>
            <w:tcW w:w="1283" w:type="dxa"/>
            <w:shd w:val="clear" w:color="auto" w:fill="auto"/>
          </w:tcPr>
          <w:p w14:paraId="103586C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6.00</w:t>
            </w:r>
          </w:p>
        </w:tc>
        <w:tc>
          <w:tcPr>
            <w:tcW w:w="1530" w:type="dxa"/>
            <w:shd w:val="clear" w:color="auto" w:fill="auto"/>
          </w:tcPr>
          <w:p w14:paraId="7080C65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12.00</w:t>
            </w:r>
          </w:p>
        </w:tc>
        <w:tc>
          <w:tcPr>
            <w:tcW w:w="1440" w:type="dxa"/>
            <w:shd w:val="clear" w:color="auto" w:fill="auto"/>
          </w:tcPr>
          <w:p w14:paraId="1745614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42.00</w:t>
            </w:r>
          </w:p>
        </w:tc>
        <w:tc>
          <w:tcPr>
            <w:tcW w:w="1512" w:type="dxa"/>
            <w:shd w:val="clear" w:color="auto" w:fill="auto"/>
          </w:tcPr>
          <w:p w14:paraId="5BB1B5D6"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44.00</w:t>
            </w:r>
          </w:p>
        </w:tc>
      </w:tr>
      <w:tr w:rsidR="001E32DF" w14:paraId="37313F9E"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26D3711"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13 </w:t>
            </w:r>
            <w:r w:rsidRPr="002A0F29">
              <w:rPr>
                <w:b w:val="0"/>
                <w:color w:val="000000" w:themeColor="text1"/>
                <w:kern w:val="24"/>
                <w:szCs w:val="32"/>
              </w:rPr>
              <w:t>(1000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12 h)</w:t>
            </w:r>
          </w:p>
        </w:tc>
        <w:tc>
          <w:tcPr>
            <w:tcW w:w="1283" w:type="dxa"/>
          </w:tcPr>
          <w:p w14:paraId="12E663CA"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7.00</w:t>
            </w:r>
          </w:p>
        </w:tc>
        <w:tc>
          <w:tcPr>
            <w:tcW w:w="1530" w:type="dxa"/>
          </w:tcPr>
          <w:p w14:paraId="2B8F0357"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18.00</w:t>
            </w:r>
          </w:p>
        </w:tc>
        <w:tc>
          <w:tcPr>
            <w:tcW w:w="1440" w:type="dxa"/>
          </w:tcPr>
          <w:p w14:paraId="287FFAF9"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tcPr>
          <w:p w14:paraId="50CBD82E"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51.00</w:t>
            </w:r>
          </w:p>
        </w:tc>
      </w:tr>
      <w:tr w:rsidR="001E32DF" w14:paraId="72A21EE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bottom w:val="single" w:sz="4" w:space="0" w:color="auto"/>
            </w:tcBorders>
            <w:shd w:val="clear" w:color="auto" w:fill="auto"/>
          </w:tcPr>
          <w:p w14:paraId="7762613E"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14 </w:t>
            </w:r>
            <w:r w:rsidRPr="002A0F29">
              <w:rPr>
                <w:b w:val="0"/>
                <w:color w:val="000000" w:themeColor="text1"/>
                <w:kern w:val="24"/>
                <w:szCs w:val="32"/>
              </w:rPr>
              <w:t>(1000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18 h)</w:t>
            </w:r>
          </w:p>
        </w:tc>
        <w:tc>
          <w:tcPr>
            <w:tcW w:w="1283" w:type="dxa"/>
            <w:tcBorders>
              <w:bottom w:val="single" w:sz="4" w:space="0" w:color="auto"/>
            </w:tcBorders>
            <w:shd w:val="clear" w:color="auto" w:fill="auto"/>
          </w:tcPr>
          <w:p w14:paraId="1439875B"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10.00</w:t>
            </w:r>
          </w:p>
        </w:tc>
        <w:tc>
          <w:tcPr>
            <w:tcW w:w="1530" w:type="dxa"/>
            <w:tcBorders>
              <w:bottom w:val="single" w:sz="4" w:space="0" w:color="auto"/>
            </w:tcBorders>
            <w:shd w:val="clear" w:color="auto" w:fill="auto"/>
          </w:tcPr>
          <w:p w14:paraId="7E0A5D09"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16.33</w:t>
            </w:r>
          </w:p>
        </w:tc>
        <w:tc>
          <w:tcPr>
            <w:tcW w:w="1440" w:type="dxa"/>
            <w:tcBorders>
              <w:bottom w:val="single" w:sz="4" w:space="0" w:color="auto"/>
            </w:tcBorders>
            <w:shd w:val="clear" w:color="auto" w:fill="auto"/>
          </w:tcPr>
          <w:p w14:paraId="6EA01E3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45.00</w:t>
            </w:r>
          </w:p>
        </w:tc>
        <w:tc>
          <w:tcPr>
            <w:tcW w:w="1512" w:type="dxa"/>
            <w:tcBorders>
              <w:bottom w:val="single" w:sz="4" w:space="0" w:color="auto"/>
            </w:tcBorders>
            <w:shd w:val="clear" w:color="auto" w:fill="auto"/>
          </w:tcPr>
          <w:p w14:paraId="0FB37527"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47.00</w:t>
            </w:r>
          </w:p>
        </w:tc>
      </w:tr>
      <w:tr w:rsidR="001E32DF" w:rsidRPr="00294EFC" w14:paraId="72B108BA" w14:textId="77777777" w:rsidTr="00CC06FB">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bottom w:val="nil"/>
            </w:tcBorders>
          </w:tcPr>
          <w:p w14:paraId="5089480F" w14:textId="77777777" w:rsidR="001E32DF" w:rsidRPr="00294EFC" w:rsidRDefault="001E32DF" w:rsidP="00CC06FB">
            <w:pPr>
              <w:jc w:val="both"/>
              <w:rPr>
                <w:rFonts w:ascii="Times New Roman" w:eastAsia="Times New Roman" w:hAnsi="Times New Roman" w:cs="Times New Roman"/>
                <w:bCs w:val="0"/>
                <w:sz w:val="24"/>
                <w:szCs w:val="24"/>
              </w:rPr>
            </w:pPr>
            <w:r w:rsidRPr="00294EFC">
              <w:rPr>
                <w:rFonts w:ascii="Times New Roman" w:eastAsia="Times New Roman" w:hAnsi="Times New Roman" w:cs="Times New Roman"/>
                <w:bCs w:val="0"/>
                <w:sz w:val="24"/>
                <w:szCs w:val="24"/>
              </w:rPr>
              <w:t>C.D. (P=0.05)</w:t>
            </w:r>
          </w:p>
        </w:tc>
        <w:tc>
          <w:tcPr>
            <w:tcW w:w="1283" w:type="dxa"/>
            <w:tcBorders>
              <w:top w:val="single" w:sz="4" w:space="0" w:color="auto"/>
              <w:bottom w:val="nil"/>
            </w:tcBorders>
          </w:tcPr>
          <w:p w14:paraId="3D9E38E6"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2.43</w:t>
            </w:r>
          </w:p>
        </w:tc>
        <w:tc>
          <w:tcPr>
            <w:tcW w:w="1530" w:type="dxa"/>
            <w:tcBorders>
              <w:top w:val="single" w:sz="4" w:space="0" w:color="auto"/>
              <w:bottom w:val="nil"/>
            </w:tcBorders>
          </w:tcPr>
          <w:p w14:paraId="79F99409"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3.77</w:t>
            </w:r>
          </w:p>
        </w:tc>
        <w:tc>
          <w:tcPr>
            <w:tcW w:w="1440" w:type="dxa"/>
            <w:tcBorders>
              <w:top w:val="single" w:sz="4" w:space="0" w:color="auto"/>
              <w:bottom w:val="nil"/>
            </w:tcBorders>
          </w:tcPr>
          <w:p w14:paraId="76B11E38"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N/S</w:t>
            </w:r>
          </w:p>
        </w:tc>
        <w:tc>
          <w:tcPr>
            <w:tcW w:w="1512" w:type="dxa"/>
            <w:tcBorders>
              <w:top w:val="single" w:sz="4" w:space="0" w:color="auto"/>
              <w:bottom w:val="nil"/>
            </w:tcBorders>
          </w:tcPr>
          <w:p w14:paraId="03E13B6A"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4.04</w:t>
            </w:r>
          </w:p>
        </w:tc>
      </w:tr>
      <w:tr w:rsidR="001E32DF" w14:paraId="2425AC73"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top w:val="nil"/>
            </w:tcBorders>
            <w:shd w:val="clear" w:color="auto" w:fill="auto"/>
          </w:tcPr>
          <w:p w14:paraId="0CA8C2C2" w14:textId="77777777" w:rsidR="001E32DF" w:rsidRPr="002A0F29" w:rsidRDefault="001E32DF" w:rsidP="00CC06FB">
            <w:pPr>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S.E</w:t>
            </w:r>
            <w:r w:rsidRPr="00F04B4D">
              <w:rPr>
                <w:rFonts w:ascii="Times New Roman" w:eastAsia="Times New Roman" w:hAnsi="Times New Roman" w:cs="Times New Roman"/>
                <w:b w:val="0"/>
                <w:sz w:val="24"/>
                <w:szCs w:val="24"/>
              </w:rPr>
              <w:t>m</w:t>
            </w:r>
            <w:proofErr w:type="spellEnd"/>
            <w:r w:rsidRPr="00873AD3">
              <w:rPr>
                <w:rFonts w:ascii="Times New Roman" w:eastAsia="Times New Roman" w:hAnsi="Times New Roman" w:cs="Times New Roman"/>
                <w:b w:val="0"/>
                <w:sz w:val="24"/>
                <w:szCs w:val="24"/>
                <w:u w:val="single"/>
              </w:rPr>
              <w:t>+</w:t>
            </w:r>
          </w:p>
        </w:tc>
        <w:tc>
          <w:tcPr>
            <w:tcW w:w="1283" w:type="dxa"/>
            <w:tcBorders>
              <w:top w:val="nil"/>
            </w:tcBorders>
            <w:shd w:val="clear" w:color="auto" w:fill="auto"/>
          </w:tcPr>
          <w:p w14:paraId="4144314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0.83</w:t>
            </w:r>
          </w:p>
        </w:tc>
        <w:tc>
          <w:tcPr>
            <w:tcW w:w="1530" w:type="dxa"/>
            <w:tcBorders>
              <w:top w:val="nil"/>
            </w:tcBorders>
            <w:shd w:val="clear" w:color="auto" w:fill="auto"/>
          </w:tcPr>
          <w:p w14:paraId="7022DEA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1.29</w:t>
            </w:r>
          </w:p>
        </w:tc>
        <w:tc>
          <w:tcPr>
            <w:tcW w:w="1440" w:type="dxa"/>
            <w:tcBorders>
              <w:top w:val="nil"/>
            </w:tcBorders>
            <w:shd w:val="clear" w:color="auto" w:fill="auto"/>
          </w:tcPr>
          <w:p w14:paraId="04C4D4E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1.43</w:t>
            </w:r>
          </w:p>
        </w:tc>
        <w:tc>
          <w:tcPr>
            <w:tcW w:w="1512" w:type="dxa"/>
            <w:tcBorders>
              <w:top w:val="nil"/>
            </w:tcBorders>
            <w:shd w:val="clear" w:color="auto" w:fill="auto"/>
          </w:tcPr>
          <w:p w14:paraId="0E27B3B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1.39</w:t>
            </w:r>
          </w:p>
        </w:tc>
      </w:tr>
    </w:tbl>
    <w:p w14:paraId="19E90E5D" w14:textId="77777777" w:rsidR="001E32DF" w:rsidRDefault="001E32DF" w:rsidP="00182CB7">
      <w:pPr>
        <w:jc w:val="both"/>
        <w:rPr>
          <w:rFonts w:ascii="Times New Roman" w:hAnsi="Times New Roman" w:cs="Times New Roman"/>
          <w:sz w:val="24"/>
          <w:szCs w:val="24"/>
          <w:lang w:val="en-IN"/>
        </w:rPr>
      </w:pPr>
    </w:p>
    <w:p w14:paraId="09DB8E72" w14:textId="268D5DA7" w:rsidR="0099437B" w:rsidRPr="00182CB7" w:rsidRDefault="0099437B" w:rsidP="0099437B">
      <w:pPr>
        <w:autoSpaceDE w:val="0"/>
        <w:autoSpaceDN w:val="0"/>
        <w:adjustRightInd w:val="0"/>
        <w:spacing w:after="0" w:line="360" w:lineRule="auto"/>
        <w:jc w:val="both"/>
        <w:rPr>
          <w:rFonts w:ascii="Times New Roman" w:hAnsi="Times New Roman" w:cs="Times New Roman"/>
          <w:sz w:val="24"/>
          <w:szCs w:val="24"/>
        </w:rPr>
      </w:pPr>
      <w:r w:rsidRPr="00F80499">
        <w:rPr>
          <w:rFonts w:ascii="Times New Roman" w:hAnsi="Times New Roman" w:cs="Times New Roman"/>
          <w:b/>
          <w:sz w:val="24"/>
          <w:szCs w:val="24"/>
        </w:rPr>
        <w:t>Effect of seed priming on growth parameters</w:t>
      </w:r>
      <w:r>
        <w:rPr>
          <w:rFonts w:ascii="Times New Roman" w:hAnsi="Times New Roman" w:cs="Times New Roman"/>
          <w:b/>
          <w:sz w:val="24"/>
          <w:szCs w:val="24"/>
        </w:rPr>
        <w:t>;</w:t>
      </w:r>
    </w:p>
    <w:p w14:paraId="2AEC22E2" w14:textId="2D2DFBB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Regarding yield parameters, the results revealed significant differences among treatments (Table </w:t>
      </w:r>
      <w:r w:rsidR="008648D5">
        <w:rPr>
          <w:rFonts w:ascii="Times New Roman" w:hAnsi="Times New Roman" w:cs="Times New Roman"/>
          <w:sz w:val="24"/>
          <w:szCs w:val="24"/>
          <w:lang w:val="en-IN"/>
        </w:rPr>
        <w:t>4</w:t>
      </w:r>
      <w:r w:rsidRPr="00182CB7">
        <w:rPr>
          <w:rFonts w:ascii="Times New Roman" w:hAnsi="Times New Roman" w:cs="Times New Roman"/>
          <w:sz w:val="24"/>
          <w:szCs w:val="24"/>
          <w:lang w:val="en-IN"/>
        </w:rPr>
        <w:t xml:space="preserve">). The shortest duration to first fruit harvest was observed in GA₃ @ 500 ppm (18 hrs), which was statistically similar to GA₃ @ 1000 ppm (18 hrs) and distilled water (18 hrs) treatments. In contrast, the longest duration to first fruit harvest was noted under PEG @ 4% (12 hrs) treatment. This could be attributed to enhanced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and early establishment in the GA₃-treated seeds.</w:t>
      </w:r>
    </w:p>
    <w:p w14:paraId="40030341" w14:textId="7777777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The highest average fruit weight was recorded in GA₃ @ 500 ppm (18 hrs), followed by GA₃ @ 500 ppm (12 hrs), while the lowest fruit weight was found in PEG @ 4% (12 hrs). The increased fruit weight in GA₃-primed seeds may result from higher </w:t>
      </w:r>
      <w:r w:rsidRPr="00182CB7">
        <w:rPr>
          <w:rFonts w:ascii="Times New Roman" w:hAnsi="Times New Roman" w:cs="Times New Roman"/>
          <w:sz w:val="24"/>
          <w:szCs w:val="24"/>
          <w:lang w:val="en-IN"/>
        </w:rPr>
        <w:lastRenderedPageBreak/>
        <w:t>photosynthetic activity and improved translocation of assimilates from source to sink, as supported by Mauro et al. (2020). Conversely, PEG-induced osmotic stress may have disrupted early sprouting and reduced fruit development (Elien et al. 2019).</w:t>
      </w:r>
    </w:p>
    <w:p w14:paraId="4EA0B592" w14:textId="77777777"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Among all treatments, the maximum average fruit yield per plant (4.67 kg) was obtained from GA₃ @ 500 ppm (18 hrs), while the minimum (2.33 kg) was recorded in PEG @ 4% (12 hrs). The higher yield in GA₃-primed plants can be attributed to increased fruit weight and a greater number of fruits per plant. These findings align with the results of Kumar and Singh (2013), Das et al. (2014), and Soubhagya (2016), who also reported that hormonal priming with GA₃ enhances germination,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indices, and overall plant performance.</w:t>
      </w:r>
    </w:p>
    <w:p w14:paraId="498DDB7E" w14:textId="234E1F0D" w:rsidR="001E32DF" w:rsidRDefault="001E32DF" w:rsidP="001E32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4</w:t>
      </w:r>
      <w:r w:rsidRPr="00046925">
        <w:rPr>
          <w:rFonts w:ascii="Times New Roman" w:hAnsi="Times New Roman" w:cs="Times New Roman"/>
          <w:b/>
          <w:sz w:val="24"/>
          <w:szCs w:val="24"/>
        </w:rPr>
        <w:t xml:space="preserve"> Effect</w:t>
      </w:r>
      <w:r w:rsidRPr="00EF7FEB">
        <w:rPr>
          <w:rFonts w:ascii="Times New Roman" w:hAnsi="Times New Roman" w:cs="Times New Roman"/>
          <w:b/>
          <w:sz w:val="24"/>
          <w:szCs w:val="24"/>
        </w:rPr>
        <w:t xml:space="preserve"> of seed priming on </w:t>
      </w:r>
      <w:r>
        <w:rPr>
          <w:rFonts w:ascii="Times New Roman" w:hAnsi="Times New Roman" w:cs="Times New Roman"/>
          <w:b/>
          <w:sz w:val="24"/>
          <w:szCs w:val="24"/>
        </w:rPr>
        <w:t>yield parameters</w:t>
      </w:r>
    </w:p>
    <w:p w14:paraId="622A5985" w14:textId="77777777" w:rsidR="001E32DF" w:rsidRDefault="001E32DF" w:rsidP="001E32DF">
      <w:pPr>
        <w:spacing w:after="0" w:line="240" w:lineRule="auto"/>
        <w:jc w:val="both"/>
        <w:rPr>
          <w:rFonts w:ascii="Times New Roman" w:hAnsi="Times New Roman" w:cs="Times New Roman"/>
          <w:b/>
          <w:sz w:val="24"/>
          <w:szCs w:val="24"/>
        </w:rPr>
      </w:pPr>
    </w:p>
    <w:tbl>
      <w:tblPr>
        <w:tblStyle w:val="LightShading"/>
        <w:tblW w:w="0" w:type="auto"/>
        <w:tblLook w:val="04A0" w:firstRow="1" w:lastRow="0" w:firstColumn="1" w:lastColumn="0" w:noHBand="0" w:noVBand="1"/>
      </w:tblPr>
      <w:tblGrid>
        <w:gridCol w:w="3398"/>
        <w:gridCol w:w="1927"/>
        <w:gridCol w:w="1761"/>
        <w:gridCol w:w="1770"/>
      </w:tblGrid>
      <w:tr w:rsidR="001E32DF" w:rsidRPr="00873AD3" w14:paraId="288256BC"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DB940F9" w14:textId="77777777" w:rsidR="001E32DF" w:rsidRPr="00873AD3" w:rsidRDefault="001E32DF" w:rsidP="00CC06FB">
            <w:pPr>
              <w:jc w:val="both"/>
              <w:rPr>
                <w:rFonts w:ascii="Times New Roman" w:hAnsi="Times New Roman" w:cs="Times New Roman"/>
                <w:bCs w:val="0"/>
                <w:sz w:val="24"/>
                <w:szCs w:val="24"/>
              </w:rPr>
            </w:pPr>
            <w:r w:rsidRPr="00873AD3">
              <w:rPr>
                <w:rFonts w:ascii="Times New Roman" w:hAnsi="Times New Roman" w:cs="Times New Roman"/>
                <w:bCs w:val="0"/>
                <w:sz w:val="24"/>
                <w:szCs w:val="24"/>
              </w:rPr>
              <w:t xml:space="preserve">Treatments </w:t>
            </w:r>
          </w:p>
        </w:tc>
        <w:tc>
          <w:tcPr>
            <w:tcW w:w="1980" w:type="dxa"/>
          </w:tcPr>
          <w:p w14:paraId="16FE5B63"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873AD3">
              <w:rPr>
                <w:rFonts w:ascii="Times New Roman" w:hAnsi="Times New Roman" w:cs="Times New Roman"/>
                <w:bCs w:val="0"/>
                <w:sz w:val="24"/>
                <w:szCs w:val="24"/>
              </w:rPr>
              <w:t>Days to first fruit harvest</w:t>
            </w:r>
          </w:p>
        </w:tc>
        <w:tc>
          <w:tcPr>
            <w:tcW w:w="1800" w:type="dxa"/>
          </w:tcPr>
          <w:p w14:paraId="3704B105"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873AD3">
              <w:rPr>
                <w:rFonts w:ascii="Times New Roman" w:hAnsi="Times New Roman" w:cs="Times New Roman"/>
                <w:bCs w:val="0"/>
                <w:sz w:val="24"/>
                <w:szCs w:val="24"/>
              </w:rPr>
              <w:t xml:space="preserve">Average fruit weight (g) </w:t>
            </w:r>
          </w:p>
        </w:tc>
        <w:tc>
          <w:tcPr>
            <w:tcW w:w="1800" w:type="dxa"/>
          </w:tcPr>
          <w:p w14:paraId="4A07CE4E"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873AD3">
              <w:rPr>
                <w:rFonts w:ascii="Times New Roman" w:hAnsi="Times New Roman" w:cs="Times New Roman"/>
                <w:bCs w:val="0"/>
                <w:color w:val="000000"/>
                <w:sz w:val="24"/>
                <w:szCs w:val="24"/>
              </w:rPr>
              <w:t>Average Fruit yield (kg/plant)</w:t>
            </w:r>
          </w:p>
        </w:tc>
      </w:tr>
      <w:tr w:rsidR="001E32DF" w14:paraId="45F11C74"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B464051" w14:textId="77777777" w:rsidR="001E32DF" w:rsidRPr="00F04B4D" w:rsidRDefault="001E32DF" w:rsidP="00CC06FB">
            <w:pPr>
              <w:pStyle w:val="NormalWeb"/>
              <w:spacing w:line="233" w:lineRule="atLeast"/>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0 </w:t>
            </w:r>
            <w:r w:rsidRPr="00F04B4D">
              <w:rPr>
                <w:b w:val="0"/>
                <w:color w:val="000000" w:themeColor="text1"/>
                <w:kern w:val="24"/>
                <w:szCs w:val="32"/>
              </w:rPr>
              <w:t>(Un primed seed)</w:t>
            </w:r>
          </w:p>
        </w:tc>
        <w:tc>
          <w:tcPr>
            <w:tcW w:w="1980" w:type="dxa"/>
            <w:shd w:val="clear" w:color="auto" w:fill="auto"/>
          </w:tcPr>
          <w:p w14:paraId="411E2AFC"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shd w:val="clear" w:color="auto" w:fill="auto"/>
          </w:tcPr>
          <w:p w14:paraId="3D63CAEE"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61.63</w:t>
            </w:r>
          </w:p>
        </w:tc>
        <w:tc>
          <w:tcPr>
            <w:tcW w:w="1800" w:type="dxa"/>
            <w:shd w:val="clear" w:color="auto" w:fill="auto"/>
          </w:tcPr>
          <w:p w14:paraId="386CEDF2"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3.21</w:t>
            </w:r>
          </w:p>
        </w:tc>
      </w:tr>
      <w:tr w:rsidR="001E32DF" w14:paraId="35D9A585"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4DDD692E"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1</w:t>
            </w:r>
            <w:r w:rsidRPr="00F04B4D">
              <w:rPr>
                <w:b w:val="0"/>
                <w:color w:val="000000" w:themeColor="text1"/>
                <w:kern w:val="24"/>
                <w:szCs w:val="32"/>
              </w:rPr>
              <w:t xml:space="preserve"> (Dist. water for12 h)</w:t>
            </w:r>
          </w:p>
        </w:tc>
        <w:tc>
          <w:tcPr>
            <w:tcW w:w="1980" w:type="dxa"/>
          </w:tcPr>
          <w:p w14:paraId="4218D7C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57.00</w:t>
            </w:r>
          </w:p>
        </w:tc>
        <w:tc>
          <w:tcPr>
            <w:tcW w:w="1800" w:type="dxa"/>
          </w:tcPr>
          <w:p w14:paraId="4E1B1E33"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52.16</w:t>
            </w:r>
          </w:p>
        </w:tc>
        <w:tc>
          <w:tcPr>
            <w:tcW w:w="1800" w:type="dxa"/>
          </w:tcPr>
          <w:p w14:paraId="01625EC0"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2.92</w:t>
            </w:r>
          </w:p>
        </w:tc>
      </w:tr>
      <w:tr w:rsidR="001E32DF" w14:paraId="12E5ACC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79AFBAE0"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2</w:t>
            </w:r>
            <w:r w:rsidRPr="00F04B4D">
              <w:rPr>
                <w:b w:val="0"/>
                <w:color w:val="000000" w:themeColor="text1"/>
                <w:kern w:val="24"/>
                <w:szCs w:val="32"/>
              </w:rPr>
              <w:t xml:space="preserve"> (Dist. water for18 h)</w:t>
            </w:r>
          </w:p>
        </w:tc>
        <w:tc>
          <w:tcPr>
            <w:tcW w:w="1980" w:type="dxa"/>
            <w:shd w:val="clear" w:color="auto" w:fill="auto"/>
          </w:tcPr>
          <w:p w14:paraId="65A12DB1"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55.00</w:t>
            </w:r>
          </w:p>
        </w:tc>
        <w:tc>
          <w:tcPr>
            <w:tcW w:w="1800" w:type="dxa"/>
            <w:shd w:val="clear" w:color="auto" w:fill="auto"/>
          </w:tcPr>
          <w:p w14:paraId="7362C520"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62.21</w:t>
            </w:r>
          </w:p>
        </w:tc>
        <w:tc>
          <w:tcPr>
            <w:tcW w:w="1800" w:type="dxa"/>
            <w:shd w:val="clear" w:color="auto" w:fill="auto"/>
          </w:tcPr>
          <w:p w14:paraId="2F31570F"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3.85</w:t>
            </w:r>
          </w:p>
        </w:tc>
      </w:tr>
      <w:tr w:rsidR="001E32DF" w14:paraId="18C412F2"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1022D97E"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3</w:t>
            </w:r>
            <w:r w:rsidRPr="00F04B4D">
              <w:rPr>
                <w:b w:val="0"/>
                <w:color w:val="000000" w:themeColor="text1"/>
                <w:kern w:val="24"/>
                <w:szCs w:val="32"/>
              </w:rPr>
              <w:t xml:space="preserve"> (2% PEG for 12 h)</w:t>
            </w:r>
          </w:p>
        </w:tc>
        <w:tc>
          <w:tcPr>
            <w:tcW w:w="1980" w:type="dxa"/>
          </w:tcPr>
          <w:p w14:paraId="23FE5FE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55.33</w:t>
            </w:r>
          </w:p>
        </w:tc>
        <w:tc>
          <w:tcPr>
            <w:tcW w:w="1800" w:type="dxa"/>
          </w:tcPr>
          <w:p w14:paraId="70B23CC4"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73.52</w:t>
            </w:r>
          </w:p>
        </w:tc>
        <w:tc>
          <w:tcPr>
            <w:tcW w:w="1800" w:type="dxa"/>
          </w:tcPr>
          <w:p w14:paraId="00D22437"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3.08</w:t>
            </w:r>
          </w:p>
        </w:tc>
      </w:tr>
      <w:tr w:rsidR="001E32DF" w14:paraId="4B84A0A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51793E6"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4 </w:t>
            </w:r>
            <w:r w:rsidRPr="00F04B4D">
              <w:rPr>
                <w:b w:val="0"/>
                <w:color w:val="000000" w:themeColor="text1"/>
                <w:kern w:val="24"/>
                <w:szCs w:val="32"/>
              </w:rPr>
              <w:t>(2% PEG for 18 h)</w:t>
            </w:r>
          </w:p>
        </w:tc>
        <w:tc>
          <w:tcPr>
            <w:tcW w:w="1980" w:type="dxa"/>
            <w:shd w:val="clear" w:color="auto" w:fill="auto"/>
          </w:tcPr>
          <w:p w14:paraId="6491B68E"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shd w:val="clear" w:color="auto" w:fill="auto"/>
          </w:tcPr>
          <w:p w14:paraId="45155F88"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66.63</w:t>
            </w:r>
          </w:p>
        </w:tc>
        <w:tc>
          <w:tcPr>
            <w:tcW w:w="1800" w:type="dxa"/>
            <w:shd w:val="clear" w:color="auto" w:fill="auto"/>
          </w:tcPr>
          <w:p w14:paraId="5FFEC2D0"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3.39</w:t>
            </w:r>
          </w:p>
        </w:tc>
      </w:tr>
      <w:tr w:rsidR="001E32DF" w14:paraId="64F395D1"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3A14AAAB"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5 </w:t>
            </w:r>
            <w:r w:rsidRPr="00F04B4D">
              <w:rPr>
                <w:b w:val="0"/>
                <w:color w:val="000000" w:themeColor="text1"/>
                <w:kern w:val="24"/>
                <w:szCs w:val="32"/>
              </w:rPr>
              <w:t>(4% PEG for 12 h)</w:t>
            </w:r>
          </w:p>
        </w:tc>
        <w:tc>
          <w:tcPr>
            <w:tcW w:w="1980" w:type="dxa"/>
          </w:tcPr>
          <w:p w14:paraId="45E44733"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61.33</w:t>
            </w:r>
          </w:p>
        </w:tc>
        <w:tc>
          <w:tcPr>
            <w:tcW w:w="1800" w:type="dxa"/>
          </w:tcPr>
          <w:p w14:paraId="618C4AA3"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58.36</w:t>
            </w:r>
          </w:p>
        </w:tc>
        <w:tc>
          <w:tcPr>
            <w:tcW w:w="1800" w:type="dxa"/>
          </w:tcPr>
          <w:p w14:paraId="5E184A9F"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2.33</w:t>
            </w:r>
          </w:p>
        </w:tc>
      </w:tr>
      <w:tr w:rsidR="001E32DF" w14:paraId="5E20AFCF"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FC76DE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6 </w:t>
            </w:r>
            <w:r w:rsidRPr="00F04B4D">
              <w:rPr>
                <w:b w:val="0"/>
                <w:color w:val="000000" w:themeColor="text1"/>
                <w:kern w:val="24"/>
                <w:szCs w:val="32"/>
              </w:rPr>
              <w:t>(4% PEG for 18 h)</w:t>
            </w:r>
          </w:p>
        </w:tc>
        <w:tc>
          <w:tcPr>
            <w:tcW w:w="1980" w:type="dxa"/>
            <w:shd w:val="clear" w:color="auto" w:fill="auto"/>
          </w:tcPr>
          <w:p w14:paraId="50CF53B6"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shd w:val="clear" w:color="auto" w:fill="auto"/>
          </w:tcPr>
          <w:p w14:paraId="3CCB5A70"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66.02</w:t>
            </w:r>
          </w:p>
        </w:tc>
        <w:tc>
          <w:tcPr>
            <w:tcW w:w="1800" w:type="dxa"/>
            <w:shd w:val="clear" w:color="auto" w:fill="auto"/>
          </w:tcPr>
          <w:p w14:paraId="6059550D"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2.89</w:t>
            </w:r>
          </w:p>
        </w:tc>
      </w:tr>
      <w:tr w:rsidR="001E32DF" w14:paraId="04EE3A84"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27057B1B"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7</w:t>
            </w:r>
            <w:r w:rsidRPr="00F04B4D">
              <w:rPr>
                <w:b w:val="0"/>
                <w:color w:val="000000" w:themeColor="text1"/>
                <w:kern w:val="24"/>
                <w:szCs w:val="32"/>
              </w:rPr>
              <w:t xml:space="preserve"> (2% KNO</w:t>
            </w:r>
            <w:r w:rsidRPr="00F04B4D">
              <w:rPr>
                <w:b w:val="0"/>
                <w:color w:val="000000" w:themeColor="text1"/>
                <w:kern w:val="24"/>
                <w:position w:val="-8"/>
                <w:szCs w:val="32"/>
                <w:vertAlign w:val="subscript"/>
              </w:rPr>
              <w:t>3</w:t>
            </w:r>
            <w:r w:rsidRPr="00F04B4D">
              <w:rPr>
                <w:b w:val="0"/>
                <w:color w:val="000000" w:themeColor="text1"/>
                <w:kern w:val="24"/>
                <w:szCs w:val="32"/>
              </w:rPr>
              <w:t>for 12 h)</w:t>
            </w:r>
          </w:p>
        </w:tc>
        <w:tc>
          <w:tcPr>
            <w:tcW w:w="1980" w:type="dxa"/>
          </w:tcPr>
          <w:p w14:paraId="18508BA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58.00</w:t>
            </w:r>
          </w:p>
        </w:tc>
        <w:tc>
          <w:tcPr>
            <w:tcW w:w="1800" w:type="dxa"/>
          </w:tcPr>
          <w:p w14:paraId="650A857E"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73.36</w:t>
            </w:r>
          </w:p>
        </w:tc>
        <w:tc>
          <w:tcPr>
            <w:tcW w:w="1800" w:type="dxa"/>
          </w:tcPr>
          <w:p w14:paraId="5FB02E54"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2.34</w:t>
            </w:r>
          </w:p>
        </w:tc>
      </w:tr>
      <w:tr w:rsidR="001E32DF" w14:paraId="124E991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2477FF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8 </w:t>
            </w:r>
            <w:r w:rsidRPr="00F04B4D">
              <w:rPr>
                <w:b w:val="0"/>
                <w:color w:val="000000" w:themeColor="text1"/>
                <w:kern w:val="24"/>
                <w:szCs w:val="32"/>
              </w:rPr>
              <w:t>(2% KNO</w:t>
            </w:r>
            <w:r w:rsidRPr="00F04B4D">
              <w:rPr>
                <w:b w:val="0"/>
                <w:color w:val="000000" w:themeColor="text1"/>
                <w:kern w:val="24"/>
                <w:position w:val="-8"/>
                <w:szCs w:val="32"/>
                <w:vertAlign w:val="subscript"/>
              </w:rPr>
              <w:t>3</w:t>
            </w:r>
            <w:r w:rsidRPr="00F04B4D">
              <w:rPr>
                <w:b w:val="0"/>
                <w:color w:val="000000" w:themeColor="text1"/>
                <w:kern w:val="24"/>
                <w:szCs w:val="32"/>
              </w:rPr>
              <w:t>for 18 h)</w:t>
            </w:r>
          </w:p>
        </w:tc>
        <w:tc>
          <w:tcPr>
            <w:tcW w:w="1980" w:type="dxa"/>
            <w:shd w:val="clear" w:color="auto" w:fill="auto"/>
          </w:tcPr>
          <w:p w14:paraId="4C041DE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57.00</w:t>
            </w:r>
          </w:p>
        </w:tc>
        <w:tc>
          <w:tcPr>
            <w:tcW w:w="1800" w:type="dxa"/>
            <w:shd w:val="clear" w:color="auto" w:fill="auto"/>
          </w:tcPr>
          <w:p w14:paraId="54FC59EC"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68.17</w:t>
            </w:r>
          </w:p>
        </w:tc>
        <w:tc>
          <w:tcPr>
            <w:tcW w:w="1800" w:type="dxa"/>
            <w:shd w:val="clear" w:color="auto" w:fill="auto"/>
          </w:tcPr>
          <w:p w14:paraId="70128A3F"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2.38</w:t>
            </w:r>
          </w:p>
        </w:tc>
      </w:tr>
      <w:tr w:rsidR="001E32DF" w14:paraId="57E398F6"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6C53A0C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9 </w:t>
            </w:r>
            <w:r w:rsidRPr="00F04B4D">
              <w:rPr>
                <w:b w:val="0"/>
                <w:color w:val="000000" w:themeColor="text1"/>
                <w:kern w:val="24"/>
                <w:szCs w:val="32"/>
              </w:rPr>
              <w:t>(4% KNO</w:t>
            </w:r>
            <w:r w:rsidRPr="00F04B4D">
              <w:rPr>
                <w:b w:val="0"/>
                <w:color w:val="000000" w:themeColor="text1"/>
                <w:kern w:val="24"/>
                <w:position w:val="-8"/>
                <w:szCs w:val="32"/>
                <w:vertAlign w:val="subscript"/>
              </w:rPr>
              <w:t>3</w:t>
            </w:r>
            <w:r w:rsidRPr="00F04B4D">
              <w:rPr>
                <w:b w:val="0"/>
                <w:color w:val="000000" w:themeColor="text1"/>
                <w:kern w:val="24"/>
                <w:szCs w:val="32"/>
              </w:rPr>
              <w:t>for 12 h)</w:t>
            </w:r>
          </w:p>
        </w:tc>
        <w:tc>
          <w:tcPr>
            <w:tcW w:w="1980" w:type="dxa"/>
          </w:tcPr>
          <w:p w14:paraId="5F4AFC0E"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55.00</w:t>
            </w:r>
          </w:p>
        </w:tc>
        <w:tc>
          <w:tcPr>
            <w:tcW w:w="1800" w:type="dxa"/>
          </w:tcPr>
          <w:p w14:paraId="5AB48D4F"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50.96</w:t>
            </w:r>
          </w:p>
        </w:tc>
        <w:tc>
          <w:tcPr>
            <w:tcW w:w="1800" w:type="dxa"/>
          </w:tcPr>
          <w:p w14:paraId="5B9E02F0"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3.13</w:t>
            </w:r>
          </w:p>
        </w:tc>
      </w:tr>
      <w:tr w:rsidR="001E32DF" w14:paraId="352B6B1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1700529"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10 </w:t>
            </w:r>
            <w:r w:rsidRPr="00F04B4D">
              <w:rPr>
                <w:b w:val="0"/>
                <w:color w:val="000000" w:themeColor="text1"/>
                <w:kern w:val="24"/>
                <w:szCs w:val="32"/>
              </w:rPr>
              <w:t>(4% KNO</w:t>
            </w:r>
            <w:r w:rsidRPr="00F04B4D">
              <w:rPr>
                <w:b w:val="0"/>
                <w:color w:val="000000" w:themeColor="text1"/>
                <w:kern w:val="24"/>
                <w:position w:val="-8"/>
                <w:szCs w:val="32"/>
                <w:vertAlign w:val="subscript"/>
              </w:rPr>
              <w:t>3</w:t>
            </w:r>
            <w:r w:rsidRPr="00F04B4D">
              <w:rPr>
                <w:b w:val="0"/>
                <w:color w:val="000000" w:themeColor="text1"/>
                <w:kern w:val="24"/>
                <w:szCs w:val="32"/>
              </w:rPr>
              <w:t>for 18 h)</w:t>
            </w:r>
          </w:p>
        </w:tc>
        <w:tc>
          <w:tcPr>
            <w:tcW w:w="1980" w:type="dxa"/>
            <w:shd w:val="clear" w:color="auto" w:fill="auto"/>
          </w:tcPr>
          <w:p w14:paraId="5182D008"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60.00</w:t>
            </w:r>
          </w:p>
        </w:tc>
        <w:tc>
          <w:tcPr>
            <w:tcW w:w="1800" w:type="dxa"/>
            <w:shd w:val="clear" w:color="auto" w:fill="auto"/>
          </w:tcPr>
          <w:p w14:paraId="2273B07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51.35</w:t>
            </w:r>
          </w:p>
        </w:tc>
        <w:tc>
          <w:tcPr>
            <w:tcW w:w="1800" w:type="dxa"/>
            <w:shd w:val="clear" w:color="auto" w:fill="auto"/>
          </w:tcPr>
          <w:p w14:paraId="4B451B0C"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3.00</w:t>
            </w:r>
          </w:p>
        </w:tc>
      </w:tr>
      <w:tr w:rsidR="001E32DF" w14:paraId="6E6880B8"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5DB7E8A8"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11</w:t>
            </w:r>
            <w:r w:rsidRPr="00F04B4D">
              <w:rPr>
                <w:b w:val="0"/>
                <w:color w:val="000000" w:themeColor="text1"/>
                <w:kern w:val="24"/>
                <w:szCs w:val="32"/>
              </w:rPr>
              <w:t xml:space="preserve"> (500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12 h)</w:t>
            </w:r>
          </w:p>
        </w:tc>
        <w:tc>
          <w:tcPr>
            <w:tcW w:w="1980" w:type="dxa"/>
          </w:tcPr>
          <w:p w14:paraId="736561AD"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57.00</w:t>
            </w:r>
          </w:p>
        </w:tc>
        <w:tc>
          <w:tcPr>
            <w:tcW w:w="1800" w:type="dxa"/>
          </w:tcPr>
          <w:p w14:paraId="1361123A"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76.47</w:t>
            </w:r>
          </w:p>
        </w:tc>
        <w:tc>
          <w:tcPr>
            <w:tcW w:w="1800" w:type="dxa"/>
          </w:tcPr>
          <w:p w14:paraId="0E04EF9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3.91</w:t>
            </w:r>
          </w:p>
        </w:tc>
      </w:tr>
      <w:tr w:rsidR="001E32DF" w14:paraId="494AE648"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A1EFF44"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12 </w:t>
            </w:r>
            <w:r w:rsidRPr="00F04B4D">
              <w:rPr>
                <w:b w:val="0"/>
                <w:color w:val="000000" w:themeColor="text1"/>
                <w:kern w:val="24"/>
                <w:szCs w:val="32"/>
              </w:rPr>
              <w:t>(500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18 h)</w:t>
            </w:r>
          </w:p>
        </w:tc>
        <w:tc>
          <w:tcPr>
            <w:tcW w:w="1980" w:type="dxa"/>
            <w:shd w:val="clear" w:color="auto" w:fill="auto"/>
          </w:tcPr>
          <w:p w14:paraId="5233A73F"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52.00</w:t>
            </w:r>
          </w:p>
        </w:tc>
        <w:tc>
          <w:tcPr>
            <w:tcW w:w="1800" w:type="dxa"/>
            <w:shd w:val="clear" w:color="auto" w:fill="auto"/>
          </w:tcPr>
          <w:p w14:paraId="22A40A0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77.99</w:t>
            </w:r>
          </w:p>
        </w:tc>
        <w:tc>
          <w:tcPr>
            <w:tcW w:w="1800" w:type="dxa"/>
            <w:shd w:val="clear" w:color="auto" w:fill="auto"/>
          </w:tcPr>
          <w:p w14:paraId="0A21AF33"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4.67</w:t>
            </w:r>
          </w:p>
        </w:tc>
      </w:tr>
      <w:tr w:rsidR="001E32DF" w14:paraId="66CFC9D3"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59713F2E"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13 </w:t>
            </w:r>
            <w:r w:rsidRPr="00F04B4D">
              <w:rPr>
                <w:b w:val="0"/>
                <w:color w:val="000000" w:themeColor="text1"/>
                <w:kern w:val="24"/>
                <w:szCs w:val="32"/>
              </w:rPr>
              <w:t>(1000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12 h)</w:t>
            </w:r>
          </w:p>
        </w:tc>
        <w:tc>
          <w:tcPr>
            <w:tcW w:w="1980" w:type="dxa"/>
          </w:tcPr>
          <w:p w14:paraId="6891BE8C"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60.00</w:t>
            </w:r>
          </w:p>
        </w:tc>
        <w:tc>
          <w:tcPr>
            <w:tcW w:w="1800" w:type="dxa"/>
          </w:tcPr>
          <w:p w14:paraId="3A47DDD9"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67.95</w:t>
            </w:r>
          </w:p>
        </w:tc>
        <w:tc>
          <w:tcPr>
            <w:tcW w:w="1800" w:type="dxa"/>
          </w:tcPr>
          <w:p w14:paraId="72169144" w14:textId="77777777"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3.88</w:t>
            </w:r>
          </w:p>
        </w:tc>
      </w:tr>
      <w:tr w:rsidR="001E32DF" w14:paraId="2A05913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shd w:val="clear" w:color="auto" w:fill="auto"/>
          </w:tcPr>
          <w:p w14:paraId="4C7E81B0"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14 </w:t>
            </w:r>
            <w:r w:rsidRPr="00F04B4D">
              <w:rPr>
                <w:b w:val="0"/>
                <w:color w:val="000000" w:themeColor="text1"/>
                <w:kern w:val="24"/>
                <w:szCs w:val="32"/>
              </w:rPr>
              <w:t>(1000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18 h)</w:t>
            </w:r>
          </w:p>
        </w:tc>
        <w:tc>
          <w:tcPr>
            <w:tcW w:w="1980" w:type="dxa"/>
            <w:tcBorders>
              <w:bottom w:val="single" w:sz="4" w:space="0" w:color="auto"/>
            </w:tcBorders>
            <w:shd w:val="clear" w:color="auto" w:fill="auto"/>
          </w:tcPr>
          <w:p w14:paraId="2C42153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55.00</w:t>
            </w:r>
          </w:p>
        </w:tc>
        <w:tc>
          <w:tcPr>
            <w:tcW w:w="1800" w:type="dxa"/>
            <w:tcBorders>
              <w:bottom w:val="single" w:sz="4" w:space="0" w:color="auto"/>
            </w:tcBorders>
            <w:shd w:val="clear" w:color="auto" w:fill="auto"/>
          </w:tcPr>
          <w:p w14:paraId="7E3444AD"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70.98</w:t>
            </w:r>
          </w:p>
        </w:tc>
        <w:tc>
          <w:tcPr>
            <w:tcW w:w="1800" w:type="dxa"/>
            <w:tcBorders>
              <w:bottom w:val="single" w:sz="4" w:space="0" w:color="auto"/>
            </w:tcBorders>
            <w:shd w:val="clear" w:color="auto" w:fill="auto"/>
          </w:tcPr>
          <w:p w14:paraId="363BAA6B"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3.66</w:t>
            </w:r>
          </w:p>
        </w:tc>
      </w:tr>
      <w:tr w:rsidR="001E32DF" w:rsidRPr="00873AD3" w14:paraId="0B6325D4" w14:textId="77777777" w:rsidTr="00CC06FB">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bottom w:val="nil"/>
            </w:tcBorders>
          </w:tcPr>
          <w:p w14:paraId="32A14D6A" w14:textId="77777777" w:rsidR="001E32DF" w:rsidRPr="00873AD3" w:rsidRDefault="001E32DF" w:rsidP="00CC06FB">
            <w:pPr>
              <w:jc w:val="both"/>
              <w:rPr>
                <w:rFonts w:ascii="Times New Roman" w:eastAsia="Times New Roman" w:hAnsi="Times New Roman" w:cs="Times New Roman"/>
                <w:bCs w:val="0"/>
                <w:sz w:val="24"/>
                <w:szCs w:val="24"/>
              </w:rPr>
            </w:pPr>
            <w:r w:rsidRPr="00873AD3">
              <w:rPr>
                <w:rFonts w:ascii="Times New Roman" w:eastAsia="Times New Roman" w:hAnsi="Times New Roman" w:cs="Times New Roman"/>
                <w:bCs w:val="0"/>
                <w:sz w:val="24"/>
                <w:szCs w:val="24"/>
              </w:rPr>
              <w:t>C.D. (P=0.05)</w:t>
            </w:r>
          </w:p>
        </w:tc>
        <w:tc>
          <w:tcPr>
            <w:tcW w:w="1980" w:type="dxa"/>
            <w:tcBorders>
              <w:top w:val="single" w:sz="4" w:space="0" w:color="auto"/>
              <w:bottom w:val="nil"/>
            </w:tcBorders>
          </w:tcPr>
          <w:p w14:paraId="7123B232"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3.08</w:t>
            </w:r>
          </w:p>
        </w:tc>
        <w:tc>
          <w:tcPr>
            <w:tcW w:w="1800" w:type="dxa"/>
            <w:tcBorders>
              <w:top w:val="single" w:sz="4" w:space="0" w:color="auto"/>
              <w:bottom w:val="nil"/>
            </w:tcBorders>
          </w:tcPr>
          <w:p w14:paraId="01782E71"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1.30</w:t>
            </w:r>
          </w:p>
        </w:tc>
        <w:tc>
          <w:tcPr>
            <w:tcW w:w="1800" w:type="dxa"/>
            <w:tcBorders>
              <w:top w:val="single" w:sz="4" w:space="0" w:color="auto"/>
              <w:bottom w:val="nil"/>
            </w:tcBorders>
          </w:tcPr>
          <w:p w14:paraId="7A9A4557"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0.31</w:t>
            </w:r>
          </w:p>
        </w:tc>
      </w:tr>
      <w:tr w:rsidR="001E32DF" w14:paraId="6384987E"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il"/>
            </w:tcBorders>
            <w:shd w:val="clear" w:color="auto" w:fill="auto"/>
          </w:tcPr>
          <w:p w14:paraId="75AEE165" w14:textId="77777777" w:rsidR="001E32DF" w:rsidRPr="00F04B4D" w:rsidRDefault="001E32DF" w:rsidP="00CC06FB">
            <w:pPr>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S.E</w:t>
            </w:r>
            <w:r w:rsidRPr="00F04B4D">
              <w:rPr>
                <w:rFonts w:ascii="Times New Roman" w:eastAsia="Times New Roman" w:hAnsi="Times New Roman" w:cs="Times New Roman"/>
                <w:b w:val="0"/>
                <w:sz w:val="24"/>
                <w:szCs w:val="24"/>
              </w:rPr>
              <w:t>m</w:t>
            </w:r>
            <w:proofErr w:type="spellEnd"/>
            <w:r w:rsidRPr="00873AD3">
              <w:rPr>
                <w:rFonts w:ascii="Times New Roman" w:eastAsia="Times New Roman" w:hAnsi="Times New Roman" w:cs="Times New Roman"/>
                <w:b w:val="0"/>
                <w:sz w:val="24"/>
                <w:szCs w:val="24"/>
                <w:u w:val="single"/>
              </w:rPr>
              <w:t>+</w:t>
            </w:r>
          </w:p>
        </w:tc>
        <w:tc>
          <w:tcPr>
            <w:tcW w:w="1980" w:type="dxa"/>
            <w:tcBorders>
              <w:top w:val="nil"/>
            </w:tcBorders>
            <w:shd w:val="clear" w:color="auto" w:fill="auto"/>
          </w:tcPr>
          <w:p w14:paraId="5109E66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1.06</w:t>
            </w:r>
          </w:p>
        </w:tc>
        <w:tc>
          <w:tcPr>
            <w:tcW w:w="1800" w:type="dxa"/>
            <w:tcBorders>
              <w:top w:val="nil"/>
            </w:tcBorders>
            <w:shd w:val="clear" w:color="auto" w:fill="auto"/>
          </w:tcPr>
          <w:p w14:paraId="03D93AC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0.44</w:t>
            </w:r>
          </w:p>
        </w:tc>
        <w:tc>
          <w:tcPr>
            <w:tcW w:w="1800" w:type="dxa"/>
            <w:tcBorders>
              <w:top w:val="nil"/>
            </w:tcBorders>
            <w:shd w:val="clear" w:color="auto" w:fill="auto"/>
          </w:tcPr>
          <w:p w14:paraId="3FB024E7"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0.10</w:t>
            </w:r>
          </w:p>
        </w:tc>
      </w:tr>
    </w:tbl>
    <w:p w14:paraId="1469F859" w14:textId="77777777" w:rsidR="001E32DF" w:rsidRPr="00182CB7" w:rsidRDefault="001E32DF" w:rsidP="00182CB7">
      <w:pPr>
        <w:jc w:val="both"/>
        <w:rPr>
          <w:rFonts w:ascii="Times New Roman" w:hAnsi="Times New Roman" w:cs="Times New Roman"/>
          <w:sz w:val="24"/>
          <w:szCs w:val="24"/>
          <w:lang w:val="en-IN"/>
        </w:rPr>
      </w:pPr>
    </w:p>
    <w:p w14:paraId="06627D88" w14:textId="7777777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Priming bitter gourd seeds with gibberellic acid (GA₃) likely activates </w:t>
      </w:r>
      <w:proofErr w:type="spellStart"/>
      <w:r w:rsidRPr="00182CB7">
        <w:rPr>
          <w:rFonts w:ascii="Times New Roman" w:hAnsi="Times New Roman" w:cs="Times New Roman"/>
          <w:sz w:val="24"/>
          <w:szCs w:val="24"/>
          <w:lang w:val="en-IN"/>
        </w:rPr>
        <w:t>favorable</w:t>
      </w:r>
      <w:proofErr w:type="spellEnd"/>
      <w:r w:rsidRPr="00182CB7">
        <w:rPr>
          <w:rFonts w:ascii="Times New Roman" w:hAnsi="Times New Roman" w:cs="Times New Roman"/>
          <w:sz w:val="24"/>
          <w:szCs w:val="24"/>
          <w:lang w:val="en-IN"/>
        </w:rPr>
        <w:t xml:space="preserve"> metabolic processes within the seed, promoting better germination, seedling establishment, and subsequent growth. The present study suggests that pre-treatment of </w:t>
      </w:r>
      <w:r w:rsidRPr="00182CB7">
        <w:rPr>
          <w:rFonts w:ascii="Times New Roman" w:hAnsi="Times New Roman" w:cs="Times New Roman"/>
          <w:sz w:val="24"/>
          <w:szCs w:val="24"/>
          <w:lang w:val="en-IN"/>
        </w:rPr>
        <w:lastRenderedPageBreak/>
        <w:t xml:space="preserve">bitter gourd seeds with GA₃ @ 500 ppm for 18 hours significantly enhances germination rate, relative growth,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and fruit yield.</w:t>
      </w:r>
    </w:p>
    <w:p w14:paraId="0B767592" w14:textId="77777777"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Plant growth primarily depends on photosynthesis, which in turn is regulated by stomatal activity affecting CO₂ exchange, respiration, and transpiration rates (Mauro et al. 2020). The results of this investigation revealed that the highest photosynthesis rate, transpiration rate, and CO₂ index were observed in plants grown from seeds primed with GA₃ @ 500 ppm (18 hrs), compared to all other treatments. These findings corroborate those of Das et al. (2014) and De Castro et al. (2014), who demonstrated that GA₃ priming enhances seed germination,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dry weight, and photosynthetic efficiency, leading to improved plant growth and productivity.</w:t>
      </w:r>
    </w:p>
    <w:p w14:paraId="3DF3501F" w14:textId="77777777" w:rsidR="001E32DF" w:rsidRPr="00182CB7" w:rsidRDefault="001E32DF" w:rsidP="00182CB7">
      <w:pPr>
        <w:jc w:val="both"/>
        <w:rPr>
          <w:rFonts w:ascii="Times New Roman" w:hAnsi="Times New Roman" w:cs="Times New Roman"/>
          <w:sz w:val="24"/>
          <w:szCs w:val="24"/>
          <w:lang w:val="en-IN"/>
        </w:rPr>
      </w:pPr>
    </w:p>
    <w:p w14:paraId="13D15BD2" w14:textId="5A890721" w:rsidR="000F2035" w:rsidRPr="0099437B" w:rsidRDefault="00EC0E33" w:rsidP="00182CB7">
      <w:pPr>
        <w:jc w:val="both"/>
        <w:rPr>
          <w:rFonts w:ascii="Times New Roman" w:hAnsi="Times New Roman" w:cs="Times New Roman"/>
          <w:b/>
          <w:bCs/>
          <w:sz w:val="24"/>
          <w:szCs w:val="24"/>
        </w:rPr>
      </w:pPr>
      <w:r w:rsidRPr="0099437B">
        <w:rPr>
          <w:rFonts w:ascii="Times New Roman" w:hAnsi="Times New Roman" w:cs="Times New Roman"/>
          <w:b/>
          <w:bCs/>
          <w:sz w:val="24"/>
          <w:szCs w:val="24"/>
        </w:rPr>
        <w:t>4. Conclusion</w:t>
      </w:r>
    </w:p>
    <w:p w14:paraId="61BC45B4" w14:textId="77777777" w:rsidR="000F2035" w:rsidRPr="00182CB7" w:rsidRDefault="00EC0E33" w:rsidP="00182CB7">
      <w:pPr>
        <w:jc w:val="both"/>
        <w:rPr>
          <w:rFonts w:ascii="Times New Roman" w:hAnsi="Times New Roman" w:cs="Times New Roman"/>
          <w:sz w:val="24"/>
          <w:szCs w:val="24"/>
        </w:rPr>
      </w:pPr>
      <w:r w:rsidRPr="00182CB7">
        <w:rPr>
          <w:rFonts w:ascii="Times New Roman" w:hAnsi="Times New Roman" w:cs="Times New Roman"/>
          <w:sz w:val="24"/>
          <w:szCs w:val="24"/>
        </w:rPr>
        <w:t>The present study concludes that hormonal priming with GA₃ @ 500 ppm for 18 hours is the most effective treatment for enhancing the field performance of bitter gourd cv. Kahalgaon Local. This treatment improved germination rate, reduced time to flowering, and increased fruit yield and weight. Conversely, PEG-based osmopriming, particularly at higher concentrations, negatively affected emergence and yield. Seed priming with GA₃ can therefore be recommended for commercial bitter gourd production to improve seedling establishment and productivity under varying environmental conditions.</w:t>
      </w:r>
    </w:p>
    <w:p w14:paraId="4DD53F08" w14:textId="77777777" w:rsidR="000F2035" w:rsidRPr="0099437B" w:rsidRDefault="00EC0E33" w:rsidP="0099437B">
      <w:pPr>
        <w:pStyle w:val="Heading1"/>
        <w:jc w:val="both"/>
        <w:rPr>
          <w:rFonts w:ascii="Times New Roman" w:hAnsi="Times New Roman" w:cs="Times New Roman"/>
          <w:color w:val="auto"/>
          <w:sz w:val="24"/>
          <w:szCs w:val="24"/>
        </w:rPr>
      </w:pPr>
      <w:r w:rsidRPr="0099437B">
        <w:rPr>
          <w:rFonts w:ascii="Times New Roman" w:hAnsi="Times New Roman" w:cs="Times New Roman"/>
          <w:color w:val="auto"/>
          <w:sz w:val="24"/>
          <w:szCs w:val="24"/>
        </w:rPr>
        <w:t>References</w:t>
      </w:r>
    </w:p>
    <w:p w14:paraId="08DFF897"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Anonymous (2018). Area and Production of Vegetable Crops in India. Indian Horticulture Database, National Horticulture Board.</w:t>
      </w:r>
    </w:p>
    <w:p w14:paraId="135074CD" w14:textId="77777777" w:rsidR="000F2035"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Das, S., Dash, F.M., Nandi, A.K., Senapati, N., Sarkar, S., &amp; Pandey, G. (2014). Seed quality index: an estimate used to predict response of bottle gourd seeds to hydro and osmopriming. Advances in Applied Agricultural Science, 2(12): 2383–4234.</w:t>
      </w:r>
    </w:p>
    <w:p w14:paraId="38FE303D" w14:textId="77777777" w:rsidR="008B4848" w:rsidRDefault="008B4848" w:rsidP="008B4848">
      <w:pPr>
        <w:pStyle w:val="ListNumber"/>
      </w:pPr>
      <w:r>
        <w:t xml:space="preserve">De Castro FA, </w:t>
      </w:r>
      <w:proofErr w:type="spellStart"/>
      <w:r>
        <w:t>Campostrini</w:t>
      </w:r>
      <w:proofErr w:type="spellEnd"/>
      <w:r>
        <w:t xml:space="preserve"> E, </w:t>
      </w:r>
      <w:proofErr w:type="spellStart"/>
      <w:r>
        <w:t>Netto</w:t>
      </w:r>
      <w:proofErr w:type="spellEnd"/>
      <w:r>
        <w:t xml:space="preserve"> AT, De Menezes DAGM, Ferraz TM, Glenn DM (2014)</w:t>
      </w:r>
      <w:r w:rsidRPr="00324EB4">
        <w:t xml:space="preserve"> Portable chlorophyll meter (PCM-502) values are related to total chlorophyll concentration and photosynthetic capacity in papaya (</w:t>
      </w:r>
      <w:r w:rsidRPr="00324EB4">
        <w:rPr>
          <w:i/>
        </w:rPr>
        <w:t>Carica papaya</w:t>
      </w:r>
      <w:r w:rsidRPr="00324EB4">
        <w:t xml:space="preserve"> L.). </w:t>
      </w:r>
      <w:r w:rsidRPr="00324EB4">
        <w:rPr>
          <w:bCs/>
          <w:color w:val="202124"/>
          <w:shd w:val="clear" w:color="auto" w:fill="FFFFFF"/>
        </w:rPr>
        <w:t>Theoretical and Experimental Plant Physiology</w:t>
      </w:r>
      <w:r>
        <w:t xml:space="preserve"> 2014, 26:</w:t>
      </w:r>
      <w:r w:rsidRPr="00324EB4">
        <w:t xml:space="preserve"> 201–210</w:t>
      </w:r>
      <w:r>
        <w:t>.</w:t>
      </w:r>
    </w:p>
    <w:p w14:paraId="109D9BF1" w14:textId="6A82DA50" w:rsidR="000F2035" w:rsidRPr="008B4848" w:rsidRDefault="00EC0E33" w:rsidP="008B4848">
      <w:pPr>
        <w:pStyle w:val="ListNumber"/>
      </w:pPr>
      <w:r w:rsidRPr="008B4848">
        <w:rPr>
          <w:rFonts w:ascii="Times New Roman" w:hAnsi="Times New Roman" w:cs="Times New Roman"/>
          <w:sz w:val="24"/>
          <w:szCs w:val="24"/>
        </w:rPr>
        <w:t>Elien, L., Lomme, J.D., Niels, D.B., Wannes, L.D.M., Maurice, D.P., Els, P., &amp; Jan, A.D. (2019). The impact of hydro-priming and osmo-priming on seedling characteristics in sprouted wheat. ACS Omega, 4(26): 22089–22100.</w:t>
      </w:r>
    </w:p>
    <w:p w14:paraId="09741A43"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 xml:space="preserve">Girolamo, G.D., &amp; Barbanti, L. (2012). Treatment conditions and biochemical processes influencing seed priming effectiveness. Italian Journal of Agronomy, </w:t>
      </w:r>
      <w:proofErr w:type="gramStart"/>
      <w:r w:rsidRPr="003F11E0">
        <w:rPr>
          <w:rFonts w:ascii="Times New Roman" w:hAnsi="Times New Roman" w:cs="Times New Roman"/>
          <w:sz w:val="24"/>
          <w:szCs w:val="24"/>
        </w:rPr>
        <w:t>7:e</w:t>
      </w:r>
      <w:proofErr w:type="gramEnd"/>
      <w:r w:rsidRPr="003F11E0">
        <w:rPr>
          <w:rFonts w:ascii="Times New Roman" w:hAnsi="Times New Roman" w:cs="Times New Roman"/>
          <w:sz w:val="24"/>
          <w:szCs w:val="24"/>
        </w:rPr>
        <w:t>25.</w:t>
      </w:r>
    </w:p>
    <w:p w14:paraId="4620282C"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Kumar, R., &amp; Singh, R. (2013). Effect of seed priming on emergence and vigor of bitter gourd (Momordica charantia L.). Journal of Research, 50(3&amp;4): 114–118.</w:t>
      </w:r>
    </w:p>
    <w:p w14:paraId="5AB203CA"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lastRenderedPageBreak/>
        <w:t>Maguire, J.D. (1962). Speed of germination—aid selection and evaluation for seedling emergence and vigor. Crop Science, 2: 176–177.</w:t>
      </w:r>
    </w:p>
    <w:p w14:paraId="7A48341F"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Mauro, R.P., Agnello, M., Distefano, M., Sabatino, L., San, B.P.A., Leonardi, C., &amp; Giuffrida, F. (2020). Chlorophyll fluorescence, photosynthesis, and growth of tomato plants under oxygen deprivation and grafting. Agronomy, 10:137.</w:t>
      </w:r>
    </w:p>
    <w:p w14:paraId="3F047E00"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Nisha, S., Shukla, Y.R., &amp; Mehta, D.K. (2016). Seed priming and its consequences on seedling vigor of bell pepper under low temperature. Int. J. Bio-resource and Stress Management, 6(6): 759–764.</w:t>
      </w:r>
    </w:p>
    <w:p w14:paraId="2A629FD7"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Pandita, V.K., &amp; Nagarajan, S. (2004). Effect of pre-sowing treatments in improving emergence of bitter gourd seedlings. Indian Journal of Horticulture, 61(3): 280–281.</w:t>
      </w:r>
    </w:p>
    <w:p w14:paraId="249ACCC8"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Panse, V.G., &amp; Sukhatme, P.V. (1967). Statistical Methods for Agricultural Workers. ICAR, New Delhi.</w:t>
      </w:r>
    </w:p>
    <w:p w14:paraId="61AEC7AE"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Pathak, M., Manpreet, K., &amp; Kanchan, P. (2014). Genetic variability and correlation studies in bitter gourd. Int. J. Adv. Res., 2(8): 179–184.</w:t>
      </w:r>
    </w:p>
    <w:p w14:paraId="092F52CE"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Soubhagya, B. (2016). Effect of hormonal priming (GA₃) on seed quality parameters of solanaceous vegetables. Int. J. Agric. Sci. Res., 6(3): 337–348.</w:t>
      </w:r>
    </w:p>
    <w:p w14:paraId="791CF1AB" w14:textId="0DA91384" w:rsidR="001E32DF" w:rsidRPr="001E32DF" w:rsidRDefault="00EC0E33" w:rsidP="001E32DF">
      <w:pPr>
        <w:pStyle w:val="ListNumber"/>
        <w:jc w:val="both"/>
        <w:rPr>
          <w:rFonts w:ascii="Times New Roman" w:hAnsi="Times New Roman" w:cs="Times New Roman"/>
          <w:sz w:val="24"/>
          <w:szCs w:val="24"/>
        </w:rPr>
      </w:pPr>
      <w:r w:rsidRPr="003F11E0">
        <w:rPr>
          <w:rFonts w:ascii="Times New Roman" w:hAnsi="Times New Roman" w:cs="Times New Roman"/>
          <w:sz w:val="24"/>
          <w:szCs w:val="24"/>
        </w:rPr>
        <w:t>Tania, S.S., Rahman, M.S., &amp; Hossain, M.M. (2020). Hydro-priming and halo-priming improve seed germination and yield of okra. Tropical Plant Research, 7(1): 86–93.</w:t>
      </w:r>
    </w:p>
    <w:sectPr w:rsidR="001E32DF" w:rsidRPr="001E32D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7922" w14:textId="77777777" w:rsidR="003B6BD1" w:rsidRDefault="003B6BD1" w:rsidP="006E7369">
      <w:pPr>
        <w:spacing w:after="0" w:line="240" w:lineRule="auto"/>
      </w:pPr>
      <w:r>
        <w:separator/>
      </w:r>
    </w:p>
  </w:endnote>
  <w:endnote w:type="continuationSeparator" w:id="0">
    <w:p w14:paraId="3BEEFEB1" w14:textId="77777777" w:rsidR="003B6BD1" w:rsidRDefault="003B6BD1" w:rsidP="006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F3A8" w14:textId="77777777" w:rsidR="006E7369" w:rsidRDefault="006E7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2732" w14:textId="77777777" w:rsidR="006E7369" w:rsidRDefault="006E7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7FDE" w14:textId="77777777" w:rsidR="006E7369" w:rsidRDefault="006E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AFD1E" w14:textId="77777777" w:rsidR="003B6BD1" w:rsidRDefault="003B6BD1" w:rsidP="006E7369">
      <w:pPr>
        <w:spacing w:after="0" w:line="240" w:lineRule="auto"/>
      </w:pPr>
      <w:r>
        <w:separator/>
      </w:r>
    </w:p>
  </w:footnote>
  <w:footnote w:type="continuationSeparator" w:id="0">
    <w:p w14:paraId="2E1A824C" w14:textId="77777777" w:rsidR="003B6BD1" w:rsidRDefault="003B6BD1" w:rsidP="006E7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DFB4" w14:textId="1D1B14EF" w:rsidR="006E7369" w:rsidRDefault="006E7369">
    <w:pPr>
      <w:pStyle w:val="Header"/>
    </w:pPr>
    <w:r>
      <w:rPr>
        <w:noProof/>
      </w:rPr>
      <w:pict w14:anchorId="33D8B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7EDA" w14:textId="0DCF36E8" w:rsidR="006E7369" w:rsidRDefault="006E7369">
    <w:pPr>
      <w:pStyle w:val="Header"/>
    </w:pPr>
    <w:r>
      <w:rPr>
        <w:noProof/>
      </w:rPr>
      <w:pict w14:anchorId="1A962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0FBE" w14:textId="6EF143F6" w:rsidR="006E7369" w:rsidRDefault="006E7369">
    <w:pPr>
      <w:pStyle w:val="Header"/>
    </w:pPr>
    <w:r>
      <w:rPr>
        <w:noProof/>
      </w:rPr>
      <w:pict w14:anchorId="3E702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2035"/>
    <w:rsid w:val="0015074B"/>
    <w:rsid w:val="00182CB7"/>
    <w:rsid w:val="001E32DF"/>
    <w:rsid w:val="002419E4"/>
    <w:rsid w:val="0029639D"/>
    <w:rsid w:val="00326F90"/>
    <w:rsid w:val="00366CB7"/>
    <w:rsid w:val="003B6BD1"/>
    <w:rsid w:val="003F11E0"/>
    <w:rsid w:val="0048515A"/>
    <w:rsid w:val="00491649"/>
    <w:rsid w:val="006E7369"/>
    <w:rsid w:val="0071490A"/>
    <w:rsid w:val="008648D5"/>
    <w:rsid w:val="008820FD"/>
    <w:rsid w:val="00891658"/>
    <w:rsid w:val="008B4848"/>
    <w:rsid w:val="0099437B"/>
    <w:rsid w:val="00A83C40"/>
    <w:rsid w:val="00AA1D8D"/>
    <w:rsid w:val="00B058A4"/>
    <w:rsid w:val="00B47730"/>
    <w:rsid w:val="00CB0664"/>
    <w:rsid w:val="00D67469"/>
    <w:rsid w:val="00D739B3"/>
    <w:rsid w:val="00EC0E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3A866C"/>
  <w14:defaultImageDpi w14:val="300"/>
  <w15:docId w15:val="{B3E02D2D-1754-4DB0-ABEE-6B61FCAD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82CB7"/>
    <w:rPr>
      <w:rFonts w:ascii="Times New Roman" w:hAnsi="Times New Roman" w:cs="Times New Roman"/>
      <w:sz w:val="24"/>
      <w:szCs w:val="24"/>
    </w:rPr>
  </w:style>
  <w:style w:type="character" w:styleId="Hyperlink">
    <w:name w:val="Hyperlink"/>
    <w:basedOn w:val="DefaultParagraphFont"/>
    <w:uiPriority w:val="99"/>
    <w:unhideWhenUsed/>
    <w:rsid w:val="00491649"/>
    <w:rPr>
      <w:color w:val="0000FF" w:themeColor="hyperlink"/>
      <w:u w:val="single"/>
    </w:rPr>
  </w:style>
  <w:style w:type="character" w:styleId="UnresolvedMention">
    <w:name w:val="Unresolved Mention"/>
    <w:basedOn w:val="DefaultParagraphFont"/>
    <w:uiPriority w:val="99"/>
    <w:semiHidden/>
    <w:unhideWhenUsed/>
    <w:rsid w:val="0049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7553F-9931-4B1C-B341-53AD6178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15</cp:revision>
  <dcterms:created xsi:type="dcterms:W3CDTF">2013-12-23T23:15:00Z</dcterms:created>
  <dcterms:modified xsi:type="dcterms:W3CDTF">2025-10-17T07:45:00Z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2025-10-16T16:08:08Z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056a3efe-c314-4dd7-bfa7-a1f7ea61d2cf</vt:lpwstr>
  </property>
  <property fmtid="{D5CDD505-2E9C-101B-9397-08002B2CF9AE}" pid="7" name="MSIP_Label_defa4170-0d19-0005-0004-bc88714345d2_ActionId">
    <vt:lpwstr>bb490053-2733-4228-a8d6-5aee31183cfc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