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78D268" w14:textId="2EB447B2" w:rsidR="00901BB9" w:rsidRPr="00D23863" w:rsidRDefault="00975411" w:rsidP="00D34273">
      <w:pPr>
        <w:pStyle w:val="NormalWeb"/>
        <w:spacing w:before="100" w:after="100"/>
        <w:jc w:val="center"/>
        <w:rPr>
          <w:rFonts w:ascii="Arial" w:hAnsi="Arial" w:cs="Arial"/>
          <w:b/>
          <w:bCs/>
          <w:sz w:val="22"/>
          <w:szCs w:val="22"/>
          <w:lang w:val="en-IN"/>
        </w:rPr>
      </w:pPr>
      <w:r w:rsidRPr="00D23863">
        <w:rPr>
          <w:rFonts w:ascii="Arial" w:hAnsi="Arial" w:cs="Arial"/>
          <w:b/>
          <w:bCs/>
          <w:sz w:val="22"/>
          <w:szCs w:val="22"/>
          <w:lang w:val="en-IN"/>
        </w:rPr>
        <w:t>CIS -</w:t>
      </w:r>
      <w:r w:rsidR="00901BB9" w:rsidRPr="00D23863">
        <w:rPr>
          <w:rFonts w:ascii="Arial" w:hAnsi="Arial" w:cs="Arial"/>
          <w:b/>
          <w:bCs/>
          <w:sz w:val="22"/>
          <w:szCs w:val="22"/>
          <w:lang w:val="en-IN"/>
        </w:rPr>
        <w:t xml:space="preserve"> Novel media supplement for </w:t>
      </w:r>
      <w:r w:rsidRPr="00D23863">
        <w:rPr>
          <w:rFonts w:ascii="Arial" w:hAnsi="Arial" w:cs="Arial"/>
          <w:b/>
          <w:bCs/>
          <w:i/>
          <w:iCs/>
          <w:sz w:val="22"/>
          <w:szCs w:val="22"/>
          <w:lang w:val="en-IN"/>
        </w:rPr>
        <w:t>invitro</w:t>
      </w:r>
      <w:r w:rsidRPr="00D23863">
        <w:rPr>
          <w:rFonts w:ascii="Arial" w:hAnsi="Arial" w:cs="Arial"/>
          <w:b/>
          <w:bCs/>
          <w:sz w:val="22"/>
          <w:szCs w:val="22"/>
          <w:lang w:val="en-IN"/>
        </w:rPr>
        <w:t xml:space="preserve"> culture </w:t>
      </w:r>
      <w:r w:rsidR="00901BB9" w:rsidRPr="00D23863">
        <w:rPr>
          <w:rFonts w:ascii="Arial" w:hAnsi="Arial" w:cs="Arial"/>
          <w:b/>
          <w:bCs/>
          <w:sz w:val="22"/>
          <w:szCs w:val="22"/>
          <w:lang w:val="en-IN"/>
        </w:rPr>
        <w:t>of coconut (</w:t>
      </w:r>
      <w:r w:rsidR="00901BB9" w:rsidRPr="00D23863">
        <w:rPr>
          <w:rFonts w:ascii="Arial" w:hAnsi="Arial" w:cs="Arial"/>
          <w:b/>
          <w:bCs/>
          <w:i/>
          <w:iCs/>
          <w:sz w:val="22"/>
          <w:szCs w:val="22"/>
          <w:lang w:val="en-IN"/>
        </w:rPr>
        <w:t>Cocos nucifera</w:t>
      </w:r>
      <w:r w:rsidR="00901BB9" w:rsidRPr="00D23863">
        <w:rPr>
          <w:rFonts w:ascii="Arial" w:hAnsi="Arial" w:cs="Arial"/>
          <w:b/>
          <w:bCs/>
          <w:sz w:val="22"/>
          <w:szCs w:val="22"/>
          <w:lang w:val="en-IN"/>
        </w:rPr>
        <w:t>)</w:t>
      </w:r>
    </w:p>
    <w:p w14:paraId="141CEDF4" w14:textId="7C622A5B" w:rsidR="00F424C8" w:rsidRDefault="00F424C8" w:rsidP="00901BB9">
      <w:pPr>
        <w:pStyle w:val="NormalWeb"/>
        <w:spacing w:beforeAutospacing="0" w:afterAutospacing="0"/>
        <w:jc w:val="center"/>
        <w:rPr>
          <w:rFonts w:ascii="Arial" w:hAnsi="Arial" w:cs="Arial"/>
          <w:bCs/>
          <w:sz w:val="22"/>
          <w:szCs w:val="22"/>
        </w:rPr>
      </w:pPr>
    </w:p>
    <w:p w14:paraId="5CFFD646" w14:textId="77777777" w:rsidR="00242907" w:rsidRPr="00D23863" w:rsidRDefault="00242907" w:rsidP="00901BB9">
      <w:pPr>
        <w:pStyle w:val="NormalWeb"/>
        <w:spacing w:beforeAutospacing="0" w:afterAutospacing="0"/>
        <w:jc w:val="center"/>
        <w:rPr>
          <w:rFonts w:ascii="Arial" w:hAnsi="Arial" w:cs="Arial"/>
          <w:bCs/>
          <w:sz w:val="22"/>
          <w:szCs w:val="22"/>
        </w:rPr>
      </w:pPr>
    </w:p>
    <w:p w14:paraId="79F5F62A" w14:textId="77777777" w:rsidR="00BE27F9" w:rsidRPr="00D23863" w:rsidRDefault="00BE27F9" w:rsidP="00901BB9">
      <w:pPr>
        <w:pStyle w:val="NormalWeb"/>
        <w:spacing w:beforeAutospacing="0" w:afterAutospacing="0"/>
        <w:jc w:val="center"/>
        <w:rPr>
          <w:rFonts w:ascii="Arial" w:hAnsi="Arial" w:cs="Arial"/>
          <w:bCs/>
          <w:sz w:val="22"/>
          <w:szCs w:val="22"/>
          <w:lang w:val="en-IN"/>
        </w:rPr>
      </w:pPr>
    </w:p>
    <w:p w14:paraId="6D659CF0" w14:textId="7DA21337" w:rsidR="00901BB9" w:rsidRPr="00D23863" w:rsidRDefault="00D23863" w:rsidP="00901BB9">
      <w:pPr>
        <w:jc w:val="both"/>
        <w:rPr>
          <w:rFonts w:ascii="Arial" w:hAnsi="Arial" w:cs="Arial"/>
          <w:b/>
          <w:sz w:val="22"/>
          <w:szCs w:val="22"/>
          <w:lang w:val="en-IN"/>
        </w:rPr>
      </w:pPr>
      <w:r w:rsidRPr="00D23863">
        <w:rPr>
          <w:rFonts w:ascii="Arial" w:hAnsi="Arial" w:cs="Arial"/>
          <w:b/>
          <w:sz w:val="22"/>
          <w:szCs w:val="22"/>
          <w:lang w:val="en-IN"/>
        </w:rPr>
        <w:t>ABSTRACT</w:t>
      </w:r>
    </w:p>
    <w:p w14:paraId="6E428BDC" w14:textId="46DFB4F3" w:rsidR="00901BB9" w:rsidRPr="00D23863" w:rsidRDefault="00901BB9" w:rsidP="00901BB9">
      <w:pPr>
        <w:jc w:val="both"/>
        <w:rPr>
          <w:rFonts w:ascii="Arial" w:hAnsi="Arial" w:cs="Arial"/>
          <w:sz w:val="22"/>
          <w:szCs w:val="22"/>
        </w:rPr>
      </w:pPr>
      <w:r w:rsidRPr="00D23863">
        <w:rPr>
          <w:rFonts w:ascii="Arial" w:hAnsi="Arial" w:cs="Arial"/>
          <w:sz w:val="22"/>
          <w:szCs w:val="22"/>
        </w:rPr>
        <w:t xml:space="preserve">Coconut exhibits recalcitrance to </w:t>
      </w:r>
      <w:r w:rsidRPr="00D23863">
        <w:rPr>
          <w:rFonts w:ascii="Arial" w:hAnsi="Arial" w:cs="Arial"/>
          <w:i/>
          <w:iCs/>
          <w:sz w:val="22"/>
          <w:szCs w:val="22"/>
        </w:rPr>
        <w:t>in vitro</w:t>
      </w:r>
      <w:r w:rsidRPr="00D23863">
        <w:rPr>
          <w:rFonts w:ascii="Arial" w:hAnsi="Arial" w:cs="Arial"/>
          <w:sz w:val="22"/>
          <w:szCs w:val="22"/>
        </w:rPr>
        <w:t xml:space="preserve"> regeneration due to its distinct morphological, anatomical, and physiological characteristics. </w:t>
      </w:r>
      <w:r w:rsidR="00975411" w:rsidRPr="00D23863">
        <w:rPr>
          <w:rFonts w:ascii="Arial" w:hAnsi="Arial" w:cs="Arial"/>
          <w:sz w:val="22"/>
          <w:szCs w:val="22"/>
        </w:rPr>
        <w:t>Type of explant and c</w:t>
      </w:r>
      <w:r w:rsidRPr="00D23863">
        <w:rPr>
          <w:rFonts w:ascii="Arial" w:hAnsi="Arial" w:cs="Arial"/>
          <w:sz w:val="22"/>
          <w:szCs w:val="22"/>
        </w:rPr>
        <w:t>ulture medi</w:t>
      </w:r>
      <w:r w:rsidR="00975411" w:rsidRPr="00D23863">
        <w:rPr>
          <w:rFonts w:ascii="Arial" w:hAnsi="Arial" w:cs="Arial"/>
          <w:sz w:val="22"/>
          <w:szCs w:val="22"/>
        </w:rPr>
        <w:t>a</w:t>
      </w:r>
      <w:r w:rsidRPr="00D23863">
        <w:rPr>
          <w:rFonts w:ascii="Arial" w:hAnsi="Arial" w:cs="Arial"/>
          <w:sz w:val="22"/>
          <w:szCs w:val="22"/>
        </w:rPr>
        <w:t xml:space="preserve"> composition </w:t>
      </w:r>
      <w:r w:rsidR="00975411" w:rsidRPr="00D23863">
        <w:rPr>
          <w:rFonts w:ascii="Arial" w:hAnsi="Arial" w:cs="Arial"/>
          <w:sz w:val="22"/>
          <w:szCs w:val="22"/>
        </w:rPr>
        <w:t>are two major factors</w:t>
      </w:r>
      <w:r w:rsidRPr="00D23863">
        <w:rPr>
          <w:rFonts w:ascii="Arial" w:hAnsi="Arial" w:cs="Arial"/>
          <w:sz w:val="22"/>
          <w:szCs w:val="22"/>
        </w:rPr>
        <w:t xml:space="preserve"> influences embryogenic callus and somatic embryo induction. Immature inflorescence explants show greater responsiveness for somatic embryogenesis compared to plumule explants, which are less vegetative and represent a single embryo. Despite extensive evaluation of medium formulations, success has been limited. This study evaluated </w:t>
      </w:r>
      <w:r w:rsidR="003F7C0E" w:rsidRPr="00D23863">
        <w:rPr>
          <w:rFonts w:ascii="Arial" w:hAnsi="Arial" w:cs="Arial"/>
          <w:sz w:val="22"/>
          <w:szCs w:val="22"/>
        </w:rPr>
        <w:t>the effect</w:t>
      </w:r>
      <w:r w:rsidRPr="00D23863">
        <w:rPr>
          <w:rFonts w:ascii="Arial" w:hAnsi="Arial" w:cs="Arial"/>
          <w:sz w:val="22"/>
          <w:szCs w:val="22"/>
        </w:rPr>
        <w:t xml:space="preserve"> of unfermented coconut inflorescence sap (CIS) on somatic embryogenesis from immature inflorescence explants </w:t>
      </w:r>
      <w:r w:rsidRPr="00D23863">
        <w:rPr>
          <w:rFonts w:ascii="Arial" w:hAnsi="Arial" w:cs="Arial"/>
          <w:i/>
          <w:iCs/>
          <w:sz w:val="22"/>
          <w:szCs w:val="22"/>
        </w:rPr>
        <w:t>in vitro</w:t>
      </w:r>
      <w:r w:rsidRPr="00D23863">
        <w:rPr>
          <w:rFonts w:ascii="Arial" w:hAnsi="Arial" w:cs="Arial"/>
          <w:sz w:val="22"/>
          <w:szCs w:val="22"/>
        </w:rPr>
        <w:t>. Explants at various developmental stages were cultured on a standardized callus induction medium supplemented with CIS alone or combined with phytohormones. Explants at stages i3 (5–10 cm) and i4 (0–5 cm) exhibited superior morphogenic response and reduced browning with 10 mL L</w:t>
      </w:r>
      <w:r w:rsidRPr="00D23863">
        <w:rPr>
          <w:rFonts w:ascii="Cambria Math" w:hAnsi="Cambria Math" w:cs="Cambria Math"/>
          <w:sz w:val="22"/>
          <w:szCs w:val="22"/>
        </w:rPr>
        <w:t>⁻</w:t>
      </w:r>
      <w:r w:rsidRPr="00D23863">
        <w:rPr>
          <w:rFonts w:ascii="Arial" w:hAnsi="Arial" w:cs="Arial"/>
          <w:sz w:val="22"/>
          <w:szCs w:val="22"/>
        </w:rPr>
        <w:t xml:space="preserve">¹ CIS. Among treatments, a medium containing 5.38 </w:t>
      </w:r>
      <w:proofErr w:type="spellStart"/>
      <w:r w:rsidRPr="00D23863">
        <w:rPr>
          <w:rFonts w:ascii="Arial" w:hAnsi="Arial" w:cs="Arial"/>
          <w:sz w:val="22"/>
          <w:szCs w:val="22"/>
        </w:rPr>
        <w:t>μM</w:t>
      </w:r>
      <w:proofErr w:type="spellEnd"/>
      <w:r w:rsidRPr="00D23863">
        <w:rPr>
          <w:rFonts w:ascii="Arial" w:hAnsi="Arial" w:cs="Arial"/>
          <w:sz w:val="22"/>
          <w:szCs w:val="22"/>
        </w:rPr>
        <w:t xml:space="preserve"> NAA, 4.5 </w:t>
      </w:r>
      <w:proofErr w:type="spellStart"/>
      <w:r w:rsidRPr="00D23863">
        <w:rPr>
          <w:rFonts w:ascii="Arial" w:hAnsi="Arial" w:cs="Arial"/>
          <w:sz w:val="22"/>
          <w:szCs w:val="22"/>
        </w:rPr>
        <w:t>μM</w:t>
      </w:r>
      <w:proofErr w:type="spellEnd"/>
      <w:r w:rsidRPr="00D23863">
        <w:rPr>
          <w:rFonts w:ascii="Arial" w:hAnsi="Arial" w:cs="Arial"/>
          <w:sz w:val="22"/>
          <w:szCs w:val="22"/>
        </w:rPr>
        <w:t xml:space="preserve"> TDZ, 66 </w:t>
      </w:r>
      <w:proofErr w:type="spellStart"/>
      <w:r w:rsidRPr="00D23863">
        <w:rPr>
          <w:rFonts w:ascii="Arial" w:hAnsi="Arial" w:cs="Arial"/>
          <w:sz w:val="22"/>
          <w:szCs w:val="22"/>
        </w:rPr>
        <w:t>μM</w:t>
      </w:r>
      <w:proofErr w:type="spellEnd"/>
      <w:r w:rsidRPr="00D23863">
        <w:rPr>
          <w:rFonts w:ascii="Arial" w:hAnsi="Arial" w:cs="Arial"/>
          <w:sz w:val="22"/>
          <w:szCs w:val="22"/>
        </w:rPr>
        <w:t xml:space="preserve"> 2,4-D, and 10 mg L</w:t>
      </w:r>
      <w:r w:rsidRPr="00D23863">
        <w:rPr>
          <w:rFonts w:ascii="Cambria Math" w:hAnsi="Cambria Math" w:cs="Cambria Math"/>
          <w:sz w:val="22"/>
          <w:szCs w:val="22"/>
        </w:rPr>
        <w:t>⁻</w:t>
      </w:r>
      <w:r w:rsidRPr="00D23863">
        <w:rPr>
          <w:rFonts w:ascii="Arial" w:hAnsi="Arial" w:cs="Arial"/>
          <w:sz w:val="22"/>
          <w:szCs w:val="22"/>
        </w:rPr>
        <w:t xml:space="preserve">¹ CIS yielded the highest embryogenic callus induction (80.79%), while somatic embryo maturation peaked (72.93%) in medium with 4.54 </w:t>
      </w:r>
      <w:proofErr w:type="spellStart"/>
      <w:r w:rsidRPr="00D23863">
        <w:rPr>
          <w:rFonts w:ascii="Arial" w:hAnsi="Arial" w:cs="Arial"/>
          <w:sz w:val="22"/>
          <w:szCs w:val="22"/>
        </w:rPr>
        <w:t>μM</w:t>
      </w:r>
      <w:proofErr w:type="spellEnd"/>
      <w:r w:rsidRPr="00D23863">
        <w:rPr>
          <w:rFonts w:ascii="Arial" w:hAnsi="Arial" w:cs="Arial"/>
          <w:sz w:val="22"/>
          <w:szCs w:val="22"/>
        </w:rPr>
        <w:t xml:space="preserve"> 2,4-D, 20 </w:t>
      </w:r>
      <w:proofErr w:type="spellStart"/>
      <w:r w:rsidRPr="00D23863">
        <w:rPr>
          <w:rFonts w:ascii="Arial" w:hAnsi="Arial" w:cs="Arial"/>
          <w:sz w:val="22"/>
          <w:szCs w:val="22"/>
        </w:rPr>
        <w:t>μM</w:t>
      </w:r>
      <w:proofErr w:type="spellEnd"/>
      <w:r w:rsidRPr="00D23863">
        <w:rPr>
          <w:rFonts w:ascii="Arial" w:hAnsi="Arial" w:cs="Arial"/>
          <w:sz w:val="22"/>
          <w:szCs w:val="22"/>
        </w:rPr>
        <w:t xml:space="preserve"> BA, and 10 mg L</w:t>
      </w:r>
      <w:r w:rsidRPr="00D23863">
        <w:rPr>
          <w:rFonts w:ascii="Cambria Math" w:hAnsi="Cambria Math" w:cs="Cambria Math"/>
          <w:sz w:val="22"/>
          <w:szCs w:val="22"/>
        </w:rPr>
        <w:t>⁻</w:t>
      </w:r>
      <w:r w:rsidRPr="00D23863">
        <w:rPr>
          <w:rFonts w:ascii="Arial" w:hAnsi="Arial" w:cs="Arial"/>
          <w:sz w:val="22"/>
          <w:szCs w:val="22"/>
        </w:rPr>
        <w:t>¹ CIS. These findings highlight CIS as a beneficial additive for improved somatic embryogenesis in coconut tissue culture.</w:t>
      </w:r>
    </w:p>
    <w:p w14:paraId="454BCED1" w14:textId="77777777" w:rsidR="00BE27F9" w:rsidRPr="00D23863" w:rsidRDefault="00BE27F9" w:rsidP="00901BB9">
      <w:pPr>
        <w:jc w:val="both"/>
        <w:rPr>
          <w:rFonts w:ascii="Arial" w:hAnsi="Arial" w:cs="Arial"/>
          <w:sz w:val="22"/>
          <w:szCs w:val="22"/>
          <w:lang w:val="en-IN"/>
        </w:rPr>
      </w:pPr>
    </w:p>
    <w:p w14:paraId="09FC6DB0" w14:textId="313C0AD6" w:rsidR="00901BB9" w:rsidRPr="00D23863" w:rsidRDefault="00901BB9" w:rsidP="00901BB9">
      <w:pPr>
        <w:jc w:val="both"/>
        <w:rPr>
          <w:rFonts w:ascii="Arial" w:hAnsi="Arial" w:cs="Arial"/>
          <w:sz w:val="22"/>
          <w:szCs w:val="22"/>
          <w:lang w:val="en-IN"/>
        </w:rPr>
      </w:pPr>
      <w:r w:rsidRPr="00D23863">
        <w:rPr>
          <w:rFonts w:ascii="Arial" w:hAnsi="Arial" w:cs="Arial"/>
          <w:b/>
          <w:bCs/>
          <w:sz w:val="22"/>
          <w:szCs w:val="22"/>
          <w:lang w:val="en-IN"/>
        </w:rPr>
        <w:t>Keywords</w:t>
      </w:r>
      <w:r w:rsidRPr="00D23863">
        <w:rPr>
          <w:rFonts w:ascii="Arial" w:hAnsi="Arial" w:cs="Arial"/>
          <w:sz w:val="22"/>
          <w:szCs w:val="22"/>
          <w:lang w:val="en-IN"/>
        </w:rPr>
        <w:t xml:space="preserve">: Coconut Inflorescence Sap, </w:t>
      </w:r>
      <w:r w:rsidR="00690826" w:rsidRPr="00D23863">
        <w:rPr>
          <w:rFonts w:ascii="Arial" w:hAnsi="Arial" w:cs="Arial"/>
          <w:sz w:val="22"/>
          <w:szCs w:val="22"/>
          <w:lang w:val="en-IN"/>
        </w:rPr>
        <w:t xml:space="preserve">Nurse plant syndrome, </w:t>
      </w:r>
      <w:r w:rsidRPr="00D23863">
        <w:rPr>
          <w:rFonts w:ascii="Arial" w:hAnsi="Arial" w:cs="Arial"/>
          <w:sz w:val="22"/>
          <w:szCs w:val="22"/>
          <w:lang w:val="en-IN"/>
        </w:rPr>
        <w:t>Immature inflorescence, Coconut tissue culture</w:t>
      </w:r>
    </w:p>
    <w:p w14:paraId="3408A8AB" w14:textId="77777777" w:rsidR="00901BB9" w:rsidRPr="00D23863" w:rsidRDefault="00901BB9" w:rsidP="00901BB9">
      <w:pPr>
        <w:jc w:val="both"/>
        <w:rPr>
          <w:rFonts w:ascii="Arial" w:hAnsi="Arial" w:cs="Arial"/>
          <w:sz w:val="22"/>
          <w:szCs w:val="22"/>
          <w:lang w:val="en-IN"/>
        </w:rPr>
      </w:pPr>
    </w:p>
    <w:p w14:paraId="29F613EE" w14:textId="77777777" w:rsidR="00D34273" w:rsidRPr="00D23863" w:rsidRDefault="00D34273" w:rsidP="00BC424F">
      <w:pPr>
        <w:jc w:val="both"/>
        <w:rPr>
          <w:rFonts w:ascii="Arial" w:hAnsi="Arial" w:cs="Arial"/>
          <w:b/>
          <w:bCs/>
          <w:sz w:val="22"/>
          <w:szCs w:val="22"/>
          <w:lang w:val="en-IN"/>
        </w:rPr>
        <w:sectPr w:rsidR="00D34273" w:rsidRPr="00D23863" w:rsidSect="00D23863">
          <w:headerReference w:type="even" r:id="rId7"/>
          <w:headerReference w:type="default" r:id="rId8"/>
          <w:footerReference w:type="even" r:id="rId9"/>
          <w:footerReference w:type="default" r:id="rId10"/>
          <w:headerReference w:type="first" r:id="rId11"/>
          <w:footerReference w:type="first" r:id="rId12"/>
          <w:type w:val="continuous"/>
          <w:pgSz w:w="11906" w:h="16838"/>
          <w:pgMar w:top="1440" w:right="1440" w:bottom="1440" w:left="1440" w:header="720" w:footer="720" w:gutter="0"/>
          <w:cols w:space="720"/>
          <w:docGrid w:linePitch="360"/>
        </w:sectPr>
      </w:pPr>
    </w:p>
    <w:p w14:paraId="55B296EF" w14:textId="2DF1A28F" w:rsidR="00C064DD" w:rsidRPr="00D23863" w:rsidRDefault="00C064DD" w:rsidP="00BC424F">
      <w:pPr>
        <w:jc w:val="both"/>
        <w:rPr>
          <w:rFonts w:ascii="Arial" w:hAnsi="Arial" w:cs="Arial"/>
          <w:b/>
          <w:bCs/>
          <w:sz w:val="22"/>
          <w:szCs w:val="22"/>
          <w:lang w:val="en-IN"/>
        </w:rPr>
      </w:pPr>
    </w:p>
    <w:p w14:paraId="41ACDEEB" w14:textId="77777777" w:rsidR="00901BB9" w:rsidRPr="00D23863" w:rsidRDefault="00901BB9" w:rsidP="00BC424F">
      <w:pPr>
        <w:jc w:val="both"/>
        <w:rPr>
          <w:rFonts w:ascii="Arial" w:hAnsi="Arial" w:cs="Arial"/>
          <w:b/>
          <w:bCs/>
          <w:sz w:val="22"/>
          <w:szCs w:val="22"/>
          <w:lang w:val="en-IN"/>
        </w:rPr>
        <w:sectPr w:rsidR="00901BB9" w:rsidRPr="00D23863" w:rsidSect="00D23863">
          <w:type w:val="continuous"/>
          <w:pgSz w:w="11906" w:h="16838"/>
          <w:pgMar w:top="1440" w:right="1440" w:bottom="1440" w:left="1440" w:header="720" w:footer="720" w:gutter="0"/>
          <w:cols w:space="720"/>
          <w:docGrid w:linePitch="360"/>
        </w:sectPr>
      </w:pPr>
    </w:p>
    <w:p w14:paraId="3F5525AB" w14:textId="10674359" w:rsidR="00C064DD" w:rsidRPr="00D23863" w:rsidRDefault="00D23863" w:rsidP="00BC424F">
      <w:pPr>
        <w:jc w:val="both"/>
        <w:rPr>
          <w:rFonts w:ascii="Arial" w:hAnsi="Arial" w:cs="Arial"/>
          <w:b/>
          <w:bCs/>
          <w:sz w:val="22"/>
          <w:szCs w:val="22"/>
          <w:lang w:val="en-IN"/>
        </w:rPr>
      </w:pPr>
      <w:r w:rsidRPr="00D23863">
        <w:rPr>
          <w:rFonts w:ascii="Arial" w:hAnsi="Arial" w:cs="Arial"/>
          <w:b/>
          <w:bCs/>
          <w:sz w:val="22"/>
          <w:szCs w:val="22"/>
          <w:lang w:val="en-IN"/>
        </w:rPr>
        <w:t>INTRODUCTION</w:t>
      </w:r>
    </w:p>
    <w:p w14:paraId="4092D89A" w14:textId="77777777" w:rsidR="00C221D2" w:rsidRPr="00D23863" w:rsidRDefault="00C221D2" w:rsidP="00BC424F">
      <w:pPr>
        <w:jc w:val="both"/>
        <w:rPr>
          <w:rFonts w:ascii="Arial" w:hAnsi="Arial" w:cs="Arial"/>
          <w:b/>
          <w:bCs/>
          <w:sz w:val="22"/>
          <w:szCs w:val="22"/>
          <w:lang w:val="en-IN"/>
        </w:rPr>
      </w:pPr>
    </w:p>
    <w:p w14:paraId="7A506A97" w14:textId="77777777" w:rsidR="00BE27F9" w:rsidRPr="00D23863" w:rsidRDefault="00BE27F9" w:rsidP="00BE27F9">
      <w:pPr>
        <w:jc w:val="both"/>
        <w:rPr>
          <w:rFonts w:ascii="Arial" w:hAnsi="Arial" w:cs="Arial"/>
          <w:color w:val="000000" w:themeColor="text1"/>
          <w:sz w:val="22"/>
          <w:szCs w:val="22"/>
          <w:lang w:val="en-IN"/>
        </w:rPr>
      </w:pPr>
      <w:r w:rsidRPr="00D23863">
        <w:rPr>
          <w:rFonts w:ascii="Arial" w:hAnsi="Arial" w:cs="Arial"/>
          <w:i/>
          <w:iCs/>
          <w:color w:val="000000" w:themeColor="text1"/>
          <w:sz w:val="22"/>
          <w:szCs w:val="22"/>
          <w:lang w:val="en-IN"/>
        </w:rPr>
        <w:t>Cocos nucifera</w:t>
      </w:r>
      <w:r w:rsidRPr="00D23863">
        <w:rPr>
          <w:rFonts w:ascii="Arial" w:hAnsi="Arial" w:cs="Arial"/>
          <w:color w:val="000000" w:themeColor="text1"/>
          <w:sz w:val="22"/>
          <w:szCs w:val="22"/>
          <w:lang w:val="en-IN"/>
        </w:rPr>
        <w:t xml:space="preserve"> L., the sole extant species of the genus </w:t>
      </w:r>
      <w:r w:rsidRPr="00D23863">
        <w:rPr>
          <w:rFonts w:ascii="Arial" w:hAnsi="Arial" w:cs="Arial"/>
          <w:i/>
          <w:iCs/>
          <w:color w:val="000000" w:themeColor="text1"/>
          <w:sz w:val="22"/>
          <w:szCs w:val="22"/>
          <w:lang w:val="en-IN"/>
        </w:rPr>
        <w:t xml:space="preserve">Cocos </w:t>
      </w:r>
      <w:r w:rsidRPr="00D23863">
        <w:rPr>
          <w:rFonts w:ascii="Arial" w:hAnsi="Arial" w:cs="Arial"/>
          <w:color w:val="000000" w:themeColor="text1"/>
          <w:sz w:val="22"/>
          <w:szCs w:val="22"/>
          <w:lang w:val="en-IN"/>
        </w:rPr>
        <w:t xml:space="preserve">within the family </w:t>
      </w:r>
      <w:proofErr w:type="spellStart"/>
      <w:r w:rsidRPr="00D23863">
        <w:rPr>
          <w:rFonts w:ascii="Arial" w:hAnsi="Arial" w:cs="Arial"/>
          <w:color w:val="000000" w:themeColor="text1"/>
          <w:sz w:val="22"/>
          <w:szCs w:val="22"/>
          <w:lang w:val="en-IN"/>
        </w:rPr>
        <w:t>Arecaceae</w:t>
      </w:r>
      <w:proofErr w:type="spellEnd"/>
      <w:r w:rsidRPr="00D23863">
        <w:rPr>
          <w:rFonts w:ascii="Arial" w:hAnsi="Arial" w:cs="Arial"/>
          <w:color w:val="000000" w:themeColor="text1"/>
          <w:sz w:val="22"/>
          <w:szCs w:val="22"/>
          <w:lang w:val="en-IN"/>
        </w:rPr>
        <w:t xml:space="preserve"> is cultivated extensively in over 93 countries. Despite global advances in plant tissue culture, the establishment of a consistent and reliable protocol for clonal propagation in coconut remains a major challenge in plant biotechnology. The initial attempt at somatic embryogenesis in coconut was undertaken by </w:t>
      </w:r>
      <w:proofErr w:type="spellStart"/>
      <w:r w:rsidRPr="00D23863">
        <w:rPr>
          <w:rFonts w:ascii="Arial" w:hAnsi="Arial" w:cs="Arial"/>
          <w:color w:val="000000" w:themeColor="text1"/>
          <w:sz w:val="22"/>
          <w:szCs w:val="22"/>
          <w:lang w:val="en-IN"/>
        </w:rPr>
        <w:t>Eeuwens</w:t>
      </w:r>
      <w:proofErr w:type="spellEnd"/>
      <w:r w:rsidRPr="00D23863">
        <w:rPr>
          <w:rFonts w:ascii="Arial" w:hAnsi="Arial" w:cs="Arial"/>
          <w:color w:val="000000" w:themeColor="text1"/>
          <w:sz w:val="22"/>
          <w:szCs w:val="22"/>
          <w:lang w:val="en-IN"/>
        </w:rPr>
        <w:t xml:space="preserve"> (1976), who explored the mineral requirements of rachis and </w:t>
      </w:r>
      <w:proofErr w:type="spellStart"/>
      <w:r w:rsidRPr="00D23863">
        <w:rPr>
          <w:rFonts w:ascii="Arial" w:hAnsi="Arial" w:cs="Arial"/>
          <w:color w:val="000000" w:themeColor="text1"/>
          <w:sz w:val="22"/>
          <w:szCs w:val="22"/>
          <w:lang w:val="en-IN"/>
        </w:rPr>
        <w:t>rachillae</w:t>
      </w:r>
      <w:proofErr w:type="spellEnd"/>
      <w:r w:rsidRPr="00D23863">
        <w:rPr>
          <w:rFonts w:ascii="Arial" w:hAnsi="Arial" w:cs="Arial"/>
          <w:color w:val="000000" w:themeColor="text1"/>
          <w:sz w:val="22"/>
          <w:szCs w:val="22"/>
          <w:lang w:val="en-IN"/>
        </w:rPr>
        <w:t xml:space="preserve"> explants from mature palms for callus initiation and proliferation. This was later followed by the development of nodular structures, somatic embryo formation, and eventual plant regeneration through the reduction of 2,4-D concentrations in the medium (Branton and Blake, 1983). </w:t>
      </w:r>
      <w:r w:rsidRPr="00D23863">
        <w:rPr>
          <w:rFonts w:ascii="Arial" w:eastAsia="SimSun" w:hAnsi="Arial" w:cs="Arial"/>
          <w:color w:val="000000" w:themeColor="text1"/>
          <w:sz w:val="22"/>
          <w:szCs w:val="22"/>
        </w:rPr>
        <w:t xml:space="preserve">Although numerous protocols for coconut somatic embryogenesis have been reported since these foundational studies, a reproducible and fully optimized system is yet to be realized. This continued lack of consistency highlights the inherent recalcitrance of coconut to </w:t>
      </w:r>
      <w:r w:rsidRPr="00D23863">
        <w:rPr>
          <w:rFonts w:ascii="Arial" w:eastAsia="SimSun" w:hAnsi="Arial" w:cs="Arial"/>
          <w:i/>
          <w:color w:val="000000" w:themeColor="text1"/>
          <w:sz w:val="22"/>
          <w:szCs w:val="22"/>
        </w:rPr>
        <w:t>in vitro</w:t>
      </w:r>
      <w:r w:rsidRPr="00D23863">
        <w:rPr>
          <w:rFonts w:ascii="Arial" w:eastAsia="SimSun" w:hAnsi="Arial" w:cs="Arial"/>
          <w:color w:val="000000" w:themeColor="text1"/>
          <w:sz w:val="22"/>
          <w:szCs w:val="22"/>
        </w:rPr>
        <w:t xml:space="preserve"> culturing, which is likely linked to the complex morphological, physiological, and genetic characteristics of the species.</w:t>
      </w:r>
      <w:r w:rsidRPr="00D23863">
        <w:rPr>
          <w:rFonts w:ascii="Arial" w:hAnsi="Arial" w:cs="Arial"/>
          <w:color w:val="000000" w:themeColor="text1"/>
          <w:sz w:val="22"/>
          <w:szCs w:val="22"/>
          <w:lang w:val="en-IN"/>
        </w:rPr>
        <w:t xml:space="preserve"> Several factors have been proposed to underlie this recalcitrance. </w:t>
      </w:r>
      <w:proofErr w:type="spellStart"/>
      <w:r w:rsidRPr="00D23863">
        <w:rPr>
          <w:rFonts w:ascii="Arial" w:hAnsi="Arial" w:cs="Arial"/>
          <w:color w:val="000000" w:themeColor="text1"/>
          <w:sz w:val="22"/>
          <w:szCs w:val="22"/>
          <w:lang w:val="en-IN"/>
        </w:rPr>
        <w:t>Histocytological</w:t>
      </w:r>
      <w:proofErr w:type="spellEnd"/>
      <w:r w:rsidRPr="00D23863">
        <w:rPr>
          <w:rFonts w:ascii="Arial" w:hAnsi="Arial" w:cs="Arial"/>
          <w:color w:val="000000" w:themeColor="text1"/>
          <w:sz w:val="22"/>
          <w:szCs w:val="22"/>
          <w:lang w:val="en-IN"/>
        </w:rPr>
        <w:t xml:space="preserve"> studies in the early 1990s pointed to hormonal imbalances (Dublin </w:t>
      </w:r>
      <w:r w:rsidRPr="00D23863">
        <w:rPr>
          <w:rFonts w:ascii="Arial" w:hAnsi="Arial" w:cs="Arial"/>
          <w:iCs/>
          <w:color w:val="000000" w:themeColor="text1"/>
          <w:sz w:val="22"/>
          <w:szCs w:val="22"/>
          <w:lang w:val="en-IN"/>
        </w:rPr>
        <w:t xml:space="preserve">et al. </w:t>
      </w:r>
      <w:r w:rsidRPr="00D23863">
        <w:rPr>
          <w:rFonts w:ascii="Arial" w:hAnsi="Arial" w:cs="Arial"/>
          <w:color w:val="000000" w:themeColor="text1"/>
          <w:sz w:val="22"/>
          <w:szCs w:val="22"/>
          <w:lang w:val="en-IN"/>
        </w:rPr>
        <w:t>1991), nucleocytoplasmic asynchrony in cells (Jesty and Francis, 1992), and chromatin condensation in nuclei (</w:t>
      </w:r>
      <w:proofErr w:type="spellStart"/>
      <w:r w:rsidRPr="00D23863">
        <w:rPr>
          <w:rFonts w:ascii="Arial" w:hAnsi="Arial" w:cs="Arial"/>
          <w:color w:val="000000" w:themeColor="text1"/>
          <w:sz w:val="22"/>
          <w:szCs w:val="22"/>
          <w:lang w:val="en-IN"/>
        </w:rPr>
        <w:t>Verdeil</w:t>
      </w:r>
      <w:proofErr w:type="spellEnd"/>
      <w:r w:rsidRPr="00D23863">
        <w:rPr>
          <w:rFonts w:ascii="Arial" w:hAnsi="Arial" w:cs="Arial"/>
          <w:color w:val="000000" w:themeColor="text1"/>
          <w:sz w:val="22"/>
          <w:szCs w:val="22"/>
          <w:lang w:val="en-IN"/>
        </w:rPr>
        <w:t xml:space="preserve"> </w:t>
      </w:r>
      <w:r w:rsidRPr="00D23863">
        <w:rPr>
          <w:rFonts w:ascii="Arial" w:hAnsi="Arial" w:cs="Arial"/>
          <w:iCs/>
          <w:color w:val="000000" w:themeColor="text1"/>
          <w:sz w:val="22"/>
          <w:szCs w:val="22"/>
          <w:lang w:val="en-IN"/>
        </w:rPr>
        <w:t>et al.</w:t>
      </w:r>
      <w:r w:rsidRPr="00D23863">
        <w:rPr>
          <w:rFonts w:ascii="Arial" w:hAnsi="Arial" w:cs="Arial"/>
          <w:color w:val="000000" w:themeColor="text1"/>
          <w:sz w:val="22"/>
          <w:szCs w:val="22"/>
          <w:lang w:val="en-IN"/>
        </w:rPr>
        <w:t xml:space="preserve">1992), all of which are believed to impair the activation of totipotent somatic cells and inhibit morphogenic transitions. As a result, considerable research was focused on identifying and overcoming the biological constraints limiting coconut regeneration. </w:t>
      </w:r>
    </w:p>
    <w:p w14:paraId="7A16174A" w14:textId="77777777" w:rsidR="00BE27F9" w:rsidRPr="00D23863" w:rsidRDefault="00BE27F9" w:rsidP="00BE27F9">
      <w:pPr>
        <w:jc w:val="both"/>
        <w:rPr>
          <w:rFonts w:ascii="Arial" w:hAnsi="Arial" w:cs="Arial"/>
          <w:color w:val="000000" w:themeColor="text1"/>
          <w:sz w:val="22"/>
          <w:szCs w:val="22"/>
          <w:lang w:val="en-IN"/>
        </w:rPr>
      </w:pPr>
    </w:p>
    <w:p w14:paraId="3C887C93" w14:textId="10585D87" w:rsidR="00BE27F9" w:rsidRPr="00D23863" w:rsidRDefault="00BE27F9" w:rsidP="00BE27F9">
      <w:pPr>
        <w:jc w:val="both"/>
        <w:rPr>
          <w:rFonts w:ascii="Arial" w:hAnsi="Arial" w:cs="Arial"/>
          <w:color w:val="000000" w:themeColor="text1"/>
          <w:sz w:val="22"/>
          <w:szCs w:val="22"/>
          <w:lang w:val="en-IN"/>
        </w:rPr>
      </w:pPr>
      <w:r w:rsidRPr="00D23863">
        <w:rPr>
          <w:rFonts w:ascii="Arial" w:hAnsi="Arial" w:cs="Arial"/>
          <w:color w:val="000000" w:themeColor="text1"/>
          <w:sz w:val="22"/>
          <w:szCs w:val="22"/>
          <w:lang w:val="en-IN"/>
        </w:rPr>
        <w:t xml:space="preserve">Both intrinsic and extrinsic factors influence the success of </w:t>
      </w:r>
      <w:r w:rsidRPr="00D23863">
        <w:rPr>
          <w:rFonts w:ascii="Arial" w:hAnsi="Arial" w:cs="Arial"/>
          <w:i/>
          <w:iCs/>
          <w:color w:val="000000" w:themeColor="text1"/>
          <w:sz w:val="22"/>
          <w:szCs w:val="22"/>
          <w:lang w:val="en-IN"/>
        </w:rPr>
        <w:t xml:space="preserve">in vitro </w:t>
      </w:r>
      <w:r w:rsidRPr="00D23863">
        <w:rPr>
          <w:rFonts w:ascii="Arial" w:hAnsi="Arial" w:cs="Arial"/>
          <w:color w:val="000000" w:themeColor="text1"/>
          <w:sz w:val="22"/>
          <w:szCs w:val="22"/>
          <w:lang w:val="en-IN"/>
        </w:rPr>
        <w:t xml:space="preserve">morphogenesis. Among these, the explant type and culture medium are particularly critical (Tripathi </w:t>
      </w:r>
      <w:r w:rsidRPr="00D23863">
        <w:rPr>
          <w:rFonts w:ascii="Arial" w:hAnsi="Arial" w:cs="Arial"/>
          <w:iCs/>
          <w:color w:val="000000" w:themeColor="text1"/>
          <w:sz w:val="22"/>
          <w:szCs w:val="22"/>
          <w:lang w:val="en-IN"/>
        </w:rPr>
        <w:t>et al.</w:t>
      </w:r>
      <w:r w:rsidRPr="00D23863">
        <w:rPr>
          <w:rFonts w:ascii="Arial" w:hAnsi="Arial" w:cs="Arial"/>
          <w:color w:val="000000" w:themeColor="text1"/>
          <w:sz w:val="22"/>
          <w:szCs w:val="22"/>
          <w:lang w:val="en-IN"/>
        </w:rPr>
        <w:t xml:space="preserve">2012). While </w:t>
      </w:r>
      <w:proofErr w:type="spellStart"/>
      <w:r w:rsidRPr="00D23863">
        <w:rPr>
          <w:rFonts w:ascii="Arial" w:hAnsi="Arial" w:cs="Arial"/>
          <w:color w:val="000000" w:themeColor="text1"/>
          <w:sz w:val="22"/>
          <w:szCs w:val="22"/>
          <w:lang w:val="en-IN"/>
        </w:rPr>
        <w:t>plumular</w:t>
      </w:r>
      <w:proofErr w:type="spellEnd"/>
      <w:r w:rsidRPr="00D23863">
        <w:rPr>
          <w:rFonts w:ascii="Arial" w:hAnsi="Arial" w:cs="Arial"/>
          <w:color w:val="000000" w:themeColor="text1"/>
          <w:sz w:val="22"/>
          <w:szCs w:val="22"/>
          <w:lang w:val="en-IN"/>
        </w:rPr>
        <w:t xml:space="preserve"> explants which originate from the zygote, have shown high efficiency and reproducibility in somatic embryogenesis (Saenz</w:t>
      </w:r>
      <w:r w:rsidRPr="00D23863">
        <w:rPr>
          <w:rFonts w:ascii="Arial" w:hAnsi="Arial" w:cs="Arial"/>
          <w:i/>
          <w:iCs/>
          <w:color w:val="000000" w:themeColor="text1"/>
          <w:sz w:val="22"/>
          <w:szCs w:val="22"/>
          <w:lang w:val="en-IN"/>
        </w:rPr>
        <w:t xml:space="preserve"> </w:t>
      </w:r>
      <w:r w:rsidRPr="00D23863">
        <w:rPr>
          <w:rFonts w:ascii="Arial" w:hAnsi="Arial" w:cs="Arial"/>
          <w:iCs/>
          <w:color w:val="000000" w:themeColor="text1"/>
          <w:sz w:val="22"/>
          <w:szCs w:val="22"/>
          <w:lang w:val="en-IN"/>
        </w:rPr>
        <w:t>et al.</w:t>
      </w:r>
      <w:r w:rsidRPr="00D23863">
        <w:rPr>
          <w:rFonts w:ascii="Arial" w:hAnsi="Arial" w:cs="Arial"/>
          <w:color w:val="000000" w:themeColor="text1"/>
          <w:sz w:val="22"/>
          <w:szCs w:val="22"/>
          <w:lang w:val="en-IN"/>
        </w:rPr>
        <w:t xml:space="preserve">2018), their use in tissue culture of coconut palm -a highly cross-pollinated species- is limited due to the heterogenous and </w:t>
      </w:r>
      <w:r w:rsidRPr="00D23863">
        <w:rPr>
          <w:rFonts w:ascii="Arial" w:hAnsi="Arial" w:cs="Arial"/>
          <w:color w:val="000000" w:themeColor="text1"/>
          <w:sz w:val="22"/>
          <w:szCs w:val="22"/>
          <w:lang w:val="en-IN"/>
        </w:rPr>
        <w:lastRenderedPageBreak/>
        <w:t xml:space="preserve">heterozygous nature of zygotic tissues (Kong </w:t>
      </w:r>
      <w:r w:rsidRPr="00D23863">
        <w:rPr>
          <w:rFonts w:ascii="Arial" w:hAnsi="Arial" w:cs="Arial"/>
          <w:iCs/>
          <w:color w:val="000000" w:themeColor="text1"/>
          <w:sz w:val="22"/>
          <w:szCs w:val="22"/>
          <w:lang w:val="en-IN"/>
        </w:rPr>
        <w:t xml:space="preserve">et al. </w:t>
      </w:r>
      <w:r w:rsidRPr="00D23863">
        <w:rPr>
          <w:rFonts w:ascii="Arial" w:hAnsi="Arial" w:cs="Arial"/>
          <w:color w:val="000000" w:themeColor="text1"/>
          <w:sz w:val="22"/>
          <w:szCs w:val="22"/>
          <w:lang w:val="en-IN"/>
        </w:rPr>
        <w:t xml:space="preserve">2024). Consequently, attention has shifted back to somatic explants—especially immature inflorescences, which contain numerous meristematic sites (Sandoval-Cancino </w:t>
      </w:r>
      <w:r w:rsidRPr="00D23863">
        <w:rPr>
          <w:rFonts w:ascii="Arial" w:hAnsi="Arial" w:cs="Arial"/>
          <w:iCs/>
          <w:color w:val="000000" w:themeColor="text1"/>
          <w:sz w:val="22"/>
          <w:szCs w:val="22"/>
          <w:lang w:val="en-IN"/>
        </w:rPr>
        <w:t>et al.</w:t>
      </w:r>
      <w:r w:rsidRPr="00D23863">
        <w:rPr>
          <w:rFonts w:ascii="Arial" w:hAnsi="Arial" w:cs="Arial"/>
          <w:color w:val="000000" w:themeColor="text1"/>
          <w:sz w:val="22"/>
          <w:szCs w:val="22"/>
          <w:lang w:val="en-IN"/>
        </w:rPr>
        <w:t xml:space="preserve">2016; Belt, 2019; Shareefa </w:t>
      </w:r>
      <w:r w:rsidRPr="00D23863">
        <w:rPr>
          <w:rFonts w:ascii="Arial" w:hAnsi="Arial" w:cs="Arial"/>
          <w:iCs/>
          <w:color w:val="000000" w:themeColor="text1"/>
          <w:sz w:val="22"/>
          <w:szCs w:val="22"/>
          <w:lang w:val="en-IN"/>
        </w:rPr>
        <w:t xml:space="preserve">et al. </w:t>
      </w:r>
      <w:r w:rsidRPr="00D23863">
        <w:rPr>
          <w:rFonts w:ascii="Arial" w:hAnsi="Arial" w:cs="Arial"/>
          <w:color w:val="000000" w:themeColor="text1"/>
          <w:sz w:val="22"/>
          <w:szCs w:val="22"/>
          <w:lang w:val="en-IN"/>
        </w:rPr>
        <w:t>2019), despite their technical difficulty. The most common basal medium reported for coconut is Y3 medium (</w:t>
      </w:r>
      <w:proofErr w:type="spellStart"/>
      <w:r w:rsidRPr="00D23863">
        <w:rPr>
          <w:rFonts w:ascii="Arial" w:hAnsi="Arial" w:cs="Arial"/>
          <w:color w:val="000000" w:themeColor="text1"/>
          <w:sz w:val="22"/>
          <w:szCs w:val="22"/>
          <w:lang w:val="en-IN"/>
        </w:rPr>
        <w:t>Eeuwens</w:t>
      </w:r>
      <w:proofErr w:type="spellEnd"/>
      <w:r w:rsidRPr="00D23863">
        <w:rPr>
          <w:rFonts w:ascii="Arial" w:hAnsi="Arial" w:cs="Arial"/>
          <w:color w:val="000000" w:themeColor="text1"/>
          <w:sz w:val="22"/>
          <w:szCs w:val="22"/>
          <w:lang w:val="en-IN"/>
        </w:rPr>
        <w:t xml:space="preserve"> 1978) </w:t>
      </w:r>
      <w:r w:rsidRPr="00D23863">
        <w:rPr>
          <w:rFonts w:ascii="Arial" w:hAnsi="Arial" w:cs="Arial"/>
          <w:color w:val="000000" w:themeColor="text1"/>
          <w:sz w:val="22"/>
          <w:szCs w:val="22"/>
        </w:rPr>
        <w:t xml:space="preserve">and BM72 (Karunaratne and </w:t>
      </w:r>
      <w:proofErr w:type="spellStart"/>
      <w:r w:rsidRPr="00D23863">
        <w:rPr>
          <w:rFonts w:ascii="Arial" w:hAnsi="Arial" w:cs="Arial"/>
          <w:color w:val="000000" w:themeColor="text1"/>
          <w:sz w:val="22"/>
          <w:szCs w:val="22"/>
        </w:rPr>
        <w:t>Periyapperuma</w:t>
      </w:r>
      <w:proofErr w:type="spellEnd"/>
      <w:r w:rsidRPr="00D23863">
        <w:rPr>
          <w:rFonts w:ascii="Arial" w:hAnsi="Arial" w:cs="Arial"/>
          <w:color w:val="000000" w:themeColor="text1"/>
          <w:sz w:val="22"/>
          <w:szCs w:val="22"/>
        </w:rPr>
        <w:t xml:space="preserve"> 1989)</w:t>
      </w:r>
      <w:r w:rsidRPr="00D23863">
        <w:rPr>
          <w:rFonts w:ascii="Arial" w:hAnsi="Arial" w:cs="Arial"/>
          <w:color w:val="000000" w:themeColor="text1"/>
          <w:sz w:val="22"/>
          <w:szCs w:val="22"/>
          <w:lang w:val="en-IN"/>
        </w:rPr>
        <w:t>. A multitude of hormonal combinations have been reported by various researcher</w:t>
      </w:r>
      <w:r w:rsidR="00414647" w:rsidRPr="00D23863">
        <w:rPr>
          <w:rFonts w:ascii="Arial" w:hAnsi="Arial" w:cs="Arial"/>
          <w:color w:val="000000" w:themeColor="text1"/>
          <w:sz w:val="22"/>
          <w:szCs w:val="22"/>
          <w:lang w:val="en-IN"/>
        </w:rPr>
        <w:t xml:space="preserve">s with different explant </w:t>
      </w:r>
      <w:r w:rsidRPr="00D23863">
        <w:rPr>
          <w:rFonts w:ascii="Arial" w:hAnsi="Arial" w:cs="Arial"/>
          <w:color w:val="000000" w:themeColor="text1"/>
          <w:sz w:val="22"/>
          <w:szCs w:val="22"/>
          <w:lang w:val="en-IN"/>
        </w:rPr>
        <w:t xml:space="preserve">((Karun </w:t>
      </w:r>
      <w:r w:rsidRPr="00D23863">
        <w:rPr>
          <w:rFonts w:ascii="Arial" w:hAnsi="Arial" w:cs="Arial"/>
          <w:iCs/>
          <w:color w:val="000000" w:themeColor="text1"/>
          <w:sz w:val="22"/>
          <w:szCs w:val="22"/>
          <w:lang w:val="en-IN"/>
        </w:rPr>
        <w:t>et al.</w:t>
      </w:r>
      <w:r w:rsidRPr="00D23863">
        <w:rPr>
          <w:rFonts w:ascii="Arial" w:hAnsi="Arial" w:cs="Arial"/>
          <w:color w:val="000000" w:themeColor="text1"/>
          <w:sz w:val="22"/>
          <w:szCs w:val="22"/>
          <w:lang w:val="en-IN"/>
        </w:rPr>
        <w:t xml:space="preserve">1993; Siny, 2006; Sáenz </w:t>
      </w:r>
      <w:r w:rsidRPr="00D23863">
        <w:rPr>
          <w:rFonts w:ascii="Arial" w:hAnsi="Arial" w:cs="Arial"/>
          <w:iCs/>
          <w:color w:val="000000" w:themeColor="text1"/>
          <w:sz w:val="22"/>
          <w:szCs w:val="22"/>
          <w:lang w:val="en-IN"/>
        </w:rPr>
        <w:t>et al.</w:t>
      </w:r>
      <w:r w:rsidRPr="00D23863">
        <w:rPr>
          <w:rFonts w:ascii="Arial" w:hAnsi="Arial" w:cs="Arial"/>
          <w:color w:val="000000" w:themeColor="text1"/>
          <w:sz w:val="22"/>
          <w:szCs w:val="22"/>
          <w:lang w:val="en-IN"/>
        </w:rPr>
        <w:t xml:space="preserve">2018; Shareefa </w:t>
      </w:r>
      <w:r w:rsidRPr="00D23863">
        <w:rPr>
          <w:rFonts w:ascii="Arial" w:hAnsi="Arial" w:cs="Arial"/>
          <w:iCs/>
          <w:color w:val="000000" w:themeColor="text1"/>
          <w:sz w:val="22"/>
          <w:szCs w:val="22"/>
          <w:lang w:val="en-IN"/>
        </w:rPr>
        <w:t>et al.</w:t>
      </w:r>
      <w:r w:rsidRPr="00D23863">
        <w:rPr>
          <w:rFonts w:ascii="Arial" w:hAnsi="Arial" w:cs="Arial"/>
          <w:color w:val="000000" w:themeColor="text1"/>
          <w:sz w:val="22"/>
          <w:szCs w:val="22"/>
          <w:lang w:val="en-IN"/>
        </w:rPr>
        <w:t>2016)</w:t>
      </w:r>
      <w:r w:rsidR="00414647" w:rsidRPr="00D23863">
        <w:rPr>
          <w:rFonts w:ascii="Arial" w:hAnsi="Arial" w:cs="Arial"/>
          <w:color w:val="000000" w:themeColor="text1"/>
          <w:sz w:val="22"/>
          <w:szCs w:val="22"/>
          <w:lang w:val="en-IN"/>
        </w:rPr>
        <w:t>.</w:t>
      </w:r>
    </w:p>
    <w:p w14:paraId="5B1FF5A2" w14:textId="77777777" w:rsidR="00BE27F9" w:rsidRPr="00D23863" w:rsidRDefault="00BE27F9" w:rsidP="00BE27F9">
      <w:pPr>
        <w:jc w:val="both"/>
        <w:rPr>
          <w:rFonts w:ascii="Arial" w:hAnsi="Arial" w:cs="Arial"/>
          <w:sz w:val="22"/>
          <w:szCs w:val="22"/>
          <w:lang w:val="en-IN"/>
        </w:rPr>
      </w:pPr>
    </w:p>
    <w:p w14:paraId="741F26B5" w14:textId="6A1CEC4E" w:rsidR="00BE27F9" w:rsidRPr="00D23863" w:rsidRDefault="00BE27F9" w:rsidP="00BE27F9">
      <w:pPr>
        <w:jc w:val="both"/>
        <w:rPr>
          <w:rFonts w:ascii="Arial" w:hAnsi="Arial" w:cs="Arial"/>
          <w:sz w:val="22"/>
          <w:szCs w:val="22"/>
          <w:lang w:val="en-IN"/>
        </w:rPr>
      </w:pPr>
      <w:r w:rsidRPr="00D23863">
        <w:rPr>
          <w:rFonts w:ascii="Arial" w:hAnsi="Arial" w:cs="Arial"/>
          <w:sz w:val="22"/>
          <w:szCs w:val="22"/>
          <w:lang w:val="en-IN"/>
        </w:rPr>
        <w:t>Recent investigations have highlighted the utility of undefined organic additives in enhancing</w:t>
      </w:r>
      <w:r w:rsidRPr="00D23863">
        <w:rPr>
          <w:rFonts w:ascii="Arial" w:hAnsi="Arial" w:cs="Arial"/>
          <w:i/>
          <w:iCs/>
          <w:sz w:val="22"/>
          <w:szCs w:val="22"/>
          <w:lang w:val="en-IN"/>
        </w:rPr>
        <w:t xml:space="preserve"> in vitro </w:t>
      </w:r>
      <w:r w:rsidRPr="00D23863">
        <w:rPr>
          <w:rFonts w:ascii="Arial" w:hAnsi="Arial" w:cs="Arial"/>
          <w:sz w:val="22"/>
          <w:szCs w:val="22"/>
          <w:lang w:val="en-IN"/>
        </w:rPr>
        <w:t>responses. Despite their variable composition, such supplements can supply essential organic constituents that facilitate morphogenesis (George</w:t>
      </w:r>
      <w:r w:rsidRPr="00D23863">
        <w:rPr>
          <w:rFonts w:ascii="Arial" w:hAnsi="Arial" w:cs="Arial"/>
          <w:i/>
          <w:iCs/>
          <w:sz w:val="22"/>
          <w:szCs w:val="22"/>
          <w:lang w:val="en-IN"/>
        </w:rPr>
        <w:t xml:space="preserve"> </w:t>
      </w:r>
      <w:r w:rsidRPr="00D23863">
        <w:rPr>
          <w:rFonts w:ascii="Arial" w:hAnsi="Arial" w:cs="Arial"/>
          <w:iCs/>
          <w:sz w:val="22"/>
          <w:szCs w:val="22"/>
          <w:lang w:val="en-IN"/>
        </w:rPr>
        <w:t>et al.</w:t>
      </w:r>
      <w:r w:rsidRPr="00D23863">
        <w:rPr>
          <w:rFonts w:ascii="Arial" w:hAnsi="Arial" w:cs="Arial"/>
          <w:sz w:val="22"/>
          <w:szCs w:val="22"/>
          <w:lang w:val="en-IN"/>
        </w:rPr>
        <w:t xml:space="preserve">2007). In a related ecological context, </w:t>
      </w:r>
      <w:proofErr w:type="spellStart"/>
      <w:r w:rsidRPr="00D23863">
        <w:rPr>
          <w:rFonts w:ascii="Arial" w:hAnsi="Arial" w:cs="Arial"/>
          <w:sz w:val="22"/>
          <w:szCs w:val="22"/>
          <w:lang w:val="en-IN"/>
        </w:rPr>
        <w:t>Cavieres</w:t>
      </w:r>
      <w:proofErr w:type="spellEnd"/>
      <w:r w:rsidRPr="00D23863">
        <w:rPr>
          <w:rFonts w:ascii="Arial" w:hAnsi="Arial" w:cs="Arial"/>
          <w:i/>
          <w:iCs/>
          <w:sz w:val="22"/>
          <w:szCs w:val="22"/>
          <w:lang w:val="en-IN"/>
        </w:rPr>
        <w:t xml:space="preserve"> et al.</w:t>
      </w:r>
      <w:r w:rsidRPr="00D23863">
        <w:rPr>
          <w:rFonts w:ascii="Arial" w:hAnsi="Arial" w:cs="Arial"/>
          <w:sz w:val="22"/>
          <w:szCs w:val="22"/>
          <w:lang w:val="en-IN"/>
        </w:rPr>
        <w:t xml:space="preserve"> (2006) introduced the concept of the "nurse plant syndrome," referring to the facilitative effect of adult plants on seedling establishment. Drawing a parallel to this ecological interaction, a similar "nurse effect" was hypothesized </w:t>
      </w:r>
      <w:r w:rsidRPr="00D23863">
        <w:rPr>
          <w:rFonts w:ascii="Arial" w:hAnsi="Arial" w:cs="Arial"/>
          <w:i/>
          <w:iCs/>
          <w:sz w:val="22"/>
          <w:szCs w:val="22"/>
          <w:lang w:val="en-IN"/>
        </w:rPr>
        <w:t>in vitro</w:t>
      </w:r>
      <w:r w:rsidRPr="00D23863">
        <w:rPr>
          <w:rFonts w:ascii="Arial" w:hAnsi="Arial" w:cs="Arial"/>
          <w:sz w:val="22"/>
          <w:szCs w:val="22"/>
          <w:lang w:val="en-IN"/>
        </w:rPr>
        <w:t xml:space="preserve"> through the incorporation of coconut inflorescence sap (CIS) into the culture medium, given that the explants were also derived from inflorescence tissue. Coconut inflorescence sap is a complex additive which contain numerous nutritional and hormonal substances. Owing to its endogenous origin and biochemical compatibility with coconut reproductive tissues, unfermented coconut inflorescence sap (CIS) was investigated as a natural supplement to the Y3 basal medium for</w:t>
      </w:r>
      <w:r w:rsidRPr="00D23863">
        <w:rPr>
          <w:rFonts w:ascii="Arial" w:hAnsi="Arial" w:cs="Arial"/>
          <w:i/>
          <w:iCs/>
          <w:sz w:val="22"/>
          <w:szCs w:val="22"/>
          <w:lang w:val="en-IN"/>
        </w:rPr>
        <w:t xml:space="preserve"> in vitro</w:t>
      </w:r>
      <w:r w:rsidRPr="00D23863">
        <w:rPr>
          <w:rFonts w:ascii="Arial" w:hAnsi="Arial" w:cs="Arial"/>
          <w:sz w:val="22"/>
          <w:szCs w:val="22"/>
          <w:lang w:val="en-IN"/>
        </w:rPr>
        <w:t xml:space="preserve"> culture. This study specifically evaluated the efficacy of CIS in enhancing somatic embryogenesis from immature coconut inflorescences. The supplementation aimed to improve embryogenic callus induction, reduce phenolic browning, and increase overall regeneration efficiency by utilizing the sap’s intrinsic phytohormones, antioxidants, various minerals and organic compounds that may support cellular reprogramming and morphogenic competence.</w:t>
      </w:r>
    </w:p>
    <w:p w14:paraId="72A26498" w14:textId="77777777" w:rsidR="00BE27F9" w:rsidRPr="00D23863" w:rsidRDefault="00BE27F9" w:rsidP="00BE27F9">
      <w:pPr>
        <w:jc w:val="both"/>
        <w:rPr>
          <w:rFonts w:ascii="Arial" w:hAnsi="Arial" w:cs="Arial"/>
          <w:sz w:val="22"/>
          <w:szCs w:val="22"/>
          <w:lang w:val="en-IN"/>
        </w:rPr>
      </w:pPr>
    </w:p>
    <w:p w14:paraId="47B4B70B" w14:textId="55314024" w:rsidR="00E33AF9" w:rsidRPr="00D23863" w:rsidRDefault="00D23863" w:rsidP="00E33AF9">
      <w:pPr>
        <w:jc w:val="both"/>
        <w:rPr>
          <w:rFonts w:ascii="Arial" w:hAnsi="Arial" w:cs="Arial"/>
          <w:b/>
          <w:bCs/>
          <w:sz w:val="22"/>
          <w:szCs w:val="22"/>
          <w:lang w:val="en-IN"/>
        </w:rPr>
      </w:pPr>
      <w:r w:rsidRPr="00D23863">
        <w:rPr>
          <w:rFonts w:ascii="Arial" w:hAnsi="Arial" w:cs="Arial"/>
          <w:b/>
          <w:bCs/>
          <w:sz w:val="22"/>
          <w:szCs w:val="22"/>
        </w:rPr>
        <w:t>MATERIALS</w:t>
      </w:r>
      <w:r w:rsidRPr="00D23863">
        <w:rPr>
          <w:rFonts w:ascii="Arial" w:hAnsi="Arial" w:cs="Arial"/>
          <w:b/>
          <w:bCs/>
          <w:sz w:val="22"/>
          <w:szCs w:val="22"/>
          <w:lang w:val="en-IN"/>
        </w:rPr>
        <w:t xml:space="preserve"> AND METHOD</w:t>
      </w:r>
    </w:p>
    <w:p w14:paraId="7ADEFAAF" w14:textId="77777777" w:rsidR="00E33AF9" w:rsidRPr="00D23863" w:rsidRDefault="00E33AF9" w:rsidP="00E33AF9">
      <w:pPr>
        <w:jc w:val="both"/>
        <w:rPr>
          <w:rFonts w:ascii="Arial" w:hAnsi="Arial" w:cs="Arial"/>
          <w:b/>
          <w:bCs/>
          <w:sz w:val="22"/>
          <w:szCs w:val="22"/>
          <w:lang w:val="en-IN"/>
        </w:rPr>
      </w:pPr>
    </w:p>
    <w:p w14:paraId="5743F5AC" w14:textId="77777777" w:rsidR="00E33AF9" w:rsidRPr="00D23863" w:rsidRDefault="00E33AF9" w:rsidP="00E33AF9">
      <w:pPr>
        <w:jc w:val="both"/>
        <w:rPr>
          <w:rFonts w:ascii="Arial" w:hAnsi="Arial" w:cs="Arial"/>
          <w:b/>
          <w:bCs/>
          <w:sz w:val="22"/>
          <w:szCs w:val="22"/>
          <w:lang w:val="en-IN"/>
        </w:rPr>
      </w:pPr>
      <w:r w:rsidRPr="00D23863">
        <w:rPr>
          <w:rFonts w:ascii="Arial" w:hAnsi="Arial" w:cs="Arial"/>
          <w:b/>
          <w:bCs/>
          <w:sz w:val="22"/>
          <w:szCs w:val="22"/>
          <w:lang w:val="en-IN"/>
        </w:rPr>
        <w:t>Explant collection and preparation</w:t>
      </w:r>
    </w:p>
    <w:p w14:paraId="6534A91D" w14:textId="77777777" w:rsidR="00E33AF9" w:rsidRPr="00D23863" w:rsidRDefault="00E33AF9" w:rsidP="00E33AF9">
      <w:pPr>
        <w:jc w:val="both"/>
        <w:rPr>
          <w:rFonts w:ascii="Arial" w:hAnsi="Arial" w:cs="Arial"/>
          <w:sz w:val="22"/>
          <w:szCs w:val="22"/>
        </w:rPr>
      </w:pPr>
    </w:p>
    <w:p w14:paraId="3048B160" w14:textId="1BA9CFE5" w:rsidR="00E33AF9" w:rsidRPr="00D23863" w:rsidRDefault="00E33AF9" w:rsidP="00E33AF9">
      <w:pPr>
        <w:jc w:val="both"/>
        <w:rPr>
          <w:rFonts w:ascii="Arial" w:hAnsi="Arial" w:cs="Arial"/>
          <w:sz w:val="22"/>
          <w:szCs w:val="22"/>
          <w:lang w:val="en-IN"/>
        </w:rPr>
      </w:pPr>
      <w:r w:rsidRPr="00D23863">
        <w:rPr>
          <w:rFonts w:ascii="Arial" w:hAnsi="Arial" w:cs="Arial"/>
          <w:sz w:val="22"/>
          <w:szCs w:val="22"/>
        </w:rPr>
        <w:t xml:space="preserve">Immature inflorescences were collected by destructive sampling from the axils of the top four unopened fronds of </w:t>
      </w:r>
      <w:r w:rsidRPr="00D23863">
        <w:rPr>
          <w:rFonts w:ascii="Arial" w:hAnsi="Arial" w:cs="Arial"/>
          <w:sz w:val="22"/>
          <w:szCs w:val="22"/>
          <w:lang w:val="en-IN"/>
        </w:rPr>
        <w:t xml:space="preserve">West Coast Tall (WCT) </w:t>
      </w:r>
      <w:r w:rsidRPr="00D23863">
        <w:rPr>
          <w:rFonts w:ascii="Arial" w:hAnsi="Arial" w:cs="Arial"/>
          <w:sz w:val="22"/>
          <w:szCs w:val="22"/>
        </w:rPr>
        <w:t>palms aged over 20 years</w:t>
      </w:r>
      <w:r w:rsidRPr="00D23863">
        <w:rPr>
          <w:rFonts w:ascii="Arial" w:hAnsi="Arial" w:cs="Arial"/>
          <w:sz w:val="22"/>
          <w:szCs w:val="22"/>
          <w:lang w:val="en-IN"/>
        </w:rPr>
        <w:t xml:space="preserve">. These were grouped into four categories based on length: </w:t>
      </w:r>
      <w:r w:rsidRPr="00D23863">
        <w:rPr>
          <w:rFonts w:ascii="Arial" w:eastAsia="Calibri" w:hAnsi="Arial" w:cs="Arial"/>
          <w:sz w:val="22"/>
          <w:szCs w:val="22"/>
          <w:lang w:val="en-IN"/>
        </w:rPr>
        <w:t xml:space="preserve"> </w:t>
      </w:r>
      <w:r w:rsidRPr="00D23863">
        <w:rPr>
          <w:rFonts w:ascii="Arial" w:eastAsia="Calibri" w:hAnsi="Arial" w:cs="Arial"/>
          <w:sz w:val="22"/>
          <w:szCs w:val="22"/>
        </w:rPr>
        <w:t xml:space="preserve"> i</w:t>
      </w:r>
      <w:r w:rsidRPr="00D23863">
        <w:rPr>
          <w:rFonts w:ascii="Arial" w:eastAsia="Calibri" w:hAnsi="Arial" w:cs="Arial"/>
          <w:sz w:val="22"/>
          <w:szCs w:val="22"/>
          <w:vertAlign w:val="subscript"/>
        </w:rPr>
        <w:t xml:space="preserve">1 </w:t>
      </w:r>
      <w:r w:rsidRPr="00D23863">
        <w:rPr>
          <w:rFonts w:ascii="Arial" w:eastAsia="Calibri" w:hAnsi="Arial" w:cs="Arial"/>
          <w:sz w:val="22"/>
          <w:szCs w:val="22"/>
        </w:rPr>
        <w:t>(15-20cm), i</w:t>
      </w:r>
      <w:r w:rsidRPr="00D23863">
        <w:rPr>
          <w:rFonts w:ascii="Arial" w:eastAsia="Calibri" w:hAnsi="Arial" w:cs="Arial"/>
          <w:sz w:val="22"/>
          <w:szCs w:val="22"/>
          <w:vertAlign w:val="subscript"/>
        </w:rPr>
        <w:t xml:space="preserve">2 </w:t>
      </w:r>
      <w:r w:rsidRPr="00D23863">
        <w:rPr>
          <w:rFonts w:ascii="Arial" w:eastAsia="Calibri" w:hAnsi="Arial" w:cs="Arial"/>
          <w:sz w:val="22"/>
          <w:szCs w:val="22"/>
        </w:rPr>
        <w:t>(10-15cm), i</w:t>
      </w:r>
      <w:r w:rsidRPr="00D23863">
        <w:rPr>
          <w:rFonts w:ascii="Arial" w:eastAsia="Calibri" w:hAnsi="Arial" w:cs="Arial"/>
          <w:sz w:val="22"/>
          <w:szCs w:val="22"/>
          <w:vertAlign w:val="subscript"/>
        </w:rPr>
        <w:t xml:space="preserve">3 </w:t>
      </w:r>
      <w:r w:rsidRPr="00D23863">
        <w:rPr>
          <w:rFonts w:ascii="Arial" w:eastAsia="Calibri" w:hAnsi="Arial" w:cs="Arial"/>
          <w:sz w:val="22"/>
          <w:szCs w:val="22"/>
        </w:rPr>
        <w:t>(5-10cm) and i</w:t>
      </w:r>
      <w:r w:rsidRPr="00D23863">
        <w:rPr>
          <w:rFonts w:ascii="Arial" w:eastAsia="Calibri" w:hAnsi="Arial" w:cs="Arial"/>
          <w:sz w:val="22"/>
          <w:szCs w:val="22"/>
          <w:vertAlign w:val="subscript"/>
        </w:rPr>
        <w:t xml:space="preserve">4 </w:t>
      </w:r>
      <w:r w:rsidRPr="00D23863">
        <w:rPr>
          <w:rFonts w:ascii="Arial" w:eastAsia="Calibri" w:hAnsi="Arial" w:cs="Arial"/>
          <w:sz w:val="22"/>
          <w:szCs w:val="22"/>
        </w:rPr>
        <w:t xml:space="preserve">(0-5cm) (Fig. </w:t>
      </w:r>
      <w:r w:rsidR="00667390" w:rsidRPr="00D23863">
        <w:rPr>
          <w:rFonts w:ascii="Arial" w:eastAsia="Calibri" w:hAnsi="Arial" w:cs="Arial"/>
          <w:sz w:val="22"/>
          <w:szCs w:val="22"/>
        </w:rPr>
        <w:t>3</w:t>
      </w:r>
      <w:r w:rsidRPr="00D23863">
        <w:rPr>
          <w:rFonts w:ascii="Arial" w:eastAsia="Calibri" w:hAnsi="Arial" w:cs="Arial"/>
          <w:sz w:val="22"/>
          <w:szCs w:val="22"/>
        </w:rPr>
        <w:t>a)</w:t>
      </w:r>
      <w:r w:rsidRPr="00D23863">
        <w:rPr>
          <w:rFonts w:ascii="Arial" w:eastAsia="Calibri" w:hAnsi="Arial" w:cs="Arial"/>
          <w:sz w:val="22"/>
          <w:szCs w:val="22"/>
          <w:lang w:val="en-IN"/>
        </w:rPr>
        <w:t xml:space="preserve">. The inflorescences were initially surface-sterilized by swabbing or dipping in absolute alcohol for 1 minute in the laminar airflow cabinet, followed by flame sterilization for 1-2 minutes depending on the developmental stage of explant. </w:t>
      </w:r>
      <w:proofErr w:type="spellStart"/>
      <w:r w:rsidRPr="00D23863">
        <w:rPr>
          <w:rFonts w:ascii="Arial" w:hAnsi="Arial" w:cs="Arial"/>
          <w:sz w:val="22"/>
          <w:szCs w:val="22"/>
          <w:lang w:val="en-IN"/>
        </w:rPr>
        <w:t>Rachillae</w:t>
      </w:r>
      <w:proofErr w:type="spellEnd"/>
      <w:r w:rsidRPr="00D23863">
        <w:rPr>
          <w:rFonts w:ascii="Arial" w:hAnsi="Arial" w:cs="Arial"/>
          <w:sz w:val="22"/>
          <w:szCs w:val="22"/>
          <w:lang w:val="en-IN"/>
        </w:rPr>
        <w:t xml:space="preserve"> were carefully dissected from the inflorescences and sliced into 0.3–0.5 mm thick sections for inoculation (Fig. </w:t>
      </w:r>
      <w:r w:rsidR="00667390" w:rsidRPr="00D23863">
        <w:rPr>
          <w:rFonts w:ascii="Arial" w:hAnsi="Arial" w:cs="Arial"/>
          <w:sz w:val="22"/>
          <w:szCs w:val="22"/>
          <w:lang w:val="en-IN"/>
        </w:rPr>
        <w:t>3</w:t>
      </w:r>
      <w:r w:rsidRPr="00D23863">
        <w:rPr>
          <w:rFonts w:ascii="Arial" w:hAnsi="Arial" w:cs="Arial"/>
          <w:sz w:val="22"/>
          <w:szCs w:val="22"/>
          <w:lang w:val="en-IN"/>
        </w:rPr>
        <w:t>b)</w:t>
      </w:r>
    </w:p>
    <w:p w14:paraId="6FC982AB" w14:textId="77777777" w:rsidR="00E33AF9" w:rsidRPr="00D23863" w:rsidRDefault="00E33AF9" w:rsidP="00E33AF9">
      <w:pPr>
        <w:jc w:val="both"/>
        <w:rPr>
          <w:rFonts w:ascii="Arial" w:eastAsia="Calibri" w:hAnsi="Arial" w:cs="Arial"/>
          <w:sz w:val="22"/>
          <w:szCs w:val="22"/>
          <w:lang w:val="en-IN"/>
        </w:rPr>
      </w:pPr>
    </w:p>
    <w:p w14:paraId="3A6BE6D6" w14:textId="77777777" w:rsidR="00E33AF9" w:rsidRPr="00D23863" w:rsidRDefault="00E33AF9" w:rsidP="00E33AF9">
      <w:pPr>
        <w:jc w:val="both"/>
        <w:rPr>
          <w:rFonts w:ascii="Arial" w:eastAsia="Calibri" w:hAnsi="Arial" w:cs="Arial"/>
          <w:b/>
          <w:bCs/>
          <w:sz w:val="22"/>
          <w:szCs w:val="22"/>
          <w:lang w:val="en-IN"/>
        </w:rPr>
      </w:pPr>
      <w:r w:rsidRPr="00D23863">
        <w:rPr>
          <w:rFonts w:ascii="Arial" w:eastAsia="Calibri" w:hAnsi="Arial" w:cs="Arial"/>
          <w:b/>
          <w:bCs/>
          <w:sz w:val="22"/>
          <w:szCs w:val="22"/>
          <w:lang w:val="en-IN"/>
        </w:rPr>
        <w:t>Coconut Inflorescence Sap as media additive</w:t>
      </w:r>
    </w:p>
    <w:p w14:paraId="5883711D" w14:textId="77777777" w:rsidR="00E33AF9" w:rsidRPr="00D23863" w:rsidRDefault="00E33AF9" w:rsidP="00E33AF9">
      <w:pPr>
        <w:jc w:val="both"/>
        <w:rPr>
          <w:rFonts w:ascii="Arial" w:eastAsia="Calibri" w:hAnsi="Arial" w:cs="Arial"/>
          <w:sz w:val="22"/>
          <w:szCs w:val="22"/>
          <w:lang w:val="en-IN"/>
        </w:rPr>
      </w:pPr>
    </w:p>
    <w:p w14:paraId="4597496A" w14:textId="59044437" w:rsidR="00E33AF9" w:rsidRPr="00D23863" w:rsidRDefault="00E33AF9" w:rsidP="00E33AF9">
      <w:pPr>
        <w:jc w:val="both"/>
        <w:rPr>
          <w:rFonts w:ascii="Arial" w:eastAsia="Calibri" w:hAnsi="Arial" w:cs="Arial"/>
          <w:sz w:val="22"/>
          <w:szCs w:val="22"/>
          <w:lang w:val="en-IN"/>
        </w:rPr>
      </w:pPr>
      <w:r w:rsidRPr="00D23863">
        <w:rPr>
          <w:rFonts w:ascii="Arial" w:eastAsia="Calibri" w:hAnsi="Arial" w:cs="Arial"/>
          <w:sz w:val="22"/>
          <w:szCs w:val="22"/>
          <w:lang w:val="en-IN"/>
        </w:rPr>
        <w:t xml:space="preserve">Freshly collected inflorescence sap from WCT palms at Instructional farm I, </w:t>
      </w:r>
      <w:proofErr w:type="spellStart"/>
      <w:r w:rsidRPr="00D23863">
        <w:rPr>
          <w:rFonts w:ascii="Arial" w:eastAsia="Calibri" w:hAnsi="Arial" w:cs="Arial"/>
          <w:sz w:val="22"/>
          <w:szCs w:val="22"/>
          <w:lang w:val="en-IN"/>
        </w:rPr>
        <w:t>Nileshwar</w:t>
      </w:r>
      <w:proofErr w:type="spellEnd"/>
      <w:r w:rsidRPr="00D23863">
        <w:rPr>
          <w:rFonts w:ascii="Arial" w:eastAsia="Calibri" w:hAnsi="Arial" w:cs="Arial"/>
          <w:sz w:val="22"/>
          <w:szCs w:val="22"/>
          <w:lang w:val="en-IN"/>
        </w:rPr>
        <w:t>, Kerala Agricultural University was utilised in the study. The total sugar content of coconut inflorescence sap was estimated using refractometer. Callus induction media (CIM) was Y3 basal medium with 2</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picloram, 5.38</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NAA and 0.45</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TDZ and 300</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2,4-D, 0.1 g/L of myo-inositol, 0.2 g/L of casein </w:t>
      </w:r>
      <w:proofErr w:type="spellStart"/>
      <w:r w:rsidRPr="00D23863">
        <w:rPr>
          <w:rFonts w:ascii="Arial" w:eastAsia="Calibri" w:hAnsi="Arial" w:cs="Arial"/>
          <w:sz w:val="22"/>
          <w:szCs w:val="22"/>
          <w:lang w:val="en-IN"/>
        </w:rPr>
        <w:t>hydrosylate</w:t>
      </w:r>
      <w:proofErr w:type="spellEnd"/>
      <w:r w:rsidRPr="00D23863">
        <w:rPr>
          <w:rFonts w:ascii="Arial" w:eastAsia="Calibri" w:hAnsi="Arial" w:cs="Arial"/>
          <w:sz w:val="22"/>
          <w:szCs w:val="22"/>
          <w:lang w:val="en-IN"/>
        </w:rPr>
        <w:t xml:space="preserve">, 0.2 g/L of L- glutamine and 4% sucrose. This was standardised based on the previous study conducted by one of the authors on coconut tissue culture </w:t>
      </w:r>
      <w:r w:rsidRPr="00D23863">
        <w:rPr>
          <w:rFonts w:ascii="Arial" w:eastAsia="Calibri" w:hAnsi="Arial" w:cs="Arial"/>
          <w:sz w:val="22"/>
          <w:szCs w:val="22"/>
        </w:rPr>
        <w:t>(Sujatha, unpublished data, 2011; unreferenced)</w:t>
      </w:r>
      <w:r w:rsidRPr="00D23863">
        <w:rPr>
          <w:rFonts w:ascii="Arial" w:eastAsia="Calibri" w:hAnsi="Arial" w:cs="Arial"/>
          <w:sz w:val="22"/>
          <w:szCs w:val="22"/>
          <w:lang w:val="en-IN"/>
        </w:rPr>
        <w:t>. To test the effect of coconut inflorescence sap, CIM were supplemented with three concentrations (5 mL/L, 10 mL/L, and 15 mL/L). The pH of the media was adjusted to 5.8. The control medium contained all the supplements except the CIS. The explants were inoculated for callogenesis and maintained in dark for 7-8 weeks.</w:t>
      </w:r>
    </w:p>
    <w:p w14:paraId="57E84637" w14:textId="77777777" w:rsidR="00E33AF9" w:rsidRPr="00D23863" w:rsidRDefault="00E33AF9" w:rsidP="00E33AF9">
      <w:pPr>
        <w:jc w:val="both"/>
        <w:rPr>
          <w:rFonts w:ascii="Arial" w:eastAsia="Calibri" w:hAnsi="Arial" w:cs="Arial"/>
          <w:sz w:val="22"/>
          <w:szCs w:val="22"/>
          <w:lang w:val="en-IN"/>
        </w:rPr>
      </w:pPr>
    </w:p>
    <w:p w14:paraId="04DA9C9A" w14:textId="77777777" w:rsidR="00E33AF9" w:rsidRPr="00D23863" w:rsidRDefault="00E33AF9" w:rsidP="00E33AF9">
      <w:pPr>
        <w:jc w:val="both"/>
        <w:rPr>
          <w:rFonts w:ascii="Arial" w:hAnsi="Arial" w:cs="Arial"/>
          <w:b/>
          <w:bCs/>
          <w:sz w:val="22"/>
          <w:szCs w:val="22"/>
          <w:lang w:val="en-IN"/>
        </w:rPr>
      </w:pPr>
      <w:r w:rsidRPr="00D23863">
        <w:rPr>
          <w:rFonts w:ascii="Arial" w:hAnsi="Arial" w:cs="Arial"/>
          <w:b/>
          <w:bCs/>
          <w:sz w:val="22"/>
          <w:szCs w:val="22"/>
          <w:lang w:val="en-IN"/>
        </w:rPr>
        <w:t>CIS and phytohormones on callogenesis and regeneration</w:t>
      </w:r>
    </w:p>
    <w:p w14:paraId="51B673A5" w14:textId="77777777" w:rsidR="00E33AF9" w:rsidRPr="00D23863" w:rsidRDefault="00E33AF9" w:rsidP="00E33AF9">
      <w:pPr>
        <w:jc w:val="both"/>
        <w:rPr>
          <w:rFonts w:ascii="Arial" w:hAnsi="Arial" w:cs="Arial"/>
          <w:sz w:val="22"/>
          <w:szCs w:val="22"/>
          <w:lang w:val="en-IN"/>
        </w:rPr>
      </w:pPr>
    </w:p>
    <w:p w14:paraId="5F7F6784" w14:textId="7CDDDB92" w:rsidR="00E33AF9" w:rsidRPr="00D23863" w:rsidRDefault="00E33AF9" w:rsidP="00E33AF9">
      <w:pPr>
        <w:jc w:val="both"/>
        <w:rPr>
          <w:rFonts w:ascii="Arial" w:eastAsia="SimSun" w:hAnsi="Arial" w:cs="Arial"/>
          <w:sz w:val="22"/>
          <w:szCs w:val="22"/>
        </w:rPr>
      </w:pPr>
      <w:r w:rsidRPr="00D23863">
        <w:rPr>
          <w:rFonts w:ascii="Arial" w:hAnsi="Arial" w:cs="Arial"/>
          <w:sz w:val="22"/>
          <w:szCs w:val="22"/>
          <w:lang w:val="en-IN"/>
        </w:rPr>
        <w:lastRenderedPageBreak/>
        <w:t>In an independent experiment immature inflorescence was cultured into five media containing different combination and concentrations of plant growth regulators and 10ppm CIS (based on the result of above experiment). The experiment consisted of five treatments, with the Y3 basal medium – T0 (</w:t>
      </w:r>
      <w:r w:rsidRPr="00D23863">
        <w:rPr>
          <w:rFonts w:ascii="Arial" w:eastAsia="Calibri" w:hAnsi="Arial" w:cs="Arial"/>
          <w:sz w:val="22"/>
          <w:szCs w:val="22"/>
          <w:lang w:val="en-IN"/>
        </w:rPr>
        <w:t>2</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picloram, 5.38</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NAA and 0.45</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TDZ and 300</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2,4-D + 10 mgL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 CIS), T1 ( 5.38</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NAA+ 4.5</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TDZ +  66</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2,4-D + 10  mgL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CIS), T2(5.38</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NAA+ 4.5</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TDZ +  66</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2,4-D + 49.42</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Spermine +10  mgL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CIS) T3(5.38</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NAA+ 4.5</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TDZ +  66</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2,4-D + 61.9</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Putrescene+ 10  mgL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CIS) T4(5.38</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NAA+ 4.5</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TDZ + 66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2,4-D + 4</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Picloram + 10  mgL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w:t>
      </w:r>
      <w:r w:rsidRPr="00D23863">
        <w:rPr>
          <w:rFonts w:ascii="Arial" w:hAnsi="Arial" w:cs="Arial"/>
          <w:sz w:val="22"/>
          <w:szCs w:val="22"/>
          <w:lang w:val="en-IN"/>
        </w:rPr>
        <w:t xml:space="preserve">Each treatment was replicated three times. The cultures were incubated in complete darkness at 26 ± 2 °C for 16 -20 weeks with subsequent sub-culturing on depletion of media </w:t>
      </w:r>
      <w:r w:rsidRPr="00D23863">
        <w:rPr>
          <w:rFonts w:ascii="Arial" w:eastAsia="SimSun" w:hAnsi="Arial" w:cs="Arial"/>
          <w:sz w:val="22"/>
          <w:szCs w:val="22"/>
        </w:rPr>
        <w:t xml:space="preserve">for further callus proliferation and multiplication until adequate amounts of </w:t>
      </w:r>
      <w:proofErr w:type="spellStart"/>
      <w:r w:rsidRPr="00D23863">
        <w:rPr>
          <w:rFonts w:ascii="Arial" w:eastAsia="SimSun" w:hAnsi="Arial" w:cs="Arial"/>
          <w:sz w:val="22"/>
          <w:szCs w:val="22"/>
        </w:rPr>
        <w:t>calli</w:t>
      </w:r>
      <w:proofErr w:type="spellEnd"/>
      <w:r w:rsidRPr="00D23863">
        <w:rPr>
          <w:rFonts w:ascii="Arial" w:eastAsia="SimSun" w:hAnsi="Arial" w:cs="Arial"/>
          <w:sz w:val="22"/>
          <w:szCs w:val="22"/>
        </w:rPr>
        <w:t xml:space="preserve"> were obtained.</w:t>
      </w:r>
    </w:p>
    <w:p w14:paraId="35B32658" w14:textId="77777777" w:rsidR="00E33AF9" w:rsidRPr="00D23863" w:rsidRDefault="00E33AF9" w:rsidP="00E33AF9">
      <w:pPr>
        <w:jc w:val="both"/>
        <w:rPr>
          <w:rFonts w:ascii="Arial" w:eastAsia="Calibri" w:hAnsi="Arial" w:cs="Arial"/>
          <w:sz w:val="22"/>
          <w:szCs w:val="22"/>
          <w:lang w:val="en-IN"/>
        </w:rPr>
      </w:pPr>
    </w:p>
    <w:p w14:paraId="34D2CD52" w14:textId="19710B37" w:rsidR="00E33AF9" w:rsidRPr="00D23863" w:rsidRDefault="00E33AF9" w:rsidP="00E33AF9">
      <w:pPr>
        <w:jc w:val="both"/>
        <w:rPr>
          <w:rFonts w:ascii="Arial" w:eastAsia="Calibri" w:hAnsi="Arial" w:cs="Arial"/>
          <w:sz w:val="22"/>
          <w:szCs w:val="22"/>
          <w:lang w:val="en-IN"/>
        </w:rPr>
      </w:pPr>
      <w:r w:rsidRPr="00D23863">
        <w:rPr>
          <w:rFonts w:ascii="Arial" w:hAnsi="Arial" w:cs="Arial"/>
          <w:sz w:val="22"/>
          <w:szCs w:val="22"/>
          <w:lang w:val="en-IN"/>
        </w:rPr>
        <w:t xml:space="preserve">The embryogenic callus was transferred to Y3 media supplemented with hormones and CIS as                   S1(5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BA + 1mgL-1 2ip +</w:t>
      </w:r>
      <w:r w:rsidRPr="00D23863">
        <w:rPr>
          <w:rFonts w:ascii="Arial" w:eastAsia="Calibri" w:hAnsi="Arial" w:cs="Arial"/>
          <w:sz w:val="22"/>
          <w:szCs w:val="22"/>
          <w:lang w:val="en-IN"/>
        </w:rPr>
        <w:t xml:space="preserve"> 10 mgL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w:t>
      </w:r>
      <w:r w:rsidRPr="00D23863">
        <w:rPr>
          <w:rFonts w:ascii="Arial" w:hAnsi="Arial" w:cs="Arial"/>
          <w:b/>
          <w:bCs/>
          <w:sz w:val="22"/>
          <w:szCs w:val="22"/>
          <w:lang w:val="en-IN"/>
        </w:rPr>
        <w:t>S</w:t>
      </w:r>
      <w:r w:rsidRPr="00D23863">
        <w:rPr>
          <w:rFonts w:ascii="Arial" w:hAnsi="Arial" w:cs="Arial"/>
          <w:sz w:val="22"/>
          <w:szCs w:val="22"/>
          <w:lang w:val="en-IN"/>
        </w:rPr>
        <w:t xml:space="preserve">2(4.54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2,4-D + 4</w:t>
      </w:r>
      <w:r w:rsidRPr="00D23863">
        <w:rPr>
          <w:rFonts w:ascii="Arial" w:hAnsi="Arial" w:cs="Arial"/>
          <w:color w:val="000000" w:themeColor="text1"/>
          <w:sz w:val="22"/>
          <w:szCs w:val="22"/>
          <w:lang w:val="en-IN" w:bidi="ml-IN"/>
        </w:rPr>
        <w:t xml:space="preserve"> </w:t>
      </w:r>
      <w:proofErr w:type="spellStart"/>
      <w:r w:rsidRPr="00D23863">
        <w:rPr>
          <w:rFonts w:ascii="Arial" w:hAnsi="Arial" w:cs="Arial"/>
          <w:color w:val="000000" w:themeColor="text1"/>
          <w:sz w:val="22"/>
          <w:szCs w:val="22"/>
          <w:lang w:val="en-IN" w:bidi="ml-IN"/>
        </w:rPr>
        <w:t>μM</w:t>
      </w:r>
      <w:proofErr w:type="spellEnd"/>
      <w:r w:rsidRPr="00D23863">
        <w:rPr>
          <w:rFonts w:ascii="Arial" w:hAnsi="Arial" w:cs="Arial"/>
          <w:sz w:val="22"/>
          <w:szCs w:val="22"/>
          <w:lang w:val="en-IN"/>
        </w:rPr>
        <w:t xml:space="preserve"> picloram +</w:t>
      </w:r>
      <w:r w:rsidRPr="00D23863">
        <w:rPr>
          <w:rFonts w:ascii="Arial" w:eastAsia="Calibri" w:hAnsi="Arial" w:cs="Arial"/>
          <w:sz w:val="22"/>
          <w:szCs w:val="22"/>
          <w:lang w:val="en-IN"/>
        </w:rPr>
        <w:t xml:space="preserve"> 10 mgL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w:t>
      </w:r>
      <w:r w:rsidRPr="00D23863">
        <w:rPr>
          <w:rFonts w:ascii="Arial" w:hAnsi="Arial" w:cs="Arial"/>
          <w:sz w:val="22"/>
          <w:szCs w:val="22"/>
          <w:lang w:val="en-IN"/>
        </w:rPr>
        <w:t xml:space="preserve">S3 (4.54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2,4-D + 5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BA +</w:t>
      </w:r>
      <w:r w:rsidRPr="00D23863">
        <w:rPr>
          <w:rFonts w:ascii="Arial" w:eastAsia="Calibri" w:hAnsi="Arial" w:cs="Arial"/>
          <w:sz w:val="22"/>
          <w:szCs w:val="22"/>
          <w:lang w:val="en-IN"/>
        </w:rPr>
        <w:t xml:space="preserve"> 10 mgL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w:t>
      </w:r>
      <w:r w:rsidRPr="00D23863">
        <w:rPr>
          <w:rFonts w:ascii="Arial" w:hAnsi="Arial" w:cs="Arial"/>
          <w:sz w:val="22"/>
          <w:szCs w:val="22"/>
          <w:lang w:val="en-IN"/>
        </w:rPr>
        <w:t xml:space="preserve">S4(4.54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2,4-D + 10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BA +</w:t>
      </w:r>
      <w:r w:rsidRPr="00D23863">
        <w:rPr>
          <w:rFonts w:ascii="Arial" w:eastAsia="Calibri" w:hAnsi="Arial" w:cs="Arial"/>
          <w:sz w:val="22"/>
          <w:szCs w:val="22"/>
          <w:lang w:val="en-IN"/>
        </w:rPr>
        <w:t xml:space="preserve"> 10 mgL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w:t>
      </w:r>
      <w:r w:rsidRPr="00D23863">
        <w:rPr>
          <w:rFonts w:ascii="Arial" w:hAnsi="Arial" w:cs="Arial"/>
          <w:sz w:val="22"/>
          <w:szCs w:val="22"/>
          <w:lang w:val="en-IN"/>
        </w:rPr>
        <w:t xml:space="preserve">S5(4.54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2,4-D + 15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BA +</w:t>
      </w:r>
      <w:r w:rsidRPr="00D23863">
        <w:rPr>
          <w:rFonts w:ascii="Arial" w:eastAsia="Calibri" w:hAnsi="Arial" w:cs="Arial"/>
          <w:sz w:val="22"/>
          <w:szCs w:val="22"/>
          <w:lang w:val="en-IN"/>
        </w:rPr>
        <w:t xml:space="preserve"> 10 mgL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w:t>
      </w:r>
      <w:r w:rsidRPr="00D23863">
        <w:rPr>
          <w:rFonts w:ascii="Arial" w:hAnsi="Arial" w:cs="Arial"/>
          <w:sz w:val="22"/>
          <w:szCs w:val="22"/>
          <w:lang w:val="en-IN"/>
        </w:rPr>
        <w:t xml:space="preserve">S6(4.54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2,4-D + 20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BA +</w:t>
      </w:r>
      <w:r w:rsidRPr="00D23863">
        <w:rPr>
          <w:rFonts w:ascii="Arial" w:eastAsia="Calibri" w:hAnsi="Arial" w:cs="Arial"/>
          <w:sz w:val="22"/>
          <w:szCs w:val="22"/>
          <w:lang w:val="en-IN"/>
        </w:rPr>
        <w:t xml:space="preserve"> 10 mgL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During the induction and maturation of somatic embryos, the cultures were kept in the dark at 26 ± 2°C. For somatic conversion, the cultures were kept at 26 ± 2°C under a 16-h light photoperiod provided by cool-white fluorescent tube. </w:t>
      </w:r>
    </w:p>
    <w:p w14:paraId="20C7F6B6" w14:textId="77777777" w:rsidR="00D97F7B" w:rsidRPr="00D23863" w:rsidRDefault="00D97F7B" w:rsidP="00E33AF9">
      <w:pPr>
        <w:jc w:val="both"/>
        <w:rPr>
          <w:rFonts w:ascii="Arial" w:eastAsia="Calibri" w:hAnsi="Arial" w:cs="Arial"/>
          <w:sz w:val="22"/>
          <w:szCs w:val="22"/>
          <w:lang w:val="en-IN"/>
        </w:rPr>
      </w:pPr>
    </w:p>
    <w:p w14:paraId="5F6849CE" w14:textId="1D4EC652" w:rsidR="00C064DD" w:rsidRPr="00D23863" w:rsidRDefault="00D23863" w:rsidP="00BC424F">
      <w:pPr>
        <w:jc w:val="both"/>
        <w:rPr>
          <w:rFonts w:ascii="Arial" w:hAnsi="Arial" w:cs="Arial"/>
          <w:b/>
          <w:bCs/>
          <w:sz w:val="22"/>
          <w:szCs w:val="22"/>
          <w:lang w:val="en-IN"/>
        </w:rPr>
      </w:pPr>
      <w:r w:rsidRPr="00D23863">
        <w:rPr>
          <w:rFonts w:ascii="Arial" w:hAnsi="Arial" w:cs="Arial"/>
          <w:b/>
          <w:bCs/>
          <w:sz w:val="22"/>
          <w:szCs w:val="22"/>
          <w:lang w:val="en-IN"/>
        </w:rPr>
        <w:t xml:space="preserve">RESULT </w:t>
      </w:r>
    </w:p>
    <w:p w14:paraId="3EE44817" w14:textId="77777777" w:rsidR="00C064DD" w:rsidRPr="00D23863" w:rsidRDefault="00C064DD" w:rsidP="00BC424F">
      <w:pPr>
        <w:jc w:val="both"/>
        <w:rPr>
          <w:rFonts w:ascii="Arial" w:hAnsi="Arial" w:cs="Arial"/>
          <w:b/>
          <w:bCs/>
          <w:sz w:val="22"/>
          <w:szCs w:val="22"/>
          <w:lang w:val="en-IN"/>
        </w:rPr>
      </w:pPr>
      <w:bookmarkStart w:id="0" w:name="_Hlk201350153"/>
    </w:p>
    <w:p w14:paraId="56AE758B" w14:textId="6A9C3108" w:rsidR="00C064DD" w:rsidRPr="00D23863" w:rsidRDefault="003C284D" w:rsidP="00BC424F">
      <w:pPr>
        <w:jc w:val="both"/>
        <w:rPr>
          <w:rFonts w:ascii="Arial" w:hAnsi="Arial" w:cs="Arial"/>
          <w:b/>
          <w:bCs/>
          <w:sz w:val="22"/>
          <w:szCs w:val="22"/>
        </w:rPr>
      </w:pPr>
      <w:r w:rsidRPr="00D23863">
        <w:rPr>
          <w:rFonts w:ascii="Arial" w:hAnsi="Arial" w:cs="Arial"/>
          <w:b/>
          <w:bCs/>
          <w:sz w:val="22"/>
          <w:szCs w:val="22"/>
        </w:rPr>
        <w:t xml:space="preserve">Influence of </w:t>
      </w:r>
      <w:r w:rsidR="00414647" w:rsidRPr="00D23863">
        <w:rPr>
          <w:rFonts w:ascii="Arial" w:hAnsi="Arial" w:cs="Arial"/>
          <w:b/>
          <w:bCs/>
          <w:sz w:val="22"/>
          <w:szCs w:val="22"/>
        </w:rPr>
        <w:t>d</w:t>
      </w:r>
      <w:r w:rsidRPr="00D23863">
        <w:rPr>
          <w:rFonts w:ascii="Arial" w:hAnsi="Arial" w:cs="Arial"/>
          <w:b/>
          <w:bCs/>
          <w:sz w:val="22"/>
          <w:szCs w:val="22"/>
        </w:rPr>
        <w:t xml:space="preserve">evelopmental </w:t>
      </w:r>
      <w:r w:rsidR="00414647" w:rsidRPr="00D23863">
        <w:rPr>
          <w:rFonts w:ascii="Arial" w:hAnsi="Arial" w:cs="Arial"/>
          <w:b/>
          <w:bCs/>
          <w:sz w:val="22"/>
          <w:szCs w:val="22"/>
        </w:rPr>
        <w:t>s</w:t>
      </w:r>
      <w:r w:rsidRPr="00D23863">
        <w:rPr>
          <w:rFonts w:ascii="Arial" w:hAnsi="Arial" w:cs="Arial"/>
          <w:b/>
          <w:bCs/>
          <w:sz w:val="22"/>
          <w:szCs w:val="22"/>
        </w:rPr>
        <w:t xml:space="preserve">tage of </w:t>
      </w:r>
      <w:r w:rsidR="00414647" w:rsidRPr="00D23863">
        <w:rPr>
          <w:rFonts w:ascii="Arial" w:hAnsi="Arial" w:cs="Arial"/>
          <w:b/>
          <w:bCs/>
          <w:sz w:val="22"/>
          <w:szCs w:val="22"/>
        </w:rPr>
        <w:t>e</w:t>
      </w:r>
      <w:r w:rsidRPr="00D23863">
        <w:rPr>
          <w:rFonts w:ascii="Arial" w:hAnsi="Arial" w:cs="Arial"/>
          <w:b/>
          <w:bCs/>
          <w:sz w:val="22"/>
          <w:szCs w:val="22"/>
        </w:rPr>
        <w:t xml:space="preserve">xplant on </w:t>
      </w:r>
      <w:r w:rsidR="00414647" w:rsidRPr="00D23863">
        <w:rPr>
          <w:rFonts w:ascii="Arial" w:hAnsi="Arial" w:cs="Arial"/>
          <w:b/>
          <w:bCs/>
          <w:sz w:val="22"/>
          <w:szCs w:val="22"/>
        </w:rPr>
        <w:t>c</w:t>
      </w:r>
      <w:r w:rsidRPr="00D23863">
        <w:rPr>
          <w:rFonts w:ascii="Arial" w:hAnsi="Arial" w:cs="Arial"/>
          <w:b/>
          <w:bCs/>
          <w:sz w:val="22"/>
          <w:szCs w:val="22"/>
        </w:rPr>
        <w:t>all</w:t>
      </w:r>
      <w:r w:rsidR="00763391" w:rsidRPr="00D23863">
        <w:rPr>
          <w:rFonts w:ascii="Arial" w:hAnsi="Arial" w:cs="Arial"/>
          <w:b/>
          <w:bCs/>
          <w:sz w:val="22"/>
          <w:szCs w:val="22"/>
        </w:rPr>
        <w:t>us</w:t>
      </w:r>
      <w:r w:rsidRPr="00D23863">
        <w:rPr>
          <w:rFonts w:ascii="Arial" w:hAnsi="Arial" w:cs="Arial"/>
          <w:b/>
          <w:bCs/>
          <w:sz w:val="22"/>
          <w:szCs w:val="22"/>
        </w:rPr>
        <w:t xml:space="preserve"> </w:t>
      </w:r>
      <w:r w:rsidR="00414647" w:rsidRPr="00D23863">
        <w:rPr>
          <w:rFonts w:ascii="Arial" w:hAnsi="Arial" w:cs="Arial"/>
          <w:b/>
          <w:bCs/>
          <w:sz w:val="22"/>
          <w:szCs w:val="22"/>
        </w:rPr>
        <w:t>i</w:t>
      </w:r>
      <w:r w:rsidRPr="00D23863">
        <w:rPr>
          <w:rFonts w:ascii="Arial" w:hAnsi="Arial" w:cs="Arial"/>
          <w:b/>
          <w:bCs/>
          <w:sz w:val="22"/>
          <w:szCs w:val="22"/>
        </w:rPr>
        <w:t xml:space="preserve">nduction and </w:t>
      </w:r>
      <w:r w:rsidR="00414647" w:rsidRPr="00D23863">
        <w:rPr>
          <w:rFonts w:ascii="Arial" w:hAnsi="Arial" w:cs="Arial"/>
          <w:b/>
          <w:bCs/>
          <w:sz w:val="22"/>
          <w:szCs w:val="22"/>
        </w:rPr>
        <w:t>b</w:t>
      </w:r>
      <w:r w:rsidRPr="00D23863">
        <w:rPr>
          <w:rFonts w:ascii="Arial" w:hAnsi="Arial" w:cs="Arial"/>
          <w:b/>
          <w:bCs/>
          <w:sz w:val="22"/>
          <w:szCs w:val="22"/>
        </w:rPr>
        <w:t>rowning</w:t>
      </w:r>
    </w:p>
    <w:p w14:paraId="209A419C" w14:textId="77777777" w:rsidR="009B28A8" w:rsidRPr="00D23863" w:rsidRDefault="009B28A8" w:rsidP="00BC424F">
      <w:pPr>
        <w:jc w:val="both"/>
        <w:rPr>
          <w:rFonts w:ascii="Arial" w:hAnsi="Arial" w:cs="Arial"/>
          <w:b/>
          <w:bCs/>
          <w:sz w:val="22"/>
          <w:szCs w:val="22"/>
        </w:rPr>
      </w:pPr>
    </w:p>
    <w:bookmarkEnd w:id="0"/>
    <w:p w14:paraId="7DE03181" w14:textId="3BF03448" w:rsidR="00C064DD" w:rsidRPr="00D23863" w:rsidRDefault="0059505E" w:rsidP="00BC424F">
      <w:pPr>
        <w:jc w:val="both"/>
        <w:rPr>
          <w:rFonts w:ascii="Arial" w:hAnsi="Arial" w:cs="Arial"/>
          <w:sz w:val="22"/>
          <w:szCs w:val="22"/>
          <w:lang w:val="en-IN"/>
        </w:rPr>
      </w:pPr>
      <w:r w:rsidRPr="00D23863">
        <w:rPr>
          <w:rFonts w:ascii="Arial" w:hAnsi="Arial" w:cs="Arial"/>
          <w:color w:val="000000" w:themeColor="text1"/>
          <w:sz w:val="22"/>
          <w:szCs w:val="22"/>
          <w:lang w:val="en-IN"/>
        </w:rPr>
        <w:t xml:space="preserve">In the present study, among the four stages, explants in i4 stage which represent the most immature tissue </w:t>
      </w:r>
      <w:r w:rsidRPr="00D23863">
        <w:rPr>
          <w:rFonts w:ascii="Arial" w:hAnsi="Arial" w:cs="Arial"/>
          <w:sz w:val="22"/>
          <w:szCs w:val="22"/>
          <w:lang w:val="en-IN"/>
        </w:rPr>
        <w:t>exhibited the highest frequency of callus induction (85.71%), which was statistically superior to the responses recorded in i3 (82.00%), i2 (78.57%), and i1 (74.42%)</w:t>
      </w:r>
      <w:r w:rsidR="009B28A8" w:rsidRPr="00D23863">
        <w:rPr>
          <w:rFonts w:ascii="Arial" w:hAnsi="Arial" w:cs="Arial"/>
          <w:sz w:val="22"/>
          <w:szCs w:val="22"/>
          <w:lang w:val="en-IN"/>
        </w:rPr>
        <w:t>. This</w:t>
      </w:r>
      <w:r w:rsidRPr="00D23863">
        <w:rPr>
          <w:rFonts w:ascii="Arial" w:hAnsi="Arial" w:cs="Arial"/>
          <w:sz w:val="22"/>
          <w:szCs w:val="22"/>
          <w:lang w:val="en-IN"/>
        </w:rPr>
        <w:t xml:space="preserve"> indicate</w:t>
      </w:r>
      <w:r w:rsidR="009B28A8" w:rsidRPr="00D23863">
        <w:rPr>
          <w:rFonts w:ascii="Arial" w:hAnsi="Arial" w:cs="Arial"/>
          <w:sz w:val="22"/>
          <w:szCs w:val="22"/>
          <w:lang w:val="en-IN"/>
        </w:rPr>
        <w:t>s</w:t>
      </w:r>
      <w:r w:rsidRPr="00D23863">
        <w:rPr>
          <w:rFonts w:ascii="Arial" w:hAnsi="Arial" w:cs="Arial"/>
          <w:sz w:val="22"/>
          <w:szCs w:val="22"/>
          <w:lang w:val="en-IN"/>
        </w:rPr>
        <w:t xml:space="preserve"> a declining trend in callus formation with increasing developmental maturity of the inflorescence. Browning of explants, indicative of oxidative stress and tissue necrosis, was first observed approximately 60 days post-inoculation</w:t>
      </w:r>
      <w:r w:rsidR="003C284D" w:rsidRPr="00D23863">
        <w:rPr>
          <w:rFonts w:ascii="Arial" w:hAnsi="Arial" w:cs="Arial"/>
          <w:sz w:val="22"/>
          <w:szCs w:val="22"/>
          <w:lang w:val="en-IN"/>
        </w:rPr>
        <w:t>. The i4 stage showed the lowest browning response (4.76%), significantly differing from i3 (6.00%), i2 (11.90%), and i1 (13.95%) (</w:t>
      </w:r>
      <w:r w:rsidR="008F4E08" w:rsidRPr="00D23863">
        <w:rPr>
          <w:rFonts w:ascii="Arial" w:hAnsi="Arial" w:cs="Arial"/>
          <w:sz w:val="22"/>
          <w:szCs w:val="22"/>
          <w:lang w:val="en-IN"/>
        </w:rPr>
        <w:t>Fig. 1)</w:t>
      </w:r>
      <w:r w:rsidR="003C284D" w:rsidRPr="00D23863">
        <w:rPr>
          <w:rFonts w:ascii="Arial" w:hAnsi="Arial" w:cs="Arial"/>
          <w:sz w:val="22"/>
          <w:szCs w:val="22"/>
          <w:lang w:val="en-IN"/>
        </w:rPr>
        <w:t>. Taken together, explants at the i3 (5–10 cm) and i4 (0–5 cm) stages demonstrated superior morphogenic responsiveness and reduced tissue browning, suggesting these developmental stages are more amenable for</w:t>
      </w:r>
      <w:r w:rsidR="003C284D" w:rsidRPr="00D23863">
        <w:rPr>
          <w:rFonts w:ascii="Arial" w:hAnsi="Arial" w:cs="Arial"/>
          <w:i/>
          <w:iCs/>
          <w:sz w:val="22"/>
          <w:szCs w:val="22"/>
          <w:lang w:val="en-IN"/>
        </w:rPr>
        <w:t xml:space="preserve"> in vitro</w:t>
      </w:r>
      <w:r w:rsidR="003C284D" w:rsidRPr="00D23863">
        <w:rPr>
          <w:rFonts w:ascii="Arial" w:hAnsi="Arial" w:cs="Arial"/>
          <w:sz w:val="22"/>
          <w:szCs w:val="22"/>
          <w:lang w:val="en-IN"/>
        </w:rPr>
        <w:t xml:space="preserve"> culture and callus induction under the tested conditions.</w:t>
      </w:r>
    </w:p>
    <w:p w14:paraId="70EDC192" w14:textId="77777777" w:rsidR="00901BB9" w:rsidRPr="00D23863" w:rsidRDefault="00901BB9" w:rsidP="00BC424F">
      <w:pPr>
        <w:jc w:val="both"/>
        <w:rPr>
          <w:rFonts w:ascii="Arial" w:hAnsi="Arial" w:cs="Arial"/>
          <w:sz w:val="22"/>
          <w:szCs w:val="22"/>
          <w:lang w:val="en-IN"/>
        </w:rPr>
        <w:sectPr w:rsidR="00901BB9" w:rsidRPr="00D23863" w:rsidSect="00D23863">
          <w:type w:val="continuous"/>
          <w:pgSz w:w="11906" w:h="16838"/>
          <w:pgMar w:top="1440" w:right="1440" w:bottom="1440" w:left="1440" w:header="720" w:footer="720" w:gutter="0"/>
          <w:cols w:space="720"/>
          <w:docGrid w:linePitch="360"/>
        </w:sectPr>
      </w:pPr>
    </w:p>
    <w:p w14:paraId="1CD8242B" w14:textId="0D9AB83A" w:rsidR="008F4E08" w:rsidRPr="00D23863" w:rsidRDefault="008F4E08" w:rsidP="00BC424F">
      <w:pPr>
        <w:jc w:val="both"/>
        <w:rPr>
          <w:rFonts w:ascii="Arial" w:hAnsi="Arial" w:cs="Arial"/>
          <w:sz w:val="22"/>
          <w:szCs w:val="22"/>
          <w:lang w:val="en-IN"/>
        </w:rPr>
      </w:pPr>
    </w:p>
    <w:p w14:paraId="75DAB0B3" w14:textId="77777777" w:rsidR="00D34273" w:rsidRPr="00D23863" w:rsidRDefault="00D34273" w:rsidP="008F4E08">
      <w:pPr>
        <w:jc w:val="both"/>
        <w:rPr>
          <w:rFonts w:ascii="Arial" w:hAnsi="Arial" w:cs="Arial"/>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2AF0344E" w14:textId="18A422A3" w:rsidR="008F4E08" w:rsidRPr="00D23863" w:rsidRDefault="008F4E08" w:rsidP="008F4E08">
      <w:pPr>
        <w:jc w:val="both"/>
        <w:rPr>
          <w:rFonts w:ascii="Arial" w:hAnsi="Arial" w:cs="Arial"/>
          <w:sz w:val="22"/>
          <w:szCs w:val="22"/>
        </w:rPr>
      </w:pPr>
      <w:r w:rsidRPr="00D23863">
        <w:rPr>
          <w:rFonts w:ascii="Arial" w:hAnsi="Arial" w:cs="Arial"/>
          <w:b/>
          <w:bCs/>
          <w:sz w:val="22"/>
          <w:szCs w:val="22"/>
          <w:lang w:val="en-IN"/>
        </w:rPr>
        <w:t>Fig</w:t>
      </w:r>
      <w:r w:rsidR="00835AF5" w:rsidRPr="00D23863">
        <w:rPr>
          <w:rFonts w:ascii="Arial" w:hAnsi="Arial" w:cs="Arial"/>
          <w:b/>
          <w:bCs/>
          <w:sz w:val="22"/>
          <w:szCs w:val="22"/>
          <w:lang w:val="en-IN"/>
        </w:rPr>
        <w:t>.</w:t>
      </w:r>
      <w:r w:rsidRPr="00D23863">
        <w:rPr>
          <w:rFonts w:ascii="Arial" w:hAnsi="Arial" w:cs="Arial"/>
          <w:b/>
          <w:bCs/>
          <w:sz w:val="22"/>
          <w:szCs w:val="22"/>
          <w:lang w:val="en-IN"/>
        </w:rPr>
        <w:t xml:space="preserve"> 1</w:t>
      </w:r>
      <w:r w:rsidRPr="00D23863">
        <w:rPr>
          <w:rFonts w:ascii="Arial" w:hAnsi="Arial" w:cs="Arial"/>
          <w:sz w:val="22"/>
          <w:szCs w:val="22"/>
          <w:lang w:val="en-IN"/>
        </w:rPr>
        <w:t xml:space="preserve"> </w:t>
      </w:r>
      <w:r w:rsidRPr="00D23863">
        <w:rPr>
          <w:rFonts w:ascii="Arial" w:hAnsi="Arial" w:cs="Arial"/>
          <w:sz w:val="22"/>
          <w:szCs w:val="22"/>
        </w:rPr>
        <w:t xml:space="preserve">Influence of </w:t>
      </w:r>
      <w:r w:rsidR="009B28A8" w:rsidRPr="00D23863">
        <w:rPr>
          <w:rFonts w:ascii="Arial" w:hAnsi="Arial" w:cs="Arial"/>
          <w:sz w:val="22"/>
          <w:szCs w:val="22"/>
        </w:rPr>
        <w:t>d</w:t>
      </w:r>
      <w:r w:rsidRPr="00D23863">
        <w:rPr>
          <w:rFonts w:ascii="Arial" w:hAnsi="Arial" w:cs="Arial"/>
          <w:sz w:val="22"/>
          <w:szCs w:val="22"/>
        </w:rPr>
        <w:t xml:space="preserve">evelopmental </w:t>
      </w:r>
      <w:r w:rsidR="009B28A8" w:rsidRPr="00D23863">
        <w:rPr>
          <w:rFonts w:ascii="Arial" w:hAnsi="Arial" w:cs="Arial"/>
          <w:sz w:val="22"/>
          <w:szCs w:val="22"/>
        </w:rPr>
        <w:t>s</w:t>
      </w:r>
      <w:r w:rsidRPr="00D23863">
        <w:rPr>
          <w:rFonts w:ascii="Arial" w:hAnsi="Arial" w:cs="Arial"/>
          <w:sz w:val="22"/>
          <w:szCs w:val="22"/>
        </w:rPr>
        <w:t xml:space="preserve">tage of </w:t>
      </w:r>
      <w:r w:rsidR="009B28A8" w:rsidRPr="00D23863">
        <w:rPr>
          <w:rFonts w:ascii="Arial" w:hAnsi="Arial" w:cs="Arial"/>
          <w:sz w:val="22"/>
          <w:szCs w:val="22"/>
        </w:rPr>
        <w:t>e</w:t>
      </w:r>
      <w:r w:rsidRPr="00D23863">
        <w:rPr>
          <w:rFonts w:ascii="Arial" w:hAnsi="Arial" w:cs="Arial"/>
          <w:sz w:val="22"/>
          <w:szCs w:val="22"/>
        </w:rPr>
        <w:t xml:space="preserve">xplant on </w:t>
      </w:r>
      <w:r w:rsidR="009B28A8" w:rsidRPr="00D23863">
        <w:rPr>
          <w:rFonts w:ascii="Arial" w:hAnsi="Arial" w:cs="Arial"/>
          <w:sz w:val="22"/>
          <w:szCs w:val="22"/>
        </w:rPr>
        <w:t>c</w:t>
      </w:r>
      <w:r w:rsidRPr="00D23863">
        <w:rPr>
          <w:rFonts w:ascii="Arial" w:hAnsi="Arial" w:cs="Arial"/>
          <w:sz w:val="22"/>
          <w:szCs w:val="22"/>
        </w:rPr>
        <w:t>allus</w:t>
      </w:r>
      <w:r w:rsidR="00F451DA" w:rsidRPr="00D23863">
        <w:rPr>
          <w:rFonts w:ascii="Arial" w:hAnsi="Arial" w:cs="Arial"/>
          <w:sz w:val="22"/>
          <w:szCs w:val="22"/>
        </w:rPr>
        <w:t>ing</w:t>
      </w:r>
      <w:r w:rsidRPr="00D23863">
        <w:rPr>
          <w:rFonts w:ascii="Arial" w:hAnsi="Arial" w:cs="Arial"/>
          <w:sz w:val="22"/>
          <w:szCs w:val="22"/>
        </w:rPr>
        <w:t xml:space="preserve"> and </w:t>
      </w:r>
      <w:r w:rsidR="009B28A8" w:rsidRPr="00D23863">
        <w:rPr>
          <w:rFonts w:ascii="Arial" w:hAnsi="Arial" w:cs="Arial"/>
          <w:sz w:val="22"/>
          <w:szCs w:val="22"/>
        </w:rPr>
        <w:t>b</w:t>
      </w:r>
      <w:r w:rsidRPr="00D23863">
        <w:rPr>
          <w:rFonts w:ascii="Arial" w:hAnsi="Arial" w:cs="Arial"/>
          <w:sz w:val="22"/>
          <w:szCs w:val="22"/>
        </w:rPr>
        <w:t>rowning</w:t>
      </w:r>
    </w:p>
    <w:p w14:paraId="5C134E08" w14:textId="7F099B7A" w:rsidR="00C064DD" w:rsidRPr="00D23863" w:rsidRDefault="00C064DD" w:rsidP="00BC424F">
      <w:pPr>
        <w:jc w:val="both"/>
        <w:rPr>
          <w:rFonts w:ascii="Arial" w:hAnsi="Arial" w:cs="Arial"/>
          <w:sz w:val="22"/>
          <w:szCs w:val="22"/>
          <w:lang w:val="en-IN"/>
        </w:rPr>
      </w:pPr>
    </w:p>
    <w:p w14:paraId="6BA55D7F" w14:textId="55429CF9" w:rsidR="00C221D2" w:rsidRPr="00D23863" w:rsidRDefault="004A12C0" w:rsidP="00BC424F">
      <w:pPr>
        <w:jc w:val="both"/>
        <w:rPr>
          <w:rFonts w:ascii="Arial" w:hAnsi="Arial" w:cs="Arial"/>
          <w:sz w:val="22"/>
          <w:szCs w:val="22"/>
          <w:lang w:val="en-IN"/>
        </w:rPr>
      </w:pPr>
      <w:r w:rsidRPr="00D23863">
        <w:rPr>
          <w:rFonts w:ascii="Arial" w:hAnsi="Arial" w:cs="Arial"/>
          <w:b/>
          <w:bCs/>
          <w:noProof/>
          <w:color w:val="FF0000"/>
          <w:sz w:val="22"/>
          <w:szCs w:val="22"/>
        </w:rPr>
        <w:drawing>
          <wp:anchor distT="0" distB="0" distL="114300" distR="114300" simplePos="0" relativeHeight="251659264" behindDoc="1" locked="0" layoutInCell="1" allowOverlap="1" wp14:anchorId="1A46AE8C" wp14:editId="0C2B31D0">
            <wp:simplePos x="0" y="0"/>
            <wp:positionH relativeFrom="column">
              <wp:posOffset>602589</wp:posOffset>
            </wp:positionH>
            <wp:positionV relativeFrom="page">
              <wp:posOffset>8129118</wp:posOffset>
            </wp:positionV>
            <wp:extent cx="3731895" cy="1926590"/>
            <wp:effectExtent l="0" t="0" r="0" b="0"/>
            <wp:wrapTight wrapText="bothSides">
              <wp:wrapPolygon edited="0">
                <wp:start x="1433" y="0"/>
                <wp:lineTo x="662" y="2563"/>
                <wp:lineTo x="441" y="9397"/>
                <wp:lineTo x="2977" y="10679"/>
                <wp:lineTo x="2095" y="10679"/>
                <wp:lineTo x="2095" y="11747"/>
                <wp:lineTo x="10806" y="14096"/>
                <wp:lineTo x="6836" y="14096"/>
                <wp:lineTo x="6836" y="15164"/>
                <wp:lineTo x="10806" y="17514"/>
                <wp:lineTo x="5292" y="19009"/>
                <wp:lineTo x="5292" y="20076"/>
                <wp:lineTo x="10364" y="20504"/>
                <wp:lineTo x="16649" y="20504"/>
                <wp:lineTo x="16870" y="19222"/>
                <wp:lineTo x="10806" y="17514"/>
                <wp:lineTo x="16870" y="15378"/>
                <wp:lineTo x="16870" y="14096"/>
                <wp:lineTo x="10806" y="14096"/>
                <wp:lineTo x="18855" y="13242"/>
                <wp:lineTo x="20619" y="11106"/>
                <wp:lineTo x="19737" y="10679"/>
                <wp:lineTo x="20619" y="9397"/>
                <wp:lineTo x="20398" y="8757"/>
                <wp:lineTo x="18744" y="7262"/>
                <wp:lineTo x="20508" y="7262"/>
                <wp:lineTo x="20508" y="4699"/>
                <wp:lineTo x="18744" y="3844"/>
                <wp:lineTo x="20839" y="2777"/>
                <wp:lineTo x="20508" y="427"/>
                <wp:lineTo x="2757" y="0"/>
                <wp:lineTo x="1433" y="0"/>
              </wp:wrapPolygon>
            </wp:wrapTight>
            <wp:docPr id="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14:paraId="4200D41D" w14:textId="46B0A35C" w:rsidR="009F47A3" w:rsidRDefault="009F47A3" w:rsidP="00BC424F">
      <w:pPr>
        <w:jc w:val="both"/>
        <w:rPr>
          <w:rFonts w:ascii="Arial" w:hAnsi="Arial" w:cs="Arial"/>
          <w:sz w:val="22"/>
          <w:szCs w:val="22"/>
          <w:lang w:val="en-IN"/>
        </w:rPr>
      </w:pPr>
    </w:p>
    <w:p w14:paraId="718C2D58" w14:textId="0C922D9B" w:rsidR="004A12C0" w:rsidRDefault="004A12C0" w:rsidP="00BC424F">
      <w:pPr>
        <w:jc w:val="both"/>
        <w:rPr>
          <w:rFonts w:ascii="Arial" w:hAnsi="Arial" w:cs="Arial"/>
          <w:sz w:val="22"/>
          <w:szCs w:val="22"/>
          <w:lang w:val="en-IN"/>
        </w:rPr>
      </w:pPr>
    </w:p>
    <w:p w14:paraId="0C7B201E" w14:textId="77777777" w:rsidR="004A12C0" w:rsidRDefault="004A12C0" w:rsidP="00BC424F">
      <w:pPr>
        <w:jc w:val="both"/>
        <w:rPr>
          <w:rFonts w:ascii="Arial" w:hAnsi="Arial" w:cs="Arial"/>
          <w:sz w:val="22"/>
          <w:szCs w:val="22"/>
          <w:lang w:val="en-IN"/>
        </w:rPr>
      </w:pPr>
    </w:p>
    <w:p w14:paraId="13E3FE17" w14:textId="77A832C8" w:rsidR="004A12C0" w:rsidRDefault="004A12C0" w:rsidP="00BC424F">
      <w:pPr>
        <w:jc w:val="both"/>
        <w:rPr>
          <w:rFonts w:ascii="Arial" w:hAnsi="Arial" w:cs="Arial"/>
          <w:sz w:val="22"/>
          <w:szCs w:val="22"/>
          <w:lang w:val="en-IN"/>
        </w:rPr>
      </w:pPr>
    </w:p>
    <w:p w14:paraId="4835FA5F" w14:textId="77777777" w:rsidR="004A12C0" w:rsidRDefault="004A12C0" w:rsidP="00BC424F">
      <w:pPr>
        <w:jc w:val="both"/>
        <w:rPr>
          <w:rFonts w:ascii="Arial" w:hAnsi="Arial" w:cs="Arial"/>
          <w:sz w:val="22"/>
          <w:szCs w:val="22"/>
          <w:lang w:val="en-IN"/>
        </w:rPr>
      </w:pPr>
    </w:p>
    <w:p w14:paraId="08CFD166" w14:textId="77777777" w:rsidR="004A12C0" w:rsidRPr="00D23863" w:rsidRDefault="004A12C0" w:rsidP="00BC424F">
      <w:pPr>
        <w:jc w:val="both"/>
        <w:rPr>
          <w:rFonts w:ascii="Arial" w:hAnsi="Arial" w:cs="Arial"/>
          <w:sz w:val="22"/>
          <w:szCs w:val="22"/>
          <w:lang w:val="en-IN"/>
        </w:rPr>
      </w:pPr>
    </w:p>
    <w:p w14:paraId="34D6237E" w14:textId="0B6C3C80" w:rsidR="009F47A3" w:rsidRPr="00D23863" w:rsidRDefault="009F47A3" w:rsidP="00BC424F">
      <w:pPr>
        <w:jc w:val="both"/>
        <w:rPr>
          <w:rFonts w:ascii="Arial" w:hAnsi="Arial" w:cs="Arial"/>
          <w:sz w:val="22"/>
          <w:szCs w:val="22"/>
          <w:lang w:val="en-IN"/>
        </w:rPr>
      </w:pPr>
    </w:p>
    <w:p w14:paraId="161C7324" w14:textId="0EF14FB0" w:rsidR="009F47A3" w:rsidRPr="00D23863" w:rsidRDefault="009F47A3" w:rsidP="00BC424F">
      <w:pPr>
        <w:jc w:val="both"/>
        <w:rPr>
          <w:rFonts w:ascii="Arial" w:hAnsi="Arial" w:cs="Arial"/>
          <w:sz w:val="22"/>
          <w:szCs w:val="22"/>
          <w:lang w:val="en-IN"/>
        </w:rPr>
      </w:pPr>
    </w:p>
    <w:p w14:paraId="5C79E1CD" w14:textId="27B7D958" w:rsidR="009F47A3" w:rsidRPr="00D23863" w:rsidRDefault="009F47A3" w:rsidP="00BC424F">
      <w:pPr>
        <w:jc w:val="both"/>
        <w:rPr>
          <w:rFonts w:ascii="Arial" w:hAnsi="Arial" w:cs="Arial"/>
          <w:sz w:val="22"/>
          <w:szCs w:val="22"/>
          <w:lang w:val="en-IN"/>
        </w:rPr>
      </w:pPr>
    </w:p>
    <w:p w14:paraId="4AD85861" w14:textId="1BEFB013" w:rsidR="009F47A3" w:rsidRPr="00D23863" w:rsidRDefault="009F47A3" w:rsidP="00BC424F">
      <w:pPr>
        <w:jc w:val="both"/>
        <w:rPr>
          <w:rFonts w:ascii="Arial" w:hAnsi="Arial" w:cs="Arial"/>
          <w:sz w:val="22"/>
          <w:szCs w:val="22"/>
          <w:lang w:val="en-IN"/>
        </w:rPr>
      </w:pPr>
    </w:p>
    <w:p w14:paraId="68C35215" w14:textId="05247F35" w:rsidR="009F47A3" w:rsidRPr="00D23863" w:rsidRDefault="009F47A3" w:rsidP="00BC424F">
      <w:pPr>
        <w:jc w:val="both"/>
        <w:rPr>
          <w:rFonts w:ascii="Arial" w:hAnsi="Arial" w:cs="Arial"/>
          <w:sz w:val="22"/>
          <w:szCs w:val="22"/>
          <w:lang w:val="en-IN"/>
        </w:rPr>
      </w:pPr>
    </w:p>
    <w:p w14:paraId="2830EF75" w14:textId="75AA890C" w:rsidR="009F47A3" w:rsidRPr="00D23863" w:rsidRDefault="009F47A3" w:rsidP="00BC424F">
      <w:pPr>
        <w:jc w:val="both"/>
        <w:rPr>
          <w:rFonts w:ascii="Arial" w:hAnsi="Arial" w:cs="Arial"/>
          <w:sz w:val="22"/>
          <w:szCs w:val="22"/>
          <w:lang w:val="en-IN"/>
        </w:rPr>
      </w:pPr>
    </w:p>
    <w:p w14:paraId="785F30B2" w14:textId="062FDE83" w:rsidR="009F47A3" w:rsidRPr="00D23863" w:rsidRDefault="009F47A3" w:rsidP="00BC424F">
      <w:pPr>
        <w:jc w:val="both"/>
        <w:rPr>
          <w:rFonts w:ascii="Arial" w:hAnsi="Arial" w:cs="Arial"/>
          <w:sz w:val="22"/>
          <w:szCs w:val="22"/>
          <w:lang w:val="en-IN"/>
        </w:rPr>
      </w:pPr>
    </w:p>
    <w:p w14:paraId="76DC0AA8" w14:textId="77777777" w:rsidR="009F47A3" w:rsidRPr="00D23863" w:rsidRDefault="009F47A3" w:rsidP="00BC424F">
      <w:pPr>
        <w:jc w:val="both"/>
        <w:rPr>
          <w:rFonts w:ascii="Arial" w:hAnsi="Arial" w:cs="Arial"/>
          <w:sz w:val="22"/>
          <w:szCs w:val="22"/>
          <w:lang w:val="en-IN"/>
        </w:rPr>
      </w:pPr>
    </w:p>
    <w:p w14:paraId="428A024A" w14:textId="77777777" w:rsidR="00D34273" w:rsidRPr="00D23863" w:rsidRDefault="00D34273" w:rsidP="00BC424F">
      <w:pPr>
        <w:jc w:val="both"/>
        <w:rPr>
          <w:rFonts w:ascii="Arial" w:eastAsia="Calibri" w:hAnsi="Arial" w:cs="Arial"/>
          <w:b/>
          <w:bCs/>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6ACF444C" w14:textId="77777777" w:rsidR="00D23863" w:rsidRDefault="00D23863" w:rsidP="00BC424F">
      <w:pPr>
        <w:jc w:val="both"/>
        <w:rPr>
          <w:rFonts w:ascii="Arial" w:eastAsia="Calibri" w:hAnsi="Arial" w:cs="Arial"/>
          <w:b/>
          <w:bCs/>
          <w:sz w:val="22"/>
          <w:szCs w:val="22"/>
          <w:lang w:val="en-IN"/>
        </w:rPr>
      </w:pPr>
    </w:p>
    <w:p w14:paraId="2B9CA713" w14:textId="77777777" w:rsidR="00D23863" w:rsidRDefault="00D23863" w:rsidP="00BC424F">
      <w:pPr>
        <w:jc w:val="both"/>
        <w:rPr>
          <w:rFonts w:ascii="Arial" w:eastAsia="Calibri" w:hAnsi="Arial" w:cs="Arial"/>
          <w:b/>
          <w:bCs/>
          <w:sz w:val="22"/>
          <w:szCs w:val="22"/>
          <w:lang w:val="en-IN"/>
        </w:rPr>
      </w:pPr>
    </w:p>
    <w:p w14:paraId="3D93ED3F" w14:textId="77777777" w:rsidR="00D23863" w:rsidRDefault="00D23863" w:rsidP="00BC424F">
      <w:pPr>
        <w:jc w:val="both"/>
        <w:rPr>
          <w:rFonts w:ascii="Arial" w:eastAsia="Calibri" w:hAnsi="Arial" w:cs="Arial"/>
          <w:b/>
          <w:bCs/>
          <w:sz w:val="22"/>
          <w:szCs w:val="22"/>
          <w:lang w:val="en-IN"/>
        </w:rPr>
      </w:pPr>
    </w:p>
    <w:p w14:paraId="22281615" w14:textId="77777777" w:rsidR="00D23863" w:rsidRDefault="00D23863" w:rsidP="00BC424F">
      <w:pPr>
        <w:jc w:val="both"/>
        <w:rPr>
          <w:rFonts w:ascii="Arial" w:eastAsia="Calibri" w:hAnsi="Arial" w:cs="Arial"/>
          <w:b/>
          <w:bCs/>
          <w:sz w:val="22"/>
          <w:szCs w:val="22"/>
          <w:lang w:val="en-IN"/>
        </w:rPr>
      </w:pPr>
    </w:p>
    <w:p w14:paraId="2088D869" w14:textId="77777777" w:rsidR="00D23863" w:rsidRDefault="00D23863" w:rsidP="00BC424F">
      <w:pPr>
        <w:jc w:val="both"/>
        <w:rPr>
          <w:rFonts w:ascii="Arial" w:eastAsia="Calibri" w:hAnsi="Arial" w:cs="Arial"/>
          <w:b/>
          <w:bCs/>
          <w:sz w:val="22"/>
          <w:szCs w:val="22"/>
          <w:lang w:val="en-IN"/>
        </w:rPr>
      </w:pPr>
    </w:p>
    <w:p w14:paraId="38020D09" w14:textId="76E3E9AF" w:rsidR="00B559E1" w:rsidRPr="00D23863" w:rsidRDefault="009F47A3" w:rsidP="00BC424F">
      <w:pPr>
        <w:jc w:val="both"/>
        <w:rPr>
          <w:rFonts w:ascii="Arial" w:eastAsia="Calibri" w:hAnsi="Arial" w:cs="Arial"/>
          <w:b/>
          <w:bCs/>
          <w:sz w:val="22"/>
          <w:szCs w:val="22"/>
          <w:lang w:val="en-IN"/>
        </w:rPr>
      </w:pPr>
      <w:r w:rsidRPr="00D23863">
        <w:rPr>
          <w:rFonts w:ascii="Arial" w:eastAsia="Calibri" w:hAnsi="Arial" w:cs="Arial"/>
          <w:b/>
          <w:bCs/>
          <w:sz w:val="22"/>
          <w:szCs w:val="22"/>
          <w:lang w:val="en-IN"/>
        </w:rPr>
        <w:t>Optimizing CIS</w:t>
      </w:r>
      <w:r w:rsidR="003C284D" w:rsidRPr="00D23863">
        <w:rPr>
          <w:rFonts w:ascii="Arial" w:eastAsia="Calibri" w:hAnsi="Arial" w:cs="Arial"/>
          <w:b/>
          <w:bCs/>
          <w:sz w:val="22"/>
          <w:szCs w:val="22"/>
          <w:lang w:val="en-IN"/>
        </w:rPr>
        <w:t xml:space="preserve"> concentration for callus</w:t>
      </w:r>
      <w:r w:rsidR="00F451DA" w:rsidRPr="00D23863">
        <w:rPr>
          <w:rFonts w:ascii="Arial" w:eastAsia="Calibri" w:hAnsi="Arial" w:cs="Arial"/>
          <w:b/>
          <w:bCs/>
          <w:sz w:val="22"/>
          <w:szCs w:val="22"/>
          <w:lang w:val="en-IN"/>
        </w:rPr>
        <w:t>ing</w:t>
      </w:r>
    </w:p>
    <w:p w14:paraId="41BAEE5B" w14:textId="516C2491" w:rsidR="00C221D2" w:rsidRPr="00D23863" w:rsidRDefault="00C221D2" w:rsidP="00BC424F">
      <w:pPr>
        <w:jc w:val="both"/>
        <w:rPr>
          <w:rFonts w:ascii="Arial" w:eastAsia="Calibri" w:hAnsi="Arial" w:cs="Arial"/>
          <w:b/>
          <w:bCs/>
          <w:sz w:val="22"/>
          <w:szCs w:val="22"/>
          <w:lang w:val="en-IN"/>
        </w:rPr>
      </w:pPr>
    </w:p>
    <w:p w14:paraId="1F113B3D" w14:textId="512CD2D5" w:rsidR="00D34273" w:rsidRPr="00D23863" w:rsidRDefault="003C284D" w:rsidP="00BC424F">
      <w:pPr>
        <w:jc w:val="both"/>
        <w:rPr>
          <w:rFonts w:ascii="Arial" w:hAnsi="Arial" w:cs="Arial"/>
          <w:sz w:val="22"/>
          <w:szCs w:val="22"/>
          <w:lang w:val="en-IN"/>
        </w:rPr>
        <w:sectPr w:rsidR="00D34273" w:rsidRPr="00D23863" w:rsidSect="00D23863">
          <w:type w:val="continuous"/>
          <w:pgSz w:w="11906" w:h="16838"/>
          <w:pgMar w:top="1440" w:right="1440" w:bottom="1440" w:left="1440" w:header="720" w:footer="720" w:gutter="0"/>
          <w:cols w:space="720"/>
          <w:docGrid w:linePitch="360"/>
        </w:sectPr>
      </w:pPr>
      <w:r w:rsidRPr="00D23863">
        <w:rPr>
          <w:rFonts w:ascii="Arial" w:hAnsi="Arial" w:cs="Arial"/>
          <w:sz w:val="22"/>
          <w:szCs w:val="22"/>
          <w:lang w:val="en-IN"/>
        </w:rPr>
        <w:t xml:space="preserve"> </w:t>
      </w:r>
      <w:r w:rsidR="00C24BEA" w:rsidRPr="00D23863">
        <w:rPr>
          <w:rFonts w:ascii="Arial" w:hAnsi="Arial" w:cs="Arial"/>
          <w:sz w:val="22"/>
          <w:szCs w:val="22"/>
          <w:lang w:val="en-IN"/>
        </w:rPr>
        <w:t>In the present investigation, t</w:t>
      </w:r>
      <w:r w:rsidRPr="00D23863">
        <w:rPr>
          <w:rFonts w:ascii="Arial" w:hAnsi="Arial" w:cs="Arial"/>
          <w:sz w:val="22"/>
          <w:szCs w:val="22"/>
          <w:lang w:val="en-IN"/>
        </w:rPr>
        <w:t xml:space="preserve">o optimize the concentration of coconut inflorescence sap (CIS) for evaluating its embryogenic potential and applicability as a </w:t>
      </w:r>
      <w:r w:rsidR="00AB70FA" w:rsidRPr="00D23863">
        <w:rPr>
          <w:rFonts w:ascii="Arial" w:hAnsi="Arial" w:cs="Arial"/>
          <w:sz w:val="22"/>
          <w:szCs w:val="22"/>
          <w:lang w:val="en-IN"/>
        </w:rPr>
        <w:t>culture medium additive, immature coconut inflorescence</w:t>
      </w:r>
      <w:r w:rsidRPr="00D23863">
        <w:rPr>
          <w:rFonts w:ascii="Arial" w:hAnsi="Arial" w:cs="Arial"/>
          <w:sz w:val="22"/>
          <w:szCs w:val="22"/>
          <w:lang w:val="en-IN"/>
        </w:rPr>
        <w:t xml:space="preserve"> were cultured on CIM media supplemented with varying concentrations of unfermented CIS</w:t>
      </w:r>
      <w:r w:rsidR="00E253B7" w:rsidRPr="00D23863">
        <w:rPr>
          <w:rFonts w:ascii="Arial" w:hAnsi="Arial" w:cs="Arial"/>
          <w:sz w:val="22"/>
          <w:szCs w:val="22"/>
          <w:lang w:val="en-IN"/>
        </w:rPr>
        <w:t xml:space="preserve"> with total sugar content of 12.92 Brix</w:t>
      </w:r>
      <w:r w:rsidRPr="00D23863">
        <w:rPr>
          <w:rFonts w:ascii="Arial" w:hAnsi="Arial" w:cs="Arial"/>
          <w:sz w:val="22"/>
          <w:szCs w:val="22"/>
          <w:lang w:val="en-IN"/>
        </w:rPr>
        <w:t>: 5 ml L</w:t>
      </w:r>
      <w:r w:rsidRPr="00D23863">
        <w:rPr>
          <w:rFonts w:ascii="Cambria Math" w:hAnsi="Cambria Math" w:cs="Cambria Math"/>
          <w:sz w:val="22"/>
          <w:szCs w:val="22"/>
          <w:lang w:val="en-IN"/>
        </w:rPr>
        <w:t>⁻</w:t>
      </w:r>
      <w:r w:rsidRPr="00D23863">
        <w:rPr>
          <w:rFonts w:ascii="Arial" w:hAnsi="Arial" w:cs="Arial"/>
          <w:sz w:val="22"/>
          <w:szCs w:val="22"/>
          <w:lang w:val="en-IN"/>
        </w:rPr>
        <w:t>¹ (Treatment A), 10 ml L</w:t>
      </w:r>
      <w:r w:rsidRPr="00D23863">
        <w:rPr>
          <w:rFonts w:ascii="Cambria Math" w:hAnsi="Cambria Math" w:cs="Cambria Math"/>
          <w:sz w:val="22"/>
          <w:szCs w:val="22"/>
          <w:lang w:val="en-IN"/>
        </w:rPr>
        <w:t>⁻</w:t>
      </w:r>
      <w:r w:rsidRPr="00D23863">
        <w:rPr>
          <w:rFonts w:ascii="Arial" w:hAnsi="Arial" w:cs="Arial"/>
          <w:sz w:val="22"/>
          <w:szCs w:val="22"/>
          <w:lang w:val="en-IN"/>
        </w:rPr>
        <w:t>¹ (Treatment B), and 15 ml L</w:t>
      </w:r>
      <w:r w:rsidRPr="00D23863">
        <w:rPr>
          <w:rFonts w:ascii="Cambria Math" w:hAnsi="Cambria Math" w:cs="Cambria Math"/>
          <w:sz w:val="22"/>
          <w:szCs w:val="22"/>
          <w:lang w:val="en-IN"/>
        </w:rPr>
        <w:t>⁻</w:t>
      </w:r>
      <w:r w:rsidRPr="00D23863">
        <w:rPr>
          <w:rFonts w:ascii="Arial" w:hAnsi="Arial" w:cs="Arial"/>
          <w:sz w:val="22"/>
          <w:szCs w:val="22"/>
          <w:lang w:val="en-IN"/>
        </w:rPr>
        <w:t>¹ (Treatment C)</w:t>
      </w:r>
      <w:r w:rsidR="00F92442" w:rsidRPr="00D23863">
        <w:rPr>
          <w:rFonts w:ascii="Arial" w:hAnsi="Arial" w:cs="Arial"/>
          <w:sz w:val="22"/>
          <w:szCs w:val="22"/>
          <w:lang w:val="en-IN"/>
        </w:rPr>
        <w:t xml:space="preserve"> (Table 1)</w:t>
      </w:r>
      <w:r w:rsidRPr="00D23863">
        <w:rPr>
          <w:rFonts w:ascii="Arial" w:hAnsi="Arial" w:cs="Arial"/>
          <w:sz w:val="22"/>
          <w:szCs w:val="22"/>
          <w:lang w:val="en-IN"/>
        </w:rPr>
        <w:t>. Among these, the medium containing 10 ml L</w:t>
      </w:r>
      <w:r w:rsidRPr="00D23863">
        <w:rPr>
          <w:rFonts w:ascii="Cambria Math" w:hAnsi="Cambria Math" w:cs="Cambria Math"/>
          <w:sz w:val="22"/>
          <w:szCs w:val="22"/>
          <w:lang w:val="en-IN"/>
        </w:rPr>
        <w:t>⁻</w:t>
      </w:r>
      <w:r w:rsidRPr="00D23863">
        <w:rPr>
          <w:rFonts w:ascii="Arial" w:hAnsi="Arial" w:cs="Arial"/>
          <w:sz w:val="22"/>
          <w:szCs w:val="22"/>
          <w:lang w:val="en-IN"/>
        </w:rPr>
        <w:t>¹ CIS (Treatment B) demonstrated superior performance relative to the control, suggesting a potential “nursing effect” or buffering capacity of CIS that may enhance nutrient bioavailability under suboptimal culture conditions. Additionally, phenolic browning—a common inhibitory response in tissue culture—was significantly reduced in Treatment B, with only 10.30% of explants affected. Browning incidence differed among treatments, with values of 21.5% (A), 10.30% (B), and 12.57% (C), all of which were lower than that observed in the control (21.73%). These findings indicate that CIS not only enhances morphogenetic responses but may also mitigate phenolic exudation, particularly at the optimized concentration of 10 ml L</w:t>
      </w:r>
      <w:r w:rsidRPr="00D23863">
        <w:rPr>
          <w:rFonts w:ascii="Cambria Math" w:hAnsi="Cambria Math" w:cs="Cambria Math"/>
          <w:sz w:val="22"/>
          <w:szCs w:val="22"/>
          <w:lang w:val="en-IN"/>
        </w:rPr>
        <w:t>⁻</w:t>
      </w:r>
      <w:r w:rsidRPr="00D23863">
        <w:rPr>
          <w:rFonts w:ascii="Arial" w:hAnsi="Arial" w:cs="Arial"/>
          <w:sz w:val="22"/>
          <w:szCs w:val="22"/>
          <w:lang w:val="en-IN"/>
        </w:rPr>
        <w:t>¹</w:t>
      </w:r>
    </w:p>
    <w:p w14:paraId="3B56FBF7" w14:textId="4386A268" w:rsidR="00C064DD" w:rsidRPr="00D23863" w:rsidRDefault="003C284D" w:rsidP="00BC424F">
      <w:pPr>
        <w:jc w:val="both"/>
        <w:rPr>
          <w:rFonts w:ascii="Arial" w:hAnsi="Arial" w:cs="Arial"/>
          <w:sz w:val="22"/>
          <w:szCs w:val="22"/>
          <w:lang w:val="en-IN"/>
        </w:rPr>
      </w:pPr>
      <w:r w:rsidRPr="00D23863">
        <w:rPr>
          <w:rFonts w:ascii="Arial" w:hAnsi="Arial" w:cs="Arial"/>
          <w:sz w:val="22"/>
          <w:szCs w:val="22"/>
          <w:lang w:val="en-IN"/>
        </w:rPr>
        <w:t>.</w:t>
      </w:r>
    </w:p>
    <w:p w14:paraId="130D0395" w14:textId="77777777" w:rsidR="001D2588" w:rsidRPr="00D23863" w:rsidRDefault="001D2588" w:rsidP="00BC424F">
      <w:pPr>
        <w:jc w:val="both"/>
        <w:rPr>
          <w:rFonts w:ascii="Arial" w:eastAsia="Calibri" w:hAnsi="Arial" w:cs="Arial"/>
          <w:b/>
          <w:bCs/>
          <w:sz w:val="22"/>
          <w:szCs w:val="22"/>
          <w:lang w:val="en-IN"/>
        </w:rPr>
      </w:pPr>
    </w:p>
    <w:p w14:paraId="754F1E3A" w14:textId="73ECCFB8" w:rsidR="00C064DD" w:rsidRPr="00D23863" w:rsidRDefault="001D2588" w:rsidP="00BC424F">
      <w:pPr>
        <w:jc w:val="both"/>
        <w:rPr>
          <w:rFonts w:ascii="Arial" w:hAnsi="Arial" w:cs="Arial"/>
          <w:sz w:val="22"/>
          <w:szCs w:val="22"/>
          <w:lang w:val="en-IN"/>
        </w:rPr>
      </w:pPr>
      <w:r w:rsidRPr="00D23863">
        <w:rPr>
          <w:rFonts w:ascii="Arial" w:hAnsi="Arial" w:cs="Arial"/>
          <w:b/>
          <w:bCs/>
          <w:sz w:val="22"/>
          <w:szCs w:val="22"/>
          <w:lang w:val="en-IN"/>
        </w:rPr>
        <w:t>Table 1</w:t>
      </w:r>
      <w:r w:rsidRPr="00D23863">
        <w:rPr>
          <w:rFonts w:ascii="Arial" w:hAnsi="Arial" w:cs="Arial"/>
          <w:sz w:val="22"/>
          <w:szCs w:val="22"/>
          <w:lang w:val="en-IN"/>
        </w:rPr>
        <w:t xml:space="preserve"> Effect of different CIS concentration on callogenesis and proliferation</w:t>
      </w:r>
    </w:p>
    <w:tbl>
      <w:tblPr>
        <w:tblStyle w:val="PlainTable2"/>
        <w:tblW w:w="0" w:type="auto"/>
        <w:tblBorders>
          <w:insideH w:val="single" w:sz="4" w:space="0" w:color="7F7F7F" w:themeColor="text1" w:themeTint="80"/>
        </w:tblBorders>
        <w:tblLook w:val="04A0" w:firstRow="1" w:lastRow="0" w:firstColumn="1" w:lastColumn="0" w:noHBand="0" w:noVBand="1"/>
      </w:tblPr>
      <w:tblGrid>
        <w:gridCol w:w="3080"/>
        <w:gridCol w:w="999"/>
        <w:gridCol w:w="790"/>
        <w:gridCol w:w="808"/>
        <w:gridCol w:w="780"/>
        <w:gridCol w:w="1087"/>
        <w:gridCol w:w="1083"/>
      </w:tblGrid>
      <w:tr w:rsidR="00D34273" w:rsidRPr="00D23863" w14:paraId="5A3D3CA4" w14:textId="77777777" w:rsidTr="00667390">
        <w:trPr>
          <w:cnfStyle w:val="100000000000" w:firstRow="1" w:lastRow="0" w:firstColumn="0" w:lastColumn="0" w:oddVBand="0" w:evenVBand="0" w:oddHBand="0"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3080" w:type="dxa"/>
          </w:tcPr>
          <w:p w14:paraId="774792A0" w14:textId="77777777" w:rsidR="00C064DD" w:rsidRPr="00D23863" w:rsidRDefault="003C284D" w:rsidP="00BC424F">
            <w:pPr>
              <w:jc w:val="center"/>
              <w:rPr>
                <w:rFonts w:ascii="Arial" w:hAnsi="Arial" w:cs="Arial"/>
                <w:sz w:val="22"/>
                <w:szCs w:val="22"/>
                <w:lang w:val="en-IN"/>
              </w:rPr>
            </w:pPr>
            <w:r w:rsidRPr="00D23863">
              <w:rPr>
                <w:rFonts w:ascii="Arial" w:hAnsi="Arial" w:cs="Arial"/>
                <w:sz w:val="22"/>
                <w:szCs w:val="22"/>
                <w:lang w:val="en-IN"/>
              </w:rPr>
              <w:t>Response</w:t>
            </w:r>
          </w:p>
          <w:p w14:paraId="0FD0F233" w14:textId="77777777" w:rsidR="00C064DD" w:rsidRPr="00D23863" w:rsidRDefault="003C284D" w:rsidP="00BC424F">
            <w:pPr>
              <w:jc w:val="center"/>
              <w:rPr>
                <w:rFonts w:ascii="Arial" w:hAnsi="Arial" w:cs="Arial"/>
                <w:sz w:val="22"/>
                <w:szCs w:val="22"/>
                <w:lang w:val="en-IN"/>
              </w:rPr>
            </w:pPr>
            <w:r w:rsidRPr="00D23863">
              <w:rPr>
                <w:rFonts w:ascii="Arial" w:hAnsi="Arial" w:cs="Arial"/>
                <w:sz w:val="22"/>
                <w:szCs w:val="22"/>
                <w:lang w:val="en-IN"/>
              </w:rPr>
              <w:t>(%)</w:t>
            </w:r>
          </w:p>
        </w:tc>
        <w:tc>
          <w:tcPr>
            <w:tcW w:w="975" w:type="dxa"/>
          </w:tcPr>
          <w:p w14:paraId="5DE83B8F" w14:textId="452C2649"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Control</w:t>
            </w:r>
          </w:p>
        </w:tc>
        <w:tc>
          <w:tcPr>
            <w:tcW w:w="790" w:type="dxa"/>
          </w:tcPr>
          <w:p w14:paraId="3141BD29"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A</w:t>
            </w:r>
          </w:p>
        </w:tc>
        <w:tc>
          <w:tcPr>
            <w:tcW w:w="808" w:type="dxa"/>
          </w:tcPr>
          <w:p w14:paraId="42028A10"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B</w:t>
            </w:r>
          </w:p>
        </w:tc>
        <w:tc>
          <w:tcPr>
            <w:tcW w:w="780" w:type="dxa"/>
          </w:tcPr>
          <w:p w14:paraId="76775C2E"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C</w:t>
            </w:r>
          </w:p>
        </w:tc>
        <w:tc>
          <w:tcPr>
            <w:tcW w:w="1087" w:type="dxa"/>
          </w:tcPr>
          <w:p w14:paraId="5C183EC7"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CD Value</w:t>
            </w:r>
          </w:p>
          <w:p w14:paraId="292D520E"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(P=0.05)</w:t>
            </w:r>
          </w:p>
        </w:tc>
        <w:tc>
          <w:tcPr>
            <w:tcW w:w="1083" w:type="dxa"/>
          </w:tcPr>
          <w:p w14:paraId="4AB19CEE"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CV Value</w:t>
            </w:r>
          </w:p>
          <w:p w14:paraId="1ADE38FF"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w:t>
            </w:r>
          </w:p>
        </w:tc>
      </w:tr>
      <w:tr w:rsidR="00D34273" w:rsidRPr="00D23863" w14:paraId="6AF1496B" w14:textId="77777777" w:rsidTr="00667390">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80" w:type="dxa"/>
          </w:tcPr>
          <w:p w14:paraId="7A4C4DA5" w14:textId="77777777" w:rsidR="00C064DD" w:rsidRPr="00D23863" w:rsidRDefault="003C284D" w:rsidP="00BC424F">
            <w:pPr>
              <w:jc w:val="center"/>
              <w:rPr>
                <w:rFonts w:ascii="Arial" w:hAnsi="Arial" w:cs="Arial"/>
                <w:sz w:val="22"/>
                <w:szCs w:val="22"/>
                <w:lang w:val="en-IN"/>
              </w:rPr>
            </w:pPr>
            <w:r w:rsidRPr="00D23863">
              <w:rPr>
                <w:rFonts w:ascii="Arial" w:hAnsi="Arial" w:cs="Arial"/>
                <w:sz w:val="22"/>
                <w:szCs w:val="22"/>
                <w:lang w:val="en-IN"/>
              </w:rPr>
              <w:t>Callus induction &amp; proliferation</w:t>
            </w:r>
          </w:p>
        </w:tc>
        <w:tc>
          <w:tcPr>
            <w:tcW w:w="975" w:type="dxa"/>
          </w:tcPr>
          <w:p w14:paraId="5C4BACA0" w14:textId="77777777" w:rsidR="00C064DD" w:rsidRPr="00D23863" w:rsidRDefault="003C284D" w:rsidP="00BC424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79.67</w:t>
            </w:r>
          </w:p>
        </w:tc>
        <w:tc>
          <w:tcPr>
            <w:tcW w:w="790" w:type="dxa"/>
          </w:tcPr>
          <w:p w14:paraId="5E2A4F5D" w14:textId="77777777" w:rsidR="00C064DD" w:rsidRPr="00D23863" w:rsidRDefault="003C284D" w:rsidP="00BC424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63.96</w:t>
            </w:r>
          </w:p>
        </w:tc>
        <w:tc>
          <w:tcPr>
            <w:tcW w:w="808" w:type="dxa"/>
          </w:tcPr>
          <w:p w14:paraId="18338971" w14:textId="77777777" w:rsidR="00C064DD" w:rsidRPr="00D23863" w:rsidRDefault="003C284D" w:rsidP="00BC424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84.67</w:t>
            </w:r>
          </w:p>
        </w:tc>
        <w:tc>
          <w:tcPr>
            <w:tcW w:w="780" w:type="dxa"/>
          </w:tcPr>
          <w:p w14:paraId="0C2C61B0" w14:textId="77777777" w:rsidR="00C064DD" w:rsidRPr="00D23863" w:rsidRDefault="003C284D" w:rsidP="00BC424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74.97</w:t>
            </w:r>
          </w:p>
        </w:tc>
        <w:tc>
          <w:tcPr>
            <w:tcW w:w="1087" w:type="dxa"/>
          </w:tcPr>
          <w:p w14:paraId="1DAC41CE" w14:textId="77777777" w:rsidR="00C064DD" w:rsidRPr="00D23863" w:rsidRDefault="003C284D" w:rsidP="00BC424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1.96</w:t>
            </w:r>
          </w:p>
        </w:tc>
        <w:tc>
          <w:tcPr>
            <w:tcW w:w="1083" w:type="dxa"/>
          </w:tcPr>
          <w:p w14:paraId="74653D65" w14:textId="77777777" w:rsidR="00C064DD" w:rsidRPr="00D23863" w:rsidRDefault="003C284D" w:rsidP="00BC424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1.38</w:t>
            </w:r>
          </w:p>
        </w:tc>
      </w:tr>
      <w:tr w:rsidR="00D34273" w:rsidRPr="00D23863" w14:paraId="52AC321E" w14:textId="77777777" w:rsidTr="00667390">
        <w:trPr>
          <w:trHeight w:val="295"/>
        </w:trPr>
        <w:tc>
          <w:tcPr>
            <w:cnfStyle w:val="001000000000" w:firstRow="0" w:lastRow="0" w:firstColumn="1" w:lastColumn="0" w:oddVBand="0" w:evenVBand="0" w:oddHBand="0" w:evenHBand="0" w:firstRowFirstColumn="0" w:firstRowLastColumn="0" w:lastRowFirstColumn="0" w:lastRowLastColumn="0"/>
            <w:tcW w:w="3080" w:type="dxa"/>
          </w:tcPr>
          <w:p w14:paraId="459A8648" w14:textId="77777777" w:rsidR="00C064DD" w:rsidRPr="00D23863" w:rsidRDefault="003C284D" w:rsidP="00BC424F">
            <w:pPr>
              <w:jc w:val="center"/>
              <w:rPr>
                <w:rFonts w:ascii="Arial" w:hAnsi="Arial" w:cs="Arial"/>
                <w:sz w:val="22"/>
                <w:szCs w:val="22"/>
                <w:lang w:val="en-IN"/>
              </w:rPr>
            </w:pPr>
            <w:r w:rsidRPr="00D23863">
              <w:rPr>
                <w:rFonts w:ascii="Arial" w:hAnsi="Arial" w:cs="Arial"/>
                <w:sz w:val="22"/>
                <w:szCs w:val="22"/>
                <w:lang w:val="en-IN"/>
              </w:rPr>
              <w:t>Phenolic contamination</w:t>
            </w:r>
          </w:p>
        </w:tc>
        <w:tc>
          <w:tcPr>
            <w:tcW w:w="975" w:type="dxa"/>
          </w:tcPr>
          <w:p w14:paraId="541E4E19" w14:textId="5EBB247E" w:rsidR="00C064DD" w:rsidRPr="00D23863" w:rsidRDefault="003C284D" w:rsidP="00BC42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21.73</w:t>
            </w:r>
          </w:p>
        </w:tc>
        <w:tc>
          <w:tcPr>
            <w:tcW w:w="790" w:type="dxa"/>
          </w:tcPr>
          <w:p w14:paraId="29A6FC09" w14:textId="77777777" w:rsidR="00C064DD" w:rsidRPr="00D23863" w:rsidRDefault="003C284D" w:rsidP="00BC42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21.5</w:t>
            </w:r>
          </w:p>
        </w:tc>
        <w:tc>
          <w:tcPr>
            <w:tcW w:w="808" w:type="dxa"/>
          </w:tcPr>
          <w:p w14:paraId="061FAEC7" w14:textId="77777777" w:rsidR="00C064DD" w:rsidRPr="00D23863" w:rsidRDefault="003C284D" w:rsidP="00BC42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10.30</w:t>
            </w:r>
          </w:p>
        </w:tc>
        <w:tc>
          <w:tcPr>
            <w:tcW w:w="780" w:type="dxa"/>
          </w:tcPr>
          <w:p w14:paraId="0880C30A" w14:textId="77777777" w:rsidR="00C064DD" w:rsidRPr="00D23863" w:rsidRDefault="003C284D" w:rsidP="00BC42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12.57</w:t>
            </w:r>
          </w:p>
        </w:tc>
        <w:tc>
          <w:tcPr>
            <w:tcW w:w="1087" w:type="dxa"/>
          </w:tcPr>
          <w:p w14:paraId="4EC719B1" w14:textId="77777777" w:rsidR="00C064DD" w:rsidRPr="00D23863" w:rsidRDefault="003C284D" w:rsidP="00BC42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1.29</w:t>
            </w:r>
          </w:p>
        </w:tc>
        <w:tc>
          <w:tcPr>
            <w:tcW w:w="1083" w:type="dxa"/>
          </w:tcPr>
          <w:p w14:paraId="47318AF2" w14:textId="77777777" w:rsidR="00C064DD" w:rsidRPr="00D23863" w:rsidRDefault="003C284D" w:rsidP="00BC42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1.29</w:t>
            </w:r>
          </w:p>
        </w:tc>
      </w:tr>
    </w:tbl>
    <w:p w14:paraId="330B7853" w14:textId="369DFA94" w:rsidR="00C064DD" w:rsidRPr="00D23863" w:rsidRDefault="00C064DD" w:rsidP="00BC424F">
      <w:pPr>
        <w:jc w:val="both"/>
        <w:rPr>
          <w:rFonts w:ascii="Arial" w:hAnsi="Arial" w:cs="Arial"/>
          <w:sz w:val="22"/>
          <w:szCs w:val="22"/>
          <w:lang w:val="en-IN"/>
        </w:rPr>
      </w:pPr>
    </w:p>
    <w:p w14:paraId="65A2C0BA" w14:textId="77777777" w:rsidR="00667390" w:rsidRPr="00D23863" w:rsidRDefault="00667390" w:rsidP="00BC424F">
      <w:pPr>
        <w:jc w:val="both"/>
        <w:rPr>
          <w:rFonts w:ascii="Arial" w:hAnsi="Arial" w:cs="Arial"/>
          <w:sz w:val="22"/>
          <w:szCs w:val="22"/>
          <w:lang w:val="en-IN"/>
        </w:rPr>
      </w:pPr>
    </w:p>
    <w:p w14:paraId="7F3AF0EC" w14:textId="77777777" w:rsidR="00414647" w:rsidRPr="00D23863" w:rsidRDefault="00414647" w:rsidP="00BC424F">
      <w:pPr>
        <w:jc w:val="both"/>
        <w:rPr>
          <w:rFonts w:ascii="Arial" w:hAnsi="Arial" w:cs="Arial"/>
          <w:sz w:val="22"/>
          <w:szCs w:val="22"/>
          <w:lang w:val="en-IN"/>
        </w:rPr>
      </w:pPr>
    </w:p>
    <w:p w14:paraId="2DE2876D" w14:textId="32507860" w:rsidR="00D97F7B" w:rsidRPr="00D23863" w:rsidRDefault="00D97F7B" w:rsidP="00BC424F">
      <w:pPr>
        <w:jc w:val="both"/>
        <w:rPr>
          <w:rFonts w:ascii="Arial" w:hAnsi="Arial" w:cs="Arial"/>
          <w:sz w:val="22"/>
          <w:szCs w:val="22"/>
          <w:lang w:val="en-IN"/>
        </w:rPr>
        <w:sectPr w:rsidR="00D97F7B" w:rsidRPr="00D23863" w:rsidSect="00D23863">
          <w:type w:val="continuous"/>
          <w:pgSz w:w="11906" w:h="16838"/>
          <w:pgMar w:top="1440" w:right="1440" w:bottom="1440" w:left="1440" w:header="720" w:footer="720" w:gutter="0"/>
          <w:cols w:space="720"/>
          <w:docGrid w:linePitch="360"/>
        </w:sectPr>
      </w:pPr>
    </w:p>
    <w:p w14:paraId="452B3D77" w14:textId="106ADAF1" w:rsidR="00C064DD" w:rsidRPr="00D23863" w:rsidRDefault="00E253B7" w:rsidP="00BC424F">
      <w:pPr>
        <w:jc w:val="both"/>
        <w:rPr>
          <w:rFonts w:ascii="Arial" w:hAnsi="Arial" w:cs="Arial"/>
          <w:b/>
          <w:bCs/>
          <w:sz w:val="22"/>
          <w:szCs w:val="22"/>
          <w:lang w:val="en-IN"/>
        </w:rPr>
      </w:pPr>
      <w:r w:rsidRPr="00D23863">
        <w:rPr>
          <w:rFonts w:ascii="Arial" w:hAnsi="Arial" w:cs="Arial"/>
          <w:b/>
          <w:bCs/>
          <w:sz w:val="22"/>
          <w:szCs w:val="22"/>
          <w:lang w:val="en-IN"/>
        </w:rPr>
        <w:t>Callus induction and proliferation</w:t>
      </w:r>
    </w:p>
    <w:p w14:paraId="26E1E51C" w14:textId="77777777" w:rsidR="00C064DD" w:rsidRPr="00D23863" w:rsidRDefault="00C064DD" w:rsidP="00BC424F">
      <w:pPr>
        <w:jc w:val="both"/>
        <w:rPr>
          <w:rFonts w:ascii="Arial" w:hAnsi="Arial" w:cs="Arial"/>
          <w:b/>
          <w:bCs/>
          <w:sz w:val="22"/>
          <w:szCs w:val="22"/>
          <w:lang w:val="en-IN"/>
        </w:rPr>
      </w:pPr>
    </w:p>
    <w:p w14:paraId="431F25B5" w14:textId="14796207" w:rsidR="009324AD" w:rsidRPr="00D23863" w:rsidRDefault="003C284D" w:rsidP="009324AD">
      <w:pPr>
        <w:jc w:val="both"/>
        <w:rPr>
          <w:rFonts w:ascii="Arial" w:hAnsi="Arial" w:cs="Arial"/>
          <w:sz w:val="22"/>
          <w:szCs w:val="22"/>
          <w:lang w:val="en-IN"/>
        </w:rPr>
      </w:pPr>
      <w:r w:rsidRPr="00D23863">
        <w:rPr>
          <w:rFonts w:ascii="Arial" w:hAnsi="Arial" w:cs="Arial"/>
          <w:sz w:val="22"/>
          <w:szCs w:val="22"/>
          <w:lang w:val="en-IN"/>
        </w:rPr>
        <w:t xml:space="preserve">Initial signs of response indicating the onset of callogenesis, as floral bud swelling from </w:t>
      </w:r>
      <w:proofErr w:type="spellStart"/>
      <w:r w:rsidRPr="00D23863">
        <w:rPr>
          <w:rFonts w:ascii="Arial" w:hAnsi="Arial" w:cs="Arial"/>
          <w:sz w:val="22"/>
          <w:szCs w:val="22"/>
          <w:lang w:val="en-IN"/>
        </w:rPr>
        <w:t>rachillae</w:t>
      </w:r>
      <w:proofErr w:type="spellEnd"/>
      <w:r w:rsidRPr="00D23863">
        <w:rPr>
          <w:rFonts w:ascii="Arial" w:hAnsi="Arial" w:cs="Arial"/>
          <w:sz w:val="22"/>
          <w:szCs w:val="22"/>
          <w:lang w:val="en-IN"/>
        </w:rPr>
        <w:t xml:space="preserve"> bits appeared around 45-55 days after culture initiation</w:t>
      </w:r>
      <w:r w:rsidR="00F92442" w:rsidRPr="00D23863">
        <w:rPr>
          <w:rFonts w:ascii="Arial" w:hAnsi="Arial" w:cs="Arial"/>
          <w:sz w:val="22"/>
          <w:szCs w:val="22"/>
          <w:lang w:val="en-IN"/>
        </w:rPr>
        <w:t xml:space="preserve"> (</w:t>
      </w:r>
      <w:r w:rsidR="00E57755" w:rsidRPr="00D23863">
        <w:rPr>
          <w:rFonts w:ascii="Arial" w:hAnsi="Arial" w:cs="Arial"/>
          <w:sz w:val="22"/>
          <w:szCs w:val="22"/>
          <w:lang w:val="en-IN"/>
        </w:rPr>
        <w:t>Fig</w:t>
      </w:r>
      <w:r w:rsidR="00F92442" w:rsidRPr="00D23863">
        <w:rPr>
          <w:rFonts w:ascii="Arial" w:hAnsi="Arial" w:cs="Arial"/>
          <w:sz w:val="22"/>
          <w:szCs w:val="22"/>
          <w:lang w:val="en-IN"/>
        </w:rPr>
        <w:t xml:space="preserve"> 2)</w:t>
      </w:r>
      <w:r w:rsidRPr="00D23863">
        <w:rPr>
          <w:rFonts w:ascii="Arial" w:hAnsi="Arial" w:cs="Arial"/>
          <w:sz w:val="22"/>
          <w:szCs w:val="22"/>
          <w:lang w:val="en-IN"/>
        </w:rPr>
        <w:t>. By 90 days post-inoculation, this response progressed to the formation of callus tissue characterized by pearly white structures. Of all the explants cultured</w:t>
      </w:r>
      <w:r w:rsidR="004E1BAA" w:rsidRPr="00D23863">
        <w:rPr>
          <w:rFonts w:ascii="Arial" w:hAnsi="Arial" w:cs="Arial"/>
          <w:sz w:val="22"/>
          <w:szCs w:val="22"/>
          <w:lang w:val="en-IN"/>
        </w:rPr>
        <w:t xml:space="preserve"> in different media combination</w:t>
      </w:r>
      <w:r w:rsidRPr="00D23863">
        <w:rPr>
          <w:rFonts w:ascii="Arial" w:hAnsi="Arial" w:cs="Arial"/>
          <w:sz w:val="22"/>
          <w:szCs w:val="22"/>
          <w:lang w:val="en-IN"/>
        </w:rPr>
        <w:t xml:space="preserve">, </w:t>
      </w:r>
      <w:r w:rsidR="00F92442" w:rsidRPr="00D23863">
        <w:rPr>
          <w:rFonts w:ascii="Arial" w:hAnsi="Arial" w:cs="Arial"/>
          <w:sz w:val="22"/>
          <w:szCs w:val="22"/>
          <w:lang w:val="en-IN"/>
        </w:rPr>
        <w:t>71.12</w:t>
      </w:r>
      <w:r w:rsidRPr="00D23863">
        <w:rPr>
          <w:rFonts w:ascii="Arial" w:hAnsi="Arial" w:cs="Arial"/>
          <w:sz w:val="22"/>
          <w:szCs w:val="22"/>
          <w:lang w:val="en-IN"/>
        </w:rPr>
        <w:t>% successfully formed callus</w:t>
      </w:r>
      <w:r w:rsidR="00F92442" w:rsidRPr="00D23863">
        <w:rPr>
          <w:rFonts w:ascii="Arial" w:hAnsi="Arial" w:cs="Arial"/>
          <w:sz w:val="22"/>
          <w:szCs w:val="22"/>
          <w:lang w:val="en-IN"/>
        </w:rPr>
        <w:t xml:space="preserve"> from 76.58% responsive cultures</w:t>
      </w:r>
      <w:r w:rsidRPr="00D23863">
        <w:rPr>
          <w:rFonts w:ascii="Arial" w:hAnsi="Arial" w:cs="Arial"/>
          <w:sz w:val="22"/>
          <w:szCs w:val="22"/>
          <w:lang w:val="en-IN"/>
        </w:rPr>
        <w:t xml:space="preserve">, whereas </w:t>
      </w:r>
      <w:r w:rsidR="00F92442" w:rsidRPr="00D23863">
        <w:rPr>
          <w:rFonts w:ascii="Arial" w:hAnsi="Arial" w:cs="Arial"/>
          <w:sz w:val="22"/>
          <w:szCs w:val="22"/>
          <w:lang w:val="en-IN"/>
        </w:rPr>
        <w:t>23</w:t>
      </w:r>
      <w:r w:rsidRPr="00D23863">
        <w:rPr>
          <w:rFonts w:ascii="Arial" w:hAnsi="Arial" w:cs="Arial"/>
          <w:sz w:val="22"/>
          <w:szCs w:val="22"/>
          <w:lang w:val="en-IN"/>
        </w:rPr>
        <w:t>.</w:t>
      </w:r>
      <w:r w:rsidR="00F92442" w:rsidRPr="00D23863">
        <w:rPr>
          <w:rFonts w:ascii="Arial" w:hAnsi="Arial" w:cs="Arial"/>
          <w:sz w:val="22"/>
          <w:szCs w:val="22"/>
          <w:lang w:val="en-IN"/>
        </w:rPr>
        <w:t>41</w:t>
      </w:r>
      <w:r w:rsidRPr="00D23863">
        <w:rPr>
          <w:rFonts w:ascii="Arial" w:hAnsi="Arial" w:cs="Arial"/>
          <w:sz w:val="22"/>
          <w:szCs w:val="22"/>
          <w:lang w:val="en-IN"/>
        </w:rPr>
        <w:t>% remained unresponsive</w:t>
      </w:r>
      <w:r w:rsidR="00F92442" w:rsidRPr="00D23863">
        <w:rPr>
          <w:rFonts w:ascii="Arial" w:hAnsi="Arial" w:cs="Arial"/>
          <w:sz w:val="22"/>
          <w:szCs w:val="22"/>
          <w:lang w:val="en-IN"/>
        </w:rPr>
        <w:t xml:space="preserve"> and contamination loss</w:t>
      </w:r>
      <w:r w:rsidRPr="00D23863">
        <w:rPr>
          <w:rFonts w:ascii="Arial" w:hAnsi="Arial" w:cs="Arial"/>
          <w:sz w:val="22"/>
          <w:szCs w:val="22"/>
          <w:lang w:val="en-IN"/>
        </w:rPr>
        <w:t xml:space="preserve">. Callus formation showed a steady increase over time, rising from 37.29% at three months to </w:t>
      </w:r>
      <w:r w:rsidR="00F92442" w:rsidRPr="00D23863">
        <w:rPr>
          <w:rFonts w:ascii="Arial" w:hAnsi="Arial" w:cs="Arial"/>
          <w:sz w:val="22"/>
          <w:szCs w:val="22"/>
          <w:lang w:val="en-IN"/>
        </w:rPr>
        <w:t>5</w:t>
      </w:r>
      <w:r w:rsidRPr="00D23863">
        <w:rPr>
          <w:rFonts w:ascii="Arial" w:hAnsi="Arial" w:cs="Arial"/>
          <w:sz w:val="22"/>
          <w:szCs w:val="22"/>
          <w:lang w:val="en-IN"/>
        </w:rPr>
        <w:t xml:space="preserve">5.54% at six months, and ultimately reaching </w:t>
      </w:r>
      <w:r w:rsidR="00F92442" w:rsidRPr="00D23863">
        <w:rPr>
          <w:rFonts w:ascii="Arial" w:hAnsi="Arial" w:cs="Arial"/>
          <w:sz w:val="22"/>
          <w:szCs w:val="22"/>
          <w:lang w:val="en-IN"/>
        </w:rPr>
        <w:t>71.12</w:t>
      </w:r>
      <w:r w:rsidRPr="00D23863">
        <w:rPr>
          <w:rFonts w:ascii="Arial" w:hAnsi="Arial" w:cs="Arial"/>
          <w:sz w:val="22"/>
          <w:szCs w:val="22"/>
          <w:lang w:val="en-IN"/>
        </w:rPr>
        <w:t>% by the ninth month.</w:t>
      </w:r>
      <w:r w:rsidR="00F92442" w:rsidRPr="00D23863">
        <w:rPr>
          <w:rFonts w:ascii="Arial" w:hAnsi="Arial" w:cs="Arial"/>
          <w:sz w:val="22"/>
          <w:szCs w:val="22"/>
          <w:lang w:val="en-IN"/>
        </w:rPr>
        <w:t xml:space="preserve"> </w:t>
      </w:r>
      <w:r w:rsidR="000F72E7" w:rsidRPr="00D23863">
        <w:rPr>
          <w:rFonts w:ascii="Arial" w:hAnsi="Arial" w:cs="Arial"/>
          <w:sz w:val="22"/>
          <w:szCs w:val="22"/>
          <w:lang w:val="en-IN"/>
        </w:rPr>
        <w:t>S</w:t>
      </w:r>
      <w:r w:rsidR="009324AD" w:rsidRPr="00D23863">
        <w:rPr>
          <w:rFonts w:ascii="Arial" w:hAnsi="Arial" w:cs="Arial"/>
          <w:sz w:val="22"/>
          <w:szCs w:val="22"/>
          <w:lang w:val="en-IN"/>
        </w:rPr>
        <w:t>upplementation of the culture medium with 10 ppm coconut inflorescence sap (CIS) was notably effective in suppressing phenolic browning and promoting enhanced callus induction and proliferation.</w:t>
      </w:r>
      <w:r w:rsidR="000F72E7" w:rsidRPr="00D23863">
        <w:rPr>
          <w:rFonts w:ascii="Arial" w:hAnsi="Arial" w:cs="Arial"/>
          <w:sz w:val="22"/>
          <w:szCs w:val="22"/>
          <w:lang w:val="en-IN"/>
        </w:rPr>
        <w:t xml:space="preserve"> </w:t>
      </w:r>
      <w:r w:rsidR="009324AD" w:rsidRPr="00D23863">
        <w:rPr>
          <w:rFonts w:ascii="Arial" w:hAnsi="Arial" w:cs="Arial"/>
          <w:sz w:val="22"/>
          <w:szCs w:val="22"/>
          <w:lang w:val="en-IN"/>
        </w:rPr>
        <w:t>Three distinct morphological types of callus were observed. The first type was soft, friable, creamy in colo</w:t>
      </w:r>
      <w:r w:rsidR="00C221D2" w:rsidRPr="00D23863">
        <w:rPr>
          <w:rFonts w:ascii="Arial" w:hAnsi="Arial" w:cs="Arial"/>
          <w:sz w:val="22"/>
          <w:szCs w:val="22"/>
          <w:lang w:val="en-IN"/>
        </w:rPr>
        <w:t>u</w:t>
      </w:r>
      <w:r w:rsidR="009324AD" w:rsidRPr="00D23863">
        <w:rPr>
          <w:rFonts w:ascii="Arial" w:hAnsi="Arial" w:cs="Arial"/>
          <w:sz w:val="22"/>
          <w:szCs w:val="22"/>
          <w:lang w:val="en-IN"/>
        </w:rPr>
        <w:t>r, and easily separable, typically differentiating into globular somatic embryos</w:t>
      </w:r>
      <w:r w:rsidR="00414647" w:rsidRPr="00D23863">
        <w:rPr>
          <w:rFonts w:ascii="Arial" w:hAnsi="Arial" w:cs="Arial"/>
          <w:sz w:val="22"/>
          <w:szCs w:val="22"/>
          <w:lang w:val="en-IN"/>
        </w:rPr>
        <w:t xml:space="preserve"> (Fig. </w:t>
      </w:r>
      <w:r w:rsidR="00667390" w:rsidRPr="00D23863">
        <w:rPr>
          <w:rFonts w:ascii="Arial" w:hAnsi="Arial" w:cs="Arial"/>
          <w:sz w:val="22"/>
          <w:szCs w:val="22"/>
          <w:lang w:val="en-IN"/>
        </w:rPr>
        <w:t>3</w:t>
      </w:r>
      <w:r w:rsidR="00414647" w:rsidRPr="00D23863">
        <w:rPr>
          <w:rFonts w:ascii="Arial" w:hAnsi="Arial" w:cs="Arial"/>
          <w:sz w:val="22"/>
          <w:szCs w:val="22"/>
          <w:lang w:val="en-IN"/>
        </w:rPr>
        <w:t>c)</w:t>
      </w:r>
      <w:r w:rsidR="009324AD" w:rsidRPr="00D23863">
        <w:rPr>
          <w:rFonts w:ascii="Arial" w:hAnsi="Arial" w:cs="Arial"/>
          <w:sz w:val="22"/>
          <w:szCs w:val="22"/>
          <w:lang w:val="en-IN"/>
        </w:rPr>
        <w:t>. The second type exhibited a medium-compact, dense texture and developed structures resembling shoot primordia</w:t>
      </w:r>
      <w:r w:rsidR="00414647" w:rsidRPr="00D23863">
        <w:rPr>
          <w:rFonts w:ascii="Arial" w:hAnsi="Arial" w:cs="Arial"/>
          <w:sz w:val="22"/>
          <w:szCs w:val="22"/>
          <w:lang w:val="en-IN"/>
        </w:rPr>
        <w:t xml:space="preserve"> (Fig. </w:t>
      </w:r>
      <w:r w:rsidR="00667390" w:rsidRPr="00D23863">
        <w:rPr>
          <w:rFonts w:ascii="Arial" w:hAnsi="Arial" w:cs="Arial"/>
          <w:sz w:val="22"/>
          <w:szCs w:val="22"/>
          <w:lang w:val="en-IN"/>
        </w:rPr>
        <w:t>3</w:t>
      </w:r>
      <w:r w:rsidR="00414647" w:rsidRPr="00D23863">
        <w:rPr>
          <w:rFonts w:ascii="Arial" w:hAnsi="Arial" w:cs="Arial"/>
          <w:sz w:val="22"/>
          <w:szCs w:val="22"/>
          <w:lang w:val="en-IN"/>
        </w:rPr>
        <w:t>d)</w:t>
      </w:r>
      <w:r w:rsidR="009324AD" w:rsidRPr="00D23863">
        <w:rPr>
          <w:rFonts w:ascii="Arial" w:hAnsi="Arial" w:cs="Arial"/>
          <w:sz w:val="22"/>
          <w:szCs w:val="22"/>
          <w:lang w:val="en-IN"/>
        </w:rPr>
        <w:t xml:space="preserve">. The third type was a hard, rough, and compact callus that failed to differentiate into somatic embryos or initiate any </w:t>
      </w:r>
      <w:proofErr w:type="spellStart"/>
      <w:r w:rsidR="009324AD" w:rsidRPr="00D23863">
        <w:rPr>
          <w:rFonts w:ascii="Arial" w:hAnsi="Arial" w:cs="Arial"/>
          <w:sz w:val="22"/>
          <w:szCs w:val="22"/>
          <w:lang w:val="en-IN"/>
        </w:rPr>
        <w:t>organogenic</w:t>
      </w:r>
      <w:proofErr w:type="spellEnd"/>
      <w:r w:rsidR="009324AD" w:rsidRPr="00D23863">
        <w:rPr>
          <w:rFonts w:ascii="Arial" w:hAnsi="Arial" w:cs="Arial"/>
          <w:sz w:val="22"/>
          <w:szCs w:val="22"/>
          <w:lang w:val="en-IN"/>
        </w:rPr>
        <w:t xml:space="preserve"> structures</w:t>
      </w:r>
      <w:r w:rsidR="00414647" w:rsidRPr="00D23863">
        <w:rPr>
          <w:rFonts w:ascii="Arial" w:hAnsi="Arial" w:cs="Arial"/>
          <w:sz w:val="22"/>
          <w:szCs w:val="22"/>
          <w:lang w:val="en-IN"/>
        </w:rPr>
        <w:t xml:space="preserve"> (Fig</w:t>
      </w:r>
      <w:r w:rsidR="009324AD" w:rsidRPr="00D23863">
        <w:rPr>
          <w:rFonts w:ascii="Arial" w:hAnsi="Arial" w:cs="Arial"/>
          <w:sz w:val="22"/>
          <w:szCs w:val="22"/>
          <w:lang w:val="en-IN"/>
        </w:rPr>
        <w:t>.</w:t>
      </w:r>
      <w:r w:rsidR="00414647" w:rsidRPr="00D23863">
        <w:rPr>
          <w:rFonts w:ascii="Arial" w:hAnsi="Arial" w:cs="Arial"/>
          <w:sz w:val="22"/>
          <w:szCs w:val="22"/>
          <w:lang w:val="en-IN"/>
        </w:rPr>
        <w:t xml:space="preserve"> </w:t>
      </w:r>
      <w:r w:rsidR="00667390" w:rsidRPr="00D23863">
        <w:rPr>
          <w:rFonts w:ascii="Arial" w:hAnsi="Arial" w:cs="Arial"/>
          <w:sz w:val="22"/>
          <w:szCs w:val="22"/>
          <w:lang w:val="en-IN"/>
        </w:rPr>
        <w:t>3</w:t>
      </w:r>
      <w:r w:rsidR="00414647" w:rsidRPr="00D23863">
        <w:rPr>
          <w:rFonts w:ascii="Arial" w:hAnsi="Arial" w:cs="Arial"/>
          <w:sz w:val="22"/>
          <w:szCs w:val="22"/>
          <w:lang w:val="en-IN"/>
        </w:rPr>
        <w:t>e)</w:t>
      </w:r>
    </w:p>
    <w:p w14:paraId="519352B5" w14:textId="77777777" w:rsidR="00D34273" w:rsidRPr="00D23863" w:rsidRDefault="00D34273" w:rsidP="00BC424F">
      <w:pPr>
        <w:jc w:val="both"/>
        <w:rPr>
          <w:rFonts w:ascii="Arial" w:hAnsi="Arial" w:cs="Arial"/>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3619073C" w14:textId="37989730" w:rsidR="001D2588" w:rsidRPr="00D23863" w:rsidRDefault="00E57755" w:rsidP="00BC424F">
      <w:pPr>
        <w:jc w:val="both"/>
        <w:rPr>
          <w:rFonts w:ascii="Arial" w:hAnsi="Arial" w:cs="Arial"/>
          <w:sz w:val="22"/>
          <w:szCs w:val="22"/>
          <w:lang w:val="en-IN"/>
        </w:rPr>
      </w:pPr>
      <w:r w:rsidRPr="00D23863">
        <w:rPr>
          <w:rFonts w:ascii="Arial" w:hAnsi="Arial" w:cs="Arial"/>
          <w:b/>
          <w:bCs/>
          <w:sz w:val="22"/>
          <w:szCs w:val="22"/>
          <w:lang w:val="en-IN"/>
        </w:rPr>
        <w:t>Fig</w:t>
      </w:r>
      <w:r w:rsidR="001D2588" w:rsidRPr="00D23863">
        <w:rPr>
          <w:rFonts w:ascii="Arial" w:hAnsi="Arial" w:cs="Arial"/>
          <w:b/>
          <w:bCs/>
          <w:sz w:val="22"/>
          <w:szCs w:val="22"/>
          <w:lang w:val="en-IN"/>
        </w:rPr>
        <w:t xml:space="preserve"> 2</w:t>
      </w:r>
      <w:r w:rsidR="001D2588" w:rsidRPr="00D23863">
        <w:rPr>
          <w:rFonts w:ascii="Arial" w:hAnsi="Arial" w:cs="Arial"/>
          <w:sz w:val="22"/>
          <w:szCs w:val="22"/>
          <w:lang w:val="en-IN"/>
        </w:rPr>
        <w:t xml:space="preserve"> Effect of additives on callusing from explant</w:t>
      </w:r>
    </w:p>
    <w:p w14:paraId="79375598" w14:textId="77777777" w:rsidR="00E57755" w:rsidRPr="00D23863" w:rsidRDefault="00E57755" w:rsidP="00067E4B">
      <w:pPr>
        <w:jc w:val="both"/>
        <w:rPr>
          <w:rFonts w:ascii="Arial" w:hAnsi="Arial" w:cs="Arial"/>
          <w:sz w:val="22"/>
          <w:szCs w:val="22"/>
        </w:rPr>
      </w:pPr>
      <w:r w:rsidRPr="00D23863">
        <w:rPr>
          <w:rFonts w:ascii="Arial" w:hAnsi="Arial" w:cs="Arial"/>
          <w:noProof/>
          <w:sz w:val="22"/>
          <w:szCs w:val="22"/>
        </w:rPr>
        <w:lastRenderedPageBreak/>
        <w:drawing>
          <wp:inline distT="0" distB="0" distL="0" distR="0" wp14:anchorId="0BE84BA1" wp14:editId="3A0D833F">
            <wp:extent cx="5838825" cy="3157436"/>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saturation sat="400000"/>
                              </a14:imgEffect>
                            </a14:imgLayer>
                          </a14:imgProps>
                        </a:ext>
                        <a:ext uri="{28A0092B-C50C-407E-A947-70E740481C1C}">
                          <a14:useLocalDpi xmlns:a14="http://schemas.microsoft.com/office/drawing/2010/main" val="0"/>
                        </a:ext>
                      </a:extLst>
                    </a:blip>
                    <a:srcRect t="6885"/>
                    <a:stretch/>
                  </pic:blipFill>
                  <pic:spPr bwMode="auto">
                    <a:xfrm>
                      <a:off x="0" y="0"/>
                      <a:ext cx="5838825" cy="3157436"/>
                    </a:xfrm>
                    <a:prstGeom prst="rect">
                      <a:avLst/>
                    </a:prstGeom>
                    <a:noFill/>
                    <a:ln>
                      <a:noFill/>
                    </a:ln>
                    <a:extLst>
                      <a:ext uri="{53640926-AAD7-44D8-BBD7-CCE9431645EC}">
                        <a14:shadowObscured xmlns:a14="http://schemas.microsoft.com/office/drawing/2010/main"/>
                      </a:ext>
                    </a:extLst>
                  </pic:spPr>
                </pic:pic>
              </a:graphicData>
            </a:graphic>
          </wp:inline>
        </w:drawing>
      </w:r>
    </w:p>
    <w:p w14:paraId="7AD9B799" w14:textId="77777777" w:rsidR="00901BB9" w:rsidRPr="00D23863" w:rsidRDefault="00901BB9" w:rsidP="00901BB9">
      <w:pPr>
        <w:jc w:val="both"/>
        <w:rPr>
          <w:rFonts w:ascii="Arial" w:hAnsi="Arial" w:cs="Arial"/>
          <w:sz w:val="22"/>
          <w:szCs w:val="22"/>
          <w:lang w:val="en-IN"/>
        </w:rPr>
      </w:pPr>
    </w:p>
    <w:p w14:paraId="0D657081" w14:textId="7A4617E8" w:rsidR="00901BB9" w:rsidRPr="00D23863" w:rsidRDefault="001C5BC5" w:rsidP="00901BB9">
      <w:pPr>
        <w:jc w:val="both"/>
        <w:rPr>
          <w:rFonts w:ascii="Arial" w:hAnsi="Arial" w:cs="Arial"/>
          <w:sz w:val="22"/>
          <w:szCs w:val="22"/>
          <w:lang w:val="en-IN"/>
        </w:rPr>
      </w:pPr>
      <w:r w:rsidRPr="00D23863">
        <w:rPr>
          <w:rFonts w:ascii="Arial" w:hAnsi="Arial" w:cs="Arial"/>
          <w:noProof/>
          <w:sz w:val="22"/>
          <w:szCs w:val="22"/>
          <w:lang w:val="en-IN"/>
        </w:rPr>
        <mc:AlternateContent>
          <mc:Choice Requires="wps">
            <w:drawing>
              <wp:anchor distT="0" distB="0" distL="114300" distR="114300" simplePos="0" relativeHeight="251662848" behindDoc="0" locked="0" layoutInCell="1" allowOverlap="1" wp14:anchorId="1839243D" wp14:editId="783370CB">
                <wp:simplePos x="0" y="0"/>
                <wp:positionH relativeFrom="column">
                  <wp:posOffset>-389255</wp:posOffset>
                </wp:positionH>
                <wp:positionV relativeFrom="paragraph">
                  <wp:posOffset>140970</wp:posOffset>
                </wp:positionV>
                <wp:extent cx="254000" cy="293370"/>
                <wp:effectExtent l="0" t="0" r="12700" b="11430"/>
                <wp:wrapNone/>
                <wp:docPr id="13" name="Text Box 13"/>
                <wp:cNvGraphicFramePr/>
                <a:graphic xmlns:a="http://schemas.openxmlformats.org/drawingml/2006/main">
                  <a:graphicData uri="http://schemas.microsoft.com/office/word/2010/wordprocessingShape">
                    <wps:wsp>
                      <wps:cNvSpPr txBox="1"/>
                      <wps:spPr>
                        <a:xfrm>
                          <a:off x="0" y="0"/>
                          <a:ext cx="254000" cy="293370"/>
                        </a:xfrm>
                        <a:prstGeom prst="rect">
                          <a:avLst/>
                        </a:prstGeom>
                        <a:solidFill>
                          <a:schemeClr val="lt1"/>
                        </a:solidFill>
                        <a:ln w="6350">
                          <a:solidFill>
                            <a:prstClr val="black"/>
                          </a:solidFill>
                        </a:ln>
                      </wps:spPr>
                      <wps:txbx>
                        <w:txbxContent>
                          <w:p w14:paraId="5F7442D5" w14:textId="5DC754EE" w:rsidR="001C5BC5" w:rsidRPr="001C5BC5" w:rsidRDefault="001C5BC5">
                            <w:pPr>
                              <w:rPr>
                                <w:rFonts w:ascii="Times New Roman" w:hAnsi="Times New Roman" w:cs="Times New Roman"/>
                                <w:b/>
                                <w:bCs/>
                                <w:sz w:val="24"/>
                                <w:szCs w:val="24"/>
                              </w:rPr>
                            </w:pPr>
                            <w:r w:rsidRPr="001C5BC5">
                              <w:rPr>
                                <w:rFonts w:ascii="Times New Roman" w:hAnsi="Times New Roman" w:cs="Times New Roman"/>
                                <w:b/>
                                <w:bCs/>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39243D" id="_x0000_t202" coordsize="21600,21600" o:spt="202" path="m,l,21600r21600,l21600,xe">
                <v:stroke joinstyle="miter"/>
                <v:path gradientshapeok="t" o:connecttype="rect"/>
              </v:shapetype>
              <v:shape id="Text Box 13" o:spid="_x0000_s1026" type="#_x0000_t202" style="position:absolute;left:0;text-align:left;margin-left:-30.65pt;margin-top:11.1pt;width:20pt;height:23.1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" fillcolor="white [3201]" strokeweight=".5pt">
                <v:textbox>
                  <w:txbxContent>
                    <w:p w14:paraId="5F7442D5" w14:textId="5DC754EE" w:rsidR="001C5BC5" w:rsidRPr="001C5BC5" w:rsidRDefault="001C5BC5">
                      <w:pPr>
                        <w:rPr>
                          <w:rFonts w:ascii="Times New Roman" w:hAnsi="Times New Roman" w:cs="Times New Roman"/>
                          <w:b/>
                          <w:bCs/>
                          <w:sz w:val="24"/>
                          <w:szCs w:val="24"/>
                        </w:rPr>
                      </w:pPr>
                      <w:r w:rsidRPr="001C5BC5">
                        <w:rPr>
                          <w:rFonts w:ascii="Times New Roman" w:hAnsi="Times New Roman" w:cs="Times New Roman"/>
                          <w:b/>
                          <w:bCs/>
                          <w:sz w:val="24"/>
                          <w:szCs w:val="24"/>
                        </w:rPr>
                        <w:t>a</w:t>
                      </w:r>
                    </w:p>
                  </w:txbxContent>
                </v:textbox>
              </v:shape>
            </w:pict>
          </mc:Fallback>
        </mc:AlternateContent>
      </w:r>
      <w:r w:rsidR="00901BB9" w:rsidRPr="00D23863">
        <w:rPr>
          <w:rFonts w:ascii="Arial" w:hAnsi="Arial" w:cs="Arial"/>
          <w:noProof/>
          <w:sz w:val="22"/>
          <w:szCs w:val="22"/>
        </w:rPr>
        <w:drawing>
          <wp:anchor distT="0" distB="0" distL="114300" distR="114300" simplePos="0" relativeHeight="251647488" behindDoc="1" locked="0" layoutInCell="1" allowOverlap="1" wp14:anchorId="116A78DD" wp14:editId="4893DB28">
            <wp:simplePos x="0" y="0"/>
            <wp:positionH relativeFrom="column">
              <wp:posOffset>-94615</wp:posOffset>
            </wp:positionH>
            <wp:positionV relativeFrom="paragraph">
              <wp:posOffset>137795</wp:posOffset>
            </wp:positionV>
            <wp:extent cx="1917065" cy="1628775"/>
            <wp:effectExtent l="19050" t="19050" r="26035" b="28575"/>
            <wp:wrapTight wrapText="bothSides">
              <wp:wrapPolygon edited="0">
                <wp:start x="-215" y="-253"/>
                <wp:lineTo x="-215" y="21726"/>
                <wp:lineTo x="21679" y="21726"/>
                <wp:lineTo x="21679" y="-253"/>
                <wp:lineTo x="-215" y="-253"/>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aturation sat="200000"/>
                              </a14:imgEffect>
                            </a14:imgLayer>
                          </a14:imgProps>
                        </a:ext>
                        <a:ext uri="{28A0092B-C50C-407E-A947-70E740481C1C}">
                          <a14:useLocalDpi xmlns:a14="http://schemas.microsoft.com/office/drawing/2010/main" val="0"/>
                        </a:ext>
                      </a:extLst>
                    </a:blip>
                    <a:srcRect l="30340" t="26659" r="38418" b="26124"/>
                    <a:stretch/>
                  </pic:blipFill>
                  <pic:spPr bwMode="auto">
                    <a:xfrm>
                      <a:off x="0" y="0"/>
                      <a:ext cx="1917065" cy="16287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EC0F7C" w14:textId="10BB3DFF" w:rsidR="00835AF5" w:rsidRPr="00D23863" w:rsidRDefault="001C5BC5" w:rsidP="00901BB9">
      <w:pPr>
        <w:jc w:val="both"/>
        <w:rPr>
          <w:rFonts w:ascii="Arial" w:hAnsi="Arial" w:cs="Arial"/>
          <w:sz w:val="22"/>
          <w:szCs w:val="22"/>
          <w:lang w:val="en-IN"/>
        </w:rPr>
      </w:pPr>
      <w:r w:rsidRPr="00D23863">
        <w:rPr>
          <w:rFonts w:ascii="Arial" w:hAnsi="Arial" w:cs="Arial"/>
          <w:noProof/>
          <w:sz w:val="22"/>
          <w:szCs w:val="22"/>
          <w:lang w:val="en-IN"/>
        </w:rPr>
        <mc:AlternateContent>
          <mc:Choice Requires="wps">
            <w:drawing>
              <wp:anchor distT="0" distB="0" distL="114300" distR="114300" simplePos="0" relativeHeight="251668992" behindDoc="0" locked="0" layoutInCell="1" allowOverlap="1" wp14:anchorId="05E2D030" wp14:editId="2CED6423">
                <wp:simplePos x="0" y="0"/>
                <wp:positionH relativeFrom="column">
                  <wp:posOffset>-365125</wp:posOffset>
                </wp:positionH>
                <wp:positionV relativeFrom="paragraph">
                  <wp:posOffset>52070</wp:posOffset>
                </wp:positionV>
                <wp:extent cx="254000" cy="293915"/>
                <wp:effectExtent l="0" t="0" r="12700" b="11430"/>
                <wp:wrapNone/>
                <wp:docPr id="15" name="Text Box 15"/>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6BBFE976" w14:textId="0CE743E1"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2D030" id="Text Box 15" o:spid="_x0000_s1027" type="#_x0000_t202" style="position:absolute;left:0;text-align:left;margin-left:-28.75pt;margin-top:4.1pt;width:20pt;height:23.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" fillcolor="white [3201]" strokeweight=".5pt">
                <v:textbox>
                  <w:txbxContent>
                    <w:p w14:paraId="6BBFE976" w14:textId="0CE743E1"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c</w:t>
                      </w:r>
                    </w:p>
                  </w:txbxContent>
                </v:textbox>
              </v:shape>
            </w:pict>
          </mc:Fallback>
        </mc:AlternateContent>
      </w:r>
      <w:r w:rsidRPr="00D23863">
        <w:rPr>
          <w:rFonts w:ascii="Arial" w:hAnsi="Arial" w:cs="Arial"/>
          <w:noProof/>
          <w:sz w:val="22"/>
          <w:szCs w:val="22"/>
          <w:lang w:val="en-IN"/>
        </w:rPr>
        <mc:AlternateContent>
          <mc:Choice Requires="wps">
            <w:drawing>
              <wp:anchor distT="0" distB="0" distL="114300" distR="114300" simplePos="0" relativeHeight="251665920" behindDoc="0" locked="0" layoutInCell="1" allowOverlap="1" wp14:anchorId="76142797" wp14:editId="1B3C5C65">
                <wp:simplePos x="0" y="0"/>
                <wp:positionH relativeFrom="column">
                  <wp:posOffset>-2117181</wp:posOffset>
                </wp:positionH>
                <wp:positionV relativeFrom="paragraph">
                  <wp:posOffset>52070</wp:posOffset>
                </wp:positionV>
                <wp:extent cx="254000" cy="293915"/>
                <wp:effectExtent l="0" t="0" r="12700" b="11430"/>
                <wp:wrapNone/>
                <wp:docPr id="14" name="Text Box 14"/>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677DD4A7" w14:textId="30EEDF5C"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42797" id="Text Box 14" o:spid="_x0000_s1028" type="#_x0000_t202" style="position:absolute;left:0;text-align:left;margin-left:-166.7pt;margin-top:4.1pt;width:20pt;height:23.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" fillcolor="white [3201]" strokeweight=".5pt">
                <v:textbox>
                  <w:txbxContent>
                    <w:p w14:paraId="677DD4A7" w14:textId="30EEDF5C"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b</w:t>
                      </w:r>
                    </w:p>
                  </w:txbxContent>
                </v:textbox>
              </v:shape>
            </w:pict>
          </mc:Fallback>
        </mc:AlternateContent>
      </w:r>
      <w:r w:rsidR="00835AF5" w:rsidRPr="00D23863">
        <w:rPr>
          <w:rFonts w:ascii="Arial" w:hAnsi="Arial" w:cs="Arial"/>
          <w:noProof/>
          <w:sz w:val="22"/>
          <w:szCs w:val="22"/>
          <w:lang w:val="en-IN"/>
        </w:rPr>
        <w:drawing>
          <wp:anchor distT="0" distB="0" distL="114300" distR="114300" simplePos="0" relativeHeight="251638272" behindDoc="1" locked="0" layoutInCell="1" allowOverlap="1" wp14:anchorId="139C11DC" wp14:editId="58F8C66C">
            <wp:simplePos x="0" y="0"/>
            <wp:positionH relativeFrom="column">
              <wp:posOffset>1844040</wp:posOffset>
            </wp:positionH>
            <wp:positionV relativeFrom="paragraph">
              <wp:posOffset>52070</wp:posOffset>
            </wp:positionV>
            <wp:extent cx="1678305" cy="1567180"/>
            <wp:effectExtent l="19050" t="19050" r="17145" b="13970"/>
            <wp:wrapTight wrapText="bothSides">
              <wp:wrapPolygon edited="0">
                <wp:start x="-245" y="-263"/>
                <wp:lineTo x="-245" y="21530"/>
                <wp:lineTo x="21575" y="21530"/>
                <wp:lineTo x="21575" y="-263"/>
                <wp:lineTo x="-245" y="-263"/>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BEBA8EAE-BF5A-486C-A8C5-ECC9F3942E4B}">
                          <a14:imgProps xmlns:a14="http://schemas.microsoft.com/office/drawing/2010/main">
                            <a14:imgLayer r:embed="rId19">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678305" cy="156718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835AF5" w:rsidRPr="00D23863">
        <w:rPr>
          <w:rFonts w:ascii="Arial" w:hAnsi="Arial" w:cs="Arial"/>
          <w:noProof/>
          <w:sz w:val="22"/>
          <w:szCs w:val="22"/>
          <w:lang w:val="en-IN"/>
        </w:rPr>
        <w:drawing>
          <wp:anchor distT="0" distB="0" distL="114300" distR="114300" simplePos="0" relativeHeight="251635200" behindDoc="1" locked="0" layoutInCell="1" allowOverlap="1" wp14:anchorId="07A74349" wp14:editId="32CC3F2B">
            <wp:simplePos x="0" y="0"/>
            <wp:positionH relativeFrom="column">
              <wp:posOffset>0</wp:posOffset>
            </wp:positionH>
            <wp:positionV relativeFrom="paragraph">
              <wp:posOffset>38100</wp:posOffset>
            </wp:positionV>
            <wp:extent cx="1776095" cy="1583055"/>
            <wp:effectExtent l="19050" t="19050" r="14605" b="17145"/>
            <wp:wrapTight wrapText="bothSides">
              <wp:wrapPolygon edited="0">
                <wp:start x="-232" y="-260"/>
                <wp:lineTo x="-232" y="21574"/>
                <wp:lineTo x="21546" y="21574"/>
                <wp:lineTo x="21546" y="-260"/>
                <wp:lineTo x="-232" y="-26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aturation sat="200000"/>
                              </a14:imgEffect>
                            </a14:imgLayer>
                          </a14:imgProps>
                        </a:ext>
                        <a:ext uri="{28A0092B-C50C-407E-A947-70E740481C1C}">
                          <a14:useLocalDpi xmlns:a14="http://schemas.microsoft.com/office/drawing/2010/main" val="0"/>
                        </a:ext>
                      </a:extLst>
                    </a:blip>
                    <a:srcRect l="4262" t="12304" r="9200"/>
                    <a:stretch/>
                  </pic:blipFill>
                  <pic:spPr bwMode="auto">
                    <a:xfrm>
                      <a:off x="0" y="0"/>
                      <a:ext cx="1776095" cy="158305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2FFDEC" w14:textId="02C123C3" w:rsidR="00835AF5" w:rsidRPr="00D23863" w:rsidRDefault="00835AF5" w:rsidP="00901BB9">
      <w:pPr>
        <w:jc w:val="both"/>
        <w:rPr>
          <w:rFonts w:ascii="Arial" w:hAnsi="Arial" w:cs="Arial"/>
          <w:sz w:val="22"/>
          <w:szCs w:val="22"/>
          <w:lang w:val="en-IN"/>
        </w:rPr>
      </w:pPr>
    </w:p>
    <w:p w14:paraId="14D9F0EC" w14:textId="77777777" w:rsidR="00835AF5" w:rsidRPr="00D23863" w:rsidRDefault="00835AF5" w:rsidP="00901BB9">
      <w:pPr>
        <w:jc w:val="both"/>
        <w:rPr>
          <w:rFonts w:ascii="Arial" w:hAnsi="Arial" w:cs="Arial"/>
          <w:sz w:val="22"/>
          <w:szCs w:val="22"/>
          <w:lang w:val="en-IN"/>
        </w:rPr>
      </w:pPr>
    </w:p>
    <w:p w14:paraId="7244D2F6" w14:textId="77777777" w:rsidR="00835AF5" w:rsidRPr="00D23863" w:rsidRDefault="00835AF5" w:rsidP="00901BB9">
      <w:pPr>
        <w:jc w:val="both"/>
        <w:rPr>
          <w:rFonts w:ascii="Arial" w:hAnsi="Arial" w:cs="Arial"/>
          <w:sz w:val="22"/>
          <w:szCs w:val="22"/>
          <w:lang w:val="en-IN"/>
        </w:rPr>
      </w:pPr>
    </w:p>
    <w:p w14:paraId="2E93632F" w14:textId="77777777" w:rsidR="003B68A3" w:rsidRPr="00D23863" w:rsidRDefault="003B68A3" w:rsidP="00901BB9">
      <w:pPr>
        <w:jc w:val="both"/>
        <w:rPr>
          <w:rFonts w:ascii="Arial" w:hAnsi="Arial" w:cs="Arial"/>
          <w:sz w:val="22"/>
          <w:szCs w:val="22"/>
          <w:lang w:val="en-IN"/>
        </w:rPr>
      </w:pPr>
    </w:p>
    <w:p w14:paraId="24003275" w14:textId="522737B8" w:rsidR="003B68A3" w:rsidRPr="00D23863" w:rsidRDefault="00F76FAB" w:rsidP="00901BB9">
      <w:pPr>
        <w:jc w:val="both"/>
        <w:rPr>
          <w:rFonts w:ascii="Arial" w:hAnsi="Arial" w:cs="Arial"/>
          <w:sz w:val="22"/>
          <w:szCs w:val="22"/>
          <w:lang w:val="en-IN"/>
        </w:rPr>
      </w:pPr>
      <w:r w:rsidRPr="00D23863">
        <w:rPr>
          <w:rFonts w:ascii="Arial" w:hAnsi="Arial" w:cs="Arial"/>
          <w:noProof/>
          <w:sz w:val="22"/>
          <w:szCs w:val="22"/>
          <w:lang w:val="en-IN"/>
        </w:rPr>
        <mc:AlternateContent>
          <mc:Choice Requires="wps">
            <w:drawing>
              <wp:anchor distT="0" distB="0" distL="114300" distR="114300" simplePos="0" relativeHeight="251687424" behindDoc="0" locked="0" layoutInCell="1" allowOverlap="1" wp14:anchorId="4591746C" wp14:editId="14CE9079">
                <wp:simplePos x="0" y="0"/>
                <wp:positionH relativeFrom="column">
                  <wp:posOffset>-287020</wp:posOffset>
                </wp:positionH>
                <wp:positionV relativeFrom="paragraph">
                  <wp:posOffset>2774224</wp:posOffset>
                </wp:positionV>
                <wp:extent cx="254000" cy="293915"/>
                <wp:effectExtent l="0" t="0" r="12700" b="11430"/>
                <wp:wrapNone/>
                <wp:docPr id="21" name="Text Box 21"/>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30E47733" w14:textId="289DE915" w:rsidR="00F76FAB" w:rsidRPr="001C5BC5" w:rsidRDefault="00F76FAB" w:rsidP="00F76FAB">
                            <w:pPr>
                              <w:rPr>
                                <w:rFonts w:ascii="Times New Roman" w:hAnsi="Times New Roman" w:cs="Times New Roman"/>
                                <w:b/>
                                <w:bCs/>
                                <w:sz w:val="24"/>
                                <w:szCs w:val="24"/>
                              </w:rPr>
                            </w:pPr>
                            <w:r>
                              <w:rPr>
                                <w:rFonts w:ascii="Times New Roman" w:hAnsi="Times New Roman" w:cs="Times New Roman"/>
                                <w:b/>
                                <w:bCs/>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1746C" id="Text Box 21" o:spid="_x0000_s1029" type="#_x0000_t202" style="position:absolute;left:0;text-align:left;margin-left:-22.6pt;margin-top:218.45pt;width:20pt;height:23.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" fillcolor="white [3201]" strokeweight=".5pt">
                <v:textbox>
                  <w:txbxContent>
                    <w:p w14:paraId="30E47733" w14:textId="289DE915" w:rsidR="00F76FAB" w:rsidRPr="001C5BC5" w:rsidRDefault="00F76FAB" w:rsidP="00F76FAB">
                      <w:pPr>
                        <w:rPr>
                          <w:rFonts w:ascii="Times New Roman" w:hAnsi="Times New Roman" w:cs="Times New Roman"/>
                          <w:b/>
                          <w:bCs/>
                          <w:sz w:val="24"/>
                          <w:szCs w:val="24"/>
                        </w:rPr>
                      </w:pPr>
                      <w:r>
                        <w:rPr>
                          <w:rFonts w:ascii="Times New Roman" w:hAnsi="Times New Roman" w:cs="Times New Roman"/>
                          <w:b/>
                          <w:bCs/>
                          <w:sz w:val="24"/>
                          <w:szCs w:val="24"/>
                        </w:rPr>
                        <w:t>i</w:t>
                      </w:r>
                    </w:p>
                  </w:txbxContent>
                </v:textbox>
              </v:shape>
            </w:pict>
          </mc:Fallback>
        </mc:AlternateContent>
      </w:r>
      <w:r w:rsidR="001C5BC5" w:rsidRPr="00D23863">
        <w:rPr>
          <w:rFonts w:ascii="Arial" w:hAnsi="Arial" w:cs="Arial"/>
          <w:noProof/>
          <w:sz w:val="22"/>
          <w:szCs w:val="22"/>
          <w:lang w:val="en-IN"/>
        </w:rPr>
        <mc:AlternateContent>
          <mc:Choice Requires="wps">
            <w:drawing>
              <wp:anchor distT="0" distB="0" distL="114300" distR="114300" simplePos="0" relativeHeight="251684352" behindDoc="0" locked="0" layoutInCell="1" allowOverlap="1" wp14:anchorId="5DBAB122" wp14:editId="3A7E0BA9">
                <wp:simplePos x="0" y="0"/>
                <wp:positionH relativeFrom="column">
                  <wp:posOffset>-2123531</wp:posOffset>
                </wp:positionH>
                <wp:positionV relativeFrom="paragraph">
                  <wp:posOffset>2774950</wp:posOffset>
                </wp:positionV>
                <wp:extent cx="254000" cy="293915"/>
                <wp:effectExtent l="0" t="0" r="12700" b="11430"/>
                <wp:wrapNone/>
                <wp:docPr id="20" name="Text Box 20"/>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487C801C" w14:textId="44491C95"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AB122" id="Text Box 20" o:spid="_x0000_s1030" type="#_x0000_t202" style="position:absolute;left:0;text-align:left;margin-left:-167.2pt;margin-top:218.5pt;width:20pt;height:23.1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" fillcolor="white [3201]" strokeweight=".5pt">
                <v:textbox>
                  <w:txbxContent>
                    <w:p w14:paraId="487C801C" w14:textId="44491C95"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h</w:t>
                      </w:r>
                    </w:p>
                  </w:txbxContent>
                </v:textbox>
              </v:shape>
            </w:pict>
          </mc:Fallback>
        </mc:AlternateContent>
      </w:r>
      <w:r w:rsidR="001C5BC5" w:rsidRPr="00D23863">
        <w:rPr>
          <w:rFonts w:ascii="Arial" w:hAnsi="Arial" w:cs="Arial"/>
          <w:noProof/>
          <w:sz w:val="22"/>
          <w:szCs w:val="22"/>
          <w:lang w:val="en-IN"/>
        </w:rPr>
        <mc:AlternateContent>
          <mc:Choice Requires="wps">
            <w:drawing>
              <wp:anchor distT="0" distB="0" distL="114300" distR="114300" simplePos="0" relativeHeight="251681280" behindDoc="0" locked="0" layoutInCell="1" allowOverlap="1" wp14:anchorId="5038D9FF" wp14:editId="54A491DC">
                <wp:simplePos x="0" y="0"/>
                <wp:positionH relativeFrom="column">
                  <wp:posOffset>-4137116</wp:posOffset>
                </wp:positionH>
                <wp:positionV relativeFrom="paragraph">
                  <wp:posOffset>2774950</wp:posOffset>
                </wp:positionV>
                <wp:extent cx="254000" cy="293915"/>
                <wp:effectExtent l="0" t="0" r="12700" b="11430"/>
                <wp:wrapNone/>
                <wp:docPr id="19" name="Text Box 19"/>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02E57D52" w14:textId="501F8C4F"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8D9FF" id="Text Box 19" o:spid="_x0000_s1031" type="#_x0000_t202" style="position:absolute;left:0;text-align:left;margin-left:-325.75pt;margin-top:218.5pt;width:20pt;height:23.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" fillcolor="white [3201]" strokeweight=".5pt">
                <v:textbox>
                  <w:txbxContent>
                    <w:p w14:paraId="02E57D52" w14:textId="501F8C4F"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g</w:t>
                      </w:r>
                    </w:p>
                  </w:txbxContent>
                </v:textbox>
              </v:shape>
            </w:pict>
          </mc:Fallback>
        </mc:AlternateContent>
      </w:r>
      <w:r w:rsidR="001C5BC5" w:rsidRPr="00D23863">
        <w:rPr>
          <w:rFonts w:ascii="Arial" w:hAnsi="Arial" w:cs="Arial"/>
          <w:noProof/>
          <w:sz w:val="22"/>
          <w:szCs w:val="22"/>
          <w:lang w:val="en-IN"/>
        </w:rPr>
        <mc:AlternateContent>
          <mc:Choice Requires="wps">
            <w:drawing>
              <wp:anchor distT="0" distB="0" distL="114300" distR="114300" simplePos="0" relativeHeight="251678208" behindDoc="0" locked="0" layoutInCell="1" allowOverlap="1" wp14:anchorId="66856F63" wp14:editId="18795CB0">
                <wp:simplePos x="0" y="0"/>
                <wp:positionH relativeFrom="column">
                  <wp:posOffset>-1774372</wp:posOffset>
                </wp:positionH>
                <wp:positionV relativeFrom="paragraph">
                  <wp:posOffset>1066165</wp:posOffset>
                </wp:positionV>
                <wp:extent cx="254000" cy="293915"/>
                <wp:effectExtent l="0" t="0" r="12700" b="11430"/>
                <wp:wrapNone/>
                <wp:docPr id="18" name="Text Box 18"/>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36E2BF68" w14:textId="5D246548"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56F63" id="Text Box 18" o:spid="_x0000_s1032" type="#_x0000_t202" style="position:absolute;left:0;text-align:left;margin-left:-139.7pt;margin-top:83.95pt;width:20pt;height:23.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" fillcolor="white [3201]" strokeweight=".5pt">
                <v:textbox>
                  <w:txbxContent>
                    <w:p w14:paraId="36E2BF68" w14:textId="5D246548"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f</w:t>
                      </w:r>
                    </w:p>
                  </w:txbxContent>
                </v:textbox>
              </v:shape>
            </w:pict>
          </mc:Fallback>
        </mc:AlternateContent>
      </w:r>
      <w:r w:rsidR="001C5BC5" w:rsidRPr="00D23863">
        <w:rPr>
          <w:rFonts w:ascii="Arial" w:hAnsi="Arial" w:cs="Arial"/>
          <w:noProof/>
          <w:sz w:val="22"/>
          <w:szCs w:val="22"/>
          <w:lang w:val="en-IN"/>
        </w:rPr>
        <mc:AlternateContent>
          <mc:Choice Requires="wps">
            <w:drawing>
              <wp:anchor distT="0" distB="0" distL="114300" distR="114300" simplePos="0" relativeHeight="251675136" behindDoc="0" locked="0" layoutInCell="1" allowOverlap="1" wp14:anchorId="5A47E8CB" wp14:editId="723D5B41">
                <wp:simplePos x="0" y="0"/>
                <wp:positionH relativeFrom="column">
                  <wp:posOffset>-3738154</wp:posOffset>
                </wp:positionH>
                <wp:positionV relativeFrom="paragraph">
                  <wp:posOffset>1031875</wp:posOffset>
                </wp:positionV>
                <wp:extent cx="254000" cy="293915"/>
                <wp:effectExtent l="0" t="0" r="12700" b="11430"/>
                <wp:wrapNone/>
                <wp:docPr id="17" name="Text Box 17"/>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687B0FF5" w14:textId="2713CFBF"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7E8CB" id="Text Box 17" o:spid="_x0000_s1033" type="#_x0000_t202" style="position:absolute;left:0;text-align:left;margin-left:-294.35pt;margin-top:81.25pt;width:20pt;height:23.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" fillcolor="white [3201]" strokeweight=".5pt">
                <v:textbox>
                  <w:txbxContent>
                    <w:p w14:paraId="687B0FF5" w14:textId="2713CFBF"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e</w:t>
                      </w:r>
                    </w:p>
                  </w:txbxContent>
                </v:textbox>
              </v:shape>
            </w:pict>
          </mc:Fallback>
        </mc:AlternateContent>
      </w:r>
      <w:r w:rsidR="001C5BC5" w:rsidRPr="00D23863">
        <w:rPr>
          <w:rFonts w:ascii="Arial" w:hAnsi="Arial" w:cs="Arial"/>
          <w:noProof/>
          <w:sz w:val="22"/>
          <w:szCs w:val="22"/>
          <w:lang w:val="en-IN"/>
        </w:rPr>
        <mc:AlternateContent>
          <mc:Choice Requires="wps">
            <w:drawing>
              <wp:anchor distT="0" distB="0" distL="114300" distR="114300" simplePos="0" relativeHeight="251672064" behindDoc="0" locked="0" layoutInCell="1" allowOverlap="1" wp14:anchorId="6C41A910" wp14:editId="58FC6A2C">
                <wp:simplePos x="0" y="0"/>
                <wp:positionH relativeFrom="column">
                  <wp:posOffset>-4199890</wp:posOffset>
                </wp:positionH>
                <wp:positionV relativeFrom="paragraph">
                  <wp:posOffset>998129</wp:posOffset>
                </wp:positionV>
                <wp:extent cx="254000" cy="293915"/>
                <wp:effectExtent l="0" t="0" r="12700" b="11430"/>
                <wp:wrapNone/>
                <wp:docPr id="16" name="Text Box 16"/>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2A274E82" w14:textId="3C962A5B"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1A910" id="Text Box 16" o:spid="_x0000_s1034" type="#_x0000_t202" style="position:absolute;left:0;text-align:left;margin-left:-330.7pt;margin-top:78.6pt;width:20pt;height:23.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" fillcolor="white [3201]" strokeweight=".5pt">
                <v:textbox>
                  <w:txbxContent>
                    <w:p w14:paraId="2A274E82" w14:textId="3C962A5B" w:rsidR="001C5BC5" w:rsidRPr="001C5BC5" w:rsidRDefault="00F76FAB" w:rsidP="001C5BC5">
                      <w:pPr>
                        <w:rPr>
                          <w:rFonts w:ascii="Times New Roman" w:hAnsi="Times New Roman" w:cs="Times New Roman"/>
                          <w:b/>
                          <w:bCs/>
                          <w:sz w:val="24"/>
                          <w:szCs w:val="24"/>
                        </w:rPr>
                      </w:pPr>
                      <w:r>
                        <w:rPr>
                          <w:rFonts w:ascii="Times New Roman" w:hAnsi="Times New Roman" w:cs="Times New Roman"/>
                          <w:b/>
                          <w:bCs/>
                          <w:sz w:val="24"/>
                          <w:szCs w:val="24"/>
                        </w:rPr>
                        <w:t>d</w:t>
                      </w:r>
                    </w:p>
                  </w:txbxContent>
                </v:textbox>
              </v:shape>
            </w:pict>
          </mc:Fallback>
        </mc:AlternateContent>
      </w:r>
      <w:r w:rsidR="003B68A3" w:rsidRPr="00D23863">
        <w:rPr>
          <w:rFonts w:ascii="Arial" w:eastAsia="Times New Roman" w:hAnsi="Arial" w:cs="Arial"/>
          <w:noProof/>
          <w:sz w:val="22"/>
          <w:szCs w:val="22"/>
          <w:lang w:eastAsia="en-IN" w:bidi="ml-IN"/>
        </w:rPr>
        <w:drawing>
          <wp:anchor distT="0" distB="0" distL="114300" distR="114300" simplePos="0" relativeHeight="251656704" behindDoc="1" locked="0" layoutInCell="1" allowOverlap="1" wp14:anchorId="7BEF4D8F" wp14:editId="1E16CA5F">
            <wp:simplePos x="0" y="0"/>
            <wp:positionH relativeFrom="column">
              <wp:posOffset>-5580380</wp:posOffset>
            </wp:positionH>
            <wp:positionV relativeFrom="paragraph">
              <wp:posOffset>2744288</wp:posOffset>
            </wp:positionV>
            <wp:extent cx="1722755" cy="2346325"/>
            <wp:effectExtent l="19050" t="19050" r="10795" b="15875"/>
            <wp:wrapTight wrapText="bothSides">
              <wp:wrapPolygon edited="0">
                <wp:start x="-239" y="-175"/>
                <wp:lineTo x="-239" y="21571"/>
                <wp:lineTo x="21496" y="21571"/>
                <wp:lineTo x="21496" y="-175"/>
                <wp:lineTo x="-239" y="-175"/>
              </wp:wrapPolygon>
            </wp:wrapTight>
            <wp:docPr id="1028" name="Picture 4" descr="E:\Teaching\pgstudents\17. gladish.radhika,sreedevi\radhika\photos\00000IMG_00000_BURST20190607172104107_COVER.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8" name="Picture 4" descr="E:\Teaching\pgstudents\17. gladish.radhika,sreedevi\radhika\photos\00000IMG_00000_BURST20190607172104107_COVER.jpg"/>
                    <pic:cNvPicPr>
                      <a:picLocks noGrp="1" noChangeAspect="1" noChangeArrowheads="1"/>
                    </pic:cNvPicPr>
                  </pic:nvPicPr>
                  <pic:blipFill rotWithShape="1">
                    <a:blip r:embed="rId22" cstate="print">
                      <a:extLst>
                        <a:ext uri="{BEBA8EAE-BF5A-486C-A8C5-ECC9F3942E4B}">
                          <a14:imgProps xmlns:a14="http://schemas.microsoft.com/office/drawing/2010/main">
                            <a14:imgLayer r:embed="rId23">
                              <a14:imgEffect>
                                <a14:saturation sat="200000"/>
                              </a14:imgEffect>
                            </a14:imgLayer>
                          </a14:imgProps>
                        </a:ext>
                        <a:ext uri="{28A0092B-C50C-407E-A947-70E740481C1C}">
                          <a14:useLocalDpi xmlns:a14="http://schemas.microsoft.com/office/drawing/2010/main" val="0"/>
                        </a:ext>
                      </a:extLst>
                    </a:blip>
                    <a:srcRect l="22978" t="39572" r="40220" b="2125"/>
                    <a:stretch/>
                  </pic:blipFill>
                  <pic:spPr bwMode="auto">
                    <a:xfrm>
                      <a:off x="0" y="0"/>
                      <a:ext cx="1722755" cy="23463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68A3" w:rsidRPr="00D23863">
        <w:rPr>
          <w:rFonts w:ascii="Arial" w:eastAsia="Times New Roman" w:hAnsi="Arial" w:cs="Arial"/>
          <w:noProof/>
          <w:sz w:val="22"/>
          <w:szCs w:val="22"/>
          <w:lang w:val="en-IN" w:eastAsia="en-IN" w:bidi="ml-IN"/>
        </w:rPr>
        <w:drawing>
          <wp:anchor distT="0" distB="0" distL="114300" distR="114300" simplePos="0" relativeHeight="251653632" behindDoc="1" locked="0" layoutInCell="1" allowOverlap="1" wp14:anchorId="19EACE26" wp14:editId="178354A5">
            <wp:simplePos x="0" y="0"/>
            <wp:positionH relativeFrom="column">
              <wp:posOffset>-1776367</wp:posOffset>
            </wp:positionH>
            <wp:positionV relativeFrom="paragraph">
              <wp:posOffset>2743835</wp:posOffset>
            </wp:positionV>
            <wp:extent cx="1771650" cy="2352675"/>
            <wp:effectExtent l="19050" t="19050" r="19050" b="28575"/>
            <wp:wrapTight wrapText="bothSides">
              <wp:wrapPolygon edited="0">
                <wp:start x="-232" y="-175"/>
                <wp:lineTo x="-232" y="21687"/>
                <wp:lineTo x="21600" y="21687"/>
                <wp:lineTo x="21600" y="-175"/>
                <wp:lineTo x="-232" y="-175"/>
              </wp:wrapPolygon>
            </wp:wrapTight>
            <wp:docPr id="9" name="Picture 9" descr="G:\phd research\recent photos\IMG_20250927_125924660_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hd research\recent photos\IMG_20250927_125924660_SR.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aturation sat="200000"/>
                              </a14:imgEffect>
                            </a14:imgLayer>
                          </a14:imgProps>
                        </a:ext>
                        <a:ext uri="{28A0092B-C50C-407E-A947-70E740481C1C}">
                          <a14:useLocalDpi xmlns:a14="http://schemas.microsoft.com/office/drawing/2010/main" val="0"/>
                        </a:ext>
                      </a:extLst>
                    </a:blip>
                    <a:srcRect l="27258" t="7742" r="27358" b="2324"/>
                    <a:stretch/>
                  </pic:blipFill>
                  <pic:spPr bwMode="auto">
                    <a:xfrm>
                      <a:off x="0" y="0"/>
                      <a:ext cx="1771650" cy="2352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68A3" w:rsidRPr="00D23863">
        <w:rPr>
          <w:rFonts w:ascii="Arial" w:hAnsi="Arial" w:cs="Arial"/>
          <w:noProof/>
          <w:sz w:val="22"/>
          <w:szCs w:val="22"/>
          <w:lang w:val="en-IN"/>
        </w:rPr>
        <w:drawing>
          <wp:anchor distT="0" distB="0" distL="114300" distR="114300" simplePos="0" relativeHeight="251644416" behindDoc="1" locked="0" layoutInCell="1" allowOverlap="1" wp14:anchorId="46518065" wp14:editId="011F974E">
            <wp:simplePos x="0" y="0"/>
            <wp:positionH relativeFrom="column">
              <wp:posOffset>-3768453</wp:posOffset>
            </wp:positionH>
            <wp:positionV relativeFrom="paragraph">
              <wp:posOffset>1027883</wp:posOffset>
            </wp:positionV>
            <wp:extent cx="1903730" cy="1603375"/>
            <wp:effectExtent l="19050" t="19050" r="20320" b="15875"/>
            <wp:wrapTight wrapText="bothSides">
              <wp:wrapPolygon edited="0">
                <wp:start x="-216" y="-257"/>
                <wp:lineTo x="-216" y="21557"/>
                <wp:lineTo x="21614" y="21557"/>
                <wp:lineTo x="21614" y="-257"/>
                <wp:lineTo x="-216" y="-257"/>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BEBA8EAE-BF5A-486C-A8C5-ECC9F3942E4B}">
                          <a14:imgProps xmlns:a14="http://schemas.microsoft.com/office/drawing/2010/main">
                            <a14:imgLayer r:embed="rId27">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903730" cy="160337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3B68A3" w:rsidRPr="00D23863">
        <w:rPr>
          <w:rFonts w:ascii="Arial" w:eastAsia="Times New Roman" w:hAnsi="Arial" w:cs="Arial"/>
          <w:noProof/>
          <w:sz w:val="22"/>
          <w:szCs w:val="22"/>
          <w:lang w:eastAsia="en-IN" w:bidi="ml-IN"/>
        </w:rPr>
        <w:drawing>
          <wp:anchor distT="0" distB="0" distL="114300" distR="114300" simplePos="0" relativeHeight="251659776" behindDoc="1" locked="0" layoutInCell="1" allowOverlap="1" wp14:anchorId="00C1D3A0" wp14:editId="5300F725">
            <wp:simplePos x="0" y="0"/>
            <wp:positionH relativeFrom="column">
              <wp:posOffset>-3714750</wp:posOffset>
            </wp:positionH>
            <wp:positionV relativeFrom="paragraph">
              <wp:posOffset>2763338</wp:posOffset>
            </wp:positionV>
            <wp:extent cx="1852930" cy="2335530"/>
            <wp:effectExtent l="19050" t="19050" r="13970" b="26670"/>
            <wp:wrapTight wrapText="bothSides">
              <wp:wrapPolygon edited="0">
                <wp:start x="-222" y="-176"/>
                <wp:lineTo x="-222" y="21670"/>
                <wp:lineTo x="21541" y="21670"/>
                <wp:lineTo x="21541" y="-176"/>
                <wp:lineTo x="-222" y="-176"/>
              </wp:wrapPolygon>
            </wp:wrapTight>
            <wp:docPr id="12" name="Content Placeholder 5" descr="20241023_10574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20241023_105746"/>
                    <pic:cNvPicPr>
                      <a:picLocks noGrp="1" noChangeAspect="1"/>
                    </pic:cNvPicPr>
                  </pic:nvPicPr>
                  <pic:blipFill rotWithShape="1">
                    <a:blip r:embed="rId28" cstate="print">
                      <a:extLst>
                        <a:ext uri="{BEBA8EAE-BF5A-486C-A8C5-ECC9F3942E4B}">
                          <a14:imgProps xmlns:a14="http://schemas.microsoft.com/office/drawing/2010/main">
                            <a14:imgLayer r:embed="rId29">
                              <a14:imgEffect>
                                <a14:saturation sat="200000"/>
                              </a14:imgEffect>
                            </a14:imgLayer>
                          </a14:imgProps>
                        </a:ext>
                        <a:ext uri="{28A0092B-C50C-407E-A947-70E740481C1C}">
                          <a14:useLocalDpi xmlns:a14="http://schemas.microsoft.com/office/drawing/2010/main" val="0"/>
                        </a:ext>
                      </a:extLst>
                    </a:blip>
                    <a:srcRect l="14109" t="16635" r="25614" b="16022"/>
                    <a:stretch/>
                  </pic:blipFill>
                  <pic:spPr bwMode="auto">
                    <a:xfrm>
                      <a:off x="0" y="0"/>
                      <a:ext cx="1852930" cy="2335530"/>
                    </a:xfrm>
                    <a:prstGeom prst="rect">
                      <a:avLst/>
                    </a:prstGeom>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68A3" w:rsidRPr="00D23863">
        <w:rPr>
          <w:rFonts w:ascii="Arial" w:hAnsi="Arial" w:cs="Arial"/>
          <w:noProof/>
          <w:sz w:val="22"/>
          <w:szCs w:val="22"/>
        </w:rPr>
        <w:drawing>
          <wp:anchor distT="0" distB="0" distL="114300" distR="114300" simplePos="0" relativeHeight="251650560" behindDoc="1" locked="0" layoutInCell="1" allowOverlap="1" wp14:anchorId="12C878BA" wp14:editId="15BB6D11">
            <wp:simplePos x="0" y="0"/>
            <wp:positionH relativeFrom="column">
              <wp:posOffset>-1786890</wp:posOffset>
            </wp:positionH>
            <wp:positionV relativeFrom="paragraph">
              <wp:posOffset>1066165</wp:posOffset>
            </wp:positionV>
            <wp:extent cx="1684020" cy="1568450"/>
            <wp:effectExtent l="19050" t="19050" r="11430" b="12700"/>
            <wp:wrapTight wrapText="bothSides">
              <wp:wrapPolygon edited="0">
                <wp:start x="21844" y="21862"/>
                <wp:lineTo x="21844" y="87"/>
                <wp:lineTo x="98" y="87"/>
                <wp:lineTo x="98" y="21862"/>
                <wp:lineTo x="21844" y="21862"/>
              </wp:wrapPolygon>
            </wp:wrapTight>
            <wp:docPr id="10" name="Picture 9" descr="20240319_14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20240319_142850"/>
                    <pic:cNvPicPr>
                      <a:picLocks noChangeAspect="1"/>
                    </pic:cNvPicPr>
                  </pic:nvPicPr>
                  <pic:blipFill rotWithShape="1">
                    <a:blip r:embed="rId30" cstate="print">
                      <a:extLst>
                        <a:ext uri="{BEBA8EAE-BF5A-486C-A8C5-ECC9F3942E4B}">
                          <a14:imgProps xmlns:a14="http://schemas.microsoft.com/office/drawing/2010/main">
                            <a14:imgLayer r:embed="rId31">
                              <a14:imgEffect>
                                <a14:saturation sat="200000"/>
                              </a14:imgEffect>
                            </a14:imgLayer>
                          </a14:imgProps>
                        </a:ext>
                        <a:ext uri="{28A0092B-C50C-407E-A947-70E740481C1C}">
                          <a14:useLocalDpi xmlns:a14="http://schemas.microsoft.com/office/drawing/2010/main" val="0"/>
                        </a:ext>
                      </a:extLst>
                    </a:blip>
                    <a:srcRect l="16584" t="51518" r="41558" b="19234"/>
                    <a:stretch/>
                  </pic:blipFill>
                  <pic:spPr bwMode="auto">
                    <a:xfrm rot="10800000">
                      <a:off x="0" y="0"/>
                      <a:ext cx="1684020" cy="156845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68A3" w:rsidRPr="00D23863">
        <w:rPr>
          <w:rFonts w:ascii="Arial" w:hAnsi="Arial" w:cs="Arial"/>
          <w:noProof/>
          <w:sz w:val="22"/>
          <w:szCs w:val="22"/>
        </w:rPr>
        <w:drawing>
          <wp:anchor distT="0" distB="0" distL="114300" distR="114300" simplePos="0" relativeHeight="251641344" behindDoc="1" locked="0" layoutInCell="1" allowOverlap="1" wp14:anchorId="12706999" wp14:editId="07D54B4D">
            <wp:simplePos x="0" y="0"/>
            <wp:positionH relativeFrom="column">
              <wp:posOffset>-5574030</wp:posOffset>
            </wp:positionH>
            <wp:positionV relativeFrom="paragraph">
              <wp:posOffset>923925</wp:posOffset>
            </wp:positionV>
            <wp:extent cx="1587500" cy="1720215"/>
            <wp:effectExtent l="9842" t="28258" r="22543" b="22542"/>
            <wp:wrapTight wrapText="bothSides">
              <wp:wrapPolygon edited="0">
                <wp:start x="-384" y="21724"/>
                <wp:lineTo x="21648" y="21724"/>
                <wp:lineTo x="21648" y="-44"/>
                <wp:lineTo x="-384" y="-44"/>
                <wp:lineTo x="-384" y="21724"/>
              </wp:wrapPolygon>
            </wp:wrapTight>
            <wp:docPr id="5" name="Content Placeholder 10" descr="20240316_15550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20240316_155505"/>
                    <pic:cNvPicPr>
                      <a:picLocks noGrp="1" noChangeAspect="1"/>
                    </pic:cNvPicPr>
                  </pic:nvPicPr>
                  <pic:blipFill rotWithShape="1">
                    <a:blip r:embed="rId32" cstate="print">
                      <a:extLst>
                        <a:ext uri="{BEBA8EAE-BF5A-486C-A8C5-ECC9F3942E4B}">
                          <a14:imgProps xmlns:a14="http://schemas.microsoft.com/office/drawing/2010/main">
                            <a14:imgLayer r:embed="rId33">
                              <a14:imgEffect>
                                <a14:saturation sat="200000"/>
                              </a14:imgEffect>
                            </a14:imgLayer>
                          </a14:imgProps>
                        </a:ext>
                        <a:ext uri="{28A0092B-C50C-407E-A947-70E740481C1C}">
                          <a14:useLocalDpi xmlns:a14="http://schemas.microsoft.com/office/drawing/2010/main" val="0"/>
                        </a:ext>
                      </a:extLst>
                    </a:blip>
                    <a:srcRect l="12601" t="19845" r="40150" b="16576"/>
                    <a:stretch/>
                  </pic:blipFill>
                  <pic:spPr bwMode="auto">
                    <a:xfrm rot="5400000">
                      <a:off x="0" y="0"/>
                      <a:ext cx="1587500" cy="1720215"/>
                    </a:xfrm>
                    <a:prstGeom prst="rect">
                      <a:avLst/>
                    </a:prstGeom>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99CB86" w14:textId="6440B5C9" w:rsidR="00901BB9" w:rsidRPr="00D23863" w:rsidRDefault="00901BB9" w:rsidP="00901BB9">
      <w:pPr>
        <w:jc w:val="both"/>
        <w:rPr>
          <w:rFonts w:ascii="Arial" w:hAnsi="Arial" w:cs="Arial"/>
          <w:sz w:val="22"/>
          <w:szCs w:val="22"/>
          <w:lang w:val="en-IN"/>
        </w:rPr>
      </w:pPr>
      <w:r w:rsidRPr="00D23863">
        <w:rPr>
          <w:rFonts w:ascii="Arial" w:hAnsi="Arial" w:cs="Arial"/>
          <w:b/>
          <w:bCs/>
          <w:sz w:val="22"/>
          <w:szCs w:val="22"/>
          <w:lang w:val="en-IN"/>
        </w:rPr>
        <w:lastRenderedPageBreak/>
        <w:t>Fig. 3</w:t>
      </w:r>
      <w:r w:rsidR="003B68A3" w:rsidRPr="00D23863">
        <w:rPr>
          <w:rFonts w:ascii="Arial" w:hAnsi="Arial" w:cs="Arial"/>
          <w:sz w:val="22"/>
          <w:szCs w:val="22"/>
          <w:lang w:val="en-IN"/>
        </w:rPr>
        <w:t xml:space="preserve"> </w:t>
      </w:r>
      <w:r w:rsidRPr="00D23863">
        <w:rPr>
          <w:rFonts w:ascii="Arial" w:hAnsi="Arial" w:cs="Arial"/>
          <w:sz w:val="22"/>
          <w:szCs w:val="22"/>
        </w:rPr>
        <w:t xml:space="preserve">Morphogenic progression during </w:t>
      </w:r>
      <w:r w:rsidRPr="00D23863">
        <w:rPr>
          <w:rFonts w:ascii="Arial" w:hAnsi="Arial" w:cs="Arial"/>
          <w:i/>
          <w:iCs/>
          <w:sz w:val="22"/>
          <w:szCs w:val="22"/>
        </w:rPr>
        <w:t>in vitro</w:t>
      </w:r>
      <w:r w:rsidRPr="00D23863">
        <w:rPr>
          <w:rFonts w:ascii="Arial" w:hAnsi="Arial" w:cs="Arial"/>
          <w:sz w:val="22"/>
          <w:szCs w:val="22"/>
        </w:rPr>
        <w:t xml:space="preserve"> culture of immature inflorescence</w:t>
      </w:r>
      <w:r w:rsidRPr="00D23863">
        <w:rPr>
          <w:rFonts w:ascii="Arial" w:hAnsi="Arial" w:cs="Arial"/>
          <w:sz w:val="22"/>
          <w:szCs w:val="22"/>
          <w:lang w:val="en-IN"/>
        </w:rPr>
        <w:t xml:space="preserve"> (a) developmental stages of immature inflorescence (b) 0.3–0.5 mm thick sliced sections of </w:t>
      </w:r>
      <w:proofErr w:type="spellStart"/>
      <w:r w:rsidRPr="00D23863">
        <w:rPr>
          <w:rFonts w:ascii="Arial" w:hAnsi="Arial" w:cs="Arial"/>
          <w:sz w:val="22"/>
          <w:szCs w:val="22"/>
          <w:lang w:val="en-IN"/>
        </w:rPr>
        <w:t>rachilae</w:t>
      </w:r>
      <w:proofErr w:type="spellEnd"/>
      <w:r w:rsidRPr="00D23863">
        <w:rPr>
          <w:rFonts w:ascii="Arial" w:hAnsi="Arial" w:cs="Arial"/>
          <w:sz w:val="22"/>
          <w:szCs w:val="22"/>
          <w:lang w:val="en-IN"/>
        </w:rPr>
        <w:t xml:space="preserve"> (c) soft, friable, creamy embryogenic callus (d) medium-compact, dense texture </w:t>
      </w:r>
      <w:proofErr w:type="spellStart"/>
      <w:r w:rsidRPr="00D23863">
        <w:rPr>
          <w:rFonts w:ascii="Arial" w:hAnsi="Arial" w:cs="Arial"/>
          <w:sz w:val="22"/>
          <w:szCs w:val="22"/>
          <w:lang w:val="en-IN"/>
        </w:rPr>
        <w:t>organogenic</w:t>
      </w:r>
      <w:proofErr w:type="spellEnd"/>
      <w:r w:rsidRPr="00D23863">
        <w:rPr>
          <w:rFonts w:ascii="Arial" w:hAnsi="Arial" w:cs="Arial"/>
          <w:sz w:val="22"/>
          <w:szCs w:val="22"/>
          <w:lang w:val="en-IN"/>
        </w:rPr>
        <w:t xml:space="preserve"> callus resembling shoot primordia (e) hard, rough, and compact non-embryogenic callus (f) somatic embryo initiation (g) globular embryo (h) heart shaped embryo</w:t>
      </w:r>
      <w:r w:rsidR="00D97F7B" w:rsidRPr="00D23863">
        <w:rPr>
          <w:rFonts w:ascii="Arial" w:hAnsi="Arial" w:cs="Arial"/>
          <w:sz w:val="22"/>
          <w:szCs w:val="22"/>
          <w:lang w:val="en-IN"/>
        </w:rPr>
        <w:t xml:space="preserve"> (</w:t>
      </w:r>
      <w:proofErr w:type="spellStart"/>
      <w:r w:rsidR="00D97F7B" w:rsidRPr="00D23863">
        <w:rPr>
          <w:rFonts w:ascii="Arial" w:hAnsi="Arial" w:cs="Arial"/>
          <w:sz w:val="22"/>
          <w:szCs w:val="22"/>
          <w:lang w:val="en-IN"/>
        </w:rPr>
        <w:t>i</w:t>
      </w:r>
      <w:proofErr w:type="spellEnd"/>
      <w:r w:rsidR="00D97F7B" w:rsidRPr="00D23863">
        <w:rPr>
          <w:rFonts w:ascii="Arial" w:hAnsi="Arial" w:cs="Arial"/>
          <w:sz w:val="22"/>
          <w:szCs w:val="22"/>
          <w:lang w:val="en-IN"/>
        </w:rPr>
        <w:t>) shoot regeneration from embryo</w:t>
      </w:r>
    </w:p>
    <w:p w14:paraId="64D1BB87" w14:textId="77777777" w:rsidR="00D34273" w:rsidRPr="00D23863" w:rsidRDefault="00D34273" w:rsidP="00901BB9">
      <w:pPr>
        <w:jc w:val="both"/>
        <w:rPr>
          <w:rFonts w:ascii="Arial" w:hAnsi="Arial" w:cs="Arial"/>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2D362D31" w14:textId="10295FA7" w:rsidR="00901BB9" w:rsidRPr="00D23863" w:rsidRDefault="00901BB9" w:rsidP="00901BB9">
      <w:pPr>
        <w:jc w:val="both"/>
        <w:rPr>
          <w:rFonts w:ascii="Arial" w:hAnsi="Arial" w:cs="Arial"/>
          <w:sz w:val="22"/>
          <w:szCs w:val="22"/>
          <w:lang w:val="en-IN"/>
        </w:rPr>
      </w:pPr>
    </w:p>
    <w:p w14:paraId="1E474EC1" w14:textId="77777777" w:rsidR="003B68A3" w:rsidRPr="00D23863" w:rsidRDefault="003B68A3" w:rsidP="00901BB9">
      <w:pPr>
        <w:jc w:val="both"/>
        <w:rPr>
          <w:rFonts w:ascii="Arial" w:hAnsi="Arial" w:cs="Arial"/>
          <w:sz w:val="22"/>
          <w:szCs w:val="22"/>
          <w:lang w:val="en-IN"/>
        </w:rPr>
      </w:pPr>
    </w:p>
    <w:p w14:paraId="5ADBAF63" w14:textId="2110E62C" w:rsidR="00067E4B" w:rsidRPr="00D23863" w:rsidRDefault="005F70C6" w:rsidP="00067E4B">
      <w:pPr>
        <w:jc w:val="both"/>
        <w:rPr>
          <w:rFonts w:ascii="Arial" w:eastAsia="Times New Roman" w:hAnsi="Arial" w:cs="Arial"/>
          <w:sz w:val="22"/>
          <w:szCs w:val="22"/>
          <w:lang w:val="en-IN" w:eastAsia="en-IN" w:bidi="ml-IN"/>
        </w:rPr>
      </w:pPr>
      <w:r w:rsidRPr="00D23863">
        <w:rPr>
          <w:rFonts w:ascii="Arial" w:hAnsi="Arial" w:cs="Arial"/>
          <w:sz w:val="22"/>
          <w:szCs w:val="22"/>
        </w:rPr>
        <w:t>The response of coconut explants to different additive treatments was assessed based on the nature of callus formed</w:t>
      </w:r>
      <w:r w:rsidR="00D30DED" w:rsidRPr="00D23863">
        <w:rPr>
          <w:rFonts w:ascii="Arial" w:hAnsi="Arial" w:cs="Arial"/>
          <w:sz w:val="22"/>
          <w:szCs w:val="22"/>
        </w:rPr>
        <w:t xml:space="preserve"> </w:t>
      </w:r>
      <w:r w:rsidR="000F72E7" w:rsidRPr="00D23863">
        <w:rPr>
          <w:rFonts w:ascii="Arial" w:hAnsi="Arial" w:cs="Arial"/>
          <w:sz w:val="22"/>
          <w:szCs w:val="22"/>
        </w:rPr>
        <w:t xml:space="preserve">(Table </w:t>
      </w:r>
      <w:r w:rsidR="00C24BEA" w:rsidRPr="00D23863">
        <w:rPr>
          <w:rFonts w:ascii="Arial" w:hAnsi="Arial" w:cs="Arial"/>
          <w:sz w:val="22"/>
          <w:szCs w:val="22"/>
        </w:rPr>
        <w:t>2</w:t>
      </w:r>
      <w:r w:rsidR="000F72E7" w:rsidRPr="00D23863">
        <w:rPr>
          <w:rFonts w:ascii="Arial" w:hAnsi="Arial" w:cs="Arial"/>
          <w:sz w:val="22"/>
          <w:szCs w:val="22"/>
        </w:rPr>
        <w:t>)</w:t>
      </w:r>
      <w:r w:rsidRPr="00D23863">
        <w:rPr>
          <w:rFonts w:ascii="Arial" w:hAnsi="Arial" w:cs="Arial"/>
          <w:sz w:val="22"/>
          <w:szCs w:val="22"/>
        </w:rPr>
        <w:t xml:space="preserve">. </w:t>
      </w:r>
      <w:r w:rsidR="005545A9" w:rsidRPr="00D23863">
        <w:rPr>
          <w:rFonts w:ascii="Arial" w:hAnsi="Arial" w:cs="Arial"/>
          <w:sz w:val="22"/>
          <w:szCs w:val="22"/>
        </w:rPr>
        <w:t xml:space="preserve">Among the tested treatments, </w:t>
      </w:r>
      <w:r w:rsidR="005545A9" w:rsidRPr="00D23863">
        <w:rPr>
          <w:rStyle w:val="Strong"/>
          <w:rFonts w:ascii="Arial" w:hAnsi="Arial" w:cs="Arial"/>
          <w:b w:val="0"/>
          <w:bCs w:val="0"/>
          <w:sz w:val="22"/>
          <w:szCs w:val="22"/>
        </w:rPr>
        <w:t>T1</w:t>
      </w:r>
      <w:r w:rsidR="005545A9" w:rsidRPr="00D23863">
        <w:rPr>
          <w:rFonts w:ascii="Arial" w:hAnsi="Arial" w:cs="Arial"/>
          <w:sz w:val="22"/>
          <w:szCs w:val="22"/>
        </w:rPr>
        <w:t xml:space="preserve"> (</w:t>
      </w:r>
      <w:r w:rsidR="009E5C93" w:rsidRPr="00D23863">
        <w:rPr>
          <w:rFonts w:ascii="Arial" w:hAnsi="Arial" w:cs="Arial"/>
          <w:sz w:val="22"/>
          <w:szCs w:val="22"/>
        </w:rPr>
        <w:t>5.38</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9E5C93" w:rsidRPr="00D23863">
        <w:rPr>
          <w:rFonts w:ascii="Arial" w:hAnsi="Arial" w:cs="Arial"/>
          <w:sz w:val="22"/>
          <w:szCs w:val="22"/>
        </w:rPr>
        <w:t xml:space="preserve"> </w:t>
      </w:r>
      <w:r w:rsidR="005545A9" w:rsidRPr="00D23863">
        <w:rPr>
          <w:rFonts w:ascii="Arial" w:hAnsi="Arial" w:cs="Arial"/>
          <w:sz w:val="22"/>
          <w:szCs w:val="22"/>
        </w:rPr>
        <w:t xml:space="preserve">NAA, </w:t>
      </w:r>
      <w:r w:rsidR="009E5C93" w:rsidRPr="00D23863">
        <w:rPr>
          <w:rFonts w:ascii="Arial" w:hAnsi="Arial" w:cs="Arial"/>
          <w:sz w:val="22"/>
          <w:szCs w:val="22"/>
        </w:rPr>
        <w:t>4.5</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9E5C93" w:rsidRPr="00D23863">
        <w:rPr>
          <w:rFonts w:ascii="Arial" w:hAnsi="Arial" w:cs="Arial"/>
          <w:sz w:val="22"/>
          <w:szCs w:val="22"/>
        </w:rPr>
        <w:t xml:space="preserve"> </w:t>
      </w:r>
      <w:r w:rsidR="005545A9" w:rsidRPr="00D23863">
        <w:rPr>
          <w:rFonts w:ascii="Arial" w:hAnsi="Arial" w:cs="Arial"/>
          <w:sz w:val="22"/>
          <w:szCs w:val="22"/>
        </w:rPr>
        <w:t xml:space="preserve">TDZ, </w:t>
      </w:r>
      <w:r w:rsidR="009E5C93" w:rsidRPr="00D23863">
        <w:rPr>
          <w:rFonts w:ascii="Arial" w:hAnsi="Arial" w:cs="Arial"/>
          <w:sz w:val="22"/>
          <w:szCs w:val="22"/>
        </w:rPr>
        <w:t>66</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9E5C93" w:rsidRPr="00D23863">
        <w:rPr>
          <w:rFonts w:ascii="Arial" w:hAnsi="Arial" w:cs="Arial"/>
          <w:sz w:val="22"/>
          <w:szCs w:val="22"/>
        </w:rPr>
        <w:t xml:space="preserve"> </w:t>
      </w:r>
      <w:r w:rsidR="005545A9" w:rsidRPr="00D23863">
        <w:rPr>
          <w:rFonts w:ascii="Arial" w:hAnsi="Arial" w:cs="Arial"/>
          <w:sz w:val="22"/>
          <w:szCs w:val="22"/>
        </w:rPr>
        <w:t>2,4-D, and 10 mg L</w:t>
      </w:r>
      <w:r w:rsidR="005545A9" w:rsidRPr="00D23863">
        <w:rPr>
          <w:rFonts w:ascii="Cambria Math" w:hAnsi="Cambria Math" w:cs="Cambria Math"/>
          <w:sz w:val="22"/>
          <w:szCs w:val="22"/>
        </w:rPr>
        <w:t>⁻</w:t>
      </w:r>
      <w:r w:rsidR="005545A9" w:rsidRPr="00D23863">
        <w:rPr>
          <w:rFonts w:ascii="Arial" w:hAnsi="Arial" w:cs="Arial"/>
          <w:sz w:val="22"/>
          <w:szCs w:val="22"/>
        </w:rPr>
        <w:t>¹ CIS)</w:t>
      </w:r>
      <w:r w:rsidR="005545A9" w:rsidRPr="00D23863">
        <w:rPr>
          <w:rFonts w:ascii="Arial" w:eastAsia="Times New Roman" w:hAnsi="Arial" w:cs="Arial"/>
          <w:sz w:val="22"/>
          <w:szCs w:val="22"/>
          <w:lang w:val="en-IN" w:eastAsia="en-IN" w:bidi="ml-IN"/>
        </w:rPr>
        <w:t xml:space="preserve"> </w:t>
      </w:r>
      <w:r w:rsidR="00067E4B" w:rsidRPr="00D23863">
        <w:rPr>
          <w:rFonts w:ascii="Arial" w:eastAsia="Times New Roman" w:hAnsi="Arial" w:cs="Arial"/>
          <w:sz w:val="22"/>
          <w:szCs w:val="22"/>
          <w:lang w:val="en-IN" w:eastAsia="en-IN" w:bidi="ml-IN"/>
        </w:rPr>
        <w:t>induced</w:t>
      </w:r>
      <w:r w:rsidR="00937764" w:rsidRPr="00D23863">
        <w:rPr>
          <w:rFonts w:ascii="Arial" w:eastAsia="Times New Roman" w:hAnsi="Arial" w:cs="Arial"/>
          <w:sz w:val="22"/>
          <w:szCs w:val="22"/>
          <w:lang w:val="en-IN" w:eastAsia="en-IN" w:bidi="ml-IN"/>
        </w:rPr>
        <w:t xml:space="preserve"> the highest frequency of embryogenic callus formation (80.79%), which was significantly superior (P ≤ 0.05) to other treatments. This indicates the effective synergism between </w:t>
      </w:r>
      <w:r w:rsidR="00067E4B" w:rsidRPr="00D23863">
        <w:rPr>
          <w:rFonts w:ascii="Arial" w:eastAsia="Times New Roman" w:hAnsi="Arial" w:cs="Arial"/>
          <w:sz w:val="22"/>
          <w:szCs w:val="22"/>
          <w:lang w:val="en-IN" w:eastAsia="en-IN" w:bidi="ml-IN"/>
        </w:rPr>
        <w:t>phytohormones and CIS</w:t>
      </w:r>
      <w:r w:rsidR="00937764" w:rsidRPr="00D23863">
        <w:rPr>
          <w:rFonts w:ascii="Arial" w:eastAsia="Times New Roman" w:hAnsi="Arial" w:cs="Arial"/>
          <w:sz w:val="22"/>
          <w:szCs w:val="22"/>
          <w:lang w:val="en-IN" w:eastAsia="en-IN" w:bidi="ml-IN"/>
        </w:rPr>
        <w:t xml:space="preserve"> in promoting embryogenic competence.</w:t>
      </w:r>
      <w:r w:rsidR="00067E4B" w:rsidRPr="00D23863">
        <w:rPr>
          <w:rFonts w:ascii="Arial" w:eastAsia="Times New Roman" w:hAnsi="Arial" w:cs="Arial"/>
          <w:sz w:val="22"/>
          <w:szCs w:val="22"/>
          <w:lang w:val="en-IN" w:eastAsia="en-IN" w:bidi="ml-IN"/>
        </w:rPr>
        <w:t xml:space="preserve"> The control treatment (T0), incorporating a higher concentration of 2,4-D (</w:t>
      </w:r>
      <w:r w:rsidR="009E5C93" w:rsidRPr="00D23863">
        <w:rPr>
          <w:rFonts w:ascii="Arial" w:eastAsia="Times New Roman" w:hAnsi="Arial" w:cs="Arial"/>
          <w:sz w:val="22"/>
          <w:szCs w:val="22"/>
          <w:lang w:val="en-IN" w:eastAsia="en-IN" w:bidi="ml-IN"/>
        </w:rPr>
        <w:t xml:space="preserve">300 </w:t>
      </w:r>
      <w:proofErr w:type="spellStart"/>
      <w:r w:rsidR="009E5C93" w:rsidRPr="00D23863">
        <w:rPr>
          <w:rFonts w:ascii="Arial" w:eastAsia="Times New Roman" w:hAnsi="Arial" w:cs="Arial"/>
          <w:sz w:val="22"/>
          <w:szCs w:val="22"/>
          <w:lang w:val="en-IN" w:eastAsia="en-IN" w:bidi="ml-IN"/>
        </w:rPr>
        <w:t>μM</w:t>
      </w:r>
      <w:proofErr w:type="spellEnd"/>
      <w:r w:rsidR="00067E4B" w:rsidRPr="00D23863">
        <w:rPr>
          <w:rFonts w:ascii="Arial" w:eastAsia="Times New Roman" w:hAnsi="Arial" w:cs="Arial"/>
          <w:sz w:val="22"/>
          <w:szCs w:val="22"/>
          <w:lang w:val="en-IN" w:eastAsia="en-IN" w:bidi="ml-IN"/>
        </w:rPr>
        <w:t>), low TDZ (0.</w:t>
      </w:r>
      <w:r w:rsidR="009E5C93" w:rsidRPr="00D23863">
        <w:rPr>
          <w:rFonts w:ascii="Arial" w:eastAsia="Times New Roman" w:hAnsi="Arial" w:cs="Arial"/>
          <w:sz w:val="22"/>
          <w:szCs w:val="22"/>
          <w:lang w:val="en-IN" w:eastAsia="en-IN" w:bidi="ml-IN"/>
        </w:rPr>
        <w:t>45</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067E4B" w:rsidRPr="00D23863">
        <w:rPr>
          <w:rFonts w:ascii="Arial" w:eastAsia="Times New Roman" w:hAnsi="Arial" w:cs="Arial"/>
          <w:sz w:val="22"/>
          <w:szCs w:val="22"/>
          <w:lang w:val="en-IN" w:eastAsia="en-IN" w:bidi="ml-IN"/>
        </w:rPr>
        <w:t xml:space="preserve">), and </w:t>
      </w:r>
      <w:r w:rsidR="009E5C93" w:rsidRPr="00D23863">
        <w:rPr>
          <w:rFonts w:ascii="Arial" w:eastAsia="Times New Roman" w:hAnsi="Arial" w:cs="Arial"/>
          <w:sz w:val="22"/>
          <w:szCs w:val="22"/>
          <w:lang w:val="en-IN" w:eastAsia="en-IN" w:bidi="ml-IN"/>
        </w:rPr>
        <w:t>2</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067E4B" w:rsidRPr="00D23863">
        <w:rPr>
          <w:rFonts w:ascii="Arial" w:eastAsia="Times New Roman" w:hAnsi="Arial" w:cs="Arial"/>
          <w:sz w:val="22"/>
          <w:szCs w:val="22"/>
          <w:lang w:val="en-IN" w:eastAsia="en-IN" w:bidi="ml-IN"/>
        </w:rPr>
        <w:t xml:space="preserve"> picloram, yielded a moderate embryogenic response (47.30%) but was associated with relatively elevated levels of non-embryogenic (9.67%) and </w:t>
      </w:r>
      <w:proofErr w:type="spellStart"/>
      <w:r w:rsidR="00067E4B" w:rsidRPr="00D23863">
        <w:rPr>
          <w:rFonts w:ascii="Arial" w:eastAsia="Times New Roman" w:hAnsi="Arial" w:cs="Arial"/>
          <w:sz w:val="22"/>
          <w:szCs w:val="22"/>
          <w:lang w:val="en-IN" w:eastAsia="en-IN" w:bidi="ml-IN"/>
        </w:rPr>
        <w:t>organogenic</w:t>
      </w:r>
      <w:proofErr w:type="spellEnd"/>
      <w:r w:rsidR="00067E4B" w:rsidRPr="00D23863">
        <w:rPr>
          <w:rFonts w:ascii="Arial" w:eastAsia="Times New Roman" w:hAnsi="Arial" w:cs="Arial"/>
          <w:sz w:val="22"/>
          <w:szCs w:val="22"/>
          <w:lang w:val="en-IN" w:eastAsia="en-IN" w:bidi="ml-IN"/>
        </w:rPr>
        <w:t xml:space="preserve"> </w:t>
      </w:r>
      <w:proofErr w:type="spellStart"/>
      <w:r w:rsidR="00067E4B" w:rsidRPr="00D23863">
        <w:rPr>
          <w:rFonts w:ascii="Arial" w:eastAsia="Times New Roman" w:hAnsi="Arial" w:cs="Arial"/>
          <w:sz w:val="22"/>
          <w:szCs w:val="22"/>
          <w:lang w:val="en-IN" w:eastAsia="en-IN" w:bidi="ml-IN"/>
        </w:rPr>
        <w:t>calli</w:t>
      </w:r>
      <w:proofErr w:type="spellEnd"/>
      <w:r w:rsidR="00067E4B" w:rsidRPr="00D23863">
        <w:rPr>
          <w:rFonts w:ascii="Arial" w:eastAsia="Times New Roman" w:hAnsi="Arial" w:cs="Arial"/>
          <w:sz w:val="22"/>
          <w:szCs w:val="22"/>
          <w:lang w:val="en-IN" w:eastAsia="en-IN" w:bidi="ml-IN"/>
        </w:rPr>
        <w:t xml:space="preserve"> (6.33%). In contrast, the addition of polyamines—spermine (T2) and putrescine (T3)—to the T1 combination resulted in a substantial decline in embryogenic callus formation (36.81% and 43.89%, respectively), along with increased frequencies of non-embryogenic and </w:t>
      </w:r>
      <w:proofErr w:type="spellStart"/>
      <w:r w:rsidR="00067E4B" w:rsidRPr="00D23863">
        <w:rPr>
          <w:rFonts w:ascii="Arial" w:eastAsia="Times New Roman" w:hAnsi="Arial" w:cs="Arial"/>
          <w:sz w:val="22"/>
          <w:szCs w:val="22"/>
          <w:lang w:val="en-IN" w:eastAsia="en-IN" w:bidi="ml-IN"/>
        </w:rPr>
        <w:t>organogenic</w:t>
      </w:r>
      <w:proofErr w:type="spellEnd"/>
      <w:r w:rsidR="00067E4B" w:rsidRPr="00D23863">
        <w:rPr>
          <w:rFonts w:ascii="Arial" w:eastAsia="Times New Roman" w:hAnsi="Arial" w:cs="Arial"/>
          <w:sz w:val="22"/>
          <w:szCs w:val="22"/>
          <w:lang w:val="en-IN" w:eastAsia="en-IN" w:bidi="ml-IN"/>
        </w:rPr>
        <w:t xml:space="preserve"> </w:t>
      </w:r>
      <w:proofErr w:type="spellStart"/>
      <w:r w:rsidR="00067E4B" w:rsidRPr="00D23863">
        <w:rPr>
          <w:rFonts w:ascii="Arial" w:eastAsia="Times New Roman" w:hAnsi="Arial" w:cs="Arial"/>
          <w:sz w:val="22"/>
          <w:szCs w:val="22"/>
          <w:lang w:val="en-IN" w:eastAsia="en-IN" w:bidi="ml-IN"/>
        </w:rPr>
        <w:t>calli</w:t>
      </w:r>
      <w:proofErr w:type="spellEnd"/>
      <w:r w:rsidR="00067E4B" w:rsidRPr="00D23863">
        <w:rPr>
          <w:rFonts w:ascii="Arial" w:eastAsia="Times New Roman" w:hAnsi="Arial" w:cs="Arial"/>
          <w:sz w:val="22"/>
          <w:szCs w:val="22"/>
          <w:lang w:val="en-IN" w:eastAsia="en-IN" w:bidi="ml-IN"/>
        </w:rPr>
        <w:t xml:space="preserve">, particularly in T2, suggesting a deviation from somatic embryogenesis. </w:t>
      </w:r>
    </w:p>
    <w:p w14:paraId="647302C9" w14:textId="77777777" w:rsidR="00D97F7B" w:rsidRPr="00D23863" w:rsidRDefault="00D97F7B" w:rsidP="00067E4B">
      <w:pPr>
        <w:jc w:val="both"/>
        <w:rPr>
          <w:rFonts w:ascii="Arial" w:eastAsia="Times New Roman" w:hAnsi="Arial" w:cs="Arial"/>
          <w:sz w:val="22"/>
          <w:szCs w:val="22"/>
          <w:lang w:val="en-IN" w:eastAsia="en-IN" w:bidi="ml-IN"/>
        </w:rPr>
      </w:pPr>
    </w:p>
    <w:p w14:paraId="38E45CE1" w14:textId="30A507B9" w:rsidR="00DD0393" w:rsidRPr="00D23863" w:rsidRDefault="00DD0393" w:rsidP="00067E4B">
      <w:pPr>
        <w:jc w:val="both"/>
        <w:rPr>
          <w:rFonts w:ascii="Arial" w:eastAsia="Times New Roman" w:hAnsi="Arial" w:cs="Arial"/>
          <w:sz w:val="22"/>
          <w:szCs w:val="22"/>
          <w:lang w:val="en-IN" w:eastAsia="en-IN" w:bidi="ml-IN"/>
        </w:rPr>
      </w:pPr>
    </w:p>
    <w:p w14:paraId="4626143B" w14:textId="77777777" w:rsidR="003B68A3" w:rsidRPr="00D23863" w:rsidRDefault="003B68A3" w:rsidP="00067E4B">
      <w:pPr>
        <w:jc w:val="both"/>
        <w:rPr>
          <w:rFonts w:ascii="Arial" w:eastAsia="Times New Roman" w:hAnsi="Arial" w:cs="Arial"/>
          <w:sz w:val="22"/>
          <w:szCs w:val="22"/>
          <w:lang w:val="en-IN" w:eastAsia="en-IN" w:bidi="ml-IN"/>
        </w:rPr>
      </w:pPr>
    </w:p>
    <w:p w14:paraId="2BCBFD81" w14:textId="77777777" w:rsidR="00067E4B" w:rsidRPr="00D23863" w:rsidRDefault="00067E4B" w:rsidP="00067E4B">
      <w:pPr>
        <w:jc w:val="both"/>
        <w:rPr>
          <w:rFonts w:ascii="Arial" w:eastAsia="Times New Roman" w:hAnsi="Arial" w:cs="Arial"/>
          <w:sz w:val="22"/>
          <w:szCs w:val="22"/>
          <w:lang w:val="en-IN" w:eastAsia="en-IN" w:bidi="ml-IN"/>
        </w:rPr>
      </w:pPr>
      <w:r w:rsidRPr="00D23863">
        <w:rPr>
          <w:rFonts w:ascii="Arial" w:eastAsia="Times New Roman" w:hAnsi="Arial" w:cs="Arial"/>
          <w:sz w:val="22"/>
          <w:szCs w:val="22"/>
          <w:lang w:val="en-IN" w:eastAsia="en-IN" w:bidi="ml-IN"/>
        </w:rPr>
        <w:t xml:space="preserve">The inclusion of picloram at a concentration </w:t>
      </w:r>
      <w:r w:rsidR="009E5C93" w:rsidRPr="00D23863">
        <w:rPr>
          <w:rFonts w:ascii="Arial" w:eastAsia="Times New Roman" w:hAnsi="Arial" w:cs="Arial"/>
          <w:sz w:val="22"/>
          <w:szCs w:val="22"/>
          <w:lang w:val="en-IN" w:eastAsia="en-IN" w:bidi="ml-IN"/>
        </w:rPr>
        <w:t>of 4</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9E5C93" w:rsidRPr="00D23863">
        <w:rPr>
          <w:rFonts w:ascii="Arial" w:hAnsi="Arial" w:cs="Arial"/>
          <w:color w:val="000000" w:themeColor="text1"/>
          <w:sz w:val="22"/>
          <w:szCs w:val="22"/>
          <w:lang w:val="en-IN" w:bidi="ml-IN"/>
        </w:rPr>
        <w:t xml:space="preserve"> (</w:t>
      </w:r>
      <w:r w:rsidRPr="00D23863">
        <w:rPr>
          <w:rFonts w:ascii="Arial" w:eastAsia="Times New Roman" w:hAnsi="Arial" w:cs="Arial"/>
          <w:sz w:val="22"/>
          <w:szCs w:val="22"/>
          <w:lang w:val="en-IN" w:eastAsia="en-IN" w:bidi="ml-IN"/>
        </w:rPr>
        <w:t xml:space="preserve">T4) in the T1 background, resulted in a moderately high embryogenic response (59.39%), which was statistically comparable to T1 and markedly superior to T2 and T3 and also reduced phenolic exudation compared to the high-dose picloram treatment (T0). This suggests that picloram, in combination with CIS, may act synergistically to promote embryogenic competence. Notably, the differences in non-embryogenic and </w:t>
      </w:r>
      <w:proofErr w:type="spellStart"/>
      <w:r w:rsidRPr="00D23863">
        <w:rPr>
          <w:rFonts w:ascii="Arial" w:eastAsia="Times New Roman" w:hAnsi="Arial" w:cs="Arial"/>
          <w:sz w:val="22"/>
          <w:szCs w:val="22"/>
          <w:lang w:val="en-IN" w:eastAsia="en-IN" w:bidi="ml-IN"/>
        </w:rPr>
        <w:t>organogenic</w:t>
      </w:r>
      <w:proofErr w:type="spellEnd"/>
      <w:r w:rsidRPr="00D23863">
        <w:rPr>
          <w:rFonts w:ascii="Arial" w:eastAsia="Times New Roman" w:hAnsi="Arial" w:cs="Arial"/>
          <w:sz w:val="22"/>
          <w:szCs w:val="22"/>
          <w:lang w:val="en-IN" w:eastAsia="en-IN" w:bidi="ml-IN"/>
        </w:rPr>
        <w:t xml:space="preserve"> callus proportions were not statistically significant across treatments. Collectively, these findings demonstrate that the combination of </w:t>
      </w:r>
      <w:r w:rsidR="00B6377A" w:rsidRPr="00D23863">
        <w:rPr>
          <w:rFonts w:ascii="Arial" w:eastAsia="Times New Roman" w:hAnsi="Arial" w:cs="Arial"/>
          <w:sz w:val="22"/>
          <w:szCs w:val="22"/>
          <w:lang w:val="en-IN" w:eastAsia="en-IN" w:bidi="ml-IN"/>
        </w:rPr>
        <w:t xml:space="preserve">NAA, </w:t>
      </w:r>
      <w:r w:rsidRPr="00D23863">
        <w:rPr>
          <w:rFonts w:ascii="Arial" w:eastAsia="Times New Roman" w:hAnsi="Arial" w:cs="Arial"/>
          <w:sz w:val="22"/>
          <w:szCs w:val="22"/>
          <w:lang w:val="en-IN" w:eastAsia="en-IN" w:bidi="ml-IN"/>
        </w:rPr>
        <w:t>TDZ, 2,4-D, and CIS (T1) without additional polyamines provides the most conducive environment for embryogenic callus induction</w:t>
      </w:r>
      <w:r w:rsidR="00DD0393" w:rsidRPr="00D23863">
        <w:rPr>
          <w:rFonts w:ascii="Arial" w:eastAsia="Times New Roman" w:hAnsi="Arial" w:cs="Arial"/>
          <w:sz w:val="22"/>
          <w:szCs w:val="22"/>
          <w:lang w:val="en-IN" w:eastAsia="en-IN" w:bidi="ml-IN"/>
        </w:rPr>
        <w:t xml:space="preserve"> with minimal contamination and physiological stress </w:t>
      </w:r>
      <w:r w:rsidRPr="00D23863">
        <w:rPr>
          <w:rFonts w:ascii="Arial" w:eastAsia="Times New Roman" w:hAnsi="Arial" w:cs="Arial"/>
          <w:sz w:val="22"/>
          <w:szCs w:val="22"/>
          <w:lang w:val="en-IN" w:eastAsia="en-IN" w:bidi="ml-IN"/>
        </w:rPr>
        <w:t>in coconut, while the incorporation of polyamines may interfere with the embryogenic pathway. The results also highlight the potential of picloram as an effective adjuvant to enhance embryogenesis when used at optimal concentrations in conjunction with CIS.</w:t>
      </w:r>
    </w:p>
    <w:p w14:paraId="4BC90891" w14:textId="77777777" w:rsidR="00067E4B" w:rsidRPr="00D23863" w:rsidRDefault="00067E4B" w:rsidP="004E1BAA">
      <w:pPr>
        <w:jc w:val="both"/>
        <w:rPr>
          <w:rFonts w:ascii="Arial" w:eastAsia="Times New Roman" w:hAnsi="Arial" w:cs="Arial"/>
          <w:sz w:val="22"/>
          <w:szCs w:val="22"/>
          <w:lang w:val="en-IN" w:eastAsia="en-IN" w:bidi="ml-IN"/>
        </w:rPr>
      </w:pPr>
    </w:p>
    <w:p w14:paraId="67AB9B51" w14:textId="77777777" w:rsidR="00D34273" w:rsidRPr="00D23863" w:rsidRDefault="00D34273" w:rsidP="00BC424F">
      <w:pPr>
        <w:jc w:val="both"/>
        <w:rPr>
          <w:rFonts w:ascii="Arial" w:hAnsi="Arial" w:cs="Arial"/>
          <w:b/>
          <w:bCs/>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7A5A802F" w14:textId="5D141D0E" w:rsidR="00DD0393" w:rsidRPr="00D23863" w:rsidRDefault="00956989" w:rsidP="00BC424F">
      <w:pPr>
        <w:jc w:val="both"/>
        <w:rPr>
          <w:rFonts w:ascii="Arial" w:hAnsi="Arial" w:cs="Arial"/>
          <w:sz w:val="22"/>
          <w:szCs w:val="22"/>
          <w:lang w:val="en-IN"/>
        </w:rPr>
      </w:pPr>
      <w:r w:rsidRPr="00D23863">
        <w:rPr>
          <w:rFonts w:ascii="Arial" w:hAnsi="Arial" w:cs="Arial"/>
          <w:b/>
          <w:bCs/>
          <w:sz w:val="22"/>
          <w:szCs w:val="22"/>
          <w:lang w:val="en-IN"/>
        </w:rPr>
        <w:t xml:space="preserve">Table 2. </w:t>
      </w:r>
      <w:r w:rsidRPr="00D23863">
        <w:rPr>
          <w:rFonts w:ascii="Arial" w:hAnsi="Arial" w:cs="Arial"/>
          <w:sz w:val="22"/>
          <w:szCs w:val="22"/>
          <w:lang w:val="en-IN"/>
        </w:rPr>
        <w:t xml:space="preserve">Effect of additives </w:t>
      </w:r>
      <w:r w:rsidR="009C3031" w:rsidRPr="00D23863">
        <w:rPr>
          <w:rFonts w:ascii="Arial" w:hAnsi="Arial" w:cs="Arial"/>
          <w:sz w:val="22"/>
          <w:szCs w:val="22"/>
          <w:lang w:val="en-IN"/>
        </w:rPr>
        <w:t>on type of callus response</w:t>
      </w:r>
    </w:p>
    <w:p w14:paraId="7CF47F49" w14:textId="77777777" w:rsidR="00956989" w:rsidRPr="00D23863" w:rsidRDefault="00956989" w:rsidP="00BC424F">
      <w:pPr>
        <w:jc w:val="both"/>
        <w:rPr>
          <w:rFonts w:ascii="Arial" w:hAnsi="Arial" w:cs="Arial"/>
          <w:b/>
          <w:bCs/>
          <w:sz w:val="22"/>
          <w:szCs w:val="22"/>
          <w:lang w:val="en-IN"/>
        </w:rPr>
      </w:pPr>
    </w:p>
    <w:tbl>
      <w:tblPr>
        <w:tblStyle w:val="PlainTable2"/>
        <w:tblW w:w="0" w:type="auto"/>
        <w:tblLayout w:type="fixed"/>
        <w:tblLook w:val="04A0" w:firstRow="1" w:lastRow="0" w:firstColumn="1" w:lastColumn="0" w:noHBand="0" w:noVBand="1"/>
      </w:tblPr>
      <w:tblGrid>
        <w:gridCol w:w="1668"/>
        <w:gridCol w:w="2268"/>
        <w:gridCol w:w="2409"/>
        <w:gridCol w:w="2114"/>
      </w:tblGrid>
      <w:tr w:rsidR="00956989" w:rsidRPr="00D23863" w14:paraId="096FB3B8" w14:textId="77777777" w:rsidTr="00901BB9">
        <w:trPr>
          <w:cnfStyle w:val="100000000000" w:firstRow="1" w:lastRow="0" w:firstColumn="0" w:lastColumn="0" w:oddVBand="0" w:evenVBand="0" w:oddHBand="0"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668" w:type="dxa"/>
            <w:vMerge w:val="restart"/>
          </w:tcPr>
          <w:p w14:paraId="4AC4093B" w14:textId="77777777" w:rsidR="00956989" w:rsidRPr="00D23863" w:rsidRDefault="00956989" w:rsidP="00BC424F">
            <w:pPr>
              <w:jc w:val="center"/>
              <w:rPr>
                <w:rFonts w:ascii="Arial" w:hAnsi="Arial" w:cs="Arial"/>
                <w:b w:val="0"/>
                <w:bCs w:val="0"/>
                <w:sz w:val="22"/>
                <w:szCs w:val="22"/>
                <w:lang w:val="en-IN"/>
              </w:rPr>
            </w:pPr>
            <w:r w:rsidRPr="00D23863">
              <w:rPr>
                <w:rFonts w:ascii="Arial" w:hAnsi="Arial" w:cs="Arial"/>
                <w:sz w:val="22"/>
                <w:szCs w:val="22"/>
                <w:lang w:val="en-IN"/>
              </w:rPr>
              <w:t>Treatment</w:t>
            </w:r>
          </w:p>
          <w:p w14:paraId="5DA3040F" w14:textId="77777777" w:rsidR="00956989" w:rsidRPr="00D23863" w:rsidRDefault="00956989" w:rsidP="00BC424F">
            <w:pPr>
              <w:jc w:val="center"/>
              <w:rPr>
                <w:rFonts w:ascii="Arial" w:hAnsi="Arial" w:cs="Arial"/>
                <w:b w:val="0"/>
                <w:bCs w:val="0"/>
                <w:sz w:val="22"/>
                <w:szCs w:val="22"/>
                <w:lang w:val="en-IN"/>
              </w:rPr>
            </w:pPr>
          </w:p>
        </w:tc>
        <w:tc>
          <w:tcPr>
            <w:tcW w:w="6791" w:type="dxa"/>
            <w:gridSpan w:val="3"/>
          </w:tcPr>
          <w:p w14:paraId="51DF954E" w14:textId="77777777" w:rsidR="00956989" w:rsidRPr="00D23863" w:rsidRDefault="00956989"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lang w:val="en-IN"/>
              </w:rPr>
            </w:pPr>
            <w:r w:rsidRPr="00D23863">
              <w:rPr>
                <w:rFonts w:ascii="Arial" w:hAnsi="Arial" w:cs="Arial"/>
                <w:sz w:val="22"/>
                <w:szCs w:val="22"/>
                <w:lang w:val="en-IN"/>
              </w:rPr>
              <w:t>Type of callus response</w:t>
            </w:r>
          </w:p>
        </w:tc>
      </w:tr>
      <w:tr w:rsidR="00956989" w:rsidRPr="00D23863" w14:paraId="1E924514" w14:textId="77777777" w:rsidTr="00901BB9">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1668" w:type="dxa"/>
            <w:vMerge/>
          </w:tcPr>
          <w:p w14:paraId="1D4E6047" w14:textId="77777777" w:rsidR="00956989" w:rsidRPr="00D23863" w:rsidRDefault="00956989" w:rsidP="00BC424F">
            <w:pPr>
              <w:pStyle w:val="NormalWeb"/>
              <w:jc w:val="center"/>
              <w:rPr>
                <w:rFonts w:ascii="Arial" w:hAnsi="Arial" w:cs="Arial"/>
                <w:b w:val="0"/>
                <w:bCs w:val="0"/>
                <w:sz w:val="22"/>
                <w:szCs w:val="22"/>
                <w:lang w:val="en-IN"/>
              </w:rPr>
            </w:pPr>
          </w:p>
        </w:tc>
        <w:tc>
          <w:tcPr>
            <w:tcW w:w="2268" w:type="dxa"/>
          </w:tcPr>
          <w:p w14:paraId="62D053BD"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val="en-IN"/>
              </w:rPr>
            </w:pPr>
            <w:r w:rsidRPr="00D23863">
              <w:rPr>
                <w:rFonts w:ascii="Arial" w:hAnsi="Arial" w:cs="Arial"/>
                <w:b/>
                <w:bCs/>
                <w:sz w:val="22"/>
                <w:szCs w:val="22"/>
                <w:lang w:val="en-IN"/>
              </w:rPr>
              <w:t>Embryogenic callus (%)</w:t>
            </w:r>
          </w:p>
        </w:tc>
        <w:tc>
          <w:tcPr>
            <w:tcW w:w="2409" w:type="dxa"/>
          </w:tcPr>
          <w:p w14:paraId="6D297298"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val="en-IN"/>
              </w:rPr>
            </w:pPr>
            <w:r w:rsidRPr="00D23863">
              <w:rPr>
                <w:rFonts w:ascii="Arial" w:hAnsi="Arial" w:cs="Arial"/>
                <w:b/>
                <w:bCs/>
                <w:sz w:val="22"/>
                <w:szCs w:val="22"/>
                <w:lang w:val="en-IN"/>
              </w:rPr>
              <w:t>Non-embryogenic callus (%)</w:t>
            </w:r>
          </w:p>
        </w:tc>
        <w:tc>
          <w:tcPr>
            <w:tcW w:w="2114" w:type="dxa"/>
          </w:tcPr>
          <w:p w14:paraId="6A1E1180"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val="en-IN"/>
              </w:rPr>
            </w:pPr>
            <w:proofErr w:type="spellStart"/>
            <w:r w:rsidRPr="00D23863">
              <w:rPr>
                <w:rFonts w:ascii="Arial" w:hAnsi="Arial" w:cs="Arial"/>
                <w:b/>
                <w:bCs/>
                <w:sz w:val="22"/>
                <w:szCs w:val="22"/>
                <w:lang w:val="en-IN"/>
              </w:rPr>
              <w:t>Organogenic</w:t>
            </w:r>
            <w:proofErr w:type="spellEnd"/>
            <w:r w:rsidRPr="00D23863">
              <w:rPr>
                <w:rFonts w:ascii="Arial" w:hAnsi="Arial" w:cs="Arial"/>
                <w:b/>
                <w:bCs/>
                <w:sz w:val="22"/>
                <w:szCs w:val="22"/>
                <w:lang w:val="en-IN"/>
              </w:rPr>
              <w:t xml:space="preserve"> callus (%)</w:t>
            </w:r>
          </w:p>
        </w:tc>
      </w:tr>
      <w:tr w:rsidR="00956989" w:rsidRPr="00D23863" w14:paraId="342E86CB" w14:textId="77777777" w:rsidTr="00901BB9">
        <w:trPr>
          <w:trHeight w:val="269"/>
        </w:trPr>
        <w:tc>
          <w:tcPr>
            <w:cnfStyle w:val="001000000000" w:firstRow="0" w:lastRow="0" w:firstColumn="1" w:lastColumn="0" w:oddVBand="0" w:evenVBand="0" w:oddHBand="0" w:evenHBand="0" w:firstRowFirstColumn="0" w:firstRowLastColumn="0" w:lastRowFirstColumn="0" w:lastRowLastColumn="0"/>
            <w:tcW w:w="1668" w:type="dxa"/>
          </w:tcPr>
          <w:p w14:paraId="6C70C11E" w14:textId="08278E1C" w:rsidR="00956989" w:rsidRPr="00D23863" w:rsidRDefault="00956989" w:rsidP="00EF6A6D">
            <w:pPr>
              <w:pStyle w:val="NormalWeb"/>
              <w:jc w:val="center"/>
              <w:rPr>
                <w:rFonts w:ascii="Arial" w:eastAsia="Calibri" w:hAnsi="Arial" w:cs="Arial"/>
                <w:b w:val="0"/>
                <w:bCs w:val="0"/>
                <w:sz w:val="22"/>
                <w:szCs w:val="22"/>
                <w:lang w:val="en-IN"/>
              </w:rPr>
            </w:pPr>
            <w:r w:rsidRPr="00D23863">
              <w:rPr>
                <w:rFonts w:ascii="Arial" w:hAnsi="Arial" w:cs="Arial"/>
                <w:b w:val="0"/>
                <w:bCs w:val="0"/>
                <w:color w:val="000000" w:themeColor="text1"/>
                <w:sz w:val="22"/>
                <w:szCs w:val="22"/>
              </w:rPr>
              <w:t xml:space="preserve">T0 </w:t>
            </w:r>
          </w:p>
        </w:tc>
        <w:tc>
          <w:tcPr>
            <w:tcW w:w="2268" w:type="dxa"/>
          </w:tcPr>
          <w:p w14:paraId="3CAD8639"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vertAlign w:val="superscript"/>
              </w:rPr>
            </w:pPr>
            <w:r w:rsidRPr="00D23863">
              <w:rPr>
                <w:rFonts w:ascii="Arial" w:hAnsi="Arial" w:cs="Arial"/>
                <w:color w:val="000000" w:themeColor="text1"/>
                <w:sz w:val="22"/>
                <w:szCs w:val="22"/>
              </w:rPr>
              <w:t>47.30</w:t>
            </w:r>
            <w:r w:rsidRPr="00D23863">
              <w:rPr>
                <w:rFonts w:ascii="Arial" w:hAnsi="Arial" w:cs="Arial"/>
                <w:color w:val="000000" w:themeColor="text1"/>
                <w:sz w:val="22"/>
                <w:szCs w:val="22"/>
                <w:vertAlign w:val="superscript"/>
              </w:rPr>
              <w:t>a</w:t>
            </w:r>
          </w:p>
        </w:tc>
        <w:tc>
          <w:tcPr>
            <w:tcW w:w="2409" w:type="dxa"/>
          </w:tcPr>
          <w:p w14:paraId="680308F4"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D23863">
              <w:rPr>
                <w:rFonts w:ascii="Arial" w:hAnsi="Arial" w:cs="Arial"/>
                <w:color w:val="000000" w:themeColor="text1"/>
                <w:sz w:val="22"/>
                <w:szCs w:val="22"/>
              </w:rPr>
              <w:t>9.67</w:t>
            </w:r>
          </w:p>
        </w:tc>
        <w:tc>
          <w:tcPr>
            <w:tcW w:w="2114" w:type="dxa"/>
          </w:tcPr>
          <w:p w14:paraId="577B6715"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D23863">
              <w:rPr>
                <w:rFonts w:ascii="Arial" w:hAnsi="Arial" w:cs="Arial"/>
                <w:color w:val="000000" w:themeColor="text1"/>
                <w:sz w:val="22"/>
                <w:szCs w:val="22"/>
              </w:rPr>
              <w:t>6.33</w:t>
            </w:r>
          </w:p>
        </w:tc>
      </w:tr>
      <w:tr w:rsidR="00956989" w:rsidRPr="00D23863" w14:paraId="6D59DA9F" w14:textId="77777777" w:rsidTr="00901BB9">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668" w:type="dxa"/>
          </w:tcPr>
          <w:p w14:paraId="77F5DE61" w14:textId="7ADD65AF" w:rsidR="00956989" w:rsidRPr="00D23863" w:rsidRDefault="00956989" w:rsidP="00956989">
            <w:pPr>
              <w:pStyle w:val="NormalWeb"/>
              <w:jc w:val="center"/>
              <w:rPr>
                <w:rFonts w:ascii="Arial" w:hAnsi="Arial" w:cs="Arial"/>
                <w:b w:val="0"/>
                <w:bCs w:val="0"/>
                <w:color w:val="000000" w:themeColor="text1"/>
                <w:sz w:val="22"/>
                <w:szCs w:val="22"/>
                <w:lang w:val="en-IN"/>
              </w:rPr>
            </w:pPr>
            <w:r w:rsidRPr="00D23863">
              <w:rPr>
                <w:rFonts w:ascii="Arial" w:hAnsi="Arial" w:cs="Arial"/>
                <w:b w:val="0"/>
                <w:bCs w:val="0"/>
                <w:color w:val="000000" w:themeColor="text1"/>
                <w:sz w:val="22"/>
                <w:szCs w:val="22"/>
              </w:rPr>
              <w:t>T1</w:t>
            </w:r>
          </w:p>
        </w:tc>
        <w:tc>
          <w:tcPr>
            <w:tcW w:w="2268" w:type="dxa"/>
          </w:tcPr>
          <w:p w14:paraId="2E6117C4"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vertAlign w:val="superscript"/>
                <w:lang w:val="en-IN"/>
              </w:rPr>
            </w:pPr>
            <w:r w:rsidRPr="00D23863">
              <w:rPr>
                <w:rFonts w:ascii="Arial" w:hAnsi="Arial" w:cs="Arial"/>
                <w:color w:val="000000" w:themeColor="text1"/>
                <w:sz w:val="22"/>
                <w:szCs w:val="22"/>
              </w:rPr>
              <w:t>80.79</w:t>
            </w:r>
            <w:r w:rsidRPr="00D23863">
              <w:rPr>
                <w:rFonts w:ascii="Arial" w:hAnsi="Arial" w:cs="Arial"/>
                <w:color w:val="000000" w:themeColor="text1"/>
                <w:sz w:val="22"/>
                <w:szCs w:val="22"/>
                <w:vertAlign w:val="superscript"/>
                <w:lang w:val="en-IN"/>
              </w:rPr>
              <w:t>a</w:t>
            </w:r>
          </w:p>
        </w:tc>
        <w:tc>
          <w:tcPr>
            <w:tcW w:w="2409" w:type="dxa"/>
          </w:tcPr>
          <w:p w14:paraId="5DD97CAA"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2.00</w:t>
            </w:r>
          </w:p>
        </w:tc>
        <w:tc>
          <w:tcPr>
            <w:tcW w:w="2114" w:type="dxa"/>
          </w:tcPr>
          <w:p w14:paraId="7B906404"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2.00</w:t>
            </w:r>
          </w:p>
        </w:tc>
      </w:tr>
      <w:tr w:rsidR="00956989" w:rsidRPr="00D23863" w14:paraId="08CB1EE0" w14:textId="77777777" w:rsidTr="00901BB9">
        <w:trPr>
          <w:trHeight w:val="263"/>
        </w:trPr>
        <w:tc>
          <w:tcPr>
            <w:cnfStyle w:val="001000000000" w:firstRow="0" w:lastRow="0" w:firstColumn="1" w:lastColumn="0" w:oddVBand="0" w:evenVBand="0" w:oddHBand="0" w:evenHBand="0" w:firstRowFirstColumn="0" w:firstRowLastColumn="0" w:lastRowFirstColumn="0" w:lastRowLastColumn="0"/>
            <w:tcW w:w="1668" w:type="dxa"/>
          </w:tcPr>
          <w:p w14:paraId="2B24F8A1" w14:textId="0ABBD880" w:rsidR="00956989" w:rsidRPr="00D23863" w:rsidRDefault="00956989" w:rsidP="00956989">
            <w:pPr>
              <w:pStyle w:val="NormalWeb"/>
              <w:jc w:val="center"/>
              <w:rPr>
                <w:rFonts w:ascii="Arial" w:hAnsi="Arial" w:cs="Arial"/>
                <w:b w:val="0"/>
                <w:bCs w:val="0"/>
                <w:color w:val="000000" w:themeColor="text1"/>
                <w:sz w:val="22"/>
                <w:szCs w:val="22"/>
                <w:lang w:val="en-IN"/>
              </w:rPr>
            </w:pPr>
            <w:r w:rsidRPr="00D23863">
              <w:rPr>
                <w:rFonts w:ascii="Arial" w:hAnsi="Arial" w:cs="Arial"/>
                <w:b w:val="0"/>
                <w:bCs w:val="0"/>
                <w:color w:val="000000" w:themeColor="text1"/>
                <w:sz w:val="22"/>
                <w:szCs w:val="22"/>
              </w:rPr>
              <w:t>T2</w:t>
            </w:r>
          </w:p>
        </w:tc>
        <w:tc>
          <w:tcPr>
            <w:tcW w:w="2268" w:type="dxa"/>
          </w:tcPr>
          <w:p w14:paraId="4462FD7F"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vertAlign w:val="superscript"/>
                <w:lang w:val="en-IN"/>
              </w:rPr>
            </w:pPr>
            <w:r w:rsidRPr="00D23863">
              <w:rPr>
                <w:rFonts w:ascii="Arial" w:hAnsi="Arial" w:cs="Arial"/>
                <w:color w:val="000000" w:themeColor="text1"/>
                <w:sz w:val="22"/>
                <w:szCs w:val="22"/>
              </w:rPr>
              <w:t>36.81</w:t>
            </w:r>
            <w:r w:rsidRPr="00D23863">
              <w:rPr>
                <w:rFonts w:ascii="Arial" w:hAnsi="Arial" w:cs="Arial"/>
                <w:color w:val="000000" w:themeColor="text1"/>
                <w:sz w:val="22"/>
                <w:szCs w:val="22"/>
                <w:vertAlign w:val="superscript"/>
                <w:lang w:val="en-IN"/>
              </w:rPr>
              <w:t>b</w:t>
            </w:r>
          </w:p>
        </w:tc>
        <w:tc>
          <w:tcPr>
            <w:tcW w:w="2409" w:type="dxa"/>
          </w:tcPr>
          <w:p w14:paraId="24A3D624"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14.53</w:t>
            </w:r>
          </w:p>
        </w:tc>
        <w:tc>
          <w:tcPr>
            <w:tcW w:w="2114" w:type="dxa"/>
          </w:tcPr>
          <w:p w14:paraId="3C5AF739"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7.90</w:t>
            </w:r>
          </w:p>
        </w:tc>
      </w:tr>
      <w:tr w:rsidR="00956989" w:rsidRPr="00D23863" w14:paraId="1E229F75" w14:textId="77777777" w:rsidTr="00901BB9">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1668" w:type="dxa"/>
          </w:tcPr>
          <w:p w14:paraId="736C30B1" w14:textId="4F481100" w:rsidR="00956989" w:rsidRPr="00D23863" w:rsidRDefault="00956989" w:rsidP="00956989">
            <w:pPr>
              <w:pStyle w:val="NormalWeb"/>
              <w:jc w:val="center"/>
              <w:rPr>
                <w:rFonts w:ascii="Arial" w:hAnsi="Arial" w:cs="Arial"/>
                <w:b w:val="0"/>
                <w:bCs w:val="0"/>
                <w:color w:val="000000" w:themeColor="text1"/>
                <w:sz w:val="22"/>
                <w:szCs w:val="22"/>
                <w:lang w:val="en-IN"/>
              </w:rPr>
            </w:pPr>
            <w:r w:rsidRPr="00D23863">
              <w:rPr>
                <w:rFonts w:ascii="Arial" w:hAnsi="Arial" w:cs="Arial"/>
                <w:b w:val="0"/>
                <w:bCs w:val="0"/>
                <w:color w:val="000000" w:themeColor="text1"/>
                <w:sz w:val="22"/>
                <w:szCs w:val="22"/>
              </w:rPr>
              <w:t>T3</w:t>
            </w:r>
          </w:p>
        </w:tc>
        <w:tc>
          <w:tcPr>
            <w:tcW w:w="2268" w:type="dxa"/>
          </w:tcPr>
          <w:p w14:paraId="1894F4C8"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43.89</w:t>
            </w:r>
            <w:r w:rsidRPr="00D23863">
              <w:rPr>
                <w:rFonts w:ascii="Arial" w:hAnsi="Arial" w:cs="Arial"/>
                <w:color w:val="000000" w:themeColor="text1"/>
                <w:sz w:val="22"/>
                <w:szCs w:val="22"/>
                <w:vertAlign w:val="superscript"/>
                <w:lang w:val="en-IN"/>
              </w:rPr>
              <w:t>b</w:t>
            </w:r>
          </w:p>
        </w:tc>
        <w:tc>
          <w:tcPr>
            <w:tcW w:w="2409" w:type="dxa"/>
          </w:tcPr>
          <w:p w14:paraId="257F6783"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6.00</w:t>
            </w:r>
          </w:p>
        </w:tc>
        <w:tc>
          <w:tcPr>
            <w:tcW w:w="2114" w:type="dxa"/>
          </w:tcPr>
          <w:p w14:paraId="23B2D1AD"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3.33</w:t>
            </w:r>
          </w:p>
        </w:tc>
      </w:tr>
      <w:tr w:rsidR="00956989" w:rsidRPr="00D23863" w14:paraId="3536FE34" w14:textId="77777777" w:rsidTr="00901BB9">
        <w:trPr>
          <w:trHeight w:val="185"/>
        </w:trPr>
        <w:tc>
          <w:tcPr>
            <w:cnfStyle w:val="001000000000" w:firstRow="0" w:lastRow="0" w:firstColumn="1" w:lastColumn="0" w:oddVBand="0" w:evenVBand="0" w:oddHBand="0" w:evenHBand="0" w:firstRowFirstColumn="0" w:firstRowLastColumn="0" w:lastRowFirstColumn="0" w:lastRowLastColumn="0"/>
            <w:tcW w:w="1668" w:type="dxa"/>
          </w:tcPr>
          <w:p w14:paraId="314C1B87" w14:textId="3A5A03C0" w:rsidR="00956989" w:rsidRPr="00D23863" w:rsidRDefault="00956989" w:rsidP="00956989">
            <w:pPr>
              <w:pStyle w:val="NormalWeb"/>
              <w:jc w:val="center"/>
              <w:rPr>
                <w:rFonts w:ascii="Arial" w:hAnsi="Arial" w:cs="Arial"/>
                <w:b w:val="0"/>
                <w:bCs w:val="0"/>
                <w:sz w:val="22"/>
                <w:szCs w:val="22"/>
                <w:lang w:val="en-IN"/>
              </w:rPr>
            </w:pPr>
            <w:r w:rsidRPr="00D23863">
              <w:rPr>
                <w:rFonts w:ascii="Arial" w:hAnsi="Arial" w:cs="Arial"/>
                <w:b w:val="0"/>
                <w:bCs w:val="0"/>
                <w:color w:val="000000"/>
                <w:sz w:val="22"/>
                <w:szCs w:val="22"/>
              </w:rPr>
              <w:t>T4</w:t>
            </w:r>
          </w:p>
        </w:tc>
        <w:tc>
          <w:tcPr>
            <w:tcW w:w="2268" w:type="dxa"/>
          </w:tcPr>
          <w:p w14:paraId="4FC8E395"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vertAlign w:val="superscript"/>
                <w:lang w:val="en-IN"/>
              </w:rPr>
            </w:pPr>
            <w:r w:rsidRPr="00D23863">
              <w:rPr>
                <w:rFonts w:ascii="Arial" w:hAnsi="Arial" w:cs="Arial"/>
                <w:color w:val="000000"/>
                <w:sz w:val="22"/>
                <w:szCs w:val="22"/>
              </w:rPr>
              <w:t>59.39</w:t>
            </w:r>
            <w:r w:rsidRPr="00D23863">
              <w:rPr>
                <w:rFonts w:ascii="Arial" w:hAnsi="Arial" w:cs="Arial"/>
                <w:color w:val="000000"/>
                <w:sz w:val="22"/>
                <w:szCs w:val="22"/>
                <w:vertAlign w:val="superscript"/>
                <w:lang w:val="en-IN"/>
              </w:rPr>
              <w:t>ab</w:t>
            </w:r>
          </w:p>
        </w:tc>
        <w:tc>
          <w:tcPr>
            <w:tcW w:w="2409" w:type="dxa"/>
          </w:tcPr>
          <w:p w14:paraId="68CFA74A"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lang w:val="en-IN"/>
              </w:rPr>
            </w:pPr>
            <w:r w:rsidRPr="00D23863">
              <w:rPr>
                <w:rFonts w:ascii="Arial" w:hAnsi="Arial" w:cs="Arial"/>
                <w:color w:val="000000"/>
                <w:sz w:val="22"/>
                <w:szCs w:val="22"/>
              </w:rPr>
              <w:t>3.33</w:t>
            </w:r>
          </w:p>
        </w:tc>
        <w:tc>
          <w:tcPr>
            <w:tcW w:w="2114" w:type="dxa"/>
          </w:tcPr>
          <w:p w14:paraId="0151ABC3"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lang w:val="en-IN"/>
              </w:rPr>
            </w:pPr>
            <w:r w:rsidRPr="00D23863">
              <w:rPr>
                <w:rFonts w:ascii="Arial" w:hAnsi="Arial" w:cs="Arial"/>
                <w:color w:val="000000"/>
                <w:sz w:val="22"/>
                <w:szCs w:val="22"/>
              </w:rPr>
              <w:t>6.36</w:t>
            </w:r>
          </w:p>
        </w:tc>
      </w:tr>
      <w:tr w:rsidR="00956989" w:rsidRPr="00D23863" w14:paraId="0C0AB56E" w14:textId="77777777" w:rsidTr="00901BB9">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1668" w:type="dxa"/>
          </w:tcPr>
          <w:p w14:paraId="19C2EABC" w14:textId="77777777" w:rsidR="00956989" w:rsidRPr="00D23863" w:rsidRDefault="00956989" w:rsidP="00BC424F">
            <w:pPr>
              <w:pStyle w:val="NormalWeb"/>
              <w:jc w:val="center"/>
              <w:rPr>
                <w:rFonts w:ascii="Arial" w:eastAsia="Calibri" w:hAnsi="Arial" w:cs="Arial"/>
                <w:sz w:val="22"/>
                <w:szCs w:val="22"/>
                <w:lang w:val="en-IN"/>
              </w:rPr>
            </w:pPr>
            <w:r w:rsidRPr="00D23863">
              <w:rPr>
                <w:rFonts w:ascii="Arial" w:hAnsi="Arial" w:cs="Arial"/>
                <w:color w:val="000000"/>
                <w:sz w:val="22"/>
                <w:szCs w:val="22"/>
              </w:rPr>
              <w:t>CD Value</w:t>
            </w:r>
          </w:p>
        </w:tc>
        <w:tc>
          <w:tcPr>
            <w:tcW w:w="2268" w:type="dxa"/>
          </w:tcPr>
          <w:p w14:paraId="65B3E51B"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23863">
              <w:rPr>
                <w:rFonts w:ascii="Arial" w:hAnsi="Arial" w:cs="Arial"/>
                <w:b/>
                <w:bCs/>
                <w:color w:val="000000"/>
                <w:sz w:val="22"/>
                <w:szCs w:val="22"/>
              </w:rPr>
              <w:t>33.60</w:t>
            </w:r>
          </w:p>
        </w:tc>
        <w:tc>
          <w:tcPr>
            <w:tcW w:w="2409" w:type="dxa"/>
          </w:tcPr>
          <w:p w14:paraId="416924D9"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23863">
              <w:rPr>
                <w:rFonts w:ascii="Arial" w:hAnsi="Arial" w:cs="Arial"/>
                <w:b/>
                <w:bCs/>
                <w:color w:val="000000"/>
                <w:sz w:val="22"/>
                <w:szCs w:val="22"/>
              </w:rPr>
              <w:t>NS</w:t>
            </w:r>
          </w:p>
        </w:tc>
        <w:tc>
          <w:tcPr>
            <w:tcW w:w="2114" w:type="dxa"/>
          </w:tcPr>
          <w:p w14:paraId="79B76781"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23863">
              <w:rPr>
                <w:rFonts w:ascii="Arial" w:hAnsi="Arial" w:cs="Arial"/>
                <w:b/>
                <w:bCs/>
                <w:color w:val="000000"/>
                <w:sz w:val="22"/>
                <w:szCs w:val="22"/>
              </w:rPr>
              <w:t>NS</w:t>
            </w:r>
          </w:p>
        </w:tc>
      </w:tr>
    </w:tbl>
    <w:p w14:paraId="11DEF04A" w14:textId="77777777" w:rsidR="00C064DD" w:rsidRPr="00D23863" w:rsidRDefault="00C064DD" w:rsidP="00BC424F">
      <w:pPr>
        <w:jc w:val="both"/>
        <w:rPr>
          <w:rFonts w:ascii="Arial" w:hAnsi="Arial" w:cs="Arial"/>
          <w:b/>
          <w:bCs/>
          <w:sz w:val="22"/>
          <w:szCs w:val="22"/>
          <w:lang w:val="en-IN"/>
        </w:rPr>
      </w:pPr>
    </w:p>
    <w:p w14:paraId="6A092324" w14:textId="77777777" w:rsidR="00D34273" w:rsidRPr="00D23863" w:rsidRDefault="00D34273" w:rsidP="00FF33F5">
      <w:pPr>
        <w:jc w:val="both"/>
        <w:rPr>
          <w:rFonts w:ascii="Arial" w:hAnsi="Arial" w:cs="Arial"/>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30B50A9F" w14:textId="7A5E6C1B" w:rsidR="00EF5551" w:rsidRPr="00D23863" w:rsidRDefault="00D30DED" w:rsidP="00FF33F5">
      <w:pPr>
        <w:jc w:val="both"/>
        <w:rPr>
          <w:rFonts w:ascii="Arial" w:hAnsi="Arial" w:cs="Arial"/>
          <w:sz w:val="22"/>
          <w:szCs w:val="22"/>
          <w:lang w:val="en-IN"/>
        </w:rPr>
      </w:pPr>
      <w:r w:rsidRPr="00D23863">
        <w:rPr>
          <w:rFonts w:ascii="Arial" w:hAnsi="Arial" w:cs="Arial"/>
          <w:sz w:val="22"/>
          <w:szCs w:val="22"/>
          <w:lang w:val="en-IN"/>
        </w:rPr>
        <w:t xml:space="preserve">The </w:t>
      </w:r>
      <w:r w:rsidR="00EF5551" w:rsidRPr="00D23863">
        <w:rPr>
          <w:rFonts w:ascii="Arial" w:hAnsi="Arial" w:cs="Arial"/>
          <w:sz w:val="22"/>
          <w:szCs w:val="22"/>
          <w:lang w:val="en-IN"/>
        </w:rPr>
        <w:t xml:space="preserve">embryogenic </w:t>
      </w:r>
      <w:proofErr w:type="spellStart"/>
      <w:r w:rsidRPr="00D23863">
        <w:rPr>
          <w:rFonts w:ascii="Arial" w:hAnsi="Arial" w:cs="Arial"/>
          <w:sz w:val="22"/>
          <w:szCs w:val="22"/>
          <w:lang w:val="en-IN"/>
        </w:rPr>
        <w:t>call</w:t>
      </w:r>
      <w:r w:rsidR="00EF5551" w:rsidRPr="00D23863">
        <w:rPr>
          <w:rFonts w:ascii="Arial" w:hAnsi="Arial" w:cs="Arial"/>
          <w:sz w:val="22"/>
          <w:szCs w:val="22"/>
          <w:lang w:val="en-IN"/>
        </w:rPr>
        <w:t>i</w:t>
      </w:r>
      <w:proofErr w:type="spellEnd"/>
      <w:r w:rsidRPr="00D23863">
        <w:rPr>
          <w:rFonts w:ascii="Arial" w:hAnsi="Arial" w:cs="Arial"/>
          <w:sz w:val="22"/>
          <w:szCs w:val="22"/>
          <w:lang w:val="en-IN"/>
        </w:rPr>
        <w:t xml:space="preserve"> were transferred to regeneration </w:t>
      </w:r>
      <w:r w:rsidR="00021509" w:rsidRPr="00D23863">
        <w:rPr>
          <w:rFonts w:ascii="Arial" w:hAnsi="Arial" w:cs="Arial"/>
          <w:sz w:val="22"/>
          <w:szCs w:val="22"/>
          <w:lang w:val="en-IN"/>
        </w:rPr>
        <w:t xml:space="preserve">media </w:t>
      </w:r>
      <w:r w:rsidRPr="00D23863">
        <w:rPr>
          <w:rFonts w:ascii="Arial" w:hAnsi="Arial" w:cs="Arial"/>
          <w:sz w:val="22"/>
          <w:szCs w:val="22"/>
          <w:lang w:val="en-IN"/>
        </w:rPr>
        <w:t xml:space="preserve">with series of 2,4-D and BA concentration (Table </w:t>
      </w:r>
      <w:r w:rsidR="004A12C0">
        <w:rPr>
          <w:rFonts w:ascii="Arial" w:hAnsi="Arial" w:cs="Arial"/>
          <w:sz w:val="22"/>
          <w:szCs w:val="22"/>
          <w:lang w:val="en-IN"/>
        </w:rPr>
        <w:t>2</w:t>
      </w:r>
      <w:r w:rsidRPr="00D23863">
        <w:rPr>
          <w:rFonts w:ascii="Arial" w:hAnsi="Arial" w:cs="Arial"/>
          <w:sz w:val="22"/>
          <w:szCs w:val="22"/>
          <w:lang w:val="en-IN"/>
        </w:rPr>
        <w:t>).</w:t>
      </w:r>
      <w:r w:rsidR="00FF33F5" w:rsidRPr="00D23863">
        <w:rPr>
          <w:rFonts w:ascii="Arial" w:hAnsi="Arial" w:cs="Arial"/>
          <w:sz w:val="22"/>
          <w:szCs w:val="22"/>
          <w:lang w:val="en-IN"/>
        </w:rPr>
        <w:t xml:space="preserve"> The efficiency of somatic embryo </w:t>
      </w:r>
      <w:r w:rsidR="00CB2942" w:rsidRPr="00D23863">
        <w:rPr>
          <w:rFonts w:ascii="Arial" w:hAnsi="Arial" w:cs="Arial"/>
          <w:sz w:val="22"/>
          <w:szCs w:val="22"/>
          <w:lang w:val="en-IN"/>
        </w:rPr>
        <w:t>maturation</w:t>
      </w:r>
      <w:r w:rsidR="00FF33F5" w:rsidRPr="00D23863">
        <w:rPr>
          <w:rFonts w:ascii="Arial" w:hAnsi="Arial" w:cs="Arial"/>
          <w:sz w:val="22"/>
          <w:szCs w:val="22"/>
          <w:lang w:val="en-IN"/>
        </w:rPr>
        <w:t xml:space="preserve"> varied significantly depending on the composition of the regeneration media. </w:t>
      </w:r>
      <w:r w:rsidR="00A317C9" w:rsidRPr="00D23863">
        <w:rPr>
          <w:rFonts w:ascii="Arial" w:hAnsi="Arial" w:cs="Arial"/>
          <w:sz w:val="22"/>
          <w:szCs w:val="22"/>
          <w:lang w:val="en-IN"/>
        </w:rPr>
        <w:t>The embryogenic callus after proliferation produce somatic embryo</w:t>
      </w:r>
      <w:r w:rsidR="00667390" w:rsidRPr="00D23863">
        <w:rPr>
          <w:rFonts w:ascii="Arial" w:hAnsi="Arial" w:cs="Arial"/>
          <w:sz w:val="22"/>
          <w:szCs w:val="22"/>
          <w:lang w:val="en-IN"/>
        </w:rPr>
        <w:t xml:space="preserve"> (Fig. 3f)</w:t>
      </w:r>
      <w:r w:rsidR="00A317C9" w:rsidRPr="00D23863">
        <w:rPr>
          <w:rFonts w:ascii="Arial" w:hAnsi="Arial" w:cs="Arial"/>
          <w:sz w:val="22"/>
          <w:szCs w:val="22"/>
          <w:lang w:val="en-IN"/>
        </w:rPr>
        <w:t xml:space="preserve"> by six months and gradually mature to </w:t>
      </w:r>
      <w:r w:rsidR="00021509" w:rsidRPr="00D23863">
        <w:rPr>
          <w:rFonts w:ascii="Arial" w:hAnsi="Arial" w:cs="Arial"/>
          <w:sz w:val="22"/>
          <w:szCs w:val="22"/>
          <w:lang w:val="en-IN"/>
        </w:rPr>
        <w:t>globular</w:t>
      </w:r>
      <w:r w:rsidR="00667390" w:rsidRPr="00D23863">
        <w:rPr>
          <w:rFonts w:ascii="Arial" w:hAnsi="Arial" w:cs="Arial"/>
          <w:sz w:val="22"/>
          <w:szCs w:val="22"/>
          <w:lang w:val="en-IN"/>
        </w:rPr>
        <w:t xml:space="preserve"> (Fig. 3g)</w:t>
      </w:r>
      <w:r w:rsidR="00021509" w:rsidRPr="00D23863">
        <w:rPr>
          <w:rFonts w:ascii="Arial" w:hAnsi="Arial" w:cs="Arial"/>
          <w:sz w:val="22"/>
          <w:szCs w:val="22"/>
          <w:lang w:val="en-IN"/>
        </w:rPr>
        <w:t xml:space="preserve"> and heart shaped embryos</w:t>
      </w:r>
      <w:r w:rsidR="00667390" w:rsidRPr="00D23863">
        <w:rPr>
          <w:rFonts w:ascii="Arial" w:hAnsi="Arial" w:cs="Arial"/>
          <w:sz w:val="22"/>
          <w:szCs w:val="22"/>
          <w:lang w:val="en-IN"/>
        </w:rPr>
        <w:t xml:space="preserve"> (Fig. 3h)</w:t>
      </w:r>
      <w:r w:rsidR="00021509" w:rsidRPr="00D23863">
        <w:rPr>
          <w:rFonts w:ascii="Arial" w:hAnsi="Arial" w:cs="Arial"/>
          <w:sz w:val="22"/>
          <w:szCs w:val="22"/>
          <w:lang w:val="en-IN"/>
        </w:rPr>
        <w:t xml:space="preserve">. </w:t>
      </w:r>
      <w:r w:rsidR="00FF33F5" w:rsidRPr="00D23863">
        <w:rPr>
          <w:rFonts w:ascii="Arial" w:hAnsi="Arial" w:cs="Arial"/>
          <w:sz w:val="22"/>
          <w:szCs w:val="22"/>
          <w:lang w:val="en-IN"/>
        </w:rPr>
        <w:t xml:space="preserve">Among the six media tested (S1–S6), </w:t>
      </w:r>
      <w:r w:rsidR="00FF33F5" w:rsidRPr="00D23863">
        <w:rPr>
          <w:rFonts w:ascii="Arial" w:hAnsi="Arial" w:cs="Arial"/>
          <w:sz w:val="22"/>
          <w:szCs w:val="22"/>
          <w:lang w:val="en-IN"/>
        </w:rPr>
        <w:lastRenderedPageBreak/>
        <w:t xml:space="preserve">the highest percentage of somatic embryo </w:t>
      </w:r>
      <w:r w:rsidR="00CB2942" w:rsidRPr="00D23863">
        <w:rPr>
          <w:rFonts w:ascii="Arial" w:hAnsi="Arial" w:cs="Arial"/>
          <w:sz w:val="22"/>
          <w:szCs w:val="22"/>
          <w:lang w:val="en-IN"/>
        </w:rPr>
        <w:t>maturation</w:t>
      </w:r>
      <w:r w:rsidR="00FF33F5" w:rsidRPr="00D23863">
        <w:rPr>
          <w:rFonts w:ascii="Arial" w:hAnsi="Arial" w:cs="Arial"/>
          <w:sz w:val="22"/>
          <w:szCs w:val="22"/>
          <w:lang w:val="en-IN"/>
        </w:rPr>
        <w:t xml:space="preserve"> (72.93%) was observed in S6, which contained </w:t>
      </w:r>
      <w:r w:rsidR="009E5C93" w:rsidRPr="00D23863">
        <w:rPr>
          <w:rFonts w:ascii="Arial" w:hAnsi="Arial" w:cs="Arial"/>
          <w:sz w:val="22"/>
          <w:szCs w:val="22"/>
          <w:lang w:val="en-IN"/>
        </w:rPr>
        <w:t>4.54</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FF33F5" w:rsidRPr="00D23863">
        <w:rPr>
          <w:rFonts w:ascii="Arial" w:hAnsi="Arial" w:cs="Arial"/>
          <w:sz w:val="22"/>
          <w:szCs w:val="22"/>
          <w:lang w:val="en-IN"/>
        </w:rPr>
        <w:t xml:space="preserve"> 2,4-D and </w:t>
      </w:r>
      <w:r w:rsidR="009E5C93" w:rsidRPr="00D23863">
        <w:rPr>
          <w:rFonts w:ascii="Arial" w:hAnsi="Arial" w:cs="Arial"/>
          <w:sz w:val="22"/>
          <w:szCs w:val="22"/>
          <w:lang w:val="en-IN"/>
        </w:rPr>
        <w:t>20</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FF33F5" w:rsidRPr="00D23863">
        <w:rPr>
          <w:rFonts w:ascii="Arial" w:hAnsi="Arial" w:cs="Arial"/>
          <w:sz w:val="22"/>
          <w:szCs w:val="22"/>
          <w:lang w:val="en-IN"/>
        </w:rPr>
        <w:t xml:space="preserve"> BA in combination with 10 mgL</w:t>
      </w:r>
      <w:r w:rsidR="00FF33F5" w:rsidRPr="00D23863">
        <w:rPr>
          <w:rFonts w:ascii="Cambria Math" w:hAnsi="Cambria Math" w:cs="Cambria Math"/>
          <w:sz w:val="22"/>
          <w:szCs w:val="22"/>
          <w:lang w:val="en-IN"/>
        </w:rPr>
        <w:t>⁻</w:t>
      </w:r>
      <w:r w:rsidR="00FF33F5" w:rsidRPr="00D23863">
        <w:rPr>
          <w:rFonts w:ascii="Arial" w:hAnsi="Arial" w:cs="Arial"/>
          <w:sz w:val="22"/>
          <w:szCs w:val="22"/>
          <w:lang w:val="en-IN"/>
        </w:rPr>
        <w:t>¹ CIS. This indicates that a higher concentration of BA, when combined with 2,4-D, substantially enhances embryogenic response.</w:t>
      </w:r>
      <w:r w:rsidR="00CB2942" w:rsidRPr="00D23863">
        <w:rPr>
          <w:rFonts w:ascii="Arial" w:hAnsi="Arial" w:cs="Arial"/>
          <w:sz w:val="22"/>
          <w:szCs w:val="22"/>
          <w:lang w:val="en-IN"/>
        </w:rPr>
        <w:t xml:space="preserve"> </w:t>
      </w:r>
      <w:r w:rsidR="00FF33F5" w:rsidRPr="00D23863">
        <w:rPr>
          <w:rFonts w:ascii="Arial" w:hAnsi="Arial" w:cs="Arial"/>
          <w:sz w:val="22"/>
          <w:szCs w:val="22"/>
          <w:lang w:val="en-IN"/>
        </w:rPr>
        <w:t xml:space="preserve">Medium S2, containing </w:t>
      </w:r>
      <w:r w:rsidR="009E5C93" w:rsidRPr="00D23863">
        <w:rPr>
          <w:rFonts w:ascii="Arial" w:hAnsi="Arial" w:cs="Arial"/>
          <w:sz w:val="22"/>
          <w:szCs w:val="22"/>
          <w:lang w:val="en-IN"/>
        </w:rPr>
        <w:t>4.54</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9E5C93" w:rsidRPr="00D23863">
        <w:rPr>
          <w:rFonts w:ascii="Arial" w:hAnsi="Arial" w:cs="Arial"/>
          <w:sz w:val="22"/>
          <w:szCs w:val="22"/>
          <w:lang w:val="en-IN"/>
        </w:rPr>
        <w:t xml:space="preserve"> </w:t>
      </w:r>
      <w:r w:rsidR="00FF33F5" w:rsidRPr="00D23863">
        <w:rPr>
          <w:rFonts w:ascii="Arial" w:hAnsi="Arial" w:cs="Arial"/>
          <w:sz w:val="22"/>
          <w:szCs w:val="22"/>
          <w:lang w:val="en-IN"/>
        </w:rPr>
        <w:t xml:space="preserve">2,4-D + </w:t>
      </w:r>
      <w:r w:rsidR="009E5C93" w:rsidRPr="00D23863">
        <w:rPr>
          <w:rFonts w:ascii="Arial" w:hAnsi="Arial" w:cs="Arial"/>
          <w:sz w:val="22"/>
          <w:szCs w:val="22"/>
          <w:lang w:val="en-IN"/>
        </w:rPr>
        <w:t>4</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9E5C93" w:rsidRPr="00D23863">
        <w:rPr>
          <w:rFonts w:ascii="Arial" w:hAnsi="Arial" w:cs="Arial"/>
          <w:sz w:val="22"/>
          <w:szCs w:val="22"/>
          <w:lang w:val="en-IN"/>
        </w:rPr>
        <w:t xml:space="preserve"> </w:t>
      </w:r>
      <w:r w:rsidR="00FF33F5" w:rsidRPr="00D23863">
        <w:rPr>
          <w:rFonts w:ascii="Arial" w:hAnsi="Arial" w:cs="Arial"/>
          <w:sz w:val="22"/>
          <w:szCs w:val="22"/>
          <w:lang w:val="en-IN"/>
        </w:rPr>
        <w:t>picloram + 10 mgL</w:t>
      </w:r>
      <w:r w:rsidR="00FF33F5" w:rsidRPr="00D23863">
        <w:rPr>
          <w:rFonts w:ascii="Cambria Math" w:hAnsi="Cambria Math" w:cs="Cambria Math"/>
          <w:sz w:val="22"/>
          <w:szCs w:val="22"/>
          <w:lang w:val="en-IN"/>
        </w:rPr>
        <w:t>⁻</w:t>
      </w:r>
      <w:r w:rsidR="00FF33F5" w:rsidRPr="00D23863">
        <w:rPr>
          <w:rFonts w:ascii="Arial" w:hAnsi="Arial" w:cs="Arial"/>
          <w:sz w:val="22"/>
          <w:szCs w:val="22"/>
          <w:lang w:val="en-IN"/>
        </w:rPr>
        <w:t>¹ CIS, also supported a relatively high somatic embryogenesis rate of 59.74%, suggesting that the inclusion of picloram as an auxin analogue can effectively promote embryo induction.</w:t>
      </w:r>
      <w:r w:rsidR="00CB2942" w:rsidRPr="00D23863">
        <w:rPr>
          <w:rFonts w:ascii="Arial" w:hAnsi="Arial" w:cs="Arial"/>
          <w:sz w:val="22"/>
          <w:szCs w:val="22"/>
          <w:lang w:val="en-IN"/>
        </w:rPr>
        <w:t xml:space="preserve"> The combination of </w:t>
      </w:r>
      <w:r w:rsidR="00596EDA" w:rsidRPr="00D23863">
        <w:rPr>
          <w:rFonts w:ascii="Arial" w:hAnsi="Arial" w:cs="Arial"/>
          <w:sz w:val="22"/>
          <w:szCs w:val="22"/>
          <w:lang w:val="en-IN"/>
        </w:rPr>
        <w:t>4.54</w:t>
      </w:r>
      <w:r w:rsidR="00596EDA" w:rsidRPr="00D23863">
        <w:rPr>
          <w:rFonts w:ascii="Arial" w:hAnsi="Arial" w:cs="Arial"/>
          <w:color w:val="000000" w:themeColor="text1"/>
          <w:sz w:val="22"/>
          <w:szCs w:val="22"/>
          <w:lang w:val="en-IN" w:bidi="ml-IN"/>
        </w:rPr>
        <w:t xml:space="preserve"> </w:t>
      </w:r>
      <w:proofErr w:type="spellStart"/>
      <w:r w:rsidR="00596EDA" w:rsidRPr="00D23863">
        <w:rPr>
          <w:rFonts w:ascii="Arial" w:hAnsi="Arial" w:cs="Arial"/>
          <w:color w:val="000000" w:themeColor="text1"/>
          <w:sz w:val="22"/>
          <w:szCs w:val="22"/>
          <w:lang w:val="en-IN" w:bidi="ml-IN"/>
        </w:rPr>
        <w:t>μM</w:t>
      </w:r>
      <w:proofErr w:type="spellEnd"/>
      <w:r w:rsidR="00CB2942" w:rsidRPr="00D23863">
        <w:rPr>
          <w:rFonts w:ascii="Arial" w:hAnsi="Arial" w:cs="Arial"/>
          <w:sz w:val="22"/>
          <w:szCs w:val="22"/>
          <w:lang w:val="en-IN"/>
        </w:rPr>
        <w:t xml:space="preserve"> 2,4-D and increasing concentrations of BA, particularly at </w:t>
      </w:r>
      <w:r w:rsidR="00596EDA" w:rsidRPr="00D23863">
        <w:rPr>
          <w:rFonts w:ascii="Arial" w:hAnsi="Arial" w:cs="Arial"/>
          <w:sz w:val="22"/>
          <w:szCs w:val="22"/>
          <w:lang w:val="en-IN"/>
        </w:rPr>
        <w:t>20</w:t>
      </w:r>
      <w:r w:rsidR="00596EDA" w:rsidRPr="00D23863">
        <w:rPr>
          <w:rFonts w:ascii="Arial" w:hAnsi="Arial" w:cs="Arial"/>
          <w:color w:val="000000" w:themeColor="text1"/>
          <w:sz w:val="22"/>
          <w:szCs w:val="22"/>
          <w:lang w:val="en-IN" w:bidi="ml-IN"/>
        </w:rPr>
        <w:t xml:space="preserve"> </w:t>
      </w:r>
      <w:proofErr w:type="spellStart"/>
      <w:r w:rsidR="00596EDA" w:rsidRPr="00D23863">
        <w:rPr>
          <w:rFonts w:ascii="Arial" w:hAnsi="Arial" w:cs="Arial"/>
          <w:color w:val="000000" w:themeColor="text1"/>
          <w:sz w:val="22"/>
          <w:szCs w:val="22"/>
          <w:lang w:val="en-IN" w:bidi="ml-IN"/>
        </w:rPr>
        <w:t>μ</w:t>
      </w:r>
      <w:proofErr w:type="gramStart"/>
      <w:r w:rsidR="00596EDA" w:rsidRPr="00D23863">
        <w:rPr>
          <w:rFonts w:ascii="Arial" w:hAnsi="Arial" w:cs="Arial"/>
          <w:color w:val="000000" w:themeColor="text1"/>
          <w:sz w:val="22"/>
          <w:szCs w:val="22"/>
          <w:lang w:val="en-IN" w:bidi="ml-IN"/>
        </w:rPr>
        <w:t>M</w:t>
      </w:r>
      <w:proofErr w:type="spellEnd"/>
      <w:r w:rsidR="00596EDA" w:rsidRPr="00D23863">
        <w:rPr>
          <w:rFonts w:ascii="Arial" w:hAnsi="Arial" w:cs="Arial"/>
          <w:sz w:val="22"/>
          <w:szCs w:val="22"/>
          <w:lang w:val="en-IN"/>
        </w:rPr>
        <w:t xml:space="preserve"> </w:t>
      </w:r>
      <w:r w:rsidR="00CB2942" w:rsidRPr="00D23863">
        <w:rPr>
          <w:rFonts w:ascii="Arial" w:hAnsi="Arial" w:cs="Arial"/>
          <w:sz w:val="22"/>
          <w:szCs w:val="22"/>
          <w:lang w:val="en-IN"/>
        </w:rPr>
        <w:t>,</w:t>
      </w:r>
      <w:proofErr w:type="gramEnd"/>
      <w:r w:rsidR="00CB2942" w:rsidRPr="00D23863">
        <w:rPr>
          <w:rFonts w:ascii="Arial" w:hAnsi="Arial" w:cs="Arial"/>
          <w:sz w:val="22"/>
          <w:szCs w:val="22"/>
          <w:lang w:val="en-IN"/>
        </w:rPr>
        <w:t xml:space="preserve"> along with 10 mgL</w:t>
      </w:r>
      <w:r w:rsidR="00CB2942" w:rsidRPr="00D23863">
        <w:rPr>
          <w:rFonts w:ascii="Cambria Math" w:hAnsi="Cambria Math" w:cs="Cambria Math"/>
          <w:sz w:val="22"/>
          <w:szCs w:val="22"/>
          <w:lang w:val="en-IN"/>
        </w:rPr>
        <w:t>⁻</w:t>
      </w:r>
      <w:r w:rsidR="00CB2942" w:rsidRPr="00D23863">
        <w:rPr>
          <w:rFonts w:ascii="Arial" w:hAnsi="Arial" w:cs="Arial"/>
          <w:sz w:val="22"/>
          <w:szCs w:val="22"/>
          <w:lang w:val="en-IN"/>
        </w:rPr>
        <w:t xml:space="preserve">¹ CIS, appears optimal for maximizing somatic embryo maturation in this system. The results underscore the synergistic role of auxins and </w:t>
      </w:r>
      <w:proofErr w:type="spellStart"/>
      <w:r w:rsidR="00CB2942" w:rsidRPr="00D23863">
        <w:rPr>
          <w:rFonts w:ascii="Arial" w:hAnsi="Arial" w:cs="Arial"/>
          <w:sz w:val="22"/>
          <w:szCs w:val="22"/>
          <w:lang w:val="en-IN"/>
        </w:rPr>
        <w:t>cytokinins</w:t>
      </w:r>
      <w:proofErr w:type="spellEnd"/>
      <w:r w:rsidR="00CB2942" w:rsidRPr="00D23863">
        <w:rPr>
          <w:rFonts w:ascii="Arial" w:hAnsi="Arial" w:cs="Arial"/>
          <w:sz w:val="22"/>
          <w:szCs w:val="22"/>
          <w:lang w:val="en-IN"/>
        </w:rPr>
        <w:t>, modulated by CIS, in promoting embryogenic competency</w:t>
      </w:r>
      <w:r w:rsidR="00FF33F5" w:rsidRPr="00D23863">
        <w:rPr>
          <w:rFonts w:ascii="Arial" w:hAnsi="Arial" w:cs="Arial"/>
          <w:sz w:val="22"/>
          <w:szCs w:val="22"/>
          <w:lang w:val="en-IN"/>
        </w:rPr>
        <w:t>.</w:t>
      </w:r>
      <w:r w:rsidR="00CB2942" w:rsidRPr="00D23863">
        <w:rPr>
          <w:rFonts w:ascii="Arial" w:hAnsi="Arial" w:cs="Arial"/>
          <w:sz w:val="22"/>
          <w:szCs w:val="22"/>
          <w:lang w:val="en-IN"/>
        </w:rPr>
        <w:t xml:space="preserve"> </w:t>
      </w:r>
      <w:r w:rsidR="00FF33F5" w:rsidRPr="00D23863">
        <w:rPr>
          <w:rFonts w:ascii="Arial" w:hAnsi="Arial" w:cs="Arial"/>
          <w:sz w:val="22"/>
          <w:szCs w:val="22"/>
          <w:lang w:val="en-IN"/>
        </w:rPr>
        <w:t xml:space="preserve">The lowest embryogenic response was recorded in S1 (33.23%), which lacked any auxin (2,4-D or picloram) and included only </w:t>
      </w:r>
      <w:proofErr w:type="spellStart"/>
      <w:r w:rsidR="00FF33F5" w:rsidRPr="00D23863">
        <w:rPr>
          <w:rFonts w:ascii="Arial" w:hAnsi="Arial" w:cs="Arial"/>
          <w:sz w:val="22"/>
          <w:szCs w:val="22"/>
          <w:lang w:val="en-IN"/>
        </w:rPr>
        <w:t>cytokinins</w:t>
      </w:r>
      <w:proofErr w:type="spellEnd"/>
      <w:r w:rsidR="00FF33F5" w:rsidRPr="00D23863">
        <w:rPr>
          <w:rFonts w:ascii="Arial" w:hAnsi="Arial" w:cs="Arial"/>
          <w:sz w:val="22"/>
          <w:szCs w:val="22"/>
          <w:lang w:val="en-IN"/>
        </w:rPr>
        <w:t xml:space="preserve"> (BA and 2iP), indicating the necessity of auxin presence for efficient somatic embryo induction.</w:t>
      </w:r>
      <w:r w:rsidR="00EF5551" w:rsidRPr="00D23863">
        <w:rPr>
          <w:rFonts w:ascii="Arial" w:hAnsi="Arial" w:cs="Arial"/>
          <w:sz w:val="22"/>
          <w:szCs w:val="22"/>
          <w:lang w:val="en-IN"/>
        </w:rPr>
        <w:t xml:space="preserve"> </w:t>
      </w:r>
    </w:p>
    <w:p w14:paraId="63FA2DFE" w14:textId="77777777" w:rsidR="00C24BEA" w:rsidRPr="00D23863" w:rsidRDefault="00C24BEA" w:rsidP="00FF33F5">
      <w:pPr>
        <w:jc w:val="both"/>
        <w:rPr>
          <w:rFonts w:ascii="Arial" w:hAnsi="Arial" w:cs="Arial"/>
          <w:sz w:val="22"/>
          <w:szCs w:val="22"/>
          <w:lang w:val="en-IN"/>
        </w:rPr>
      </w:pPr>
    </w:p>
    <w:p w14:paraId="2C653108" w14:textId="7D8F8BFD" w:rsidR="00044505" w:rsidRPr="00D23863" w:rsidRDefault="00EF5551" w:rsidP="006D67E4">
      <w:pPr>
        <w:jc w:val="both"/>
        <w:rPr>
          <w:rFonts w:ascii="Arial" w:hAnsi="Arial" w:cs="Arial"/>
          <w:sz w:val="22"/>
          <w:szCs w:val="22"/>
        </w:rPr>
      </w:pPr>
      <w:r w:rsidRPr="00D23863">
        <w:rPr>
          <w:rFonts w:ascii="Arial" w:hAnsi="Arial" w:cs="Arial"/>
          <w:sz w:val="22"/>
          <w:szCs w:val="22"/>
          <w:lang w:val="en-IN"/>
        </w:rPr>
        <w:t>The factorial effect of callus induction media and regeneration media was evaluated for somatic embryo maturation and morphogenic responses</w:t>
      </w:r>
      <w:r w:rsidR="00C24BEA" w:rsidRPr="00D23863">
        <w:rPr>
          <w:rFonts w:ascii="Arial" w:hAnsi="Arial" w:cs="Arial"/>
          <w:sz w:val="22"/>
          <w:szCs w:val="22"/>
          <w:lang w:val="en-IN"/>
        </w:rPr>
        <w:t xml:space="preserve"> (Fig. 5)</w:t>
      </w:r>
      <w:r w:rsidRPr="00D23863">
        <w:rPr>
          <w:rFonts w:ascii="Arial" w:hAnsi="Arial" w:cs="Arial"/>
          <w:sz w:val="22"/>
          <w:szCs w:val="22"/>
          <w:lang w:val="en-IN"/>
        </w:rPr>
        <w:t>. Though CIM T1 gave highest embryogenic callus formation, embryogenic callus produced from treatment T4 showed highest somatic embryo maturation percentage when transferred to S6 regeneration medium</w:t>
      </w:r>
      <w:r w:rsidR="005D2643" w:rsidRPr="00D23863">
        <w:rPr>
          <w:rFonts w:ascii="Arial" w:hAnsi="Arial" w:cs="Arial"/>
          <w:sz w:val="22"/>
          <w:szCs w:val="22"/>
          <w:lang w:val="en-IN"/>
        </w:rPr>
        <w:t xml:space="preserve"> </w:t>
      </w:r>
      <w:r w:rsidRPr="00D23863">
        <w:rPr>
          <w:rFonts w:ascii="Arial" w:hAnsi="Arial" w:cs="Arial"/>
          <w:sz w:val="22"/>
          <w:szCs w:val="22"/>
          <w:lang w:val="en-IN"/>
        </w:rPr>
        <w:t>(88.60%) though in par with T1-S6 combination</w:t>
      </w:r>
      <w:r w:rsidR="00AE7982" w:rsidRPr="00D23863">
        <w:rPr>
          <w:rFonts w:ascii="Arial" w:hAnsi="Arial" w:cs="Arial"/>
          <w:sz w:val="22"/>
          <w:szCs w:val="22"/>
          <w:lang w:val="en-IN"/>
        </w:rPr>
        <w:t xml:space="preserve">. </w:t>
      </w:r>
      <w:r w:rsidR="00AE7982" w:rsidRPr="00D23863">
        <w:rPr>
          <w:rFonts w:ascii="Arial" w:hAnsi="Arial" w:cs="Arial"/>
          <w:sz w:val="22"/>
          <w:szCs w:val="22"/>
        </w:rPr>
        <w:t xml:space="preserve">T4 showed superior performance across most media suggesting T4 has a strong inductive effect, especially when paired with BA-rich or auxin-cytokinin balanced media.  These results highlight the critical role of callus induction pre-conditioning and balanced auxin-cytokinin ratios, particularly with high BA and CIS supplementation, in promoting embryogenic potential. The suboptimal outcomes observed in other treatment media combinations further emphasize the synergistic role of exogenous hormonal and nutritional cues in governing both callus responsiveness and somatic embryo maturation. </w:t>
      </w:r>
      <w:r w:rsidR="005D2643" w:rsidRPr="00D23863">
        <w:rPr>
          <w:rFonts w:ascii="Arial" w:hAnsi="Arial" w:cs="Arial"/>
          <w:sz w:val="22"/>
          <w:szCs w:val="22"/>
        </w:rPr>
        <w:t>Some cultures exhibited shoot regeneration</w:t>
      </w:r>
      <w:r w:rsidR="00667390" w:rsidRPr="00D23863">
        <w:rPr>
          <w:rFonts w:ascii="Arial" w:hAnsi="Arial" w:cs="Arial"/>
          <w:sz w:val="22"/>
          <w:szCs w:val="22"/>
        </w:rPr>
        <w:t xml:space="preserve"> (Fig. 3i)</w:t>
      </w:r>
      <w:r w:rsidR="005D2643" w:rsidRPr="00D23863">
        <w:rPr>
          <w:rFonts w:ascii="Arial" w:hAnsi="Arial" w:cs="Arial"/>
          <w:sz w:val="22"/>
          <w:szCs w:val="22"/>
        </w:rPr>
        <w:t>; however, the frequency was low, inconsistent, and no root formation was observed</w:t>
      </w:r>
      <w:r w:rsidR="00044505" w:rsidRPr="00D23863">
        <w:rPr>
          <w:rFonts w:ascii="Arial" w:hAnsi="Arial" w:cs="Arial"/>
          <w:sz w:val="22"/>
          <w:szCs w:val="22"/>
        </w:rPr>
        <w:t xml:space="preserve">. In contrast to the typical indirect pathway of somatic embryogenesis in coconut, direct translucent outgrowths were observed emerging from </w:t>
      </w:r>
      <w:proofErr w:type="spellStart"/>
      <w:r w:rsidR="00044505" w:rsidRPr="00D23863">
        <w:rPr>
          <w:rFonts w:ascii="Arial" w:hAnsi="Arial" w:cs="Arial"/>
          <w:sz w:val="22"/>
          <w:szCs w:val="22"/>
        </w:rPr>
        <w:t>rachillae</w:t>
      </w:r>
      <w:proofErr w:type="spellEnd"/>
      <w:r w:rsidR="00044505" w:rsidRPr="00D23863">
        <w:rPr>
          <w:rFonts w:ascii="Arial" w:hAnsi="Arial" w:cs="Arial"/>
          <w:sz w:val="22"/>
          <w:szCs w:val="22"/>
        </w:rPr>
        <w:t xml:space="preserve"> explants, which produced shoot-like structures when transferred to BA-enriched regeneration medium; however, root formation was absent and the response was too limited and inconsistent to be statistically analyzed.</w:t>
      </w:r>
    </w:p>
    <w:p w14:paraId="479155CC" w14:textId="77777777" w:rsidR="00D34273" w:rsidRPr="00D23863" w:rsidRDefault="00D34273" w:rsidP="006D67E4">
      <w:pPr>
        <w:jc w:val="both"/>
        <w:rPr>
          <w:rFonts w:ascii="Arial" w:hAnsi="Arial" w:cs="Arial"/>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4F86EB86" w14:textId="77777777" w:rsidR="003B68A3" w:rsidRPr="00D23863" w:rsidRDefault="003B68A3" w:rsidP="006D67E4">
      <w:pPr>
        <w:jc w:val="both"/>
        <w:rPr>
          <w:rFonts w:ascii="Arial" w:hAnsi="Arial" w:cs="Arial"/>
          <w:sz w:val="22"/>
          <w:szCs w:val="22"/>
          <w:lang w:val="en-IN"/>
        </w:rPr>
      </w:pPr>
    </w:p>
    <w:p w14:paraId="4116CD62" w14:textId="46CE56F1" w:rsidR="006D67E4" w:rsidRPr="00D23863" w:rsidRDefault="00C24BEA" w:rsidP="006D67E4">
      <w:pPr>
        <w:jc w:val="both"/>
        <w:rPr>
          <w:rFonts w:ascii="Arial" w:hAnsi="Arial" w:cs="Arial"/>
          <w:sz w:val="22"/>
          <w:szCs w:val="22"/>
          <w:lang w:val="en-IN"/>
        </w:rPr>
      </w:pPr>
      <w:r w:rsidRPr="00D23863">
        <w:rPr>
          <w:rFonts w:ascii="Arial" w:hAnsi="Arial" w:cs="Arial"/>
          <w:b/>
          <w:bCs/>
          <w:sz w:val="22"/>
          <w:szCs w:val="22"/>
          <w:lang w:val="en-IN"/>
        </w:rPr>
        <w:t>Fig.</w:t>
      </w:r>
      <w:r w:rsidR="001634EE" w:rsidRPr="00D23863">
        <w:rPr>
          <w:rFonts w:ascii="Arial" w:hAnsi="Arial" w:cs="Arial"/>
          <w:b/>
          <w:bCs/>
          <w:sz w:val="22"/>
          <w:szCs w:val="22"/>
          <w:lang w:val="en-IN"/>
        </w:rPr>
        <w:t xml:space="preserve"> 4</w:t>
      </w:r>
      <w:r w:rsidR="003B68A3" w:rsidRPr="00D23863">
        <w:rPr>
          <w:rFonts w:ascii="Arial" w:hAnsi="Arial" w:cs="Arial"/>
          <w:sz w:val="22"/>
          <w:szCs w:val="22"/>
          <w:lang w:val="en-IN"/>
        </w:rPr>
        <w:t xml:space="preserve"> </w:t>
      </w:r>
      <w:r w:rsidR="006D67E4" w:rsidRPr="00D23863">
        <w:rPr>
          <w:rFonts w:ascii="Arial" w:hAnsi="Arial" w:cs="Arial"/>
          <w:sz w:val="22"/>
          <w:szCs w:val="22"/>
          <w:lang w:val="en-IN"/>
        </w:rPr>
        <w:t>Effect of regeneration media in somatic embryo formation and maturation</w:t>
      </w:r>
    </w:p>
    <w:p w14:paraId="22D1FB66" w14:textId="77777777" w:rsidR="00D30DED" w:rsidRPr="00D23863" w:rsidRDefault="00D30DED" w:rsidP="00BC424F">
      <w:pPr>
        <w:jc w:val="both"/>
        <w:rPr>
          <w:rFonts w:ascii="Arial" w:hAnsi="Arial" w:cs="Arial"/>
          <w:sz w:val="22"/>
          <w:szCs w:val="22"/>
          <w:lang w:val="en-IN"/>
        </w:rPr>
      </w:pPr>
    </w:p>
    <w:p w14:paraId="6CA646E0" w14:textId="77777777" w:rsidR="006D67E4" w:rsidRPr="00D23863" w:rsidRDefault="00BB78AB" w:rsidP="000F7BFE">
      <w:pPr>
        <w:jc w:val="center"/>
        <w:rPr>
          <w:rFonts w:ascii="Arial" w:hAnsi="Arial" w:cs="Arial"/>
          <w:sz w:val="22"/>
          <w:szCs w:val="22"/>
          <w:lang w:val="en-IN"/>
        </w:rPr>
      </w:pPr>
      <w:r w:rsidRPr="00D23863">
        <w:rPr>
          <w:rFonts w:ascii="Arial" w:hAnsi="Arial" w:cs="Arial"/>
          <w:noProof/>
          <w:sz w:val="22"/>
          <w:szCs w:val="22"/>
          <w:lang w:val="en-IN"/>
        </w:rPr>
        <w:drawing>
          <wp:inline distT="0" distB="0" distL="0" distR="0" wp14:anchorId="3C336493" wp14:editId="70E270C7">
            <wp:extent cx="5273675" cy="2673424"/>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aturation sat="400000"/>
                              </a14:imgEffect>
                            </a14:imgLayer>
                          </a14:imgProps>
                        </a:ext>
                        <a:ext uri="{28A0092B-C50C-407E-A947-70E740481C1C}">
                          <a14:useLocalDpi xmlns:a14="http://schemas.microsoft.com/office/drawing/2010/main" val="0"/>
                        </a:ext>
                      </a:extLst>
                    </a:blip>
                    <a:srcRect t="12653"/>
                    <a:stretch/>
                  </pic:blipFill>
                  <pic:spPr bwMode="auto">
                    <a:xfrm>
                      <a:off x="0" y="0"/>
                      <a:ext cx="5273675" cy="2673424"/>
                    </a:xfrm>
                    <a:prstGeom prst="rect">
                      <a:avLst/>
                    </a:prstGeom>
                    <a:noFill/>
                    <a:ln>
                      <a:noFill/>
                    </a:ln>
                    <a:extLst>
                      <a:ext uri="{53640926-AAD7-44D8-BBD7-CCE9431645EC}">
                        <a14:shadowObscured xmlns:a14="http://schemas.microsoft.com/office/drawing/2010/main"/>
                      </a:ext>
                    </a:extLst>
                  </pic:spPr>
                </pic:pic>
              </a:graphicData>
            </a:graphic>
          </wp:inline>
        </w:drawing>
      </w:r>
    </w:p>
    <w:p w14:paraId="41FA02E0" w14:textId="77777777" w:rsidR="00D30DED" w:rsidRPr="00D23863" w:rsidRDefault="00D30DED" w:rsidP="00BC424F">
      <w:pPr>
        <w:jc w:val="both"/>
        <w:rPr>
          <w:rFonts w:ascii="Arial" w:hAnsi="Arial" w:cs="Arial"/>
          <w:sz w:val="22"/>
          <w:szCs w:val="22"/>
          <w:lang w:val="en-IN"/>
        </w:rPr>
      </w:pPr>
    </w:p>
    <w:p w14:paraId="2F4D1CD3" w14:textId="77777777" w:rsidR="00833BD6" w:rsidRPr="00D23863" w:rsidRDefault="00B00527" w:rsidP="00BC424F">
      <w:pPr>
        <w:jc w:val="both"/>
        <w:rPr>
          <w:rFonts w:ascii="Arial" w:hAnsi="Arial" w:cs="Arial"/>
          <w:sz w:val="22"/>
          <w:szCs w:val="22"/>
          <w:lang w:val="en-IN"/>
        </w:rPr>
      </w:pPr>
      <w:r w:rsidRPr="00D23863">
        <w:rPr>
          <w:rFonts w:ascii="Arial" w:hAnsi="Arial" w:cs="Arial"/>
          <w:sz w:val="22"/>
          <w:szCs w:val="22"/>
          <w:lang w:val="en-IN"/>
        </w:rPr>
        <w:t>Fig</w:t>
      </w:r>
      <w:r w:rsidR="00EB7C4D" w:rsidRPr="00D23863">
        <w:rPr>
          <w:rFonts w:ascii="Arial" w:hAnsi="Arial" w:cs="Arial"/>
          <w:sz w:val="22"/>
          <w:szCs w:val="22"/>
          <w:lang w:val="en-IN"/>
        </w:rPr>
        <w:t xml:space="preserve"> 5. </w:t>
      </w:r>
      <w:r w:rsidRPr="00D23863">
        <w:rPr>
          <w:rFonts w:ascii="Arial" w:hAnsi="Arial" w:cs="Arial"/>
          <w:sz w:val="22"/>
          <w:szCs w:val="22"/>
          <w:lang w:val="en-IN"/>
        </w:rPr>
        <w:t>Interaction effect of media on somatic embryo maturation</w:t>
      </w:r>
    </w:p>
    <w:p w14:paraId="3C578F23" w14:textId="77777777" w:rsidR="00C168F3" w:rsidRPr="00D23863" w:rsidRDefault="00B00527" w:rsidP="00BC424F">
      <w:pPr>
        <w:jc w:val="both"/>
        <w:rPr>
          <w:rFonts w:ascii="Arial" w:hAnsi="Arial" w:cs="Arial"/>
          <w:sz w:val="22"/>
          <w:szCs w:val="22"/>
          <w:lang w:val="en-IN"/>
        </w:rPr>
      </w:pPr>
      <w:r w:rsidRPr="00D23863">
        <w:rPr>
          <w:rFonts w:ascii="Arial" w:hAnsi="Arial" w:cs="Arial"/>
          <w:noProof/>
          <w:sz w:val="22"/>
          <w:szCs w:val="22"/>
          <w:lang w:val="en-IN"/>
        </w:rPr>
        <w:lastRenderedPageBreak/>
        <w:drawing>
          <wp:inline distT="0" distB="0" distL="0" distR="0" wp14:anchorId="76F90A50" wp14:editId="6B844C01">
            <wp:extent cx="5495123" cy="2797628"/>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saturation sat="400000"/>
                              </a14:imgEffect>
                            </a14:imgLayer>
                          </a14:imgProps>
                        </a:ext>
                        <a:ext uri="{28A0092B-C50C-407E-A947-70E740481C1C}">
                          <a14:useLocalDpi xmlns:a14="http://schemas.microsoft.com/office/drawing/2010/main" val="0"/>
                        </a:ext>
                      </a:extLst>
                    </a:blip>
                    <a:srcRect t="12336"/>
                    <a:stretch/>
                  </pic:blipFill>
                  <pic:spPr bwMode="auto">
                    <a:xfrm>
                      <a:off x="0" y="0"/>
                      <a:ext cx="5535478" cy="2818173"/>
                    </a:xfrm>
                    <a:prstGeom prst="rect">
                      <a:avLst/>
                    </a:prstGeom>
                    <a:noFill/>
                    <a:ln>
                      <a:noFill/>
                    </a:ln>
                    <a:extLst>
                      <a:ext uri="{53640926-AAD7-44D8-BBD7-CCE9431645EC}">
                        <a14:shadowObscured xmlns:a14="http://schemas.microsoft.com/office/drawing/2010/main"/>
                      </a:ext>
                    </a:extLst>
                  </pic:spPr>
                </pic:pic>
              </a:graphicData>
            </a:graphic>
          </wp:inline>
        </w:drawing>
      </w:r>
    </w:p>
    <w:p w14:paraId="515FF2D9" w14:textId="77777777" w:rsidR="00D34273" w:rsidRPr="00D23863" w:rsidRDefault="00D34273" w:rsidP="00BC424F">
      <w:pPr>
        <w:jc w:val="both"/>
        <w:rPr>
          <w:rFonts w:ascii="Arial" w:hAnsi="Arial" w:cs="Arial"/>
          <w:b/>
          <w:bCs/>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1038C4ED" w14:textId="77777777" w:rsidR="00D23863" w:rsidRPr="00D23863" w:rsidRDefault="00D23863" w:rsidP="00BC424F">
      <w:pPr>
        <w:jc w:val="both"/>
        <w:rPr>
          <w:rFonts w:ascii="Arial" w:hAnsi="Arial" w:cs="Arial"/>
          <w:b/>
          <w:bCs/>
          <w:sz w:val="22"/>
          <w:szCs w:val="22"/>
          <w:lang w:val="en-IN"/>
        </w:rPr>
      </w:pPr>
    </w:p>
    <w:p w14:paraId="0727A048" w14:textId="77777777" w:rsidR="00D23863" w:rsidRPr="00D23863" w:rsidRDefault="00D23863" w:rsidP="00BC424F">
      <w:pPr>
        <w:jc w:val="both"/>
        <w:rPr>
          <w:rFonts w:ascii="Arial" w:hAnsi="Arial" w:cs="Arial"/>
          <w:b/>
          <w:bCs/>
          <w:sz w:val="22"/>
          <w:szCs w:val="22"/>
          <w:lang w:val="en-IN"/>
        </w:rPr>
      </w:pPr>
    </w:p>
    <w:p w14:paraId="64C08766" w14:textId="2FC59286" w:rsidR="00C064DD" w:rsidRPr="00D23863" w:rsidRDefault="00D23863" w:rsidP="00BC424F">
      <w:pPr>
        <w:jc w:val="both"/>
        <w:rPr>
          <w:rFonts w:ascii="Arial" w:hAnsi="Arial" w:cs="Arial"/>
          <w:b/>
          <w:bCs/>
          <w:sz w:val="22"/>
          <w:szCs w:val="22"/>
          <w:lang w:val="en-IN"/>
        </w:rPr>
      </w:pPr>
      <w:r w:rsidRPr="00D23863">
        <w:rPr>
          <w:rFonts w:ascii="Arial" w:hAnsi="Arial" w:cs="Arial"/>
          <w:b/>
          <w:bCs/>
          <w:sz w:val="22"/>
          <w:szCs w:val="22"/>
          <w:lang w:val="en-IN"/>
        </w:rPr>
        <w:t>DISCUSSION</w:t>
      </w:r>
    </w:p>
    <w:p w14:paraId="49174951" w14:textId="77777777" w:rsidR="00C064DD" w:rsidRPr="00D23863" w:rsidRDefault="00C064DD" w:rsidP="00BC424F">
      <w:pPr>
        <w:jc w:val="both"/>
        <w:rPr>
          <w:rFonts w:ascii="Arial" w:hAnsi="Arial" w:cs="Arial"/>
          <w:sz w:val="22"/>
          <w:szCs w:val="22"/>
          <w:lang w:val="en-IN"/>
        </w:rPr>
      </w:pPr>
    </w:p>
    <w:p w14:paraId="1D648C88" w14:textId="77777777" w:rsidR="00C064DD" w:rsidRPr="00D23863" w:rsidRDefault="003C284D" w:rsidP="00BC424F">
      <w:pPr>
        <w:jc w:val="both"/>
        <w:rPr>
          <w:rFonts w:ascii="Arial" w:hAnsi="Arial" w:cs="Arial"/>
          <w:b/>
          <w:bCs/>
          <w:sz w:val="22"/>
          <w:szCs w:val="22"/>
          <w:lang w:val="en-IN"/>
        </w:rPr>
      </w:pPr>
      <w:r w:rsidRPr="00D23863">
        <w:rPr>
          <w:rFonts w:ascii="Arial" w:hAnsi="Arial" w:cs="Arial"/>
          <w:b/>
          <w:bCs/>
          <w:sz w:val="22"/>
          <w:szCs w:val="22"/>
          <w:lang w:val="en-IN"/>
        </w:rPr>
        <w:t xml:space="preserve">Developmental stage of explant </w:t>
      </w:r>
    </w:p>
    <w:p w14:paraId="35700AA9" w14:textId="77777777" w:rsidR="00C064DD" w:rsidRPr="00D23863" w:rsidRDefault="00C064DD" w:rsidP="00BC424F">
      <w:pPr>
        <w:jc w:val="both"/>
        <w:rPr>
          <w:rFonts w:ascii="Arial" w:hAnsi="Arial" w:cs="Arial"/>
          <w:sz w:val="22"/>
          <w:szCs w:val="22"/>
          <w:lang w:val="en-IN"/>
        </w:rPr>
      </w:pPr>
    </w:p>
    <w:p w14:paraId="1C99F678" w14:textId="77777777" w:rsidR="001C5BC5" w:rsidRPr="00D23863" w:rsidRDefault="003C284D" w:rsidP="00F21FCA">
      <w:pPr>
        <w:jc w:val="both"/>
        <w:rPr>
          <w:rFonts w:ascii="Arial" w:hAnsi="Arial" w:cs="Arial"/>
          <w:sz w:val="22"/>
          <w:szCs w:val="22"/>
          <w:lang w:val="en-IN"/>
        </w:rPr>
      </w:pPr>
      <w:r w:rsidRPr="00D23863">
        <w:rPr>
          <w:rFonts w:ascii="Arial" w:hAnsi="Arial" w:cs="Arial"/>
          <w:sz w:val="22"/>
          <w:szCs w:val="22"/>
          <w:lang w:val="en-IN"/>
        </w:rPr>
        <w:t xml:space="preserve">Morphogenic competence and a high rate of cell division are fundamental prerequisites for successful </w:t>
      </w:r>
      <w:r w:rsidRPr="00D23863">
        <w:rPr>
          <w:rFonts w:ascii="Arial" w:hAnsi="Arial" w:cs="Arial"/>
          <w:i/>
          <w:iCs/>
          <w:sz w:val="22"/>
          <w:szCs w:val="22"/>
          <w:lang w:val="en-IN"/>
        </w:rPr>
        <w:t>in vitro</w:t>
      </w:r>
      <w:r w:rsidRPr="00D23863">
        <w:rPr>
          <w:rFonts w:ascii="Arial" w:hAnsi="Arial" w:cs="Arial"/>
          <w:sz w:val="22"/>
          <w:szCs w:val="22"/>
          <w:lang w:val="en-IN"/>
        </w:rPr>
        <w:t xml:space="preserve"> regeneration (Su, 2002). Although various plant tissues have been utilized as explants, juvenile, actively dividing meristematic and undifferentiated tissues are generally recognized as the most responsive and reliable sources for coconut culture initiation. This developmental-stage-dependent response is primarily attributed to the cumulative genetic, epigenetic, and physiological modifications that accompany cellular maturation, which progressively reduce the explant’s plasticity and regenerative potential under in vitro conditions (Thorpe, 1994). Physiologically immature tissues generally exhibiting a higher capacity for dedifferentiation in response to exogenous phytohormones. </w:t>
      </w:r>
    </w:p>
    <w:p w14:paraId="2DDA2FC3" w14:textId="77777777" w:rsidR="001C5BC5" w:rsidRPr="00D23863" w:rsidRDefault="001C5BC5" w:rsidP="00F21FCA">
      <w:pPr>
        <w:jc w:val="both"/>
        <w:rPr>
          <w:rFonts w:ascii="Arial" w:hAnsi="Arial" w:cs="Arial"/>
          <w:sz w:val="22"/>
          <w:szCs w:val="22"/>
          <w:lang w:val="en-IN"/>
        </w:rPr>
      </w:pPr>
    </w:p>
    <w:p w14:paraId="2655B34A" w14:textId="554C8FBD" w:rsidR="00C064DD" w:rsidRPr="00D23863" w:rsidRDefault="003C284D" w:rsidP="00F21FCA">
      <w:pPr>
        <w:jc w:val="both"/>
        <w:rPr>
          <w:rFonts w:ascii="Arial" w:hAnsi="Arial" w:cs="Arial"/>
          <w:sz w:val="22"/>
          <w:szCs w:val="22"/>
          <w:lang w:val="en-IN"/>
        </w:rPr>
      </w:pPr>
      <w:r w:rsidRPr="00D23863">
        <w:rPr>
          <w:rFonts w:ascii="Arial" w:hAnsi="Arial" w:cs="Arial"/>
          <w:sz w:val="22"/>
          <w:szCs w:val="22"/>
          <w:lang w:val="en-IN"/>
        </w:rPr>
        <w:t>In the present study, inflorescences measuring 1–5 cm in length consistently showed superior morphogenic responses compared to longer segments (5–10 cm, 10–15 cm, and 15–20 cm)</w:t>
      </w:r>
      <w:proofErr w:type="gramStart"/>
      <w:r w:rsidRPr="00D23863">
        <w:rPr>
          <w:rFonts w:ascii="Arial" w:hAnsi="Arial" w:cs="Arial"/>
          <w:sz w:val="22"/>
          <w:szCs w:val="22"/>
          <w:lang w:val="en-IN"/>
        </w:rPr>
        <w:t xml:space="preserve">. </w:t>
      </w:r>
      <w:r w:rsidR="005B4882" w:rsidRPr="00D23863">
        <w:rPr>
          <w:rFonts w:ascii="Arial" w:hAnsi="Arial" w:cs="Arial"/>
          <w:sz w:val="22"/>
          <w:szCs w:val="22"/>
          <w:lang w:val="en-IN"/>
        </w:rPr>
        <w:t>)</w:t>
      </w:r>
      <w:proofErr w:type="gramEnd"/>
      <w:r w:rsidR="005B4882" w:rsidRPr="00D23863">
        <w:rPr>
          <w:rFonts w:ascii="Arial" w:hAnsi="Arial" w:cs="Arial"/>
          <w:sz w:val="22"/>
          <w:szCs w:val="22"/>
          <w:lang w:val="en-IN"/>
        </w:rPr>
        <w:t xml:space="preserve">. </w:t>
      </w:r>
      <w:r w:rsidR="005B4882" w:rsidRPr="00D23863">
        <w:rPr>
          <w:rFonts w:ascii="Arial" w:hAnsi="Arial" w:cs="Arial"/>
          <w:color w:val="000000" w:themeColor="text1"/>
          <w:sz w:val="22"/>
          <w:szCs w:val="22"/>
          <w:lang w:val="en-IN"/>
        </w:rPr>
        <w:t xml:space="preserve">This enhanced responsiveness in younger tissue is attributable to the fact that in later stages of floral primordia, a shift in the expression of ‘floral meristem identity genes’ and in various hormonal combinations is happening. </w:t>
      </w:r>
      <w:r w:rsidRPr="00D23863">
        <w:rPr>
          <w:rFonts w:ascii="Arial" w:hAnsi="Arial" w:cs="Arial"/>
          <w:sz w:val="22"/>
          <w:szCs w:val="22"/>
          <w:lang w:val="en-IN"/>
        </w:rPr>
        <w:t xml:space="preserve">These findings </w:t>
      </w:r>
      <w:r w:rsidR="00AB70FA" w:rsidRPr="00D23863">
        <w:rPr>
          <w:rFonts w:ascii="Arial" w:hAnsi="Arial" w:cs="Arial"/>
          <w:sz w:val="22"/>
          <w:szCs w:val="22"/>
          <w:lang w:val="en-IN"/>
        </w:rPr>
        <w:t>a</w:t>
      </w:r>
      <w:r w:rsidR="00DF057C" w:rsidRPr="00D23863">
        <w:rPr>
          <w:rFonts w:ascii="Arial" w:hAnsi="Arial" w:cs="Arial"/>
          <w:sz w:val="22"/>
          <w:szCs w:val="22"/>
          <w:lang w:val="en-IN"/>
        </w:rPr>
        <w:t xml:space="preserve">re consistent </w:t>
      </w:r>
      <w:r w:rsidRPr="00D23863">
        <w:rPr>
          <w:rFonts w:ascii="Arial" w:hAnsi="Arial" w:cs="Arial"/>
          <w:sz w:val="22"/>
          <w:szCs w:val="22"/>
          <w:lang w:val="en-IN"/>
        </w:rPr>
        <w:t xml:space="preserve">with </w:t>
      </w:r>
      <w:r w:rsidR="00DF057C" w:rsidRPr="00D23863">
        <w:rPr>
          <w:rFonts w:ascii="Arial" w:hAnsi="Arial" w:cs="Arial"/>
          <w:sz w:val="22"/>
          <w:szCs w:val="22"/>
          <w:lang w:val="en-IN"/>
        </w:rPr>
        <w:t xml:space="preserve">the </w:t>
      </w:r>
      <w:r w:rsidRPr="00D23863">
        <w:rPr>
          <w:rFonts w:ascii="Arial" w:hAnsi="Arial" w:cs="Arial"/>
          <w:sz w:val="22"/>
          <w:szCs w:val="22"/>
          <w:lang w:val="en-IN"/>
        </w:rPr>
        <w:t xml:space="preserve">previous </w:t>
      </w:r>
      <w:r w:rsidR="00F21FCA" w:rsidRPr="00D23863">
        <w:rPr>
          <w:rFonts w:ascii="Arial" w:hAnsi="Arial" w:cs="Arial"/>
          <w:sz w:val="22"/>
          <w:szCs w:val="22"/>
          <w:lang w:val="en-IN"/>
        </w:rPr>
        <w:t xml:space="preserve">reports </w:t>
      </w:r>
      <w:r w:rsidR="00DF057C" w:rsidRPr="00D23863">
        <w:rPr>
          <w:rFonts w:ascii="Arial" w:hAnsi="Arial" w:cs="Arial"/>
          <w:sz w:val="22"/>
          <w:szCs w:val="22"/>
          <w:lang w:val="en-IN"/>
        </w:rPr>
        <w:t>that c</w:t>
      </w:r>
      <w:r w:rsidR="00F21FCA" w:rsidRPr="00D23863">
        <w:rPr>
          <w:rFonts w:ascii="Arial" w:hAnsi="Arial" w:cs="Arial"/>
          <w:sz w:val="22"/>
          <w:szCs w:val="22"/>
          <w:lang w:val="en-IN"/>
        </w:rPr>
        <w:t xml:space="preserve">ompared with immature explants or embryonic tissues, more reprogramming is required in mature tissues to transform them into somatic embryos (Merkle </w:t>
      </w:r>
      <w:r w:rsidR="00F21FCA" w:rsidRPr="00D23863">
        <w:rPr>
          <w:rFonts w:ascii="Arial" w:hAnsi="Arial" w:cs="Arial"/>
          <w:i/>
          <w:iCs/>
          <w:sz w:val="22"/>
          <w:szCs w:val="22"/>
          <w:lang w:val="en-IN"/>
        </w:rPr>
        <w:t>et al.,</w:t>
      </w:r>
      <w:r w:rsidR="00F21FCA" w:rsidRPr="00D23863">
        <w:rPr>
          <w:rFonts w:ascii="Arial" w:hAnsi="Arial" w:cs="Arial"/>
          <w:sz w:val="22"/>
          <w:szCs w:val="22"/>
          <w:lang w:val="en-IN"/>
        </w:rPr>
        <w:t xml:space="preserve"> 1995).</w:t>
      </w:r>
      <w:r w:rsidRPr="00D23863">
        <w:rPr>
          <w:rFonts w:ascii="Arial" w:hAnsi="Arial" w:cs="Arial"/>
          <w:sz w:val="22"/>
          <w:szCs w:val="22"/>
          <w:lang w:val="en-IN"/>
        </w:rPr>
        <w:t xml:space="preserve"> Sugimura and </w:t>
      </w:r>
      <w:proofErr w:type="spellStart"/>
      <w:r w:rsidRPr="00D23863">
        <w:rPr>
          <w:rFonts w:ascii="Arial" w:hAnsi="Arial" w:cs="Arial"/>
          <w:sz w:val="22"/>
          <w:szCs w:val="22"/>
          <w:lang w:val="en-IN"/>
        </w:rPr>
        <w:t>Salvana</w:t>
      </w:r>
      <w:proofErr w:type="spellEnd"/>
      <w:r w:rsidRPr="00D23863">
        <w:rPr>
          <w:rFonts w:ascii="Arial" w:hAnsi="Arial" w:cs="Arial"/>
          <w:sz w:val="22"/>
          <w:szCs w:val="22"/>
          <w:lang w:val="en-IN"/>
        </w:rPr>
        <w:t xml:space="preserve"> (1989) reported enhanced callus induction and reduced browning in coconut inflorescences ranging from 0.8 to 4.1 cm. Similarly, Sandoval </w:t>
      </w:r>
      <w:r w:rsidRPr="00D23863">
        <w:rPr>
          <w:rFonts w:ascii="Arial" w:hAnsi="Arial" w:cs="Arial"/>
          <w:i/>
          <w:iCs/>
          <w:sz w:val="22"/>
          <w:szCs w:val="22"/>
          <w:lang w:val="en-IN"/>
        </w:rPr>
        <w:t>et al.</w:t>
      </w:r>
      <w:r w:rsidRPr="00D23863">
        <w:rPr>
          <w:rFonts w:ascii="Arial" w:hAnsi="Arial" w:cs="Arial"/>
          <w:sz w:val="22"/>
          <w:szCs w:val="22"/>
          <w:lang w:val="en-IN"/>
        </w:rPr>
        <w:t xml:space="preserve"> (2016) observed that younger inflorescences formed pearly white callus, while mature explants failed to respond. In contrast, </w:t>
      </w:r>
      <w:proofErr w:type="spellStart"/>
      <w:r w:rsidRPr="00D23863">
        <w:rPr>
          <w:rFonts w:ascii="Arial" w:hAnsi="Arial" w:cs="Arial"/>
          <w:sz w:val="22"/>
          <w:szCs w:val="22"/>
          <w:lang w:val="en-IN"/>
        </w:rPr>
        <w:t>Verdeil</w:t>
      </w:r>
      <w:proofErr w:type="spellEnd"/>
      <w:r w:rsidRPr="00D23863">
        <w:rPr>
          <w:rFonts w:ascii="Arial" w:hAnsi="Arial" w:cs="Arial"/>
          <w:i/>
          <w:iCs/>
          <w:sz w:val="22"/>
          <w:szCs w:val="22"/>
          <w:lang w:val="en-IN"/>
        </w:rPr>
        <w:t xml:space="preserve"> et al.</w:t>
      </w:r>
      <w:r w:rsidRPr="00D23863">
        <w:rPr>
          <w:rFonts w:ascii="Arial" w:hAnsi="Arial" w:cs="Arial"/>
          <w:sz w:val="22"/>
          <w:szCs w:val="22"/>
          <w:lang w:val="en-IN"/>
        </w:rPr>
        <w:t xml:space="preserve"> (1994) reported optimal callus induction from longer inflorescences (10–25 cm), indicating that genotype, explant source, or culture conditions may influence the optimal developmental stage. Furthermore, earlier reports by Karunaratne and </w:t>
      </w:r>
      <w:proofErr w:type="spellStart"/>
      <w:r w:rsidRPr="00D23863">
        <w:rPr>
          <w:rFonts w:ascii="Arial" w:hAnsi="Arial" w:cs="Arial"/>
          <w:sz w:val="22"/>
          <w:szCs w:val="22"/>
          <w:lang w:val="en-IN"/>
        </w:rPr>
        <w:t>Periy</w:t>
      </w:r>
      <w:r w:rsidRPr="00D23863">
        <w:rPr>
          <w:rFonts w:ascii="Arial" w:hAnsi="Arial" w:cs="Arial"/>
          <w:i/>
          <w:iCs/>
          <w:sz w:val="22"/>
          <w:szCs w:val="22"/>
          <w:lang w:val="en-IN"/>
        </w:rPr>
        <w:t>et</w:t>
      </w:r>
      <w:r w:rsidRPr="00D23863">
        <w:rPr>
          <w:rFonts w:ascii="Arial" w:hAnsi="Arial" w:cs="Arial"/>
          <w:sz w:val="22"/>
          <w:szCs w:val="22"/>
          <w:lang w:val="en-IN"/>
        </w:rPr>
        <w:t>apperuma</w:t>
      </w:r>
      <w:proofErr w:type="spellEnd"/>
      <w:r w:rsidRPr="00D23863">
        <w:rPr>
          <w:rFonts w:ascii="Arial" w:hAnsi="Arial" w:cs="Arial"/>
          <w:sz w:val="22"/>
          <w:szCs w:val="22"/>
          <w:lang w:val="en-IN"/>
        </w:rPr>
        <w:t xml:space="preserve"> (1989) and </w:t>
      </w:r>
      <w:proofErr w:type="spellStart"/>
      <w:r w:rsidRPr="00D23863">
        <w:rPr>
          <w:rFonts w:ascii="Arial" w:hAnsi="Arial" w:cs="Arial"/>
          <w:sz w:val="22"/>
          <w:szCs w:val="22"/>
          <w:lang w:val="en-IN"/>
        </w:rPr>
        <w:t>Vidhanaarachchi</w:t>
      </w:r>
      <w:proofErr w:type="spellEnd"/>
      <w:r w:rsidRPr="00D23863">
        <w:rPr>
          <w:rFonts w:ascii="Arial" w:hAnsi="Arial" w:cs="Arial"/>
          <w:sz w:val="22"/>
          <w:szCs w:val="22"/>
          <w:lang w:val="en-IN"/>
        </w:rPr>
        <w:t xml:space="preserve"> and Weerakoon (1997) also emphasized the superiority of immature tissues for embryogenic callus formation and micropropagation, whereas mature inflorescence explants exhibited limited or no embryogenic response. Collectively, these observations underscore the importance of selecting appropriately staged explants to maximize embryogenic outcomes in coconut tissue culture.</w:t>
      </w:r>
    </w:p>
    <w:p w14:paraId="40CBD2B5" w14:textId="77777777" w:rsidR="00C064DD" w:rsidRPr="00D23863" w:rsidRDefault="00C064DD" w:rsidP="00BC424F">
      <w:pPr>
        <w:jc w:val="both"/>
        <w:rPr>
          <w:rFonts w:ascii="Arial" w:hAnsi="Arial" w:cs="Arial"/>
          <w:sz w:val="22"/>
          <w:szCs w:val="22"/>
          <w:lang w:val="en-IN"/>
        </w:rPr>
      </w:pPr>
    </w:p>
    <w:p w14:paraId="665F45C4" w14:textId="77777777" w:rsidR="00C064DD" w:rsidRPr="00D23863" w:rsidRDefault="003C284D" w:rsidP="00BC424F">
      <w:pPr>
        <w:jc w:val="both"/>
        <w:rPr>
          <w:rFonts w:ascii="Arial" w:eastAsia="Calibri" w:hAnsi="Arial" w:cs="Arial"/>
          <w:b/>
          <w:bCs/>
          <w:sz w:val="22"/>
          <w:szCs w:val="22"/>
          <w:lang w:val="en-IN"/>
        </w:rPr>
      </w:pPr>
      <w:r w:rsidRPr="00D23863">
        <w:rPr>
          <w:rFonts w:ascii="Arial" w:eastAsia="Calibri" w:hAnsi="Arial" w:cs="Arial"/>
          <w:b/>
          <w:bCs/>
          <w:sz w:val="22"/>
          <w:szCs w:val="22"/>
          <w:lang w:val="en-IN"/>
        </w:rPr>
        <w:t>Optimizing CIS concentration for callus induction</w:t>
      </w:r>
    </w:p>
    <w:p w14:paraId="6FE9D60B" w14:textId="671B4FF0" w:rsidR="00C064DD" w:rsidRPr="00D23863" w:rsidRDefault="003C284D" w:rsidP="00BC424F">
      <w:pPr>
        <w:jc w:val="both"/>
        <w:rPr>
          <w:rFonts w:ascii="Arial" w:hAnsi="Arial" w:cs="Arial"/>
          <w:sz w:val="22"/>
          <w:szCs w:val="22"/>
          <w:lang w:val="en-IN"/>
        </w:rPr>
      </w:pPr>
      <w:r w:rsidRPr="00D23863">
        <w:rPr>
          <w:rFonts w:ascii="Arial" w:hAnsi="Arial" w:cs="Arial"/>
          <w:sz w:val="22"/>
          <w:szCs w:val="22"/>
          <w:lang w:val="en-IN"/>
        </w:rPr>
        <w:lastRenderedPageBreak/>
        <w:t xml:space="preserve"> Coconut inflorescence sap is a nutritionally rich substance, as reported by Devdas </w:t>
      </w:r>
      <w:r w:rsidRPr="00D23863">
        <w:rPr>
          <w:rFonts w:ascii="Arial" w:hAnsi="Arial" w:cs="Arial"/>
          <w:i/>
          <w:iCs/>
          <w:sz w:val="22"/>
          <w:szCs w:val="22"/>
          <w:lang w:val="en-IN"/>
        </w:rPr>
        <w:t>et al</w:t>
      </w:r>
      <w:r w:rsidRPr="00D23863">
        <w:rPr>
          <w:rFonts w:ascii="Arial" w:hAnsi="Arial" w:cs="Arial"/>
          <w:sz w:val="22"/>
          <w:szCs w:val="22"/>
          <w:lang w:val="en-IN"/>
        </w:rPr>
        <w:t xml:space="preserve">. (1969), with a neutral pH and containing a diverse profile of 16 amino acids, water-soluble vitamins (including vitamin C and the B-complex, notably nicotinic acid; </w:t>
      </w:r>
      <w:proofErr w:type="spellStart"/>
      <w:r w:rsidRPr="00D23863">
        <w:rPr>
          <w:rFonts w:ascii="Arial" w:hAnsi="Arial" w:cs="Arial"/>
          <w:sz w:val="22"/>
          <w:szCs w:val="22"/>
          <w:lang w:val="en-IN"/>
        </w:rPr>
        <w:t>Aalbersberg</w:t>
      </w:r>
      <w:proofErr w:type="spellEnd"/>
      <w:r w:rsidRPr="00D23863">
        <w:rPr>
          <w:rFonts w:ascii="Arial" w:hAnsi="Arial" w:cs="Arial"/>
          <w:sz w:val="22"/>
          <w:szCs w:val="22"/>
          <w:lang w:val="en-IN"/>
        </w:rPr>
        <w:t xml:space="preserve"> </w:t>
      </w:r>
      <w:r w:rsidRPr="00D23863">
        <w:rPr>
          <w:rFonts w:ascii="Arial" w:hAnsi="Arial" w:cs="Arial"/>
          <w:i/>
          <w:iCs/>
          <w:sz w:val="22"/>
          <w:szCs w:val="22"/>
          <w:lang w:val="en-IN"/>
        </w:rPr>
        <w:t xml:space="preserve">et al., </w:t>
      </w:r>
      <w:r w:rsidRPr="00D23863">
        <w:rPr>
          <w:rFonts w:ascii="Arial" w:hAnsi="Arial" w:cs="Arial"/>
          <w:sz w:val="22"/>
          <w:szCs w:val="22"/>
          <w:lang w:val="en-IN"/>
        </w:rPr>
        <w:t>1997), as well as substantial levels of minerals such as sodium (6.95 mg/100 ml) and potassium (3.16 mg/100 ml) (Barh and Mazumdar, 2008), along with sucrose (</w:t>
      </w:r>
      <w:proofErr w:type="spellStart"/>
      <w:r w:rsidRPr="00D23863">
        <w:rPr>
          <w:rFonts w:ascii="Arial" w:hAnsi="Arial" w:cs="Arial"/>
          <w:sz w:val="22"/>
          <w:szCs w:val="22"/>
          <w:lang w:val="en-IN"/>
        </w:rPr>
        <w:t>Ysidor</w:t>
      </w:r>
      <w:proofErr w:type="spellEnd"/>
      <w:r w:rsidRPr="00D23863">
        <w:rPr>
          <w:rFonts w:ascii="Arial" w:hAnsi="Arial" w:cs="Arial"/>
          <w:sz w:val="22"/>
          <w:szCs w:val="22"/>
          <w:lang w:val="en-IN"/>
        </w:rPr>
        <w:t xml:space="preserve"> </w:t>
      </w:r>
      <w:r w:rsidRPr="00D23863">
        <w:rPr>
          <w:rFonts w:ascii="Arial" w:hAnsi="Arial" w:cs="Arial"/>
          <w:i/>
          <w:iCs/>
          <w:sz w:val="22"/>
          <w:szCs w:val="22"/>
          <w:lang w:val="en-IN"/>
        </w:rPr>
        <w:t>et al</w:t>
      </w:r>
      <w:r w:rsidRPr="00D23863">
        <w:rPr>
          <w:rFonts w:ascii="Arial" w:hAnsi="Arial" w:cs="Arial"/>
          <w:sz w:val="22"/>
          <w:szCs w:val="22"/>
          <w:lang w:val="en-IN"/>
        </w:rPr>
        <w:t xml:space="preserve">., 2014). The </w:t>
      </w:r>
      <w:proofErr w:type="spellStart"/>
      <w:r w:rsidRPr="00D23863">
        <w:rPr>
          <w:rFonts w:ascii="Arial" w:hAnsi="Arial" w:cs="Arial"/>
          <w:sz w:val="22"/>
          <w:szCs w:val="22"/>
          <w:lang w:val="en-IN"/>
        </w:rPr>
        <w:t>promotory</w:t>
      </w:r>
      <w:proofErr w:type="spellEnd"/>
      <w:r w:rsidRPr="00D23863">
        <w:rPr>
          <w:rFonts w:ascii="Arial" w:hAnsi="Arial" w:cs="Arial"/>
          <w:sz w:val="22"/>
          <w:szCs w:val="22"/>
          <w:lang w:val="en-IN"/>
        </w:rPr>
        <w:t xml:space="preserve"> effect, with regard to </w:t>
      </w:r>
      <w:hyperlink r:id="rId38" w:tooltip="Learn more about morphogenesis from ScienceDirect's AI-generated Topic Pages" w:history="1">
        <w:r w:rsidRPr="00D23863">
          <w:rPr>
            <w:rFonts w:ascii="Arial" w:hAnsi="Arial" w:cs="Arial"/>
            <w:sz w:val="22"/>
            <w:szCs w:val="22"/>
            <w:lang w:val="en-IN"/>
          </w:rPr>
          <w:t>morphogenesis</w:t>
        </w:r>
      </w:hyperlink>
      <w:r w:rsidRPr="00D23863">
        <w:rPr>
          <w:rFonts w:ascii="Arial" w:hAnsi="Arial" w:cs="Arial"/>
          <w:sz w:val="22"/>
          <w:szCs w:val="22"/>
          <w:lang w:val="en-IN"/>
        </w:rPr>
        <w:t xml:space="preserve">, is related to its growth regulator content. While coconut water has been extensively utilized as a natural additive in micropropagation protocols for several economically significant crops including passion fruit (Hall </w:t>
      </w:r>
      <w:r w:rsidRPr="00D23863">
        <w:rPr>
          <w:rFonts w:ascii="Arial" w:hAnsi="Arial" w:cs="Arial"/>
          <w:i/>
          <w:sz w:val="22"/>
          <w:szCs w:val="22"/>
          <w:lang w:val="en-IN"/>
        </w:rPr>
        <w:t>et al</w:t>
      </w:r>
      <w:r w:rsidRPr="00D23863">
        <w:rPr>
          <w:rFonts w:ascii="Arial" w:hAnsi="Arial" w:cs="Arial"/>
          <w:sz w:val="22"/>
          <w:szCs w:val="22"/>
          <w:lang w:val="en-IN"/>
        </w:rPr>
        <w:t xml:space="preserve">., 2000), coffee (Ismail </w:t>
      </w:r>
      <w:r w:rsidRPr="00D23863">
        <w:rPr>
          <w:rFonts w:ascii="Arial" w:hAnsi="Arial" w:cs="Arial"/>
          <w:i/>
          <w:sz w:val="22"/>
          <w:szCs w:val="22"/>
          <w:lang w:val="en-IN"/>
        </w:rPr>
        <w:t>et al</w:t>
      </w:r>
      <w:r w:rsidRPr="00D23863">
        <w:rPr>
          <w:rFonts w:ascii="Arial" w:hAnsi="Arial" w:cs="Arial"/>
          <w:sz w:val="22"/>
          <w:szCs w:val="22"/>
          <w:lang w:val="en-IN"/>
        </w:rPr>
        <w:t xml:space="preserve">., 2003), orchids (Santos-Hernandez </w:t>
      </w:r>
      <w:r w:rsidRPr="00D23863">
        <w:rPr>
          <w:rFonts w:ascii="Arial" w:hAnsi="Arial" w:cs="Arial"/>
          <w:i/>
          <w:sz w:val="22"/>
          <w:szCs w:val="22"/>
          <w:lang w:val="en-IN"/>
        </w:rPr>
        <w:t>et al</w:t>
      </w:r>
      <w:r w:rsidRPr="00D23863">
        <w:rPr>
          <w:rFonts w:ascii="Arial" w:hAnsi="Arial" w:cs="Arial"/>
          <w:sz w:val="22"/>
          <w:szCs w:val="22"/>
          <w:lang w:val="en-IN"/>
        </w:rPr>
        <w:t>., 2005) This study represents the first documented use of unfermented coconut inflorescence sap in micropropagation protocols.</w:t>
      </w:r>
    </w:p>
    <w:p w14:paraId="78C56399" w14:textId="77777777" w:rsidR="00C064DD" w:rsidRPr="00D23863" w:rsidRDefault="00C064DD" w:rsidP="00BC424F">
      <w:pPr>
        <w:jc w:val="both"/>
        <w:rPr>
          <w:rFonts w:ascii="Arial" w:hAnsi="Arial" w:cs="Arial"/>
          <w:sz w:val="22"/>
          <w:szCs w:val="22"/>
          <w:lang w:val="en-IN"/>
        </w:rPr>
      </w:pPr>
    </w:p>
    <w:p w14:paraId="478ACB4F" w14:textId="77777777" w:rsidR="0089370B" w:rsidRPr="00D23863" w:rsidRDefault="003C284D" w:rsidP="0089370B">
      <w:pPr>
        <w:jc w:val="both"/>
        <w:rPr>
          <w:rFonts w:ascii="Arial" w:hAnsi="Arial" w:cs="Arial"/>
          <w:sz w:val="22"/>
          <w:szCs w:val="22"/>
          <w:lang w:val="en-IN"/>
        </w:rPr>
      </w:pPr>
      <w:r w:rsidRPr="00D23863">
        <w:rPr>
          <w:rFonts w:ascii="Arial" w:hAnsi="Arial" w:cs="Arial"/>
          <w:sz w:val="22"/>
          <w:szCs w:val="22"/>
          <w:lang w:val="en-IN"/>
        </w:rPr>
        <w:t xml:space="preserve">Although CIS alone is generally insufficient to induce consistent and robust callus formation, our results indicate that its supplementation at an optimal concentration (10 mg/L), in conjunction with exogenous phytohormones, significantly enhances </w:t>
      </w:r>
      <w:proofErr w:type="spellStart"/>
      <w:r w:rsidRPr="00D23863">
        <w:rPr>
          <w:rFonts w:ascii="Arial" w:hAnsi="Arial" w:cs="Arial"/>
          <w:sz w:val="22"/>
          <w:szCs w:val="22"/>
          <w:lang w:val="en-IN"/>
        </w:rPr>
        <w:t>calloid</w:t>
      </w:r>
      <w:proofErr w:type="spellEnd"/>
      <w:r w:rsidRPr="00D23863">
        <w:rPr>
          <w:rFonts w:ascii="Arial" w:hAnsi="Arial" w:cs="Arial"/>
          <w:sz w:val="22"/>
          <w:szCs w:val="22"/>
          <w:lang w:val="en-IN"/>
        </w:rPr>
        <w:t xml:space="preserve"> induction, proliferation, and somatic embryogenesis. This synergistic effect suggests that the bioactive constituents of CIS may potentiate or modulate the activity of externally supplied growth regulators. A dose-dependent response was evident, with improved morphogenic outcomes observed up to 10 mg/L CIS, beyond which a decline in efficacy suggested a threshold beyond which inhibitory effects may occur. </w:t>
      </w:r>
      <w:r w:rsidR="0089370B" w:rsidRPr="00D23863">
        <w:rPr>
          <w:rFonts w:ascii="Arial" w:hAnsi="Arial" w:cs="Arial"/>
          <w:sz w:val="22"/>
          <w:szCs w:val="22"/>
        </w:rPr>
        <w:t>The positive influence of organic additives on</w:t>
      </w:r>
      <w:r w:rsidR="0089370B" w:rsidRPr="00D23863">
        <w:rPr>
          <w:rFonts w:ascii="Arial" w:hAnsi="Arial" w:cs="Arial"/>
          <w:i/>
          <w:iCs/>
          <w:sz w:val="22"/>
          <w:szCs w:val="22"/>
        </w:rPr>
        <w:t xml:space="preserve"> in vitro</w:t>
      </w:r>
      <w:r w:rsidR="0089370B" w:rsidRPr="00D23863">
        <w:rPr>
          <w:rFonts w:ascii="Arial" w:hAnsi="Arial" w:cs="Arial"/>
          <w:sz w:val="22"/>
          <w:szCs w:val="22"/>
        </w:rPr>
        <w:t xml:space="preserve"> culture has been well-documented, aligning with the results of the present study. Blake and </w:t>
      </w:r>
      <w:proofErr w:type="spellStart"/>
      <w:r w:rsidR="0089370B" w:rsidRPr="00D23863">
        <w:rPr>
          <w:rFonts w:ascii="Arial" w:hAnsi="Arial" w:cs="Arial"/>
          <w:sz w:val="22"/>
          <w:szCs w:val="22"/>
        </w:rPr>
        <w:t>Eeuwens</w:t>
      </w:r>
      <w:proofErr w:type="spellEnd"/>
      <w:r w:rsidR="0089370B" w:rsidRPr="00D23863">
        <w:rPr>
          <w:rFonts w:ascii="Arial" w:hAnsi="Arial" w:cs="Arial"/>
          <w:sz w:val="22"/>
          <w:szCs w:val="22"/>
        </w:rPr>
        <w:t xml:space="preserve"> (1982</w:t>
      </w:r>
      <w:r w:rsidR="0089370B" w:rsidRPr="00D23863">
        <w:rPr>
          <w:rFonts w:ascii="Arial" w:hAnsi="Arial" w:cs="Arial"/>
          <w:b/>
          <w:bCs/>
          <w:sz w:val="22"/>
          <w:szCs w:val="22"/>
        </w:rPr>
        <w:t>)</w:t>
      </w:r>
      <w:r w:rsidR="0089370B" w:rsidRPr="00D23863">
        <w:rPr>
          <w:rFonts w:ascii="Arial" w:hAnsi="Arial" w:cs="Arial"/>
          <w:sz w:val="22"/>
          <w:szCs w:val="22"/>
        </w:rPr>
        <w:t xml:space="preserve"> demonstrated that supplementing culture media with coconut water improved the growth of endosperm tissues, highlighting the potential role of naturally occurring growth-promoting compounds. Similarly, </w:t>
      </w:r>
      <w:r w:rsidR="0089370B" w:rsidRPr="00D23863">
        <w:rPr>
          <w:rFonts w:ascii="Arial" w:hAnsi="Arial" w:cs="Arial"/>
          <w:b/>
          <w:bCs/>
          <w:sz w:val="22"/>
          <w:szCs w:val="22"/>
        </w:rPr>
        <w:t>A</w:t>
      </w:r>
      <w:r w:rsidR="0089370B" w:rsidRPr="00D23863">
        <w:rPr>
          <w:rFonts w:ascii="Arial" w:hAnsi="Arial" w:cs="Arial"/>
          <w:sz w:val="22"/>
          <w:szCs w:val="22"/>
        </w:rPr>
        <w:t xml:space="preserve">l-Khayri (2010) reported enhanced callus development and somatic embryogenesis in date palm shoot tip explants following the addition of coconut water. </w:t>
      </w:r>
      <w:r w:rsidR="0089370B" w:rsidRPr="00D23863">
        <w:rPr>
          <w:rFonts w:ascii="Arial" w:hAnsi="Arial" w:cs="Arial"/>
          <w:sz w:val="22"/>
          <w:szCs w:val="22"/>
          <w:lang w:val="en-IN"/>
        </w:rPr>
        <w:t>In his study, low callus growth was observed at 5% coconut water, while optimal responses occurred at 10–15%, beyond which (at 20%) a decline in both callus formation and embryogenic potential was noted.</w:t>
      </w:r>
      <w:r w:rsidR="002D001B" w:rsidRPr="00D23863">
        <w:rPr>
          <w:rFonts w:ascii="Arial" w:hAnsi="Arial" w:cs="Arial"/>
          <w:sz w:val="22"/>
          <w:szCs w:val="22"/>
          <w:lang w:val="en-IN"/>
        </w:rPr>
        <w:t xml:space="preserve"> </w:t>
      </w:r>
      <w:r w:rsidR="0089370B" w:rsidRPr="00D23863">
        <w:rPr>
          <w:rFonts w:ascii="Arial" w:hAnsi="Arial" w:cs="Arial"/>
          <w:sz w:val="22"/>
          <w:szCs w:val="22"/>
          <w:lang w:val="en-IN"/>
        </w:rPr>
        <w:t xml:space="preserve">These patterns closely mirror the trends observed in the present study with coconut inflorescence sap (CIS), where an optimal concentration (10 mg/L) significantly enhanced morphogenic responses, but higher concentrations resulted in reduced efficacy. Taken together, these findings accentuate the necessity of carefully optimizing the concentration of organic supplements to harness their positive effects while avoiding potential inhibitory outcomes in </w:t>
      </w:r>
      <w:r w:rsidR="0089370B" w:rsidRPr="00D23863">
        <w:rPr>
          <w:rFonts w:ascii="Arial" w:hAnsi="Arial" w:cs="Arial"/>
          <w:i/>
          <w:iCs/>
          <w:sz w:val="22"/>
          <w:szCs w:val="22"/>
          <w:lang w:val="en-IN"/>
        </w:rPr>
        <w:t>in vitro</w:t>
      </w:r>
      <w:r w:rsidR="0089370B" w:rsidRPr="00D23863">
        <w:rPr>
          <w:rFonts w:ascii="Arial" w:hAnsi="Arial" w:cs="Arial"/>
          <w:sz w:val="22"/>
          <w:szCs w:val="22"/>
          <w:lang w:val="en-IN"/>
        </w:rPr>
        <w:t xml:space="preserve"> culture systems.</w:t>
      </w:r>
    </w:p>
    <w:p w14:paraId="4937A07A" w14:textId="77777777" w:rsidR="00E253B7" w:rsidRPr="00D23863" w:rsidRDefault="00E253B7" w:rsidP="00BC424F">
      <w:pPr>
        <w:jc w:val="both"/>
        <w:rPr>
          <w:rFonts w:ascii="Arial" w:hAnsi="Arial" w:cs="Arial"/>
          <w:b/>
          <w:bCs/>
          <w:sz w:val="22"/>
          <w:szCs w:val="22"/>
          <w:lang w:val="en-IN"/>
        </w:rPr>
      </w:pPr>
      <w:r w:rsidRPr="00D23863">
        <w:rPr>
          <w:rFonts w:ascii="Arial" w:hAnsi="Arial" w:cs="Arial"/>
          <w:b/>
          <w:bCs/>
          <w:sz w:val="22"/>
          <w:szCs w:val="22"/>
          <w:lang w:val="en-IN"/>
        </w:rPr>
        <w:t>Callus induction and proliferation</w:t>
      </w:r>
    </w:p>
    <w:p w14:paraId="76143C89" w14:textId="77777777" w:rsidR="00E253B7" w:rsidRPr="00D23863" w:rsidRDefault="00E253B7" w:rsidP="00BC424F">
      <w:pPr>
        <w:jc w:val="both"/>
        <w:rPr>
          <w:rFonts w:ascii="Arial" w:hAnsi="Arial" w:cs="Arial"/>
          <w:sz w:val="22"/>
          <w:szCs w:val="22"/>
          <w:lang w:val="en-IN"/>
        </w:rPr>
      </w:pPr>
    </w:p>
    <w:p w14:paraId="5B8ABE57" w14:textId="6A22A83F" w:rsidR="0054014F" w:rsidRPr="00D23863" w:rsidRDefault="00E22B42" w:rsidP="004E02CD">
      <w:pPr>
        <w:jc w:val="both"/>
        <w:rPr>
          <w:rFonts w:ascii="Arial" w:hAnsi="Arial" w:cs="Arial"/>
          <w:sz w:val="22"/>
          <w:szCs w:val="22"/>
          <w:lang w:val="en-IN"/>
        </w:rPr>
      </w:pPr>
      <w:r w:rsidRPr="00D23863">
        <w:rPr>
          <w:rFonts w:ascii="Arial" w:hAnsi="Arial" w:cs="Arial"/>
          <w:sz w:val="22"/>
          <w:szCs w:val="22"/>
        </w:rPr>
        <w:t xml:space="preserve">Callusing was evident in all the experiments performed in the Y3 medium </w:t>
      </w:r>
      <w:r w:rsidR="002A21A7" w:rsidRPr="00D23863">
        <w:rPr>
          <w:rFonts w:ascii="Arial" w:hAnsi="Arial" w:cs="Arial"/>
          <w:sz w:val="22"/>
          <w:szCs w:val="22"/>
        </w:rPr>
        <w:t>for tissue culture coconut</w:t>
      </w:r>
      <w:r w:rsidRPr="00D23863">
        <w:rPr>
          <w:rFonts w:ascii="Arial" w:hAnsi="Arial" w:cs="Arial"/>
          <w:sz w:val="22"/>
          <w:szCs w:val="22"/>
        </w:rPr>
        <w:t xml:space="preserve">. </w:t>
      </w:r>
      <w:r w:rsidR="003B0475" w:rsidRPr="00D23863">
        <w:rPr>
          <w:rFonts w:ascii="Arial" w:hAnsi="Arial" w:cs="Arial"/>
          <w:sz w:val="22"/>
          <w:szCs w:val="22"/>
          <w:lang w:val="en-IN"/>
        </w:rPr>
        <w:t xml:space="preserve">Differential response </w:t>
      </w:r>
      <w:r w:rsidR="002A21A7" w:rsidRPr="00D23863">
        <w:rPr>
          <w:rFonts w:ascii="Arial" w:hAnsi="Arial" w:cs="Arial"/>
          <w:sz w:val="22"/>
          <w:szCs w:val="22"/>
          <w:lang w:val="en-IN"/>
        </w:rPr>
        <w:t>in callusing</w:t>
      </w:r>
      <w:r w:rsidR="00E253B7" w:rsidRPr="00D23863">
        <w:rPr>
          <w:rFonts w:ascii="Arial" w:hAnsi="Arial" w:cs="Arial"/>
          <w:sz w:val="22"/>
          <w:szCs w:val="22"/>
          <w:lang w:val="en-IN"/>
        </w:rPr>
        <w:t xml:space="preserve"> demonstrates that the balance and type of plant growth regulators (PGRs), along with the inclusion of specific additives, critically influence somatic embryogenesis, callus quality, and contamination dynamics in cultured explants. </w:t>
      </w:r>
      <w:r w:rsidR="003B2CFE" w:rsidRPr="00D23863">
        <w:rPr>
          <w:rFonts w:ascii="Arial" w:hAnsi="Arial" w:cs="Arial"/>
          <w:sz w:val="22"/>
          <w:szCs w:val="22"/>
          <w:lang w:val="en-IN"/>
        </w:rPr>
        <w:t>Characteristically,</w:t>
      </w:r>
      <w:r w:rsidR="00C91C23" w:rsidRPr="00D23863">
        <w:rPr>
          <w:rFonts w:ascii="Arial" w:hAnsi="Arial" w:cs="Arial"/>
          <w:sz w:val="22"/>
          <w:szCs w:val="22"/>
          <w:lang w:val="en-IN"/>
        </w:rPr>
        <w:t xml:space="preserve"> the route of coconut somatic embryogenesis is indirect and has to pass through callogenesis stage</w:t>
      </w:r>
      <w:r w:rsidR="006316EF" w:rsidRPr="00D23863">
        <w:rPr>
          <w:rFonts w:ascii="Arial" w:hAnsi="Arial" w:cs="Arial"/>
          <w:sz w:val="22"/>
          <w:szCs w:val="22"/>
          <w:lang w:val="en-IN"/>
        </w:rPr>
        <w:t xml:space="preserve"> </w:t>
      </w:r>
      <w:r w:rsidR="00C91C23" w:rsidRPr="00D23863">
        <w:rPr>
          <w:rFonts w:ascii="Arial" w:hAnsi="Arial" w:cs="Arial"/>
          <w:sz w:val="22"/>
          <w:szCs w:val="22"/>
          <w:lang w:val="en-IN"/>
        </w:rPr>
        <w:t>(</w:t>
      </w:r>
      <w:proofErr w:type="spellStart"/>
      <w:r w:rsidR="00C91C23" w:rsidRPr="00D23863">
        <w:rPr>
          <w:rFonts w:ascii="Arial" w:hAnsi="Arial" w:cs="Arial"/>
          <w:sz w:val="22"/>
          <w:szCs w:val="22"/>
          <w:lang w:val="en-IN"/>
        </w:rPr>
        <w:t>Verdeil</w:t>
      </w:r>
      <w:proofErr w:type="spellEnd"/>
      <w:r w:rsidR="0076567F" w:rsidRPr="00D23863">
        <w:rPr>
          <w:rFonts w:ascii="Arial" w:hAnsi="Arial" w:cs="Arial"/>
          <w:sz w:val="22"/>
          <w:szCs w:val="22"/>
          <w:lang w:val="en-IN"/>
        </w:rPr>
        <w:t xml:space="preserve"> and </w:t>
      </w:r>
      <w:proofErr w:type="spellStart"/>
      <w:r w:rsidR="0076567F" w:rsidRPr="00D23863">
        <w:rPr>
          <w:rFonts w:ascii="Arial" w:hAnsi="Arial" w:cs="Arial"/>
          <w:sz w:val="22"/>
          <w:szCs w:val="22"/>
          <w:lang w:val="en-IN"/>
        </w:rPr>
        <w:t>Buffard</w:t>
      </w:r>
      <w:proofErr w:type="spellEnd"/>
      <w:r w:rsidR="0076567F" w:rsidRPr="00D23863">
        <w:rPr>
          <w:rFonts w:ascii="Arial" w:hAnsi="Arial" w:cs="Arial"/>
          <w:sz w:val="22"/>
          <w:szCs w:val="22"/>
          <w:lang w:val="en-IN"/>
        </w:rPr>
        <w:t xml:space="preserve">, </w:t>
      </w:r>
      <w:r w:rsidR="00C91C23" w:rsidRPr="00D23863">
        <w:rPr>
          <w:rFonts w:ascii="Arial" w:hAnsi="Arial" w:cs="Arial"/>
          <w:sz w:val="22"/>
          <w:szCs w:val="22"/>
          <w:lang w:val="en-IN"/>
        </w:rPr>
        <w:t>1995)</w:t>
      </w:r>
      <w:r w:rsidR="00F451DA" w:rsidRPr="00D23863">
        <w:rPr>
          <w:rFonts w:ascii="Arial" w:hAnsi="Arial" w:cs="Arial"/>
          <w:sz w:val="22"/>
          <w:szCs w:val="22"/>
          <w:lang w:val="en-IN"/>
        </w:rPr>
        <w:t xml:space="preserve"> </w:t>
      </w:r>
      <w:r w:rsidR="00F451DA" w:rsidRPr="00D23863">
        <w:rPr>
          <w:rFonts w:ascii="Arial" w:hAnsi="Arial" w:cs="Arial"/>
          <w:sz w:val="22"/>
          <w:szCs w:val="22"/>
        </w:rPr>
        <w:t xml:space="preserve">making the induction of embryogenic callus a fundamental requirement for effective plant regeneration. </w:t>
      </w:r>
      <w:r w:rsidR="00C91C23" w:rsidRPr="00D23863">
        <w:rPr>
          <w:rFonts w:ascii="Arial" w:hAnsi="Arial" w:cs="Arial"/>
          <w:sz w:val="22"/>
          <w:szCs w:val="22"/>
        </w:rPr>
        <w:t xml:space="preserve">Cells must first acquire embryogenic competence through a specific induction treatment to initiate the somatic embryogenesis pathway. </w:t>
      </w:r>
      <w:r w:rsidR="0087563A" w:rsidRPr="00D23863">
        <w:rPr>
          <w:rFonts w:ascii="Arial" w:hAnsi="Arial" w:cs="Arial"/>
          <w:sz w:val="22"/>
          <w:szCs w:val="22"/>
        </w:rPr>
        <w:t>Once induced, somatic embryogenesis originates from embryogenically determined cell. Although high concentrations of auxins such as 2,4-D are commonly employed for callus induction, the optimal concentration varies depending on the cultivar and explant type</w:t>
      </w:r>
      <w:r w:rsidR="00C91C23" w:rsidRPr="00D23863">
        <w:rPr>
          <w:rFonts w:ascii="Arial" w:hAnsi="Arial" w:cs="Arial"/>
          <w:sz w:val="22"/>
          <w:szCs w:val="22"/>
        </w:rPr>
        <w:t>.</w:t>
      </w:r>
      <w:r w:rsidR="0087563A" w:rsidRPr="00D23863">
        <w:rPr>
          <w:rFonts w:ascii="Arial" w:hAnsi="Arial" w:cs="Arial"/>
          <w:sz w:val="22"/>
          <w:szCs w:val="22"/>
        </w:rPr>
        <w:t xml:space="preserve"> In Sri Lankan Tall, a low concentration of 2,4-D (24 </w:t>
      </w:r>
      <w:proofErr w:type="spellStart"/>
      <w:r w:rsidR="0087563A" w:rsidRPr="00D23863">
        <w:rPr>
          <w:rFonts w:ascii="Arial" w:hAnsi="Arial" w:cs="Arial"/>
          <w:sz w:val="22"/>
          <w:szCs w:val="22"/>
        </w:rPr>
        <w:t>μM</w:t>
      </w:r>
      <w:proofErr w:type="spellEnd"/>
      <w:r w:rsidR="0087563A" w:rsidRPr="00D23863">
        <w:rPr>
          <w:rFonts w:ascii="Arial" w:hAnsi="Arial" w:cs="Arial"/>
          <w:sz w:val="22"/>
          <w:szCs w:val="22"/>
        </w:rPr>
        <w:t xml:space="preserve">) was sufficient to induce callus formation from zygotic embryos. In contrast, higher concentrations (125 </w:t>
      </w:r>
      <w:proofErr w:type="spellStart"/>
      <w:r w:rsidR="0087563A" w:rsidRPr="00D23863">
        <w:rPr>
          <w:rFonts w:ascii="Arial" w:hAnsi="Arial" w:cs="Arial"/>
          <w:sz w:val="22"/>
          <w:szCs w:val="22"/>
        </w:rPr>
        <w:t>μM</w:t>
      </w:r>
      <w:proofErr w:type="spellEnd"/>
      <w:r w:rsidR="0087563A" w:rsidRPr="00D23863">
        <w:rPr>
          <w:rFonts w:ascii="Arial" w:hAnsi="Arial" w:cs="Arial"/>
          <w:sz w:val="22"/>
          <w:szCs w:val="22"/>
        </w:rPr>
        <w:t xml:space="preserve">) were effective for callus induction in Malayan Yellow Dwarf and Buta Layar Tall cultivars. Moreover, very high levels of 2,4-D (450–600 </w:t>
      </w:r>
      <w:proofErr w:type="spellStart"/>
      <w:r w:rsidR="0087563A" w:rsidRPr="00D23863">
        <w:rPr>
          <w:rFonts w:ascii="Arial" w:hAnsi="Arial" w:cs="Arial"/>
          <w:sz w:val="22"/>
          <w:szCs w:val="22"/>
        </w:rPr>
        <w:t>μM</w:t>
      </w:r>
      <w:proofErr w:type="spellEnd"/>
      <w:r w:rsidR="0087563A" w:rsidRPr="00D23863">
        <w:rPr>
          <w:rFonts w:ascii="Arial" w:hAnsi="Arial" w:cs="Arial"/>
          <w:sz w:val="22"/>
          <w:szCs w:val="22"/>
        </w:rPr>
        <w:t xml:space="preserve">) were necessary to induce callus from immature inflorescences and </w:t>
      </w:r>
      <w:proofErr w:type="spellStart"/>
      <w:r w:rsidR="0087563A" w:rsidRPr="00D23863">
        <w:rPr>
          <w:rFonts w:ascii="Arial" w:hAnsi="Arial" w:cs="Arial"/>
          <w:sz w:val="22"/>
          <w:szCs w:val="22"/>
        </w:rPr>
        <w:t>plumular</w:t>
      </w:r>
      <w:proofErr w:type="spellEnd"/>
      <w:r w:rsidR="0087563A" w:rsidRPr="00D23863">
        <w:rPr>
          <w:rFonts w:ascii="Arial" w:hAnsi="Arial" w:cs="Arial"/>
          <w:sz w:val="22"/>
          <w:szCs w:val="22"/>
        </w:rPr>
        <w:t xml:space="preserve"> tissues. Similar variability was also reported by </w:t>
      </w:r>
      <w:proofErr w:type="spellStart"/>
      <w:r w:rsidR="0087563A" w:rsidRPr="00D23863">
        <w:rPr>
          <w:rFonts w:ascii="Arial" w:hAnsi="Arial" w:cs="Arial"/>
          <w:sz w:val="22"/>
          <w:szCs w:val="22"/>
        </w:rPr>
        <w:t>Vidhanaarachchi</w:t>
      </w:r>
      <w:proofErr w:type="spellEnd"/>
      <w:r w:rsidR="0087563A" w:rsidRPr="00D23863">
        <w:rPr>
          <w:rFonts w:ascii="Arial" w:hAnsi="Arial" w:cs="Arial"/>
          <w:sz w:val="22"/>
          <w:szCs w:val="22"/>
        </w:rPr>
        <w:t xml:space="preserve"> and </w:t>
      </w:r>
      <w:proofErr w:type="spellStart"/>
      <w:r w:rsidR="0087563A" w:rsidRPr="00D23863">
        <w:rPr>
          <w:rFonts w:ascii="Arial" w:hAnsi="Arial" w:cs="Arial"/>
          <w:sz w:val="22"/>
          <w:szCs w:val="22"/>
        </w:rPr>
        <w:t>Weerakoon</w:t>
      </w:r>
      <w:proofErr w:type="spellEnd"/>
      <w:r w:rsidR="005B4882" w:rsidRPr="00D23863">
        <w:rPr>
          <w:rFonts w:ascii="Arial" w:hAnsi="Arial" w:cs="Arial"/>
          <w:sz w:val="22"/>
          <w:szCs w:val="22"/>
        </w:rPr>
        <w:t>, 1997</w:t>
      </w:r>
      <w:r w:rsidR="0087563A" w:rsidRPr="00D23863">
        <w:rPr>
          <w:rFonts w:ascii="Arial" w:hAnsi="Arial" w:cs="Arial"/>
          <w:sz w:val="22"/>
          <w:szCs w:val="22"/>
        </w:rPr>
        <w:t>.</w:t>
      </w:r>
      <w:r w:rsidR="0087563A" w:rsidRPr="00D23863">
        <w:rPr>
          <w:rFonts w:ascii="Arial" w:hAnsi="Arial" w:cs="Arial"/>
          <w:sz w:val="22"/>
          <w:szCs w:val="22"/>
          <w:lang w:val="en-IN"/>
        </w:rPr>
        <w:t xml:space="preserve"> </w:t>
      </w:r>
      <w:r w:rsidR="005B4882" w:rsidRPr="00D23863">
        <w:rPr>
          <w:rFonts w:ascii="Arial" w:hAnsi="Arial" w:cs="Arial"/>
          <w:sz w:val="22"/>
          <w:szCs w:val="22"/>
          <w:lang w:val="en-IN"/>
        </w:rPr>
        <w:t>Similarly,</w:t>
      </w:r>
      <w:r w:rsidR="002A03C3" w:rsidRPr="00D23863">
        <w:rPr>
          <w:rFonts w:ascii="Arial" w:hAnsi="Arial" w:cs="Arial"/>
          <w:sz w:val="22"/>
          <w:szCs w:val="22"/>
          <w:lang w:val="en-IN"/>
        </w:rPr>
        <w:t xml:space="preserve"> </w:t>
      </w:r>
      <w:r w:rsidR="001E4362" w:rsidRPr="00D23863">
        <w:rPr>
          <w:rFonts w:ascii="Arial" w:hAnsi="Arial" w:cs="Arial"/>
          <w:sz w:val="22"/>
          <w:szCs w:val="22"/>
          <w:lang w:val="en-IN"/>
        </w:rPr>
        <w:t xml:space="preserve">a low concentration of </w:t>
      </w:r>
      <w:r w:rsidR="002A03C3" w:rsidRPr="00D23863">
        <w:rPr>
          <w:rFonts w:ascii="Arial" w:hAnsi="Arial" w:cs="Arial"/>
          <w:sz w:val="22"/>
          <w:szCs w:val="22"/>
          <w:lang w:val="en-IN"/>
        </w:rPr>
        <w:t xml:space="preserve">2,4-D </w:t>
      </w:r>
      <w:r w:rsidR="001E4362" w:rsidRPr="00D23863">
        <w:rPr>
          <w:rFonts w:ascii="Arial" w:hAnsi="Arial" w:cs="Arial"/>
          <w:sz w:val="22"/>
          <w:szCs w:val="22"/>
          <w:lang w:val="en-IN"/>
        </w:rPr>
        <w:t>(</w:t>
      </w:r>
      <w:r w:rsidR="006316EF" w:rsidRPr="00D23863">
        <w:rPr>
          <w:rFonts w:ascii="Arial" w:hAnsi="Arial" w:cs="Arial"/>
          <w:sz w:val="22"/>
          <w:szCs w:val="22"/>
          <w:lang w:val="en-IN"/>
        </w:rPr>
        <w:t>12μM- 2</w:t>
      </w:r>
      <w:r w:rsidR="001E4362" w:rsidRPr="00D23863">
        <w:rPr>
          <w:rFonts w:ascii="Arial" w:hAnsi="Arial" w:cs="Arial"/>
          <w:sz w:val="22"/>
          <w:szCs w:val="22"/>
          <w:lang w:val="en-IN"/>
        </w:rPr>
        <w:t>4</w:t>
      </w:r>
      <w:r w:rsidR="006316EF" w:rsidRPr="00D23863">
        <w:rPr>
          <w:rFonts w:ascii="Arial" w:hAnsi="Arial" w:cs="Arial"/>
          <w:sz w:val="22"/>
          <w:szCs w:val="22"/>
          <w:lang w:val="en-IN"/>
        </w:rPr>
        <w:t xml:space="preserve"> </w:t>
      </w:r>
      <w:proofErr w:type="spellStart"/>
      <w:r w:rsidR="006316EF" w:rsidRPr="00D23863">
        <w:rPr>
          <w:rFonts w:ascii="Arial" w:hAnsi="Arial" w:cs="Arial"/>
          <w:sz w:val="22"/>
          <w:szCs w:val="22"/>
          <w:lang w:val="en-IN"/>
        </w:rPr>
        <w:t>μM</w:t>
      </w:r>
      <w:proofErr w:type="spellEnd"/>
      <w:r w:rsidR="006316EF" w:rsidRPr="00D23863">
        <w:rPr>
          <w:rFonts w:ascii="Arial" w:hAnsi="Arial" w:cs="Arial"/>
          <w:sz w:val="22"/>
          <w:szCs w:val="22"/>
          <w:lang w:val="en-IN"/>
        </w:rPr>
        <w:t xml:space="preserve">) </w:t>
      </w:r>
      <w:r w:rsidR="001E4362" w:rsidRPr="00D23863">
        <w:rPr>
          <w:rFonts w:ascii="Arial" w:hAnsi="Arial" w:cs="Arial"/>
          <w:sz w:val="22"/>
          <w:szCs w:val="22"/>
          <w:lang w:val="en-IN"/>
        </w:rPr>
        <w:t>was required for young leaves</w:t>
      </w:r>
      <w:r w:rsidR="0094192B" w:rsidRPr="00D23863">
        <w:rPr>
          <w:rFonts w:ascii="Arial" w:hAnsi="Arial" w:cs="Arial"/>
          <w:sz w:val="22"/>
          <w:szCs w:val="22"/>
          <w:lang w:val="en-IN"/>
        </w:rPr>
        <w:t xml:space="preserve"> </w:t>
      </w:r>
      <w:r w:rsidR="001E4362" w:rsidRPr="00D23863">
        <w:rPr>
          <w:rFonts w:ascii="Arial" w:hAnsi="Arial" w:cs="Arial"/>
          <w:sz w:val="22"/>
          <w:szCs w:val="22"/>
          <w:lang w:val="en-IN"/>
        </w:rPr>
        <w:t>(</w:t>
      </w:r>
      <w:r w:rsidR="006316EF" w:rsidRPr="00D23863">
        <w:rPr>
          <w:rFonts w:ascii="Arial" w:hAnsi="Arial" w:cs="Arial"/>
          <w:sz w:val="22"/>
          <w:szCs w:val="22"/>
          <w:lang w:val="en-IN"/>
        </w:rPr>
        <w:t xml:space="preserve">and immature zygotic embryo (Karunaratne and </w:t>
      </w:r>
      <w:proofErr w:type="spellStart"/>
      <w:r w:rsidR="006316EF" w:rsidRPr="00D23863">
        <w:rPr>
          <w:rFonts w:ascii="Arial" w:hAnsi="Arial" w:cs="Arial"/>
          <w:sz w:val="22"/>
          <w:szCs w:val="22"/>
          <w:lang w:val="en-IN"/>
        </w:rPr>
        <w:t>Periyapperuma</w:t>
      </w:r>
      <w:proofErr w:type="spellEnd"/>
      <w:r w:rsidR="006316EF" w:rsidRPr="00D23863">
        <w:rPr>
          <w:rFonts w:ascii="Arial" w:hAnsi="Arial" w:cs="Arial"/>
          <w:sz w:val="22"/>
          <w:szCs w:val="22"/>
          <w:lang w:val="en-IN"/>
        </w:rPr>
        <w:t xml:space="preserve"> 1989; Fernando and Gamage 2000)</w:t>
      </w:r>
      <w:r w:rsidR="001E4362" w:rsidRPr="00D23863">
        <w:rPr>
          <w:rFonts w:ascii="Arial" w:hAnsi="Arial" w:cs="Arial"/>
          <w:sz w:val="22"/>
          <w:szCs w:val="22"/>
          <w:lang w:val="en-IN"/>
        </w:rPr>
        <w:t xml:space="preserve">, a medium concentration for </w:t>
      </w:r>
      <w:r w:rsidR="006316EF" w:rsidRPr="00D23863">
        <w:rPr>
          <w:rFonts w:ascii="Arial" w:hAnsi="Arial" w:cs="Arial"/>
          <w:sz w:val="22"/>
          <w:szCs w:val="22"/>
          <w:lang w:val="en-IN"/>
        </w:rPr>
        <w:t>mature zygotic embryo (125μM) (</w:t>
      </w:r>
      <w:proofErr w:type="spellStart"/>
      <w:r w:rsidR="006316EF" w:rsidRPr="00D23863">
        <w:rPr>
          <w:rFonts w:ascii="Arial" w:hAnsi="Arial" w:cs="Arial"/>
          <w:sz w:val="22"/>
          <w:szCs w:val="22"/>
          <w:lang w:val="en-IN"/>
        </w:rPr>
        <w:t>Samosir</w:t>
      </w:r>
      <w:proofErr w:type="spellEnd"/>
      <w:r w:rsidR="006316EF" w:rsidRPr="00D23863">
        <w:rPr>
          <w:rFonts w:ascii="Arial" w:hAnsi="Arial" w:cs="Arial"/>
          <w:sz w:val="22"/>
          <w:szCs w:val="22"/>
          <w:lang w:val="en-IN"/>
        </w:rPr>
        <w:t xml:space="preserve"> 1999)</w:t>
      </w:r>
      <w:r w:rsidR="001E4362" w:rsidRPr="00D23863">
        <w:rPr>
          <w:rFonts w:ascii="Arial" w:hAnsi="Arial" w:cs="Arial"/>
          <w:sz w:val="22"/>
          <w:szCs w:val="22"/>
          <w:lang w:val="en-IN"/>
        </w:rPr>
        <w:t xml:space="preserve"> and a high concentration </w:t>
      </w:r>
      <w:r w:rsidR="0054014F" w:rsidRPr="00D23863">
        <w:rPr>
          <w:rFonts w:ascii="Arial" w:hAnsi="Arial" w:cs="Arial"/>
          <w:sz w:val="22"/>
          <w:szCs w:val="22"/>
          <w:lang w:val="en-IN"/>
        </w:rPr>
        <w:t xml:space="preserve">for immature </w:t>
      </w:r>
      <w:r w:rsidR="0054014F" w:rsidRPr="00D23863">
        <w:rPr>
          <w:rFonts w:ascii="Arial" w:hAnsi="Arial" w:cs="Arial"/>
          <w:sz w:val="22"/>
          <w:szCs w:val="22"/>
          <w:lang w:val="en-IN"/>
        </w:rPr>
        <w:lastRenderedPageBreak/>
        <w:t xml:space="preserve">inflorescence and plumule (500 </w:t>
      </w:r>
      <w:proofErr w:type="spellStart"/>
      <w:r w:rsidR="0054014F" w:rsidRPr="00D23863">
        <w:rPr>
          <w:rFonts w:ascii="Arial" w:hAnsi="Arial" w:cs="Arial"/>
          <w:sz w:val="22"/>
          <w:szCs w:val="22"/>
          <w:lang w:val="en-IN"/>
        </w:rPr>
        <w:t>μM</w:t>
      </w:r>
      <w:proofErr w:type="spellEnd"/>
      <w:r w:rsidR="0054014F" w:rsidRPr="00D23863">
        <w:rPr>
          <w:rFonts w:ascii="Arial" w:hAnsi="Arial" w:cs="Arial"/>
          <w:sz w:val="22"/>
          <w:szCs w:val="22"/>
          <w:lang w:val="en-IN"/>
        </w:rPr>
        <w:t xml:space="preserve">- 600 </w:t>
      </w:r>
      <w:proofErr w:type="spellStart"/>
      <w:r w:rsidR="0054014F" w:rsidRPr="00D23863">
        <w:rPr>
          <w:rFonts w:ascii="Arial" w:hAnsi="Arial" w:cs="Arial"/>
          <w:sz w:val="22"/>
          <w:szCs w:val="22"/>
          <w:lang w:val="en-IN"/>
        </w:rPr>
        <w:t>μM</w:t>
      </w:r>
      <w:proofErr w:type="spellEnd"/>
      <w:r w:rsidR="0054014F" w:rsidRPr="00D23863">
        <w:rPr>
          <w:rFonts w:ascii="Arial" w:hAnsi="Arial" w:cs="Arial"/>
          <w:sz w:val="22"/>
          <w:szCs w:val="22"/>
          <w:lang w:val="en-IN"/>
        </w:rPr>
        <w:t>) (</w:t>
      </w:r>
      <w:proofErr w:type="spellStart"/>
      <w:r w:rsidR="0054014F" w:rsidRPr="00D23863">
        <w:rPr>
          <w:rFonts w:ascii="Arial" w:hAnsi="Arial" w:cs="Arial"/>
          <w:sz w:val="22"/>
          <w:szCs w:val="22"/>
          <w:lang w:val="en-IN"/>
        </w:rPr>
        <w:t>Verdeil</w:t>
      </w:r>
      <w:proofErr w:type="spellEnd"/>
      <w:r w:rsidR="0054014F" w:rsidRPr="00D23863">
        <w:rPr>
          <w:rFonts w:ascii="Arial" w:hAnsi="Arial" w:cs="Arial"/>
          <w:sz w:val="22"/>
          <w:szCs w:val="22"/>
          <w:lang w:val="en-IN"/>
        </w:rPr>
        <w:t xml:space="preserve"> </w:t>
      </w:r>
      <w:r w:rsidR="0054014F" w:rsidRPr="00D23863">
        <w:rPr>
          <w:rFonts w:ascii="Arial" w:hAnsi="Arial" w:cs="Arial"/>
          <w:i/>
          <w:sz w:val="22"/>
          <w:szCs w:val="22"/>
          <w:lang w:val="en-IN"/>
        </w:rPr>
        <w:t xml:space="preserve">et al., </w:t>
      </w:r>
      <w:r w:rsidR="0054014F" w:rsidRPr="00D23863">
        <w:rPr>
          <w:rFonts w:ascii="Arial" w:hAnsi="Arial" w:cs="Arial"/>
          <w:sz w:val="22"/>
          <w:szCs w:val="22"/>
          <w:lang w:val="en-IN"/>
        </w:rPr>
        <w:t xml:space="preserve">1994; </w:t>
      </w:r>
      <w:proofErr w:type="spellStart"/>
      <w:r w:rsidR="0054014F" w:rsidRPr="00D23863">
        <w:rPr>
          <w:rFonts w:ascii="Arial" w:hAnsi="Arial" w:cs="Arial"/>
          <w:sz w:val="22"/>
          <w:szCs w:val="22"/>
          <w:lang w:val="en-IN"/>
        </w:rPr>
        <w:t>Magnaval</w:t>
      </w:r>
      <w:proofErr w:type="spellEnd"/>
      <w:r w:rsidR="0054014F" w:rsidRPr="00D23863">
        <w:rPr>
          <w:rFonts w:ascii="Arial" w:hAnsi="Arial" w:cs="Arial"/>
          <w:sz w:val="22"/>
          <w:szCs w:val="22"/>
          <w:lang w:val="en-IN"/>
        </w:rPr>
        <w:t xml:space="preserve"> </w:t>
      </w:r>
      <w:r w:rsidR="0054014F" w:rsidRPr="00D23863">
        <w:rPr>
          <w:rFonts w:ascii="Arial" w:hAnsi="Arial" w:cs="Arial"/>
          <w:i/>
          <w:sz w:val="22"/>
          <w:szCs w:val="22"/>
          <w:lang w:val="en-IN"/>
        </w:rPr>
        <w:t xml:space="preserve">et al., </w:t>
      </w:r>
      <w:r w:rsidR="0054014F" w:rsidRPr="00D23863">
        <w:rPr>
          <w:rFonts w:ascii="Arial" w:hAnsi="Arial" w:cs="Arial"/>
          <w:sz w:val="22"/>
          <w:szCs w:val="22"/>
          <w:lang w:val="en-IN"/>
        </w:rPr>
        <w:t xml:space="preserve">1995) for callus formation. </w:t>
      </w:r>
      <w:r w:rsidR="006316EF" w:rsidRPr="00D23863">
        <w:rPr>
          <w:rFonts w:ascii="Arial" w:hAnsi="Arial" w:cs="Arial"/>
          <w:sz w:val="22"/>
          <w:szCs w:val="22"/>
          <w:lang w:val="en-IN"/>
        </w:rPr>
        <w:t xml:space="preserve">Under our media preparations with 300 </w:t>
      </w:r>
      <w:proofErr w:type="spellStart"/>
      <w:r w:rsidR="006316EF" w:rsidRPr="00D23863">
        <w:rPr>
          <w:rFonts w:ascii="Arial" w:hAnsi="Arial" w:cs="Arial"/>
          <w:sz w:val="22"/>
          <w:szCs w:val="22"/>
          <w:lang w:val="en-IN"/>
        </w:rPr>
        <w:t>μM</w:t>
      </w:r>
      <w:proofErr w:type="spellEnd"/>
      <w:r w:rsidR="006316EF" w:rsidRPr="00D23863">
        <w:rPr>
          <w:rFonts w:ascii="Arial" w:hAnsi="Arial" w:cs="Arial"/>
          <w:sz w:val="22"/>
          <w:szCs w:val="22"/>
          <w:lang w:val="en-IN"/>
        </w:rPr>
        <w:t xml:space="preserve"> 2,4-D show</w:t>
      </w:r>
      <w:r w:rsidR="000F3CF3" w:rsidRPr="00D23863">
        <w:rPr>
          <w:rFonts w:ascii="Arial" w:hAnsi="Arial" w:cs="Arial"/>
          <w:sz w:val="22"/>
          <w:szCs w:val="22"/>
          <w:lang w:val="en-IN"/>
        </w:rPr>
        <w:t>ed</w:t>
      </w:r>
      <w:r w:rsidR="006316EF" w:rsidRPr="00D23863">
        <w:rPr>
          <w:rFonts w:ascii="Arial" w:hAnsi="Arial" w:cs="Arial"/>
          <w:sz w:val="22"/>
          <w:szCs w:val="22"/>
          <w:lang w:val="en-IN"/>
        </w:rPr>
        <w:t xml:space="preserve"> </w:t>
      </w:r>
      <w:r w:rsidR="000F3CF3" w:rsidRPr="00D23863">
        <w:rPr>
          <w:rFonts w:ascii="Arial" w:hAnsi="Arial" w:cs="Arial"/>
          <w:sz w:val="22"/>
          <w:szCs w:val="22"/>
          <w:lang w:val="en-IN"/>
        </w:rPr>
        <w:t>84.67%</w:t>
      </w:r>
      <w:r w:rsidR="006316EF" w:rsidRPr="00D23863">
        <w:rPr>
          <w:rFonts w:ascii="Arial" w:hAnsi="Arial" w:cs="Arial"/>
          <w:sz w:val="22"/>
          <w:szCs w:val="22"/>
          <w:lang w:val="en-IN"/>
        </w:rPr>
        <w:t xml:space="preserve"> callus induction and proliferation in combination with NAA, TDZ</w:t>
      </w:r>
      <w:r w:rsidR="000F3CF3" w:rsidRPr="00D23863">
        <w:rPr>
          <w:rFonts w:ascii="Arial" w:hAnsi="Arial" w:cs="Arial"/>
          <w:sz w:val="22"/>
          <w:szCs w:val="22"/>
          <w:lang w:val="en-IN"/>
        </w:rPr>
        <w:t>,</w:t>
      </w:r>
      <w:r w:rsidR="006316EF" w:rsidRPr="00D23863">
        <w:rPr>
          <w:rFonts w:ascii="Arial" w:hAnsi="Arial" w:cs="Arial"/>
          <w:sz w:val="22"/>
          <w:szCs w:val="22"/>
          <w:lang w:val="en-IN"/>
        </w:rPr>
        <w:t xml:space="preserve"> picloram</w:t>
      </w:r>
      <w:r w:rsidR="000F3CF3" w:rsidRPr="00D23863">
        <w:rPr>
          <w:rFonts w:ascii="Arial" w:hAnsi="Arial" w:cs="Arial"/>
          <w:sz w:val="22"/>
          <w:szCs w:val="22"/>
          <w:lang w:val="en-IN"/>
        </w:rPr>
        <w:t xml:space="preserve"> and 10 </w:t>
      </w:r>
      <w:r w:rsidR="000F3CF3" w:rsidRPr="00D23863">
        <w:rPr>
          <w:rFonts w:ascii="Arial" w:eastAsia="Calibri" w:hAnsi="Arial" w:cs="Arial"/>
          <w:sz w:val="22"/>
          <w:szCs w:val="22"/>
          <w:lang w:val="en-IN"/>
        </w:rPr>
        <w:t>mgL</w:t>
      </w:r>
      <w:r w:rsidR="000F3CF3" w:rsidRPr="00D23863">
        <w:rPr>
          <w:rFonts w:ascii="Arial" w:eastAsia="Calibri" w:hAnsi="Arial" w:cs="Arial"/>
          <w:sz w:val="22"/>
          <w:szCs w:val="22"/>
          <w:vertAlign w:val="superscript"/>
          <w:lang w:val="en-IN"/>
        </w:rPr>
        <w:t>-1</w:t>
      </w:r>
      <w:r w:rsidR="000F3CF3" w:rsidRPr="00D23863">
        <w:rPr>
          <w:rFonts w:ascii="Arial" w:hAnsi="Arial" w:cs="Arial"/>
          <w:sz w:val="22"/>
          <w:szCs w:val="22"/>
          <w:lang w:val="en-IN"/>
        </w:rPr>
        <w:t xml:space="preserve"> CIS</w:t>
      </w:r>
      <w:r w:rsidR="00FB2255" w:rsidRPr="00D23863">
        <w:rPr>
          <w:rFonts w:ascii="Arial" w:hAnsi="Arial" w:cs="Arial"/>
          <w:sz w:val="22"/>
          <w:szCs w:val="22"/>
          <w:lang w:val="en-IN"/>
        </w:rPr>
        <w:t xml:space="preserve"> from immature inflorescence of West Coast Tall cultivar</w:t>
      </w:r>
      <w:r w:rsidR="006316EF" w:rsidRPr="00D23863">
        <w:rPr>
          <w:rFonts w:ascii="Arial" w:hAnsi="Arial" w:cs="Arial"/>
          <w:sz w:val="22"/>
          <w:szCs w:val="22"/>
          <w:lang w:val="en-IN"/>
        </w:rPr>
        <w:t xml:space="preserve">. </w:t>
      </w:r>
    </w:p>
    <w:p w14:paraId="74B4EF10" w14:textId="77777777" w:rsidR="0094192B" w:rsidRPr="00D23863" w:rsidRDefault="0094192B" w:rsidP="004E02CD">
      <w:pPr>
        <w:jc w:val="both"/>
        <w:rPr>
          <w:rFonts w:ascii="Arial" w:hAnsi="Arial" w:cs="Arial"/>
          <w:sz w:val="22"/>
          <w:szCs w:val="22"/>
          <w:lang w:val="en-IN"/>
        </w:rPr>
      </w:pPr>
    </w:p>
    <w:p w14:paraId="5C442DD9" w14:textId="5E31D791" w:rsidR="004E02CD" w:rsidRPr="00D23863" w:rsidRDefault="00AC7A17" w:rsidP="004E02CD">
      <w:pPr>
        <w:jc w:val="both"/>
        <w:rPr>
          <w:rFonts w:ascii="Arial" w:hAnsi="Arial" w:cs="Arial"/>
          <w:sz w:val="22"/>
          <w:szCs w:val="22"/>
          <w:lang w:val="en-IN"/>
        </w:rPr>
      </w:pPr>
      <w:r w:rsidRPr="00D23863">
        <w:rPr>
          <w:rFonts w:ascii="Arial" w:hAnsi="Arial" w:cs="Arial"/>
          <w:sz w:val="22"/>
          <w:szCs w:val="22"/>
        </w:rPr>
        <w:t>Th</w:t>
      </w:r>
      <w:r w:rsidR="00FB2255" w:rsidRPr="00D23863">
        <w:rPr>
          <w:rFonts w:ascii="Arial" w:hAnsi="Arial" w:cs="Arial"/>
          <w:sz w:val="22"/>
          <w:szCs w:val="22"/>
        </w:rPr>
        <w:t>e</w:t>
      </w:r>
      <w:r w:rsidRPr="00D23863">
        <w:rPr>
          <w:rFonts w:ascii="Arial" w:hAnsi="Arial" w:cs="Arial"/>
          <w:sz w:val="22"/>
          <w:szCs w:val="22"/>
        </w:rPr>
        <w:t xml:space="preserve"> study was further extended </w:t>
      </w:r>
      <w:r w:rsidR="0054014F" w:rsidRPr="00D23863">
        <w:rPr>
          <w:rFonts w:ascii="Arial" w:hAnsi="Arial" w:cs="Arial"/>
          <w:sz w:val="22"/>
          <w:szCs w:val="22"/>
        </w:rPr>
        <w:t xml:space="preserve">through a separate experiment </w:t>
      </w:r>
      <w:r w:rsidRPr="00D23863">
        <w:rPr>
          <w:rFonts w:ascii="Arial" w:hAnsi="Arial" w:cs="Arial"/>
          <w:sz w:val="22"/>
          <w:szCs w:val="22"/>
        </w:rPr>
        <w:t xml:space="preserve">to </w:t>
      </w:r>
      <w:r w:rsidR="0054014F" w:rsidRPr="00D23863">
        <w:rPr>
          <w:rFonts w:ascii="Arial" w:hAnsi="Arial" w:cs="Arial"/>
          <w:sz w:val="22"/>
          <w:szCs w:val="22"/>
        </w:rPr>
        <w:t>evaluate</w:t>
      </w:r>
      <w:r w:rsidRPr="00D23863">
        <w:rPr>
          <w:rFonts w:ascii="Arial" w:hAnsi="Arial" w:cs="Arial"/>
          <w:sz w:val="22"/>
          <w:szCs w:val="22"/>
        </w:rPr>
        <w:t xml:space="preserve"> the effect of reducing 2,4-D concentration on callusing in combination with other supplements</w:t>
      </w:r>
      <w:r w:rsidR="0054014F" w:rsidRPr="00D23863">
        <w:rPr>
          <w:rFonts w:ascii="Arial" w:hAnsi="Arial" w:cs="Arial"/>
          <w:sz w:val="22"/>
          <w:szCs w:val="22"/>
        </w:rPr>
        <w:t xml:space="preserve"> in West Coast Tall cultivar with Immature Inflorescence explant</w:t>
      </w:r>
      <w:r w:rsidR="003B2CFE" w:rsidRPr="00D23863">
        <w:rPr>
          <w:rFonts w:ascii="Arial" w:hAnsi="Arial" w:cs="Arial"/>
          <w:sz w:val="22"/>
          <w:szCs w:val="22"/>
        </w:rPr>
        <w:t>. The result showed a superior performance of treatment T1—comprising NAA (</w:t>
      </w:r>
      <w:r w:rsidR="00C217B5" w:rsidRPr="00D23863">
        <w:rPr>
          <w:rFonts w:ascii="Arial" w:hAnsi="Arial" w:cs="Arial"/>
          <w:sz w:val="22"/>
          <w:szCs w:val="22"/>
        </w:rPr>
        <w:t xml:space="preserve">5.38 </w:t>
      </w:r>
      <w:proofErr w:type="spellStart"/>
      <w:r w:rsidR="00C217B5" w:rsidRPr="00D23863">
        <w:rPr>
          <w:rFonts w:ascii="Arial" w:hAnsi="Arial" w:cs="Arial"/>
          <w:sz w:val="22"/>
          <w:szCs w:val="22"/>
        </w:rPr>
        <w:t>μM</w:t>
      </w:r>
      <w:proofErr w:type="spellEnd"/>
      <w:r w:rsidR="003B2CFE" w:rsidRPr="00D23863">
        <w:rPr>
          <w:rFonts w:ascii="Arial" w:hAnsi="Arial" w:cs="Arial"/>
          <w:sz w:val="22"/>
          <w:szCs w:val="22"/>
        </w:rPr>
        <w:t>), TDZ(</w:t>
      </w:r>
      <w:r w:rsidR="00C217B5" w:rsidRPr="00D23863">
        <w:rPr>
          <w:rFonts w:ascii="Arial" w:hAnsi="Arial" w:cs="Arial"/>
          <w:sz w:val="22"/>
          <w:szCs w:val="22"/>
        </w:rPr>
        <w:t xml:space="preserve">4.5 </w:t>
      </w:r>
      <w:proofErr w:type="spellStart"/>
      <w:r w:rsidR="00C217B5" w:rsidRPr="00D23863">
        <w:rPr>
          <w:rFonts w:ascii="Arial" w:hAnsi="Arial" w:cs="Arial"/>
          <w:sz w:val="22"/>
          <w:szCs w:val="22"/>
        </w:rPr>
        <w:t>μM</w:t>
      </w:r>
      <w:proofErr w:type="spellEnd"/>
      <w:r w:rsidR="003B2CFE" w:rsidRPr="00D23863">
        <w:rPr>
          <w:rFonts w:ascii="Arial" w:hAnsi="Arial" w:cs="Arial"/>
          <w:sz w:val="22"/>
          <w:szCs w:val="22"/>
        </w:rPr>
        <w:t>), 2,4-D(</w:t>
      </w:r>
      <w:r w:rsidR="00C217B5" w:rsidRPr="00D23863">
        <w:rPr>
          <w:rFonts w:ascii="Arial" w:hAnsi="Arial" w:cs="Arial"/>
          <w:sz w:val="22"/>
          <w:szCs w:val="22"/>
        </w:rPr>
        <w:t xml:space="preserve">66 </w:t>
      </w:r>
      <w:proofErr w:type="spellStart"/>
      <w:r w:rsidR="00C217B5" w:rsidRPr="00D23863">
        <w:rPr>
          <w:rFonts w:ascii="Arial" w:hAnsi="Arial" w:cs="Arial"/>
          <w:sz w:val="22"/>
          <w:szCs w:val="22"/>
        </w:rPr>
        <w:t>μM</w:t>
      </w:r>
      <w:proofErr w:type="spellEnd"/>
      <w:r w:rsidR="003B2CFE" w:rsidRPr="00D23863">
        <w:rPr>
          <w:rFonts w:ascii="Arial" w:hAnsi="Arial" w:cs="Arial"/>
          <w:sz w:val="22"/>
          <w:szCs w:val="22"/>
        </w:rPr>
        <w:t>), and coconut inflorescence sap (CIS 10</w:t>
      </w:r>
      <w:r w:rsidR="003B2CFE" w:rsidRPr="00D23863">
        <w:rPr>
          <w:rFonts w:ascii="Arial" w:eastAsia="Calibri" w:hAnsi="Arial" w:cs="Arial"/>
          <w:sz w:val="22"/>
          <w:szCs w:val="22"/>
          <w:lang w:val="en-IN"/>
        </w:rPr>
        <w:t xml:space="preserve"> mgL</w:t>
      </w:r>
      <w:r w:rsidR="003B2CFE" w:rsidRPr="00D23863">
        <w:rPr>
          <w:rFonts w:ascii="Arial" w:eastAsia="Calibri" w:hAnsi="Arial" w:cs="Arial"/>
          <w:sz w:val="22"/>
          <w:szCs w:val="22"/>
          <w:vertAlign w:val="superscript"/>
          <w:lang w:val="en-IN"/>
        </w:rPr>
        <w:t>-1</w:t>
      </w:r>
      <w:r w:rsidR="003B2CFE" w:rsidRPr="00D23863">
        <w:rPr>
          <w:rFonts w:ascii="Arial" w:hAnsi="Arial" w:cs="Arial"/>
          <w:sz w:val="22"/>
          <w:szCs w:val="22"/>
        </w:rPr>
        <w:t xml:space="preserve">)—in promoting embryogenic callus formation (80.79%) and </w:t>
      </w:r>
      <w:r w:rsidR="003B2CFE" w:rsidRPr="00D23863">
        <w:rPr>
          <w:rFonts w:ascii="Arial" w:hAnsi="Arial" w:cs="Arial"/>
          <w:sz w:val="22"/>
          <w:szCs w:val="22"/>
          <w:lang w:val="en-IN"/>
        </w:rPr>
        <w:t xml:space="preserve">reduced response to embryogenic callus formation in high </w:t>
      </w:r>
      <w:r w:rsidR="005D76F3" w:rsidRPr="00D23863">
        <w:rPr>
          <w:rFonts w:ascii="Arial" w:hAnsi="Arial" w:cs="Arial"/>
          <w:sz w:val="22"/>
          <w:szCs w:val="22"/>
          <w:lang w:val="en-IN"/>
        </w:rPr>
        <w:t>2,4-D</w:t>
      </w:r>
      <w:r w:rsidR="003B2CFE" w:rsidRPr="00D23863">
        <w:rPr>
          <w:rFonts w:ascii="Arial" w:hAnsi="Arial" w:cs="Arial"/>
          <w:sz w:val="22"/>
          <w:szCs w:val="22"/>
          <w:lang w:val="en-IN"/>
        </w:rPr>
        <w:t xml:space="preserve"> (T0) media </w:t>
      </w:r>
      <w:r w:rsidR="003B2CFE" w:rsidRPr="00D23863">
        <w:rPr>
          <w:rFonts w:ascii="Arial" w:hAnsi="Arial" w:cs="Arial"/>
          <w:sz w:val="22"/>
          <w:szCs w:val="22"/>
        </w:rPr>
        <w:t>suggest</w:t>
      </w:r>
      <w:r w:rsidR="00FB2255" w:rsidRPr="00D23863">
        <w:rPr>
          <w:rFonts w:ascii="Arial" w:hAnsi="Arial" w:cs="Arial"/>
          <w:sz w:val="22"/>
          <w:szCs w:val="22"/>
        </w:rPr>
        <w:t>ed that</w:t>
      </w:r>
      <w:r w:rsidR="003B2CFE" w:rsidRPr="00D23863">
        <w:rPr>
          <w:rFonts w:ascii="Arial" w:hAnsi="Arial" w:cs="Arial"/>
          <w:sz w:val="22"/>
          <w:szCs w:val="22"/>
        </w:rPr>
        <w:t xml:space="preserve"> although auxin is essential for initiating somatic embryogenesis, </w:t>
      </w:r>
      <w:r w:rsidR="003B2CFE" w:rsidRPr="00D23863">
        <w:rPr>
          <w:rFonts w:ascii="Arial" w:hAnsi="Arial" w:cs="Arial"/>
          <w:sz w:val="22"/>
          <w:szCs w:val="22"/>
          <w:lang w:val="en-IN"/>
        </w:rPr>
        <w:t xml:space="preserve">2,4-D acts not only as an auxin but also as a stress signal leading to oxidative stress, impairing cell viability and differentiation potential and may increase phenolic compound production. </w:t>
      </w:r>
      <w:r w:rsidR="005D76F3" w:rsidRPr="00D23863">
        <w:rPr>
          <w:rFonts w:ascii="Arial" w:hAnsi="Arial" w:cs="Arial"/>
          <w:sz w:val="22"/>
          <w:szCs w:val="22"/>
          <w:lang w:val="en-IN"/>
        </w:rPr>
        <w:t>TDZ on the other hand was reported to be effective in callusing</w:t>
      </w:r>
      <w:r w:rsidR="00C67F31" w:rsidRPr="00D23863">
        <w:rPr>
          <w:rFonts w:ascii="Arial" w:hAnsi="Arial" w:cs="Arial"/>
          <w:sz w:val="22"/>
          <w:szCs w:val="22"/>
          <w:lang w:val="en-IN"/>
        </w:rPr>
        <w:t xml:space="preserve"> (</w:t>
      </w:r>
      <w:proofErr w:type="spellStart"/>
      <w:r w:rsidR="00C67F31" w:rsidRPr="00D23863">
        <w:rPr>
          <w:rFonts w:ascii="Arial" w:hAnsi="Arial" w:cs="Arial"/>
          <w:sz w:val="22"/>
          <w:szCs w:val="22"/>
        </w:rPr>
        <w:t>Mweu</w:t>
      </w:r>
      <w:proofErr w:type="spellEnd"/>
      <w:r w:rsidR="00C67F31" w:rsidRPr="00D23863">
        <w:rPr>
          <w:rFonts w:ascii="Arial" w:hAnsi="Arial" w:cs="Arial"/>
          <w:sz w:val="22"/>
          <w:szCs w:val="22"/>
        </w:rPr>
        <w:t>, 2019</w:t>
      </w:r>
      <w:r w:rsidR="00C67F31" w:rsidRPr="00D23863">
        <w:rPr>
          <w:rFonts w:ascii="Arial" w:hAnsi="Arial" w:cs="Arial"/>
          <w:sz w:val="22"/>
          <w:szCs w:val="22"/>
          <w:lang w:val="en-IN"/>
        </w:rPr>
        <w:t>)</w:t>
      </w:r>
      <w:r w:rsidR="005D76F3" w:rsidRPr="00D23863">
        <w:rPr>
          <w:rFonts w:ascii="Arial" w:hAnsi="Arial" w:cs="Arial"/>
          <w:sz w:val="22"/>
          <w:szCs w:val="22"/>
          <w:lang w:val="en-IN"/>
        </w:rPr>
        <w:t xml:space="preserve"> at </w:t>
      </w:r>
      <w:r w:rsidR="00C67F31" w:rsidRPr="00D23863">
        <w:rPr>
          <w:rFonts w:ascii="Arial" w:hAnsi="Arial" w:cs="Arial"/>
          <w:sz w:val="22"/>
          <w:szCs w:val="22"/>
          <w:lang w:val="en-IN"/>
        </w:rPr>
        <w:t xml:space="preserve">a concentration of </w:t>
      </w:r>
      <w:r w:rsidR="005D76F3" w:rsidRPr="00D23863">
        <w:rPr>
          <w:rFonts w:ascii="Arial" w:hAnsi="Arial" w:cs="Arial"/>
          <w:sz w:val="22"/>
          <w:szCs w:val="22"/>
        </w:rPr>
        <w:t>9 µM</w:t>
      </w:r>
      <w:r w:rsidR="00C74B1A" w:rsidRPr="00D23863">
        <w:rPr>
          <w:rFonts w:ascii="Arial" w:hAnsi="Arial" w:cs="Arial"/>
          <w:sz w:val="22"/>
          <w:szCs w:val="22"/>
        </w:rPr>
        <w:t xml:space="preserve"> using the ovary explants</w:t>
      </w:r>
      <w:r w:rsidR="005D76F3" w:rsidRPr="00D23863">
        <w:rPr>
          <w:rFonts w:ascii="Arial" w:hAnsi="Arial" w:cs="Arial"/>
          <w:sz w:val="22"/>
          <w:szCs w:val="22"/>
        </w:rPr>
        <w:t xml:space="preserve"> (Perera </w:t>
      </w:r>
      <w:r w:rsidR="005D76F3" w:rsidRPr="00D23863">
        <w:rPr>
          <w:rFonts w:ascii="Arial" w:hAnsi="Arial" w:cs="Arial"/>
          <w:i/>
          <w:iCs/>
          <w:sz w:val="22"/>
          <w:szCs w:val="22"/>
        </w:rPr>
        <w:t>et al</w:t>
      </w:r>
      <w:r w:rsidR="005D76F3" w:rsidRPr="00D23863">
        <w:rPr>
          <w:rFonts w:ascii="Arial" w:hAnsi="Arial" w:cs="Arial"/>
          <w:sz w:val="22"/>
          <w:szCs w:val="22"/>
        </w:rPr>
        <w:t>., 2009</w:t>
      </w:r>
      <w:r w:rsidR="00C74B1A" w:rsidRPr="00D23863">
        <w:rPr>
          <w:rFonts w:ascii="Arial" w:hAnsi="Arial" w:cs="Arial"/>
          <w:sz w:val="22"/>
          <w:szCs w:val="22"/>
        </w:rPr>
        <w:t>;</w:t>
      </w:r>
      <w:r w:rsidR="005D76F3" w:rsidRPr="00D23863">
        <w:rPr>
          <w:rFonts w:ascii="Arial" w:hAnsi="Arial" w:cs="Arial"/>
          <w:sz w:val="22"/>
          <w:szCs w:val="22"/>
        </w:rPr>
        <w:t>)</w:t>
      </w:r>
      <w:r w:rsidR="00C74B1A" w:rsidRPr="00D23863">
        <w:rPr>
          <w:rFonts w:ascii="Arial" w:hAnsi="Arial" w:cs="Arial"/>
          <w:sz w:val="22"/>
          <w:szCs w:val="22"/>
        </w:rPr>
        <w:t xml:space="preserve">. This </w:t>
      </w:r>
      <w:r w:rsidR="00444CE6" w:rsidRPr="00D23863">
        <w:rPr>
          <w:rFonts w:ascii="Arial" w:hAnsi="Arial" w:cs="Arial"/>
          <w:sz w:val="22"/>
          <w:szCs w:val="22"/>
        </w:rPr>
        <w:t>agreed</w:t>
      </w:r>
      <w:r w:rsidR="00C74B1A" w:rsidRPr="00D23863">
        <w:rPr>
          <w:rFonts w:ascii="Arial" w:hAnsi="Arial" w:cs="Arial"/>
          <w:sz w:val="22"/>
          <w:szCs w:val="22"/>
        </w:rPr>
        <w:t xml:space="preserve"> with th</w:t>
      </w:r>
      <w:r w:rsidR="00444CE6" w:rsidRPr="00D23863">
        <w:rPr>
          <w:rFonts w:ascii="Arial" w:hAnsi="Arial" w:cs="Arial"/>
          <w:sz w:val="22"/>
          <w:szCs w:val="22"/>
        </w:rPr>
        <w:t xml:space="preserve">e present </w:t>
      </w:r>
      <w:r w:rsidR="00C74B1A" w:rsidRPr="00D23863">
        <w:rPr>
          <w:rFonts w:ascii="Arial" w:hAnsi="Arial" w:cs="Arial"/>
          <w:sz w:val="22"/>
          <w:szCs w:val="22"/>
        </w:rPr>
        <w:t xml:space="preserve">study that increased concentration of TDZ (4.4 </w:t>
      </w:r>
      <w:proofErr w:type="spellStart"/>
      <w:r w:rsidR="00C74B1A" w:rsidRPr="00D23863">
        <w:rPr>
          <w:rFonts w:ascii="Arial" w:hAnsi="Arial" w:cs="Arial"/>
          <w:sz w:val="22"/>
          <w:szCs w:val="22"/>
        </w:rPr>
        <w:t>μM</w:t>
      </w:r>
      <w:proofErr w:type="spellEnd"/>
      <w:r w:rsidR="00C74B1A" w:rsidRPr="00D23863">
        <w:rPr>
          <w:rFonts w:ascii="Arial" w:hAnsi="Arial" w:cs="Arial"/>
          <w:sz w:val="22"/>
          <w:szCs w:val="22"/>
        </w:rPr>
        <w:t>) in T1 compared to T0 showed highest frequency of callusing.</w:t>
      </w:r>
      <w:r w:rsidR="005D76F3" w:rsidRPr="00D23863">
        <w:rPr>
          <w:rFonts w:ascii="Arial" w:hAnsi="Arial" w:cs="Arial"/>
          <w:sz w:val="22"/>
          <w:szCs w:val="22"/>
        </w:rPr>
        <w:t xml:space="preserve"> </w:t>
      </w:r>
      <w:r w:rsidR="004E02CD" w:rsidRPr="00D23863">
        <w:rPr>
          <w:rFonts w:ascii="Arial" w:hAnsi="Arial" w:cs="Arial"/>
          <w:sz w:val="22"/>
          <w:szCs w:val="22"/>
          <w:lang w:val="en-IN"/>
        </w:rPr>
        <w:t>The addition of picloram (T4), a potent synthetic auxin structurally similar to 2,4-D, resulted in moderate embryogenic callus induction (59.39%) with reduced phenolic exudation compared to the high-dose picloram control (T0). While picloram is often effective in inducing somatic embryogenesis in recalcitrant tissues like palm (Scherwinski</w:t>
      </w:r>
      <w:r w:rsidR="002654CB" w:rsidRPr="00D23863">
        <w:rPr>
          <w:rFonts w:ascii="Arial" w:hAnsi="Arial" w:cs="Arial"/>
          <w:sz w:val="22"/>
          <w:szCs w:val="22"/>
          <w:lang w:val="en-IN"/>
        </w:rPr>
        <w:t>-</w:t>
      </w:r>
      <w:r w:rsidR="004E02CD" w:rsidRPr="00D23863">
        <w:rPr>
          <w:rFonts w:ascii="Arial" w:hAnsi="Arial" w:cs="Arial"/>
          <w:sz w:val="22"/>
          <w:szCs w:val="22"/>
          <w:lang w:val="en-IN"/>
        </w:rPr>
        <w:t xml:space="preserve">Pereira </w:t>
      </w:r>
      <w:r w:rsidR="004E02CD" w:rsidRPr="00D23863">
        <w:rPr>
          <w:rFonts w:ascii="Arial" w:hAnsi="Arial" w:cs="Arial"/>
          <w:i/>
          <w:iCs/>
          <w:sz w:val="22"/>
          <w:szCs w:val="22"/>
          <w:lang w:val="en-IN"/>
        </w:rPr>
        <w:t>et al</w:t>
      </w:r>
      <w:r w:rsidR="004E02CD" w:rsidRPr="00D23863">
        <w:rPr>
          <w:rFonts w:ascii="Arial" w:hAnsi="Arial" w:cs="Arial"/>
          <w:sz w:val="22"/>
          <w:szCs w:val="22"/>
          <w:lang w:val="en-IN"/>
        </w:rPr>
        <w:t>., 2010) its performance is highly dose-dependent. In T0, the high concentration of 2,4-D (</w:t>
      </w:r>
      <w:r w:rsidR="00247214" w:rsidRPr="00D23863">
        <w:rPr>
          <w:rFonts w:ascii="Arial" w:hAnsi="Arial" w:cs="Arial"/>
          <w:sz w:val="22"/>
          <w:szCs w:val="22"/>
          <w:lang w:val="en-IN"/>
        </w:rPr>
        <w:t xml:space="preserve">300 </w:t>
      </w:r>
      <w:proofErr w:type="spellStart"/>
      <w:r w:rsidR="00247214" w:rsidRPr="00D23863">
        <w:rPr>
          <w:rFonts w:ascii="Arial" w:hAnsi="Arial" w:cs="Arial"/>
          <w:sz w:val="22"/>
          <w:szCs w:val="22"/>
        </w:rPr>
        <w:t>μM</w:t>
      </w:r>
      <w:proofErr w:type="spellEnd"/>
      <w:r w:rsidR="004E02CD" w:rsidRPr="00D23863">
        <w:rPr>
          <w:rFonts w:ascii="Arial" w:hAnsi="Arial" w:cs="Arial"/>
          <w:sz w:val="22"/>
          <w:szCs w:val="22"/>
          <w:lang w:val="en-IN"/>
        </w:rPr>
        <w:t>) combined with low TDZ and picloram resulted in lower embryogenic callus formation, possibly due to hormonal imbalance or cytotoxic effects associated with high auxin levels.</w:t>
      </w:r>
    </w:p>
    <w:p w14:paraId="3E9FD38B" w14:textId="77777777" w:rsidR="00E253B7" w:rsidRPr="00D23863" w:rsidRDefault="00E253B7" w:rsidP="00E253B7">
      <w:pPr>
        <w:jc w:val="both"/>
        <w:rPr>
          <w:rFonts w:ascii="Arial" w:hAnsi="Arial" w:cs="Arial"/>
          <w:sz w:val="22"/>
          <w:szCs w:val="22"/>
          <w:lang w:val="en-IN"/>
        </w:rPr>
      </w:pPr>
    </w:p>
    <w:p w14:paraId="1483630D" w14:textId="1DD68AEC" w:rsidR="006461CD" w:rsidRPr="00D23863" w:rsidRDefault="00361A62" w:rsidP="006461CD">
      <w:pPr>
        <w:jc w:val="both"/>
        <w:rPr>
          <w:rFonts w:ascii="Arial" w:hAnsi="Arial" w:cs="Arial"/>
          <w:sz w:val="22"/>
          <w:szCs w:val="22"/>
          <w:lang w:val="en-IN"/>
        </w:rPr>
      </w:pPr>
      <w:r w:rsidRPr="00D23863">
        <w:rPr>
          <w:rFonts w:ascii="Arial" w:hAnsi="Arial" w:cs="Arial"/>
          <w:sz w:val="22"/>
          <w:szCs w:val="22"/>
        </w:rPr>
        <w:t xml:space="preserve">In contrast to the cent percent somatic embryogenesis response reported with the inclusion of putrescine (7.5 mM) and spermine (1 </w:t>
      </w:r>
      <w:proofErr w:type="spellStart"/>
      <w:r w:rsidRPr="00D23863">
        <w:rPr>
          <w:rFonts w:ascii="Arial" w:hAnsi="Arial" w:cs="Arial"/>
          <w:sz w:val="22"/>
          <w:szCs w:val="22"/>
        </w:rPr>
        <w:t>μM</w:t>
      </w:r>
      <w:proofErr w:type="spellEnd"/>
      <w:r w:rsidRPr="00D23863">
        <w:rPr>
          <w:rFonts w:ascii="Arial" w:hAnsi="Arial" w:cs="Arial"/>
          <w:sz w:val="22"/>
          <w:szCs w:val="22"/>
        </w:rPr>
        <w:t xml:space="preserve">) in coconut cultures (Adkins et al., 1997), the present study observed a reduction in embryogenic potential and increased non-embryogenic callus formation in the West Coast Tall cultivar under similar treatments (T2 and T3). </w:t>
      </w:r>
      <w:r w:rsidR="00E253B7" w:rsidRPr="00D23863">
        <w:rPr>
          <w:rFonts w:ascii="Arial" w:hAnsi="Arial" w:cs="Arial"/>
          <w:sz w:val="22"/>
          <w:szCs w:val="22"/>
          <w:lang w:val="en-IN"/>
        </w:rPr>
        <w:t xml:space="preserve">Although polyamines such as spermine and putrescine are implicated in somatic embryogenesis through roles in DNA stabilization, reactive oxygen species (ROS) </w:t>
      </w:r>
      <w:r w:rsidR="007E13BB" w:rsidRPr="00D23863">
        <w:rPr>
          <w:rFonts w:ascii="Arial" w:hAnsi="Arial" w:cs="Arial"/>
          <w:sz w:val="22"/>
          <w:szCs w:val="22"/>
          <w:lang w:val="en-IN"/>
        </w:rPr>
        <w:t>signalling</w:t>
      </w:r>
      <w:r w:rsidR="00E253B7" w:rsidRPr="00D23863">
        <w:rPr>
          <w:rFonts w:ascii="Arial" w:hAnsi="Arial" w:cs="Arial"/>
          <w:sz w:val="22"/>
          <w:szCs w:val="22"/>
          <w:lang w:val="en-IN"/>
        </w:rPr>
        <w:t>, and stress modulation (Jiménez, 20</w:t>
      </w:r>
      <w:r w:rsidR="004B2A00" w:rsidRPr="00D23863">
        <w:rPr>
          <w:rFonts w:ascii="Arial" w:hAnsi="Arial" w:cs="Arial"/>
          <w:sz w:val="22"/>
          <w:szCs w:val="22"/>
          <w:lang w:val="en-IN"/>
        </w:rPr>
        <w:t>14</w:t>
      </w:r>
      <w:r w:rsidR="00E253B7" w:rsidRPr="00D23863">
        <w:rPr>
          <w:rFonts w:ascii="Arial" w:hAnsi="Arial" w:cs="Arial"/>
          <w:sz w:val="22"/>
          <w:szCs w:val="22"/>
          <w:lang w:val="en-IN"/>
        </w:rPr>
        <w:t>), excessive exogenous levels may disrupt endogenous polyamine homeostasis or interact antagonistically with PGRs, leading to altered developmental fates. Additionally, polyamines may serve as nitrogen sources for contaminating microbes, which could explain the elevated levels of contamination and phenolic oxidation observed in these treatments.</w:t>
      </w:r>
      <w:r w:rsidR="00BC4D81" w:rsidRPr="00D23863">
        <w:rPr>
          <w:rFonts w:ascii="Arial" w:hAnsi="Arial" w:cs="Arial"/>
          <w:sz w:val="22"/>
          <w:szCs w:val="22"/>
          <w:lang w:val="en-IN"/>
        </w:rPr>
        <w:t xml:space="preserve"> </w:t>
      </w:r>
      <w:r w:rsidR="006461CD" w:rsidRPr="00D23863">
        <w:rPr>
          <w:rFonts w:ascii="Arial" w:hAnsi="Arial" w:cs="Arial"/>
          <w:sz w:val="22"/>
          <w:szCs w:val="22"/>
        </w:rPr>
        <w:t xml:space="preserve">Rajesh and Karun (2014) highlighted the genotype-specific effects of polyamines on somatic embryogenesis in coconut. </w:t>
      </w:r>
      <w:r w:rsidR="006461CD" w:rsidRPr="00D23863">
        <w:rPr>
          <w:rFonts w:ascii="Arial" w:hAnsi="Arial" w:cs="Arial"/>
          <w:sz w:val="22"/>
          <w:szCs w:val="22"/>
          <w:lang w:val="en-IN"/>
        </w:rPr>
        <w:t xml:space="preserve">Zygotic embryos of </w:t>
      </w:r>
      <w:proofErr w:type="spellStart"/>
      <w:r w:rsidR="006461CD" w:rsidRPr="00D23863">
        <w:rPr>
          <w:rFonts w:ascii="Arial" w:hAnsi="Arial" w:cs="Arial"/>
          <w:sz w:val="22"/>
          <w:szCs w:val="22"/>
          <w:lang w:val="en-IN"/>
        </w:rPr>
        <w:t>Chowghat</w:t>
      </w:r>
      <w:proofErr w:type="spellEnd"/>
      <w:r w:rsidR="006461CD" w:rsidRPr="00D23863">
        <w:rPr>
          <w:rFonts w:ascii="Arial" w:hAnsi="Arial" w:cs="Arial"/>
          <w:sz w:val="22"/>
          <w:szCs w:val="22"/>
          <w:lang w:val="en-IN"/>
        </w:rPr>
        <w:t xml:space="preserve"> Green Dwarf (CGD) and Malayan Yellow Dwarf (MYD) cultured on Y3 medium with 100 µM spermine and 1000 µM putrescine showed significant interactions between variety and regeneration medium. In MYD, spermine enhanced somatic embryogenesis, while in CGD, putrescine was more effective. Additionally, in CGD, spermine improved embryogenic callus and </w:t>
      </w:r>
      <w:proofErr w:type="spellStart"/>
      <w:r w:rsidR="006461CD" w:rsidRPr="00D23863">
        <w:rPr>
          <w:rFonts w:ascii="Arial" w:hAnsi="Arial" w:cs="Arial"/>
          <w:sz w:val="22"/>
          <w:szCs w:val="22"/>
          <w:lang w:val="en-IN"/>
        </w:rPr>
        <w:t>meristemoid</w:t>
      </w:r>
      <w:proofErr w:type="spellEnd"/>
      <w:r w:rsidR="006461CD" w:rsidRPr="00D23863">
        <w:rPr>
          <w:rFonts w:ascii="Arial" w:hAnsi="Arial" w:cs="Arial"/>
          <w:sz w:val="22"/>
          <w:szCs w:val="22"/>
          <w:lang w:val="en-IN"/>
        </w:rPr>
        <w:t xml:space="preserve"> formation, whereas putrescine promoted </w:t>
      </w:r>
      <w:proofErr w:type="spellStart"/>
      <w:r w:rsidR="006461CD" w:rsidRPr="00D23863">
        <w:rPr>
          <w:rFonts w:ascii="Arial" w:hAnsi="Arial" w:cs="Arial"/>
          <w:sz w:val="22"/>
          <w:szCs w:val="22"/>
          <w:lang w:val="en-IN"/>
        </w:rPr>
        <w:t>rhizogenesis</w:t>
      </w:r>
      <w:proofErr w:type="spellEnd"/>
      <w:r w:rsidR="006461CD" w:rsidRPr="00D23863">
        <w:rPr>
          <w:rFonts w:ascii="Arial" w:hAnsi="Arial" w:cs="Arial"/>
          <w:sz w:val="22"/>
          <w:szCs w:val="22"/>
          <w:lang w:val="en-IN"/>
        </w:rPr>
        <w:t>.</w:t>
      </w:r>
    </w:p>
    <w:p w14:paraId="4A9C4651" w14:textId="77777777" w:rsidR="00F248B1" w:rsidRPr="00D23863" w:rsidRDefault="00F248B1" w:rsidP="006461CD">
      <w:pPr>
        <w:jc w:val="both"/>
        <w:rPr>
          <w:rFonts w:ascii="Arial" w:hAnsi="Arial" w:cs="Arial"/>
          <w:sz w:val="22"/>
          <w:szCs w:val="22"/>
          <w:lang w:val="en-IN"/>
        </w:rPr>
      </w:pPr>
    </w:p>
    <w:p w14:paraId="0F7B9E40" w14:textId="77777777" w:rsidR="0054014F" w:rsidRPr="00D23863" w:rsidRDefault="006461CD" w:rsidP="00E253B7">
      <w:pPr>
        <w:jc w:val="both"/>
        <w:rPr>
          <w:rFonts w:ascii="Arial" w:hAnsi="Arial" w:cs="Arial"/>
          <w:sz w:val="22"/>
          <w:szCs w:val="22"/>
        </w:rPr>
      </w:pPr>
      <w:r w:rsidRPr="00D23863">
        <w:rPr>
          <w:rFonts w:ascii="Arial" w:hAnsi="Arial" w:cs="Arial"/>
          <w:sz w:val="22"/>
          <w:szCs w:val="22"/>
          <w:lang w:val="en-IN"/>
        </w:rPr>
        <w:t xml:space="preserve">In contrast, the West Coast Tall (WCT) cultivar in the present study exhibited lower embryogenic response to these treatments. Putrescine (T3) induced a higher percentage of embryogenic callus compared to spermine (T4), which led to increased non-embryogenic callus formation. These results emphasize the role of polyamines in modulating morphogenic responses in a genotype-dependent manner, likely through their interactions with phytohormones and </w:t>
      </w:r>
      <w:r w:rsidR="0016684A" w:rsidRPr="00D23863">
        <w:rPr>
          <w:rFonts w:ascii="Arial" w:hAnsi="Arial" w:cs="Arial"/>
          <w:sz w:val="22"/>
          <w:szCs w:val="22"/>
        </w:rPr>
        <w:t xml:space="preserve">organic </w:t>
      </w:r>
      <w:r w:rsidRPr="00D23863">
        <w:rPr>
          <w:rFonts w:ascii="Arial" w:hAnsi="Arial" w:cs="Arial"/>
          <w:sz w:val="22"/>
          <w:szCs w:val="22"/>
        </w:rPr>
        <w:t>component.</w:t>
      </w:r>
    </w:p>
    <w:p w14:paraId="1472BD64" w14:textId="77777777" w:rsidR="00E115B6" w:rsidRPr="00D23863" w:rsidRDefault="00E115B6" w:rsidP="00E253B7">
      <w:pPr>
        <w:jc w:val="both"/>
        <w:rPr>
          <w:rFonts w:ascii="Arial" w:hAnsi="Arial" w:cs="Arial"/>
          <w:sz w:val="22"/>
          <w:szCs w:val="22"/>
        </w:rPr>
      </w:pPr>
    </w:p>
    <w:p w14:paraId="10D86B64" w14:textId="3D1DF395" w:rsidR="00044505" w:rsidRPr="00D23863" w:rsidRDefault="00E115B6" w:rsidP="00E253B7">
      <w:pPr>
        <w:jc w:val="both"/>
        <w:rPr>
          <w:rFonts w:ascii="Arial" w:hAnsi="Arial" w:cs="Arial"/>
          <w:sz w:val="22"/>
          <w:szCs w:val="22"/>
        </w:rPr>
      </w:pPr>
      <w:r w:rsidRPr="00D23863">
        <w:rPr>
          <w:rFonts w:ascii="Arial" w:hAnsi="Arial" w:cs="Arial"/>
          <w:sz w:val="22"/>
          <w:szCs w:val="22"/>
        </w:rPr>
        <w:t xml:space="preserve">While auxin is essential to initiate somatic embryogenesis, its continuous presence in the culture medium can be detrimental to optimal development. Therefore, a gradual reduction or complete elimination of 2,4-D from the culture medium is recommended to facilitate the </w:t>
      </w:r>
      <w:r w:rsidRPr="00D23863">
        <w:rPr>
          <w:rFonts w:ascii="Arial" w:hAnsi="Arial" w:cs="Arial"/>
          <w:sz w:val="22"/>
          <w:szCs w:val="22"/>
        </w:rPr>
        <w:lastRenderedPageBreak/>
        <w:t xml:space="preserve">transition of undifferentiated callus into somatic embryogenic callus (Buffard-Morel </w:t>
      </w:r>
      <w:r w:rsidRPr="00D23863">
        <w:rPr>
          <w:rFonts w:ascii="Arial" w:hAnsi="Arial" w:cs="Arial"/>
          <w:i/>
          <w:iCs/>
          <w:sz w:val="22"/>
          <w:szCs w:val="22"/>
        </w:rPr>
        <w:t>et al.,</w:t>
      </w:r>
      <w:r w:rsidRPr="00D23863">
        <w:rPr>
          <w:rFonts w:ascii="Arial" w:hAnsi="Arial" w:cs="Arial"/>
          <w:sz w:val="22"/>
          <w:szCs w:val="22"/>
        </w:rPr>
        <w:t xml:space="preserve"> 1995). </w:t>
      </w:r>
      <w:proofErr w:type="spellStart"/>
      <w:r w:rsidRPr="00D23863">
        <w:rPr>
          <w:rFonts w:ascii="Arial" w:hAnsi="Arial" w:cs="Arial"/>
          <w:sz w:val="22"/>
          <w:szCs w:val="22"/>
        </w:rPr>
        <w:t>Cytokinins</w:t>
      </w:r>
      <w:proofErr w:type="spellEnd"/>
      <w:r w:rsidRPr="00D23863">
        <w:rPr>
          <w:rFonts w:ascii="Arial" w:hAnsi="Arial" w:cs="Arial"/>
          <w:sz w:val="22"/>
          <w:szCs w:val="22"/>
        </w:rPr>
        <w:t xml:space="preserve"> can be co-supplemented with auxins during the callus induction and maturation phases to enhance embryogenic potential. Commonly used </w:t>
      </w:r>
      <w:proofErr w:type="spellStart"/>
      <w:r w:rsidRPr="00D23863">
        <w:rPr>
          <w:rFonts w:ascii="Arial" w:hAnsi="Arial" w:cs="Arial"/>
          <w:sz w:val="22"/>
          <w:szCs w:val="22"/>
        </w:rPr>
        <w:t>cytokinins</w:t>
      </w:r>
      <w:proofErr w:type="spellEnd"/>
      <w:r w:rsidRPr="00D23863">
        <w:rPr>
          <w:rFonts w:ascii="Arial" w:hAnsi="Arial" w:cs="Arial"/>
          <w:sz w:val="22"/>
          <w:szCs w:val="22"/>
        </w:rPr>
        <w:t xml:space="preserve"> for callus proliferation and maturation include 6-benzylaminopurine (BAP), </w:t>
      </w:r>
      <w:proofErr w:type="spellStart"/>
      <w:r w:rsidRPr="00D23863">
        <w:rPr>
          <w:rFonts w:ascii="Arial" w:hAnsi="Arial" w:cs="Arial"/>
          <w:sz w:val="22"/>
          <w:szCs w:val="22"/>
        </w:rPr>
        <w:t>thidiazuron</w:t>
      </w:r>
      <w:proofErr w:type="spellEnd"/>
      <w:r w:rsidRPr="00D23863">
        <w:rPr>
          <w:rFonts w:ascii="Arial" w:hAnsi="Arial" w:cs="Arial"/>
          <w:sz w:val="22"/>
          <w:szCs w:val="22"/>
        </w:rPr>
        <w:t xml:space="preserve"> (TDZ), kinetin, and 2-isopentenyl adenine (2iP). </w:t>
      </w:r>
      <w:r w:rsidR="00D74085" w:rsidRPr="00D23863">
        <w:rPr>
          <w:rFonts w:ascii="Arial" w:hAnsi="Arial" w:cs="Arial"/>
          <w:sz w:val="22"/>
          <w:szCs w:val="22"/>
        </w:rPr>
        <w:t>Study by Bett</w:t>
      </w:r>
      <w:r w:rsidR="00481B09" w:rsidRPr="00D23863">
        <w:rPr>
          <w:rFonts w:ascii="Arial" w:hAnsi="Arial" w:cs="Arial"/>
          <w:sz w:val="22"/>
          <w:szCs w:val="22"/>
        </w:rPr>
        <w:t xml:space="preserve"> </w:t>
      </w:r>
      <w:r w:rsidR="00D74085" w:rsidRPr="00D23863">
        <w:rPr>
          <w:rFonts w:ascii="Arial" w:hAnsi="Arial" w:cs="Arial"/>
          <w:sz w:val="22"/>
          <w:szCs w:val="22"/>
        </w:rPr>
        <w:t xml:space="preserve">(2019) recorded </w:t>
      </w:r>
      <w:r w:rsidR="00D74085" w:rsidRPr="00D23863">
        <w:rPr>
          <w:rFonts w:ascii="Arial" w:hAnsi="Arial" w:cs="Arial"/>
          <w:sz w:val="22"/>
          <w:szCs w:val="22"/>
          <w:lang w:val="en-IN"/>
        </w:rPr>
        <w:t>highest callus (100%) and embryogenic callus induction (100%) were observed in media containing 2,4-D (150–250 µM and 125 µM, respectively) combined with 5 µM BAP</w:t>
      </w:r>
      <w:r w:rsidR="00BD3924" w:rsidRPr="00D23863">
        <w:rPr>
          <w:rFonts w:ascii="Arial" w:hAnsi="Arial" w:cs="Arial"/>
          <w:sz w:val="22"/>
          <w:szCs w:val="22"/>
          <w:lang w:val="en-IN"/>
        </w:rPr>
        <w:t xml:space="preserve"> while </w:t>
      </w:r>
      <w:r w:rsidR="00D74085" w:rsidRPr="00D23863">
        <w:rPr>
          <w:rFonts w:ascii="Arial" w:hAnsi="Arial" w:cs="Arial"/>
          <w:sz w:val="22"/>
          <w:szCs w:val="22"/>
          <w:lang w:val="en-IN"/>
        </w:rPr>
        <w:t xml:space="preserve">maximum shoot </w:t>
      </w:r>
      <w:r w:rsidR="00BD3924" w:rsidRPr="00D23863">
        <w:rPr>
          <w:rFonts w:ascii="Arial" w:hAnsi="Arial" w:cs="Arial"/>
          <w:sz w:val="22"/>
          <w:szCs w:val="22"/>
          <w:lang w:val="en-IN"/>
        </w:rPr>
        <w:t>formation</w:t>
      </w:r>
      <w:r w:rsidR="00D74085" w:rsidRPr="00D23863">
        <w:rPr>
          <w:rFonts w:ascii="Arial" w:hAnsi="Arial" w:cs="Arial"/>
          <w:sz w:val="22"/>
          <w:szCs w:val="22"/>
          <w:lang w:val="en-IN"/>
        </w:rPr>
        <w:t xml:space="preserve"> in 10 µM BAP</w:t>
      </w:r>
      <w:r w:rsidR="00BD3924" w:rsidRPr="00D23863">
        <w:rPr>
          <w:rFonts w:ascii="Arial" w:hAnsi="Arial" w:cs="Arial"/>
          <w:sz w:val="22"/>
          <w:szCs w:val="22"/>
          <w:lang w:val="en-IN"/>
        </w:rPr>
        <w:t xml:space="preserve"> media. Similarly result was reported by Shareefa</w:t>
      </w:r>
      <w:r w:rsidR="000A53C8" w:rsidRPr="00D23863">
        <w:rPr>
          <w:rFonts w:ascii="Arial" w:hAnsi="Arial" w:cs="Arial"/>
          <w:sz w:val="22"/>
          <w:szCs w:val="22"/>
          <w:lang w:val="en-IN"/>
        </w:rPr>
        <w:t xml:space="preserve"> </w:t>
      </w:r>
      <w:r w:rsidR="00BD3924" w:rsidRPr="00D23863">
        <w:rPr>
          <w:rFonts w:ascii="Arial" w:hAnsi="Arial" w:cs="Arial"/>
          <w:sz w:val="22"/>
          <w:szCs w:val="22"/>
          <w:lang w:val="en-IN"/>
        </w:rPr>
        <w:t xml:space="preserve">(2019) </w:t>
      </w:r>
      <w:r w:rsidR="00A9207A" w:rsidRPr="00D23863">
        <w:rPr>
          <w:rFonts w:ascii="Arial" w:hAnsi="Arial" w:cs="Arial"/>
          <w:sz w:val="22"/>
          <w:szCs w:val="22"/>
          <w:lang w:val="en-IN"/>
        </w:rPr>
        <w:t xml:space="preserve">that </w:t>
      </w:r>
      <w:r w:rsidR="00BD3924" w:rsidRPr="00D23863">
        <w:rPr>
          <w:rFonts w:ascii="Arial" w:hAnsi="Arial" w:cs="Arial"/>
          <w:sz w:val="22"/>
          <w:szCs w:val="22"/>
          <w:lang w:val="en-IN"/>
        </w:rPr>
        <w:t xml:space="preserve">shoot regenerated in media </w:t>
      </w:r>
      <w:r w:rsidR="00BD3924" w:rsidRPr="00D23863">
        <w:rPr>
          <w:rFonts w:ascii="Arial" w:hAnsi="Arial" w:cs="Arial"/>
          <w:sz w:val="22"/>
          <w:szCs w:val="22"/>
        </w:rPr>
        <w:t xml:space="preserve">containing 4μM 6-BAP and 10 </w:t>
      </w:r>
      <w:proofErr w:type="spellStart"/>
      <w:r w:rsidR="00BD3924" w:rsidRPr="00D23863">
        <w:rPr>
          <w:rFonts w:ascii="Arial" w:hAnsi="Arial" w:cs="Arial"/>
          <w:sz w:val="22"/>
          <w:szCs w:val="22"/>
        </w:rPr>
        <w:t>μM</w:t>
      </w:r>
      <w:proofErr w:type="spellEnd"/>
      <w:r w:rsidR="00BD3924" w:rsidRPr="00D23863">
        <w:rPr>
          <w:rFonts w:ascii="Arial" w:hAnsi="Arial" w:cs="Arial"/>
          <w:sz w:val="22"/>
          <w:szCs w:val="22"/>
        </w:rPr>
        <w:t xml:space="preserve"> 2,4-D. These </w:t>
      </w:r>
      <w:r w:rsidR="00A9207A" w:rsidRPr="00D23863">
        <w:rPr>
          <w:rFonts w:ascii="Arial" w:hAnsi="Arial" w:cs="Arial"/>
          <w:sz w:val="22"/>
          <w:szCs w:val="22"/>
        </w:rPr>
        <w:t>studies</w:t>
      </w:r>
      <w:r w:rsidR="00BD3924" w:rsidRPr="00D23863">
        <w:rPr>
          <w:rFonts w:ascii="Arial" w:hAnsi="Arial" w:cs="Arial"/>
          <w:sz w:val="22"/>
          <w:szCs w:val="22"/>
        </w:rPr>
        <w:t xml:space="preserve"> give ground for our findings that </w:t>
      </w:r>
      <w:r w:rsidRPr="00D23863">
        <w:rPr>
          <w:rFonts w:ascii="Arial" w:hAnsi="Arial" w:cs="Arial"/>
          <w:sz w:val="22"/>
          <w:szCs w:val="22"/>
        </w:rPr>
        <w:t xml:space="preserve">embryogenic callus treated with 20 </w:t>
      </w:r>
      <w:proofErr w:type="spellStart"/>
      <w:r w:rsidR="00247214" w:rsidRPr="00D23863">
        <w:rPr>
          <w:rFonts w:ascii="Arial" w:hAnsi="Arial" w:cs="Arial"/>
          <w:sz w:val="22"/>
          <w:szCs w:val="22"/>
        </w:rPr>
        <w:t>μM</w:t>
      </w:r>
      <w:proofErr w:type="spellEnd"/>
      <w:r w:rsidR="00247214" w:rsidRPr="00D23863">
        <w:rPr>
          <w:rFonts w:ascii="Arial" w:hAnsi="Arial" w:cs="Arial"/>
          <w:sz w:val="22"/>
          <w:szCs w:val="22"/>
        </w:rPr>
        <w:t xml:space="preserve"> </w:t>
      </w:r>
      <w:r w:rsidRPr="00D23863">
        <w:rPr>
          <w:rFonts w:ascii="Arial" w:hAnsi="Arial" w:cs="Arial"/>
          <w:sz w:val="22"/>
          <w:szCs w:val="22"/>
        </w:rPr>
        <w:t>BA</w:t>
      </w:r>
      <w:r w:rsidR="00313ACD" w:rsidRPr="00D23863">
        <w:rPr>
          <w:rFonts w:ascii="Arial" w:hAnsi="Arial" w:cs="Arial"/>
          <w:sz w:val="22"/>
          <w:szCs w:val="22"/>
        </w:rPr>
        <w:t>, 4.5 2,4-D and 10mg/L CIS</w:t>
      </w:r>
      <w:r w:rsidRPr="00D23863">
        <w:rPr>
          <w:rFonts w:ascii="Arial" w:hAnsi="Arial" w:cs="Arial"/>
          <w:sz w:val="22"/>
          <w:szCs w:val="22"/>
        </w:rPr>
        <w:t xml:space="preserve"> </w:t>
      </w:r>
      <w:r w:rsidR="00247214" w:rsidRPr="00D23863">
        <w:rPr>
          <w:rFonts w:ascii="Arial" w:hAnsi="Arial" w:cs="Arial"/>
          <w:sz w:val="22"/>
          <w:szCs w:val="22"/>
        </w:rPr>
        <w:t xml:space="preserve">showed more highest percentage of somatic embryo maturation </w:t>
      </w:r>
      <w:r w:rsidR="00D74085" w:rsidRPr="00D23863">
        <w:rPr>
          <w:rFonts w:ascii="Arial" w:hAnsi="Arial" w:cs="Arial"/>
          <w:sz w:val="22"/>
          <w:szCs w:val="22"/>
        </w:rPr>
        <w:t>and regeneration</w:t>
      </w:r>
      <w:r w:rsidR="00A9207A" w:rsidRPr="00D23863">
        <w:rPr>
          <w:rFonts w:ascii="Arial" w:hAnsi="Arial" w:cs="Arial"/>
          <w:sz w:val="22"/>
          <w:szCs w:val="22"/>
        </w:rPr>
        <w:t>.</w:t>
      </w:r>
      <w:r w:rsidR="00044505" w:rsidRPr="00D23863">
        <w:rPr>
          <w:rFonts w:ascii="Arial" w:hAnsi="Arial" w:cs="Arial"/>
          <w:sz w:val="22"/>
          <w:szCs w:val="22"/>
        </w:rPr>
        <w:t xml:space="preserve"> </w:t>
      </w:r>
      <w:r w:rsidR="00A9207A" w:rsidRPr="00D23863">
        <w:rPr>
          <w:rFonts w:ascii="Arial" w:hAnsi="Arial" w:cs="Arial"/>
          <w:sz w:val="22"/>
          <w:szCs w:val="22"/>
        </w:rPr>
        <w:t xml:space="preserve">Direct shoot </w:t>
      </w:r>
      <w:r w:rsidR="00FF1E05" w:rsidRPr="00D23863">
        <w:rPr>
          <w:rFonts w:ascii="Arial" w:hAnsi="Arial" w:cs="Arial"/>
          <w:sz w:val="22"/>
          <w:szCs w:val="22"/>
        </w:rPr>
        <w:t xml:space="preserve">like </w:t>
      </w:r>
      <w:r w:rsidR="00A9207A" w:rsidRPr="00D23863">
        <w:rPr>
          <w:rFonts w:ascii="Arial" w:hAnsi="Arial" w:cs="Arial"/>
          <w:sz w:val="22"/>
          <w:szCs w:val="22"/>
        </w:rPr>
        <w:t xml:space="preserve">regeneration </w:t>
      </w:r>
      <w:r w:rsidR="00FF1E05" w:rsidRPr="00D23863">
        <w:rPr>
          <w:rFonts w:ascii="Arial" w:hAnsi="Arial" w:cs="Arial"/>
          <w:sz w:val="22"/>
          <w:szCs w:val="22"/>
        </w:rPr>
        <w:t xml:space="preserve">as translucent outgrowth </w:t>
      </w:r>
      <w:r w:rsidR="00A9207A" w:rsidRPr="00D23863">
        <w:rPr>
          <w:rFonts w:ascii="Arial" w:hAnsi="Arial" w:cs="Arial"/>
          <w:sz w:val="22"/>
          <w:szCs w:val="22"/>
        </w:rPr>
        <w:t xml:space="preserve">was observed as reported by </w:t>
      </w:r>
      <w:proofErr w:type="spellStart"/>
      <w:r w:rsidR="0054014F" w:rsidRPr="00D23863">
        <w:rPr>
          <w:rFonts w:ascii="Arial" w:hAnsi="Arial" w:cs="Arial"/>
          <w:sz w:val="22"/>
          <w:szCs w:val="22"/>
        </w:rPr>
        <w:t>Vidhanaarachchi</w:t>
      </w:r>
      <w:proofErr w:type="spellEnd"/>
      <w:r w:rsidR="0054014F" w:rsidRPr="00D23863">
        <w:rPr>
          <w:rFonts w:ascii="Arial" w:hAnsi="Arial" w:cs="Arial"/>
          <w:sz w:val="22"/>
          <w:szCs w:val="22"/>
        </w:rPr>
        <w:t xml:space="preserve"> and </w:t>
      </w:r>
      <w:proofErr w:type="spellStart"/>
      <w:r w:rsidR="0054014F" w:rsidRPr="00D23863">
        <w:rPr>
          <w:rFonts w:ascii="Arial" w:hAnsi="Arial" w:cs="Arial"/>
          <w:sz w:val="22"/>
          <w:szCs w:val="22"/>
        </w:rPr>
        <w:t>Weerakoon</w:t>
      </w:r>
      <w:proofErr w:type="spellEnd"/>
      <w:r w:rsidR="0054014F" w:rsidRPr="00D23863">
        <w:rPr>
          <w:rFonts w:ascii="Arial" w:hAnsi="Arial" w:cs="Arial"/>
          <w:sz w:val="22"/>
          <w:szCs w:val="22"/>
        </w:rPr>
        <w:t xml:space="preserve"> (2008) </w:t>
      </w:r>
      <w:r w:rsidR="00A9207A" w:rsidRPr="00D23863">
        <w:rPr>
          <w:rFonts w:ascii="Arial" w:hAnsi="Arial" w:cs="Arial"/>
          <w:sz w:val="22"/>
          <w:szCs w:val="22"/>
        </w:rPr>
        <w:t xml:space="preserve">from the </w:t>
      </w:r>
      <w:proofErr w:type="spellStart"/>
      <w:r w:rsidR="00A9207A" w:rsidRPr="00D23863">
        <w:rPr>
          <w:rFonts w:ascii="Arial" w:hAnsi="Arial" w:cs="Arial"/>
          <w:sz w:val="22"/>
          <w:szCs w:val="22"/>
        </w:rPr>
        <w:t>rachillae</w:t>
      </w:r>
      <w:proofErr w:type="spellEnd"/>
      <w:r w:rsidR="00A9207A" w:rsidRPr="00D23863">
        <w:rPr>
          <w:rFonts w:ascii="Arial" w:hAnsi="Arial" w:cs="Arial"/>
          <w:sz w:val="22"/>
          <w:szCs w:val="22"/>
        </w:rPr>
        <w:t xml:space="preserve"> bits when initial culturing was done in </w:t>
      </w:r>
      <w:r w:rsidR="00FF1E05" w:rsidRPr="00D23863">
        <w:rPr>
          <w:rFonts w:ascii="Arial" w:hAnsi="Arial" w:cs="Arial"/>
          <w:sz w:val="22"/>
          <w:szCs w:val="22"/>
        </w:rPr>
        <w:t xml:space="preserve">a medium </w:t>
      </w:r>
      <w:r w:rsidR="00A9207A" w:rsidRPr="00D23863">
        <w:rPr>
          <w:rFonts w:ascii="Arial" w:hAnsi="Arial" w:cs="Arial"/>
          <w:sz w:val="22"/>
          <w:szCs w:val="22"/>
        </w:rPr>
        <w:t xml:space="preserve">auxin </w:t>
      </w:r>
      <w:r w:rsidR="00FF1E05" w:rsidRPr="00D23863">
        <w:rPr>
          <w:rFonts w:ascii="Arial" w:hAnsi="Arial" w:cs="Arial"/>
          <w:sz w:val="22"/>
          <w:szCs w:val="22"/>
        </w:rPr>
        <w:t xml:space="preserve">concentration </w:t>
      </w:r>
      <w:r w:rsidR="00A9207A" w:rsidRPr="00D23863">
        <w:rPr>
          <w:rFonts w:ascii="Arial" w:hAnsi="Arial" w:cs="Arial"/>
          <w:sz w:val="22"/>
          <w:szCs w:val="22"/>
        </w:rPr>
        <w:t xml:space="preserve">media </w:t>
      </w:r>
      <w:r w:rsidR="00FF1E05" w:rsidRPr="00D23863">
        <w:rPr>
          <w:rFonts w:ascii="Arial" w:hAnsi="Arial" w:cs="Arial"/>
          <w:sz w:val="22"/>
          <w:szCs w:val="22"/>
        </w:rPr>
        <w:t xml:space="preserve">followed by culturing in a high BA (20 </w:t>
      </w:r>
      <w:proofErr w:type="spellStart"/>
      <w:r w:rsidR="00FF1E05" w:rsidRPr="00D23863">
        <w:rPr>
          <w:rFonts w:ascii="Arial" w:hAnsi="Arial" w:cs="Arial"/>
          <w:sz w:val="22"/>
          <w:szCs w:val="22"/>
        </w:rPr>
        <w:t>μ</w:t>
      </w:r>
      <w:proofErr w:type="gramStart"/>
      <w:r w:rsidR="00FF1E05" w:rsidRPr="00D23863">
        <w:rPr>
          <w:rFonts w:ascii="Arial" w:hAnsi="Arial" w:cs="Arial"/>
          <w:sz w:val="22"/>
          <w:szCs w:val="22"/>
        </w:rPr>
        <w:t>M</w:t>
      </w:r>
      <w:proofErr w:type="spellEnd"/>
      <w:r w:rsidR="00FF1E05" w:rsidRPr="00D23863">
        <w:rPr>
          <w:rFonts w:ascii="Arial" w:hAnsi="Arial" w:cs="Arial"/>
          <w:sz w:val="22"/>
          <w:szCs w:val="22"/>
        </w:rPr>
        <w:t xml:space="preserve"> )</w:t>
      </w:r>
      <w:proofErr w:type="gramEnd"/>
      <w:r w:rsidR="00FF1E05" w:rsidRPr="00D23863">
        <w:rPr>
          <w:rFonts w:ascii="Arial" w:hAnsi="Arial" w:cs="Arial"/>
          <w:sz w:val="22"/>
          <w:szCs w:val="22"/>
        </w:rPr>
        <w:t xml:space="preserve">. </w:t>
      </w:r>
      <w:r w:rsidR="00667390" w:rsidRPr="00D23863">
        <w:rPr>
          <w:rFonts w:ascii="Arial" w:hAnsi="Arial" w:cs="Arial"/>
          <w:sz w:val="22"/>
          <w:szCs w:val="22"/>
        </w:rPr>
        <w:t>This observation</w:t>
      </w:r>
      <w:r w:rsidR="00FF1E05" w:rsidRPr="00D23863">
        <w:rPr>
          <w:rFonts w:ascii="Arial" w:hAnsi="Arial" w:cs="Arial"/>
          <w:sz w:val="22"/>
          <w:szCs w:val="22"/>
        </w:rPr>
        <w:t xml:space="preserve"> was in line with the finding of Shareefa (2019) that direct </w:t>
      </w:r>
      <w:r w:rsidR="00FF1E05" w:rsidRPr="00D23863">
        <w:rPr>
          <w:rFonts w:ascii="Arial" w:hAnsi="Arial" w:cs="Arial"/>
          <w:i/>
          <w:iCs/>
          <w:sz w:val="22"/>
          <w:szCs w:val="22"/>
        </w:rPr>
        <w:t>in vitro</w:t>
      </w:r>
      <w:r w:rsidR="00FF1E05" w:rsidRPr="00D23863">
        <w:rPr>
          <w:rFonts w:ascii="Arial" w:hAnsi="Arial" w:cs="Arial"/>
          <w:sz w:val="22"/>
          <w:szCs w:val="22"/>
        </w:rPr>
        <w:t xml:space="preserve"> regeneration was possible from immature inflorescence of West Coast Tall cultivar</w:t>
      </w:r>
      <w:r w:rsidR="00044505" w:rsidRPr="00D23863">
        <w:rPr>
          <w:rFonts w:ascii="Arial" w:hAnsi="Arial" w:cs="Arial"/>
          <w:sz w:val="22"/>
          <w:szCs w:val="22"/>
        </w:rPr>
        <w:t>.</w:t>
      </w:r>
    </w:p>
    <w:p w14:paraId="599C886F" w14:textId="77777777" w:rsidR="00044505" w:rsidRPr="00D23863" w:rsidRDefault="00044505" w:rsidP="00E253B7">
      <w:pPr>
        <w:jc w:val="both"/>
        <w:rPr>
          <w:rFonts w:ascii="Arial" w:hAnsi="Arial" w:cs="Arial"/>
          <w:sz w:val="22"/>
          <w:szCs w:val="22"/>
        </w:rPr>
      </w:pPr>
    </w:p>
    <w:p w14:paraId="652AF180" w14:textId="239D374A" w:rsidR="00044505" w:rsidRPr="00D23863" w:rsidRDefault="00D23863" w:rsidP="00E253B7">
      <w:pPr>
        <w:jc w:val="both"/>
        <w:rPr>
          <w:rFonts w:ascii="Arial" w:hAnsi="Arial" w:cs="Arial"/>
          <w:b/>
          <w:bCs/>
          <w:sz w:val="22"/>
          <w:szCs w:val="22"/>
        </w:rPr>
      </w:pPr>
      <w:r w:rsidRPr="00D23863">
        <w:rPr>
          <w:rFonts w:ascii="Arial" w:hAnsi="Arial" w:cs="Arial"/>
          <w:b/>
          <w:bCs/>
          <w:sz w:val="22"/>
          <w:szCs w:val="22"/>
        </w:rPr>
        <w:t>CONCLUSION</w:t>
      </w:r>
    </w:p>
    <w:p w14:paraId="3B7F99E9" w14:textId="57B51A64" w:rsidR="00D74085" w:rsidRPr="00D23863" w:rsidRDefault="00044505" w:rsidP="00E253B7">
      <w:pPr>
        <w:jc w:val="both"/>
        <w:rPr>
          <w:rFonts w:ascii="Arial" w:hAnsi="Arial" w:cs="Arial"/>
          <w:sz w:val="22"/>
          <w:szCs w:val="22"/>
        </w:rPr>
      </w:pPr>
      <w:r w:rsidRPr="00D23863">
        <w:rPr>
          <w:rFonts w:ascii="Arial" w:hAnsi="Arial" w:cs="Arial"/>
          <w:sz w:val="22"/>
          <w:szCs w:val="22"/>
        </w:rPr>
        <w:t xml:space="preserve">The study highlights the importance of genotype-specific responses and plant growth regulator combinations in coconut somatic embryogenesis, with a particular focus on the potential of coconut inflorescence sap (CIS) as a promising bioactive additive. While conventional media supplemented with 2,4-D and BAP supported embryogenic callus induction and shoot regeneration in selected cultivars, the inclusion of CIS offers a natural and potentially more effective alternative due to its inherent mix of phytohormones and organic nutrients. </w:t>
      </w:r>
    </w:p>
    <w:p w14:paraId="59C24F5C" w14:textId="0E6B5EE2" w:rsidR="00F248B1" w:rsidRPr="00D23863" w:rsidRDefault="00F248B1" w:rsidP="00E253B7">
      <w:pPr>
        <w:jc w:val="both"/>
        <w:rPr>
          <w:rFonts w:ascii="Arial" w:hAnsi="Arial" w:cs="Arial"/>
          <w:sz w:val="22"/>
          <w:szCs w:val="22"/>
          <w:lang w:val="en-IN"/>
        </w:rPr>
      </w:pPr>
    </w:p>
    <w:p w14:paraId="389E9460" w14:textId="5DCC26F3" w:rsidR="00F248B1" w:rsidRDefault="00F248B1" w:rsidP="00E253B7">
      <w:pPr>
        <w:jc w:val="both"/>
        <w:rPr>
          <w:rFonts w:ascii="Arial" w:hAnsi="Arial" w:cs="Arial"/>
          <w:b/>
          <w:bCs/>
          <w:sz w:val="22"/>
          <w:szCs w:val="22"/>
          <w:lang w:val="en-IN"/>
        </w:rPr>
      </w:pPr>
    </w:p>
    <w:p w14:paraId="7BFF2B37" w14:textId="77777777" w:rsidR="00242907" w:rsidRPr="00D23863" w:rsidRDefault="00242907" w:rsidP="00E253B7">
      <w:pPr>
        <w:jc w:val="both"/>
        <w:rPr>
          <w:rFonts w:ascii="Arial" w:hAnsi="Arial" w:cs="Arial"/>
          <w:b/>
          <w:bCs/>
          <w:sz w:val="22"/>
          <w:szCs w:val="22"/>
          <w:lang w:val="en-IN"/>
        </w:rPr>
      </w:pPr>
      <w:bookmarkStart w:id="1" w:name="_GoBack"/>
      <w:bookmarkEnd w:id="1"/>
    </w:p>
    <w:p w14:paraId="23F24484" w14:textId="0BAF2D22" w:rsidR="00E66C6D" w:rsidRPr="00D23863" w:rsidRDefault="00D23863" w:rsidP="00E253B7">
      <w:pPr>
        <w:jc w:val="both"/>
        <w:rPr>
          <w:rFonts w:ascii="Arial" w:hAnsi="Arial" w:cs="Arial"/>
          <w:b/>
          <w:bCs/>
          <w:sz w:val="22"/>
          <w:szCs w:val="22"/>
          <w:lang w:val="en-IN"/>
        </w:rPr>
      </w:pPr>
      <w:bookmarkStart w:id="2" w:name="_Hlk210737695"/>
      <w:r w:rsidRPr="00D23863">
        <w:rPr>
          <w:rFonts w:ascii="Arial" w:hAnsi="Arial" w:cs="Arial"/>
          <w:b/>
          <w:bCs/>
          <w:sz w:val="22"/>
          <w:szCs w:val="22"/>
          <w:lang w:val="en-IN"/>
        </w:rPr>
        <w:t>REFERENCE</w:t>
      </w:r>
    </w:p>
    <w:p w14:paraId="203B3AAC" w14:textId="77777777" w:rsidR="002542EF" w:rsidRPr="00D23863" w:rsidRDefault="002542EF" w:rsidP="0051123A">
      <w:pPr>
        <w:ind w:left="567" w:hanging="567"/>
        <w:jc w:val="both"/>
        <w:rPr>
          <w:rFonts w:ascii="Arial" w:hAnsi="Arial" w:cs="Arial"/>
          <w:sz w:val="22"/>
          <w:szCs w:val="22"/>
          <w:lang w:val="en-IN"/>
        </w:rPr>
      </w:pPr>
    </w:p>
    <w:bookmarkEnd w:id="2"/>
    <w:p w14:paraId="07DD4565"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Aalbersberg</w:t>
      </w:r>
      <w:proofErr w:type="spellEnd"/>
      <w:r w:rsidRPr="00D23863">
        <w:rPr>
          <w:rFonts w:ascii="Arial" w:hAnsi="Arial" w:cs="Arial"/>
          <w:sz w:val="22"/>
          <w:szCs w:val="22"/>
          <w:lang w:val="en-IN"/>
        </w:rPr>
        <w:t xml:space="preserve"> B, </w:t>
      </w:r>
      <w:proofErr w:type="spellStart"/>
      <w:r w:rsidRPr="00D23863">
        <w:rPr>
          <w:rFonts w:ascii="Arial" w:hAnsi="Arial" w:cs="Arial"/>
          <w:sz w:val="22"/>
          <w:szCs w:val="22"/>
          <w:lang w:val="en-IN"/>
        </w:rPr>
        <w:t>Rohinee</w:t>
      </w:r>
      <w:proofErr w:type="spellEnd"/>
      <w:r w:rsidRPr="00D23863">
        <w:rPr>
          <w:rFonts w:ascii="Arial" w:hAnsi="Arial" w:cs="Arial"/>
          <w:sz w:val="22"/>
          <w:szCs w:val="22"/>
          <w:lang w:val="en-IN"/>
        </w:rPr>
        <w:t xml:space="preserve"> S, Praveen R (1997) Nutrient analysis of coconut toddy. Trop Sci 37(3):160-163</w:t>
      </w:r>
    </w:p>
    <w:p w14:paraId="4EBBF999"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Adkins SW, </w:t>
      </w:r>
      <w:proofErr w:type="spellStart"/>
      <w:r w:rsidRPr="00D23863">
        <w:rPr>
          <w:rFonts w:ascii="Arial" w:hAnsi="Arial" w:cs="Arial"/>
          <w:sz w:val="22"/>
          <w:szCs w:val="22"/>
          <w:lang w:val="en-IN"/>
        </w:rPr>
        <w:t>Samosir</w:t>
      </w:r>
      <w:proofErr w:type="spellEnd"/>
      <w:r w:rsidRPr="00D23863">
        <w:rPr>
          <w:rFonts w:ascii="Arial" w:hAnsi="Arial" w:cs="Arial"/>
          <w:sz w:val="22"/>
          <w:szCs w:val="22"/>
          <w:lang w:val="en-IN"/>
        </w:rPr>
        <w:t xml:space="preserve"> YM, </w:t>
      </w:r>
      <w:proofErr w:type="spellStart"/>
      <w:r w:rsidRPr="00D23863">
        <w:rPr>
          <w:rFonts w:ascii="Arial" w:hAnsi="Arial" w:cs="Arial"/>
          <w:sz w:val="22"/>
          <w:szCs w:val="22"/>
          <w:lang w:val="en-IN"/>
        </w:rPr>
        <w:t>Ernawati</w:t>
      </w:r>
      <w:proofErr w:type="spellEnd"/>
      <w:r w:rsidRPr="00D23863">
        <w:rPr>
          <w:rFonts w:ascii="Arial" w:hAnsi="Arial" w:cs="Arial"/>
          <w:sz w:val="22"/>
          <w:szCs w:val="22"/>
          <w:lang w:val="en-IN"/>
        </w:rPr>
        <w:t xml:space="preserve"> A, Godwin ID, Drew RA (1997) Control of ethylene and use of polyamines can optimise conditions for somatic embryogenesis in coconut (</w:t>
      </w:r>
      <w:r w:rsidRPr="00D23863">
        <w:rPr>
          <w:rFonts w:ascii="Arial" w:hAnsi="Arial" w:cs="Arial"/>
          <w:i/>
          <w:iCs/>
          <w:sz w:val="22"/>
          <w:szCs w:val="22"/>
          <w:lang w:val="en-IN"/>
        </w:rPr>
        <w:t>Cocos</w:t>
      </w:r>
      <w:r w:rsidRPr="00D23863">
        <w:rPr>
          <w:rFonts w:ascii="Arial" w:hAnsi="Arial" w:cs="Arial"/>
          <w:sz w:val="22"/>
          <w:szCs w:val="22"/>
          <w:lang w:val="en-IN"/>
        </w:rPr>
        <w:t xml:space="preserve"> </w:t>
      </w:r>
      <w:r w:rsidRPr="00D23863">
        <w:rPr>
          <w:rFonts w:ascii="Arial" w:hAnsi="Arial" w:cs="Arial"/>
          <w:i/>
          <w:iCs/>
          <w:sz w:val="22"/>
          <w:szCs w:val="22"/>
          <w:lang w:val="en-IN"/>
        </w:rPr>
        <w:t>nucifera</w:t>
      </w:r>
      <w:r w:rsidRPr="00D23863">
        <w:rPr>
          <w:rFonts w:ascii="Arial" w:hAnsi="Arial" w:cs="Arial"/>
          <w:sz w:val="22"/>
          <w:szCs w:val="22"/>
          <w:lang w:val="en-IN"/>
        </w:rPr>
        <w:t xml:space="preserve"> L.) and papaya (</w:t>
      </w:r>
      <w:r w:rsidRPr="00D23863">
        <w:rPr>
          <w:rFonts w:ascii="Arial" w:hAnsi="Arial" w:cs="Arial"/>
          <w:i/>
          <w:iCs/>
          <w:sz w:val="22"/>
          <w:szCs w:val="22"/>
          <w:lang w:val="en-IN"/>
        </w:rPr>
        <w:t>Carica papaya</w:t>
      </w:r>
      <w:r w:rsidRPr="00D23863">
        <w:rPr>
          <w:rFonts w:ascii="Arial" w:hAnsi="Arial" w:cs="Arial"/>
          <w:sz w:val="22"/>
          <w:szCs w:val="22"/>
          <w:lang w:val="en-IN"/>
        </w:rPr>
        <w:t xml:space="preserve"> L.). In: International Symposium on Biotechnology of Tropical and Subtropical Species Part 2, 461:459-466</w:t>
      </w:r>
    </w:p>
    <w:p w14:paraId="1C634E7B"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Al-Khayri JM (2010) Somatic embryogenesis of date palm (</w:t>
      </w:r>
      <w:r w:rsidRPr="00D23863">
        <w:rPr>
          <w:rFonts w:ascii="Arial" w:hAnsi="Arial" w:cs="Arial"/>
          <w:i/>
          <w:iCs/>
          <w:sz w:val="22"/>
          <w:szCs w:val="22"/>
          <w:lang w:val="en-IN"/>
        </w:rPr>
        <w:t>Phoenix dactylifera</w:t>
      </w:r>
      <w:r w:rsidRPr="00D23863">
        <w:rPr>
          <w:rFonts w:ascii="Arial" w:hAnsi="Arial" w:cs="Arial"/>
          <w:sz w:val="22"/>
          <w:szCs w:val="22"/>
          <w:lang w:val="en-IN"/>
        </w:rPr>
        <w:t xml:space="preserve"> L.) improved by coconut water. </w:t>
      </w:r>
      <w:proofErr w:type="spellStart"/>
      <w:r w:rsidRPr="00D23863">
        <w:rPr>
          <w:rFonts w:ascii="Arial" w:hAnsi="Arial" w:cs="Arial"/>
          <w:sz w:val="22"/>
          <w:szCs w:val="22"/>
          <w:lang w:val="en-IN"/>
        </w:rPr>
        <w:t>Biotechnol</w:t>
      </w:r>
      <w:proofErr w:type="spellEnd"/>
      <w:r w:rsidRPr="00D23863">
        <w:rPr>
          <w:rFonts w:ascii="Arial" w:hAnsi="Arial" w:cs="Arial"/>
          <w:sz w:val="22"/>
          <w:szCs w:val="22"/>
          <w:lang w:val="en-IN"/>
        </w:rPr>
        <w:t xml:space="preserve"> 9(4):477-484.</w:t>
      </w:r>
    </w:p>
    <w:p w14:paraId="28C68DBE"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Barh D, Mazumdar BC (2008) Comparative nutritive values of palm saps before and after partial fermentation. Res J Med </w:t>
      </w:r>
      <w:proofErr w:type="spellStart"/>
      <w:r w:rsidRPr="00D23863">
        <w:rPr>
          <w:rFonts w:ascii="Arial" w:hAnsi="Arial" w:cs="Arial"/>
          <w:sz w:val="22"/>
          <w:szCs w:val="22"/>
          <w:lang w:val="en-IN"/>
        </w:rPr>
        <w:t>Med</w:t>
      </w:r>
      <w:proofErr w:type="spellEnd"/>
      <w:r w:rsidRPr="00D23863">
        <w:rPr>
          <w:rFonts w:ascii="Arial" w:hAnsi="Arial" w:cs="Arial"/>
          <w:sz w:val="22"/>
          <w:szCs w:val="22"/>
          <w:lang w:val="en-IN"/>
        </w:rPr>
        <w:t xml:space="preserve"> Sci 3(2):173-176</w:t>
      </w:r>
    </w:p>
    <w:p w14:paraId="64386952"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Bett CC, </w:t>
      </w:r>
      <w:proofErr w:type="spellStart"/>
      <w:r w:rsidRPr="00D23863">
        <w:rPr>
          <w:rFonts w:ascii="Arial" w:hAnsi="Arial" w:cs="Arial"/>
          <w:sz w:val="22"/>
          <w:szCs w:val="22"/>
          <w:lang w:val="en-IN"/>
        </w:rPr>
        <w:t>Mweu</w:t>
      </w:r>
      <w:proofErr w:type="spellEnd"/>
      <w:r w:rsidRPr="00D23863">
        <w:rPr>
          <w:rFonts w:ascii="Arial" w:hAnsi="Arial" w:cs="Arial"/>
          <w:sz w:val="22"/>
          <w:szCs w:val="22"/>
          <w:lang w:val="en-IN"/>
        </w:rPr>
        <w:t xml:space="preserve"> CM, </w:t>
      </w:r>
      <w:proofErr w:type="spellStart"/>
      <w:r w:rsidRPr="00D23863">
        <w:rPr>
          <w:rFonts w:ascii="Arial" w:hAnsi="Arial" w:cs="Arial"/>
          <w:sz w:val="22"/>
          <w:szCs w:val="22"/>
          <w:lang w:val="en-IN"/>
        </w:rPr>
        <w:t>Nyende</w:t>
      </w:r>
      <w:proofErr w:type="spellEnd"/>
      <w:r w:rsidRPr="00D23863">
        <w:rPr>
          <w:rFonts w:ascii="Arial" w:hAnsi="Arial" w:cs="Arial"/>
          <w:sz w:val="22"/>
          <w:szCs w:val="22"/>
          <w:lang w:val="en-IN"/>
        </w:rPr>
        <w:t xml:space="preserve"> AB (2019) In vitro regeneration of coconut (</w:t>
      </w:r>
      <w:r w:rsidRPr="00D23863">
        <w:rPr>
          <w:rFonts w:ascii="Arial" w:hAnsi="Arial" w:cs="Arial"/>
          <w:i/>
          <w:iCs/>
          <w:sz w:val="22"/>
          <w:szCs w:val="22"/>
          <w:lang w:val="en-IN"/>
        </w:rPr>
        <w:t>Cocos nucifera</w:t>
      </w:r>
      <w:r w:rsidRPr="00D23863">
        <w:rPr>
          <w:rFonts w:ascii="Arial" w:hAnsi="Arial" w:cs="Arial"/>
          <w:sz w:val="22"/>
          <w:szCs w:val="22"/>
          <w:lang w:val="en-IN"/>
        </w:rPr>
        <w:t xml:space="preserve"> L.) through indirect somatic embryogenesis in Kenya. </w:t>
      </w:r>
      <w:proofErr w:type="spellStart"/>
      <w:r w:rsidRPr="00D23863">
        <w:rPr>
          <w:rFonts w:ascii="Arial" w:hAnsi="Arial" w:cs="Arial"/>
          <w:sz w:val="22"/>
          <w:szCs w:val="22"/>
          <w:lang w:val="en-IN"/>
        </w:rPr>
        <w:t>Afr</w:t>
      </w:r>
      <w:proofErr w:type="spellEnd"/>
      <w:r w:rsidRPr="00D23863">
        <w:rPr>
          <w:rFonts w:ascii="Arial" w:hAnsi="Arial" w:cs="Arial"/>
          <w:sz w:val="22"/>
          <w:szCs w:val="22"/>
          <w:lang w:val="en-IN"/>
        </w:rPr>
        <w:t xml:space="preserve"> J </w:t>
      </w:r>
      <w:proofErr w:type="spellStart"/>
      <w:r w:rsidRPr="00D23863">
        <w:rPr>
          <w:rFonts w:ascii="Arial" w:hAnsi="Arial" w:cs="Arial"/>
          <w:sz w:val="22"/>
          <w:szCs w:val="22"/>
          <w:lang w:val="en-IN"/>
        </w:rPr>
        <w:t>Biotechnol</w:t>
      </w:r>
      <w:proofErr w:type="spellEnd"/>
      <w:r w:rsidRPr="00D23863">
        <w:rPr>
          <w:rFonts w:ascii="Arial" w:hAnsi="Arial" w:cs="Arial"/>
          <w:sz w:val="22"/>
          <w:szCs w:val="22"/>
          <w:lang w:val="en-IN"/>
        </w:rPr>
        <w:t xml:space="preserve"> 18(32):1113-1122. </w:t>
      </w:r>
      <w:hyperlink r:id="rId39" w:tgtFrame="_blank" w:history="1">
        <w:r w:rsidRPr="00D23863">
          <w:rPr>
            <w:rStyle w:val="Hyperlink"/>
            <w:rFonts w:ascii="Arial" w:hAnsi="Arial" w:cs="Arial"/>
            <w:sz w:val="22"/>
            <w:szCs w:val="22"/>
            <w:lang w:val="en-IN"/>
          </w:rPr>
          <w:t>https://doi.org/10.5897/AJB2019.16699</w:t>
        </w:r>
      </w:hyperlink>
    </w:p>
    <w:p w14:paraId="632D4A93"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Blake J, </w:t>
      </w:r>
      <w:proofErr w:type="spellStart"/>
      <w:r w:rsidRPr="00D23863">
        <w:rPr>
          <w:rFonts w:ascii="Arial" w:hAnsi="Arial" w:cs="Arial"/>
          <w:sz w:val="22"/>
          <w:szCs w:val="22"/>
          <w:lang w:val="en-IN"/>
        </w:rPr>
        <w:t>Eeuwens</w:t>
      </w:r>
      <w:proofErr w:type="spellEnd"/>
      <w:r w:rsidRPr="00D23863">
        <w:rPr>
          <w:rFonts w:ascii="Arial" w:hAnsi="Arial" w:cs="Arial"/>
          <w:sz w:val="22"/>
          <w:szCs w:val="22"/>
          <w:lang w:val="en-IN"/>
        </w:rPr>
        <w:t xml:space="preserve"> CJ (1982) Culture of coconut palm tissues with a view to vegetative propagation. In: Proc COSTED Symp Tissue Culture Economically Important Plants, Singapore, pp 145-148</w:t>
      </w:r>
    </w:p>
    <w:p w14:paraId="5B92D6CC"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Branton RL, Blake J (1983) Development of organized structures in callus derived from explants of </w:t>
      </w:r>
      <w:r w:rsidRPr="00D23863">
        <w:rPr>
          <w:rFonts w:ascii="Arial" w:hAnsi="Arial" w:cs="Arial"/>
          <w:i/>
          <w:iCs/>
          <w:sz w:val="22"/>
          <w:szCs w:val="22"/>
          <w:lang w:val="en-IN"/>
        </w:rPr>
        <w:t>Cocos nucifera</w:t>
      </w:r>
      <w:r w:rsidRPr="00D23863">
        <w:rPr>
          <w:rFonts w:ascii="Arial" w:hAnsi="Arial" w:cs="Arial"/>
          <w:sz w:val="22"/>
          <w:szCs w:val="22"/>
          <w:lang w:val="en-IN"/>
        </w:rPr>
        <w:t xml:space="preserve"> L. Ann Bot 52(5):673-678.</w:t>
      </w:r>
    </w:p>
    <w:p w14:paraId="2B473171"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Buffard</w:t>
      </w:r>
      <w:proofErr w:type="spellEnd"/>
      <w:r w:rsidRPr="00D23863">
        <w:rPr>
          <w:rFonts w:ascii="Arial" w:hAnsi="Arial" w:cs="Arial"/>
          <w:sz w:val="22"/>
          <w:szCs w:val="22"/>
          <w:lang w:val="en-IN"/>
        </w:rPr>
        <w:t xml:space="preserve">-Morel J, </w:t>
      </w:r>
      <w:proofErr w:type="spellStart"/>
      <w:r w:rsidRPr="00D23863">
        <w:rPr>
          <w:rFonts w:ascii="Arial" w:hAnsi="Arial" w:cs="Arial"/>
          <w:sz w:val="22"/>
          <w:szCs w:val="22"/>
          <w:lang w:val="en-IN"/>
        </w:rPr>
        <w:t>Verdeil</w:t>
      </w:r>
      <w:proofErr w:type="spellEnd"/>
      <w:r w:rsidRPr="00D23863">
        <w:rPr>
          <w:rFonts w:ascii="Arial" w:hAnsi="Arial" w:cs="Arial"/>
          <w:sz w:val="22"/>
          <w:szCs w:val="22"/>
          <w:lang w:val="en-IN"/>
        </w:rPr>
        <w:t xml:space="preserve"> JL, </w:t>
      </w:r>
      <w:proofErr w:type="spellStart"/>
      <w:r w:rsidRPr="00D23863">
        <w:rPr>
          <w:rFonts w:ascii="Arial" w:hAnsi="Arial" w:cs="Arial"/>
          <w:sz w:val="22"/>
          <w:szCs w:val="22"/>
          <w:lang w:val="en-IN"/>
        </w:rPr>
        <w:t>Dussert</w:t>
      </w:r>
      <w:proofErr w:type="spellEnd"/>
      <w:r w:rsidRPr="00D23863">
        <w:rPr>
          <w:rFonts w:ascii="Arial" w:hAnsi="Arial" w:cs="Arial"/>
          <w:sz w:val="22"/>
          <w:szCs w:val="22"/>
          <w:lang w:val="en-IN"/>
        </w:rPr>
        <w:t xml:space="preserve"> S, </w:t>
      </w:r>
      <w:proofErr w:type="spellStart"/>
      <w:r w:rsidRPr="00D23863">
        <w:rPr>
          <w:rFonts w:ascii="Arial" w:hAnsi="Arial" w:cs="Arial"/>
          <w:sz w:val="22"/>
          <w:szCs w:val="22"/>
          <w:lang w:val="en-IN"/>
        </w:rPr>
        <w:t>Magnaval</w:t>
      </w:r>
      <w:proofErr w:type="spellEnd"/>
      <w:r w:rsidRPr="00D23863">
        <w:rPr>
          <w:rFonts w:ascii="Arial" w:hAnsi="Arial" w:cs="Arial"/>
          <w:sz w:val="22"/>
          <w:szCs w:val="22"/>
          <w:lang w:val="en-IN"/>
        </w:rPr>
        <w:t xml:space="preserve"> C, </w:t>
      </w:r>
      <w:proofErr w:type="spellStart"/>
      <w:r w:rsidRPr="00D23863">
        <w:rPr>
          <w:rFonts w:ascii="Arial" w:hAnsi="Arial" w:cs="Arial"/>
          <w:sz w:val="22"/>
          <w:szCs w:val="22"/>
          <w:lang w:val="en-IN"/>
        </w:rPr>
        <w:t>Huet</w:t>
      </w:r>
      <w:proofErr w:type="spellEnd"/>
      <w:r w:rsidRPr="00D23863">
        <w:rPr>
          <w:rFonts w:ascii="Arial" w:hAnsi="Arial" w:cs="Arial"/>
          <w:sz w:val="22"/>
          <w:szCs w:val="22"/>
          <w:lang w:val="en-IN"/>
        </w:rPr>
        <w:t xml:space="preserve"> C, </w:t>
      </w:r>
      <w:proofErr w:type="spellStart"/>
      <w:r w:rsidRPr="00D23863">
        <w:rPr>
          <w:rFonts w:ascii="Arial" w:hAnsi="Arial" w:cs="Arial"/>
          <w:sz w:val="22"/>
          <w:szCs w:val="22"/>
          <w:lang w:val="en-IN"/>
        </w:rPr>
        <w:t>Grosdemange</w:t>
      </w:r>
      <w:proofErr w:type="spellEnd"/>
      <w:r w:rsidRPr="00D23863">
        <w:rPr>
          <w:rFonts w:ascii="Arial" w:hAnsi="Arial" w:cs="Arial"/>
          <w:sz w:val="22"/>
          <w:szCs w:val="22"/>
          <w:lang w:val="en-IN"/>
        </w:rPr>
        <w:t xml:space="preserve"> F (1995) Initiation of somatic embryogenesis in coconut </w:t>
      </w:r>
      <w:r w:rsidRPr="00D23863">
        <w:rPr>
          <w:rFonts w:ascii="Arial" w:hAnsi="Arial" w:cs="Arial"/>
          <w:i/>
          <w:iCs/>
          <w:sz w:val="22"/>
          <w:szCs w:val="22"/>
          <w:lang w:val="en-IN"/>
        </w:rPr>
        <w:t>(Cocos nucifera</w:t>
      </w:r>
      <w:r w:rsidRPr="00D23863">
        <w:rPr>
          <w:rFonts w:ascii="Arial" w:hAnsi="Arial" w:cs="Arial"/>
          <w:sz w:val="22"/>
          <w:szCs w:val="22"/>
          <w:lang w:val="en-IN"/>
        </w:rPr>
        <w:t xml:space="preserve"> L.). In: Oropeza C, Howard FW, Ashburner GR (eds) Lethal Yellowing: Research and practical aspects. Kluwer Academic Publishers, Dordrecht, pp 217-223</w:t>
      </w:r>
    </w:p>
    <w:p w14:paraId="65409404"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Cavieres</w:t>
      </w:r>
      <w:proofErr w:type="spellEnd"/>
      <w:r w:rsidRPr="00D23863">
        <w:rPr>
          <w:rFonts w:ascii="Arial" w:hAnsi="Arial" w:cs="Arial"/>
          <w:sz w:val="22"/>
          <w:szCs w:val="22"/>
          <w:lang w:val="en-IN"/>
        </w:rPr>
        <w:t xml:space="preserve"> LA, </w:t>
      </w:r>
      <w:proofErr w:type="spellStart"/>
      <w:r w:rsidRPr="00D23863">
        <w:rPr>
          <w:rFonts w:ascii="Arial" w:hAnsi="Arial" w:cs="Arial"/>
          <w:sz w:val="22"/>
          <w:szCs w:val="22"/>
          <w:lang w:val="en-IN"/>
        </w:rPr>
        <w:t>Badano</w:t>
      </w:r>
      <w:proofErr w:type="spellEnd"/>
      <w:r w:rsidRPr="00D23863">
        <w:rPr>
          <w:rFonts w:ascii="Arial" w:hAnsi="Arial" w:cs="Arial"/>
          <w:sz w:val="22"/>
          <w:szCs w:val="22"/>
          <w:lang w:val="en-IN"/>
        </w:rPr>
        <w:t xml:space="preserve"> EI, Sierra-Almeida A (2006) Positive interactions between alpine plant species and nurse cushion plant </w:t>
      </w:r>
      <w:proofErr w:type="spellStart"/>
      <w:r w:rsidRPr="00D23863">
        <w:rPr>
          <w:rFonts w:ascii="Arial" w:hAnsi="Arial" w:cs="Arial"/>
          <w:sz w:val="22"/>
          <w:szCs w:val="22"/>
          <w:lang w:val="en-IN"/>
        </w:rPr>
        <w:t>Laretia</w:t>
      </w:r>
      <w:proofErr w:type="spellEnd"/>
      <w:r w:rsidRPr="00D23863">
        <w:rPr>
          <w:rFonts w:ascii="Arial" w:hAnsi="Arial" w:cs="Arial"/>
          <w:sz w:val="22"/>
          <w:szCs w:val="22"/>
          <w:lang w:val="en-IN"/>
        </w:rPr>
        <w:t xml:space="preserve"> </w:t>
      </w:r>
      <w:proofErr w:type="spellStart"/>
      <w:r w:rsidRPr="00D23863">
        <w:rPr>
          <w:rFonts w:ascii="Arial" w:hAnsi="Arial" w:cs="Arial"/>
          <w:sz w:val="22"/>
          <w:szCs w:val="22"/>
          <w:lang w:val="en-IN"/>
        </w:rPr>
        <w:t>acaulis</w:t>
      </w:r>
      <w:proofErr w:type="spellEnd"/>
      <w:r w:rsidRPr="00D23863">
        <w:rPr>
          <w:rFonts w:ascii="Arial" w:hAnsi="Arial" w:cs="Arial"/>
          <w:sz w:val="22"/>
          <w:szCs w:val="22"/>
          <w:lang w:val="en-IN"/>
        </w:rPr>
        <w:t xml:space="preserve"> do not increase with elevation in </w:t>
      </w:r>
      <w:r w:rsidRPr="00D23863">
        <w:rPr>
          <w:rFonts w:ascii="Arial" w:hAnsi="Arial" w:cs="Arial"/>
          <w:sz w:val="22"/>
          <w:szCs w:val="22"/>
          <w:lang w:val="en-IN"/>
        </w:rPr>
        <w:lastRenderedPageBreak/>
        <w:t>Andes of Central Chile. New Phytol 169:59-69. </w:t>
      </w:r>
      <w:hyperlink r:id="rId40" w:tgtFrame="_blank" w:history="1">
        <w:r w:rsidRPr="00D23863">
          <w:rPr>
            <w:rStyle w:val="Hyperlink"/>
            <w:rFonts w:ascii="Arial" w:hAnsi="Arial" w:cs="Arial"/>
            <w:sz w:val="22"/>
            <w:szCs w:val="22"/>
            <w:lang w:val="en-IN"/>
          </w:rPr>
          <w:t>https://doi.org/10.1111/j.1469-8137.2005.01572.x</w:t>
        </w:r>
      </w:hyperlink>
    </w:p>
    <w:p w14:paraId="797B40BB"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Devdas RP, Sundari K, Susheela A (1969) Effects of supplementation of two school lunch programmes with </w:t>
      </w:r>
      <w:proofErr w:type="spellStart"/>
      <w:r w:rsidRPr="00D23863">
        <w:rPr>
          <w:rFonts w:ascii="Arial" w:hAnsi="Arial" w:cs="Arial"/>
          <w:sz w:val="22"/>
          <w:szCs w:val="22"/>
          <w:lang w:val="en-IN"/>
        </w:rPr>
        <w:t>neera</w:t>
      </w:r>
      <w:proofErr w:type="spellEnd"/>
      <w:r w:rsidRPr="00D23863">
        <w:rPr>
          <w:rFonts w:ascii="Arial" w:hAnsi="Arial" w:cs="Arial"/>
          <w:sz w:val="22"/>
          <w:szCs w:val="22"/>
          <w:lang w:val="en-IN"/>
        </w:rPr>
        <w:t xml:space="preserve"> on nutritional status of children. J </w:t>
      </w:r>
      <w:proofErr w:type="spellStart"/>
      <w:r w:rsidRPr="00D23863">
        <w:rPr>
          <w:rFonts w:ascii="Arial" w:hAnsi="Arial" w:cs="Arial"/>
          <w:sz w:val="22"/>
          <w:szCs w:val="22"/>
          <w:lang w:val="en-IN"/>
        </w:rPr>
        <w:t>Nutr</w:t>
      </w:r>
      <w:proofErr w:type="spellEnd"/>
      <w:r w:rsidRPr="00D23863">
        <w:rPr>
          <w:rFonts w:ascii="Arial" w:hAnsi="Arial" w:cs="Arial"/>
          <w:sz w:val="22"/>
          <w:szCs w:val="22"/>
          <w:lang w:val="en-IN"/>
        </w:rPr>
        <w:t xml:space="preserve"> Diet 6:29-36.</w:t>
      </w:r>
    </w:p>
    <w:p w14:paraId="086F39A0"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Eeuwens</w:t>
      </w:r>
      <w:proofErr w:type="spellEnd"/>
      <w:r w:rsidRPr="00D23863">
        <w:rPr>
          <w:rFonts w:ascii="Arial" w:hAnsi="Arial" w:cs="Arial"/>
          <w:sz w:val="22"/>
          <w:szCs w:val="22"/>
          <w:lang w:val="en-IN"/>
        </w:rPr>
        <w:t xml:space="preserve"> CJ (1976) Mineral requirements for growth and callus initiation of tissue explants excised from mature coconut palms (</w:t>
      </w:r>
      <w:r w:rsidRPr="00D23863">
        <w:rPr>
          <w:rFonts w:ascii="Arial" w:hAnsi="Arial" w:cs="Arial"/>
          <w:i/>
          <w:iCs/>
          <w:sz w:val="22"/>
          <w:szCs w:val="22"/>
          <w:lang w:val="en-IN"/>
        </w:rPr>
        <w:t>Cocos nucifera</w:t>
      </w:r>
      <w:r w:rsidRPr="00D23863">
        <w:rPr>
          <w:rFonts w:ascii="Arial" w:hAnsi="Arial" w:cs="Arial"/>
          <w:sz w:val="22"/>
          <w:szCs w:val="22"/>
          <w:lang w:val="en-IN"/>
        </w:rPr>
        <w:t xml:space="preserve">) and cultured in vitro. </w:t>
      </w:r>
      <w:proofErr w:type="spellStart"/>
      <w:r w:rsidRPr="00D23863">
        <w:rPr>
          <w:rFonts w:ascii="Arial" w:hAnsi="Arial" w:cs="Arial"/>
          <w:sz w:val="22"/>
          <w:szCs w:val="22"/>
          <w:lang w:val="en-IN"/>
        </w:rPr>
        <w:t>Physiol</w:t>
      </w:r>
      <w:proofErr w:type="spellEnd"/>
      <w:r w:rsidRPr="00D23863">
        <w:rPr>
          <w:rFonts w:ascii="Arial" w:hAnsi="Arial" w:cs="Arial"/>
          <w:sz w:val="22"/>
          <w:szCs w:val="22"/>
          <w:lang w:val="en-IN"/>
        </w:rPr>
        <w:t xml:space="preserve"> Plant 36(1):23-28. </w:t>
      </w:r>
      <w:hyperlink r:id="rId41" w:tgtFrame="_blank" w:history="1">
        <w:r w:rsidRPr="00D23863">
          <w:rPr>
            <w:rStyle w:val="Hyperlink"/>
            <w:rFonts w:ascii="Arial" w:hAnsi="Arial" w:cs="Arial"/>
            <w:sz w:val="22"/>
            <w:szCs w:val="22"/>
            <w:lang w:val="en-IN"/>
          </w:rPr>
          <w:t>https://doi.org/10.1111/j.1399-3054.1976.tb03123.x</w:t>
        </w:r>
      </w:hyperlink>
    </w:p>
    <w:p w14:paraId="2E0273FC"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Fehér A, Pasternak TP, Dudits D (2003) Transition of somatic plant cells to an embryogenic state. Plant Cell Tissue Organ Cult 74:201–228. </w:t>
      </w:r>
      <w:hyperlink r:id="rId42" w:tgtFrame="_blank" w:history="1">
        <w:r w:rsidRPr="00D23863">
          <w:rPr>
            <w:rStyle w:val="Hyperlink"/>
            <w:rFonts w:ascii="Arial" w:hAnsi="Arial" w:cs="Arial"/>
            <w:sz w:val="22"/>
            <w:szCs w:val="22"/>
            <w:lang w:val="en-IN"/>
          </w:rPr>
          <w:t>https://doi.org/10.1023/A:1024883421127</w:t>
        </w:r>
      </w:hyperlink>
    </w:p>
    <w:p w14:paraId="2F28619D"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George EF, Hall MA, De-Klerk G (2008) The components of plant tissue culture media II: Organic additions, osmotic and pH effects, and support systems. In: George EF, Hall MA, De-Klerk G (eds) Plant Propagation by Tissue Culture, 3rd </w:t>
      </w:r>
      <w:proofErr w:type="spellStart"/>
      <w:r w:rsidRPr="00D23863">
        <w:rPr>
          <w:rFonts w:ascii="Arial" w:hAnsi="Arial" w:cs="Arial"/>
          <w:sz w:val="22"/>
          <w:szCs w:val="22"/>
          <w:lang w:val="en-IN"/>
        </w:rPr>
        <w:t>edn</w:t>
      </w:r>
      <w:proofErr w:type="spellEnd"/>
      <w:r w:rsidRPr="00D23863">
        <w:rPr>
          <w:rFonts w:ascii="Arial" w:hAnsi="Arial" w:cs="Arial"/>
          <w:sz w:val="22"/>
          <w:szCs w:val="22"/>
          <w:lang w:val="en-IN"/>
        </w:rPr>
        <w:t>. Springer, pp 115-173</w:t>
      </w:r>
    </w:p>
    <w:p w14:paraId="3B35A06C"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Jesty JHF, Francis D (1992) Cellular responses of leaf explants of </w:t>
      </w:r>
      <w:r w:rsidRPr="00D23863">
        <w:rPr>
          <w:rFonts w:ascii="Arial" w:hAnsi="Arial" w:cs="Arial"/>
          <w:i/>
          <w:iCs/>
          <w:sz w:val="22"/>
          <w:szCs w:val="22"/>
          <w:lang w:val="en-IN"/>
        </w:rPr>
        <w:t>Cocos nucifera</w:t>
      </w:r>
      <w:r w:rsidRPr="00D23863">
        <w:rPr>
          <w:rFonts w:ascii="Arial" w:hAnsi="Arial" w:cs="Arial"/>
          <w:sz w:val="22"/>
          <w:szCs w:val="22"/>
          <w:lang w:val="en-IN"/>
        </w:rPr>
        <w:t xml:space="preserve"> L. in vitro. Plant Cell Tissue Organ Cult 28:235-244. </w:t>
      </w:r>
      <w:hyperlink r:id="rId43" w:tgtFrame="_blank" w:history="1">
        <w:r w:rsidRPr="00D23863">
          <w:rPr>
            <w:rStyle w:val="Hyperlink"/>
            <w:rFonts w:ascii="Arial" w:hAnsi="Arial" w:cs="Arial"/>
            <w:sz w:val="22"/>
            <w:szCs w:val="22"/>
            <w:lang w:val="en-IN"/>
          </w:rPr>
          <w:t>https://doi.org/10.1007/BF00033558</w:t>
        </w:r>
      </w:hyperlink>
    </w:p>
    <w:p w14:paraId="135827A7"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Jiménez-Bremont JF, Marina M, Guerrero-Gonzalez MDLL, Rossi FR, Sánchez-Rangel D, Rodríguez-Kessler M, Ruiz OA, </w:t>
      </w:r>
      <w:proofErr w:type="spellStart"/>
      <w:r w:rsidRPr="00D23863">
        <w:rPr>
          <w:rFonts w:ascii="Arial" w:hAnsi="Arial" w:cs="Arial"/>
          <w:sz w:val="22"/>
          <w:szCs w:val="22"/>
          <w:lang w:val="en-IN"/>
        </w:rPr>
        <w:t>Gárriz</w:t>
      </w:r>
      <w:proofErr w:type="spellEnd"/>
      <w:r w:rsidRPr="00D23863">
        <w:rPr>
          <w:rFonts w:ascii="Arial" w:hAnsi="Arial" w:cs="Arial"/>
          <w:sz w:val="22"/>
          <w:szCs w:val="22"/>
          <w:lang w:val="en-IN"/>
        </w:rPr>
        <w:t xml:space="preserve"> A (2014) Physiological and molecular implications of plant polyamine metabolism during biotic interactions. Front Plant Sci 5:95. </w:t>
      </w:r>
      <w:hyperlink r:id="rId44" w:tgtFrame="_blank" w:history="1">
        <w:r w:rsidRPr="00D23863">
          <w:rPr>
            <w:rStyle w:val="Hyperlink"/>
            <w:rFonts w:ascii="Arial" w:hAnsi="Arial" w:cs="Arial"/>
            <w:sz w:val="22"/>
            <w:szCs w:val="22"/>
            <w:lang w:val="en-IN"/>
          </w:rPr>
          <w:t>https://doi.org/10.3389/fpls.2014.00095</w:t>
        </w:r>
      </w:hyperlink>
    </w:p>
    <w:p w14:paraId="37F5F208"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Karunaratne S, </w:t>
      </w:r>
      <w:proofErr w:type="spellStart"/>
      <w:r w:rsidRPr="00D23863">
        <w:rPr>
          <w:rFonts w:ascii="Arial" w:hAnsi="Arial" w:cs="Arial"/>
          <w:sz w:val="22"/>
          <w:szCs w:val="22"/>
          <w:lang w:val="en-IN"/>
        </w:rPr>
        <w:t>Periyapperuma</w:t>
      </w:r>
      <w:proofErr w:type="spellEnd"/>
      <w:r w:rsidRPr="00D23863">
        <w:rPr>
          <w:rFonts w:ascii="Arial" w:hAnsi="Arial" w:cs="Arial"/>
          <w:sz w:val="22"/>
          <w:szCs w:val="22"/>
          <w:lang w:val="en-IN"/>
        </w:rPr>
        <w:t xml:space="preserve"> K (1989) Culture of immature embryos of coconut, </w:t>
      </w:r>
      <w:r w:rsidRPr="00D23863">
        <w:rPr>
          <w:rFonts w:ascii="Arial" w:hAnsi="Arial" w:cs="Arial"/>
          <w:i/>
          <w:iCs/>
          <w:sz w:val="22"/>
          <w:szCs w:val="22"/>
          <w:lang w:val="en-IN"/>
        </w:rPr>
        <w:t>Cocos nucifera</w:t>
      </w:r>
      <w:r w:rsidRPr="00D23863">
        <w:rPr>
          <w:rFonts w:ascii="Arial" w:hAnsi="Arial" w:cs="Arial"/>
          <w:sz w:val="22"/>
          <w:szCs w:val="22"/>
          <w:lang w:val="en-IN"/>
        </w:rPr>
        <w:t xml:space="preserve"> L: Callus proliferation and somatic embryogenesis. Plant Sci 62(2):247-253. </w:t>
      </w:r>
      <w:hyperlink r:id="rId45" w:tgtFrame="_blank" w:history="1">
        <w:r w:rsidRPr="00D23863">
          <w:rPr>
            <w:rStyle w:val="Hyperlink"/>
            <w:rFonts w:ascii="Arial" w:hAnsi="Arial" w:cs="Arial"/>
            <w:sz w:val="22"/>
            <w:szCs w:val="22"/>
            <w:lang w:val="en-IN"/>
          </w:rPr>
          <w:t>https://doi.org/10.1016/0168-9452(89)90079-4</w:t>
        </w:r>
      </w:hyperlink>
    </w:p>
    <w:p w14:paraId="7152F7DE"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Merkle SA, Parrott WA, Flinn BS (1995) Morphogenic aspects of somatic embryogenesis. In: Thorpe TA (ed) Plant Tissue Culture Manual. Springer, Netherlands. </w:t>
      </w:r>
      <w:hyperlink r:id="rId46" w:tgtFrame="_blank" w:history="1">
        <w:r w:rsidRPr="00D23863">
          <w:rPr>
            <w:rStyle w:val="Hyperlink"/>
            <w:rFonts w:ascii="Arial" w:hAnsi="Arial" w:cs="Arial"/>
            <w:sz w:val="22"/>
            <w:szCs w:val="22"/>
            <w:lang w:val="en-IN"/>
          </w:rPr>
          <w:t>https://doi.org/10.1007/978-94-011-0485-2_5</w:t>
        </w:r>
      </w:hyperlink>
    </w:p>
    <w:p w14:paraId="16FBED1F"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Mweu</w:t>
      </w:r>
      <w:proofErr w:type="spellEnd"/>
      <w:r w:rsidRPr="00D23863">
        <w:rPr>
          <w:rFonts w:ascii="Arial" w:hAnsi="Arial" w:cs="Arial"/>
          <w:sz w:val="22"/>
          <w:szCs w:val="22"/>
          <w:lang w:val="en-IN"/>
        </w:rPr>
        <w:t xml:space="preserve"> CM, </w:t>
      </w:r>
      <w:proofErr w:type="spellStart"/>
      <w:r w:rsidRPr="00D23863">
        <w:rPr>
          <w:rFonts w:ascii="Arial" w:hAnsi="Arial" w:cs="Arial"/>
          <w:sz w:val="22"/>
          <w:szCs w:val="22"/>
          <w:lang w:val="en-IN"/>
        </w:rPr>
        <w:t>Nyende</w:t>
      </w:r>
      <w:proofErr w:type="spellEnd"/>
      <w:r w:rsidRPr="00D23863">
        <w:rPr>
          <w:rFonts w:ascii="Arial" w:hAnsi="Arial" w:cs="Arial"/>
          <w:sz w:val="22"/>
          <w:szCs w:val="22"/>
          <w:lang w:val="en-IN"/>
        </w:rPr>
        <w:t xml:space="preserve"> A, </w:t>
      </w:r>
      <w:proofErr w:type="spellStart"/>
      <w:r w:rsidRPr="00D23863">
        <w:rPr>
          <w:rFonts w:ascii="Arial" w:hAnsi="Arial" w:cs="Arial"/>
          <w:sz w:val="22"/>
          <w:szCs w:val="22"/>
          <w:lang w:val="en-IN"/>
        </w:rPr>
        <w:t>Onguso</w:t>
      </w:r>
      <w:proofErr w:type="spellEnd"/>
      <w:r w:rsidRPr="00D23863">
        <w:rPr>
          <w:rFonts w:ascii="Arial" w:hAnsi="Arial" w:cs="Arial"/>
          <w:sz w:val="22"/>
          <w:szCs w:val="22"/>
          <w:lang w:val="en-IN"/>
        </w:rPr>
        <w:t xml:space="preserve"> J (2016) Efficient somatic embryogenesis of Jatropha </w:t>
      </w:r>
      <w:proofErr w:type="spellStart"/>
      <w:r w:rsidRPr="00D23863">
        <w:rPr>
          <w:rFonts w:ascii="Arial" w:hAnsi="Arial" w:cs="Arial"/>
          <w:sz w:val="22"/>
          <w:szCs w:val="22"/>
          <w:lang w:val="en-IN"/>
        </w:rPr>
        <w:t>curcas</w:t>
      </w:r>
      <w:proofErr w:type="spellEnd"/>
      <w:r w:rsidRPr="00D23863">
        <w:rPr>
          <w:rFonts w:ascii="Arial" w:hAnsi="Arial" w:cs="Arial"/>
          <w:sz w:val="22"/>
          <w:szCs w:val="22"/>
          <w:lang w:val="en-IN"/>
        </w:rPr>
        <w:t xml:space="preserve"> L. from petiole and leaf discs. Int J </w:t>
      </w:r>
      <w:proofErr w:type="spellStart"/>
      <w:r w:rsidRPr="00D23863">
        <w:rPr>
          <w:rFonts w:ascii="Arial" w:hAnsi="Arial" w:cs="Arial"/>
          <w:sz w:val="22"/>
          <w:szCs w:val="22"/>
          <w:lang w:val="en-IN"/>
        </w:rPr>
        <w:t>Biotechnol</w:t>
      </w:r>
      <w:proofErr w:type="spellEnd"/>
      <w:r w:rsidRPr="00D23863">
        <w:rPr>
          <w:rFonts w:ascii="Arial" w:hAnsi="Arial" w:cs="Arial"/>
          <w:sz w:val="22"/>
          <w:szCs w:val="22"/>
          <w:lang w:val="en-IN"/>
        </w:rPr>
        <w:t xml:space="preserve"> Mol </w:t>
      </w:r>
      <w:proofErr w:type="spellStart"/>
      <w:r w:rsidRPr="00D23863">
        <w:rPr>
          <w:rFonts w:ascii="Arial" w:hAnsi="Arial" w:cs="Arial"/>
          <w:sz w:val="22"/>
          <w:szCs w:val="22"/>
          <w:lang w:val="en-IN"/>
        </w:rPr>
        <w:t>Biol</w:t>
      </w:r>
      <w:proofErr w:type="spellEnd"/>
      <w:r w:rsidRPr="00D23863">
        <w:rPr>
          <w:rFonts w:ascii="Arial" w:hAnsi="Arial" w:cs="Arial"/>
          <w:sz w:val="22"/>
          <w:szCs w:val="22"/>
          <w:lang w:val="en-IN"/>
        </w:rPr>
        <w:t xml:space="preserve"> Res 7(3):29-35</w:t>
      </w:r>
    </w:p>
    <w:p w14:paraId="59C48046"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Perera</w:t>
      </w:r>
      <w:proofErr w:type="spellEnd"/>
      <w:r w:rsidRPr="00D23863">
        <w:rPr>
          <w:rFonts w:ascii="Arial" w:hAnsi="Arial" w:cs="Arial"/>
          <w:sz w:val="22"/>
          <w:szCs w:val="22"/>
          <w:lang w:val="en-IN"/>
        </w:rPr>
        <w:t xml:space="preserve"> PI, </w:t>
      </w:r>
      <w:proofErr w:type="spellStart"/>
      <w:r w:rsidRPr="00D23863">
        <w:rPr>
          <w:rFonts w:ascii="Arial" w:hAnsi="Arial" w:cs="Arial"/>
          <w:sz w:val="22"/>
          <w:szCs w:val="22"/>
          <w:lang w:val="en-IN"/>
        </w:rPr>
        <w:t>Vidhanaarachchi</w:t>
      </w:r>
      <w:proofErr w:type="spellEnd"/>
      <w:r w:rsidRPr="00D23863">
        <w:rPr>
          <w:rFonts w:ascii="Arial" w:hAnsi="Arial" w:cs="Arial"/>
          <w:sz w:val="22"/>
          <w:szCs w:val="22"/>
          <w:lang w:val="en-IN"/>
        </w:rPr>
        <w:t xml:space="preserve"> VRM, </w:t>
      </w:r>
      <w:proofErr w:type="spellStart"/>
      <w:r w:rsidRPr="00D23863">
        <w:rPr>
          <w:rFonts w:ascii="Arial" w:hAnsi="Arial" w:cs="Arial"/>
          <w:sz w:val="22"/>
          <w:szCs w:val="22"/>
          <w:lang w:val="en-IN"/>
        </w:rPr>
        <w:t>Gunathilake</w:t>
      </w:r>
      <w:proofErr w:type="spellEnd"/>
      <w:r w:rsidRPr="00D23863">
        <w:rPr>
          <w:rFonts w:ascii="Arial" w:hAnsi="Arial" w:cs="Arial"/>
          <w:sz w:val="22"/>
          <w:szCs w:val="22"/>
          <w:lang w:val="en-IN"/>
        </w:rPr>
        <w:t xml:space="preserve"> TR, </w:t>
      </w:r>
      <w:proofErr w:type="spellStart"/>
      <w:r w:rsidRPr="00D23863">
        <w:rPr>
          <w:rFonts w:ascii="Arial" w:hAnsi="Arial" w:cs="Arial"/>
          <w:sz w:val="22"/>
          <w:szCs w:val="22"/>
          <w:lang w:val="en-IN"/>
        </w:rPr>
        <w:t>Yakandawala</w:t>
      </w:r>
      <w:proofErr w:type="spellEnd"/>
      <w:r w:rsidRPr="00D23863">
        <w:rPr>
          <w:rFonts w:ascii="Arial" w:hAnsi="Arial" w:cs="Arial"/>
          <w:sz w:val="22"/>
          <w:szCs w:val="22"/>
          <w:lang w:val="en-IN"/>
        </w:rPr>
        <w:t xml:space="preserve"> DMD, </w:t>
      </w:r>
      <w:proofErr w:type="spellStart"/>
      <w:r w:rsidRPr="00D23863">
        <w:rPr>
          <w:rFonts w:ascii="Arial" w:hAnsi="Arial" w:cs="Arial"/>
          <w:sz w:val="22"/>
          <w:szCs w:val="22"/>
          <w:lang w:val="en-IN"/>
        </w:rPr>
        <w:t>Hocher</w:t>
      </w:r>
      <w:proofErr w:type="spellEnd"/>
      <w:r w:rsidRPr="00D23863">
        <w:rPr>
          <w:rFonts w:ascii="Arial" w:hAnsi="Arial" w:cs="Arial"/>
          <w:sz w:val="22"/>
          <w:szCs w:val="22"/>
          <w:lang w:val="en-IN"/>
        </w:rPr>
        <w:t xml:space="preserve"> V, </w:t>
      </w:r>
      <w:proofErr w:type="spellStart"/>
      <w:r w:rsidRPr="00D23863">
        <w:rPr>
          <w:rFonts w:ascii="Arial" w:hAnsi="Arial" w:cs="Arial"/>
          <w:sz w:val="22"/>
          <w:szCs w:val="22"/>
          <w:lang w:val="en-IN"/>
        </w:rPr>
        <w:t>Verdeil</w:t>
      </w:r>
      <w:proofErr w:type="spellEnd"/>
      <w:r w:rsidRPr="00D23863">
        <w:rPr>
          <w:rFonts w:ascii="Arial" w:hAnsi="Arial" w:cs="Arial"/>
          <w:sz w:val="22"/>
          <w:szCs w:val="22"/>
          <w:lang w:val="en-IN"/>
        </w:rPr>
        <w:t xml:space="preserve"> JL, </w:t>
      </w:r>
      <w:proofErr w:type="spellStart"/>
      <w:r w:rsidRPr="00D23863">
        <w:rPr>
          <w:rFonts w:ascii="Arial" w:hAnsi="Arial" w:cs="Arial"/>
          <w:sz w:val="22"/>
          <w:szCs w:val="22"/>
          <w:lang w:val="en-IN"/>
        </w:rPr>
        <w:t>Weerakoon</w:t>
      </w:r>
      <w:proofErr w:type="spellEnd"/>
      <w:r w:rsidRPr="00D23863">
        <w:rPr>
          <w:rFonts w:ascii="Arial" w:hAnsi="Arial" w:cs="Arial"/>
          <w:sz w:val="22"/>
          <w:szCs w:val="22"/>
          <w:lang w:val="en-IN"/>
        </w:rPr>
        <w:t xml:space="preserve"> LK (2009) Effect of plant growth regulators on ovary culture of coconut (Cocos nucifera L.). Plant Cell Tissue Organ Cult 99(1):73-81. </w:t>
      </w:r>
      <w:hyperlink r:id="rId47" w:tgtFrame="_blank" w:history="1">
        <w:r w:rsidRPr="00D23863">
          <w:rPr>
            <w:rStyle w:val="Hyperlink"/>
            <w:rFonts w:ascii="Arial" w:hAnsi="Arial" w:cs="Arial"/>
            <w:sz w:val="22"/>
            <w:szCs w:val="22"/>
            <w:lang w:val="en-IN"/>
          </w:rPr>
          <w:t>https://doi.org/10.1007/s11240-009-9548-3</w:t>
        </w:r>
      </w:hyperlink>
    </w:p>
    <w:p w14:paraId="6279D83E"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Rajesh MK, Radha E, Sajini KK, Anitha K (2014) Polyamine-induced somatic embryogenesis and plantlet regeneration in vitro from </w:t>
      </w:r>
      <w:proofErr w:type="spellStart"/>
      <w:r w:rsidRPr="00D23863">
        <w:rPr>
          <w:rFonts w:ascii="Arial" w:hAnsi="Arial" w:cs="Arial"/>
          <w:sz w:val="22"/>
          <w:szCs w:val="22"/>
          <w:lang w:val="en-IN"/>
        </w:rPr>
        <w:t>plumular</w:t>
      </w:r>
      <w:proofErr w:type="spellEnd"/>
      <w:r w:rsidRPr="00D23863">
        <w:rPr>
          <w:rFonts w:ascii="Arial" w:hAnsi="Arial" w:cs="Arial"/>
          <w:sz w:val="22"/>
          <w:szCs w:val="22"/>
          <w:lang w:val="en-IN"/>
        </w:rPr>
        <w:t xml:space="preserve"> explants of dwarf cultivars of coconut (</w:t>
      </w:r>
      <w:r w:rsidRPr="00D23863">
        <w:rPr>
          <w:rFonts w:ascii="Arial" w:hAnsi="Arial" w:cs="Arial"/>
          <w:i/>
          <w:iCs/>
          <w:sz w:val="22"/>
          <w:szCs w:val="22"/>
          <w:lang w:val="en-IN"/>
        </w:rPr>
        <w:t>Cocos nucifera</w:t>
      </w:r>
      <w:r w:rsidRPr="00D23863">
        <w:rPr>
          <w:rFonts w:ascii="Arial" w:hAnsi="Arial" w:cs="Arial"/>
          <w:sz w:val="22"/>
          <w:szCs w:val="22"/>
          <w:lang w:val="en-IN"/>
        </w:rPr>
        <w:t>)</w:t>
      </w:r>
    </w:p>
    <w:p w14:paraId="7769A20E"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Samosir</w:t>
      </w:r>
      <w:proofErr w:type="spellEnd"/>
      <w:r w:rsidRPr="00D23863">
        <w:rPr>
          <w:rFonts w:ascii="Arial" w:hAnsi="Arial" w:cs="Arial"/>
          <w:sz w:val="22"/>
          <w:szCs w:val="22"/>
          <w:lang w:val="en-IN"/>
        </w:rPr>
        <w:t xml:space="preserve"> YMS, Godwin RD, Adkins SW (1998) An improved protocol for somatic embryogenesis in coconut (</w:t>
      </w:r>
      <w:r w:rsidRPr="00D23863">
        <w:rPr>
          <w:rFonts w:ascii="Arial" w:hAnsi="Arial" w:cs="Arial"/>
          <w:i/>
          <w:iCs/>
          <w:sz w:val="22"/>
          <w:szCs w:val="22"/>
          <w:lang w:val="en-IN"/>
        </w:rPr>
        <w:t>Cocos nucifera</w:t>
      </w:r>
      <w:r w:rsidRPr="00D23863">
        <w:rPr>
          <w:rFonts w:ascii="Arial" w:hAnsi="Arial" w:cs="Arial"/>
          <w:sz w:val="22"/>
          <w:szCs w:val="22"/>
          <w:lang w:val="en-IN"/>
        </w:rPr>
        <w:t xml:space="preserve"> L.). In: </w:t>
      </w:r>
      <w:proofErr w:type="spellStart"/>
      <w:r w:rsidRPr="00D23863">
        <w:rPr>
          <w:rFonts w:ascii="Arial" w:hAnsi="Arial" w:cs="Arial"/>
          <w:sz w:val="22"/>
          <w:szCs w:val="22"/>
          <w:lang w:val="en-IN"/>
        </w:rPr>
        <w:t>Oropeza</w:t>
      </w:r>
      <w:proofErr w:type="spellEnd"/>
      <w:r w:rsidRPr="00D23863">
        <w:rPr>
          <w:rFonts w:ascii="Arial" w:hAnsi="Arial" w:cs="Arial"/>
          <w:sz w:val="22"/>
          <w:szCs w:val="22"/>
          <w:lang w:val="en-IN"/>
        </w:rPr>
        <w:t xml:space="preserve"> C, </w:t>
      </w:r>
      <w:proofErr w:type="spellStart"/>
      <w:r w:rsidRPr="00D23863">
        <w:rPr>
          <w:rFonts w:ascii="Arial" w:hAnsi="Arial" w:cs="Arial"/>
          <w:sz w:val="22"/>
          <w:szCs w:val="22"/>
          <w:lang w:val="en-IN"/>
        </w:rPr>
        <w:t>Verdeil</w:t>
      </w:r>
      <w:proofErr w:type="spellEnd"/>
      <w:r w:rsidRPr="00D23863">
        <w:rPr>
          <w:rFonts w:ascii="Arial" w:hAnsi="Arial" w:cs="Arial"/>
          <w:sz w:val="22"/>
          <w:szCs w:val="22"/>
          <w:lang w:val="en-IN"/>
        </w:rPr>
        <w:t xml:space="preserve"> JL, Ashburner GR (eds) Current Advances </w:t>
      </w:r>
      <w:proofErr w:type="gramStart"/>
      <w:r w:rsidRPr="00D23863">
        <w:rPr>
          <w:rFonts w:ascii="Arial" w:hAnsi="Arial" w:cs="Arial"/>
          <w:sz w:val="22"/>
          <w:szCs w:val="22"/>
          <w:lang w:val="en-IN"/>
        </w:rPr>
        <w:t>In</w:t>
      </w:r>
      <w:proofErr w:type="gramEnd"/>
      <w:r w:rsidRPr="00D23863">
        <w:rPr>
          <w:rFonts w:ascii="Arial" w:hAnsi="Arial" w:cs="Arial"/>
          <w:sz w:val="22"/>
          <w:szCs w:val="22"/>
          <w:lang w:val="en-IN"/>
        </w:rPr>
        <w:t xml:space="preserve"> Coconut Biotechnology. Kluwer Academic Publishers, Dordrecht, Netherlands, pp 341-354</w:t>
      </w:r>
    </w:p>
    <w:p w14:paraId="2A7AE3A1"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Scherwinski-Pereira J, Guedes RS, Fermino PC, Dilva TL, Costa FH (2010) Somatic embryogenesis and plant regeneration in oil palm using the thin cell layer technique. In Vitro Cell Dev </w:t>
      </w:r>
      <w:proofErr w:type="spellStart"/>
      <w:r w:rsidRPr="00D23863">
        <w:rPr>
          <w:rFonts w:ascii="Arial" w:hAnsi="Arial" w:cs="Arial"/>
          <w:sz w:val="22"/>
          <w:szCs w:val="22"/>
          <w:lang w:val="en-IN"/>
        </w:rPr>
        <w:t>Biol</w:t>
      </w:r>
      <w:proofErr w:type="spellEnd"/>
      <w:r w:rsidRPr="00D23863">
        <w:rPr>
          <w:rFonts w:ascii="Arial" w:hAnsi="Arial" w:cs="Arial"/>
          <w:sz w:val="22"/>
          <w:szCs w:val="22"/>
          <w:lang w:val="en-IN"/>
        </w:rPr>
        <w:t xml:space="preserve"> Plant 46:378-385. </w:t>
      </w:r>
      <w:hyperlink r:id="rId48" w:tgtFrame="_blank" w:history="1">
        <w:r w:rsidRPr="00D23863">
          <w:rPr>
            <w:rStyle w:val="Hyperlink"/>
            <w:rFonts w:ascii="Arial" w:hAnsi="Arial" w:cs="Arial"/>
            <w:sz w:val="22"/>
            <w:szCs w:val="22"/>
            <w:lang w:val="en-IN"/>
          </w:rPr>
          <w:t>https://doi.org/10.1007/s11627-010-9280-3</w:t>
        </w:r>
      </w:hyperlink>
    </w:p>
    <w:p w14:paraId="477B6ABC"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Shareefa M, Thomas RJ, </w:t>
      </w:r>
      <w:proofErr w:type="spellStart"/>
      <w:r w:rsidRPr="00D23863">
        <w:rPr>
          <w:rFonts w:ascii="Arial" w:hAnsi="Arial" w:cs="Arial"/>
          <w:sz w:val="22"/>
          <w:szCs w:val="22"/>
          <w:lang w:val="en-IN"/>
        </w:rPr>
        <w:t>Sreelekshmi</w:t>
      </w:r>
      <w:proofErr w:type="spellEnd"/>
      <w:r w:rsidRPr="00D23863">
        <w:rPr>
          <w:rFonts w:ascii="Arial" w:hAnsi="Arial" w:cs="Arial"/>
          <w:sz w:val="22"/>
          <w:szCs w:val="22"/>
          <w:lang w:val="en-IN"/>
        </w:rPr>
        <w:t xml:space="preserve"> JS, Rajesh MK, Karun A (2019) In vitro regeneration of coconut plantlets from immature inflorescence. Curr Sci 117(5):813-820</w:t>
      </w:r>
    </w:p>
    <w:p w14:paraId="64BA8091"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Siny CV (2006) Response of immature inflorescence for in-vitro regeneration in coconut (Cocos nucifera L.). M.Sc. (Ag) thesis, Kerala Agricultural University, Thrissur</w:t>
      </w:r>
    </w:p>
    <w:p w14:paraId="61E32572"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Verdeil</w:t>
      </w:r>
      <w:proofErr w:type="spellEnd"/>
      <w:r w:rsidRPr="00D23863">
        <w:rPr>
          <w:rFonts w:ascii="Arial" w:hAnsi="Arial" w:cs="Arial"/>
          <w:sz w:val="22"/>
          <w:szCs w:val="22"/>
          <w:lang w:val="en-IN"/>
        </w:rPr>
        <w:t xml:space="preserve"> JL, </w:t>
      </w:r>
      <w:proofErr w:type="spellStart"/>
      <w:r w:rsidRPr="00D23863">
        <w:rPr>
          <w:rFonts w:ascii="Arial" w:hAnsi="Arial" w:cs="Arial"/>
          <w:sz w:val="22"/>
          <w:szCs w:val="22"/>
          <w:lang w:val="en-IN"/>
        </w:rPr>
        <w:t>Buffard</w:t>
      </w:r>
      <w:proofErr w:type="spellEnd"/>
      <w:r w:rsidRPr="00D23863">
        <w:rPr>
          <w:rFonts w:ascii="Arial" w:hAnsi="Arial" w:cs="Arial"/>
          <w:sz w:val="22"/>
          <w:szCs w:val="22"/>
          <w:lang w:val="en-IN"/>
        </w:rPr>
        <w:t>-Morel J (1995) Somatic embryogenesis in coconut (Cocos nucifera L.). In Bajaj YPS (ed) Biotechnology in Agriculture and Forestry, Somatic embryogenesis and Synthetic Seed I, 30th Ed. Springer, Berlin, Heidelberg, pp 299-317</w:t>
      </w:r>
    </w:p>
    <w:p w14:paraId="62208065"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Verdeil</w:t>
      </w:r>
      <w:proofErr w:type="spellEnd"/>
      <w:r w:rsidRPr="00D23863">
        <w:rPr>
          <w:rFonts w:ascii="Arial" w:hAnsi="Arial" w:cs="Arial"/>
          <w:sz w:val="22"/>
          <w:szCs w:val="22"/>
          <w:lang w:val="en-IN"/>
        </w:rPr>
        <w:t xml:space="preserve"> JL, </w:t>
      </w:r>
      <w:proofErr w:type="spellStart"/>
      <w:r w:rsidRPr="00D23863">
        <w:rPr>
          <w:rFonts w:ascii="Arial" w:hAnsi="Arial" w:cs="Arial"/>
          <w:sz w:val="22"/>
          <w:szCs w:val="22"/>
          <w:lang w:val="en-IN"/>
        </w:rPr>
        <w:t>Huet</w:t>
      </w:r>
      <w:proofErr w:type="spellEnd"/>
      <w:r w:rsidRPr="00D23863">
        <w:rPr>
          <w:rFonts w:ascii="Arial" w:hAnsi="Arial" w:cs="Arial"/>
          <w:sz w:val="22"/>
          <w:szCs w:val="22"/>
          <w:lang w:val="en-IN"/>
        </w:rPr>
        <w:t xml:space="preserve"> C, </w:t>
      </w:r>
      <w:proofErr w:type="spellStart"/>
      <w:r w:rsidRPr="00D23863">
        <w:rPr>
          <w:rFonts w:ascii="Arial" w:hAnsi="Arial" w:cs="Arial"/>
          <w:sz w:val="22"/>
          <w:szCs w:val="22"/>
          <w:lang w:val="en-IN"/>
        </w:rPr>
        <w:t>Grosdemange</w:t>
      </w:r>
      <w:proofErr w:type="spellEnd"/>
      <w:r w:rsidRPr="00D23863">
        <w:rPr>
          <w:rFonts w:ascii="Arial" w:hAnsi="Arial" w:cs="Arial"/>
          <w:sz w:val="22"/>
          <w:szCs w:val="22"/>
          <w:lang w:val="en-IN"/>
        </w:rPr>
        <w:t xml:space="preserve"> F, </w:t>
      </w:r>
      <w:proofErr w:type="spellStart"/>
      <w:r w:rsidRPr="00D23863">
        <w:rPr>
          <w:rFonts w:ascii="Arial" w:hAnsi="Arial" w:cs="Arial"/>
          <w:sz w:val="22"/>
          <w:szCs w:val="22"/>
          <w:lang w:val="en-IN"/>
        </w:rPr>
        <w:t>Buffard</w:t>
      </w:r>
      <w:proofErr w:type="spellEnd"/>
      <w:r w:rsidRPr="00D23863">
        <w:rPr>
          <w:rFonts w:ascii="Arial" w:hAnsi="Arial" w:cs="Arial"/>
          <w:sz w:val="22"/>
          <w:szCs w:val="22"/>
          <w:lang w:val="en-IN"/>
        </w:rPr>
        <w:t>-Morel J (1994) Plant regeneration from cultured immature inflorescences coconut (Cocos nucifera L.): Evidence for somatic embryogenesis. Plant Cell Rep 13:218-221. </w:t>
      </w:r>
      <w:hyperlink r:id="rId49" w:tgtFrame="_blank" w:history="1">
        <w:r w:rsidRPr="00D23863">
          <w:rPr>
            <w:rStyle w:val="Hyperlink"/>
            <w:rFonts w:ascii="Arial" w:hAnsi="Arial" w:cs="Arial"/>
            <w:sz w:val="22"/>
            <w:szCs w:val="22"/>
            <w:lang w:val="en-IN"/>
          </w:rPr>
          <w:t>https://doi.org/10.1007/BF00232907</w:t>
        </w:r>
      </w:hyperlink>
    </w:p>
    <w:p w14:paraId="13EA97CF"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Verdeil</w:t>
      </w:r>
      <w:proofErr w:type="spellEnd"/>
      <w:r w:rsidRPr="00D23863">
        <w:rPr>
          <w:rFonts w:ascii="Arial" w:hAnsi="Arial" w:cs="Arial"/>
          <w:sz w:val="22"/>
          <w:szCs w:val="22"/>
          <w:lang w:val="en-IN"/>
        </w:rPr>
        <w:t xml:space="preserve"> JL, </w:t>
      </w:r>
      <w:proofErr w:type="spellStart"/>
      <w:r w:rsidRPr="00D23863">
        <w:rPr>
          <w:rFonts w:ascii="Arial" w:hAnsi="Arial" w:cs="Arial"/>
          <w:sz w:val="22"/>
          <w:szCs w:val="22"/>
          <w:lang w:val="en-IN"/>
        </w:rPr>
        <w:t>Huet</w:t>
      </w:r>
      <w:proofErr w:type="spellEnd"/>
      <w:r w:rsidRPr="00D23863">
        <w:rPr>
          <w:rFonts w:ascii="Arial" w:hAnsi="Arial" w:cs="Arial"/>
          <w:sz w:val="22"/>
          <w:szCs w:val="22"/>
          <w:lang w:val="en-IN"/>
        </w:rPr>
        <w:t xml:space="preserve"> C, </w:t>
      </w:r>
      <w:proofErr w:type="spellStart"/>
      <w:r w:rsidRPr="00D23863">
        <w:rPr>
          <w:rFonts w:ascii="Arial" w:hAnsi="Arial" w:cs="Arial"/>
          <w:sz w:val="22"/>
          <w:szCs w:val="22"/>
          <w:lang w:val="en-IN"/>
        </w:rPr>
        <w:t>Grosdemanges</w:t>
      </w:r>
      <w:proofErr w:type="spellEnd"/>
      <w:r w:rsidRPr="00D23863">
        <w:rPr>
          <w:rFonts w:ascii="Arial" w:hAnsi="Arial" w:cs="Arial"/>
          <w:sz w:val="22"/>
          <w:szCs w:val="22"/>
          <w:lang w:val="en-IN"/>
        </w:rPr>
        <w:t xml:space="preserve"> F, Rival A, Buffard-Morel J (1992) Coconut (Cocos nucifera L.) somatic embryogenesis: Obtention of several clone ramets. </w:t>
      </w:r>
      <w:proofErr w:type="spellStart"/>
      <w:r w:rsidRPr="00D23863">
        <w:rPr>
          <w:rFonts w:ascii="Arial" w:hAnsi="Arial" w:cs="Arial"/>
          <w:sz w:val="22"/>
          <w:szCs w:val="22"/>
          <w:lang w:val="en-IN"/>
        </w:rPr>
        <w:t>Oleagineux</w:t>
      </w:r>
      <w:proofErr w:type="spellEnd"/>
      <w:r w:rsidRPr="00D23863">
        <w:rPr>
          <w:rFonts w:ascii="Arial" w:hAnsi="Arial" w:cs="Arial"/>
          <w:sz w:val="22"/>
          <w:szCs w:val="22"/>
          <w:lang w:val="en-IN"/>
        </w:rPr>
        <w:t xml:space="preserve"> 47:465-469</w:t>
      </w:r>
    </w:p>
    <w:p w14:paraId="29CE9001"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lastRenderedPageBreak/>
        <w:t>Vidhanaarachchi</w:t>
      </w:r>
      <w:proofErr w:type="spellEnd"/>
      <w:r w:rsidRPr="00D23863">
        <w:rPr>
          <w:rFonts w:ascii="Arial" w:hAnsi="Arial" w:cs="Arial"/>
          <w:sz w:val="22"/>
          <w:szCs w:val="22"/>
          <w:lang w:val="en-IN"/>
        </w:rPr>
        <w:t xml:space="preserve"> VRM, </w:t>
      </w:r>
      <w:proofErr w:type="spellStart"/>
      <w:r w:rsidRPr="00D23863">
        <w:rPr>
          <w:rFonts w:ascii="Arial" w:hAnsi="Arial" w:cs="Arial"/>
          <w:sz w:val="22"/>
          <w:szCs w:val="22"/>
          <w:lang w:val="en-IN"/>
        </w:rPr>
        <w:t>Weerakoon</w:t>
      </w:r>
      <w:proofErr w:type="spellEnd"/>
      <w:r w:rsidRPr="00D23863">
        <w:rPr>
          <w:rFonts w:ascii="Arial" w:hAnsi="Arial" w:cs="Arial"/>
          <w:sz w:val="22"/>
          <w:szCs w:val="22"/>
          <w:lang w:val="en-IN"/>
        </w:rPr>
        <w:t xml:space="preserve"> LK (1997) Callus induction and direct shoot formation in in vitro cultured immature inflorescence tissues of coconut. COCOS 12:39–43</w:t>
      </w:r>
    </w:p>
    <w:p w14:paraId="74774BDB"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Ysidor</w:t>
      </w:r>
      <w:proofErr w:type="spellEnd"/>
      <w:r w:rsidRPr="00D23863">
        <w:rPr>
          <w:rFonts w:ascii="Arial" w:hAnsi="Arial" w:cs="Arial"/>
          <w:sz w:val="22"/>
          <w:szCs w:val="22"/>
          <w:lang w:val="en-IN"/>
        </w:rPr>
        <w:t xml:space="preserve"> KN, Rachel AR, Jean-Louis KK, Muriel OD, </w:t>
      </w:r>
      <w:proofErr w:type="spellStart"/>
      <w:r w:rsidRPr="00D23863">
        <w:rPr>
          <w:rFonts w:ascii="Arial" w:hAnsi="Arial" w:cs="Arial"/>
          <w:sz w:val="22"/>
          <w:szCs w:val="22"/>
          <w:lang w:val="en-IN"/>
        </w:rPr>
        <w:t>Prades</w:t>
      </w:r>
      <w:proofErr w:type="spellEnd"/>
      <w:r w:rsidRPr="00D23863">
        <w:rPr>
          <w:rFonts w:ascii="Arial" w:hAnsi="Arial" w:cs="Arial"/>
          <w:sz w:val="22"/>
          <w:szCs w:val="22"/>
          <w:lang w:val="en-IN"/>
        </w:rPr>
        <w:t xml:space="preserve"> A, </w:t>
      </w:r>
      <w:proofErr w:type="spellStart"/>
      <w:r w:rsidRPr="00D23863">
        <w:rPr>
          <w:rFonts w:ascii="Arial" w:hAnsi="Arial" w:cs="Arial"/>
          <w:sz w:val="22"/>
          <w:szCs w:val="22"/>
          <w:lang w:val="en-IN"/>
        </w:rPr>
        <w:t>Kouassi</w:t>
      </w:r>
      <w:proofErr w:type="spellEnd"/>
      <w:r w:rsidRPr="00D23863">
        <w:rPr>
          <w:rFonts w:ascii="Arial" w:hAnsi="Arial" w:cs="Arial"/>
          <w:sz w:val="22"/>
          <w:szCs w:val="22"/>
          <w:lang w:val="en-IN"/>
        </w:rPr>
        <w:t xml:space="preserve"> A, Marius BGH (2014) Glucide factors of the inflorescence sap of four coconut (</w:t>
      </w:r>
      <w:r w:rsidRPr="00D23863">
        <w:rPr>
          <w:rFonts w:ascii="Arial" w:hAnsi="Arial" w:cs="Arial"/>
          <w:i/>
          <w:iCs/>
          <w:sz w:val="22"/>
          <w:szCs w:val="22"/>
          <w:lang w:val="en-IN"/>
        </w:rPr>
        <w:t>Cocos nucifera</w:t>
      </w:r>
      <w:r w:rsidRPr="00D23863">
        <w:rPr>
          <w:rFonts w:ascii="Arial" w:hAnsi="Arial" w:cs="Arial"/>
          <w:sz w:val="22"/>
          <w:szCs w:val="22"/>
          <w:lang w:val="en-IN"/>
        </w:rPr>
        <w:t xml:space="preserve"> L.) cultivars from Côte D’Ivoire. Int J </w:t>
      </w:r>
      <w:proofErr w:type="spellStart"/>
      <w:r w:rsidRPr="00D23863">
        <w:rPr>
          <w:rFonts w:ascii="Arial" w:hAnsi="Arial" w:cs="Arial"/>
          <w:sz w:val="22"/>
          <w:szCs w:val="22"/>
          <w:lang w:val="en-IN"/>
        </w:rPr>
        <w:t>Biochem</w:t>
      </w:r>
      <w:proofErr w:type="spellEnd"/>
      <w:r w:rsidRPr="00D23863">
        <w:rPr>
          <w:rFonts w:ascii="Arial" w:hAnsi="Arial" w:cs="Arial"/>
          <w:sz w:val="22"/>
          <w:szCs w:val="22"/>
          <w:lang w:val="en-IN"/>
        </w:rPr>
        <w:t xml:space="preserve"> Res Rev 4(2):116-127</w:t>
      </w:r>
    </w:p>
    <w:p w14:paraId="1FA5F411" w14:textId="77777777" w:rsidR="001C5BC5" w:rsidRPr="00D23863" w:rsidRDefault="001C5BC5" w:rsidP="001C5BC5">
      <w:pPr>
        <w:ind w:left="567" w:hanging="567"/>
        <w:jc w:val="both"/>
        <w:rPr>
          <w:rFonts w:ascii="Arial" w:hAnsi="Arial" w:cs="Arial"/>
          <w:sz w:val="22"/>
          <w:szCs w:val="22"/>
        </w:rPr>
      </w:pPr>
    </w:p>
    <w:p w14:paraId="77E11992" w14:textId="77777777" w:rsidR="00E66C6D" w:rsidRPr="00D23863" w:rsidRDefault="00E66C6D" w:rsidP="001C5BC5">
      <w:pPr>
        <w:ind w:left="567" w:hanging="567"/>
        <w:jc w:val="both"/>
        <w:rPr>
          <w:rFonts w:ascii="Arial" w:hAnsi="Arial" w:cs="Arial"/>
          <w:sz w:val="22"/>
          <w:szCs w:val="22"/>
          <w:lang w:val="en-IN"/>
        </w:rPr>
      </w:pPr>
    </w:p>
    <w:sectPr w:rsidR="00E66C6D" w:rsidRPr="00D23863" w:rsidSect="00D23863">
      <w:type w:val="continuous"/>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AAF027" w14:textId="77777777" w:rsidR="002F7C09" w:rsidRDefault="002F7C09" w:rsidP="00242907">
      <w:r>
        <w:separator/>
      </w:r>
    </w:p>
  </w:endnote>
  <w:endnote w:type="continuationSeparator" w:id="0">
    <w:p w14:paraId="1CFB374F" w14:textId="77777777" w:rsidR="002F7C09" w:rsidRDefault="002F7C09" w:rsidP="002429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Kartika">
    <w:altName w:val="Kartika"/>
    <w:charset w:val="00"/>
    <w:family w:val="roman"/>
    <w:pitch w:val="variable"/>
    <w:sig w:usb0="008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E628E" w14:textId="77777777" w:rsidR="00242907" w:rsidRDefault="002429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1597C5" w14:textId="77777777" w:rsidR="00242907" w:rsidRDefault="0024290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18D426" w14:textId="77777777" w:rsidR="00242907" w:rsidRDefault="002429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FD20C1" w14:textId="77777777" w:rsidR="002F7C09" w:rsidRDefault="002F7C09" w:rsidP="00242907">
      <w:r>
        <w:separator/>
      </w:r>
    </w:p>
  </w:footnote>
  <w:footnote w:type="continuationSeparator" w:id="0">
    <w:p w14:paraId="743C04D3" w14:textId="77777777" w:rsidR="002F7C09" w:rsidRDefault="002F7C09" w:rsidP="002429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19D2E" w14:textId="78112886" w:rsidR="00242907" w:rsidRDefault="00242907">
    <w:pPr>
      <w:pStyle w:val="Header"/>
    </w:pPr>
    <w:r>
      <w:rPr>
        <w:noProof/>
      </w:rPr>
      <w:pict w14:anchorId="677469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0033922"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7CEF35" w14:textId="464F6A90" w:rsidR="00242907" w:rsidRDefault="00242907">
    <w:pPr>
      <w:pStyle w:val="Header"/>
    </w:pPr>
    <w:r>
      <w:rPr>
        <w:noProof/>
      </w:rPr>
      <w:pict w14:anchorId="3105CB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0033923"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32E837" w14:textId="0A949DF3" w:rsidR="00242907" w:rsidRDefault="00242907">
    <w:pPr>
      <w:pStyle w:val="Header"/>
    </w:pPr>
    <w:r>
      <w:rPr>
        <w:noProof/>
      </w:rPr>
      <w:pict w14:anchorId="1616FA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0033921"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embedSystemFonts/>
  <w:proofState w:spelling="clean" w:grammar="clean"/>
  <w:defaultTabStop w:val="720"/>
  <w:drawingGridVerticalSpacing w:val="156"/>
  <w:noPunctuationKerning/>
  <w:characterSpacingControl w:val="doNotCompress"/>
  <w:hdrShapeDefaults>
    <o:shapedefaults v:ext="edit" spidmax="2052" fillcolor="white">
      <v:fill color="white"/>
    </o:shapedefaults>
    <o:shapelayout v:ext="edit">
      <o:idmap v:ext="edit" data="2"/>
    </o:shapelayout>
  </w:hdrShapeDefaults>
  <w:footnotePr>
    <w:footnote w:id="-1"/>
    <w:footnote w:id="0"/>
  </w:footnotePr>
  <w:endnotePr>
    <w:endnote w:id="-1"/>
    <w:endnote w:id="0"/>
  </w:endnotePr>
  <w:compat>
    <w:spaceForUL/>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44396BB6"/>
    <w:rsid w:val="00005258"/>
    <w:rsid w:val="00021509"/>
    <w:rsid w:val="00021D21"/>
    <w:rsid w:val="00031DBF"/>
    <w:rsid w:val="00044505"/>
    <w:rsid w:val="00067E4B"/>
    <w:rsid w:val="000929E7"/>
    <w:rsid w:val="0009401F"/>
    <w:rsid w:val="000978E0"/>
    <w:rsid w:val="000A53C8"/>
    <w:rsid w:val="000B080B"/>
    <w:rsid w:val="000D1EE3"/>
    <w:rsid w:val="000E55E2"/>
    <w:rsid w:val="000F3CF3"/>
    <w:rsid w:val="000F72E7"/>
    <w:rsid w:val="000F7BFE"/>
    <w:rsid w:val="0011736C"/>
    <w:rsid w:val="001634EE"/>
    <w:rsid w:val="00164FF3"/>
    <w:rsid w:val="0016684A"/>
    <w:rsid w:val="00166E42"/>
    <w:rsid w:val="00183DD9"/>
    <w:rsid w:val="00186D3F"/>
    <w:rsid w:val="0019340E"/>
    <w:rsid w:val="001B0D6F"/>
    <w:rsid w:val="001C5BC5"/>
    <w:rsid w:val="001D2588"/>
    <w:rsid w:val="001E4362"/>
    <w:rsid w:val="001F3FE9"/>
    <w:rsid w:val="00204F4E"/>
    <w:rsid w:val="00242907"/>
    <w:rsid w:val="00245F65"/>
    <w:rsid w:val="00247214"/>
    <w:rsid w:val="002542EF"/>
    <w:rsid w:val="002654CB"/>
    <w:rsid w:val="00266D67"/>
    <w:rsid w:val="002A03C3"/>
    <w:rsid w:val="002A21A7"/>
    <w:rsid w:val="002A491C"/>
    <w:rsid w:val="002D001B"/>
    <w:rsid w:val="002E3CD9"/>
    <w:rsid w:val="002F2867"/>
    <w:rsid w:val="002F7C09"/>
    <w:rsid w:val="00304848"/>
    <w:rsid w:val="00313ACD"/>
    <w:rsid w:val="00325FED"/>
    <w:rsid w:val="00361A62"/>
    <w:rsid w:val="00382473"/>
    <w:rsid w:val="003A364D"/>
    <w:rsid w:val="003B0475"/>
    <w:rsid w:val="003B0C4E"/>
    <w:rsid w:val="003B17B6"/>
    <w:rsid w:val="003B2CFE"/>
    <w:rsid w:val="003B48B1"/>
    <w:rsid w:val="003B68A3"/>
    <w:rsid w:val="003C284D"/>
    <w:rsid w:val="003D6F1F"/>
    <w:rsid w:val="003F7C0E"/>
    <w:rsid w:val="0041019C"/>
    <w:rsid w:val="00414647"/>
    <w:rsid w:val="00444CE6"/>
    <w:rsid w:val="00446621"/>
    <w:rsid w:val="00481B09"/>
    <w:rsid w:val="00486DC7"/>
    <w:rsid w:val="00495E39"/>
    <w:rsid w:val="004A12C0"/>
    <w:rsid w:val="004A32F1"/>
    <w:rsid w:val="004B2A00"/>
    <w:rsid w:val="004C05CE"/>
    <w:rsid w:val="004E02CD"/>
    <w:rsid w:val="004E1BAA"/>
    <w:rsid w:val="004F0D94"/>
    <w:rsid w:val="0051123A"/>
    <w:rsid w:val="00526AE2"/>
    <w:rsid w:val="0054014F"/>
    <w:rsid w:val="005545A9"/>
    <w:rsid w:val="00563916"/>
    <w:rsid w:val="0059505E"/>
    <w:rsid w:val="00596EDA"/>
    <w:rsid w:val="005A1B3C"/>
    <w:rsid w:val="005A70A6"/>
    <w:rsid w:val="005B1B94"/>
    <w:rsid w:val="005B4882"/>
    <w:rsid w:val="005D2643"/>
    <w:rsid w:val="005D76F3"/>
    <w:rsid w:val="005F6DD2"/>
    <w:rsid w:val="005F70C6"/>
    <w:rsid w:val="005F7A9B"/>
    <w:rsid w:val="0060330D"/>
    <w:rsid w:val="00604B90"/>
    <w:rsid w:val="00627B8F"/>
    <w:rsid w:val="006316EF"/>
    <w:rsid w:val="006461CD"/>
    <w:rsid w:val="00660595"/>
    <w:rsid w:val="00666001"/>
    <w:rsid w:val="00667390"/>
    <w:rsid w:val="00690826"/>
    <w:rsid w:val="006A202C"/>
    <w:rsid w:val="006C7465"/>
    <w:rsid w:val="006D67E4"/>
    <w:rsid w:val="00711F11"/>
    <w:rsid w:val="00763391"/>
    <w:rsid w:val="0076567F"/>
    <w:rsid w:val="00780613"/>
    <w:rsid w:val="00792162"/>
    <w:rsid w:val="007A1854"/>
    <w:rsid w:val="007C13B2"/>
    <w:rsid w:val="007E13BB"/>
    <w:rsid w:val="007E165D"/>
    <w:rsid w:val="00805AC6"/>
    <w:rsid w:val="0081676B"/>
    <w:rsid w:val="00831AA0"/>
    <w:rsid w:val="00833BD6"/>
    <w:rsid w:val="00835AF5"/>
    <w:rsid w:val="0087563A"/>
    <w:rsid w:val="00876B8B"/>
    <w:rsid w:val="0089370B"/>
    <w:rsid w:val="008D4479"/>
    <w:rsid w:val="008D66EC"/>
    <w:rsid w:val="008F4E08"/>
    <w:rsid w:val="00901BB9"/>
    <w:rsid w:val="00925669"/>
    <w:rsid w:val="009324AD"/>
    <w:rsid w:val="00937764"/>
    <w:rsid w:val="0094192B"/>
    <w:rsid w:val="00956989"/>
    <w:rsid w:val="00975411"/>
    <w:rsid w:val="009A2A50"/>
    <w:rsid w:val="009A7A02"/>
    <w:rsid w:val="009B28A8"/>
    <w:rsid w:val="009C3031"/>
    <w:rsid w:val="009D21CC"/>
    <w:rsid w:val="009E5C93"/>
    <w:rsid w:val="009F47A3"/>
    <w:rsid w:val="00A317C9"/>
    <w:rsid w:val="00A4667F"/>
    <w:rsid w:val="00A53389"/>
    <w:rsid w:val="00A7629B"/>
    <w:rsid w:val="00A8371A"/>
    <w:rsid w:val="00A9207A"/>
    <w:rsid w:val="00AB70FA"/>
    <w:rsid w:val="00AB7930"/>
    <w:rsid w:val="00AC3B3B"/>
    <w:rsid w:val="00AC5A50"/>
    <w:rsid w:val="00AC7A17"/>
    <w:rsid w:val="00AE7982"/>
    <w:rsid w:val="00AF68D9"/>
    <w:rsid w:val="00B00527"/>
    <w:rsid w:val="00B10EB5"/>
    <w:rsid w:val="00B16B9E"/>
    <w:rsid w:val="00B559E1"/>
    <w:rsid w:val="00B6377A"/>
    <w:rsid w:val="00B95B80"/>
    <w:rsid w:val="00B97BE2"/>
    <w:rsid w:val="00BA3C13"/>
    <w:rsid w:val="00BB78AB"/>
    <w:rsid w:val="00BC424F"/>
    <w:rsid w:val="00BC4D81"/>
    <w:rsid w:val="00BC6347"/>
    <w:rsid w:val="00BD3924"/>
    <w:rsid w:val="00BE27F9"/>
    <w:rsid w:val="00C02717"/>
    <w:rsid w:val="00C02E70"/>
    <w:rsid w:val="00C064DD"/>
    <w:rsid w:val="00C168F3"/>
    <w:rsid w:val="00C217B5"/>
    <w:rsid w:val="00C221D2"/>
    <w:rsid w:val="00C24BEA"/>
    <w:rsid w:val="00C67F31"/>
    <w:rsid w:val="00C74B1A"/>
    <w:rsid w:val="00C91C23"/>
    <w:rsid w:val="00C9729D"/>
    <w:rsid w:val="00CA01B6"/>
    <w:rsid w:val="00CB2942"/>
    <w:rsid w:val="00CB6619"/>
    <w:rsid w:val="00CE09F6"/>
    <w:rsid w:val="00CE1315"/>
    <w:rsid w:val="00CF4784"/>
    <w:rsid w:val="00D11032"/>
    <w:rsid w:val="00D23863"/>
    <w:rsid w:val="00D3033D"/>
    <w:rsid w:val="00D30DED"/>
    <w:rsid w:val="00D34273"/>
    <w:rsid w:val="00D45E28"/>
    <w:rsid w:val="00D51E3A"/>
    <w:rsid w:val="00D72682"/>
    <w:rsid w:val="00D74085"/>
    <w:rsid w:val="00D86D07"/>
    <w:rsid w:val="00D97F7B"/>
    <w:rsid w:val="00DA5080"/>
    <w:rsid w:val="00DC2B88"/>
    <w:rsid w:val="00DD0393"/>
    <w:rsid w:val="00DD67D6"/>
    <w:rsid w:val="00DF057C"/>
    <w:rsid w:val="00E115B6"/>
    <w:rsid w:val="00E22289"/>
    <w:rsid w:val="00E22B42"/>
    <w:rsid w:val="00E253B7"/>
    <w:rsid w:val="00E26079"/>
    <w:rsid w:val="00E33AF9"/>
    <w:rsid w:val="00E365AE"/>
    <w:rsid w:val="00E57755"/>
    <w:rsid w:val="00E668E5"/>
    <w:rsid w:val="00E66C6D"/>
    <w:rsid w:val="00EB28FF"/>
    <w:rsid w:val="00EB7C4D"/>
    <w:rsid w:val="00EC22B5"/>
    <w:rsid w:val="00ED1756"/>
    <w:rsid w:val="00EF5551"/>
    <w:rsid w:val="00EF639E"/>
    <w:rsid w:val="00EF6A6D"/>
    <w:rsid w:val="00F07D57"/>
    <w:rsid w:val="00F2009D"/>
    <w:rsid w:val="00F21FCA"/>
    <w:rsid w:val="00F248B1"/>
    <w:rsid w:val="00F36C22"/>
    <w:rsid w:val="00F424C8"/>
    <w:rsid w:val="00F4482A"/>
    <w:rsid w:val="00F451DA"/>
    <w:rsid w:val="00F76794"/>
    <w:rsid w:val="00F76FAB"/>
    <w:rsid w:val="00F92442"/>
    <w:rsid w:val="00FB2255"/>
    <w:rsid w:val="00FF1E05"/>
    <w:rsid w:val="00FF33F5"/>
    <w:rsid w:val="05EF48CA"/>
    <w:rsid w:val="123D2ACD"/>
    <w:rsid w:val="1F7155A1"/>
    <w:rsid w:val="202C2C7E"/>
    <w:rsid w:val="211526B3"/>
    <w:rsid w:val="2270132D"/>
    <w:rsid w:val="24B23D6A"/>
    <w:rsid w:val="263A0FB0"/>
    <w:rsid w:val="284724BF"/>
    <w:rsid w:val="30D81880"/>
    <w:rsid w:val="3D2C1D48"/>
    <w:rsid w:val="424B1E4C"/>
    <w:rsid w:val="44396BB6"/>
    <w:rsid w:val="4941303B"/>
    <w:rsid w:val="4F1A1ED7"/>
    <w:rsid w:val="4FC86D2F"/>
    <w:rsid w:val="581C14D7"/>
    <w:rsid w:val="5B6B4129"/>
    <w:rsid w:val="5B821531"/>
    <w:rsid w:val="5DF26B1A"/>
    <w:rsid w:val="60E50004"/>
    <w:rsid w:val="64742C57"/>
    <w:rsid w:val="67F25F98"/>
    <w:rsid w:val="730C0AB5"/>
    <w:rsid w:val="7E3806F6"/>
    <w:rsid w:val="7F5759FB"/>
  </w:rsids>
  <m:mathPr>
    <m:mathFont m:val="Cambria Math"/>
    <m:brkBin m:val="before"/>
    <m:brkBinSub m:val="--"/>
    <m:smallFrac m:val="0"/>
    <m:dispDef/>
    <m:lMargin m:val="0"/>
    <m:rMargin m:val="0"/>
    <m:defJc m:val="centerGroup"/>
    <m:wrapIndent m:val="1440"/>
    <m:intLim m:val="subSup"/>
    <m:naryLim m:val="undOvr"/>
  </m:mathPr>
  <w:themeFontLang w:val="en-US" w:eastAsia="zh-CN" w:bidi="ml-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fillcolor="white">
      <v:fill color="white"/>
    </o:shapedefaults>
    <o:shapelayout v:ext="edit">
      <o:idmap v:ext="edit" data="1"/>
    </o:shapelayout>
  </w:shapeDefaults>
  <w:decimalSymbol w:val="."/>
  <w:listSeparator w:val=","/>
  <w14:docId w14:val="60334FD4"/>
  <w15:docId w15:val="{7E7700B0-CED9-487E-B016-2E095E1F53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IN" w:eastAsia="en-IN" w:bidi="ml-IN"/>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uiPriority="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Body Text" w:uiPriority="1" w:qFormat="1"/>
    <w:lsdException w:name="Subtitle" w:qFormat="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uiPriority="99"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rFonts w:asciiTheme="minorHAnsi" w:eastAsiaTheme="minorEastAsia" w:hAnsiTheme="minorHAnsi" w:cstheme="minorBidi"/>
      <w:lang w:val="en-US" w:eastAsia="zh-CN" w:bidi="ar-SA"/>
    </w:rPr>
  </w:style>
  <w:style w:type="paragraph" w:styleId="Heading3">
    <w:name w:val="heading 3"/>
    <w:basedOn w:val="Normal"/>
    <w:uiPriority w:val="1"/>
    <w:qFormat/>
    <w:pPr>
      <w:ind w:left="845" w:hanging="541"/>
      <w:outlineLvl w:val="2"/>
    </w:pPr>
    <w:rPr>
      <w:rFonts w:ascii="Times New Roman" w:eastAsia="Times New Roman" w:hAnsi="Times New Roman" w:cs="Times New Roman"/>
      <w:b/>
      <w:bCs/>
      <w:sz w:val="24"/>
      <w:szCs w:val="24"/>
      <w:lang w:eastAsia="en-US" w:bidi="en-US"/>
    </w:rPr>
  </w:style>
  <w:style w:type="paragraph" w:styleId="Heading5">
    <w:name w:val="heading 5"/>
    <w:next w:val="Normal"/>
    <w:semiHidden/>
    <w:unhideWhenUsed/>
    <w:qFormat/>
    <w:pPr>
      <w:spacing w:beforeAutospacing="1" w:afterAutospacing="1"/>
      <w:outlineLvl w:val="4"/>
    </w:pPr>
    <w:rPr>
      <w:rFonts w:ascii="SimSun" w:hAnsi="SimSun" w:cs="Arial Unicode MS" w:hint="eastAsia"/>
      <w:b/>
      <w:bCs/>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Times New Roman" w:eastAsia="Times New Roman" w:hAnsi="Times New Roman" w:cs="Times New Roman"/>
      <w:sz w:val="24"/>
      <w:szCs w:val="24"/>
      <w:lang w:eastAsia="en-US" w:bidi="en-US"/>
    </w:rPr>
  </w:style>
  <w:style w:type="character" w:styleId="Emphasis">
    <w:name w:val="Emphasis"/>
    <w:basedOn w:val="DefaultParagraphFont"/>
    <w:uiPriority w:val="20"/>
    <w:qFormat/>
    <w:rPr>
      <w:i/>
      <w:iCs/>
    </w:rPr>
  </w:style>
  <w:style w:type="character" w:styleId="Hyperlink">
    <w:name w:val="Hyperlink"/>
    <w:basedOn w:val="DefaultParagraphFont"/>
    <w:rPr>
      <w:color w:val="0000FF"/>
      <w:u w:val="single"/>
    </w:rPr>
  </w:style>
  <w:style w:type="paragraph" w:styleId="NormalWeb">
    <w:name w:val="Normal (Web)"/>
    <w:uiPriority w:val="99"/>
    <w:qFormat/>
    <w:pPr>
      <w:spacing w:beforeAutospacing="1" w:afterAutospacing="1"/>
    </w:pPr>
    <w:rPr>
      <w:rFonts w:cs="Arial Unicode MS"/>
      <w:sz w:val="24"/>
      <w:szCs w:val="24"/>
      <w:lang w:val="en-US" w:eastAsia="zh-CN"/>
    </w:rPr>
  </w:style>
  <w:style w:type="table" w:styleId="TableGrid">
    <w:name w:val="Table Grid"/>
    <w:basedOn w:val="TableNormal"/>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pPr>
      <w:ind w:left="1025" w:hanging="541"/>
    </w:pPr>
    <w:rPr>
      <w:rFonts w:ascii="Times New Roman" w:eastAsia="Times New Roman" w:hAnsi="Times New Roman" w:cs="Times New Roman"/>
      <w:lang w:eastAsia="en-US" w:bidi="en-US"/>
    </w:rPr>
  </w:style>
  <w:style w:type="character" w:styleId="Strong">
    <w:name w:val="Strong"/>
    <w:basedOn w:val="DefaultParagraphFont"/>
    <w:uiPriority w:val="22"/>
    <w:qFormat/>
    <w:rsid w:val="005545A9"/>
    <w:rPr>
      <w:b/>
      <w:bCs/>
    </w:rPr>
  </w:style>
  <w:style w:type="table" w:styleId="PlainTable2">
    <w:name w:val="Plain Table 2"/>
    <w:basedOn w:val="TableNormal"/>
    <w:uiPriority w:val="42"/>
    <w:rsid w:val="00CA01B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nresolvedMention">
    <w:name w:val="Unresolved Mention"/>
    <w:basedOn w:val="DefaultParagraphFont"/>
    <w:uiPriority w:val="99"/>
    <w:semiHidden/>
    <w:unhideWhenUsed/>
    <w:rsid w:val="00E66C6D"/>
    <w:rPr>
      <w:color w:val="605E5C"/>
      <w:shd w:val="clear" w:color="auto" w:fill="E1DFDD"/>
    </w:rPr>
  </w:style>
  <w:style w:type="paragraph" w:styleId="Header">
    <w:name w:val="header"/>
    <w:basedOn w:val="Normal"/>
    <w:link w:val="HeaderChar"/>
    <w:rsid w:val="00242907"/>
    <w:pPr>
      <w:tabs>
        <w:tab w:val="center" w:pos="4680"/>
        <w:tab w:val="right" w:pos="9360"/>
      </w:tabs>
    </w:pPr>
  </w:style>
  <w:style w:type="character" w:customStyle="1" w:styleId="HeaderChar">
    <w:name w:val="Header Char"/>
    <w:basedOn w:val="DefaultParagraphFont"/>
    <w:link w:val="Header"/>
    <w:rsid w:val="00242907"/>
    <w:rPr>
      <w:rFonts w:asciiTheme="minorHAnsi" w:eastAsiaTheme="minorEastAsia" w:hAnsiTheme="minorHAnsi" w:cstheme="minorBidi"/>
      <w:lang w:val="en-US" w:eastAsia="zh-CN" w:bidi="ar-SA"/>
    </w:rPr>
  </w:style>
  <w:style w:type="paragraph" w:styleId="Footer">
    <w:name w:val="footer"/>
    <w:basedOn w:val="Normal"/>
    <w:link w:val="FooterChar"/>
    <w:rsid w:val="00242907"/>
    <w:pPr>
      <w:tabs>
        <w:tab w:val="center" w:pos="4680"/>
        <w:tab w:val="right" w:pos="9360"/>
      </w:tabs>
    </w:pPr>
  </w:style>
  <w:style w:type="character" w:customStyle="1" w:styleId="FooterChar">
    <w:name w:val="Footer Char"/>
    <w:basedOn w:val="DefaultParagraphFont"/>
    <w:link w:val="Footer"/>
    <w:rsid w:val="00242907"/>
    <w:rPr>
      <w:rFonts w:asciiTheme="minorHAnsi" w:eastAsiaTheme="minorEastAsia" w:hAnsiTheme="minorHAnsi" w:cstheme="minorBidi"/>
      <w:lang w:val="en-US" w:eastAsia="zh-C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485458">
      <w:bodyDiv w:val="1"/>
      <w:marLeft w:val="0"/>
      <w:marRight w:val="0"/>
      <w:marTop w:val="0"/>
      <w:marBottom w:val="0"/>
      <w:divBdr>
        <w:top w:val="none" w:sz="0" w:space="0" w:color="auto"/>
        <w:left w:val="none" w:sz="0" w:space="0" w:color="auto"/>
        <w:bottom w:val="none" w:sz="0" w:space="0" w:color="auto"/>
        <w:right w:val="none" w:sz="0" w:space="0" w:color="auto"/>
      </w:divBdr>
    </w:div>
    <w:div w:id="106197317">
      <w:bodyDiv w:val="1"/>
      <w:marLeft w:val="0"/>
      <w:marRight w:val="0"/>
      <w:marTop w:val="0"/>
      <w:marBottom w:val="0"/>
      <w:divBdr>
        <w:top w:val="none" w:sz="0" w:space="0" w:color="auto"/>
        <w:left w:val="none" w:sz="0" w:space="0" w:color="auto"/>
        <w:bottom w:val="none" w:sz="0" w:space="0" w:color="auto"/>
        <w:right w:val="none" w:sz="0" w:space="0" w:color="auto"/>
      </w:divBdr>
      <w:divsChild>
        <w:div w:id="1442804190">
          <w:marLeft w:val="0"/>
          <w:marRight w:val="0"/>
          <w:marTop w:val="0"/>
          <w:marBottom w:val="0"/>
          <w:divBdr>
            <w:top w:val="none" w:sz="0" w:space="0" w:color="auto"/>
            <w:left w:val="none" w:sz="0" w:space="0" w:color="auto"/>
            <w:bottom w:val="none" w:sz="0" w:space="0" w:color="auto"/>
            <w:right w:val="none" w:sz="0" w:space="0" w:color="auto"/>
          </w:divBdr>
          <w:divsChild>
            <w:div w:id="880703465">
              <w:marLeft w:val="0"/>
              <w:marRight w:val="0"/>
              <w:marTop w:val="0"/>
              <w:marBottom w:val="0"/>
              <w:divBdr>
                <w:top w:val="none" w:sz="0" w:space="0" w:color="auto"/>
                <w:left w:val="none" w:sz="0" w:space="0" w:color="auto"/>
                <w:bottom w:val="none" w:sz="0" w:space="0" w:color="auto"/>
                <w:right w:val="none" w:sz="0" w:space="0" w:color="auto"/>
              </w:divBdr>
              <w:divsChild>
                <w:div w:id="368186904">
                  <w:marLeft w:val="0"/>
                  <w:marRight w:val="0"/>
                  <w:marTop w:val="0"/>
                  <w:marBottom w:val="0"/>
                  <w:divBdr>
                    <w:top w:val="none" w:sz="0" w:space="0" w:color="auto"/>
                    <w:left w:val="none" w:sz="0" w:space="0" w:color="auto"/>
                    <w:bottom w:val="none" w:sz="0" w:space="0" w:color="auto"/>
                    <w:right w:val="none" w:sz="0" w:space="0" w:color="auto"/>
                  </w:divBdr>
                  <w:divsChild>
                    <w:div w:id="1440101914">
                      <w:marLeft w:val="0"/>
                      <w:marRight w:val="0"/>
                      <w:marTop w:val="0"/>
                      <w:marBottom w:val="0"/>
                      <w:divBdr>
                        <w:top w:val="none" w:sz="0" w:space="0" w:color="auto"/>
                        <w:left w:val="none" w:sz="0" w:space="0" w:color="auto"/>
                        <w:bottom w:val="none" w:sz="0" w:space="0" w:color="auto"/>
                        <w:right w:val="none" w:sz="0" w:space="0" w:color="auto"/>
                      </w:divBdr>
                      <w:divsChild>
                        <w:div w:id="1293904686">
                          <w:marLeft w:val="0"/>
                          <w:marRight w:val="0"/>
                          <w:marTop w:val="0"/>
                          <w:marBottom w:val="0"/>
                          <w:divBdr>
                            <w:top w:val="none" w:sz="0" w:space="0" w:color="auto"/>
                            <w:left w:val="none" w:sz="0" w:space="0" w:color="auto"/>
                            <w:bottom w:val="none" w:sz="0" w:space="0" w:color="auto"/>
                            <w:right w:val="none" w:sz="0" w:space="0" w:color="auto"/>
                          </w:divBdr>
                          <w:divsChild>
                            <w:div w:id="610209678">
                              <w:marLeft w:val="0"/>
                              <w:marRight w:val="0"/>
                              <w:marTop w:val="0"/>
                              <w:marBottom w:val="0"/>
                              <w:divBdr>
                                <w:top w:val="none" w:sz="0" w:space="0" w:color="auto"/>
                                <w:left w:val="none" w:sz="0" w:space="0" w:color="auto"/>
                                <w:bottom w:val="none" w:sz="0" w:space="0" w:color="auto"/>
                                <w:right w:val="none" w:sz="0" w:space="0" w:color="auto"/>
                              </w:divBdr>
                              <w:divsChild>
                                <w:div w:id="1951160861">
                                  <w:marLeft w:val="0"/>
                                  <w:marRight w:val="0"/>
                                  <w:marTop w:val="0"/>
                                  <w:marBottom w:val="0"/>
                                  <w:divBdr>
                                    <w:top w:val="none" w:sz="0" w:space="0" w:color="auto"/>
                                    <w:left w:val="none" w:sz="0" w:space="0" w:color="auto"/>
                                    <w:bottom w:val="none" w:sz="0" w:space="0" w:color="auto"/>
                                    <w:right w:val="none" w:sz="0" w:space="0" w:color="auto"/>
                                  </w:divBdr>
                                  <w:divsChild>
                                    <w:div w:id="214082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121160">
                          <w:marLeft w:val="0"/>
                          <w:marRight w:val="0"/>
                          <w:marTop w:val="0"/>
                          <w:marBottom w:val="0"/>
                          <w:divBdr>
                            <w:top w:val="none" w:sz="0" w:space="0" w:color="auto"/>
                            <w:left w:val="none" w:sz="0" w:space="0" w:color="auto"/>
                            <w:bottom w:val="none" w:sz="0" w:space="0" w:color="auto"/>
                            <w:right w:val="none" w:sz="0" w:space="0" w:color="auto"/>
                          </w:divBdr>
                          <w:divsChild>
                            <w:div w:id="1260260618">
                              <w:marLeft w:val="0"/>
                              <w:marRight w:val="0"/>
                              <w:marTop w:val="0"/>
                              <w:marBottom w:val="0"/>
                              <w:divBdr>
                                <w:top w:val="none" w:sz="0" w:space="0" w:color="auto"/>
                                <w:left w:val="none" w:sz="0" w:space="0" w:color="auto"/>
                                <w:bottom w:val="none" w:sz="0" w:space="0" w:color="auto"/>
                                <w:right w:val="none" w:sz="0" w:space="0" w:color="auto"/>
                              </w:divBdr>
                              <w:divsChild>
                                <w:div w:id="1980912254">
                                  <w:marLeft w:val="0"/>
                                  <w:marRight w:val="0"/>
                                  <w:marTop w:val="0"/>
                                  <w:marBottom w:val="0"/>
                                  <w:divBdr>
                                    <w:top w:val="none" w:sz="0" w:space="0" w:color="auto"/>
                                    <w:left w:val="none" w:sz="0" w:space="0" w:color="auto"/>
                                    <w:bottom w:val="none" w:sz="0" w:space="0" w:color="auto"/>
                                    <w:right w:val="none" w:sz="0" w:space="0" w:color="auto"/>
                                  </w:divBdr>
                                  <w:divsChild>
                                    <w:div w:id="209755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997206">
      <w:bodyDiv w:val="1"/>
      <w:marLeft w:val="0"/>
      <w:marRight w:val="0"/>
      <w:marTop w:val="0"/>
      <w:marBottom w:val="0"/>
      <w:divBdr>
        <w:top w:val="none" w:sz="0" w:space="0" w:color="auto"/>
        <w:left w:val="none" w:sz="0" w:space="0" w:color="auto"/>
        <w:bottom w:val="none" w:sz="0" w:space="0" w:color="auto"/>
        <w:right w:val="none" w:sz="0" w:space="0" w:color="auto"/>
      </w:divBdr>
    </w:div>
    <w:div w:id="221137323">
      <w:bodyDiv w:val="1"/>
      <w:marLeft w:val="0"/>
      <w:marRight w:val="0"/>
      <w:marTop w:val="0"/>
      <w:marBottom w:val="0"/>
      <w:divBdr>
        <w:top w:val="none" w:sz="0" w:space="0" w:color="auto"/>
        <w:left w:val="none" w:sz="0" w:space="0" w:color="auto"/>
        <w:bottom w:val="none" w:sz="0" w:space="0" w:color="auto"/>
        <w:right w:val="none" w:sz="0" w:space="0" w:color="auto"/>
      </w:divBdr>
    </w:div>
    <w:div w:id="442461350">
      <w:bodyDiv w:val="1"/>
      <w:marLeft w:val="0"/>
      <w:marRight w:val="0"/>
      <w:marTop w:val="0"/>
      <w:marBottom w:val="0"/>
      <w:divBdr>
        <w:top w:val="none" w:sz="0" w:space="0" w:color="auto"/>
        <w:left w:val="none" w:sz="0" w:space="0" w:color="auto"/>
        <w:bottom w:val="none" w:sz="0" w:space="0" w:color="auto"/>
        <w:right w:val="none" w:sz="0" w:space="0" w:color="auto"/>
      </w:divBdr>
    </w:div>
    <w:div w:id="491141480">
      <w:bodyDiv w:val="1"/>
      <w:marLeft w:val="0"/>
      <w:marRight w:val="0"/>
      <w:marTop w:val="0"/>
      <w:marBottom w:val="0"/>
      <w:divBdr>
        <w:top w:val="none" w:sz="0" w:space="0" w:color="auto"/>
        <w:left w:val="none" w:sz="0" w:space="0" w:color="auto"/>
        <w:bottom w:val="none" w:sz="0" w:space="0" w:color="auto"/>
        <w:right w:val="none" w:sz="0" w:space="0" w:color="auto"/>
      </w:divBdr>
    </w:div>
    <w:div w:id="533152536">
      <w:bodyDiv w:val="1"/>
      <w:marLeft w:val="0"/>
      <w:marRight w:val="0"/>
      <w:marTop w:val="0"/>
      <w:marBottom w:val="0"/>
      <w:divBdr>
        <w:top w:val="none" w:sz="0" w:space="0" w:color="auto"/>
        <w:left w:val="none" w:sz="0" w:space="0" w:color="auto"/>
        <w:bottom w:val="none" w:sz="0" w:space="0" w:color="auto"/>
        <w:right w:val="none" w:sz="0" w:space="0" w:color="auto"/>
      </w:divBdr>
      <w:divsChild>
        <w:div w:id="1758362130">
          <w:marLeft w:val="0"/>
          <w:marRight w:val="0"/>
          <w:marTop w:val="0"/>
          <w:marBottom w:val="0"/>
          <w:divBdr>
            <w:top w:val="none" w:sz="0" w:space="0" w:color="auto"/>
            <w:left w:val="none" w:sz="0" w:space="0" w:color="auto"/>
            <w:bottom w:val="none" w:sz="0" w:space="0" w:color="auto"/>
            <w:right w:val="none" w:sz="0" w:space="0" w:color="auto"/>
          </w:divBdr>
          <w:divsChild>
            <w:div w:id="1417022150">
              <w:marLeft w:val="0"/>
              <w:marRight w:val="0"/>
              <w:marTop w:val="0"/>
              <w:marBottom w:val="0"/>
              <w:divBdr>
                <w:top w:val="none" w:sz="0" w:space="0" w:color="auto"/>
                <w:left w:val="none" w:sz="0" w:space="0" w:color="auto"/>
                <w:bottom w:val="none" w:sz="0" w:space="0" w:color="auto"/>
                <w:right w:val="none" w:sz="0" w:space="0" w:color="auto"/>
              </w:divBdr>
              <w:divsChild>
                <w:div w:id="1923175665">
                  <w:marLeft w:val="0"/>
                  <w:marRight w:val="0"/>
                  <w:marTop w:val="0"/>
                  <w:marBottom w:val="0"/>
                  <w:divBdr>
                    <w:top w:val="none" w:sz="0" w:space="0" w:color="auto"/>
                    <w:left w:val="none" w:sz="0" w:space="0" w:color="auto"/>
                    <w:bottom w:val="none" w:sz="0" w:space="0" w:color="auto"/>
                    <w:right w:val="none" w:sz="0" w:space="0" w:color="auto"/>
                  </w:divBdr>
                  <w:divsChild>
                    <w:div w:id="1045833720">
                      <w:marLeft w:val="0"/>
                      <w:marRight w:val="0"/>
                      <w:marTop w:val="0"/>
                      <w:marBottom w:val="0"/>
                      <w:divBdr>
                        <w:top w:val="none" w:sz="0" w:space="0" w:color="auto"/>
                        <w:left w:val="none" w:sz="0" w:space="0" w:color="auto"/>
                        <w:bottom w:val="none" w:sz="0" w:space="0" w:color="auto"/>
                        <w:right w:val="none" w:sz="0" w:space="0" w:color="auto"/>
                      </w:divBdr>
                      <w:divsChild>
                        <w:div w:id="846672948">
                          <w:marLeft w:val="0"/>
                          <w:marRight w:val="0"/>
                          <w:marTop w:val="0"/>
                          <w:marBottom w:val="0"/>
                          <w:divBdr>
                            <w:top w:val="none" w:sz="0" w:space="0" w:color="auto"/>
                            <w:left w:val="none" w:sz="0" w:space="0" w:color="auto"/>
                            <w:bottom w:val="none" w:sz="0" w:space="0" w:color="auto"/>
                            <w:right w:val="none" w:sz="0" w:space="0" w:color="auto"/>
                          </w:divBdr>
                          <w:divsChild>
                            <w:div w:id="260141512">
                              <w:marLeft w:val="0"/>
                              <w:marRight w:val="0"/>
                              <w:marTop w:val="0"/>
                              <w:marBottom w:val="0"/>
                              <w:divBdr>
                                <w:top w:val="none" w:sz="0" w:space="0" w:color="auto"/>
                                <w:left w:val="none" w:sz="0" w:space="0" w:color="auto"/>
                                <w:bottom w:val="none" w:sz="0" w:space="0" w:color="auto"/>
                                <w:right w:val="none" w:sz="0" w:space="0" w:color="auto"/>
                              </w:divBdr>
                              <w:divsChild>
                                <w:div w:id="479887129">
                                  <w:marLeft w:val="0"/>
                                  <w:marRight w:val="0"/>
                                  <w:marTop w:val="0"/>
                                  <w:marBottom w:val="0"/>
                                  <w:divBdr>
                                    <w:top w:val="none" w:sz="0" w:space="0" w:color="auto"/>
                                    <w:left w:val="none" w:sz="0" w:space="0" w:color="auto"/>
                                    <w:bottom w:val="none" w:sz="0" w:space="0" w:color="auto"/>
                                    <w:right w:val="none" w:sz="0" w:space="0" w:color="auto"/>
                                  </w:divBdr>
                                  <w:divsChild>
                                    <w:div w:id="87041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68927530">
      <w:bodyDiv w:val="1"/>
      <w:marLeft w:val="0"/>
      <w:marRight w:val="0"/>
      <w:marTop w:val="0"/>
      <w:marBottom w:val="0"/>
      <w:divBdr>
        <w:top w:val="none" w:sz="0" w:space="0" w:color="auto"/>
        <w:left w:val="none" w:sz="0" w:space="0" w:color="auto"/>
        <w:bottom w:val="none" w:sz="0" w:space="0" w:color="auto"/>
        <w:right w:val="none" w:sz="0" w:space="0" w:color="auto"/>
      </w:divBdr>
    </w:div>
    <w:div w:id="751123257">
      <w:bodyDiv w:val="1"/>
      <w:marLeft w:val="0"/>
      <w:marRight w:val="0"/>
      <w:marTop w:val="0"/>
      <w:marBottom w:val="0"/>
      <w:divBdr>
        <w:top w:val="none" w:sz="0" w:space="0" w:color="auto"/>
        <w:left w:val="none" w:sz="0" w:space="0" w:color="auto"/>
        <w:bottom w:val="none" w:sz="0" w:space="0" w:color="auto"/>
        <w:right w:val="none" w:sz="0" w:space="0" w:color="auto"/>
      </w:divBdr>
    </w:div>
    <w:div w:id="772481090">
      <w:bodyDiv w:val="1"/>
      <w:marLeft w:val="0"/>
      <w:marRight w:val="0"/>
      <w:marTop w:val="0"/>
      <w:marBottom w:val="0"/>
      <w:divBdr>
        <w:top w:val="none" w:sz="0" w:space="0" w:color="auto"/>
        <w:left w:val="none" w:sz="0" w:space="0" w:color="auto"/>
        <w:bottom w:val="none" w:sz="0" w:space="0" w:color="auto"/>
        <w:right w:val="none" w:sz="0" w:space="0" w:color="auto"/>
      </w:divBdr>
    </w:div>
    <w:div w:id="853114637">
      <w:bodyDiv w:val="1"/>
      <w:marLeft w:val="0"/>
      <w:marRight w:val="0"/>
      <w:marTop w:val="0"/>
      <w:marBottom w:val="0"/>
      <w:divBdr>
        <w:top w:val="none" w:sz="0" w:space="0" w:color="auto"/>
        <w:left w:val="none" w:sz="0" w:space="0" w:color="auto"/>
        <w:bottom w:val="none" w:sz="0" w:space="0" w:color="auto"/>
        <w:right w:val="none" w:sz="0" w:space="0" w:color="auto"/>
      </w:divBdr>
    </w:div>
    <w:div w:id="937492743">
      <w:bodyDiv w:val="1"/>
      <w:marLeft w:val="0"/>
      <w:marRight w:val="0"/>
      <w:marTop w:val="0"/>
      <w:marBottom w:val="0"/>
      <w:divBdr>
        <w:top w:val="none" w:sz="0" w:space="0" w:color="auto"/>
        <w:left w:val="none" w:sz="0" w:space="0" w:color="auto"/>
        <w:bottom w:val="none" w:sz="0" w:space="0" w:color="auto"/>
        <w:right w:val="none" w:sz="0" w:space="0" w:color="auto"/>
      </w:divBdr>
    </w:div>
    <w:div w:id="955016165">
      <w:bodyDiv w:val="1"/>
      <w:marLeft w:val="0"/>
      <w:marRight w:val="0"/>
      <w:marTop w:val="0"/>
      <w:marBottom w:val="0"/>
      <w:divBdr>
        <w:top w:val="none" w:sz="0" w:space="0" w:color="auto"/>
        <w:left w:val="none" w:sz="0" w:space="0" w:color="auto"/>
        <w:bottom w:val="none" w:sz="0" w:space="0" w:color="auto"/>
        <w:right w:val="none" w:sz="0" w:space="0" w:color="auto"/>
      </w:divBdr>
    </w:div>
    <w:div w:id="975448519">
      <w:bodyDiv w:val="1"/>
      <w:marLeft w:val="0"/>
      <w:marRight w:val="0"/>
      <w:marTop w:val="0"/>
      <w:marBottom w:val="0"/>
      <w:divBdr>
        <w:top w:val="none" w:sz="0" w:space="0" w:color="auto"/>
        <w:left w:val="none" w:sz="0" w:space="0" w:color="auto"/>
        <w:bottom w:val="none" w:sz="0" w:space="0" w:color="auto"/>
        <w:right w:val="none" w:sz="0" w:space="0" w:color="auto"/>
      </w:divBdr>
    </w:div>
    <w:div w:id="993535549">
      <w:bodyDiv w:val="1"/>
      <w:marLeft w:val="0"/>
      <w:marRight w:val="0"/>
      <w:marTop w:val="0"/>
      <w:marBottom w:val="0"/>
      <w:divBdr>
        <w:top w:val="none" w:sz="0" w:space="0" w:color="auto"/>
        <w:left w:val="none" w:sz="0" w:space="0" w:color="auto"/>
        <w:bottom w:val="none" w:sz="0" w:space="0" w:color="auto"/>
        <w:right w:val="none" w:sz="0" w:space="0" w:color="auto"/>
      </w:divBdr>
      <w:divsChild>
        <w:div w:id="1025785198">
          <w:marLeft w:val="0"/>
          <w:marRight w:val="0"/>
          <w:marTop w:val="0"/>
          <w:marBottom w:val="0"/>
          <w:divBdr>
            <w:top w:val="none" w:sz="0" w:space="0" w:color="auto"/>
            <w:left w:val="none" w:sz="0" w:space="0" w:color="auto"/>
            <w:bottom w:val="none" w:sz="0" w:space="0" w:color="auto"/>
            <w:right w:val="none" w:sz="0" w:space="0" w:color="auto"/>
          </w:divBdr>
          <w:divsChild>
            <w:div w:id="1972709400">
              <w:marLeft w:val="0"/>
              <w:marRight w:val="0"/>
              <w:marTop w:val="0"/>
              <w:marBottom w:val="0"/>
              <w:divBdr>
                <w:top w:val="none" w:sz="0" w:space="0" w:color="auto"/>
                <w:left w:val="none" w:sz="0" w:space="0" w:color="auto"/>
                <w:bottom w:val="none" w:sz="0" w:space="0" w:color="auto"/>
                <w:right w:val="none" w:sz="0" w:space="0" w:color="auto"/>
              </w:divBdr>
              <w:divsChild>
                <w:div w:id="528177845">
                  <w:marLeft w:val="0"/>
                  <w:marRight w:val="0"/>
                  <w:marTop w:val="0"/>
                  <w:marBottom w:val="0"/>
                  <w:divBdr>
                    <w:top w:val="none" w:sz="0" w:space="0" w:color="auto"/>
                    <w:left w:val="none" w:sz="0" w:space="0" w:color="auto"/>
                    <w:bottom w:val="none" w:sz="0" w:space="0" w:color="auto"/>
                    <w:right w:val="none" w:sz="0" w:space="0" w:color="auto"/>
                  </w:divBdr>
                  <w:divsChild>
                    <w:div w:id="1353653888">
                      <w:marLeft w:val="0"/>
                      <w:marRight w:val="0"/>
                      <w:marTop w:val="0"/>
                      <w:marBottom w:val="0"/>
                      <w:divBdr>
                        <w:top w:val="none" w:sz="0" w:space="0" w:color="auto"/>
                        <w:left w:val="none" w:sz="0" w:space="0" w:color="auto"/>
                        <w:bottom w:val="none" w:sz="0" w:space="0" w:color="auto"/>
                        <w:right w:val="none" w:sz="0" w:space="0" w:color="auto"/>
                      </w:divBdr>
                      <w:divsChild>
                        <w:div w:id="498934381">
                          <w:marLeft w:val="0"/>
                          <w:marRight w:val="0"/>
                          <w:marTop w:val="0"/>
                          <w:marBottom w:val="0"/>
                          <w:divBdr>
                            <w:top w:val="none" w:sz="0" w:space="0" w:color="auto"/>
                            <w:left w:val="none" w:sz="0" w:space="0" w:color="auto"/>
                            <w:bottom w:val="none" w:sz="0" w:space="0" w:color="auto"/>
                            <w:right w:val="none" w:sz="0" w:space="0" w:color="auto"/>
                          </w:divBdr>
                          <w:divsChild>
                            <w:div w:id="583801155">
                              <w:marLeft w:val="0"/>
                              <w:marRight w:val="0"/>
                              <w:marTop w:val="0"/>
                              <w:marBottom w:val="0"/>
                              <w:divBdr>
                                <w:top w:val="none" w:sz="0" w:space="0" w:color="auto"/>
                                <w:left w:val="none" w:sz="0" w:space="0" w:color="auto"/>
                                <w:bottom w:val="none" w:sz="0" w:space="0" w:color="auto"/>
                                <w:right w:val="none" w:sz="0" w:space="0" w:color="auto"/>
                              </w:divBdr>
                              <w:divsChild>
                                <w:div w:id="138888494">
                                  <w:marLeft w:val="0"/>
                                  <w:marRight w:val="0"/>
                                  <w:marTop w:val="0"/>
                                  <w:marBottom w:val="0"/>
                                  <w:divBdr>
                                    <w:top w:val="none" w:sz="0" w:space="0" w:color="auto"/>
                                    <w:left w:val="none" w:sz="0" w:space="0" w:color="auto"/>
                                    <w:bottom w:val="none" w:sz="0" w:space="0" w:color="auto"/>
                                    <w:right w:val="none" w:sz="0" w:space="0" w:color="auto"/>
                                  </w:divBdr>
                                  <w:divsChild>
                                    <w:div w:id="139796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135645">
                          <w:marLeft w:val="0"/>
                          <w:marRight w:val="0"/>
                          <w:marTop w:val="0"/>
                          <w:marBottom w:val="0"/>
                          <w:divBdr>
                            <w:top w:val="none" w:sz="0" w:space="0" w:color="auto"/>
                            <w:left w:val="none" w:sz="0" w:space="0" w:color="auto"/>
                            <w:bottom w:val="none" w:sz="0" w:space="0" w:color="auto"/>
                            <w:right w:val="none" w:sz="0" w:space="0" w:color="auto"/>
                          </w:divBdr>
                          <w:divsChild>
                            <w:div w:id="2075351055">
                              <w:marLeft w:val="0"/>
                              <w:marRight w:val="0"/>
                              <w:marTop w:val="0"/>
                              <w:marBottom w:val="0"/>
                              <w:divBdr>
                                <w:top w:val="none" w:sz="0" w:space="0" w:color="auto"/>
                                <w:left w:val="none" w:sz="0" w:space="0" w:color="auto"/>
                                <w:bottom w:val="none" w:sz="0" w:space="0" w:color="auto"/>
                                <w:right w:val="none" w:sz="0" w:space="0" w:color="auto"/>
                              </w:divBdr>
                              <w:divsChild>
                                <w:div w:id="1766150336">
                                  <w:marLeft w:val="0"/>
                                  <w:marRight w:val="0"/>
                                  <w:marTop w:val="0"/>
                                  <w:marBottom w:val="0"/>
                                  <w:divBdr>
                                    <w:top w:val="none" w:sz="0" w:space="0" w:color="auto"/>
                                    <w:left w:val="none" w:sz="0" w:space="0" w:color="auto"/>
                                    <w:bottom w:val="none" w:sz="0" w:space="0" w:color="auto"/>
                                    <w:right w:val="none" w:sz="0" w:space="0" w:color="auto"/>
                                  </w:divBdr>
                                  <w:divsChild>
                                    <w:div w:id="121805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0738737">
      <w:bodyDiv w:val="1"/>
      <w:marLeft w:val="0"/>
      <w:marRight w:val="0"/>
      <w:marTop w:val="0"/>
      <w:marBottom w:val="0"/>
      <w:divBdr>
        <w:top w:val="none" w:sz="0" w:space="0" w:color="auto"/>
        <w:left w:val="none" w:sz="0" w:space="0" w:color="auto"/>
        <w:bottom w:val="none" w:sz="0" w:space="0" w:color="auto"/>
        <w:right w:val="none" w:sz="0" w:space="0" w:color="auto"/>
      </w:divBdr>
    </w:div>
    <w:div w:id="1197160382">
      <w:bodyDiv w:val="1"/>
      <w:marLeft w:val="0"/>
      <w:marRight w:val="0"/>
      <w:marTop w:val="0"/>
      <w:marBottom w:val="0"/>
      <w:divBdr>
        <w:top w:val="none" w:sz="0" w:space="0" w:color="auto"/>
        <w:left w:val="none" w:sz="0" w:space="0" w:color="auto"/>
        <w:bottom w:val="none" w:sz="0" w:space="0" w:color="auto"/>
        <w:right w:val="none" w:sz="0" w:space="0" w:color="auto"/>
      </w:divBdr>
    </w:div>
    <w:div w:id="1277828289">
      <w:bodyDiv w:val="1"/>
      <w:marLeft w:val="0"/>
      <w:marRight w:val="0"/>
      <w:marTop w:val="0"/>
      <w:marBottom w:val="0"/>
      <w:divBdr>
        <w:top w:val="none" w:sz="0" w:space="0" w:color="auto"/>
        <w:left w:val="none" w:sz="0" w:space="0" w:color="auto"/>
        <w:bottom w:val="none" w:sz="0" w:space="0" w:color="auto"/>
        <w:right w:val="none" w:sz="0" w:space="0" w:color="auto"/>
      </w:divBdr>
    </w:div>
    <w:div w:id="1325281163">
      <w:bodyDiv w:val="1"/>
      <w:marLeft w:val="0"/>
      <w:marRight w:val="0"/>
      <w:marTop w:val="0"/>
      <w:marBottom w:val="0"/>
      <w:divBdr>
        <w:top w:val="none" w:sz="0" w:space="0" w:color="auto"/>
        <w:left w:val="none" w:sz="0" w:space="0" w:color="auto"/>
        <w:bottom w:val="none" w:sz="0" w:space="0" w:color="auto"/>
        <w:right w:val="none" w:sz="0" w:space="0" w:color="auto"/>
      </w:divBdr>
      <w:divsChild>
        <w:div w:id="1857958093">
          <w:marLeft w:val="360"/>
          <w:marRight w:val="0"/>
          <w:marTop w:val="200"/>
          <w:marBottom w:val="0"/>
          <w:divBdr>
            <w:top w:val="none" w:sz="0" w:space="0" w:color="auto"/>
            <w:left w:val="none" w:sz="0" w:space="0" w:color="auto"/>
            <w:bottom w:val="none" w:sz="0" w:space="0" w:color="auto"/>
            <w:right w:val="none" w:sz="0" w:space="0" w:color="auto"/>
          </w:divBdr>
        </w:div>
      </w:divsChild>
    </w:div>
    <w:div w:id="1372652240">
      <w:bodyDiv w:val="1"/>
      <w:marLeft w:val="0"/>
      <w:marRight w:val="0"/>
      <w:marTop w:val="0"/>
      <w:marBottom w:val="0"/>
      <w:divBdr>
        <w:top w:val="none" w:sz="0" w:space="0" w:color="auto"/>
        <w:left w:val="none" w:sz="0" w:space="0" w:color="auto"/>
        <w:bottom w:val="none" w:sz="0" w:space="0" w:color="auto"/>
        <w:right w:val="none" w:sz="0" w:space="0" w:color="auto"/>
      </w:divBdr>
    </w:div>
    <w:div w:id="1418288928">
      <w:bodyDiv w:val="1"/>
      <w:marLeft w:val="0"/>
      <w:marRight w:val="0"/>
      <w:marTop w:val="0"/>
      <w:marBottom w:val="0"/>
      <w:divBdr>
        <w:top w:val="none" w:sz="0" w:space="0" w:color="auto"/>
        <w:left w:val="none" w:sz="0" w:space="0" w:color="auto"/>
        <w:bottom w:val="none" w:sz="0" w:space="0" w:color="auto"/>
        <w:right w:val="none" w:sz="0" w:space="0" w:color="auto"/>
      </w:divBdr>
      <w:divsChild>
        <w:div w:id="1124040622">
          <w:marLeft w:val="0"/>
          <w:marRight w:val="0"/>
          <w:marTop w:val="0"/>
          <w:marBottom w:val="0"/>
          <w:divBdr>
            <w:top w:val="none" w:sz="0" w:space="0" w:color="auto"/>
            <w:left w:val="none" w:sz="0" w:space="0" w:color="auto"/>
            <w:bottom w:val="none" w:sz="0" w:space="0" w:color="auto"/>
            <w:right w:val="none" w:sz="0" w:space="0" w:color="auto"/>
          </w:divBdr>
          <w:divsChild>
            <w:div w:id="654143514">
              <w:marLeft w:val="0"/>
              <w:marRight w:val="0"/>
              <w:marTop w:val="0"/>
              <w:marBottom w:val="0"/>
              <w:divBdr>
                <w:top w:val="none" w:sz="0" w:space="0" w:color="auto"/>
                <w:left w:val="none" w:sz="0" w:space="0" w:color="auto"/>
                <w:bottom w:val="none" w:sz="0" w:space="0" w:color="auto"/>
                <w:right w:val="none" w:sz="0" w:space="0" w:color="auto"/>
              </w:divBdr>
              <w:divsChild>
                <w:div w:id="1010912276">
                  <w:marLeft w:val="0"/>
                  <w:marRight w:val="0"/>
                  <w:marTop w:val="0"/>
                  <w:marBottom w:val="0"/>
                  <w:divBdr>
                    <w:top w:val="none" w:sz="0" w:space="0" w:color="auto"/>
                    <w:left w:val="none" w:sz="0" w:space="0" w:color="auto"/>
                    <w:bottom w:val="none" w:sz="0" w:space="0" w:color="auto"/>
                    <w:right w:val="none" w:sz="0" w:space="0" w:color="auto"/>
                  </w:divBdr>
                  <w:divsChild>
                    <w:div w:id="201554757">
                      <w:marLeft w:val="0"/>
                      <w:marRight w:val="0"/>
                      <w:marTop w:val="0"/>
                      <w:marBottom w:val="0"/>
                      <w:divBdr>
                        <w:top w:val="none" w:sz="0" w:space="0" w:color="auto"/>
                        <w:left w:val="none" w:sz="0" w:space="0" w:color="auto"/>
                        <w:bottom w:val="none" w:sz="0" w:space="0" w:color="auto"/>
                        <w:right w:val="none" w:sz="0" w:space="0" w:color="auto"/>
                      </w:divBdr>
                      <w:divsChild>
                        <w:div w:id="1982152432">
                          <w:marLeft w:val="0"/>
                          <w:marRight w:val="0"/>
                          <w:marTop w:val="0"/>
                          <w:marBottom w:val="0"/>
                          <w:divBdr>
                            <w:top w:val="none" w:sz="0" w:space="0" w:color="auto"/>
                            <w:left w:val="none" w:sz="0" w:space="0" w:color="auto"/>
                            <w:bottom w:val="none" w:sz="0" w:space="0" w:color="auto"/>
                            <w:right w:val="none" w:sz="0" w:space="0" w:color="auto"/>
                          </w:divBdr>
                          <w:divsChild>
                            <w:div w:id="1513302646">
                              <w:marLeft w:val="0"/>
                              <w:marRight w:val="0"/>
                              <w:marTop w:val="0"/>
                              <w:marBottom w:val="0"/>
                              <w:divBdr>
                                <w:top w:val="none" w:sz="0" w:space="0" w:color="auto"/>
                                <w:left w:val="none" w:sz="0" w:space="0" w:color="auto"/>
                                <w:bottom w:val="none" w:sz="0" w:space="0" w:color="auto"/>
                                <w:right w:val="none" w:sz="0" w:space="0" w:color="auto"/>
                              </w:divBdr>
                              <w:divsChild>
                                <w:div w:id="319116393">
                                  <w:marLeft w:val="0"/>
                                  <w:marRight w:val="0"/>
                                  <w:marTop w:val="0"/>
                                  <w:marBottom w:val="0"/>
                                  <w:divBdr>
                                    <w:top w:val="none" w:sz="0" w:space="0" w:color="auto"/>
                                    <w:left w:val="none" w:sz="0" w:space="0" w:color="auto"/>
                                    <w:bottom w:val="none" w:sz="0" w:space="0" w:color="auto"/>
                                    <w:right w:val="none" w:sz="0" w:space="0" w:color="auto"/>
                                  </w:divBdr>
                                  <w:divsChild>
                                    <w:div w:id="156382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1650470">
      <w:bodyDiv w:val="1"/>
      <w:marLeft w:val="0"/>
      <w:marRight w:val="0"/>
      <w:marTop w:val="0"/>
      <w:marBottom w:val="0"/>
      <w:divBdr>
        <w:top w:val="none" w:sz="0" w:space="0" w:color="auto"/>
        <w:left w:val="none" w:sz="0" w:space="0" w:color="auto"/>
        <w:bottom w:val="none" w:sz="0" w:space="0" w:color="auto"/>
        <w:right w:val="none" w:sz="0" w:space="0" w:color="auto"/>
      </w:divBdr>
      <w:divsChild>
        <w:div w:id="166404948">
          <w:marLeft w:val="0"/>
          <w:marRight w:val="0"/>
          <w:marTop w:val="0"/>
          <w:marBottom w:val="0"/>
          <w:divBdr>
            <w:top w:val="none" w:sz="0" w:space="0" w:color="auto"/>
            <w:left w:val="none" w:sz="0" w:space="0" w:color="auto"/>
            <w:bottom w:val="none" w:sz="0" w:space="0" w:color="auto"/>
            <w:right w:val="none" w:sz="0" w:space="0" w:color="auto"/>
          </w:divBdr>
        </w:div>
        <w:div w:id="1747804549">
          <w:marLeft w:val="0"/>
          <w:marRight w:val="0"/>
          <w:marTop w:val="0"/>
          <w:marBottom w:val="0"/>
          <w:divBdr>
            <w:top w:val="none" w:sz="0" w:space="0" w:color="auto"/>
            <w:left w:val="none" w:sz="0" w:space="0" w:color="auto"/>
            <w:bottom w:val="none" w:sz="0" w:space="0" w:color="auto"/>
            <w:right w:val="none" w:sz="0" w:space="0" w:color="auto"/>
          </w:divBdr>
        </w:div>
        <w:div w:id="1391272228">
          <w:marLeft w:val="0"/>
          <w:marRight w:val="0"/>
          <w:marTop w:val="0"/>
          <w:marBottom w:val="0"/>
          <w:divBdr>
            <w:top w:val="none" w:sz="0" w:space="0" w:color="auto"/>
            <w:left w:val="none" w:sz="0" w:space="0" w:color="auto"/>
            <w:bottom w:val="none" w:sz="0" w:space="0" w:color="auto"/>
            <w:right w:val="none" w:sz="0" w:space="0" w:color="auto"/>
          </w:divBdr>
        </w:div>
        <w:div w:id="1950500925">
          <w:marLeft w:val="0"/>
          <w:marRight w:val="0"/>
          <w:marTop w:val="0"/>
          <w:marBottom w:val="0"/>
          <w:divBdr>
            <w:top w:val="none" w:sz="0" w:space="0" w:color="auto"/>
            <w:left w:val="none" w:sz="0" w:space="0" w:color="auto"/>
            <w:bottom w:val="none" w:sz="0" w:space="0" w:color="auto"/>
            <w:right w:val="none" w:sz="0" w:space="0" w:color="auto"/>
          </w:divBdr>
        </w:div>
        <w:div w:id="1843548106">
          <w:marLeft w:val="0"/>
          <w:marRight w:val="0"/>
          <w:marTop w:val="0"/>
          <w:marBottom w:val="0"/>
          <w:divBdr>
            <w:top w:val="none" w:sz="0" w:space="0" w:color="auto"/>
            <w:left w:val="none" w:sz="0" w:space="0" w:color="auto"/>
            <w:bottom w:val="none" w:sz="0" w:space="0" w:color="auto"/>
            <w:right w:val="none" w:sz="0" w:space="0" w:color="auto"/>
          </w:divBdr>
        </w:div>
        <w:div w:id="222915653">
          <w:marLeft w:val="0"/>
          <w:marRight w:val="0"/>
          <w:marTop w:val="0"/>
          <w:marBottom w:val="0"/>
          <w:divBdr>
            <w:top w:val="none" w:sz="0" w:space="0" w:color="auto"/>
            <w:left w:val="none" w:sz="0" w:space="0" w:color="auto"/>
            <w:bottom w:val="none" w:sz="0" w:space="0" w:color="auto"/>
            <w:right w:val="none" w:sz="0" w:space="0" w:color="auto"/>
          </w:divBdr>
        </w:div>
        <w:div w:id="801584384">
          <w:marLeft w:val="0"/>
          <w:marRight w:val="0"/>
          <w:marTop w:val="0"/>
          <w:marBottom w:val="0"/>
          <w:divBdr>
            <w:top w:val="none" w:sz="0" w:space="0" w:color="auto"/>
            <w:left w:val="none" w:sz="0" w:space="0" w:color="auto"/>
            <w:bottom w:val="none" w:sz="0" w:space="0" w:color="auto"/>
            <w:right w:val="none" w:sz="0" w:space="0" w:color="auto"/>
          </w:divBdr>
        </w:div>
        <w:div w:id="1509635352">
          <w:marLeft w:val="0"/>
          <w:marRight w:val="0"/>
          <w:marTop w:val="0"/>
          <w:marBottom w:val="0"/>
          <w:divBdr>
            <w:top w:val="none" w:sz="0" w:space="0" w:color="auto"/>
            <w:left w:val="none" w:sz="0" w:space="0" w:color="auto"/>
            <w:bottom w:val="none" w:sz="0" w:space="0" w:color="auto"/>
            <w:right w:val="none" w:sz="0" w:space="0" w:color="auto"/>
          </w:divBdr>
        </w:div>
        <w:div w:id="1941059866">
          <w:marLeft w:val="0"/>
          <w:marRight w:val="0"/>
          <w:marTop w:val="0"/>
          <w:marBottom w:val="0"/>
          <w:divBdr>
            <w:top w:val="none" w:sz="0" w:space="0" w:color="auto"/>
            <w:left w:val="none" w:sz="0" w:space="0" w:color="auto"/>
            <w:bottom w:val="none" w:sz="0" w:space="0" w:color="auto"/>
            <w:right w:val="none" w:sz="0" w:space="0" w:color="auto"/>
          </w:divBdr>
        </w:div>
      </w:divsChild>
    </w:div>
    <w:div w:id="1527517739">
      <w:bodyDiv w:val="1"/>
      <w:marLeft w:val="0"/>
      <w:marRight w:val="0"/>
      <w:marTop w:val="0"/>
      <w:marBottom w:val="0"/>
      <w:divBdr>
        <w:top w:val="none" w:sz="0" w:space="0" w:color="auto"/>
        <w:left w:val="none" w:sz="0" w:space="0" w:color="auto"/>
        <w:bottom w:val="none" w:sz="0" w:space="0" w:color="auto"/>
        <w:right w:val="none" w:sz="0" w:space="0" w:color="auto"/>
      </w:divBdr>
    </w:div>
    <w:div w:id="1599749022">
      <w:bodyDiv w:val="1"/>
      <w:marLeft w:val="0"/>
      <w:marRight w:val="0"/>
      <w:marTop w:val="0"/>
      <w:marBottom w:val="0"/>
      <w:divBdr>
        <w:top w:val="none" w:sz="0" w:space="0" w:color="auto"/>
        <w:left w:val="none" w:sz="0" w:space="0" w:color="auto"/>
        <w:bottom w:val="none" w:sz="0" w:space="0" w:color="auto"/>
        <w:right w:val="none" w:sz="0" w:space="0" w:color="auto"/>
      </w:divBdr>
    </w:div>
    <w:div w:id="1889876447">
      <w:bodyDiv w:val="1"/>
      <w:marLeft w:val="0"/>
      <w:marRight w:val="0"/>
      <w:marTop w:val="0"/>
      <w:marBottom w:val="0"/>
      <w:divBdr>
        <w:top w:val="none" w:sz="0" w:space="0" w:color="auto"/>
        <w:left w:val="none" w:sz="0" w:space="0" w:color="auto"/>
        <w:bottom w:val="none" w:sz="0" w:space="0" w:color="auto"/>
        <w:right w:val="none" w:sz="0" w:space="0" w:color="auto"/>
      </w:divBdr>
      <w:divsChild>
        <w:div w:id="692848363">
          <w:marLeft w:val="0"/>
          <w:marRight w:val="0"/>
          <w:marTop w:val="0"/>
          <w:marBottom w:val="0"/>
          <w:divBdr>
            <w:top w:val="none" w:sz="0" w:space="0" w:color="auto"/>
            <w:left w:val="none" w:sz="0" w:space="0" w:color="auto"/>
            <w:bottom w:val="none" w:sz="0" w:space="0" w:color="auto"/>
            <w:right w:val="none" w:sz="0" w:space="0" w:color="auto"/>
          </w:divBdr>
        </w:div>
      </w:divsChild>
    </w:div>
    <w:div w:id="1912695827">
      <w:bodyDiv w:val="1"/>
      <w:marLeft w:val="0"/>
      <w:marRight w:val="0"/>
      <w:marTop w:val="0"/>
      <w:marBottom w:val="0"/>
      <w:divBdr>
        <w:top w:val="none" w:sz="0" w:space="0" w:color="auto"/>
        <w:left w:val="none" w:sz="0" w:space="0" w:color="auto"/>
        <w:bottom w:val="none" w:sz="0" w:space="0" w:color="auto"/>
        <w:right w:val="none" w:sz="0" w:space="0" w:color="auto"/>
      </w:divBdr>
    </w:div>
    <w:div w:id="20584344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3.png"/><Relationship Id="rId26" Type="http://schemas.openxmlformats.org/officeDocument/2006/relationships/image" Target="media/image7.png"/><Relationship Id="rId39" Type="http://schemas.openxmlformats.org/officeDocument/2006/relationships/hyperlink" Target="https://doi.org/10.5897/AJB2019.16699" TargetMode="External"/><Relationship Id="rId21" Type="http://schemas.microsoft.com/office/2007/relationships/hdphoto" Target="media/hdphoto4.wdp"/><Relationship Id="rId34" Type="http://schemas.openxmlformats.org/officeDocument/2006/relationships/image" Target="media/image11.png"/><Relationship Id="rId42" Type="http://schemas.openxmlformats.org/officeDocument/2006/relationships/hyperlink" Target="https://doi.org/10.1023/A:1024883421127" TargetMode="External"/><Relationship Id="rId47" Type="http://schemas.openxmlformats.org/officeDocument/2006/relationships/hyperlink" Target="https://doi.org/10.1007/s11240-009-9548-3" TargetMode="External"/><Relationship Id="rId50"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2.png"/><Relationship Id="rId29" Type="http://schemas.microsoft.com/office/2007/relationships/hdphoto" Target="media/hdphoto8.wdp"/><Relationship Id="rId11" Type="http://schemas.openxmlformats.org/officeDocument/2006/relationships/header" Target="header3.xml"/><Relationship Id="rId24" Type="http://schemas.openxmlformats.org/officeDocument/2006/relationships/image" Target="media/image6.png"/><Relationship Id="rId32" Type="http://schemas.openxmlformats.org/officeDocument/2006/relationships/image" Target="media/image10.png"/><Relationship Id="rId37" Type="http://schemas.microsoft.com/office/2007/relationships/hdphoto" Target="media/hdphoto12.wdp"/><Relationship Id="rId40" Type="http://schemas.openxmlformats.org/officeDocument/2006/relationships/hyperlink" Target="https://doi.org/10.1111/j.1469-8137.2005.01572.x" TargetMode="External"/><Relationship Id="rId45" Type="http://schemas.openxmlformats.org/officeDocument/2006/relationships/hyperlink" Target="https://doi.org/10.1016/0168-9452(89)90079-4" TargetMode="External"/><Relationship Id="rId5" Type="http://schemas.openxmlformats.org/officeDocument/2006/relationships/footnotes" Target="footnote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8.png"/><Relationship Id="rId36" Type="http://schemas.openxmlformats.org/officeDocument/2006/relationships/image" Target="media/image12.png"/><Relationship Id="rId49" Type="http://schemas.openxmlformats.org/officeDocument/2006/relationships/hyperlink" Target="https://doi.org/10.1007/BF00232907" TargetMode="External"/><Relationship Id="rId10" Type="http://schemas.openxmlformats.org/officeDocument/2006/relationships/footer" Target="footer2.xml"/><Relationship Id="rId19" Type="http://schemas.microsoft.com/office/2007/relationships/hdphoto" Target="media/hdphoto3.wdp"/><Relationship Id="rId31" Type="http://schemas.microsoft.com/office/2007/relationships/hdphoto" Target="media/hdphoto9.wdp"/><Relationship Id="rId44" Type="http://schemas.openxmlformats.org/officeDocument/2006/relationships/hyperlink" Target="https://doi.org/10.3389/fpls.2014.00095"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1.png"/><Relationship Id="rId22" Type="http://schemas.openxmlformats.org/officeDocument/2006/relationships/image" Target="media/image5.png"/><Relationship Id="rId27" Type="http://schemas.microsoft.com/office/2007/relationships/hdphoto" Target="media/hdphoto7.wdp"/><Relationship Id="rId30" Type="http://schemas.openxmlformats.org/officeDocument/2006/relationships/image" Target="media/image9.png"/><Relationship Id="rId35" Type="http://schemas.microsoft.com/office/2007/relationships/hdphoto" Target="media/hdphoto11.wdp"/><Relationship Id="rId43" Type="http://schemas.openxmlformats.org/officeDocument/2006/relationships/hyperlink" Target="https://doi.org/10.1007/BF00033558" TargetMode="External"/><Relationship Id="rId48" Type="http://schemas.openxmlformats.org/officeDocument/2006/relationships/hyperlink" Target="https://doi.org/10.1007/s11627-010-9280-3" TargetMode="External"/><Relationship Id="rId8" Type="http://schemas.openxmlformats.org/officeDocument/2006/relationships/header" Target="header2.xm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3.xml"/><Relationship Id="rId17" Type="http://schemas.microsoft.com/office/2007/relationships/hdphoto" Target="media/hdphoto2.wdp"/><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hyperlink" Target="https://www.sciencedirect.com/topics/agricultural-and-biological-sciences/morphogenesis" TargetMode="External"/><Relationship Id="rId46" Type="http://schemas.openxmlformats.org/officeDocument/2006/relationships/hyperlink" Target="https://doi.org/10.1007/978-94-011-0485-2_5" TargetMode="External"/><Relationship Id="rId20" Type="http://schemas.openxmlformats.org/officeDocument/2006/relationships/image" Target="media/image4.png"/><Relationship Id="rId41" Type="http://schemas.openxmlformats.org/officeDocument/2006/relationships/hyperlink" Target="https://doi.org/10.1111/j.1399-3054.1976.tb03123.x" TargetMode="External"/><Relationship Id="rId1" Type="http://schemas.openxmlformats.org/officeDocument/2006/relationships/customXml" Target="../customXml/item1.xml"/><Relationship Id="rId6" Type="http://schemas.openxmlformats.org/officeDocument/2006/relationships/endnotes" Target="endnotes.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23472257392023"/>
          <c:y val="3.6206458042448056E-2"/>
          <c:w val="0.79331572833640818"/>
          <c:h val="0.48399192355405146"/>
        </c:manualLayout>
      </c:layout>
      <c:barChart>
        <c:barDir val="col"/>
        <c:grouping val="clustered"/>
        <c:varyColors val="0"/>
        <c:ser>
          <c:idx val="0"/>
          <c:order val="0"/>
          <c:tx>
            <c:strRef>
              <c:f>[Book1]Sheet1!$B$1</c:f>
              <c:strCache>
                <c:ptCount val="1"/>
                <c:pt idx="0">
                  <c:v>Calloid induction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Dev"/>
            <c:noEndCap val="0"/>
            <c:val val="1"/>
            <c:spPr>
              <a:noFill/>
              <a:ln w="9525" cap="flat" cmpd="sng" algn="ctr">
                <a:solidFill>
                  <a:schemeClr val="tx1">
                    <a:lumMod val="65000"/>
                    <a:lumOff val="35000"/>
                  </a:schemeClr>
                </a:solidFill>
                <a:round/>
              </a:ln>
              <a:effectLst/>
            </c:spPr>
          </c:errBars>
          <c:cat>
            <c:strRef>
              <c:f>[Book1]Sheet1!$A$2:$A$6</c:f>
              <c:strCache>
                <c:ptCount val="5"/>
                <c:pt idx="1">
                  <c:v>i1</c:v>
                </c:pt>
                <c:pt idx="2">
                  <c:v>i2</c:v>
                </c:pt>
                <c:pt idx="3">
                  <c:v>i3</c:v>
                </c:pt>
                <c:pt idx="4">
                  <c:v>i4</c:v>
                </c:pt>
              </c:strCache>
            </c:strRef>
          </c:cat>
          <c:val>
            <c:numRef>
              <c:f>[Book1]Sheet1!$B$2:$B$6</c:f>
              <c:numCache>
                <c:formatCode>General</c:formatCode>
                <c:ptCount val="5"/>
                <c:pt idx="1">
                  <c:v>74.42</c:v>
                </c:pt>
                <c:pt idx="2">
                  <c:v>78.569999999999993</c:v>
                </c:pt>
                <c:pt idx="3">
                  <c:v>82</c:v>
                </c:pt>
                <c:pt idx="4">
                  <c:v>85.71</c:v>
                </c:pt>
              </c:numCache>
            </c:numRef>
          </c:val>
          <c:extLst>
            <c:ext xmlns:c16="http://schemas.microsoft.com/office/drawing/2014/chart" uri="{C3380CC4-5D6E-409C-BE32-E72D297353CC}">
              <c16:uniqueId val="{00000000-B94A-4575-8186-1DE6266CDC48}"/>
            </c:ext>
          </c:extLst>
        </c:ser>
        <c:ser>
          <c:idx val="1"/>
          <c:order val="1"/>
          <c:tx>
            <c:strRef>
              <c:f>[Book1]Sheet1!$C$1</c:f>
              <c:strCache>
                <c:ptCount val="1"/>
                <c:pt idx="0">
                  <c:v>Browning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Dev"/>
            <c:noEndCap val="0"/>
            <c:val val="1"/>
            <c:spPr>
              <a:noFill/>
              <a:ln w="9525" cap="flat" cmpd="sng" algn="ctr">
                <a:solidFill>
                  <a:schemeClr val="tx1">
                    <a:lumMod val="65000"/>
                    <a:lumOff val="35000"/>
                  </a:schemeClr>
                </a:solidFill>
                <a:round/>
              </a:ln>
              <a:effectLst/>
            </c:spPr>
          </c:errBars>
          <c:cat>
            <c:strRef>
              <c:f>[Book1]Sheet1!$A$2:$A$6</c:f>
              <c:strCache>
                <c:ptCount val="5"/>
                <c:pt idx="1">
                  <c:v>i1</c:v>
                </c:pt>
                <c:pt idx="2">
                  <c:v>i2</c:v>
                </c:pt>
                <c:pt idx="3">
                  <c:v>i3</c:v>
                </c:pt>
                <c:pt idx="4">
                  <c:v>i4</c:v>
                </c:pt>
              </c:strCache>
            </c:strRef>
          </c:cat>
          <c:val>
            <c:numRef>
              <c:f>[Book1]Sheet1!$C$2:$C$6</c:f>
              <c:numCache>
                <c:formatCode>General</c:formatCode>
                <c:ptCount val="5"/>
                <c:pt idx="1">
                  <c:v>13.95</c:v>
                </c:pt>
                <c:pt idx="2">
                  <c:v>11.9</c:v>
                </c:pt>
                <c:pt idx="3">
                  <c:v>6</c:v>
                </c:pt>
                <c:pt idx="4">
                  <c:v>4.76</c:v>
                </c:pt>
              </c:numCache>
            </c:numRef>
          </c:val>
          <c:extLst>
            <c:ext xmlns:c16="http://schemas.microsoft.com/office/drawing/2014/chart" uri="{C3380CC4-5D6E-409C-BE32-E72D297353CC}">
              <c16:uniqueId val="{00000001-B94A-4575-8186-1DE6266CDC48}"/>
            </c:ext>
          </c:extLst>
        </c:ser>
        <c:dLbls>
          <c:showLegendKey val="0"/>
          <c:showVal val="1"/>
          <c:showCatName val="0"/>
          <c:showSerName val="0"/>
          <c:showPercent val="0"/>
          <c:showBubbleSize val="0"/>
        </c:dLbls>
        <c:gapWidth val="219"/>
        <c:overlap val="-27"/>
        <c:axId val="134114367"/>
        <c:axId val="907644707"/>
      </c:barChart>
      <c:catAx>
        <c:axId val="1341143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solidFill>
                      <a:schemeClr val="tx1"/>
                    </a:solidFill>
                  </a:rPr>
                  <a:t>Developmental stage of explant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7644707"/>
        <c:crosses val="autoZero"/>
        <c:auto val="1"/>
        <c:lblAlgn val="ctr"/>
        <c:lblOffset val="100"/>
        <c:noMultiLvlLbl val="0"/>
      </c:catAx>
      <c:valAx>
        <c:axId val="9076447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IN">
                    <a:solidFill>
                      <a:schemeClr val="tx1"/>
                    </a:solidFill>
                  </a:rPr>
                  <a:t>% response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34114367"/>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Entry>
      <c:legendEntry>
        <c:idx val="1"/>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extLst>
      <c:ext uri="{0b15fc19-7d7d-44ad-8c2d-2c3a37ce22c3}">
        <chartProps xmlns="https://web.wps.cn/et/2018/main" chartId="{09964cc4-3f33-499a-9bd7-7d36052b3780}"/>
      </c:ext>
    </c:extLst>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33A036-B657-4A50-B53A-DED7E7EB35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2880</TotalTime>
  <Pages>13</Pages>
  <Words>5889</Words>
  <Characters>33572</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Radhika r</dc:creator>
  <cp:lastModifiedBy>SDI 1084</cp:lastModifiedBy>
  <cp:revision>124</cp:revision>
  <cp:lastPrinted>2025-10-08T05:28:00Z</cp:lastPrinted>
  <dcterms:created xsi:type="dcterms:W3CDTF">2025-05-13T03:46:00Z</dcterms:created>
  <dcterms:modified xsi:type="dcterms:W3CDTF">2025-10-15T10:24:00Z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1033-12.2.0.21179</vt:lpwstr>
  </property>
  <property fmtid="{D5CDD505-2E9C-101B-9397-08002B2CF9AE}" pid="3" name="ICV">
    <vt:lpwstr>9FB340DC20B54CFE85D8433BBAD15099_11</vt:lpwstr>
  </property>
</Properties>
</file>