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BF7D8" w14:textId="77777777" w:rsidR="00883B6E" w:rsidRPr="00883B6E" w:rsidRDefault="00883B6E" w:rsidP="00883B6E">
      <w:pPr>
        <w:jc w:val="right"/>
        <w:rPr>
          <w:rFonts w:ascii="Arial" w:hAnsi="Arial" w:cs="Arial"/>
          <w:b/>
          <w:bCs/>
          <w:i/>
          <w:iCs/>
          <w:kern w:val="28"/>
          <w:sz w:val="36"/>
          <w:u w:val="single"/>
        </w:rPr>
      </w:pPr>
      <w:r w:rsidRPr="00883B6E">
        <w:rPr>
          <w:rFonts w:ascii="Arial" w:hAnsi="Arial" w:cs="Arial"/>
          <w:b/>
          <w:bCs/>
          <w:i/>
          <w:iCs/>
          <w:kern w:val="28"/>
          <w:sz w:val="36"/>
          <w:u w:val="single"/>
        </w:rPr>
        <w:t>Original Research Article</w:t>
      </w:r>
    </w:p>
    <w:p w14:paraId="126B4927" w14:textId="72C85112" w:rsidR="00102A17" w:rsidRPr="00102A17" w:rsidRDefault="00102A17" w:rsidP="00102A17">
      <w:pPr>
        <w:jc w:val="right"/>
        <w:rPr>
          <w:rFonts w:ascii="Arial" w:hAnsi="Arial" w:cs="Arial"/>
          <w:b/>
          <w:bCs/>
          <w:iCs/>
          <w:kern w:val="28"/>
          <w:sz w:val="36"/>
        </w:rPr>
      </w:pPr>
      <w:r w:rsidRPr="00102A17">
        <w:rPr>
          <w:rFonts w:ascii="Arial" w:hAnsi="Arial" w:cs="Arial"/>
          <w:b/>
          <w:bCs/>
          <w:iCs/>
          <w:kern w:val="28"/>
          <w:sz w:val="36"/>
        </w:rPr>
        <w:t>Modified Paddy</w:t>
      </w:r>
      <w:r w:rsidR="00DB2EA0">
        <w:rPr>
          <w:rFonts w:ascii="Arial" w:hAnsi="Arial" w:cs="Arial"/>
          <w:b/>
          <w:bCs/>
          <w:iCs/>
          <w:kern w:val="28"/>
          <w:sz w:val="36"/>
        </w:rPr>
        <w:t xml:space="preserve"> </w:t>
      </w:r>
      <w:r w:rsidRPr="00102A17">
        <w:rPr>
          <w:rFonts w:ascii="Arial" w:hAnsi="Arial" w:cs="Arial"/>
          <w:b/>
          <w:bCs/>
          <w:iCs/>
          <w:kern w:val="28"/>
          <w:sz w:val="36"/>
        </w:rPr>
        <w:t xml:space="preserve">Ecosystem on Radiation Use Efficiency, Thermal Indices, Growth and Yield Performance of Sali Rice in Assam  </w:t>
      </w:r>
    </w:p>
    <w:p w14:paraId="6BD309AC" w14:textId="3A52B80B" w:rsidR="00D042F9" w:rsidRPr="00D042F9" w:rsidRDefault="00D042F9" w:rsidP="00D042F9">
      <w:pPr>
        <w:pStyle w:val="Author"/>
        <w:spacing w:line="240" w:lineRule="auto"/>
        <w:rPr>
          <w:rFonts w:ascii="Arial" w:hAnsi="Arial" w:cs="Arial"/>
          <w:bCs/>
          <w:iCs/>
          <w:kern w:val="28"/>
          <w:sz w:val="36"/>
        </w:rPr>
      </w:pPr>
    </w:p>
    <w:p w14:paraId="374B8D0C" w14:textId="77777777" w:rsidR="00F50FF8" w:rsidRPr="002C17FB" w:rsidRDefault="00F50FF8" w:rsidP="002C17FB">
      <w:pPr>
        <w:pStyle w:val="Affiliation"/>
        <w:spacing w:after="0" w:line="240" w:lineRule="auto"/>
        <w:rPr>
          <w:rFonts w:ascii="Arial" w:hAnsi="Arial" w:cs="Arial"/>
          <w:i/>
          <w:vertAlign w:val="superscript"/>
          <w:lang w:val="en-IN"/>
        </w:rPr>
      </w:pPr>
    </w:p>
    <w:p w14:paraId="6BD309B4" w14:textId="77777777" w:rsidR="002C57D2" w:rsidRPr="00FB3A86" w:rsidRDefault="002C57D2" w:rsidP="00441B6F">
      <w:pPr>
        <w:pStyle w:val="Affiliation"/>
        <w:spacing w:after="0" w:line="240" w:lineRule="auto"/>
        <w:jc w:val="both"/>
        <w:rPr>
          <w:rFonts w:ascii="Arial" w:hAnsi="Arial" w:cs="Arial"/>
        </w:rPr>
      </w:pPr>
    </w:p>
    <w:p w14:paraId="6BD309B5" w14:textId="77777777" w:rsidR="00B01FCD" w:rsidRPr="00FB3A86" w:rsidRDefault="006A0F40" w:rsidP="00441B6F">
      <w:pPr>
        <w:pStyle w:val="Copyright"/>
        <w:spacing w:after="0" w:line="240" w:lineRule="auto"/>
        <w:jc w:val="both"/>
        <w:rPr>
          <w:rFonts w:ascii="Arial" w:hAnsi="Arial" w:cs="Arial"/>
        </w:rPr>
        <w:sectPr w:rsidR="00B01FCD" w:rsidRPr="00FB3A86" w:rsidSect="00654C8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w:r>
      <w:r>
        <w:rPr>
          <w:rFonts w:ascii="Arial" w:hAnsi="Arial" w:cs="Arial"/>
          <w:noProof/>
        </w:rPr>
        <w:pict w14:anchorId="6BD30B80">
          <v:shapetype id="_x0000_t32" coordsize="21600,21600" o:spt="32" o:oned="t" path="m,l21600,21600e" filled="f">
            <v:path arrowok="t" fillok="f" o:connecttype="none"/>
            <o:lock v:ext="edit" shapetype="t"/>
          </v:shapetype>
          <v:shape id=" 2" o:spid="_x0000_s1026" type="#_x0000_t32" style="width:417.6pt;height:.05pt;visibility:visible;mso-left-percent:-10001;mso-top-percent:-10001;mso-position-horizontal:absolute;mso-position-horizontal-relative:char;mso-position-vertical:absolute;mso-position-vertical-relative:line;mso-left-percent:-10001;mso-top-percent:-10001" strokeweight="1.5pt">
            <o:lock v:ext="edit" shapetype="f"/>
            <w10:anchorlock/>
          </v:shape>
        </w:pict>
      </w:r>
      <w:r w:rsidR="00FB3A86">
        <w:rPr>
          <w:rFonts w:ascii="Arial" w:hAnsi="Arial" w:cs="Arial"/>
        </w:rPr>
        <w:t>.</w:t>
      </w:r>
    </w:p>
    <w:p w14:paraId="6BD309B6" w14:textId="77777777" w:rsidR="006A66F4" w:rsidRDefault="006A66F4" w:rsidP="00441B6F">
      <w:pPr>
        <w:pStyle w:val="AbstHead"/>
        <w:spacing w:after="0"/>
        <w:jc w:val="both"/>
        <w:rPr>
          <w:rFonts w:ascii="Arial" w:hAnsi="Arial" w:cs="Arial"/>
        </w:rPr>
      </w:pPr>
    </w:p>
    <w:p w14:paraId="6BD309B7" w14:textId="77777777" w:rsidR="00790ADA" w:rsidRDefault="00B01FCD" w:rsidP="00441B6F">
      <w:pPr>
        <w:pStyle w:val="AbstHead"/>
        <w:spacing w:after="0"/>
        <w:jc w:val="both"/>
        <w:rPr>
          <w:rFonts w:ascii="Arial" w:hAnsi="Arial" w:cs="Arial"/>
        </w:rPr>
      </w:pPr>
      <w:r w:rsidRPr="00FB3A86">
        <w:rPr>
          <w:rFonts w:ascii="Arial" w:hAnsi="Arial" w:cs="Arial"/>
        </w:rPr>
        <w:t>ABSTRACT</w:t>
      </w:r>
    </w:p>
    <w:p w14:paraId="6BD309B8" w14:textId="77777777" w:rsidR="00AC186A" w:rsidRPr="00FB3A86" w:rsidRDefault="00AC186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801"/>
      </w:tblGrid>
      <w:tr w:rsidR="00296529" w:rsidRPr="001E44FE" w14:paraId="6BD309BB" w14:textId="77777777" w:rsidTr="006A66F4">
        <w:trPr>
          <w:trHeight w:val="4487"/>
        </w:trPr>
        <w:tc>
          <w:tcPr>
            <w:tcW w:w="10801" w:type="dxa"/>
            <w:shd w:val="clear" w:color="auto" w:fill="F2F2F2"/>
          </w:tcPr>
          <w:p w14:paraId="6BD309B9" w14:textId="77777777" w:rsidR="00C242F3" w:rsidRDefault="00C242F3" w:rsidP="00D042F9">
            <w:pPr>
              <w:pStyle w:val="Body"/>
              <w:spacing w:after="0"/>
              <w:rPr>
                <w:rFonts w:ascii="Arial" w:eastAsia="Calibri" w:hAnsi="Arial" w:cs="Arial"/>
                <w:szCs w:val="22"/>
              </w:rPr>
            </w:pPr>
          </w:p>
          <w:p w14:paraId="6BD309BA" w14:textId="086EF5D7" w:rsidR="00505F06" w:rsidRPr="00BA1B01" w:rsidRDefault="00D042F9" w:rsidP="00D042F9">
            <w:pPr>
              <w:pStyle w:val="Body"/>
              <w:spacing w:after="0"/>
              <w:rPr>
                <w:rFonts w:ascii="Arial" w:eastAsia="Calibri" w:hAnsi="Arial" w:cs="Arial"/>
                <w:szCs w:val="22"/>
              </w:rPr>
            </w:pPr>
            <w:r w:rsidRPr="00D042F9">
              <w:rPr>
                <w:rFonts w:ascii="Arial" w:eastAsia="Calibri" w:hAnsi="Arial" w:cs="Arial"/>
                <w:szCs w:val="22"/>
              </w:rPr>
              <w:t xml:space="preserve">A two-year field experiment was conducted during 2016 and 2017 to assess the influence of microclimatic and thermal indices on </w:t>
            </w:r>
            <w:r w:rsidRPr="00D042F9">
              <w:rPr>
                <w:rFonts w:ascii="Arial" w:eastAsia="Calibri" w:hAnsi="Arial" w:cs="Arial"/>
                <w:i/>
                <w:iCs/>
                <w:szCs w:val="22"/>
              </w:rPr>
              <w:t>Sali</w:t>
            </w:r>
            <w:r w:rsidRPr="00D042F9">
              <w:rPr>
                <w:rFonts w:ascii="Arial" w:eastAsia="Calibri" w:hAnsi="Arial" w:cs="Arial"/>
                <w:szCs w:val="22"/>
              </w:rPr>
              <w:t xml:space="preserve"> rice growth and yield attributes under a modified </w:t>
            </w:r>
            <w:r w:rsidR="00FF672F">
              <w:rPr>
                <w:rFonts w:ascii="Arial" w:eastAsia="Calibri" w:hAnsi="Arial" w:cs="Arial"/>
                <w:szCs w:val="22"/>
              </w:rPr>
              <w:t>paddy</w:t>
            </w:r>
            <w:r w:rsidRPr="00D042F9">
              <w:rPr>
                <w:rFonts w:ascii="Arial" w:eastAsia="Calibri" w:hAnsi="Arial" w:cs="Arial"/>
                <w:szCs w:val="22"/>
              </w:rPr>
              <w:t>-ecosystem. The study involved two crop establishment methods (C</w:t>
            </w:r>
            <w:r w:rsidRPr="00D042F9">
              <w:rPr>
                <w:rFonts w:ascii="Cambria Math" w:eastAsia="Calibri" w:hAnsi="Cambria Math" w:cs="Cambria Math"/>
                <w:szCs w:val="22"/>
              </w:rPr>
              <w:t>₁</w:t>
            </w:r>
            <w:r w:rsidRPr="00D042F9">
              <w:rPr>
                <w:rFonts w:ascii="Arial" w:eastAsia="Calibri" w:hAnsi="Arial" w:cs="Arial"/>
                <w:szCs w:val="22"/>
              </w:rPr>
              <w:t>: System of Rice Intensification [SRI], C</w:t>
            </w:r>
            <w:r w:rsidRPr="00D042F9">
              <w:rPr>
                <w:rFonts w:ascii="Cambria Math" w:eastAsia="Calibri" w:hAnsi="Cambria Math" w:cs="Cambria Math"/>
                <w:szCs w:val="22"/>
              </w:rPr>
              <w:t>₂</w:t>
            </w:r>
            <w:r w:rsidRPr="00D042F9">
              <w:rPr>
                <w:rFonts w:ascii="Arial" w:eastAsia="Calibri" w:hAnsi="Arial" w:cs="Arial"/>
                <w:szCs w:val="22"/>
              </w:rPr>
              <w:t>: Conventional), three transplanting dates (D</w:t>
            </w:r>
            <w:r w:rsidRPr="00D042F9">
              <w:rPr>
                <w:rFonts w:ascii="Cambria Math" w:eastAsia="Calibri" w:hAnsi="Cambria Math" w:cs="Cambria Math"/>
                <w:szCs w:val="22"/>
              </w:rPr>
              <w:t>₁</w:t>
            </w:r>
            <w:r w:rsidRPr="00D042F9">
              <w:rPr>
                <w:rFonts w:ascii="Arial" w:eastAsia="Calibri" w:hAnsi="Arial" w:cs="Arial"/>
                <w:szCs w:val="22"/>
              </w:rPr>
              <w:t>: 26 June, D</w:t>
            </w:r>
            <w:r w:rsidRPr="00D042F9">
              <w:rPr>
                <w:rFonts w:ascii="Cambria Math" w:eastAsia="Calibri" w:hAnsi="Cambria Math" w:cs="Cambria Math"/>
                <w:szCs w:val="22"/>
              </w:rPr>
              <w:t>₂</w:t>
            </w:r>
            <w:r w:rsidRPr="00D042F9">
              <w:rPr>
                <w:rFonts w:ascii="Arial" w:eastAsia="Calibri" w:hAnsi="Arial" w:cs="Arial"/>
                <w:szCs w:val="22"/>
              </w:rPr>
              <w:t>: 10 July, D</w:t>
            </w:r>
            <w:r w:rsidRPr="00D042F9">
              <w:rPr>
                <w:rFonts w:ascii="Cambria Math" w:eastAsia="Calibri" w:hAnsi="Cambria Math" w:cs="Cambria Math"/>
                <w:szCs w:val="22"/>
              </w:rPr>
              <w:t>₃</w:t>
            </w:r>
            <w:r w:rsidRPr="00D042F9">
              <w:rPr>
                <w:rFonts w:ascii="Arial" w:eastAsia="Calibri" w:hAnsi="Arial" w:cs="Arial"/>
                <w:szCs w:val="22"/>
              </w:rPr>
              <w:t>: 25 July), and four hill densities (H</w:t>
            </w:r>
            <w:r w:rsidRPr="00D042F9">
              <w:rPr>
                <w:rFonts w:ascii="Cambria Math" w:eastAsia="Calibri" w:hAnsi="Cambria Math" w:cs="Cambria Math"/>
                <w:szCs w:val="22"/>
              </w:rPr>
              <w:t>₁</w:t>
            </w:r>
            <w:r w:rsidRPr="00D042F9">
              <w:rPr>
                <w:rFonts w:ascii="Arial" w:eastAsia="Calibri" w:hAnsi="Arial" w:cs="Arial"/>
                <w:szCs w:val="22"/>
              </w:rPr>
              <w:t>: 33 hills m</w:t>
            </w:r>
            <w:r w:rsidRPr="00D042F9">
              <w:rPr>
                <w:rFonts w:ascii="Cambria Math" w:eastAsia="Calibri" w:hAnsi="Cambria Math" w:cs="Cambria Math"/>
                <w:szCs w:val="22"/>
              </w:rPr>
              <w:t>⁻</w:t>
            </w:r>
            <w:r w:rsidRPr="00D042F9">
              <w:rPr>
                <w:rFonts w:ascii="Arial" w:eastAsia="Calibri" w:hAnsi="Arial" w:cs="Arial"/>
                <w:szCs w:val="22"/>
              </w:rPr>
              <w:t>², H</w:t>
            </w:r>
            <w:r w:rsidRPr="00D042F9">
              <w:rPr>
                <w:rFonts w:ascii="Cambria Math" w:eastAsia="Calibri" w:hAnsi="Cambria Math" w:cs="Cambria Math"/>
                <w:szCs w:val="22"/>
              </w:rPr>
              <w:t>₂</w:t>
            </w:r>
            <w:r w:rsidRPr="00D042F9">
              <w:rPr>
                <w:rFonts w:ascii="Arial" w:eastAsia="Calibri" w:hAnsi="Arial" w:cs="Arial"/>
                <w:szCs w:val="22"/>
              </w:rPr>
              <w:t>: 25 hills m</w:t>
            </w:r>
            <w:r w:rsidRPr="00D042F9">
              <w:rPr>
                <w:rFonts w:ascii="Cambria Math" w:eastAsia="Calibri" w:hAnsi="Cambria Math" w:cs="Cambria Math"/>
                <w:szCs w:val="22"/>
              </w:rPr>
              <w:t>⁻</w:t>
            </w:r>
            <w:r w:rsidRPr="00D042F9">
              <w:rPr>
                <w:rFonts w:ascii="Arial" w:eastAsia="Calibri" w:hAnsi="Arial" w:cs="Arial"/>
                <w:szCs w:val="22"/>
              </w:rPr>
              <w:t>², H</w:t>
            </w:r>
            <w:r w:rsidRPr="00D042F9">
              <w:rPr>
                <w:rFonts w:ascii="Cambria Math" w:eastAsia="Calibri" w:hAnsi="Cambria Math" w:cs="Cambria Math"/>
                <w:szCs w:val="22"/>
              </w:rPr>
              <w:t>₃</w:t>
            </w:r>
            <w:r w:rsidRPr="00D042F9">
              <w:rPr>
                <w:rFonts w:ascii="Arial" w:eastAsia="Calibri" w:hAnsi="Arial" w:cs="Arial"/>
                <w:szCs w:val="22"/>
              </w:rPr>
              <w:t>: 20 hills m</w:t>
            </w:r>
            <w:r w:rsidRPr="00D042F9">
              <w:rPr>
                <w:rFonts w:ascii="Cambria Math" w:eastAsia="Calibri" w:hAnsi="Cambria Math" w:cs="Cambria Math"/>
                <w:szCs w:val="22"/>
              </w:rPr>
              <w:t>⁻</w:t>
            </w:r>
            <w:r w:rsidRPr="00D042F9">
              <w:rPr>
                <w:rFonts w:ascii="Arial" w:eastAsia="Calibri" w:hAnsi="Arial" w:cs="Arial"/>
                <w:szCs w:val="22"/>
              </w:rPr>
              <w:t>², H</w:t>
            </w:r>
            <w:r w:rsidRPr="00D042F9">
              <w:rPr>
                <w:rFonts w:ascii="Cambria Math" w:eastAsia="Calibri" w:hAnsi="Cambria Math" w:cs="Cambria Math"/>
                <w:szCs w:val="22"/>
              </w:rPr>
              <w:t>₄</w:t>
            </w:r>
            <w:r w:rsidRPr="00D042F9">
              <w:rPr>
                <w:rFonts w:ascii="Arial" w:eastAsia="Calibri" w:hAnsi="Arial" w:cs="Arial"/>
                <w:szCs w:val="22"/>
              </w:rPr>
              <w:t>: 16 hills m</w:t>
            </w:r>
            <w:r w:rsidRPr="00D042F9">
              <w:rPr>
                <w:rFonts w:ascii="Cambria Math" w:eastAsia="Calibri" w:hAnsi="Cambria Math" w:cs="Cambria Math"/>
                <w:szCs w:val="22"/>
              </w:rPr>
              <w:t>⁻</w:t>
            </w:r>
            <w:r w:rsidRPr="00D042F9">
              <w:rPr>
                <w:rFonts w:ascii="Arial" w:eastAsia="Calibri" w:hAnsi="Arial" w:cs="Arial"/>
                <w:szCs w:val="22"/>
              </w:rPr>
              <w:t>²). Treatments were arranged in a factorial split-plot design with three replications, where crop establishment methods and transplanting dates were assigned to main plots and hill densities to subplots.</w:t>
            </w:r>
            <w:r w:rsidR="003E6358">
              <w:rPr>
                <w:rFonts w:ascii="Arial" w:eastAsia="Calibri" w:hAnsi="Arial" w:cs="Arial"/>
                <w:szCs w:val="22"/>
              </w:rPr>
              <w:t xml:space="preserve"> </w:t>
            </w:r>
            <w:r w:rsidRPr="00D042F9">
              <w:rPr>
                <w:rFonts w:ascii="Arial" w:eastAsia="Calibri" w:hAnsi="Arial" w:cs="Arial"/>
                <w:szCs w:val="22"/>
              </w:rPr>
              <w:t>Results revealed that the SRI method markedly enhanced crop performance, recording the highest radiation use efficiency (RUE) of 1.37 g MJ</w:t>
            </w:r>
            <w:r w:rsidRPr="00D042F9">
              <w:rPr>
                <w:rFonts w:ascii="Cambria Math" w:eastAsia="Calibri" w:hAnsi="Cambria Math" w:cs="Cambria Math"/>
                <w:szCs w:val="22"/>
              </w:rPr>
              <w:t>⁻</w:t>
            </w:r>
            <w:r w:rsidRPr="00D042F9">
              <w:rPr>
                <w:rFonts w:ascii="Arial" w:eastAsia="Calibri" w:hAnsi="Arial" w:cs="Arial"/>
                <w:szCs w:val="22"/>
              </w:rPr>
              <w:t>¹ and heat use efficiency (HUE) of 2.48 kg ha</w:t>
            </w:r>
            <w:r w:rsidRPr="00D042F9">
              <w:rPr>
                <w:rFonts w:ascii="Cambria Math" w:eastAsia="Calibri" w:hAnsi="Cambria Math" w:cs="Cambria Math"/>
                <w:szCs w:val="22"/>
              </w:rPr>
              <w:t>⁻</w:t>
            </w:r>
            <w:r w:rsidRPr="00D042F9">
              <w:rPr>
                <w:rFonts w:ascii="Arial" w:eastAsia="Calibri" w:hAnsi="Arial" w:cs="Arial"/>
                <w:szCs w:val="22"/>
              </w:rPr>
              <w:t>¹ °d</w:t>
            </w:r>
            <w:r w:rsidRPr="00D042F9">
              <w:rPr>
                <w:rFonts w:ascii="Cambria Math" w:eastAsia="Calibri" w:hAnsi="Cambria Math" w:cs="Cambria Math"/>
                <w:szCs w:val="22"/>
              </w:rPr>
              <w:t>⁻</w:t>
            </w:r>
            <w:r w:rsidRPr="00D042F9">
              <w:rPr>
                <w:rFonts w:ascii="Arial" w:eastAsia="Calibri" w:hAnsi="Arial" w:cs="Arial"/>
                <w:szCs w:val="22"/>
              </w:rPr>
              <w:t>¹, outperforming the conventional method. Early transplanting on 26 June (D</w:t>
            </w:r>
            <w:r w:rsidRPr="00D042F9">
              <w:rPr>
                <w:rFonts w:ascii="Cambria Math" w:eastAsia="Calibri" w:hAnsi="Cambria Math" w:cs="Cambria Math"/>
                <w:szCs w:val="22"/>
              </w:rPr>
              <w:t>₁</w:t>
            </w:r>
            <w:r w:rsidRPr="00D042F9">
              <w:rPr>
                <w:rFonts w:ascii="Arial" w:eastAsia="Calibri" w:hAnsi="Arial" w:cs="Arial"/>
                <w:szCs w:val="22"/>
              </w:rPr>
              <w:t>) also improved microclimatic utilization, registering an RUE of 1.22 g MJ</w:t>
            </w:r>
            <w:r w:rsidRPr="00D042F9">
              <w:rPr>
                <w:rFonts w:ascii="Cambria Math" w:eastAsia="Calibri" w:hAnsi="Cambria Math" w:cs="Cambria Math"/>
                <w:szCs w:val="22"/>
              </w:rPr>
              <w:t>⁻</w:t>
            </w:r>
            <w:r w:rsidRPr="00D042F9">
              <w:rPr>
                <w:rFonts w:ascii="Arial" w:eastAsia="Calibri" w:hAnsi="Arial" w:cs="Arial"/>
                <w:szCs w:val="22"/>
              </w:rPr>
              <w:t>¹ and HUE of 2.16 kg ha</w:t>
            </w:r>
            <w:r w:rsidRPr="00D042F9">
              <w:rPr>
                <w:rFonts w:ascii="Cambria Math" w:eastAsia="Calibri" w:hAnsi="Cambria Math" w:cs="Cambria Math"/>
                <w:szCs w:val="22"/>
              </w:rPr>
              <w:t>⁻</w:t>
            </w:r>
            <w:r w:rsidRPr="00D042F9">
              <w:rPr>
                <w:rFonts w:ascii="Arial" w:eastAsia="Calibri" w:hAnsi="Arial" w:cs="Arial"/>
                <w:szCs w:val="22"/>
              </w:rPr>
              <w:t>¹ °d</w:t>
            </w:r>
            <w:r w:rsidRPr="00D042F9">
              <w:rPr>
                <w:rFonts w:ascii="Cambria Math" w:eastAsia="Calibri" w:hAnsi="Cambria Math" w:cs="Cambria Math"/>
                <w:szCs w:val="22"/>
              </w:rPr>
              <w:t>⁻</w:t>
            </w:r>
            <w:r w:rsidRPr="00D042F9">
              <w:rPr>
                <w:rFonts w:ascii="Arial" w:eastAsia="Calibri" w:hAnsi="Arial" w:cs="Arial"/>
                <w:szCs w:val="22"/>
              </w:rPr>
              <w:t>¹. Hill density significantly influenced both indices, with the widest spacing (25 × 25 cm; 16 hills m</w:t>
            </w:r>
            <w:r w:rsidRPr="00D042F9">
              <w:rPr>
                <w:rFonts w:ascii="Cambria Math" w:eastAsia="Calibri" w:hAnsi="Cambria Math" w:cs="Cambria Math"/>
                <w:szCs w:val="22"/>
              </w:rPr>
              <w:t>⁻</w:t>
            </w:r>
            <w:r w:rsidRPr="00D042F9">
              <w:rPr>
                <w:rFonts w:ascii="Arial" w:eastAsia="Calibri" w:hAnsi="Arial" w:cs="Arial"/>
                <w:szCs w:val="22"/>
              </w:rPr>
              <w:t>²) achieving the highest RUE (1.30 g MJ</w:t>
            </w:r>
            <w:r w:rsidRPr="00D042F9">
              <w:rPr>
                <w:rFonts w:ascii="Cambria Math" w:eastAsia="Calibri" w:hAnsi="Cambria Math" w:cs="Cambria Math"/>
                <w:szCs w:val="22"/>
              </w:rPr>
              <w:t>⁻</w:t>
            </w:r>
            <w:r w:rsidRPr="00D042F9">
              <w:rPr>
                <w:rFonts w:ascii="Arial" w:eastAsia="Calibri" w:hAnsi="Arial" w:cs="Arial"/>
                <w:szCs w:val="22"/>
              </w:rPr>
              <w:t>¹) and HUE (2.36 kg ha</w:t>
            </w:r>
            <w:r w:rsidRPr="00D042F9">
              <w:rPr>
                <w:rFonts w:ascii="Cambria Math" w:eastAsia="Calibri" w:hAnsi="Cambria Math" w:cs="Cambria Math"/>
                <w:szCs w:val="22"/>
              </w:rPr>
              <w:t>⁻</w:t>
            </w:r>
            <w:r w:rsidRPr="00D042F9">
              <w:rPr>
                <w:rFonts w:ascii="Arial" w:eastAsia="Calibri" w:hAnsi="Arial" w:cs="Arial"/>
                <w:szCs w:val="22"/>
              </w:rPr>
              <w:t>¹ °d</w:t>
            </w:r>
            <w:r w:rsidRPr="00D042F9">
              <w:rPr>
                <w:rFonts w:ascii="Cambria Math" w:eastAsia="Calibri" w:hAnsi="Cambria Math" w:cs="Cambria Math"/>
                <w:szCs w:val="22"/>
              </w:rPr>
              <w:t>⁻</w:t>
            </w:r>
            <w:r w:rsidRPr="00D042F9">
              <w:rPr>
                <w:rFonts w:ascii="Arial" w:eastAsia="Calibri" w:hAnsi="Arial" w:cs="Arial"/>
                <w:szCs w:val="22"/>
              </w:rPr>
              <w:t>¹). Pooled analysis across years indicated that SRI produced significantly higher grain yield (57.13 q ha</w:t>
            </w:r>
            <w:r w:rsidRPr="00D042F9">
              <w:rPr>
                <w:rFonts w:ascii="Cambria Math" w:eastAsia="Calibri" w:hAnsi="Cambria Math" w:cs="Cambria Math"/>
                <w:szCs w:val="22"/>
              </w:rPr>
              <w:t>⁻</w:t>
            </w:r>
            <w:r w:rsidRPr="00D042F9">
              <w:rPr>
                <w:rFonts w:ascii="Arial" w:eastAsia="Calibri" w:hAnsi="Arial" w:cs="Arial"/>
                <w:szCs w:val="22"/>
              </w:rPr>
              <w:t>¹), straw yield (61.43 q ha</w:t>
            </w:r>
            <w:r w:rsidRPr="00D042F9">
              <w:rPr>
                <w:rFonts w:ascii="Cambria Math" w:eastAsia="Calibri" w:hAnsi="Cambria Math" w:cs="Cambria Math"/>
                <w:szCs w:val="22"/>
              </w:rPr>
              <w:t>⁻</w:t>
            </w:r>
            <w:r w:rsidRPr="00D042F9">
              <w:rPr>
                <w:rFonts w:ascii="Arial" w:eastAsia="Calibri" w:hAnsi="Arial" w:cs="Arial"/>
                <w:szCs w:val="22"/>
              </w:rPr>
              <w:t>¹), and harvest index (48.15%) than the conventional method. Similarly, early transplanting (26 June) resulted in superior grain (56.51 q ha</w:t>
            </w:r>
            <w:r w:rsidRPr="00D042F9">
              <w:rPr>
                <w:rFonts w:ascii="Cambria Math" w:eastAsia="Calibri" w:hAnsi="Cambria Math" w:cs="Cambria Math"/>
                <w:szCs w:val="22"/>
              </w:rPr>
              <w:t>⁻</w:t>
            </w:r>
            <w:r w:rsidRPr="00D042F9">
              <w:rPr>
                <w:rFonts w:ascii="Arial" w:eastAsia="Calibri" w:hAnsi="Arial" w:cs="Arial"/>
                <w:szCs w:val="22"/>
              </w:rPr>
              <w:t>¹) and straw yields (62.00 q ha</w:t>
            </w:r>
            <w:r w:rsidRPr="00D042F9">
              <w:rPr>
                <w:rFonts w:ascii="Cambria Math" w:eastAsia="Calibri" w:hAnsi="Cambria Math" w:cs="Cambria Math"/>
                <w:szCs w:val="22"/>
              </w:rPr>
              <w:t>⁻</w:t>
            </w:r>
            <w:r w:rsidRPr="00D042F9">
              <w:rPr>
                <w:rFonts w:ascii="Arial" w:eastAsia="Calibri" w:hAnsi="Arial" w:cs="Arial"/>
                <w:szCs w:val="22"/>
              </w:rPr>
              <w:t>¹) with a harvest index of 47.60%. Among hill densities, 16 hills m</w:t>
            </w:r>
            <w:r w:rsidRPr="00D042F9">
              <w:rPr>
                <w:rFonts w:ascii="Cambria Math" w:eastAsia="Calibri" w:hAnsi="Cambria Math" w:cs="Cambria Math"/>
                <w:szCs w:val="22"/>
              </w:rPr>
              <w:t>⁻</w:t>
            </w:r>
            <w:r w:rsidRPr="00D042F9">
              <w:rPr>
                <w:rFonts w:ascii="Arial" w:eastAsia="Calibri" w:hAnsi="Arial" w:cs="Arial"/>
                <w:szCs w:val="22"/>
              </w:rPr>
              <w:t>² yielded the highest grain (56.75 q ha</w:t>
            </w:r>
            <w:r w:rsidRPr="00D042F9">
              <w:rPr>
                <w:rFonts w:ascii="Cambria Math" w:eastAsia="Calibri" w:hAnsi="Cambria Math" w:cs="Cambria Math"/>
                <w:szCs w:val="22"/>
              </w:rPr>
              <w:t>⁻</w:t>
            </w:r>
            <w:r w:rsidRPr="00D042F9">
              <w:rPr>
                <w:rFonts w:ascii="Arial" w:eastAsia="Calibri" w:hAnsi="Arial" w:cs="Arial"/>
                <w:szCs w:val="22"/>
              </w:rPr>
              <w:t>¹) and straw yield (61.83 q ha</w:t>
            </w:r>
            <w:r w:rsidRPr="00D042F9">
              <w:rPr>
                <w:rFonts w:ascii="Cambria Math" w:eastAsia="Calibri" w:hAnsi="Cambria Math" w:cs="Cambria Math"/>
                <w:szCs w:val="22"/>
              </w:rPr>
              <w:t>⁻</w:t>
            </w:r>
            <w:r w:rsidRPr="00D042F9">
              <w:rPr>
                <w:rFonts w:ascii="Arial" w:eastAsia="Calibri" w:hAnsi="Arial" w:cs="Arial"/>
                <w:szCs w:val="22"/>
              </w:rPr>
              <w:t>¹) with a harvest index of 48.01%. Correlation analysis of pooled data revealed a strong positive association of grain yield with leaf area index (LAI), chlorophyll content at all growth stages, and both RUE and HUE at harvest, indicating that enhanced microclimatic efficiency contributed substantially to yield improvement.</w:t>
            </w:r>
          </w:p>
        </w:tc>
      </w:tr>
    </w:tbl>
    <w:p w14:paraId="6BD309BC" w14:textId="77777777" w:rsidR="00636EB2" w:rsidRDefault="00636EB2" w:rsidP="00441B6F">
      <w:pPr>
        <w:pStyle w:val="Body"/>
        <w:spacing w:after="0"/>
        <w:rPr>
          <w:rFonts w:ascii="Arial" w:hAnsi="Arial" w:cs="Arial"/>
          <w:i/>
        </w:rPr>
      </w:pPr>
    </w:p>
    <w:p w14:paraId="6BD309BD" w14:textId="361D5894" w:rsidR="00790ADA" w:rsidRDefault="00A24E7E" w:rsidP="00441B6F">
      <w:pPr>
        <w:pStyle w:val="Body"/>
        <w:spacing w:after="0"/>
        <w:rPr>
          <w:rFonts w:ascii="Arial" w:hAnsi="Arial" w:cs="Arial"/>
          <w:i/>
        </w:rPr>
      </w:pPr>
      <w:r>
        <w:rPr>
          <w:rFonts w:ascii="Arial" w:hAnsi="Arial" w:cs="Arial"/>
          <w:i/>
        </w:rPr>
        <w:t xml:space="preserve">Keywords: </w:t>
      </w:r>
      <w:r w:rsidR="00D042F9" w:rsidRPr="00D042F9">
        <w:rPr>
          <w:rFonts w:ascii="Arial" w:hAnsi="Arial" w:cs="Arial"/>
          <w:i/>
        </w:rPr>
        <w:t>System of rice intensification, conventional</w:t>
      </w:r>
      <w:r w:rsidR="00573FE3">
        <w:rPr>
          <w:rFonts w:ascii="Arial" w:hAnsi="Arial" w:cs="Arial"/>
          <w:i/>
        </w:rPr>
        <w:t xml:space="preserve"> rice cultivation</w:t>
      </w:r>
      <w:r w:rsidR="00D042F9" w:rsidRPr="00D042F9">
        <w:rPr>
          <w:rFonts w:ascii="Arial" w:hAnsi="Arial" w:cs="Arial"/>
          <w:i/>
        </w:rPr>
        <w:t xml:space="preserve">, crop micro-climate, </w:t>
      </w:r>
      <w:r w:rsidR="00102A17">
        <w:rPr>
          <w:rFonts w:ascii="Arial" w:hAnsi="Arial" w:cs="Arial"/>
          <w:i/>
        </w:rPr>
        <w:t>paddy</w:t>
      </w:r>
      <w:r w:rsidR="00FF672F">
        <w:rPr>
          <w:rFonts w:ascii="Arial" w:hAnsi="Arial" w:cs="Arial"/>
          <w:i/>
        </w:rPr>
        <w:t>-</w:t>
      </w:r>
      <w:r w:rsidR="001B6BEE">
        <w:rPr>
          <w:rFonts w:ascii="Arial" w:hAnsi="Arial" w:cs="Arial"/>
          <w:i/>
        </w:rPr>
        <w:t>ecosystem</w:t>
      </w:r>
      <w:r w:rsidR="00D042F9">
        <w:rPr>
          <w:rFonts w:ascii="Arial" w:hAnsi="Arial" w:cs="Arial"/>
          <w:i/>
        </w:rPr>
        <w:t xml:space="preserve">, </w:t>
      </w:r>
      <w:r w:rsidR="001B6BEE">
        <w:rPr>
          <w:rFonts w:ascii="Arial" w:hAnsi="Arial" w:cs="Arial"/>
          <w:i/>
        </w:rPr>
        <w:t xml:space="preserve">crop establishment </w:t>
      </w:r>
      <w:r w:rsidR="00AA0AF1">
        <w:rPr>
          <w:rFonts w:ascii="Arial" w:hAnsi="Arial" w:cs="Arial"/>
          <w:i/>
        </w:rPr>
        <w:t>methods</w:t>
      </w:r>
    </w:p>
    <w:p w14:paraId="6BD309BE" w14:textId="77777777" w:rsidR="00505F06" w:rsidRPr="00A24E7E" w:rsidRDefault="00505F06" w:rsidP="00441B6F">
      <w:pPr>
        <w:pStyle w:val="Body"/>
        <w:spacing w:after="0"/>
        <w:rPr>
          <w:rFonts w:ascii="Arial" w:hAnsi="Arial" w:cs="Arial"/>
          <w:i/>
        </w:rPr>
      </w:pPr>
    </w:p>
    <w:p w14:paraId="6BD309BF"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BD309C0" w14:textId="77777777" w:rsidR="00790ADA" w:rsidRPr="00FB3A86" w:rsidRDefault="00790ADA" w:rsidP="00441B6F">
      <w:pPr>
        <w:pStyle w:val="AbstHead"/>
        <w:spacing w:after="0"/>
        <w:jc w:val="both"/>
        <w:rPr>
          <w:rFonts w:ascii="Arial" w:hAnsi="Arial" w:cs="Arial"/>
        </w:rPr>
      </w:pPr>
    </w:p>
    <w:p w14:paraId="6BD309C1" w14:textId="77777777" w:rsidR="00D042F9" w:rsidRPr="00D042F9" w:rsidRDefault="00D042F9" w:rsidP="00D042F9">
      <w:pPr>
        <w:pStyle w:val="Body"/>
        <w:spacing w:after="0"/>
        <w:rPr>
          <w:rFonts w:ascii="Arial" w:hAnsi="Arial" w:cs="Arial"/>
        </w:rPr>
      </w:pPr>
      <w:r w:rsidRPr="00D042F9">
        <w:rPr>
          <w:rFonts w:ascii="Arial" w:hAnsi="Arial" w:cs="Arial"/>
        </w:rPr>
        <w:t>Rice (</w:t>
      </w:r>
      <w:r w:rsidRPr="00D042F9">
        <w:rPr>
          <w:rFonts w:ascii="Arial" w:hAnsi="Arial" w:cs="Arial"/>
          <w:i/>
          <w:iCs/>
        </w:rPr>
        <w:t>Oryza sativa</w:t>
      </w:r>
      <w:r w:rsidRPr="00D042F9">
        <w:rPr>
          <w:rFonts w:ascii="Arial" w:hAnsi="Arial" w:cs="Arial"/>
        </w:rPr>
        <w:t xml:space="preserve"> L.) is the most important cereal crop in Assam, cultivated on about 2.54 million hectares and contributing about 5.6 million tons of grain, which accounts for nearly 96% of the state’s total food production as documented by the Rice-based Cropping System K</w:t>
      </w:r>
      <w:r w:rsidR="00654C8B">
        <w:rPr>
          <w:rFonts w:ascii="Arial" w:hAnsi="Arial" w:cs="Arial"/>
        </w:rPr>
        <w:t>nowledge Bank (RCSKB) of Assam (Annon, 2025)</w:t>
      </w:r>
      <w:r w:rsidRPr="00D042F9">
        <w:rPr>
          <w:rFonts w:ascii="Arial" w:hAnsi="Arial" w:cs="Arial"/>
        </w:rPr>
        <w:t>. With an average productivity of 23 q ha</w:t>
      </w:r>
      <w:r w:rsidRPr="00D042F9">
        <w:rPr>
          <w:rFonts w:ascii="Cambria Math" w:hAnsi="Cambria Math" w:cs="Cambria Math"/>
        </w:rPr>
        <w:t>⁻</w:t>
      </w:r>
      <w:r w:rsidRPr="00D042F9">
        <w:rPr>
          <w:rFonts w:ascii="Arial" w:hAnsi="Arial" w:cs="Arial"/>
        </w:rPr>
        <w:t>¹, Assam currently enjoys a rice-surplus status. However, projections suggest that by 2050 the state will need around 13 million tons of rice to meet the demands of its growing population and to ensure food security (Kalita et al., 2023). Achieving this target would require doubling the present productivity to about 40 q ha</w:t>
      </w:r>
      <w:r w:rsidRPr="00D042F9">
        <w:rPr>
          <w:rFonts w:ascii="Cambria Math" w:hAnsi="Cambria Math" w:cs="Cambria Math"/>
        </w:rPr>
        <w:t>⁻</w:t>
      </w:r>
      <w:r w:rsidRPr="00D042F9">
        <w:rPr>
          <w:rFonts w:ascii="Arial" w:hAnsi="Arial" w:cs="Arial"/>
        </w:rPr>
        <w:t xml:space="preserve">¹, as envisioned in </w:t>
      </w:r>
      <w:r w:rsidRPr="00D042F9">
        <w:rPr>
          <w:rFonts w:ascii="Arial" w:hAnsi="Arial" w:cs="Arial"/>
          <w:i/>
          <w:iCs/>
        </w:rPr>
        <w:t>Vision 2050 – Agriculture in Assam</w:t>
      </w:r>
      <w:r w:rsidRPr="00D042F9">
        <w:rPr>
          <w:rFonts w:ascii="Arial" w:hAnsi="Arial" w:cs="Arial"/>
        </w:rPr>
        <w:t xml:space="preserve"> (2014). Given the constraints of declining cultivable land, enhancing the productivity of </w:t>
      </w:r>
      <w:proofErr w:type="spellStart"/>
      <w:r w:rsidRPr="00D042F9">
        <w:rPr>
          <w:rFonts w:ascii="Arial" w:hAnsi="Arial" w:cs="Arial"/>
          <w:i/>
          <w:iCs/>
        </w:rPr>
        <w:t>sali</w:t>
      </w:r>
      <w:proofErr w:type="spellEnd"/>
      <w:r w:rsidRPr="00D042F9">
        <w:rPr>
          <w:rFonts w:ascii="Arial" w:hAnsi="Arial" w:cs="Arial"/>
        </w:rPr>
        <w:t xml:space="preserve"> rice becomes imperative. Yield intensification through judicious management of land, water, nutrients, labor, and capital not only supports higher production but also promotes sustainable agriculture, resource conservation, and crop diversification (Kalita et al., 2024).</w:t>
      </w:r>
    </w:p>
    <w:p w14:paraId="6BD309C2" w14:textId="77777777" w:rsidR="00D042F9" w:rsidRPr="00D042F9" w:rsidRDefault="00D042F9" w:rsidP="00D042F9">
      <w:pPr>
        <w:pStyle w:val="Body"/>
        <w:spacing w:after="0"/>
        <w:rPr>
          <w:rFonts w:ascii="Arial" w:hAnsi="Arial" w:cs="Arial"/>
        </w:rPr>
      </w:pPr>
      <w:r w:rsidRPr="00D042F9">
        <w:rPr>
          <w:rFonts w:ascii="Arial" w:hAnsi="Arial" w:cs="Arial"/>
        </w:rPr>
        <w:t>Agronomic interventions that influence the crop micro-</w:t>
      </w:r>
      <w:proofErr w:type="spellStart"/>
      <w:r w:rsidRPr="00D042F9">
        <w:rPr>
          <w:rFonts w:ascii="Arial" w:hAnsi="Arial" w:cs="Arial"/>
        </w:rPr>
        <w:t>climatesuch</w:t>
      </w:r>
      <w:proofErr w:type="spellEnd"/>
      <w:r w:rsidRPr="00D042F9">
        <w:rPr>
          <w:rFonts w:ascii="Arial" w:hAnsi="Arial" w:cs="Arial"/>
        </w:rPr>
        <w:t xml:space="preserve"> as the planting time, establishment method, and </w:t>
      </w:r>
      <w:r>
        <w:rPr>
          <w:rFonts w:ascii="Arial" w:hAnsi="Arial" w:cs="Arial"/>
        </w:rPr>
        <w:t xml:space="preserve">hill </w:t>
      </w:r>
      <w:proofErr w:type="spellStart"/>
      <w:proofErr w:type="gramStart"/>
      <w:r>
        <w:rPr>
          <w:rFonts w:ascii="Arial" w:hAnsi="Arial" w:cs="Arial"/>
        </w:rPr>
        <w:t>density</w:t>
      </w:r>
      <w:r w:rsidR="00A654F9">
        <w:rPr>
          <w:rFonts w:ascii="Arial" w:hAnsi="Arial" w:cs="Arial"/>
        </w:rPr>
        <w:t>,</w:t>
      </w:r>
      <w:r w:rsidRPr="00D042F9">
        <w:rPr>
          <w:rFonts w:ascii="Arial" w:hAnsi="Arial" w:cs="Arial"/>
        </w:rPr>
        <w:t>are</w:t>
      </w:r>
      <w:proofErr w:type="spellEnd"/>
      <w:proofErr w:type="gramEnd"/>
      <w:r w:rsidRPr="00D042F9">
        <w:rPr>
          <w:rFonts w:ascii="Arial" w:hAnsi="Arial" w:cs="Arial"/>
        </w:rPr>
        <w:t xml:space="preserve"> critical for optimizing light interception (Kalita et al., 2025), synchronizing crop growth with favorable </w:t>
      </w:r>
      <w:r w:rsidRPr="00D042F9">
        <w:rPr>
          <w:rFonts w:ascii="Arial" w:hAnsi="Arial" w:cs="Arial"/>
        </w:rPr>
        <w:lastRenderedPageBreak/>
        <w:t xml:space="preserve">temperature regimes, and improving yields with reduced input requirements (Chen et al., 2014). Adjusting plant density through proper spacing between rows and hills </w:t>
      </w:r>
      <w:r w:rsidR="00A654F9">
        <w:rPr>
          <w:rFonts w:ascii="Arial" w:hAnsi="Arial" w:cs="Arial"/>
        </w:rPr>
        <w:t>provides</w:t>
      </w:r>
      <w:r w:rsidRPr="00D042F9">
        <w:rPr>
          <w:rFonts w:ascii="Arial" w:hAnsi="Arial" w:cs="Arial"/>
        </w:rPr>
        <w:t xml:space="preserve"> an effective means of regulating canopy structure and plant population dynamics. The System of Rice Intensification (SRI) exemplifies such an approach, having consistently outperformed conventional methods by achieving higher grain yields. The advantage of SRI largely stems from its strategic practices, which </w:t>
      </w:r>
      <w:r w:rsidR="00A654F9">
        <w:rPr>
          <w:rFonts w:ascii="Arial" w:hAnsi="Arial" w:cs="Arial"/>
        </w:rPr>
        <w:t>create</w:t>
      </w:r>
      <w:r w:rsidRPr="00D042F9">
        <w:rPr>
          <w:rFonts w:ascii="Arial" w:hAnsi="Arial" w:cs="Arial"/>
        </w:rPr>
        <w:t xml:space="preserve"> a favorable microclimate that supports vigorous plant growth and allows expression of genetic potential. Reduced planting density under SRI enhances air circulation within the canopy, thereby lowering humidity, minimizing pest and disease incidence, and improving overall plant health and vigor (Kalita et al., 2024).</w:t>
      </w:r>
    </w:p>
    <w:p w14:paraId="6BD309C3" w14:textId="77777777" w:rsidR="00D042F9" w:rsidRPr="00D042F9" w:rsidRDefault="00D042F9" w:rsidP="00D042F9">
      <w:pPr>
        <w:pStyle w:val="Body"/>
        <w:spacing w:after="0"/>
        <w:rPr>
          <w:rFonts w:ascii="Arial" w:hAnsi="Arial" w:cs="Arial"/>
        </w:rPr>
      </w:pPr>
      <w:r w:rsidRPr="00D042F9">
        <w:rPr>
          <w:rFonts w:ascii="Arial" w:hAnsi="Arial" w:cs="Arial"/>
        </w:rPr>
        <w:t xml:space="preserve">Considering these aspects, a field study was carried out during 2016 and 2017 in </w:t>
      </w:r>
      <w:proofErr w:type="spellStart"/>
      <w:r w:rsidRPr="00D042F9">
        <w:rPr>
          <w:rFonts w:ascii="Arial" w:hAnsi="Arial" w:cs="Arial"/>
        </w:rPr>
        <w:t>Golaghat</w:t>
      </w:r>
      <w:proofErr w:type="spellEnd"/>
      <w:r w:rsidRPr="00D042F9">
        <w:rPr>
          <w:rFonts w:ascii="Arial" w:hAnsi="Arial" w:cs="Arial"/>
        </w:rPr>
        <w:t xml:space="preserve"> district of Assam using a medium-</w:t>
      </w:r>
      <w:proofErr w:type="spellStart"/>
      <w:r w:rsidRPr="00D042F9">
        <w:rPr>
          <w:rFonts w:ascii="Arial" w:hAnsi="Arial" w:cs="Arial"/>
        </w:rPr>
        <w:t>duration</w:t>
      </w:r>
      <w:r w:rsidRPr="00D042F9">
        <w:rPr>
          <w:rFonts w:ascii="Arial" w:hAnsi="Arial" w:cs="Arial"/>
          <w:i/>
        </w:rPr>
        <w:t>sali</w:t>
      </w:r>
      <w:r w:rsidRPr="00D042F9">
        <w:rPr>
          <w:rFonts w:ascii="Arial" w:hAnsi="Arial" w:cs="Arial"/>
          <w:i/>
          <w:iCs/>
        </w:rPr>
        <w:t>Shraboni</w:t>
      </w:r>
      <w:r w:rsidRPr="00D042F9">
        <w:rPr>
          <w:rFonts w:ascii="Arial" w:hAnsi="Arial" w:cs="Arial"/>
        </w:rPr>
        <w:t>rice</w:t>
      </w:r>
      <w:proofErr w:type="spellEnd"/>
      <w:r w:rsidRPr="00D042F9">
        <w:rPr>
          <w:rFonts w:ascii="Arial" w:hAnsi="Arial" w:cs="Arial"/>
        </w:rPr>
        <w:t xml:space="preserve"> variety grown under medium land conditions. </w:t>
      </w:r>
      <w:r w:rsidR="00A654F9">
        <w:rPr>
          <w:rFonts w:ascii="Arial" w:hAnsi="Arial" w:cs="Arial"/>
        </w:rPr>
        <w:t>The study</w:t>
      </w:r>
      <w:r w:rsidRPr="00D042F9">
        <w:rPr>
          <w:rFonts w:ascii="Arial" w:hAnsi="Arial" w:cs="Arial"/>
        </w:rPr>
        <w:t xml:space="preserve"> aimed to determine the optimal micro-climatic settings for enhancing growth and yield attributes while assessing the efficiency of utilization of radiation and heat for improved grain </w:t>
      </w:r>
      <w:r w:rsidR="00A654F9">
        <w:rPr>
          <w:rFonts w:ascii="Arial" w:hAnsi="Arial" w:cs="Arial"/>
        </w:rPr>
        <w:t>yield of</w:t>
      </w:r>
      <w:r w:rsidRPr="00D042F9">
        <w:rPr>
          <w:rFonts w:ascii="Arial" w:hAnsi="Arial" w:cs="Arial"/>
        </w:rPr>
        <w:t xml:space="preserve"> rice under varying </w:t>
      </w:r>
      <w:proofErr w:type="spellStart"/>
      <w:r w:rsidRPr="00D042F9">
        <w:rPr>
          <w:rFonts w:ascii="Arial" w:hAnsi="Arial" w:cs="Arial"/>
          <w:i/>
          <w:iCs/>
        </w:rPr>
        <w:t>sali</w:t>
      </w:r>
      <w:r w:rsidRPr="00D042F9">
        <w:rPr>
          <w:rFonts w:ascii="Arial" w:hAnsi="Arial" w:cs="Arial"/>
        </w:rPr>
        <w:t>rice</w:t>
      </w:r>
      <w:proofErr w:type="spellEnd"/>
      <w:r w:rsidRPr="00D042F9">
        <w:rPr>
          <w:rFonts w:ascii="Arial" w:hAnsi="Arial" w:cs="Arial"/>
        </w:rPr>
        <w:t xml:space="preserve"> ecosystems. Additionally, the investigation also attempts to dive into the relationship study to reconnoiter the </w:t>
      </w:r>
      <w:r w:rsidR="00A654F9">
        <w:rPr>
          <w:rFonts w:ascii="Arial" w:hAnsi="Arial" w:cs="Arial"/>
        </w:rPr>
        <w:t>diverse responses</w:t>
      </w:r>
      <w:r w:rsidRPr="00D042F9">
        <w:rPr>
          <w:rFonts w:ascii="Arial" w:hAnsi="Arial" w:cs="Arial"/>
        </w:rPr>
        <w:t xml:space="preserve"> of some important growth and micro-climatic parameters, as well as thermal indices on yield attributes and yield.</w:t>
      </w:r>
    </w:p>
    <w:p w14:paraId="6BD309C4" w14:textId="77777777" w:rsidR="00790ADA" w:rsidRPr="00FB3A86" w:rsidRDefault="00790ADA" w:rsidP="00441B6F">
      <w:pPr>
        <w:pStyle w:val="Body"/>
        <w:spacing w:after="0"/>
        <w:rPr>
          <w:rFonts w:ascii="Arial" w:hAnsi="Arial" w:cs="Arial"/>
        </w:rPr>
      </w:pPr>
    </w:p>
    <w:p w14:paraId="6BD309C5" w14:textId="477A445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BD309C6" w14:textId="77777777" w:rsidR="00790ADA" w:rsidRPr="00FB3A86" w:rsidRDefault="00790ADA" w:rsidP="00441B6F">
      <w:pPr>
        <w:pStyle w:val="AbstHead"/>
        <w:spacing w:after="0"/>
        <w:jc w:val="both"/>
        <w:rPr>
          <w:rFonts w:ascii="Arial" w:hAnsi="Arial" w:cs="Arial"/>
        </w:rPr>
      </w:pPr>
    </w:p>
    <w:p w14:paraId="6BD309C7" w14:textId="77777777" w:rsidR="00D042F9" w:rsidRPr="00D042F9" w:rsidRDefault="00D042F9" w:rsidP="00D042F9">
      <w:pPr>
        <w:pStyle w:val="Body"/>
        <w:spacing w:after="0"/>
        <w:rPr>
          <w:rFonts w:ascii="Arial" w:hAnsi="Arial" w:cs="Arial"/>
        </w:rPr>
      </w:pPr>
      <w:r w:rsidRPr="00D042F9">
        <w:rPr>
          <w:rFonts w:ascii="Arial" w:hAnsi="Arial" w:cs="Arial"/>
        </w:rPr>
        <w:t xml:space="preserve">A field experiment was conducted during the </w:t>
      </w:r>
      <w:proofErr w:type="spellStart"/>
      <w:r w:rsidRPr="00D042F9">
        <w:rPr>
          <w:rFonts w:ascii="Arial" w:hAnsi="Arial" w:cs="Arial"/>
          <w:i/>
          <w:iCs/>
        </w:rPr>
        <w:t>sali</w:t>
      </w:r>
      <w:proofErr w:type="spellEnd"/>
      <w:r w:rsidRPr="00D042F9">
        <w:rPr>
          <w:rFonts w:ascii="Arial" w:hAnsi="Arial" w:cs="Arial"/>
        </w:rPr>
        <w:t xml:space="preserve"> seasons of 2016 and 2017 at a farmer’s field in </w:t>
      </w:r>
      <w:proofErr w:type="spellStart"/>
      <w:r w:rsidRPr="00D042F9">
        <w:rPr>
          <w:rFonts w:ascii="Arial" w:hAnsi="Arial" w:cs="Arial"/>
        </w:rPr>
        <w:t>Nepalikhuti</w:t>
      </w:r>
      <w:proofErr w:type="spellEnd"/>
      <w:r w:rsidRPr="00D042F9">
        <w:rPr>
          <w:rFonts w:ascii="Arial" w:hAnsi="Arial" w:cs="Arial"/>
        </w:rPr>
        <w:t xml:space="preserve"> village, situated in the Upper Brahmaputra Valley Zone (UBVZ) of </w:t>
      </w:r>
      <w:proofErr w:type="spellStart"/>
      <w:r w:rsidRPr="00D042F9">
        <w:rPr>
          <w:rFonts w:ascii="Arial" w:hAnsi="Arial" w:cs="Arial"/>
        </w:rPr>
        <w:t>Golaghat</w:t>
      </w:r>
      <w:proofErr w:type="spellEnd"/>
      <w:r w:rsidRPr="00D042F9">
        <w:rPr>
          <w:rFonts w:ascii="Arial" w:hAnsi="Arial" w:cs="Arial"/>
        </w:rPr>
        <w:t xml:space="preserve"> district, Assam (26°66ʹ99ʹʹ N latitude, 93°68ʹ26ʹʹ E longitude; 76 m above msl). The experimental site was characterized by sandy loam soil with an acidic reaction, medium organic carbon status, and good drainage. The region falls under </w:t>
      </w:r>
      <w:r w:rsidR="00AA0AF1">
        <w:rPr>
          <w:rFonts w:ascii="Arial" w:hAnsi="Arial" w:cs="Arial"/>
        </w:rPr>
        <w:t xml:space="preserve">the </w:t>
      </w:r>
      <w:r w:rsidRPr="00D042F9">
        <w:rPr>
          <w:rFonts w:ascii="Arial" w:hAnsi="Arial" w:cs="Arial"/>
        </w:rPr>
        <w:t>subtropical humid zone, receiving over 2000 mm of rainfall annually, with relative humidity generally exceeding 80% and temperatures ranging from 5°C in winter to about 37°C in summer.</w:t>
      </w:r>
    </w:p>
    <w:p w14:paraId="6BD309C8" w14:textId="77777777" w:rsidR="00D042F9" w:rsidRPr="00D042F9" w:rsidRDefault="00D042F9" w:rsidP="00D042F9">
      <w:pPr>
        <w:pStyle w:val="Body"/>
        <w:spacing w:after="0"/>
        <w:rPr>
          <w:rFonts w:ascii="Arial" w:hAnsi="Arial" w:cs="Arial"/>
        </w:rPr>
      </w:pPr>
      <w:r w:rsidRPr="00D042F9">
        <w:rPr>
          <w:rFonts w:ascii="Arial" w:hAnsi="Arial" w:cs="Arial"/>
        </w:rPr>
        <w:t>During the cropping period</w:t>
      </w:r>
      <w:r w:rsidR="00AA0AF1">
        <w:rPr>
          <w:rFonts w:ascii="Arial" w:hAnsi="Arial" w:cs="Arial"/>
        </w:rPr>
        <w:t>,</w:t>
      </w:r>
      <w:r w:rsidRPr="00D042F9">
        <w:rPr>
          <w:rFonts w:ascii="Arial" w:hAnsi="Arial" w:cs="Arial"/>
        </w:rPr>
        <w:t xml:space="preserve"> i.e. from June to November, total rainfall amounted to 1242.6 mm in 2016 and 1618.8 mm in 2017, though its distribution was uneven across the growing season. July received the highest rainfall—342.1 mm in 2016 and 449.9 mm in 2017—coinciding with the critical tillering stage of rice. The mean maximum temperature varied between 27.8°C and 34.4°C in 2016 and between 27.9°C and 35.2°C in 2017, while mean minimum temperatures ranged from 16.4–25.8°C and 19.1–26.7°C in the respective years. Bright sunshine hours (BSSH) also differed across years, averaging 3.24 hours per week in 2016, and 4.7 hours per week in 2017</w:t>
      </w:r>
      <w:r>
        <w:rPr>
          <w:rFonts w:ascii="Arial" w:hAnsi="Arial" w:cs="Arial"/>
        </w:rPr>
        <w:t xml:space="preserve">. </w:t>
      </w:r>
      <w:r w:rsidRPr="00D042F9">
        <w:rPr>
          <w:rFonts w:ascii="Arial" w:hAnsi="Arial" w:cs="Arial"/>
        </w:rPr>
        <w:t>The experiment was designed using a factorial split-plot arrangement. The main plot treatments comprised two establishment methods: System of Rice Intensification (SRI) and Conventional Rice Cultivation (CRC). Three transplanting dates—26 June (D1), 10 July (D2), and 25 July (D3)—were also allotted to the main plots. Subplots included four planting geometries: 20 × 15 cm (H1), 20 × 20 cm (H2), 25 × 20 cm (H3), and 25 × 25 cm (H4), corresponding to planting densities of 33, 25, 20, and 16 hills m</w:t>
      </w:r>
      <w:r w:rsidRPr="00D042F9">
        <w:rPr>
          <w:rFonts w:ascii="Cambria Math" w:hAnsi="Cambria Math" w:cs="Cambria Math"/>
        </w:rPr>
        <w:t>⁻</w:t>
      </w:r>
      <w:r w:rsidRPr="00D042F9">
        <w:rPr>
          <w:rFonts w:ascii="Arial" w:hAnsi="Arial" w:cs="Arial"/>
        </w:rPr>
        <w:t xml:space="preserve">², respectively. Twelve-day-old seedlings of the high-yielding variety </w:t>
      </w:r>
      <w:proofErr w:type="spellStart"/>
      <w:r w:rsidRPr="00D042F9">
        <w:rPr>
          <w:rFonts w:ascii="Arial" w:hAnsi="Arial" w:cs="Arial"/>
          <w:i/>
          <w:iCs/>
        </w:rPr>
        <w:t>Shraboni</w:t>
      </w:r>
      <w:proofErr w:type="spellEnd"/>
      <w:r w:rsidRPr="00D042F9">
        <w:rPr>
          <w:rFonts w:ascii="Arial" w:hAnsi="Arial" w:cs="Arial"/>
        </w:rPr>
        <w:t xml:space="preserve"> were transplanted under SRI, while 21-day-old seedlings were used in CRC.</w:t>
      </w:r>
    </w:p>
    <w:p w14:paraId="6BD309C9" w14:textId="77777777" w:rsidR="00D042F9" w:rsidRPr="00F94995" w:rsidRDefault="00D042F9" w:rsidP="00D042F9">
      <w:pPr>
        <w:pStyle w:val="Body"/>
        <w:spacing w:after="0"/>
        <w:rPr>
          <w:rFonts w:ascii="Arial" w:hAnsi="Arial" w:cs="Arial"/>
          <w:lang w:val="en-IN"/>
        </w:rPr>
      </w:pPr>
      <w:r w:rsidRPr="00D042F9">
        <w:rPr>
          <w:rFonts w:ascii="Arial" w:hAnsi="Arial" w:cs="Arial"/>
        </w:rPr>
        <w:t>Heat Use Efficiency (HUE) was determined by dividing the grain yield by the total accumulated growing degree-days and expressed as kg/ha degree-days. Radiation Use Efficiency (RUE) was calculated by dividing total biomass by the cumulative incident photosynthetically active radiation (PAR), and expressed in g/MJ.</w:t>
      </w:r>
      <w:r w:rsidR="00F94995" w:rsidRPr="00F94995">
        <w:rPr>
          <w:rFonts w:ascii="Times New Roman" w:hAnsi="Times New Roman"/>
          <w:sz w:val="24"/>
          <w:szCs w:val="24"/>
          <w:lang w:val="en-IN" w:eastAsia="en-IN"/>
        </w:rPr>
        <w:t xml:space="preserve"> </w:t>
      </w:r>
      <w:r w:rsidR="00F94995" w:rsidRPr="00F94995">
        <w:rPr>
          <w:rFonts w:ascii="Arial" w:hAnsi="Arial" w:cs="Arial"/>
          <w:lang w:val="en-IN"/>
        </w:rPr>
        <w:t>LTR was calculated as the ratio from LI at ground level and LI received above the canopy</w:t>
      </w:r>
      <w:r w:rsidR="00F94995">
        <w:rPr>
          <w:rFonts w:ascii="Arial" w:hAnsi="Arial" w:cs="Arial"/>
          <w:lang w:val="en-IN"/>
        </w:rPr>
        <w:t xml:space="preserve"> expressed in percentage (%). </w:t>
      </w:r>
      <w:r w:rsidRPr="00D042F9">
        <w:rPr>
          <w:rFonts w:ascii="Arial" w:hAnsi="Arial" w:cs="Arial"/>
        </w:rPr>
        <w:t xml:space="preserve">Correlation analysis was carried out on pooled data from two consecutive years to understand the interaction between crop yield and its related traits with microclimatic variables, including thermal </w:t>
      </w:r>
      <w:proofErr w:type="spellStart"/>
      <w:proofErr w:type="gramStart"/>
      <w:r w:rsidRPr="00D042F9">
        <w:rPr>
          <w:rFonts w:ascii="Arial" w:hAnsi="Arial" w:cs="Arial"/>
        </w:rPr>
        <w:t>indices.All</w:t>
      </w:r>
      <w:proofErr w:type="spellEnd"/>
      <w:proofErr w:type="gramEnd"/>
      <w:r w:rsidRPr="00D042F9">
        <w:rPr>
          <w:rFonts w:ascii="Arial" w:hAnsi="Arial" w:cs="Arial"/>
        </w:rPr>
        <w:t xml:space="preserve"> collected data were statistically analyzed using the analysis of variance (ANOVA) appropriate for a factorial split-plot design. Treatment means were compared at a 5% level of significance.</w:t>
      </w:r>
    </w:p>
    <w:p w14:paraId="6BD309CA" w14:textId="77777777" w:rsidR="00790ADA" w:rsidRPr="00FB3A86" w:rsidRDefault="00790ADA" w:rsidP="00441B6F">
      <w:pPr>
        <w:pStyle w:val="Body"/>
        <w:spacing w:after="0"/>
        <w:rPr>
          <w:rFonts w:ascii="Arial" w:hAnsi="Arial" w:cs="Arial"/>
        </w:rPr>
      </w:pPr>
    </w:p>
    <w:p w14:paraId="6BD309C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BD309CC" w14:textId="77777777" w:rsidR="00D042F9" w:rsidRDefault="00D042F9" w:rsidP="00441B6F">
      <w:pPr>
        <w:pStyle w:val="Head1"/>
        <w:spacing w:after="0"/>
        <w:jc w:val="both"/>
        <w:rPr>
          <w:rFonts w:ascii="Arial" w:hAnsi="Arial" w:cs="Arial"/>
        </w:rPr>
      </w:pPr>
    </w:p>
    <w:p w14:paraId="6BD309CD" w14:textId="77777777" w:rsidR="00D042F9" w:rsidRPr="00D042F9" w:rsidRDefault="00D042F9" w:rsidP="00D042F9">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Pr="00D042F9">
        <w:rPr>
          <w:rFonts w:ascii="Arial" w:hAnsi="Arial" w:cs="Arial"/>
          <w:b/>
          <w:sz w:val="22"/>
          <w:szCs w:val="22"/>
        </w:rPr>
        <w:t>Radiation Use Efficiency (RUE) and Heat Use Efficiency (HUE)</w:t>
      </w:r>
    </w:p>
    <w:p w14:paraId="6BD309CE" w14:textId="77777777" w:rsidR="00790ADA" w:rsidRPr="00FB3A86" w:rsidRDefault="00790ADA" w:rsidP="00441B6F">
      <w:pPr>
        <w:pStyle w:val="Head1"/>
        <w:spacing w:after="0"/>
        <w:jc w:val="both"/>
        <w:rPr>
          <w:rFonts w:ascii="Arial" w:hAnsi="Arial" w:cs="Arial"/>
        </w:rPr>
      </w:pPr>
    </w:p>
    <w:p w14:paraId="6BD309CF" w14:textId="77777777" w:rsidR="00D042F9" w:rsidRPr="00D042F9" w:rsidRDefault="00D042F9" w:rsidP="00D042F9">
      <w:pPr>
        <w:pStyle w:val="Body"/>
        <w:spacing w:after="0"/>
        <w:rPr>
          <w:rFonts w:ascii="Arial" w:hAnsi="Arial" w:cs="Arial"/>
        </w:rPr>
      </w:pPr>
      <w:bookmarkStart w:id="1" w:name="_Hlk208349339"/>
      <w:r w:rsidRPr="00D042F9">
        <w:rPr>
          <w:rFonts w:ascii="Arial" w:hAnsi="Arial" w:cs="Arial"/>
        </w:rPr>
        <w:t xml:space="preserve">The presentation of data (Fig. 1 to Fig. 2) </w:t>
      </w:r>
      <w:bookmarkEnd w:id="1"/>
      <w:r w:rsidRPr="00D042F9">
        <w:rPr>
          <w:rFonts w:ascii="Arial" w:hAnsi="Arial" w:cs="Arial"/>
        </w:rPr>
        <w:t>shows the crop response in terms of RUE and HUE as influenced by crop establishment methods, different dates of transplanting and varied measures of densities of hill in 2016 and 2017.</w:t>
      </w:r>
    </w:p>
    <w:p w14:paraId="6BD309D0" w14:textId="77777777" w:rsidR="00D042F9" w:rsidRPr="00D042F9" w:rsidRDefault="00D042F9" w:rsidP="00D042F9">
      <w:pPr>
        <w:pStyle w:val="Body"/>
        <w:spacing w:after="0"/>
        <w:rPr>
          <w:rFonts w:ascii="Arial" w:hAnsi="Arial" w:cs="Arial"/>
        </w:rPr>
      </w:pPr>
      <w:r w:rsidRPr="00D042F9">
        <w:rPr>
          <w:rFonts w:ascii="Arial" w:hAnsi="Arial" w:cs="Arial"/>
        </w:rPr>
        <w:t>Appraisal of data revealed an increased magnitude of RUE under SRI management with a value of 1.43 and 1.30 g MJ</w:t>
      </w:r>
      <w:r w:rsidRPr="00D042F9">
        <w:rPr>
          <w:rFonts w:ascii="Arial" w:hAnsi="Arial" w:cs="Arial"/>
          <w:vertAlign w:val="superscript"/>
        </w:rPr>
        <w:t>-1</w:t>
      </w:r>
      <w:r w:rsidRPr="00D042F9">
        <w:rPr>
          <w:rFonts w:ascii="Arial" w:hAnsi="Arial" w:cs="Arial"/>
        </w:rPr>
        <w:t xml:space="preserve"> as compared to CRC (1.18 and 1.08 g MJ</w:t>
      </w:r>
      <w:r w:rsidRPr="00D042F9">
        <w:rPr>
          <w:rFonts w:ascii="Arial" w:hAnsi="Arial" w:cs="Arial"/>
          <w:vertAlign w:val="superscript"/>
        </w:rPr>
        <w:t>-1</w:t>
      </w:r>
      <w:r w:rsidRPr="00D042F9">
        <w:rPr>
          <w:rFonts w:ascii="Arial" w:hAnsi="Arial" w:cs="Arial"/>
        </w:rPr>
        <w:t xml:space="preserve">). This improvement in RUE under SRI may be attributed to more efficient radiation conversion into biomass, enhanced yield components, and a higher harvest index, consistent with the findings of Thakur </w:t>
      </w:r>
      <w:r w:rsidRPr="00D042F9">
        <w:rPr>
          <w:rFonts w:ascii="Arial" w:hAnsi="Arial" w:cs="Arial"/>
          <w:i/>
        </w:rPr>
        <w:t>et al.</w:t>
      </w:r>
      <w:r w:rsidRPr="00D042F9">
        <w:rPr>
          <w:rFonts w:ascii="Arial" w:hAnsi="Arial" w:cs="Arial"/>
        </w:rPr>
        <w:t xml:space="preserve"> (2010</w:t>
      </w:r>
      <w:proofErr w:type="gramStart"/>
      <w:r w:rsidRPr="00D042F9">
        <w:rPr>
          <w:rFonts w:ascii="Arial" w:hAnsi="Arial" w:cs="Arial"/>
        </w:rPr>
        <w:t>).Similarly</w:t>
      </w:r>
      <w:proofErr w:type="gramEnd"/>
      <w:r w:rsidRPr="00D042F9">
        <w:rPr>
          <w:rFonts w:ascii="Arial" w:hAnsi="Arial" w:cs="Arial"/>
        </w:rPr>
        <w:t>, HUE followed the same trend, with SRI achieving values between 2.33 and 2.63 kg ha</w:t>
      </w:r>
      <w:r w:rsidRPr="00D042F9">
        <w:rPr>
          <w:rFonts w:ascii="Cambria Math" w:hAnsi="Cambria Math" w:cs="Cambria Math"/>
        </w:rPr>
        <w:t>⁻</w:t>
      </w:r>
      <w:r w:rsidRPr="00D042F9">
        <w:rPr>
          <w:rFonts w:ascii="Arial" w:hAnsi="Arial" w:cs="Arial"/>
        </w:rPr>
        <w:t>¹ °d</w:t>
      </w:r>
      <w:r w:rsidRPr="00D042F9">
        <w:rPr>
          <w:rFonts w:ascii="Cambria Math" w:hAnsi="Cambria Math" w:cs="Cambria Math"/>
        </w:rPr>
        <w:t>⁻</w:t>
      </w:r>
      <w:r w:rsidRPr="00D042F9">
        <w:rPr>
          <w:rFonts w:ascii="Arial" w:hAnsi="Arial" w:cs="Arial"/>
        </w:rPr>
        <w:t>¹, compared to 1.84 to 2.31 kg ha</w:t>
      </w:r>
      <w:r w:rsidRPr="00D042F9">
        <w:rPr>
          <w:rFonts w:ascii="Cambria Math" w:hAnsi="Cambria Math" w:cs="Cambria Math"/>
        </w:rPr>
        <w:t>⁻</w:t>
      </w:r>
      <w:r w:rsidRPr="00D042F9">
        <w:rPr>
          <w:rFonts w:ascii="Arial" w:hAnsi="Arial" w:cs="Arial"/>
        </w:rPr>
        <w:t>¹°d</w:t>
      </w:r>
      <w:r w:rsidRPr="00D042F9">
        <w:rPr>
          <w:rFonts w:ascii="Cambria Math" w:hAnsi="Cambria Math" w:cs="Cambria Math"/>
        </w:rPr>
        <w:t>⁻</w:t>
      </w:r>
      <w:r w:rsidRPr="00D042F9">
        <w:rPr>
          <w:rFonts w:ascii="Arial" w:hAnsi="Arial" w:cs="Arial"/>
        </w:rPr>
        <w:t xml:space="preserve">¹ under CRC practices. This suggests better utilization of accumulated heat under SRI for the development of yield-contributing </w:t>
      </w:r>
      <w:proofErr w:type="spellStart"/>
      <w:proofErr w:type="gramStart"/>
      <w:r w:rsidRPr="00D042F9">
        <w:rPr>
          <w:rFonts w:ascii="Arial" w:hAnsi="Arial" w:cs="Arial"/>
        </w:rPr>
        <w:t>traits.The</w:t>
      </w:r>
      <w:proofErr w:type="spellEnd"/>
      <w:proofErr w:type="gramEnd"/>
      <w:r w:rsidRPr="00D042F9">
        <w:rPr>
          <w:rFonts w:ascii="Arial" w:hAnsi="Arial" w:cs="Arial"/>
        </w:rPr>
        <w:t xml:space="preserve"> transplanting date had minimal impact on RUE, showing no significant effect in the first year. In the second year, however, the 25th June planting recorded the highest RUE (1.22 g MJ</w:t>
      </w:r>
      <w:r w:rsidRPr="00D042F9">
        <w:rPr>
          <w:rFonts w:ascii="Cambria Math" w:hAnsi="Cambria Math" w:cs="Cambria Math"/>
        </w:rPr>
        <w:t>⁻</w:t>
      </w:r>
      <w:r w:rsidRPr="00D042F9">
        <w:rPr>
          <w:rFonts w:ascii="Arial" w:hAnsi="Arial" w:cs="Arial"/>
        </w:rPr>
        <w:t>¹), statistically at par with the 10</w:t>
      </w:r>
      <w:r w:rsidRPr="00D042F9">
        <w:rPr>
          <w:rFonts w:ascii="Arial" w:hAnsi="Arial" w:cs="Arial"/>
          <w:vertAlign w:val="superscript"/>
        </w:rPr>
        <w:t>th</w:t>
      </w:r>
      <w:r w:rsidRPr="00D042F9">
        <w:rPr>
          <w:rFonts w:ascii="Arial" w:hAnsi="Arial" w:cs="Arial"/>
        </w:rPr>
        <w:t>July planting (1.21 g MJ</w:t>
      </w:r>
      <w:r w:rsidRPr="00D042F9">
        <w:rPr>
          <w:rFonts w:ascii="Cambria Math" w:hAnsi="Cambria Math" w:cs="Cambria Math"/>
        </w:rPr>
        <w:t>⁻</w:t>
      </w:r>
      <w:r w:rsidRPr="00D042F9">
        <w:rPr>
          <w:rFonts w:ascii="Arial" w:hAnsi="Arial" w:cs="Arial"/>
        </w:rPr>
        <w:t>¹). In 2016, the highest HUE (2.16 kg ha</w:t>
      </w:r>
      <w:r w:rsidRPr="00D042F9">
        <w:rPr>
          <w:rFonts w:ascii="Cambria Math" w:hAnsi="Cambria Math" w:cs="Cambria Math"/>
        </w:rPr>
        <w:t>⁻</w:t>
      </w:r>
      <w:r w:rsidRPr="00D042F9">
        <w:rPr>
          <w:rFonts w:ascii="Arial" w:hAnsi="Arial" w:cs="Arial"/>
        </w:rPr>
        <w:t>¹ °d</w:t>
      </w:r>
      <w:r w:rsidRPr="00D042F9">
        <w:rPr>
          <w:rFonts w:ascii="Cambria Math" w:hAnsi="Cambria Math" w:cs="Cambria Math"/>
        </w:rPr>
        <w:t>⁻</w:t>
      </w:r>
      <w:r w:rsidRPr="00D042F9">
        <w:rPr>
          <w:rFonts w:ascii="Arial" w:hAnsi="Arial" w:cs="Arial"/>
        </w:rPr>
        <w:t>¹) was observed in the 26</w:t>
      </w:r>
      <w:r w:rsidRPr="00D042F9">
        <w:rPr>
          <w:rFonts w:ascii="Arial" w:hAnsi="Arial" w:cs="Arial"/>
          <w:vertAlign w:val="superscript"/>
        </w:rPr>
        <w:t>th</w:t>
      </w:r>
      <w:r w:rsidRPr="00D042F9">
        <w:rPr>
          <w:rFonts w:ascii="Arial" w:hAnsi="Arial" w:cs="Arial"/>
        </w:rPr>
        <w:t>June planting, while the lowest (2.01 kg ha</w:t>
      </w:r>
      <w:r w:rsidRPr="00D042F9">
        <w:rPr>
          <w:rFonts w:ascii="Cambria Math" w:hAnsi="Cambria Math" w:cs="Cambria Math"/>
        </w:rPr>
        <w:t>⁻</w:t>
      </w:r>
      <w:r w:rsidRPr="00D042F9">
        <w:rPr>
          <w:rFonts w:ascii="Arial" w:hAnsi="Arial" w:cs="Arial"/>
        </w:rPr>
        <w:t>¹ °d</w:t>
      </w:r>
      <w:r w:rsidRPr="00D042F9">
        <w:rPr>
          <w:rFonts w:ascii="Cambria Math" w:hAnsi="Cambria Math" w:cs="Cambria Math"/>
        </w:rPr>
        <w:t>⁻</w:t>
      </w:r>
      <w:r w:rsidRPr="00D042F9">
        <w:rPr>
          <w:rFonts w:ascii="Arial" w:hAnsi="Arial" w:cs="Arial"/>
        </w:rPr>
        <w:t xml:space="preserve">¹) was recorded in the 25th July transplanting. The 10th July planting showed HUE values statistically similar to the 26th June crop. In the second year, transplanting dates </w:t>
      </w:r>
      <w:r w:rsidRPr="00D042F9">
        <w:rPr>
          <w:rFonts w:ascii="Arial" w:hAnsi="Arial" w:cs="Arial"/>
        </w:rPr>
        <w:lastRenderedPageBreak/>
        <w:t xml:space="preserve">did not significantly affect HUE. These results support earlier observations by Priyadarshi </w:t>
      </w:r>
      <w:r w:rsidRPr="00D042F9">
        <w:rPr>
          <w:rFonts w:ascii="Arial" w:hAnsi="Arial" w:cs="Arial"/>
          <w:i/>
        </w:rPr>
        <w:t>et al.</w:t>
      </w:r>
      <w:r w:rsidRPr="00D042F9">
        <w:rPr>
          <w:rFonts w:ascii="Arial" w:hAnsi="Arial" w:cs="Arial"/>
        </w:rPr>
        <w:t xml:space="preserve"> (2018), who reported higher HUE in early-transplanted crops. </w:t>
      </w:r>
    </w:p>
    <w:p w14:paraId="6BD309D1" w14:textId="77777777" w:rsidR="00D042F9" w:rsidRDefault="00D042F9" w:rsidP="00D042F9">
      <w:pPr>
        <w:pStyle w:val="Body"/>
        <w:spacing w:after="0"/>
        <w:rPr>
          <w:rFonts w:ascii="Arial" w:hAnsi="Arial" w:cs="Arial"/>
        </w:rPr>
      </w:pPr>
      <w:r w:rsidRPr="00D042F9">
        <w:rPr>
          <w:rFonts w:ascii="Arial" w:hAnsi="Arial" w:cs="Arial"/>
        </w:rPr>
        <w:t>Hill density had a significant impact on RUE, with lowest density (16 hills m</w:t>
      </w:r>
      <w:r w:rsidRPr="00D042F9">
        <w:rPr>
          <w:rFonts w:ascii="Cambria Math" w:hAnsi="Cambria Math" w:cs="Cambria Math"/>
        </w:rPr>
        <w:t>⁻</w:t>
      </w:r>
      <w:r w:rsidRPr="00D042F9">
        <w:rPr>
          <w:rFonts w:ascii="Arial" w:hAnsi="Arial" w:cs="Arial"/>
        </w:rPr>
        <w:t>²), recording the highest RUE. This value was statistically at par with 20 and 25 hills m</w:t>
      </w:r>
      <w:r w:rsidRPr="00D042F9">
        <w:rPr>
          <w:rFonts w:ascii="Cambria Math" w:hAnsi="Cambria Math" w:cs="Cambria Math"/>
        </w:rPr>
        <w:t>⁻</w:t>
      </w:r>
      <w:r w:rsidRPr="00D042F9">
        <w:rPr>
          <w:rFonts w:ascii="Arial" w:hAnsi="Arial" w:cs="Arial"/>
        </w:rPr>
        <w:t xml:space="preserve">² densities. The improved RUE under wider spacing may be attributed to enhanced Leaf Area Index (LAI), supporting observations by Hou </w:t>
      </w:r>
      <w:r w:rsidRPr="00D042F9">
        <w:rPr>
          <w:rFonts w:ascii="Arial" w:hAnsi="Arial" w:cs="Arial"/>
          <w:i/>
        </w:rPr>
        <w:t>et al.</w:t>
      </w:r>
      <w:r w:rsidRPr="00D042F9">
        <w:rPr>
          <w:rFonts w:ascii="Arial" w:hAnsi="Arial" w:cs="Arial"/>
        </w:rPr>
        <w:t xml:space="preserve"> (2019) regarding the role of optimal plant density in improving both LAI and </w:t>
      </w:r>
      <w:proofErr w:type="spellStart"/>
      <w:r w:rsidRPr="00D042F9">
        <w:rPr>
          <w:rFonts w:ascii="Arial" w:hAnsi="Arial" w:cs="Arial"/>
        </w:rPr>
        <w:t>RUE.In</w:t>
      </w:r>
      <w:proofErr w:type="spellEnd"/>
      <w:r w:rsidRPr="00D042F9">
        <w:rPr>
          <w:rFonts w:ascii="Arial" w:hAnsi="Arial" w:cs="Arial"/>
        </w:rPr>
        <w:t xml:space="preserve"> 2016, the highest Heat Use Efficiency (HUE) was recorded under the lowest density (16 hills m</w:t>
      </w:r>
      <w:r w:rsidRPr="00D042F9">
        <w:rPr>
          <w:rFonts w:ascii="Cambria Math" w:hAnsi="Cambria Math" w:cs="Cambria Math"/>
        </w:rPr>
        <w:t>⁻</w:t>
      </w:r>
      <w:r w:rsidRPr="00D042F9">
        <w:rPr>
          <w:rFonts w:ascii="Arial" w:hAnsi="Arial" w:cs="Arial"/>
        </w:rPr>
        <w:t>²), which was statistically similar to the 20 and 25 hills m</w:t>
      </w:r>
      <w:r w:rsidRPr="00D042F9">
        <w:rPr>
          <w:rFonts w:ascii="Cambria Math" w:hAnsi="Cambria Math" w:cs="Cambria Math"/>
        </w:rPr>
        <w:t>⁻</w:t>
      </w:r>
      <w:r w:rsidRPr="00D042F9">
        <w:rPr>
          <w:rFonts w:ascii="Arial" w:hAnsi="Arial" w:cs="Arial"/>
        </w:rPr>
        <w:t>² densities. A similar trend was observed in 2017, with no significant differences among these three densities. However, the highest density (33 hills m</w:t>
      </w:r>
      <w:r w:rsidRPr="00D042F9">
        <w:rPr>
          <w:rFonts w:ascii="Cambria Math" w:hAnsi="Cambria Math" w:cs="Cambria Math"/>
        </w:rPr>
        <w:t>⁻</w:t>
      </w:r>
      <w:r w:rsidRPr="00D042F9">
        <w:rPr>
          <w:rFonts w:ascii="Arial" w:hAnsi="Arial" w:cs="Arial"/>
        </w:rPr>
        <w:t>²) consistently resulted in significantly lower HUE across both years. This reduction is likely due to decreased yield under higher planting densities, caused by increased intra- and inter-plant competition, which limited the efficient use of accumulated heat.</w:t>
      </w:r>
    </w:p>
    <w:p w14:paraId="6BD309D2" w14:textId="77777777" w:rsidR="00D042F9" w:rsidRDefault="00D042F9" w:rsidP="00D042F9">
      <w:pPr>
        <w:pStyle w:val="NormalWeb"/>
        <w:spacing w:before="0" w:beforeAutospacing="0" w:after="0" w:afterAutospacing="0" w:line="276" w:lineRule="auto"/>
        <w:jc w:val="center"/>
        <w:rPr>
          <w:color w:val="000000" w:themeColor="text1"/>
        </w:rPr>
      </w:pPr>
    </w:p>
    <w:p w14:paraId="6BD309D3" w14:textId="77777777" w:rsidR="00D042F9" w:rsidRPr="009E5946" w:rsidRDefault="00D042F9" w:rsidP="00D042F9">
      <w:pPr>
        <w:pStyle w:val="NormalWeb"/>
        <w:spacing w:before="0" w:beforeAutospacing="0" w:after="0" w:afterAutospacing="0" w:line="276" w:lineRule="auto"/>
        <w:jc w:val="center"/>
        <w:rPr>
          <w:color w:val="000000" w:themeColor="text1"/>
        </w:rPr>
      </w:pPr>
      <w:r w:rsidRPr="009E5946">
        <w:rPr>
          <w:noProof/>
          <w:color w:val="000000" w:themeColor="text1"/>
        </w:rPr>
        <w:drawing>
          <wp:inline distT="0" distB="0" distL="0" distR="0" wp14:anchorId="6BD30B81" wp14:editId="79294DBA">
            <wp:extent cx="4705350" cy="2489200"/>
            <wp:effectExtent l="0" t="0" r="0" b="0"/>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D309D5" w14:textId="33BD1C24" w:rsidR="00D042F9" w:rsidRPr="00D042F9" w:rsidRDefault="00D042F9" w:rsidP="00D042F9">
      <w:pPr>
        <w:jc w:val="center"/>
        <w:rPr>
          <w:rFonts w:ascii="Arial" w:hAnsi="Arial" w:cs="Arial"/>
          <w:b/>
          <w:color w:val="000000" w:themeColor="text1"/>
        </w:rPr>
      </w:pPr>
      <w:r w:rsidRPr="00D042F9">
        <w:rPr>
          <w:rFonts w:ascii="Arial" w:hAnsi="Arial" w:cs="Arial"/>
          <w:b/>
          <w:color w:val="000000" w:themeColor="text1"/>
        </w:rPr>
        <w:t xml:space="preserve">Fig. 1. RUE </w:t>
      </w:r>
      <w:r w:rsidR="00365801">
        <w:rPr>
          <w:rFonts w:ascii="Arial" w:hAnsi="Arial" w:cs="Arial"/>
          <w:b/>
          <w:color w:val="000000" w:themeColor="text1"/>
        </w:rPr>
        <w:t>(g MJ</w:t>
      </w:r>
      <w:r w:rsidR="00365801">
        <w:rPr>
          <w:rFonts w:ascii="Arial" w:hAnsi="Arial" w:cs="Arial"/>
          <w:b/>
          <w:color w:val="000000" w:themeColor="text1"/>
          <w:vertAlign w:val="superscript"/>
        </w:rPr>
        <w:t>-1</w:t>
      </w:r>
      <w:r w:rsidR="00365801">
        <w:rPr>
          <w:rFonts w:ascii="Arial" w:hAnsi="Arial" w:cs="Arial"/>
          <w:b/>
          <w:color w:val="000000" w:themeColor="text1"/>
        </w:rPr>
        <w:t xml:space="preserve">) </w:t>
      </w:r>
      <w:r w:rsidRPr="00D042F9">
        <w:rPr>
          <w:rFonts w:ascii="Arial" w:hAnsi="Arial" w:cs="Arial"/>
          <w:b/>
          <w:color w:val="000000" w:themeColor="text1"/>
        </w:rPr>
        <w:t>as influenced by manipulation of microclimate imposed by methods of crop establishment, transplanting date and hill density in 2016 &amp; 17</w:t>
      </w:r>
    </w:p>
    <w:p w14:paraId="6BD309D6" w14:textId="77777777" w:rsidR="00D042F9" w:rsidRPr="00D042F9" w:rsidRDefault="00D042F9" w:rsidP="00D042F9">
      <w:pPr>
        <w:jc w:val="center"/>
        <w:rPr>
          <w:rFonts w:ascii="Arial" w:hAnsi="Arial" w:cs="Arial"/>
          <w:b/>
          <w:color w:val="000000" w:themeColor="text1"/>
        </w:rPr>
      </w:pPr>
    </w:p>
    <w:p w14:paraId="6BD309D7" w14:textId="77777777" w:rsidR="00D042F9" w:rsidRPr="009E5946" w:rsidRDefault="00D042F9" w:rsidP="00D042F9">
      <w:pPr>
        <w:jc w:val="center"/>
        <w:rPr>
          <w:rFonts w:ascii="Times New Roman" w:hAnsi="Times New Roman"/>
          <w:color w:val="000000" w:themeColor="text1"/>
          <w:sz w:val="24"/>
          <w:szCs w:val="24"/>
        </w:rPr>
      </w:pPr>
    </w:p>
    <w:p w14:paraId="6BD309D8" w14:textId="77777777" w:rsidR="00D042F9" w:rsidRPr="009E5946" w:rsidRDefault="00D042F9" w:rsidP="00D042F9">
      <w:pPr>
        <w:jc w:val="center"/>
        <w:rPr>
          <w:rFonts w:ascii="Times New Roman" w:hAnsi="Times New Roman"/>
          <w:color w:val="000000" w:themeColor="text1"/>
          <w:sz w:val="24"/>
          <w:szCs w:val="24"/>
        </w:rPr>
      </w:pPr>
      <w:r w:rsidRPr="009E5946">
        <w:rPr>
          <w:rFonts w:ascii="Times New Roman" w:hAnsi="Times New Roman"/>
          <w:noProof/>
          <w:color w:val="000000" w:themeColor="text1"/>
          <w:sz w:val="24"/>
          <w:szCs w:val="24"/>
        </w:rPr>
        <w:drawing>
          <wp:inline distT="0" distB="0" distL="0" distR="0" wp14:anchorId="6BD30B83" wp14:editId="51410413">
            <wp:extent cx="4845050" cy="2755900"/>
            <wp:effectExtent l="0" t="0" r="0" b="0"/>
            <wp:docPr id="2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D309DA" w14:textId="3300474E" w:rsidR="00D042F9" w:rsidRPr="00D042F9" w:rsidRDefault="00D042F9" w:rsidP="00D042F9">
      <w:pPr>
        <w:spacing w:before="40"/>
        <w:jc w:val="center"/>
        <w:rPr>
          <w:rFonts w:ascii="Arial" w:hAnsi="Arial" w:cs="Arial"/>
          <w:b/>
          <w:color w:val="000000" w:themeColor="text1"/>
        </w:rPr>
      </w:pPr>
      <w:r w:rsidRPr="00D042F9">
        <w:rPr>
          <w:rFonts w:ascii="Arial" w:hAnsi="Arial" w:cs="Arial"/>
          <w:b/>
          <w:color w:val="000000" w:themeColor="text1"/>
        </w:rPr>
        <w:t xml:space="preserve">Fig. 2.  HUE </w:t>
      </w:r>
      <w:r w:rsidR="00E238DF">
        <w:rPr>
          <w:rFonts w:ascii="Arial" w:hAnsi="Arial" w:cs="Arial"/>
          <w:b/>
          <w:color w:val="000000" w:themeColor="text1"/>
        </w:rPr>
        <w:t>(kg</w:t>
      </w:r>
      <w:r w:rsidR="004F0CCC">
        <w:rPr>
          <w:rFonts w:ascii="Arial" w:hAnsi="Arial" w:cs="Arial"/>
          <w:b/>
          <w:color w:val="000000" w:themeColor="text1"/>
        </w:rPr>
        <w:t xml:space="preserve"> ha</w:t>
      </w:r>
      <w:r w:rsidR="004F0CCC">
        <w:rPr>
          <w:rFonts w:ascii="Arial" w:hAnsi="Arial" w:cs="Arial"/>
          <w:b/>
          <w:color w:val="000000" w:themeColor="text1"/>
          <w:vertAlign w:val="superscript"/>
        </w:rPr>
        <w:t>-1</w:t>
      </w:r>
      <w:r w:rsidR="008742E7">
        <w:rPr>
          <w:rFonts w:ascii="Arial" w:hAnsi="Arial" w:cs="Arial"/>
          <w:b/>
          <w:color w:val="000000" w:themeColor="text1"/>
          <w:vertAlign w:val="superscript"/>
        </w:rPr>
        <w:t xml:space="preserve"> </w:t>
      </w:r>
      <w:r w:rsidR="008742E7">
        <w:rPr>
          <w:rFonts w:ascii="Arial" w:hAnsi="Arial" w:cs="Arial"/>
          <w:b/>
          <w:color w:val="000000" w:themeColor="text1"/>
        </w:rPr>
        <w:t>ºd</w:t>
      </w:r>
      <w:r w:rsidR="00E238DF">
        <w:rPr>
          <w:rFonts w:ascii="Arial" w:hAnsi="Arial" w:cs="Arial"/>
          <w:b/>
          <w:color w:val="000000" w:themeColor="text1"/>
        </w:rPr>
        <w:t xml:space="preserve">) </w:t>
      </w:r>
      <w:r w:rsidRPr="00D042F9">
        <w:rPr>
          <w:rFonts w:ascii="Arial" w:hAnsi="Arial" w:cs="Arial"/>
          <w:b/>
          <w:color w:val="000000" w:themeColor="text1"/>
        </w:rPr>
        <w:t>as influenced by manipulation of microclimate imposed by methods of crop establishment, transplanting date and hill density in 2016 &amp; 17</w:t>
      </w:r>
    </w:p>
    <w:p w14:paraId="6BD309DB" w14:textId="77777777" w:rsidR="00863BD3" w:rsidRDefault="00863BD3" w:rsidP="00441B6F">
      <w:pPr>
        <w:pStyle w:val="Body"/>
        <w:spacing w:after="0"/>
        <w:rPr>
          <w:rFonts w:ascii="Arial" w:hAnsi="Arial" w:cs="Arial"/>
        </w:rPr>
      </w:pPr>
    </w:p>
    <w:p w14:paraId="690FAC6D" w14:textId="77777777" w:rsidR="00204BF0" w:rsidRPr="00FB3A86" w:rsidRDefault="00204BF0" w:rsidP="00441B6F">
      <w:pPr>
        <w:pStyle w:val="Body"/>
        <w:spacing w:after="0"/>
        <w:rPr>
          <w:rFonts w:ascii="Arial" w:hAnsi="Arial" w:cs="Arial"/>
        </w:rPr>
      </w:pPr>
    </w:p>
    <w:p w14:paraId="6BD309DC" w14:textId="0B8B613C" w:rsidR="00D042F9" w:rsidRPr="00D042F9" w:rsidRDefault="00D042F9" w:rsidP="00D042F9">
      <w:pPr>
        <w:pStyle w:val="Body"/>
        <w:spacing w:after="0"/>
        <w:rPr>
          <w:rFonts w:ascii="Arial" w:hAnsi="Arial" w:cs="Arial"/>
          <w:b/>
          <w:caps/>
          <w:sz w:val="22"/>
        </w:rPr>
      </w:pPr>
      <w:r>
        <w:rPr>
          <w:rFonts w:ascii="Arial" w:hAnsi="Arial" w:cs="Arial"/>
          <w:b/>
          <w:sz w:val="22"/>
        </w:rPr>
        <w:t xml:space="preserve">3.2 </w:t>
      </w:r>
      <w:r w:rsidRPr="00D042F9">
        <w:rPr>
          <w:rFonts w:ascii="Arial" w:hAnsi="Arial" w:cs="Arial"/>
          <w:b/>
          <w:sz w:val="22"/>
        </w:rPr>
        <w:t xml:space="preserve">Influence </w:t>
      </w:r>
      <w:r w:rsidR="00204BF0">
        <w:rPr>
          <w:rFonts w:ascii="Arial" w:hAnsi="Arial" w:cs="Arial"/>
          <w:b/>
          <w:sz w:val="22"/>
        </w:rPr>
        <w:t>o</w:t>
      </w:r>
      <w:r w:rsidRPr="00D042F9">
        <w:rPr>
          <w:rFonts w:ascii="Arial" w:hAnsi="Arial" w:cs="Arial"/>
          <w:b/>
          <w:sz w:val="22"/>
        </w:rPr>
        <w:t>n Yield Attributing Parameters</w:t>
      </w:r>
    </w:p>
    <w:p w14:paraId="6BD309DD" w14:textId="77777777" w:rsidR="00EA1534" w:rsidRPr="00EA1534" w:rsidRDefault="00EA1534" w:rsidP="00EA1534">
      <w:pPr>
        <w:pStyle w:val="NormalWeb"/>
        <w:spacing w:line="276" w:lineRule="auto"/>
        <w:jc w:val="both"/>
        <w:rPr>
          <w:rFonts w:ascii="Arial" w:hAnsi="Arial" w:cs="Arial"/>
          <w:color w:val="000000" w:themeColor="text1"/>
          <w:sz w:val="20"/>
          <w:szCs w:val="20"/>
        </w:rPr>
      </w:pPr>
      <w:r w:rsidRPr="00EA1534">
        <w:rPr>
          <w:rFonts w:ascii="Arial" w:hAnsi="Arial" w:cs="Arial"/>
          <w:color w:val="000000" w:themeColor="text1"/>
          <w:sz w:val="20"/>
          <w:szCs w:val="20"/>
        </w:rPr>
        <w:t xml:space="preserve">The System of Rice Intensification (SRI) demonstrated significant improvements in key yield-contributing traits, including panicle density, panicle length, number of filled grains per panicle, and test weight (Table 1). In 2016 and 2017, the </w:t>
      </w:r>
      <w:r w:rsidRPr="00EA1534">
        <w:rPr>
          <w:rFonts w:ascii="Arial" w:hAnsi="Arial" w:cs="Arial"/>
          <w:color w:val="000000" w:themeColor="text1"/>
          <w:sz w:val="20"/>
          <w:szCs w:val="20"/>
        </w:rPr>
        <w:lastRenderedPageBreak/>
        <w:t>number of panicles per square meter under SRI ranged from 275.65 to 284.00, while panicle length varied between 27.06 and 27.54 cm. The number of filled grains per panicle ranged from 244.50 to 256.92, and test weight ranged from 27.02 to 27.43 g. The higher panicle density observed under SRI may be attributed to the earlier and more vigorous tillering, which allowed tillers an extended growth period and increased potential for panicle development. Additionally, enhanced yield parameters under SRI could be linked to a more robust and active root system, greater leaf area and canopy coverage for improved light interception, efficient translocation of assimilates, and delayed leaf senescence. These findings align with previous studies by Mohanty et al. (2014), Thakur et al. (2015), and Hosain et al. (2018).</w:t>
      </w:r>
    </w:p>
    <w:p w14:paraId="6BD309DE" w14:textId="77777777" w:rsidR="00EA1534" w:rsidRPr="00EA1534" w:rsidRDefault="00EA1534" w:rsidP="00EA1534">
      <w:pPr>
        <w:pStyle w:val="NormalWeb"/>
        <w:spacing w:line="276" w:lineRule="auto"/>
        <w:jc w:val="both"/>
        <w:rPr>
          <w:rFonts w:ascii="Arial" w:hAnsi="Arial" w:cs="Arial"/>
          <w:color w:val="000000" w:themeColor="text1"/>
          <w:sz w:val="20"/>
          <w:szCs w:val="20"/>
        </w:rPr>
      </w:pPr>
      <w:r w:rsidRPr="00EA1534">
        <w:rPr>
          <w:rFonts w:ascii="Arial" w:hAnsi="Arial" w:cs="Arial"/>
          <w:color w:val="000000" w:themeColor="text1"/>
          <w:sz w:val="20"/>
          <w:szCs w:val="20"/>
        </w:rPr>
        <w:t>Different transplanting dates significantly influenc</w:t>
      </w:r>
      <w:r>
        <w:rPr>
          <w:rFonts w:ascii="Arial" w:hAnsi="Arial" w:cs="Arial"/>
          <w:color w:val="000000" w:themeColor="text1"/>
          <w:sz w:val="20"/>
          <w:szCs w:val="20"/>
        </w:rPr>
        <w:t>ed key yield parameters (Table 1</w:t>
      </w:r>
      <w:r w:rsidRPr="00EA1534">
        <w:rPr>
          <w:rFonts w:ascii="Arial" w:hAnsi="Arial" w:cs="Arial"/>
          <w:color w:val="000000" w:themeColor="text1"/>
          <w:sz w:val="20"/>
          <w:szCs w:val="20"/>
        </w:rPr>
        <w:t>). Early transplanting on 26th June consistently produced superior results across both 2016 and 2017 than the other two dates of transplanting. The number of panicles per square meter was significantly higher under early transplanting (26</w:t>
      </w:r>
      <w:r w:rsidRPr="00EA1534">
        <w:rPr>
          <w:rFonts w:ascii="Arial" w:hAnsi="Arial" w:cs="Arial"/>
          <w:color w:val="000000" w:themeColor="text1"/>
          <w:sz w:val="20"/>
          <w:szCs w:val="20"/>
          <w:vertAlign w:val="superscript"/>
        </w:rPr>
        <w:t>th</w:t>
      </w:r>
      <w:r w:rsidRPr="00EA1534">
        <w:rPr>
          <w:rFonts w:ascii="Arial" w:hAnsi="Arial" w:cs="Arial"/>
          <w:color w:val="000000" w:themeColor="text1"/>
          <w:sz w:val="20"/>
          <w:szCs w:val="20"/>
        </w:rPr>
        <w:t xml:space="preserve"> June), recorded at 241.88 and 250.57 in 2016 and 2017, respectively. Panicle length was also greater, with the early transplanted crop showing a length of 27.35 cm in 2016, a trend that persisted in 2017. Furthermore, the highest number of filled grains per panicle was observed in the 26th June transplanting, ranging from 235.59 to 243.05 over the two years. Grains from early-transplanted crops were also notably heavier in both years. The improved performance of early transplanting may be attributed to exposure to more favorable microclimatic conditions, which enhanced the utilization of thermal units, boosted photosynthetic efficiency, and ultimately improved yield components and overall productivity. The inferior performance of late transplanting aligns with findings from previous studies, which reported that delays reduce the duration of favorable growing conditions for rice (Sharma et al., 2011; Jayapriya et al., 2016; Sharma et al., 2018).</w:t>
      </w:r>
    </w:p>
    <w:p w14:paraId="6BD309DF" w14:textId="77777777" w:rsidR="00EA1534" w:rsidRDefault="00EA1534" w:rsidP="00EA1534">
      <w:pPr>
        <w:pStyle w:val="NormalWeb"/>
        <w:spacing w:line="276" w:lineRule="auto"/>
        <w:jc w:val="both"/>
        <w:rPr>
          <w:rFonts w:ascii="Arial" w:hAnsi="Arial" w:cs="Arial"/>
          <w:color w:val="000000" w:themeColor="text1"/>
          <w:sz w:val="20"/>
          <w:szCs w:val="20"/>
        </w:rPr>
      </w:pPr>
      <w:r w:rsidRPr="00EA1534">
        <w:rPr>
          <w:rFonts w:ascii="Arial" w:hAnsi="Arial" w:cs="Arial"/>
          <w:color w:val="000000" w:themeColor="text1"/>
          <w:sz w:val="20"/>
          <w:szCs w:val="20"/>
        </w:rPr>
        <w:t>Hill density also had a significant influence on the yield attributes (Table 1). In the first year of experimentation, the highest number of panicles per square meter (240) was observed under a spacing of 20 hills m</w:t>
      </w:r>
      <w:r w:rsidRPr="00EA1534">
        <w:rPr>
          <w:rFonts w:cs="Arial"/>
          <w:color w:val="000000" w:themeColor="text1"/>
          <w:sz w:val="20"/>
          <w:szCs w:val="20"/>
        </w:rPr>
        <w:t>⁻</w:t>
      </w:r>
      <w:r w:rsidRPr="00EA1534">
        <w:rPr>
          <w:rFonts w:ascii="Arial" w:hAnsi="Arial" w:cs="Arial"/>
          <w:color w:val="000000" w:themeColor="text1"/>
          <w:sz w:val="20"/>
          <w:szCs w:val="20"/>
        </w:rPr>
        <w:t>² (20 cm × 25 cm), which was statistically at par with the 16 hills m</w:t>
      </w:r>
      <w:r w:rsidRPr="00EA1534">
        <w:rPr>
          <w:rFonts w:cs="Arial"/>
          <w:color w:val="000000" w:themeColor="text1"/>
          <w:sz w:val="20"/>
          <w:szCs w:val="20"/>
        </w:rPr>
        <w:t>⁻</w:t>
      </w:r>
      <w:r w:rsidRPr="00EA1534">
        <w:rPr>
          <w:rFonts w:ascii="Arial" w:hAnsi="Arial" w:cs="Arial"/>
          <w:color w:val="000000" w:themeColor="text1"/>
          <w:sz w:val="20"/>
          <w:szCs w:val="20"/>
        </w:rPr>
        <w:t>² (25 cm × 25 cm) treatment. A similar trend was recorded in the second year. The wider spacing of 16 hills m</w:t>
      </w:r>
      <w:r w:rsidRPr="00EA1534">
        <w:rPr>
          <w:rFonts w:cs="Arial"/>
          <w:color w:val="000000" w:themeColor="text1"/>
          <w:sz w:val="20"/>
          <w:szCs w:val="20"/>
        </w:rPr>
        <w:t>⁻</w:t>
      </w:r>
      <w:r w:rsidRPr="00EA1534">
        <w:rPr>
          <w:rFonts w:ascii="Arial" w:hAnsi="Arial" w:cs="Arial"/>
          <w:color w:val="000000" w:themeColor="text1"/>
          <w:sz w:val="20"/>
          <w:szCs w:val="20"/>
        </w:rPr>
        <w:t>² consistently produced longer panicles, which were statistically comparable to those under 20 hills m</w:t>
      </w:r>
      <w:r w:rsidRPr="00EA1534">
        <w:rPr>
          <w:rFonts w:cs="Arial"/>
          <w:color w:val="000000" w:themeColor="text1"/>
          <w:sz w:val="20"/>
          <w:szCs w:val="20"/>
        </w:rPr>
        <w:t>⁻</w:t>
      </w:r>
      <w:r w:rsidRPr="00EA1534">
        <w:rPr>
          <w:rFonts w:ascii="Arial" w:hAnsi="Arial" w:cs="Arial"/>
          <w:color w:val="000000" w:themeColor="text1"/>
          <w:sz w:val="20"/>
          <w:szCs w:val="20"/>
        </w:rPr>
        <w:t>². Hill density also significantly affected the number of filled grains per panicle and test weight. The wider spacing (16 hills m</w:t>
      </w:r>
      <w:r w:rsidRPr="00EA1534">
        <w:rPr>
          <w:rFonts w:cs="Arial"/>
          <w:color w:val="000000" w:themeColor="text1"/>
          <w:sz w:val="20"/>
          <w:szCs w:val="20"/>
        </w:rPr>
        <w:t>⁻</w:t>
      </w:r>
      <w:r w:rsidRPr="00EA1534">
        <w:rPr>
          <w:rFonts w:ascii="Arial" w:hAnsi="Arial" w:cs="Arial"/>
          <w:color w:val="000000" w:themeColor="text1"/>
          <w:sz w:val="20"/>
          <w:szCs w:val="20"/>
        </w:rPr>
        <w:t>²) yielded the highest number of filled grains per panicle, ranging from 231.08 to 245.38 over both years. Although these values were statistically at par with the 20 and 25 hills m</w:t>
      </w:r>
      <w:r w:rsidRPr="00EA1534">
        <w:rPr>
          <w:rFonts w:cs="Arial"/>
          <w:color w:val="000000" w:themeColor="text1"/>
          <w:sz w:val="20"/>
          <w:szCs w:val="20"/>
        </w:rPr>
        <w:t>⁻</w:t>
      </w:r>
      <w:r w:rsidRPr="00EA1534">
        <w:rPr>
          <w:rFonts w:ascii="Arial" w:hAnsi="Arial" w:cs="Arial"/>
          <w:color w:val="000000" w:themeColor="text1"/>
          <w:sz w:val="20"/>
          <w:szCs w:val="20"/>
        </w:rPr>
        <w:t>² treatments, they were significantly higher than those recorded under the closest spacing (33 hills m</w:t>
      </w:r>
      <w:r w:rsidRPr="00EA1534">
        <w:rPr>
          <w:rFonts w:cs="Arial"/>
          <w:color w:val="000000" w:themeColor="text1"/>
          <w:sz w:val="20"/>
          <w:szCs w:val="20"/>
        </w:rPr>
        <w:t>⁻</w:t>
      </w:r>
      <w:r w:rsidRPr="00EA1534">
        <w:rPr>
          <w:rFonts w:ascii="Arial" w:hAnsi="Arial" w:cs="Arial"/>
          <w:color w:val="000000" w:themeColor="text1"/>
          <w:sz w:val="20"/>
          <w:szCs w:val="20"/>
        </w:rPr>
        <w:t>²). The lowest hill density (16 hills m</w:t>
      </w:r>
      <w:r w:rsidRPr="00EA1534">
        <w:rPr>
          <w:rFonts w:cs="Arial"/>
          <w:color w:val="000000" w:themeColor="text1"/>
          <w:sz w:val="20"/>
          <w:szCs w:val="20"/>
        </w:rPr>
        <w:t>⁻</w:t>
      </w:r>
      <w:r w:rsidRPr="00EA1534">
        <w:rPr>
          <w:rFonts w:ascii="Arial" w:hAnsi="Arial" w:cs="Arial"/>
          <w:color w:val="000000" w:themeColor="text1"/>
          <w:sz w:val="20"/>
          <w:szCs w:val="20"/>
        </w:rPr>
        <w:t xml:space="preserve">²) also produced the highest test weight. The improved yield parameters under wider hill spacing can be attributed to reduced intra- and inter-plant competition, which likely enhanced morphological and physiological traits by facilitating better utilization of nutrients, water, and light, increased photosynthetic activity, and more efficient assimilate distribution. These findings are consistent with the observations reported by Sharma et al. (2011), and </w:t>
      </w:r>
      <w:proofErr w:type="spellStart"/>
      <w:r w:rsidRPr="00EA1534">
        <w:rPr>
          <w:rFonts w:ascii="Arial" w:hAnsi="Arial" w:cs="Arial"/>
          <w:color w:val="000000" w:themeColor="text1"/>
          <w:sz w:val="20"/>
          <w:szCs w:val="20"/>
        </w:rPr>
        <w:t>Chakrabortty</w:t>
      </w:r>
      <w:proofErr w:type="spellEnd"/>
      <w:r w:rsidRPr="00EA1534">
        <w:rPr>
          <w:rFonts w:ascii="Arial" w:hAnsi="Arial" w:cs="Arial"/>
          <w:color w:val="000000" w:themeColor="text1"/>
          <w:sz w:val="20"/>
          <w:szCs w:val="20"/>
        </w:rPr>
        <w:t xml:space="preserve"> et al. (2014).</w:t>
      </w:r>
    </w:p>
    <w:p w14:paraId="6BD309E0" w14:textId="77777777" w:rsidR="00EA1534" w:rsidRPr="00EA1534" w:rsidRDefault="00EA1534" w:rsidP="00EA1534">
      <w:pPr>
        <w:spacing w:before="120" w:after="120"/>
        <w:ind w:left="1106" w:hanging="1106"/>
        <w:jc w:val="both"/>
        <w:rPr>
          <w:rFonts w:ascii="Arial" w:hAnsi="Arial" w:cs="Arial"/>
          <w:b/>
          <w:color w:val="000000" w:themeColor="text1"/>
        </w:rPr>
      </w:pPr>
      <w:r w:rsidRPr="00EA1534">
        <w:rPr>
          <w:rFonts w:ascii="Arial" w:hAnsi="Arial" w:cs="Arial"/>
          <w:b/>
          <w:color w:val="000000" w:themeColor="text1"/>
        </w:rPr>
        <w:t>Table 1. Influence of modified crop microenvironment on panicles m</w:t>
      </w:r>
      <w:r w:rsidRPr="00EA1534">
        <w:rPr>
          <w:rFonts w:ascii="Arial" w:hAnsi="Arial" w:cs="Arial"/>
          <w:b/>
          <w:color w:val="000000" w:themeColor="text1"/>
          <w:vertAlign w:val="superscript"/>
        </w:rPr>
        <w:t xml:space="preserve">-2 </w:t>
      </w:r>
      <w:r w:rsidRPr="00EA1534">
        <w:rPr>
          <w:rFonts w:ascii="Arial" w:hAnsi="Arial" w:cs="Arial"/>
          <w:b/>
          <w:color w:val="000000" w:themeColor="text1"/>
        </w:rPr>
        <w:t>(No.), panicle length (cm), filled grains panicle</w:t>
      </w:r>
      <w:r w:rsidRPr="00EA1534">
        <w:rPr>
          <w:rFonts w:ascii="Arial" w:hAnsi="Arial" w:cs="Arial"/>
          <w:b/>
          <w:color w:val="000000" w:themeColor="text1"/>
          <w:vertAlign w:val="superscript"/>
        </w:rPr>
        <w:t>-1</w:t>
      </w:r>
      <w:r w:rsidRPr="00EA1534">
        <w:rPr>
          <w:rFonts w:ascii="Arial" w:hAnsi="Arial" w:cs="Arial"/>
          <w:b/>
          <w:color w:val="000000" w:themeColor="text1"/>
        </w:rPr>
        <w:t xml:space="preserve"> (No.) and test weight (g) </w:t>
      </w:r>
    </w:p>
    <w:tbl>
      <w:tblPr>
        <w:tblW w:w="5000" w:type="pct"/>
        <w:tblBorders>
          <w:top w:val="single" w:sz="4" w:space="0" w:color="auto"/>
          <w:bottom w:val="single" w:sz="4" w:space="0" w:color="auto"/>
        </w:tblBorders>
        <w:tblLook w:val="04A0" w:firstRow="1" w:lastRow="0" w:firstColumn="1" w:lastColumn="0" w:noHBand="0" w:noVBand="1"/>
      </w:tblPr>
      <w:tblGrid>
        <w:gridCol w:w="2086"/>
        <w:gridCol w:w="1196"/>
        <w:gridCol w:w="1199"/>
        <w:gridCol w:w="1033"/>
        <w:gridCol w:w="1038"/>
        <w:gridCol w:w="1196"/>
        <w:gridCol w:w="1199"/>
        <w:gridCol w:w="1033"/>
        <w:gridCol w:w="1036"/>
      </w:tblGrid>
      <w:tr w:rsidR="00EA1534" w:rsidRPr="00EA1534" w14:paraId="6BD309E6" w14:textId="77777777" w:rsidTr="0014030D">
        <w:tc>
          <w:tcPr>
            <w:tcW w:w="947" w:type="pct"/>
            <w:vMerge w:val="restart"/>
            <w:tcBorders>
              <w:left w:val="single" w:sz="4" w:space="0" w:color="auto"/>
              <w:right w:val="single" w:sz="4" w:space="0" w:color="auto"/>
            </w:tcBorders>
          </w:tcPr>
          <w:p w14:paraId="6BD309E1"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Treatments</w:t>
            </w:r>
          </w:p>
        </w:tc>
        <w:tc>
          <w:tcPr>
            <w:tcW w:w="1087" w:type="pct"/>
            <w:gridSpan w:val="2"/>
            <w:tcBorders>
              <w:top w:val="single" w:sz="4" w:space="0" w:color="auto"/>
              <w:left w:val="single" w:sz="4" w:space="0" w:color="auto"/>
              <w:bottom w:val="single" w:sz="4" w:space="0" w:color="auto"/>
              <w:right w:val="single" w:sz="4" w:space="0" w:color="auto"/>
            </w:tcBorders>
          </w:tcPr>
          <w:p w14:paraId="6BD309E2"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Panicles m</w:t>
            </w:r>
            <w:r w:rsidRPr="00EA1534">
              <w:rPr>
                <w:rFonts w:ascii="Arial" w:hAnsi="Arial" w:cs="Arial"/>
                <w:color w:val="000000" w:themeColor="text1"/>
                <w:vertAlign w:val="superscript"/>
              </w:rPr>
              <w:t>-2</w:t>
            </w:r>
            <w:r w:rsidRPr="00EA1534">
              <w:rPr>
                <w:rFonts w:ascii="Arial" w:hAnsi="Arial" w:cs="Arial"/>
                <w:color w:val="000000" w:themeColor="text1"/>
              </w:rPr>
              <w:br/>
              <w:t>(No.)</w:t>
            </w:r>
          </w:p>
        </w:tc>
        <w:tc>
          <w:tcPr>
            <w:tcW w:w="940" w:type="pct"/>
            <w:gridSpan w:val="2"/>
            <w:tcBorders>
              <w:top w:val="single" w:sz="4" w:space="0" w:color="auto"/>
              <w:left w:val="single" w:sz="4" w:space="0" w:color="auto"/>
              <w:bottom w:val="single" w:sz="4" w:space="0" w:color="auto"/>
              <w:right w:val="single" w:sz="4" w:space="0" w:color="auto"/>
            </w:tcBorders>
          </w:tcPr>
          <w:p w14:paraId="6BD309E3"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Panicle length (cm)</w:t>
            </w:r>
          </w:p>
        </w:tc>
        <w:tc>
          <w:tcPr>
            <w:tcW w:w="1087" w:type="pct"/>
            <w:gridSpan w:val="2"/>
            <w:tcBorders>
              <w:top w:val="single" w:sz="4" w:space="0" w:color="auto"/>
              <w:left w:val="single" w:sz="4" w:space="0" w:color="auto"/>
              <w:bottom w:val="single" w:sz="4" w:space="0" w:color="auto"/>
              <w:right w:val="single" w:sz="4" w:space="0" w:color="auto"/>
            </w:tcBorders>
          </w:tcPr>
          <w:p w14:paraId="6BD309E4"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Filled grains panicle</w:t>
            </w:r>
            <w:r w:rsidRPr="00EA1534">
              <w:rPr>
                <w:rFonts w:ascii="Arial" w:hAnsi="Arial" w:cs="Arial"/>
                <w:color w:val="000000" w:themeColor="text1"/>
                <w:vertAlign w:val="superscript"/>
              </w:rPr>
              <w:t>-1</w:t>
            </w:r>
            <w:r w:rsidRPr="00EA1534">
              <w:rPr>
                <w:rFonts w:ascii="Arial" w:hAnsi="Arial" w:cs="Arial"/>
                <w:color w:val="000000" w:themeColor="text1"/>
              </w:rPr>
              <w:t xml:space="preserve"> (No.)</w:t>
            </w:r>
          </w:p>
        </w:tc>
        <w:tc>
          <w:tcPr>
            <w:tcW w:w="939" w:type="pct"/>
            <w:gridSpan w:val="2"/>
            <w:tcBorders>
              <w:top w:val="single" w:sz="4" w:space="0" w:color="auto"/>
              <w:left w:val="single" w:sz="4" w:space="0" w:color="auto"/>
              <w:bottom w:val="single" w:sz="4" w:space="0" w:color="auto"/>
              <w:right w:val="single" w:sz="4" w:space="0" w:color="auto"/>
            </w:tcBorders>
          </w:tcPr>
          <w:p w14:paraId="6BD309E5"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 xml:space="preserve">Test weight </w:t>
            </w:r>
            <w:r w:rsidRPr="00EA1534">
              <w:rPr>
                <w:rFonts w:ascii="Arial" w:hAnsi="Arial" w:cs="Arial"/>
                <w:color w:val="000000" w:themeColor="text1"/>
              </w:rPr>
              <w:br/>
              <w:t>(g)</w:t>
            </w:r>
          </w:p>
        </w:tc>
      </w:tr>
      <w:tr w:rsidR="00EA1534" w:rsidRPr="00EA1534" w14:paraId="6BD309F0" w14:textId="77777777" w:rsidTr="0014030D">
        <w:tc>
          <w:tcPr>
            <w:tcW w:w="947" w:type="pct"/>
            <w:vMerge/>
            <w:tcBorders>
              <w:left w:val="single" w:sz="4" w:space="0" w:color="auto"/>
              <w:bottom w:val="single" w:sz="4" w:space="0" w:color="auto"/>
              <w:right w:val="single" w:sz="4" w:space="0" w:color="auto"/>
            </w:tcBorders>
          </w:tcPr>
          <w:p w14:paraId="6BD309E7" w14:textId="77777777" w:rsidR="00EA1534" w:rsidRPr="00EA1534" w:rsidRDefault="00EA1534" w:rsidP="0014030D">
            <w:pPr>
              <w:spacing w:before="20" w:after="40"/>
              <w:rPr>
                <w:rFonts w:ascii="Arial" w:hAnsi="Arial" w:cs="Arial"/>
                <w:color w:val="000000" w:themeColor="text1"/>
              </w:rPr>
            </w:pPr>
          </w:p>
        </w:tc>
        <w:tc>
          <w:tcPr>
            <w:tcW w:w="543" w:type="pct"/>
            <w:tcBorders>
              <w:top w:val="single" w:sz="4" w:space="0" w:color="auto"/>
              <w:left w:val="single" w:sz="4" w:space="0" w:color="auto"/>
              <w:bottom w:val="single" w:sz="4" w:space="0" w:color="auto"/>
              <w:right w:val="single" w:sz="4" w:space="0" w:color="auto"/>
            </w:tcBorders>
          </w:tcPr>
          <w:p w14:paraId="6BD309E8"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2016</w:t>
            </w:r>
          </w:p>
        </w:tc>
        <w:tc>
          <w:tcPr>
            <w:tcW w:w="544" w:type="pct"/>
            <w:tcBorders>
              <w:top w:val="single" w:sz="4" w:space="0" w:color="auto"/>
              <w:left w:val="single" w:sz="4" w:space="0" w:color="auto"/>
              <w:bottom w:val="single" w:sz="4" w:space="0" w:color="auto"/>
              <w:right w:val="single" w:sz="4" w:space="0" w:color="auto"/>
            </w:tcBorders>
          </w:tcPr>
          <w:p w14:paraId="6BD309E9"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2017</w:t>
            </w:r>
          </w:p>
        </w:tc>
        <w:tc>
          <w:tcPr>
            <w:tcW w:w="469" w:type="pct"/>
            <w:tcBorders>
              <w:top w:val="single" w:sz="4" w:space="0" w:color="auto"/>
              <w:left w:val="single" w:sz="4" w:space="0" w:color="auto"/>
              <w:bottom w:val="single" w:sz="4" w:space="0" w:color="auto"/>
              <w:right w:val="single" w:sz="4" w:space="0" w:color="auto"/>
            </w:tcBorders>
          </w:tcPr>
          <w:p w14:paraId="6BD309EA"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2016</w:t>
            </w:r>
          </w:p>
        </w:tc>
        <w:tc>
          <w:tcPr>
            <w:tcW w:w="471" w:type="pct"/>
            <w:tcBorders>
              <w:top w:val="single" w:sz="4" w:space="0" w:color="auto"/>
              <w:left w:val="single" w:sz="4" w:space="0" w:color="auto"/>
              <w:bottom w:val="single" w:sz="4" w:space="0" w:color="auto"/>
              <w:right w:val="single" w:sz="4" w:space="0" w:color="auto"/>
            </w:tcBorders>
          </w:tcPr>
          <w:p w14:paraId="6BD309EB"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2017</w:t>
            </w:r>
          </w:p>
        </w:tc>
        <w:tc>
          <w:tcPr>
            <w:tcW w:w="543" w:type="pct"/>
            <w:tcBorders>
              <w:top w:val="single" w:sz="4" w:space="0" w:color="auto"/>
              <w:left w:val="single" w:sz="4" w:space="0" w:color="auto"/>
              <w:bottom w:val="single" w:sz="4" w:space="0" w:color="auto"/>
              <w:right w:val="single" w:sz="4" w:space="0" w:color="auto"/>
            </w:tcBorders>
          </w:tcPr>
          <w:p w14:paraId="6BD309EC"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2016</w:t>
            </w:r>
          </w:p>
        </w:tc>
        <w:tc>
          <w:tcPr>
            <w:tcW w:w="544" w:type="pct"/>
            <w:tcBorders>
              <w:top w:val="single" w:sz="4" w:space="0" w:color="auto"/>
              <w:left w:val="single" w:sz="4" w:space="0" w:color="auto"/>
              <w:bottom w:val="single" w:sz="4" w:space="0" w:color="auto"/>
              <w:right w:val="single" w:sz="4" w:space="0" w:color="auto"/>
            </w:tcBorders>
          </w:tcPr>
          <w:p w14:paraId="6BD309ED"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2017</w:t>
            </w:r>
          </w:p>
        </w:tc>
        <w:tc>
          <w:tcPr>
            <w:tcW w:w="469" w:type="pct"/>
            <w:tcBorders>
              <w:top w:val="single" w:sz="4" w:space="0" w:color="auto"/>
              <w:left w:val="single" w:sz="4" w:space="0" w:color="auto"/>
              <w:bottom w:val="single" w:sz="4" w:space="0" w:color="auto"/>
              <w:right w:val="single" w:sz="4" w:space="0" w:color="auto"/>
            </w:tcBorders>
          </w:tcPr>
          <w:p w14:paraId="6BD309EE"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2016</w:t>
            </w:r>
          </w:p>
        </w:tc>
        <w:tc>
          <w:tcPr>
            <w:tcW w:w="470" w:type="pct"/>
            <w:tcBorders>
              <w:top w:val="single" w:sz="4" w:space="0" w:color="auto"/>
              <w:left w:val="single" w:sz="4" w:space="0" w:color="auto"/>
              <w:bottom w:val="single" w:sz="4" w:space="0" w:color="auto"/>
              <w:right w:val="single" w:sz="4" w:space="0" w:color="auto"/>
            </w:tcBorders>
          </w:tcPr>
          <w:p w14:paraId="6BD309EF" w14:textId="77777777" w:rsidR="00EA1534" w:rsidRPr="00EA1534" w:rsidRDefault="00EA1534" w:rsidP="0014030D">
            <w:pPr>
              <w:spacing w:before="20" w:after="40"/>
              <w:jc w:val="center"/>
              <w:rPr>
                <w:rFonts w:ascii="Arial" w:hAnsi="Arial" w:cs="Arial"/>
                <w:color w:val="000000" w:themeColor="text1"/>
              </w:rPr>
            </w:pPr>
            <w:r w:rsidRPr="00EA1534">
              <w:rPr>
                <w:rFonts w:ascii="Arial" w:hAnsi="Arial" w:cs="Arial"/>
                <w:color w:val="000000" w:themeColor="text1"/>
              </w:rPr>
              <w:t>2017</w:t>
            </w:r>
          </w:p>
        </w:tc>
      </w:tr>
      <w:tr w:rsidR="00EA1534" w:rsidRPr="00EA1534" w14:paraId="6BD309F8" w14:textId="77777777" w:rsidTr="0014030D">
        <w:tc>
          <w:tcPr>
            <w:tcW w:w="2034" w:type="pct"/>
            <w:gridSpan w:val="3"/>
            <w:tcBorders>
              <w:top w:val="single" w:sz="4" w:space="0" w:color="auto"/>
              <w:left w:val="single" w:sz="4" w:space="0" w:color="auto"/>
              <w:bottom w:val="single" w:sz="4" w:space="0" w:color="auto"/>
              <w:right w:val="single" w:sz="4" w:space="0" w:color="auto"/>
            </w:tcBorders>
          </w:tcPr>
          <w:p w14:paraId="6BD309F1" w14:textId="77777777" w:rsidR="00EA1534" w:rsidRPr="00EA1534" w:rsidRDefault="00EA1534" w:rsidP="0014030D">
            <w:pPr>
              <w:pStyle w:val="NormalWeb"/>
              <w:spacing w:before="20" w:beforeAutospacing="0" w:after="40" w:afterAutospacing="0" w:line="276" w:lineRule="auto"/>
              <w:rPr>
                <w:rFonts w:ascii="Arial" w:hAnsi="Arial" w:cs="Arial"/>
                <w:color w:val="000000" w:themeColor="text1"/>
                <w:sz w:val="20"/>
                <w:szCs w:val="20"/>
              </w:rPr>
            </w:pPr>
            <w:r w:rsidRPr="00EA1534">
              <w:rPr>
                <w:rFonts w:ascii="Arial" w:hAnsi="Arial" w:cs="Arial"/>
                <w:color w:val="000000" w:themeColor="text1"/>
                <w:sz w:val="20"/>
                <w:szCs w:val="20"/>
              </w:rPr>
              <w:t xml:space="preserve">Crop establishment </w:t>
            </w:r>
          </w:p>
        </w:tc>
        <w:tc>
          <w:tcPr>
            <w:tcW w:w="469" w:type="pct"/>
            <w:tcBorders>
              <w:top w:val="single" w:sz="4" w:space="0" w:color="auto"/>
              <w:left w:val="single" w:sz="4" w:space="0" w:color="auto"/>
              <w:bottom w:val="single" w:sz="4" w:space="0" w:color="auto"/>
              <w:right w:val="single" w:sz="4" w:space="0" w:color="auto"/>
            </w:tcBorders>
          </w:tcPr>
          <w:p w14:paraId="6BD309F2" w14:textId="77777777" w:rsidR="00EA1534" w:rsidRPr="00EA1534" w:rsidRDefault="00EA1534" w:rsidP="0014030D">
            <w:pPr>
              <w:pStyle w:val="NormalWeb"/>
              <w:spacing w:before="20" w:beforeAutospacing="0" w:after="40" w:afterAutospacing="0" w:line="276" w:lineRule="auto"/>
              <w:jc w:val="right"/>
              <w:rPr>
                <w:rFonts w:ascii="Arial" w:hAnsi="Arial" w:cs="Arial"/>
                <w:color w:val="000000" w:themeColor="text1"/>
                <w:sz w:val="20"/>
                <w:szCs w:val="20"/>
              </w:rPr>
            </w:pPr>
          </w:p>
        </w:tc>
        <w:tc>
          <w:tcPr>
            <w:tcW w:w="471" w:type="pct"/>
            <w:tcBorders>
              <w:top w:val="single" w:sz="4" w:space="0" w:color="auto"/>
              <w:left w:val="single" w:sz="4" w:space="0" w:color="auto"/>
              <w:bottom w:val="single" w:sz="4" w:space="0" w:color="auto"/>
              <w:right w:val="single" w:sz="4" w:space="0" w:color="auto"/>
            </w:tcBorders>
          </w:tcPr>
          <w:p w14:paraId="6BD309F3" w14:textId="77777777" w:rsidR="00EA1534" w:rsidRPr="00EA1534" w:rsidRDefault="00EA1534" w:rsidP="0014030D">
            <w:pPr>
              <w:pStyle w:val="NormalWeb"/>
              <w:spacing w:before="20" w:beforeAutospacing="0" w:after="40" w:afterAutospacing="0" w:line="276" w:lineRule="auto"/>
              <w:jc w:val="right"/>
              <w:rPr>
                <w:rFonts w:ascii="Arial" w:hAnsi="Arial" w:cs="Arial"/>
                <w:color w:val="000000" w:themeColor="text1"/>
                <w:sz w:val="20"/>
                <w:szCs w:val="20"/>
              </w:rPr>
            </w:pPr>
          </w:p>
        </w:tc>
        <w:tc>
          <w:tcPr>
            <w:tcW w:w="543" w:type="pct"/>
            <w:tcBorders>
              <w:top w:val="single" w:sz="4" w:space="0" w:color="auto"/>
              <w:left w:val="single" w:sz="4" w:space="0" w:color="auto"/>
              <w:bottom w:val="single" w:sz="4" w:space="0" w:color="auto"/>
              <w:right w:val="single" w:sz="4" w:space="0" w:color="auto"/>
            </w:tcBorders>
          </w:tcPr>
          <w:p w14:paraId="6BD309F4" w14:textId="77777777" w:rsidR="00EA1534" w:rsidRPr="00EA1534" w:rsidRDefault="00EA1534" w:rsidP="0014030D">
            <w:pPr>
              <w:pStyle w:val="NormalWeb"/>
              <w:spacing w:before="20" w:beforeAutospacing="0" w:after="40" w:afterAutospacing="0" w:line="276" w:lineRule="auto"/>
              <w:jc w:val="right"/>
              <w:rPr>
                <w:rFonts w:ascii="Arial" w:hAnsi="Arial" w:cs="Arial"/>
                <w:color w:val="000000" w:themeColor="text1"/>
                <w:sz w:val="20"/>
                <w:szCs w:val="20"/>
              </w:rPr>
            </w:pPr>
          </w:p>
        </w:tc>
        <w:tc>
          <w:tcPr>
            <w:tcW w:w="544" w:type="pct"/>
            <w:tcBorders>
              <w:top w:val="single" w:sz="4" w:space="0" w:color="auto"/>
              <w:left w:val="single" w:sz="4" w:space="0" w:color="auto"/>
              <w:bottom w:val="single" w:sz="4" w:space="0" w:color="auto"/>
              <w:right w:val="single" w:sz="4" w:space="0" w:color="auto"/>
            </w:tcBorders>
          </w:tcPr>
          <w:p w14:paraId="6BD309F5" w14:textId="77777777" w:rsidR="00EA1534" w:rsidRPr="00EA1534" w:rsidRDefault="00EA1534" w:rsidP="0014030D">
            <w:pPr>
              <w:pStyle w:val="NormalWeb"/>
              <w:spacing w:before="20" w:beforeAutospacing="0" w:after="40" w:afterAutospacing="0" w:line="276" w:lineRule="auto"/>
              <w:jc w:val="right"/>
              <w:rPr>
                <w:rFonts w:ascii="Arial" w:hAnsi="Arial" w:cs="Arial"/>
                <w:color w:val="000000" w:themeColor="text1"/>
                <w:sz w:val="20"/>
                <w:szCs w:val="20"/>
              </w:rPr>
            </w:pPr>
          </w:p>
        </w:tc>
        <w:tc>
          <w:tcPr>
            <w:tcW w:w="469" w:type="pct"/>
            <w:tcBorders>
              <w:top w:val="single" w:sz="4" w:space="0" w:color="auto"/>
              <w:left w:val="single" w:sz="4" w:space="0" w:color="auto"/>
              <w:bottom w:val="single" w:sz="4" w:space="0" w:color="auto"/>
              <w:right w:val="single" w:sz="4" w:space="0" w:color="auto"/>
            </w:tcBorders>
          </w:tcPr>
          <w:p w14:paraId="6BD309F6" w14:textId="77777777" w:rsidR="00EA1534" w:rsidRPr="00EA1534" w:rsidRDefault="00EA1534" w:rsidP="0014030D">
            <w:pPr>
              <w:pStyle w:val="NormalWeb"/>
              <w:spacing w:before="20" w:beforeAutospacing="0" w:after="40" w:afterAutospacing="0" w:line="276" w:lineRule="auto"/>
              <w:jc w:val="right"/>
              <w:rPr>
                <w:rFonts w:ascii="Arial" w:hAnsi="Arial" w:cs="Arial"/>
                <w:color w:val="000000" w:themeColor="text1"/>
                <w:sz w:val="20"/>
                <w:szCs w:val="20"/>
              </w:rPr>
            </w:pPr>
          </w:p>
        </w:tc>
        <w:tc>
          <w:tcPr>
            <w:tcW w:w="470" w:type="pct"/>
            <w:tcBorders>
              <w:top w:val="single" w:sz="4" w:space="0" w:color="auto"/>
              <w:left w:val="single" w:sz="4" w:space="0" w:color="auto"/>
              <w:bottom w:val="single" w:sz="4" w:space="0" w:color="auto"/>
              <w:right w:val="single" w:sz="4" w:space="0" w:color="auto"/>
            </w:tcBorders>
          </w:tcPr>
          <w:p w14:paraId="6BD309F7" w14:textId="77777777" w:rsidR="00EA1534" w:rsidRPr="00EA1534" w:rsidRDefault="00EA1534" w:rsidP="0014030D">
            <w:pPr>
              <w:pStyle w:val="NormalWeb"/>
              <w:spacing w:before="20" w:beforeAutospacing="0" w:after="40" w:afterAutospacing="0" w:line="276" w:lineRule="auto"/>
              <w:jc w:val="right"/>
              <w:rPr>
                <w:rFonts w:ascii="Arial" w:hAnsi="Arial" w:cs="Arial"/>
                <w:color w:val="000000" w:themeColor="text1"/>
                <w:sz w:val="20"/>
                <w:szCs w:val="20"/>
              </w:rPr>
            </w:pPr>
          </w:p>
        </w:tc>
      </w:tr>
      <w:tr w:rsidR="00EA1534" w:rsidRPr="00EA1534" w14:paraId="6BD30A02" w14:textId="77777777" w:rsidTr="0014030D">
        <w:tc>
          <w:tcPr>
            <w:tcW w:w="947" w:type="pct"/>
            <w:tcBorders>
              <w:top w:val="single" w:sz="4" w:space="0" w:color="auto"/>
              <w:left w:val="single" w:sz="4" w:space="0" w:color="auto"/>
              <w:bottom w:val="single" w:sz="4" w:space="0" w:color="auto"/>
              <w:right w:val="single" w:sz="4" w:space="0" w:color="auto"/>
            </w:tcBorders>
          </w:tcPr>
          <w:p w14:paraId="6BD309F9"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SRI</w:t>
            </w:r>
          </w:p>
        </w:tc>
        <w:tc>
          <w:tcPr>
            <w:tcW w:w="543" w:type="pct"/>
            <w:tcBorders>
              <w:top w:val="single" w:sz="4" w:space="0" w:color="auto"/>
              <w:left w:val="single" w:sz="4" w:space="0" w:color="auto"/>
              <w:bottom w:val="single" w:sz="4" w:space="0" w:color="auto"/>
              <w:right w:val="single" w:sz="4" w:space="0" w:color="auto"/>
            </w:tcBorders>
          </w:tcPr>
          <w:p w14:paraId="6BD309F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275.65</w:t>
            </w:r>
          </w:p>
        </w:tc>
        <w:tc>
          <w:tcPr>
            <w:tcW w:w="544" w:type="pct"/>
            <w:tcBorders>
              <w:top w:val="single" w:sz="4" w:space="0" w:color="auto"/>
              <w:left w:val="single" w:sz="4" w:space="0" w:color="auto"/>
              <w:bottom w:val="single" w:sz="4" w:space="0" w:color="auto"/>
              <w:right w:val="single" w:sz="4" w:space="0" w:color="auto"/>
            </w:tcBorders>
          </w:tcPr>
          <w:p w14:paraId="6BD309F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284.00</w:t>
            </w:r>
          </w:p>
        </w:tc>
        <w:tc>
          <w:tcPr>
            <w:tcW w:w="469" w:type="pct"/>
            <w:tcBorders>
              <w:top w:val="single" w:sz="4" w:space="0" w:color="auto"/>
              <w:left w:val="single" w:sz="4" w:space="0" w:color="auto"/>
              <w:bottom w:val="single" w:sz="4" w:space="0" w:color="auto"/>
              <w:right w:val="single" w:sz="4" w:space="0" w:color="auto"/>
            </w:tcBorders>
          </w:tcPr>
          <w:p w14:paraId="6BD309F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27.06</w:t>
            </w:r>
          </w:p>
        </w:tc>
        <w:tc>
          <w:tcPr>
            <w:tcW w:w="471" w:type="pct"/>
            <w:tcBorders>
              <w:top w:val="single" w:sz="4" w:space="0" w:color="auto"/>
              <w:left w:val="single" w:sz="4" w:space="0" w:color="auto"/>
              <w:bottom w:val="single" w:sz="4" w:space="0" w:color="auto"/>
              <w:right w:val="single" w:sz="4" w:space="0" w:color="auto"/>
            </w:tcBorders>
          </w:tcPr>
          <w:p w14:paraId="6BD309F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27.54</w:t>
            </w:r>
          </w:p>
        </w:tc>
        <w:tc>
          <w:tcPr>
            <w:tcW w:w="543" w:type="pct"/>
            <w:tcBorders>
              <w:top w:val="single" w:sz="4" w:space="0" w:color="auto"/>
              <w:left w:val="single" w:sz="4" w:space="0" w:color="auto"/>
              <w:bottom w:val="single" w:sz="4" w:space="0" w:color="auto"/>
              <w:right w:val="single" w:sz="4" w:space="0" w:color="auto"/>
            </w:tcBorders>
          </w:tcPr>
          <w:p w14:paraId="6BD309F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244.50</w:t>
            </w:r>
          </w:p>
        </w:tc>
        <w:tc>
          <w:tcPr>
            <w:tcW w:w="544" w:type="pct"/>
            <w:tcBorders>
              <w:top w:val="single" w:sz="4" w:space="0" w:color="auto"/>
              <w:left w:val="single" w:sz="4" w:space="0" w:color="auto"/>
              <w:bottom w:val="single" w:sz="4" w:space="0" w:color="auto"/>
              <w:right w:val="single" w:sz="4" w:space="0" w:color="auto"/>
            </w:tcBorders>
          </w:tcPr>
          <w:p w14:paraId="6BD309F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256.92</w:t>
            </w:r>
          </w:p>
        </w:tc>
        <w:tc>
          <w:tcPr>
            <w:tcW w:w="469" w:type="pct"/>
            <w:tcBorders>
              <w:top w:val="single" w:sz="4" w:space="0" w:color="auto"/>
              <w:left w:val="single" w:sz="4" w:space="0" w:color="auto"/>
              <w:bottom w:val="single" w:sz="4" w:space="0" w:color="auto"/>
              <w:right w:val="single" w:sz="4" w:space="0" w:color="auto"/>
            </w:tcBorders>
          </w:tcPr>
          <w:p w14:paraId="6BD30A0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27.02</w:t>
            </w:r>
          </w:p>
        </w:tc>
        <w:tc>
          <w:tcPr>
            <w:tcW w:w="470" w:type="pct"/>
            <w:tcBorders>
              <w:top w:val="single" w:sz="4" w:space="0" w:color="auto"/>
              <w:left w:val="single" w:sz="4" w:space="0" w:color="auto"/>
              <w:bottom w:val="single" w:sz="4" w:space="0" w:color="auto"/>
              <w:right w:val="single" w:sz="4" w:space="0" w:color="auto"/>
            </w:tcBorders>
          </w:tcPr>
          <w:p w14:paraId="6BD30A0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27.43</w:t>
            </w:r>
          </w:p>
        </w:tc>
      </w:tr>
      <w:tr w:rsidR="00EA1534" w:rsidRPr="00EA1534" w14:paraId="6BD30A0C" w14:textId="77777777" w:rsidTr="0014030D">
        <w:tc>
          <w:tcPr>
            <w:tcW w:w="947" w:type="pct"/>
            <w:tcBorders>
              <w:top w:val="single" w:sz="4" w:space="0" w:color="auto"/>
              <w:left w:val="single" w:sz="4" w:space="0" w:color="auto"/>
              <w:bottom w:val="single" w:sz="4" w:space="0" w:color="auto"/>
              <w:right w:val="single" w:sz="4" w:space="0" w:color="auto"/>
            </w:tcBorders>
          </w:tcPr>
          <w:p w14:paraId="6BD30A03"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Conventional</w:t>
            </w:r>
          </w:p>
        </w:tc>
        <w:tc>
          <w:tcPr>
            <w:tcW w:w="543" w:type="pct"/>
            <w:tcBorders>
              <w:top w:val="single" w:sz="4" w:space="0" w:color="auto"/>
              <w:left w:val="single" w:sz="4" w:space="0" w:color="auto"/>
              <w:bottom w:val="single" w:sz="4" w:space="0" w:color="auto"/>
              <w:right w:val="single" w:sz="4" w:space="0" w:color="auto"/>
            </w:tcBorders>
          </w:tcPr>
          <w:p w14:paraId="6BD30A0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170.72</w:t>
            </w:r>
          </w:p>
        </w:tc>
        <w:tc>
          <w:tcPr>
            <w:tcW w:w="544" w:type="pct"/>
            <w:tcBorders>
              <w:top w:val="single" w:sz="4" w:space="0" w:color="auto"/>
              <w:left w:val="single" w:sz="4" w:space="0" w:color="auto"/>
              <w:bottom w:val="single" w:sz="4" w:space="0" w:color="auto"/>
              <w:right w:val="single" w:sz="4" w:space="0" w:color="auto"/>
            </w:tcBorders>
          </w:tcPr>
          <w:p w14:paraId="6BD30A0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187.85</w:t>
            </w:r>
          </w:p>
        </w:tc>
        <w:tc>
          <w:tcPr>
            <w:tcW w:w="469" w:type="pct"/>
            <w:tcBorders>
              <w:top w:val="single" w:sz="4" w:space="0" w:color="auto"/>
              <w:left w:val="single" w:sz="4" w:space="0" w:color="auto"/>
              <w:bottom w:val="single" w:sz="4" w:space="0" w:color="auto"/>
              <w:right w:val="single" w:sz="4" w:space="0" w:color="auto"/>
            </w:tcBorders>
          </w:tcPr>
          <w:p w14:paraId="6BD30A0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26.15</w:t>
            </w:r>
          </w:p>
        </w:tc>
        <w:tc>
          <w:tcPr>
            <w:tcW w:w="471" w:type="pct"/>
            <w:tcBorders>
              <w:top w:val="single" w:sz="4" w:space="0" w:color="auto"/>
              <w:left w:val="single" w:sz="4" w:space="0" w:color="auto"/>
              <w:bottom w:val="single" w:sz="4" w:space="0" w:color="auto"/>
              <w:right w:val="single" w:sz="4" w:space="0" w:color="auto"/>
            </w:tcBorders>
          </w:tcPr>
          <w:p w14:paraId="6BD30A0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26.50</w:t>
            </w:r>
          </w:p>
        </w:tc>
        <w:tc>
          <w:tcPr>
            <w:tcW w:w="543" w:type="pct"/>
            <w:tcBorders>
              <w:top w:val="single" w:sz="4" w:space="0" w:color="auto"/>
              <w:left w:val="single" w:sz="4" w:space="0" w:color="auto"/>
              <w:bottom w:val="single" w:sz="4" w:space="0" w:color="auto"/>
              <w:right w:val="single" w:sz="4" w:space="0" w:color="auto"/>
            </w:tcBorders>
          </w:tcPr>
          <w:p w14:paraId="6BD30A0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182.62</w:t>
            </w:r>
          </w:p>
        </w:tc>
        <w:tc>
          <w:tcPr>
            <w:tcW w:w="544" w:type="pct"/>
            <w:tcBorders>
              <w:top w:val="single" w:sz="4" w:space="0" w:color="auto"/>
              <w:left w:val="single" w:sz="4" w:space="0" w:color="auto"/>
              <w:bottom w:val="single" w:sz="4" w:space="0" w:color="auto"/>
              <w:right w:val="single" w:sz="4" w:space="0" w:color="auto"/>
            </w:tcBorders>
          </w:tcPr>
          <w:p w14:paraId="6BD30A0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195.69</w:t>
            </w:r>
          </w:p>
        </w:tc>
        <w:tc>
          <w:tcPr>
            <w:tcW w:w="469" w:type="pct"/>
            <w:tcBorders>
              <w:top w:val="single" w:sz="4" w:space="0" w:color="auto"/>
              <w:left w:val="single" w:sz="4" w:space="0" w:color="auto"/>
              <w:bottom w:val="single" w:sz="4" w:space="0" w:color="auto"/>
              <w:right w:val="single" w:sz="4" w:space="0" w:color="auto"/>
            </w:tcBorders>
          </w:tcPr>
          <w:p w14:paraId="6BD30A0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25.93</w:t>
            </w:r>
          </w:p>
        </w:tc>
        <w:tc>
          <w:tcPr>
            <w:tcW w:w="470" w:type="pct"/>
            <w:tcBorders>
              <w:top w:val="single" w:sz="4" w:space="0" w:color="auto"/>
              <w:left w:val="single" w:sz="4" w:space="0" w:color="auto"/>
              <w:bottom w:val="single" w:sz="4" w:space="0" w:color="auto"/>
              <w:right w:val="single" w:sz="4" w:space="0" w:color="auto"/>
            </w:tcBorders>
          </w:tcPr>
          <w:p w14:paraId="6BD30A0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26.38</w:t>
            </w:r>
          </w:p>
        </w:tc>
      </w:tr>
      <w:tr w:rsidR="00EA1534" w:rsidRPr="00EA1534" w14:paraId="6BD30A16" w14:textId="77777777" w:rsidTr="0014030D">
        <w:tc>
          <w:tcPr>
            <w:tcW w:w="947" w:type="pct"/>
            <w:tcBorders>
              <w:top w:val="single" w:sz="4" w:space="0" w:color="auto"/>
              <w:left w:val="single" w:sz="4" w:space="0" w:color="auto"/>
              <w:bottom w:val="single" w:sz="4" w:space="0" w:color="auto"/>
              <w:right w:val="single" w:sz="4" w:space="0" w:color="auto"/>
            </w:tcBorders>
          </w:tcPr>
          <w:p w14:paraId="6BD30A0D" w14:textId="77777777" w:rsidR="00EA1534" w:rsidRPr="00EA1534" w:rsidRDefault="00EA1534" w:rsidP="0014030D">
            <w:pPr>
              <w:spacing w:before="20" w:after="40"/>
              <w:rPr>
                <w:rFonts w:ascii="Arial" w:hAnsi="Arial" w:cs="Arial"/>
                <w:color w:val="000000" w:themeColor="text1"/>
              </w:rPr>
            </w:pPr>
            <w:proofErr w:type="spellStart"/>
            <w:proofErr w:type="gramStart"/>
            <w:r w:rsidRPr="00EA1534">
              <w:rPr>
                <w:rFonts w:ascii="Arial" w:hAnsi="Arial" w:cs="Arial"/>
                <w:color w:val="000000" w:themeColor="text1"/>
                <w:kern w:val="24"/>
              </w:rPr>
              <w:t>S.Em</w:t>
            </w:r>
            <w:proofErr w:type="spellEnd"/>
            <w:proofErr w:type="gramEnd"/>
            <w:r w:rsidRPr="00EA1534">
              <w:rPr>
                <w:rFonts w:ascii="Arial" w:hAnsi="Arial" w:cs="Arial"/>
                <w:color w:val="000000" w:themeColor="text1"/>
                <w:kern w:val="24"/>
              </w:rPr>
              <w:t>±</w:t>
            </w:r>
          </w:p>
        </w:tc>
        <w:tc>
          <w:tcPr>
            <w:tcW w:w="543" w:type="pct"/>
            <w:tcBorders>
              <w:top w:val="single" w:sz="4" w:space="0" w:color="auto"/>
              <w:left w:val="single" w:sz="4" w:space="0" w:color="auto"/>
              <w:bottom w:val="single" w:sz="4" w:space="0" w:color="auto"/>
              <w:right w:val="single" w:sz="4" w:space="0" w:color="auto"/>
            </w:tcBorders>
          </w:tcPr>
          <w:p w14:paraId="6BD30A0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1.65</w:t>
            </w:r>
          </w:p>
        </w:tc>
        <w:tc>
          <w:tcPr>
            <w:tcW w:w="544" w:type="pct"/>
            <w:tcBorders>
              <w:top w:val="single" w:sz="4" w:space="0" w:color="auto"/>
              <w:left w:val="single" w:sz="4" w:space="0" w:color="auto"/>
              <w:bottom w:val="single" w:sz="4" w:space="0" w:color="auto"/>
              <w:right w:val="single" w:sz="4" w:space="0" w:color="auto"/>
            </w:tcBorders>
          </w:tcPr>
          <w:p w14:paraId="6BD30A0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3.17</w:t>
            </w:r>
          </w:p>
        </w:tc>
        <w:tc>
          <w:tcPr>
            <w:tcW w:w="469" w:type="pct"/>
            <w:tcBorders>
              <w:top w:val="single" w:sz="4" w:space="0" w:color="auto"/>
              <w:left w:val="single" w:sz="4" w:space="0" w:color="auto"/>
              <w:bottom w:val="single" w:sz="4" w:space="0" w:color="auto"/>
              <w:right w:val="single" w:sz="4" w:space="0" w:color="auto"/>
            </w:tcBorders>
          </w:tcPr>
          <w:p w14:paraId="6BD30A1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0.18</w:t>
            </w:r>
          </w:p>
        </w:tc>
        <w:tc>
          <w:tcPr>
            <w:tcW w:w="471" w:type="pct"/>
            <w:tcBorders>
              <w:top w:val="single" w:sz="4" w:space="0" w:color="auto"/>
              <w:left w:val="single" w:sz="4" w:space="0" w:color="auto"/>
              <w:bottom w:val="single" w:sz="4" w:space="0" w:color="auto"/>
              <w:right w:val="single" w:sz="4" w:space="0" w:color="auto"/>
            </w:tcBorders>
          </w:tcPr>
          <w:p w14:paraId="6BD30A1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0.21</w:t>
            </w:r>
          </w:p>
        </w:tc>
        <w:tc>
          <w:tcPr>
            <w:tcW w:w="543" w:type="pct"/>
            <w:tcBorders>
              <w:top w:val="single" w:sz="4" w:space="0" w:color="auto"/>
              <w:left w:val="single" w:sz="4" w:space="0" w:color="auto"/>
              <w:bottom w:val="single" w:sz="4" w:space="0" w:color="auto"/>
              <w:right w:val="single" w:sz="4" w:space="0" w:color="auto"/>
            </w:tcBorders>
          </w:tcPr>
          <w:p w14:paraId="6BD30A1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2.72</w:t>
            </w:r>
          </w:p>
        </w:tc>
        <w:tc>
          <w:tcPr>
            <w:tcW w:w="544" w:type="pct"/>
            <w:tcBorders>
              <w:top w:val="single" w:sz="4" w:space="0" w:color="auto"/>
              <w:left w:val="single" w:sz="4" w:space="0" w:color="auto"/>
              <w:bottom w:val="single" w:sz="4" w:space="0" w:color="auto"/>
              <w:right w:val="single" w:sz="4" w:space="0" w:color="auto"/>
            </w:tcBorders>
          </w:tcPr>
          <w:p w14:paraId="6BD30A1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3.16</w:t>
            </w:r>
          </w:p>
        </w:tc>
        <w:tc>
          <w:tcPr>
            <w:tcW w:w="469" w:type="pct"/>
            <w:tcBorders>
              <w:top w:val="single" w:sz="4" w:space="0" w:color="auto"/>
              <w:left w:val="single" w:sz="4" w:space="0" w:color="auto"/>
              <w:bottom w:val="single" w:sz="4" w:space="0" w:color="auto"/>
              <w:right w:val="single" w:sz="4" w:space="0" w:color="auto"/>
            </w:tcBorders>
          </w:tcPr>
          <w:p w14:paraId="6BD30A1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0.15</w:t>
            </w:r>
          </w:p>
        </w:tc>
        <w:tc>
          <w:tcPr>
            <w:tcW w:w="470" w:type="pct"/>
            <w:tcBorders>
              <w:top w:val="single" w:sz="4" w:space="0" w:color="auto"/>
              <w:left w:val="single" w:sz="4" w:space="0" w:color="auto"/>
              <w:bottom w:val="single" w:sz="4" w:space="0" w:color="auto"/>
              <w:right w:val="single" w:sz="4" w:space="0" w:color="auto"/>
            </w:tcBorders>
          </w:tcPr>
          <w:p w14:paraId="6BD30A1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0.18</w:t>
            </w:r>
          </w:p>
        </w:tc>
      </w:tr>
      <w:tr w:rsidR="00EA1534" w:rsidRPr="00EA1534" w14:paraId="6BD30A20" w14:textId="77777777" w:rsidTr="0014030D">
        <w:tc>
          <w:tcPr>
            <w:tcW w:w="947" w:type="pct"/>
            <w:tcBorders>
              <w:top w:val="single" w:sz="4" w:space="0" w:color="auto"/>
              <w:left w:val="single" w:sz="4" w:space="0" w:color="auto"/>
              <w:bottom w:val="single" w:sz="4" w:space="0" w:color="auto"/>
              <w:right w:val="single" w:sz="4" w:space="0" w:color="auto"/>
            </w:tcBorders>
          </w:tcPr>
          <w:p w14:paraId="6BD30A17"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CD (P=0.05)</w:t>
            </w:r>
          </w:p>
        </w:tc>
        <w:tc>
          <w:tcPr>
            <w:tcW w:w="543" w:type="pct"/>
            <w:tcBorders>
              <w:top w:val="single" w:sz="4" w:space="0" w:color="auto"/>
              <w:left w:val="single" w:sz="4" w:space="0" w:color="auto"/>
              <w:bottom w:val="single" w:sz="4" w:space="0" w:color="auto"/>
              <w:right w:val="single" w:sz="4" w:space="0" w:color="auto"/>
            </w:tcBorders>
          </w:tcPr>
          <w:p w14:paraId="6BD30A1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5.20</w:t>
            </w:r>
          </w:p>
        </w:tc>
        <w:tc>
          <w:tcPr>
            <w:tcW w:w="544" w:type="pct"/>
            <w:tcBorders>
              <w:top w:val="single" w:sz="4" w:space="0" w:color="auto"/>
              <w:left w:val="single" w:sz="4" w:space="0" w:color="auto"/>
              <w:bottom w:val="single" w:sz="4" w:space="0" w:color="auto"/>
              <w:right w:val="single" w:sz="4" w:space="0" w:color="auto"/>
            </w:tcBorders>
          </w:tcPr>
          <w:p w14:paraId="6BD30A1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9.99</w:t>
            </w:r>
          </w:p>
        </w:tc>
        <w:tc>
          <w:tcPr>
            <w:tcW w:w="469" w:type="pct"/>
            <w:tcBorders>
              <w:top w:val="single" w:sz="4" w:space="0" w:color="auto"/>
              <w:left w:val="single" w:sz="4" w:space="0" w:color="auto"/>
              <w:bottom w:val="single" w:sz="4" w:space="0" w:color="auto"/>
              <w:right w:val="single" w:sz="4" w:space="0" w:color="auto"/>
            </w:tcBorders>
          </w:tcPr>
          <w:p w14:paraId="6BD30A1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.57</w:t>
            </w:r>
          </w:p>
        </w:tc>
        <w:tc>
          <w:tcPr>
            <w:tcW w:w="471" w:type="pct"/>
            <w:tcBorders>
              <w:top w:val="single" w:sz="4" w:space="0" w:color="auto"/>
              <w:left w:val="single" w:sz="4" w:space="0" w:color="auto"/>
              <w:bottom w:val="single" w:sz="4" w:space="0" w:color="auto"/>
              <w:right w:val="single" w:sz="4" w:space="0" w:color="auto"/>
            </w:tcBorders>
          </w:tcPr>
          <w:p w14:paraId="6BD30A1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.67</w:t>
            </w:r>
          </w:p>
        </w:tc>
        <w:tc>
          <w:tcPr>
            <w:tcW w:w="543" w:type="pct"/>
            <w:tcBorders>
              <w:top w:val="single" w:sz="4" w:space="0" w:color="auto"/>
              <w:left w:val="single" w:sz="4" w:space="0" w:color="auto"/>
              <w:bottom w:val="single" w:sz="4" w:space="0" w:color="auto"/>
              <w:right w:val="single" w:sz="4" w:space="0" w:color="auto"/>
            </w:tcBorders>
          </w:tcPr>
          <w:p w14:paraId="6BD30A1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8.56</w:t>
            </w:r>
          </w:p>
        </w:tc>
        <w:tc>
          <w:tcPr>
            <w:tcW w:w="544" w:type="pct"/>
            <w:tcBorders>
              <w:top w:val="single" w:sz="4" w:space="0" w:color="auto"/>
              <w:left w:val="single" w:sz="4" w:space="0" w:color="auto"/>
              <w:bottom w:val="single" w:sz="4" w:space="0" w:color="auto"/>
              <w:right w:val="single" w:sz="4" w:space="0" w:color="auto"/>
            </w:tcBorders>
          </w:tcPr>
          <w:p w14:paraId="6BD30A1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9.96</w:t>
            </w:r>
          </w:p>
        </w:tc>
        <w:tc>
          <w:tcPr>
            <w:tcW w:w="469" w:type="pct"/>
            <w:tcBorders>
              <w:top w:val="single" w:sz="4" w:space="0" w:color="auto"/>
              <w:left w:val="single" w:sz="4" w:space="0" w:color="auto"/>
              <w:bottom w:val="single" w:sz="4" w:space="0" w:color="auto"/>
              <w:right w:val="single" w:sz="4" w:space="0" w:color="auto"/>
            </w:tcBorders>
          </w:tcPr>
          <w:p w14:paraId="6BD30A1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.47</w:t>
            </w:r>
          </w:p>
        </w:tc>
        <w:tc>
          <w:tcPr>
            <w:tcW w:w="470" w:type="pct"/>
            <w:tcBorders>
              <w:top w:val="single" w:sz="4" w:space="0" w:color="auto"/>
              <w:left w:val="single" w:sz="4" w:space="0" w:color="auto"/>
              <w:bottom w:val="single" w:sz="4" w:space="0" w:color="auto"/>
              <w:right w:val="single" w:sz="4" w:space="0" w:color="auto"/>
            </w:tcBorders>
          </w:tcPr>
          <w:p w14:paraId="6BD30A1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.57</w:t>
            </w:r>
          </w:p>
        </w:tc>
      </w:tr>
      <w:tr w:rsidR="00EA1534" w:rsidRPr="00EA1534" w14:paraId="6BD30A28" w14:textId="77777777" w:rsidTr="0014030D">
        <w:tc>
          <w:tcPr>
            <w:tcW w:w="2034" w:type="pct"/>
            <w:gridSpan w:val="3"/>
            <w:tcBorders>
              <w:top w:val="single" w:sz="4" w:space="0" w:color="auto"/>
              <w:left w:val="single" w:sz="4" w:space="0" w:color="auto"/>
              <w:bottom w:val="single" w:sz="4" w:space="0" w:color="auto"/>
              <w:right w:val="single" w:sz="4" w:space="0" w:color="auto"/>
            </w:tcBorders>
          </w:tcPr>
          <w:p w14:paraId="6BD30A21" w14:textId="77777777" w:rsidR="00EA1534" w:rsidRPr="00EA1534" w:rsidRDefault="00EA1534" w:rsidP="0014030D">
            <w:pPr>
              <w:spacing w:before="20" w:after="40"/>
              <w:ind w:right="-108"/>
              <w:rPr>
                <w:rFonts w:ascii="Arial" w:hAnsi="Arial" w:cs="Arial"/>
                <w:color w:val="000000" w:themeColor="text1"/>
              </w:rPr>
            </w:pPr>
            <w:r w:rsidRPr="00EA1534">
              <w:rPr>
                <w:rFonts w:ascii="Arial" w:hAnsi="Arial" w:cs="Arial"/>
                <w:color w:val="000000" w:themeColor="text1"/>
              </w:rPr>
              <w:t xml:space="preserve">Date of transplanting </w:t>
            </w:r>
          </w:p>
        </w:tc>
        <w:tc>
          <w:tcPr>
            <w:tcW w:w="469" w:type="pct"/>
            <w:tcBorders>
              <w:top w:val="single" w:sz="4" w:space="0" w:color="auto"/>
              <w:left w:val="single" w:sz="4" w:space="0" w:color="auto"/>
              <w:bottom w:val="single" w:sz="4" w:space="0" w:color="auto"/>
              <w:right w:val="single" w:sz="4" w:space="0" w:color="auto"/>
            </w:tcBorders>
          </w:tcPr>
          <w:p w14:paraId="6BD30A2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471" w:type="pct"/>
            <w:tcBorders>
              <w:top w:val="single" w:sz="4" w:space="0" w:color="auto"/>
              <w:left w:val="single" w:sz="4" w:space="0" w:color="auto"/>
              <w:bottom w:val="single" w:sz="4" w:space="0" w:color="auto"/>
              <w:right w:val="single" w:sz="4" w:space="0" w:color="auto"/>
            </w:tcBorders>
          </w:tcPr>
          <w:p w14:paraId="6BD30A2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543" w:type="pct"/>
            <w:tcBorders>
              <w:top w:val="single" w:sz="4" w:space="0" w:color="auto"/>
              <w:left w:val="single" w:sz="4" w:space="0" w:color="auto"/>
              <w:bottom w:val="single" w:sz="4" w:space="0" w:color="auto"/>
              <w:right w:val="single" w:sz="4" w:space="0" w:color="auto"/>
            </w:tcBorders>
          </w:tcPr>
          <w:p w14:paraId="6BD30A2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544" w:type="pct"/>
            <w:tcBorders>
              <w:top w:val="single" w:sz="4" w:space="0" w:color="auto"/>
              <w:left w:val="single" w:sz="4" w:space="0" w:color="auto"/>
              <w:bottom w:val="single" w:sz="4" w:space="0" w:color="auto"/>
              <w:right w:val="single" w:sz="4" w:space="0" w:color="auto"/>
            </w:tcBorders>
          </w:tcPr>
          <w:p w14:paraId="6BD30A2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469" w:type="pct"/>
            <w:tcBorders>
              <w:top w:val="single" w:sz="4" w:space="0" w:color="auto"/>
              <w:left w:val="single" w:sz="4" w:space="0" w:color="auto"/>
              <w:bottom w:val="single" w:sz="4" w:space="0" w:color="auto"/>
              <w:right w:val="single" w:sz="4" w:space="0" w:color="auto"/>
            </w:tcBorders>
          </w:tcPr>
          <w:p w14:paraId="6BD30A2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470" w:type="pct"/>
            <w:tcBorders>
              <w:top w:val="single" w:sz="4" w:space="0" w:color="auto"/>
              <w:left w:val="single" w:sz="4" w:space="0" w:color="auto"/>
              <w:bottom w:val="single" w:sz="4" w:space="0" w:color="auto"/>
              <w:right w:val="single" w:sz="4" w:space="0" w:color="auto"/>
            </w:tcBorders>
          </w:tcPr>
          <w:p w14:paraId="6BD30A2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r>
      <w:tr w:rsidR="00EA1534" w:rsidRPr="00EA1534" w14:paraId="6BD30A32" w14:textId="77777777" w:rsidTr="0014030D">
        <w:tc>
          <w:tcPr>
            <w:tcW w:w="947" w:type="pct"/>
            <w:tcBorders>
              <w:top w:val="single" w:sz="4" w:space="0" w:color="auto"/>
              <w:left w:val="single" w:sz="4" w:space="0" w:color="auto"/>
              <w:bottom w:val="single" w:sz="4" w:space="0" w:color="auto"/>
              <w:right w:val="single" w:sz="4" w:space="0" w:color="auto"/>
            </w:tcBorders>
          </w:tcPr>
          <w:p w14:paraId="6BD30A29"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26</w:t>
            </w:r>
            <w:r w:rsidRPr="00EA1534">
              <w:rPr>
                <w:rFonts w:ascii="Arial" w:hAnsi="Arial" w:cs="Arial"/>
                <w:color w:val="000000" w:themeColor="text1"/>
                <w:vertAlign w:val="superscript"/>
              </w:rPr>
              <w:t>th</w:t>
            </w:r>
            <w:r w:rsidRPr="00EA1534">
              <w:rPr>
                <w:rFonts w:ascii="Arial" w:hAnsi="Arial" w:cs="Arial"/>
                <w:color w:val="000000" w:themeColor="text1"/>
              </w:rPr>
              <w:t xml:space="preserve"> June</w:t>
            </w:r>
          </w:p>
        </w:tc>
        <w:tc>
          <w:tcPr>
            <w:tcW w:w="543" w:type="pct"/>
            <w:tcBorders>
              <w:top w:val="single" w:sz="4" w:space="0" w:color="auto"/>
              <w:left w:val="single" w:sz="4" w:space="0" w:color="auto"/>
              <w:bottom w:val="single" w:sz="4" w:space="0" w:color="auto"/>
              <w:right w:val="single" w:sz="4" w:space="0" w:color="auto"/>
            </w:tcBorders>
          </w:tcPr>
          <w:p w14:paraId="6BD30A2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241.88</w:t>
            </w:r>
          </w:p>
        </w:tc>
        <w:tc>
          <w:tcPr>
            <w:tcW w:w="544" w:type="pct"/>
            <w:tcBorders>
              <w:top w:val="single" w:sz="4" w:space="0" w:color="auto"/>
              <w:left w:val="single" w:sz="4" w:space="0" w:color="auto"/>
              <w:bottom w:val="single" w:sz="4" w:space="0" w:color="auto"/>
              <w:right w:val="single" w:sz="4" w:space="0" w:color="auto"/>
            </w:tcBorders>
          </w:tcPr>
          <w:p w14:paraId="6BD30A2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250.57</w:t>
            </w:r>
          </w:p>
        </w:tc>
        <w:tc>
          <w:tcPr>
            <w:tcW w:w="469" w:type="pct"/>
            <w:tcBorders>
              <w:top w:val="single" w:sz="4" w:space="0" w:color="auto"/>
              <w:left w:val="single" w:sz="4" w:space="0" w:color="auto"/>
              <w:bottom w:val="single" w:sz="4" w:space="0" w:color="auto"/>
              <w:right w:val="single" w:sz="4" w:space="0" w:color="auto"/>
            </w:tcBorders>
          </w:tcPr>
          <w:p w14:paraId="6BD30A2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27.35</w:t>
            </w:r>
          </w:p>
        </w:tc>
        <w:tc>
          <w:tcPr>
            <w:tcW w:w="471" w:type="pct"/>
            <w:tcBorders>
              <w:top w:val="single" w:sz="4" w:space="0" w:color="auto"/>
              <w:left w:val="single" w:sz="4" w:space="0" w:color="auto"/>
              <w:bottom w:val="single" w:sz="4" w:space="0" w:color="auto"/>
              <w:right w:val="single" w:sz="4" w:space="0" w:color="auto"/>
            </w:tcBorders>
          </w:tcPr>
          <w:p w14:paraId="6BD30A2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27.76</w:t>
            </w:r>
          </w:p>
        </w:tc>
        <w:tc>
          <w:tcPr>
            <w:tcW w:w="543" w:type="pct"/>
            <w:tcBorders>
              <w:top w:val="single" w:sz="4" w:space="0" w:color="auto"/>
              <w:left w:val="single" w:sz="4" w:space="0" w:color="auto"/>
              <w:bottom w:val="single" w:sz="4" w:space="0" w:color="auto"/>
              <w:right w:val="single" w:sz="4" w:space="0" w:color="auto"/>
            </w:tcBorders>
          </w:tcPr>
          <w:p w14:paraId="6BD30A2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235.59</w:t>
            </w:r>
          </w:p>
        </w:tc>
        <w:tc>
          <w:tcPr>
            <w:tcW w:w="544" w:type="pct"/>
            <w:tcBorders>
              <w:top w:val="single" w:sz="4" w:space="0" w:color="auto"/>
              <w:left w:val="single" w:sz="4" w:space="0" w:color="auto"/>
              <w:bottom w:val="single" w:sz="4" w:space="0" w:color="auto"/>
              <w:right w:val="single" w:sz="4" w:space="0" w:color="auto"/>
            </w:tcBorders>
          </w:tcPr>
          <w:p w14:paraId="6BD30A2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243.05</w:t>
            </w:r>
          </w:p>
        </w:tc>
        <w:tc>
          <w:tcPr>
            <w:tcW w:w="469" w:type="pct"/>
            <w:tcBorders>
              <w:top w:val="single" w:sz="4" w:space="0" w:color="auto"/>
              <w:left w:val="single" w:sz="4" w:space="0" w:color="auto"/>
              <w:bottom w:val="single" w:sz="4" w:space="0" w:color="auto"/>
              <w:right w:val="single" w:sz="4" w:space="0" w:color="auto"/>
            </w:tcBorders>
          </w:tcPr>
          <w:p w14:paraId="6BD30A3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26.80</w:t>
            </w:r>
          </w:p>
        </w:tc>
        <w:tc>
          <w:tcPr>
            <w:tcW w:w="470" w:type="pct"/>
            <w:tcBorders>
              <w:top w:val="single" w:sz="4" w:space="0" w:color="auto"/>
              <w:left w:val="single" w:sz="4" w:space="0" w:color="auto"/>
              <w:bottom w:val="single" w:sz="4" w:space="0" w:color="auto"/>
              <w:right w:val="single" w:sz="4" w:space="0" w:color="auto"/>
            </w:tcBorders>
          </w:tcPr>
          <w:p w14:paraId="6BD30A3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27.05</w:t>
            </w:r>
          </w:p>
        </w:tc>
      </w:tr>
      <w:tr w:rsidR="00EA1534" w:rsidRPr="00EA1534" w14:paraId="6BD30A3C" w14:textId="77777777" w:rsidTr="0014030D">
        <w:tc>
          <w:tcPr>
            <w:tcW w:w="947" w:type="pct"/>
            <w:tcBorders>
              <w:top w:val="single" w:sz="4" w:space="0" w:color="auto"/>
              <w:left w:val="single" w:sz="4" w:space="0" w:color="auto"/>
              <w:bottom w:val="single" w:sz="4" w:space="0" w:color="auto"/>
              <w:right w:val="single" w:sz="4" w:space="0" w:color="auto"/>
            </w:tcBorders>
          </w:tcPr>
          <w:p w14:paraId="6BD30A33"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10</w:t>
            </w:r>
            <w:r w:rsidRPr="00EA1534">
              <w:rPr>
                <w:rFonts w:ascii="Arial" w:hAnsi="Arial" w:cs="Arial"/>
                <w:color w:val="000000" w:themeColor="text1"/>
                <w:vertAlign w:val="superscript"/>
              </w:rPr>
              <w:t>th</w:t>
            </w:r>
            <w:r w:rsidRPr="00EA1534">
              <w:rPr>
                <w:rFonts w:ascii="Arial" w:hAnsi="Arial" w:cs="Arial"/>
                <w:color w:val="000000" w:themeColor="text1"/>
              </w:rPr>
              <w:t xml:space="preserve"> July</w:t>
            </w:r>
          </w:p>
        </w:tc>
        <w:tc>
          <w:tcPr>
            <w:tcW w:w="543" w:type="pct"/>
            <w:tcBorders>
              <w:top w:val="single" w:sz="4" w:space="0" w:color="auto"/>
              <w:left w:val="single" w:sz="4" w:space="0" w:color="auto"/>
              <w:bottom w:val="single" w:sz="4" w:space="0" w:color="auto"/>
              <w:right w:val="single" w:sz="4" w:space="0" w:color="auto"/>
            </w:tcBorders>
          </w:tcPr>
          <w:p w14:paraId="6BD30A3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222.67</w:t>
            </w:r>
          </w:p>
        </w:tc>
        <w:tc>
          <w:tcPr>
            <w:tcW w:w="544" w:type="pct"/>
            <w:tcBorders>
              <w:top w:val="single" w:sz="4" w:space="0" w:color="auto"/>
              <w:left w:val="single" w:sz="4" w:space="0" w:color="auto"/>
              <w:bottom w:val="single" w:sz="4" w:space="0" w:color="auto"/>
              <w:right w:val="single" w:sz="4" w:space="0" w:color="auto"/>
            </w:tcBorders>
          </w:tcPr>
          <w:p w14:paraId="6BD30A3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235.25</w:t>
            </w:r>
          </w:p>
        </w:tc>
        <w:tc>
          <w:tcPr>
            <w:tcW w:w="469" w:type="pct"/>
            <w:tcBorders>
              <w:top w:val="single" w:sz="4" w:space="0" w:color="auto"/>
              <w:left w:val="single" w:sz="4" w:space="0" w:color="auto"/>
              <w:bottom w:val="single" w:sz="4" w:space="0" w:color="auto"/>
              <w:right w:val="single" w:sz="4" w:space="0" w:color="auto"/>
            </w:tcBorders>
          </w:tcPr>
          <w:p w14:paraId="6BD30A3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26.53</w:t>
            </w:r>
          </w:p>
        </w:tc>
        <w:tc>
          <w:tcPr>
            <w:tcW w:w="471" w:type="pct"/>
            <w:tcBorders>
              <w:top w:val="single" w:sz="4" w:space="0" w:color="auto"/>
              <w:left w:val="single" w:sz="4" w:space="0" w:color="auto"/>
              <w:bottom w:val="single" w:sz="4" w:space="0" w:color="auto"/>
              <w:right w:val="single" w:sz="4" w:space="0" w:color="auto"/>
            </w:tcBorders>
          </w:tcPr>
          <w:p w14:paraId="6BD30A3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26.97</w:t>
            </w:r>
          </w:p>
        </w:tc>
        <w:tc>
          <w:tcPr>
            <w:tcW w:w="543" w:type="pct"/>
            <w:tcBorders>
              <w:top w:val="single" w:sz="4" w:space="0" w:color="auto"/>
              <w:left w:val="single" w:sz="4" w:space="0" w:color="auto"/>
              <w:bottom w:val="single" w:sz="4" w:space="0" w:color="auto"/>
              <w:right w:val="single" w:sz="4" w:space="0" w:color="auto"/>
            </w:tcBorders>
          </w:tcPr>
          <w:p w14:paraId="6BD30A3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213.64</w:t>
            </w:r>
          </w:p>
        </w:tc>
        <w:tc>
          <w:tcPr>
            <w:tcW w:w="544" w:type="pct"/>
            <w:tcBorders>
              <w:top w:val="single" w:sz="4" w:space="0" w:color="auto"/>
              <w:left w:val="single" w:sz="4" w:space="0" w:color="auto"/>
              <w:bottom w:val="single" w:sz="4" w:space="0" w:color="auto"/>
              <w:right w:val="single" w:sz="4" w:space="0" w:color="auto"/>
            </w:tcBorders>
          </w:tcPr>
          <w:p w14:paraId="6BD30A3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229.24</w:t>
            </w:r>
          </w:p>
        </w:tc>
        <w:tc>
          <w:tcPr>
            <w:tcW w:w="469" w:type="pct"/>
            <w:tcBorders>
              <w:top w:val="single" w:sz="4" w:space="0" w:color="auto"/>
              <w:left w:val="single" w:sz="4" w:space="0" w:color="auto"/>
              <w:bottom w:val="single" w:sz="4" w:space="0" w:color="auto"/>
              <w:right w:val="single" w:sz="4" w:space="0" w:color="auto"/>
            </w:tcBorders>
          </w:tcPr>
          <w:p w14:paraId="6BD30A3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26.42</w:t>
            </w:r>
          </w:p>
        </w:tc>
        <w:tc>
          <w:tcPr>
            <w:tcW w:w="470" w:type="pct"/>
            <w:tcBorders>
              <w:top w:val="single" w:sz="4" w:space="0" w:color="auto"/>
              <w:left w:val="single" w:sz="4" w:space="0" w:color="auto"/>
              <w:bottom w:val="single" w:sz="4" w:space="0" w:color="auto"/>
              <w:right w:val="single" w:sz="4" w:space="0" w:color="auto"/>
            </w:tcBorders>
          </w:tcPr>
          <w:p w14:paraId="6BD30A3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26.97</w:t>
            </w:r>
          </w:p>
        </w:tc>
      </w:tr>
      <w:tr w:rsidR="00EA1534" w:rsidRPr="00EA1534" w14:paraId="6BD30A46" w14:textId="77777777" w:rsidTr="0014030D">
        <w:tc>
          <w:tcPr>
            <w:tcW w:w="947" w:type="pct"/>
            <w:tcBorders>
              <w:top w:val="single" w:sz="4" w:space="0" w:color="auto"/>
              <w:left w:val="single" w:sz="4" w:space="0" w:color="auto"/>
              <w:bottom w:val="single" w:sz="4" w:space="0" w:color="auto"/>
              <w:right w:val="single" w:sz="4" w:space="0" w:color="auto"/>
            </w:tcBorders>
          </w:tcPr>
          <w:p w14:paraId="6BD30A3D"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25</w:t>
            </w:r>
            <w:r w:rsidRPr="00EA1534">
              <w:rPr>
                <w:rFonts w:ascii="Arial" w:hAnsi="Arial" w:cs="Arial"/>
                <w:color w:val="000000" w:themeColor="text1"/>
                <w:vertAlign w:val="superscript"/>
              </w:rPr>
              <w:t>th</w:t>
            </w:r>
            <w:r w:rsidRPr="00EA1534">
              <w:rPr>
                <w:rFonts w:ascii="Arial" w:hAnsi="Arial" w:cs="Arial"/>
                <w:color w:val="000000" w:themeColor="text1"/>
              </w:rPr>
              <w:t xml:space="preserve"> July</w:t>
            </w:r>
          </w:p>
        </w:tc>
        <w:tc>
          <w:tcPr>
            <w:tcW w:w="543" w:type="pct"/>
            <w:tcBorders>
              <w:top w:val="single" w:sz="4" w:space="0" w:color="auto"/>
              <w:left w:val="single" w:sz="4" w:space="0" w:color="auto"/>
              <w:bottom w:val="single" w:sz="4" w:space="0" w:color="auto"/>
              <w:right w:val="single" w:sz="4" w:space="0" w:color="auto"/>
            </w:tcBorders>
          </w:tcPr>
          <w:p w14:paraId="6BD30A3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205.00</w:t>
            </w:r>
          </w:p>
        </w:tc>
        <w:tc>
          <w:tcPr>
            <w:tcW w:w="544" w:type="pct"/>
            <w:tcBorders>
              <w:top w:val="single" w:sz="4" w:space="0" w:color="auto"/>
              <w:left w:val="single" w:sz="4" w:space="0" w:color="auto"/>
              <w:bottom w:val="single" w:sz="4" w:space="0" w:color="auto"/>
              <w:right w:val="single" w:sz="4" w:space="0" w:color="auto"/>
            </w:tcBorders>
          </w:tcPr>
          <w:p w14:paraId="6BD30A3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221.95</w:t>
            </w:r>
          </w:p>
        </w:tc>
        <w:tc>
          <w:tcPr>
            <w:tcW w:w="469" w:type="pct"/>
            <w:tcBorders>
              <w:top w:val="single" w:sz="4" w:space="0" w:color="auto"/>
              <w:left w:val="single" w:sz="4" w:space="0" w:color="auto"/>
              <w:bottom w:val="single" w:sz="4" w:space="0" w:color="auto"/>
              <w:right w:val="single" w:sz="4" w:space="0" w:color="auto"/>
            </w:tcBorders>
          </w:tcPr>
          <w:p w14:paraId="6BD30A4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25.93</w:t>
            </w:r>
          </w:p>
        </w:tc>
        <w:tc>
          <w:tcPr>
            <w:tcW w:w="471" w:type="pct"/>
            <w:tcBorders>
              <w:top w:val="single" w:sz="4" w:space="0" w:color="auto"/>
              <w:left w:val="single" w:sz="4" w:space="0" w:color="auto"/>
              <w:bottom w:val="single" w:sz="4" w:space="0" w:color="auto"/>
              <w:right w:val="single" w:sz="4" w:space="0" w:color="auto"/>
            </w:tcBorders>
          </w:tcPr>
          <w:p w14:paraId="6BD30A4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26.32</w:t>
            </w:r>
          </w:p>
        </w:tc>
        <w:tc>
          <w:tcPr>
            <w:tcW w:w="543" w:type="pct"/>
            <w:tcBorders>
              <w:top w:val="single" w:sz="4" w:space="0" w:color="auto"/>
              <w:left w:val="single" w:sz="4" w:space="0" w:color="auto"/>
              <w:bottom w:val="single" w:sz="4" w:space="0" w:color="auto"/>
              <w:right w:val="single" w:sz="4" w:space="0" w:color="auto"/>
            </w:tcBorders>
          </w:tcPr>
          <w:p w14:paraId="6BD30A4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191.45</w:t>
            </w:r>
          </w:p>
        </w:tc>
        <w:tc>
          <w:tcPr>
            <w:tcW w:w="544" w:type="pct"/>
            <w:tcBorders>
              <w:top w:val="single" w:sz="4" w:space="0" w:color="auto"/>
              <w:left w:val="single" w:sz="4" w:space="0" w:color="auto"/>
              <w:bottom w:val="single" w:sz="4" w:space="0" w:color="auto"/>
              <w:right w:val="single" w:sz="4" w:space="0" w:color="auto"/>
            </w:tcBorders>
          </w:tcPr>
          <w:p w14:paraId="6BD30A4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206.63</w:t>
            </w:r>
          </w:p>
        </w:tc>
        <w:tc>
          <w:tcPr>
            <w:tcW w:w="469" w:type="pct"/>
            <w:tcBorders>
              <w:top w:val="single" w:sz="4" w:space="0" w:color="auto"/>
              <w:left w:val="single" w:sz="4" w:space="0" w:color="auto"/>
              <w:bottom w:val="single" w:sz="4" w:space="0" w:color="auto"/>
              <w:right w:val="single" w:sz="4" w:space="0" w:color="auto"/>
            </w:tcBorders>
          </w:tcPr>
          <w:p w14:paraId="6BD30A4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26.20</w:t>
            </w:r>
          </w:p>
        </w:tc>
        <w:tc>
          <w:tcPr>
            <w:tcW w:w="470" w:type="pct"/>
            <w:tcBorders>
              <w:top w:val="single" w:sz="4" w:space="0" w:color="auto"/>
              <w:left w:val="single" w:sz="4" w:space="0" w:color="auto"/>
              <w:bottom w:val="single" w:sz="4" w:space="0" w:color="auto"/>
              <w:right w:val="single" w:sz="4" w:space="0" w:color="auto"/>
            </w:tcBorders>
          </w:tcPr>
          <w:p w14:paraId="6BD30A4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26.69</w:t>
            </w:r>
          </w:p>
        </w:tc>
      </w:tr>
      <w:tr w:rsidR="00EA1534" w:rsidRPr="00EA1534" w14:paraId="6BD30A50" w14:textId="77777777" w:rsidTr="0014030D">
        <w:tc>
          <w:tcPr>
            <w:tcW w:w="947" w:type="pct"/>
            <w:tcBorders>
              <w:top w:val="single" w:sz="4" w:space="0" w:color="auto"/>
              <w:left w:val="single" w:sz="4" w:space="0" w:color="auto"/>
              <w:bottom w:val="single" w:sz="4" w:space="0" w:color="auto"/>
              <w:right w:val="single" w:sz="4" w:space="0" w:color="auto"/>
            </w:tcBorders>
          </w:tcPr>
          <w:p w14:paraId="6BD30A47" w14:textId="77777777" w:rsidR="00EA1534" w:rsidRPr="00EA1534" w:rsidRDefault="00EA1534" w:rsidP="0014030D">
            <w:pPr>
              <w:spacing w:before="20" w:after="40"/>
              <w:rPr>
                <w:rFonts w:ascii="Arial" w:hAnsi="Arial" w:cs="Arial"/>
                <w:color w:val="000000" w:themeColor="text1"/>
              </w:rPr>
            </w:pPr>
            <w:proofErr w:type="spellStart"/>
            <w:proofErr w:type="gramStart"/>
            <w:r w:rsidRPr="00EA1534">
              <w:rPr>
                <w:rFonts w:ascii="Arial" w:hAnsi="Arial" w:cs="Arial"/>
                <w:color w:val="000000" w:themeColor="text1"/>
                <w:kern w:val="24"/>
              </w:rPr>
              <w:t>S.Em</w:t>
            </w:r>
            <w:proofErr w:type="spellEnd"/>
            <w:proofErr w:type="gramEnd"/>
            <w:r w:rsidRPr="00EA1534">
              <w:rPr>
                <w:rFonts w:ascii="Arial" w:hAnsi="Arial" w:cs="Arial"/>
                <w:color w:val="000000" w:themeColor="text1"/>
                <w:kern w:val="24"/>
              </w:rPr>
              <w:t>±</w:t>
            </w:r>
          </w:p>
        </w:tc>
        <w:tc>
          <w:tcPr>
            <w:tcW w:w="543" w:type="pct"/>
            <w:tcBorders>
              <w:top w:val="single" w:sz="4" w:space="0" w:color="auto"/>
              <w:left w:val="single" w:sz="4" w:space="0" w:color="auto"/>
              <w:bottom w:val="single" w:sz="4" w:space="0" w:color="auto"/>
              <w:right w:val="single" w:sz="4" w:space="0" w:color="auto"/>
            </w:tcBorders>
          </w:tcPr>
          <w:p w14:paraId="6BD30A4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2.02</w:t>
            </w:r>
          </w:p>
        </w:tc>
        <w:tc>
          <w:tcPr>
            <w:tcW w:w="544" w:type="pct"/>
            <w:tcBorders>
              <w:top w:val="single" w:sz="4" w:space="0" w:color="auto"/>
              <w:left w:val="single" w:sz="4" w:space="0" w:color="auto"/>
              <w:bottom w:val="single" w:sz="4" w:space="0" w:color="auto"/>
              <w:right w:val="single" w:sz="4" w:space="0" w:color="auto"/>
            </w:tcBorders>
          </w:tcPr>
          <w:p w14:paraId="6BD30A4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3.88</w:t>
            </w:r>
          </w:p>
        </w:tc>
        <w:tc>
          <w:tcPr>
            <w:tcW w:w="469" w:type="pct"/>
            <w:tcBorders>
              <w:top w:val="single" w:sz="4" w:space="0" w:color="auto"/>
              <w:left w:val="single" w:sz="4" w:space="0" w:color="auto"/>
              <w:bottom w:val="single" w:sz="4" w:space="0" w:color="auto"/>
              <w:right w:val="single" w:sz="4" w:space="0" w:color="auto"/>
            </w:tcBorders>
          </w:tcPr>
          <w:p w14:paraId="6BD30A4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0.22</w:t>
            </w:r>
          </w:p>
        </w:tc>
        <w:tc>
          <w:tcPr>
            <w:tcW w:w="471" w:type="pct"/>
            <w:tcBorders>
              <w:top w:val="single" w:sz="4" w:space="0" w:color="auto"/>
              <w:left w:val="single" w:sz="4" w:space="0" w:color="auto"/>
              <w:bottom w:val="single" w:sz="4" w:space="0" w:color="auto"/>
              <w:right w:val="single" w:sz="4" w:space="0" w:color="auto"/>
            </w:tcBorders>
          </w:tcPr>
          <w:p w14:paraId="6BD30A4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0.26</w:t>
            </w:r>
          </w:p>
        </w:tc>
        <w:tc>
          <w:tcPr>
            <w:tcW w:w="543" w:type="pct"/>
            <w:tcBorders>
              <w:top w:val="single" w:sz="4" w:space="0" w:color="auto"/>
              <w:left w:val="single" w:sz="4" w:space="0" w:color="auto"/>
              <w:bottom w:val="single" w:sz="4" w:space="0" w:color="auto"/>
              <w:right w:val="single" w:sz="4" w:space="0" w:color="auto"/>
            </w:tcBorders>
          </w:tcPr>
          <w:p w14:paraId="6BD30A4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3.33</w:t>
            </w:r>
          </w:p>
        </w:tc>
        <w:tc>
          <w:tcPr>
            <w:tcW w:w="544" w:type="pct"/>
            <w:tcBorders>
              <w:top w:val="single" w:sz="4" w:space="0" w:color="auto"/>
              <w:left w:val="single" w:sz="4" w:space="0" w:color="auto"/>
              <w:bottom w:val="single" w:sz="4" w:space="0" w:color="auto"/>
              <w:right w:val="single" w:sz="4" w:space="0" w:color="auto"/>
            </w:tcBorders>
          </w:tcPr>
          <w:p w14:paraId="6BD30A4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3.87</w:t>
            </w:r>
          </w:p>
        </w:tc>
        <w:tc>
          <w:tcPr>
            <w:tcW w:w="469" w:type="pct"/>
            <w:tcBorders>
              <w:top w:val="single" w:sz="4" w:space="0" w:color="auto"/>
              <w:left w:val="single" w:sz="4" w:space="0" w:color="auto"/>
              <w:bottom w:val="single" w:sz="4" w:space="0" w:color="auto"/>
              <w:right w:val="single" w:sz="4" w:space="0" w:color="auto"/>
            </w:tcBorders>
          </w:tcPr>
          <w:p w14:paraId="6BD30A4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0.25</w:t>
            </w:r>
          </w:p>
        </w:tc>
        <w:tc>
          <w:tcPr>
            <w:tcW w:w="470" w:type="pct"/>
            <w:tcBorders>
              <w:top w:val="single" w:sz="4" w:space="0" w:color="auto"/>
              <w:left w:val="single" w:sz="4" w:space="0" w:color="auto"/>
              <w:bottom w:val="single" w:sz="4" w:space="0" w:color="auto"/>
              <w:right w:val="single" w:sz="4" w:space="0" w:color="auto"/>
            </w:tcBorders>
          </w:tcPr>
          <w:p w14:paraId="6BD30A4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0.27</w:t>
            </w:r>
          </w:p>
        </w:tc>
      </w:tr>
      <w:tr w:rsidR="00EA1534" w:rsidRPr="00EA1534" w14:paraId="6BD30A5A" w14:textId="77777777" w:rsidTr="0014030D">
        <w:tc>
          <w:tcPr>
            <w:tcW w:w="947" w:type="pct"/>
            <w:tcBorders>
              <w:top w:val="single" w:sz="4" w:space="0" w:color="auto"/>
              <w:left w:val="single" w:sz="4" w:space="0" w:color="auto"/>
              <w:bottom w:val="single" w:sz="4" w:space="0" w:color="auto"/>
              <w:right w:val="single" w:sz="4" w:space="0" w:color="auto"/>
            </w:tcBorders>
          </w:tcPr>
          <w:p w14:paraId="6BD30A51"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CD (P=0.05)</w:t>
            </w:r>
          </w:p>
        </w:tc>
        <w:tc>
          <w:tcPr>
            <w:tcW w:w="543" w:type="pct"/>
            <w:tcBorders>
              <w:top w:val="single" w:sz="4" w:space="0" w:color="auto"/>
              <w:left w:val="single" w:sz="4" w:space="0" w:color="auto"/>
              <w:bottom w:val="single" w:sz="4" w:space="0" w:color="auto"/>
              <w:right w:val="single" w:sz="4" w:space="0" w:color="auto"/>
            </w:tcBorders>
          </w:tcPr>
          <w:p w14:paraId="6BD30A5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6.37</w:t>
            </w:r>
          </w:p>
        </w:tc>
        <w:tc>
          <w:tcPr>
            <w:tcW w:w="544" w:type="pct"/>
            <w:tcBorders>
              <w:top w:val="single" w:sz="4" w:space="0" w:color="auto"/>
              <w:left w:val="single" w:sz="4" w:space="0" w:color="auto"/>
              <w:bottom w:val="single" w:sz="4" w:space="0" w:color="auto"/>
              <w:right w:val="single" w:sz="4" w:space="0" w:color="auto"/>
            </w:tcBorders>
          </w:tcPr>
          <w:p w14:paraId="6BD30A5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12.24</w:t>
            </w:r>
          </w:p>
        </w:tc>
        <w:tc>
          <w:tcPr>
            <w:tcW w:w="469" w:type="pct"/>
            <w:tcBorders>
              <w:top w:val="single" w:sz="4" w:space="0" w:color="auto"/>
              <w:left w:val="single" w:sz="4" w:space="0" w:color="auto"/>
              <w:bottom w:val="single" w:sz="4" w:space="0" w:color="auto"/>
              <w:right w:val="single" w:sz="4" w:space="0" w:color="auto"/>
            </w:tcBorders>
          </w:tcPr>
          <w:p w14:paraId="6BD30A5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.69</w:t>
            </w:r>
          </w:p>
        </w:tc>
        <w:tc>
          <w:tcPr>
            <w:tcW w:w="471" w:type="pct"/>
            <w:tcBorders>
              <w:top w:val="single" w:sz="4" w:space="0" w:color="auto"/>
              <w:left w:val="single" w:sz="4" w:space="0" w:color="auto"/>
              <w:bottom w:val="single" w:sz="4" w:space="0" w:color="auto"/>
              <w:right w:val="single" w:sz="4" w:space="0" w:color="auto"/>
            </w:tcBorders>
          </w:tcPr>
          <w:p w14:paraId="6BD30A5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.83</w:t>
            </w:r>
          </w:p>
        </w:tc>
        <w:tc>
          <w:tcPr>
            <w:tcW w:w="543" w:type="pct"/>
            <w:tcBorders>
              <w:top w:val="single" w:sz="4" w:space="0" w:color="auto"/>
              <w:left w:val="single" w:sz="4" w:space="0" w:color="auto"/>
              <w:bottom w:val="single" w:sz="4" w:space="0" w:color="auto"/>
              <w:right w:val="single" w:sz="4" w:space="0" w:color="auto"/>
            </w:tcBorders>
          </w:tcPr>
          <w:p w14:paraId="6BD30A5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10.49</w:t>
            </w:r>
          </w:p>
        </w:tc>
        <w:tc>
          <w:tcPr>
            <w:tcW w:w="544" w:type="pct"/>
            <w:tcBorders>
              <w:top w:val="single" w:sz="4" w:space="0" w:color="auto"/>
              <w:left w:val="single" w:sz="4" w:space="0" w:color="auto"/>
              <w:bottom w:val="single" w:sz="4" w:space="0" w:color="auto"/>
              <w:right w:val="single" w:sz="4" w:space="0" w:color="auto"/>
            </w:tcBorders>
          </w:tcPr>
          <w:p w14:paraId="6BD30A5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12.20</w:t>
            </w:r>
          </w:p>
        </w:tc>
        <w:tc>
          <w:tcPr>
            <w:tcW w:w="469" w:type="pct"/>
            <w:tcBorders>
              <w:top w:val="single" w:sz="4" w:space="0" w:color="auto"/>
              <w:left w:val="single" w:sz="4" w:space="0" w:color="auto"/>
              <w:bottom w:val="single" w:sz="4" w:space="0" w:color="auto"/>
              <w:right w:val="single" w:sz="4" w:space="0" w:color="auto"/>
            </w:tcBorders>
          </w:tcPr>
          <w:p w14:paraId="6BD30A5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.78</w:t>
            </w:r>
          </w:p>
        </w:tc>
        <w:tc>
          <w:tcPr>
            <w:tcW w:w="470" w:type="pct"/>
            <w:tcBorders>
              <w:top w:val="single" w:sz="4" w:space="0" w:color="auto"/>
              <w:left w:val="single" w:sz="4" w:space="0" w:color="auto"/>
              <w:bottom w:val="single" w:sz="4" w:space="0" w:color="auto"/>
              <w:right w:val="single" w:sz="4" w:space="0" w:color="auto"/>
            </w:tcBorders>
          </w:tcPr>
          <w:p w14:paraId="6BD30A5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.85</w:t>
            </w:r>
          </w:p>
        </w:tc>
      </w:tr>
      <w:tr w:rsidR="00EA1534" w:rsidRPr="00EA1534" w14:paraId="6BD30A62" w14:textId="77777777" w:rsidTr="0014030D">
        <w:tc>
          <w:tcPr>
            <w:tcW w:w="2034" w:type="pct"/>
            <w:gridSpan w:val="3"/>
            <w:tcBorders>
              <w:top w:val="single" w:sz="4" w:space="0" w:color="auto"/>
              <w:left w:val="single" w:sz="4" w:space="0" w:color="auto"/>
              <w:bottom w:val="single" w:sz="4" w:space="0" w:color="auto"/>
              <w:right w:val="single" w:sz="4" w:space="0" w:color="auto"/>
            </w:tcBorders>
          </w:tcPr>
          <w:p w14:paraId="6BD30A5B"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 xml:space="preserve">Hill density </w:t>
            </w:r>
          </w:p>
        </w:tc>
        <w:tc>
          <w:tcPr>
            <w:tcW w:w="469" w:type="pct"/>
            <w:tcBorders>
              <w:top w:val="single" w:sz="4" w:space="0" w:color="auto"/>
              <w:left w:val="single" w:sz="4" w:space="0" w:color="auto"/>
              <w:bottom w:val="single" w:sz="4" w:space="0" w:color="auto"/>
              <w:right w:val="single" w:sz="4" w:space="0" w:color="auto"/>
            </w:tcBorders>
          </w:tcPr>
          <w:p w14:paraId="6BD30A5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471" w:type="pct"/>
            <w:tcBorders>
              <w:top w:val="single" w:sz="4" w:space="0" w:color="auto"/>
              <w:left w:val="single" w:sz="4" w:space="0" w:color="auto"/>
              <w:bottom w:val="single" w:sz="4" w:space="0" w:color="auto"/>
              <w:right w:val="single" w:sz="4" w:space="0" w:color="auto"/>
            </w:tcBorders>
          </w:tcPr>
          <w:p w14:paraId="6BD30A5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543" w:type="pct"/>
            <w:tcBorders>
              <w:top w:val="single" w:sz="4" w:space="0" w:color="auto"/>
              <w:left w:val="single" w:sz="4" w:space="0" w:color="auto"/>
              <w:bottom w:val="single" w:sz="4" w:space="0" w:color="auto"/>
              <w:right w:val="single" w:sz="4" w:space="0" w:color="auto"/>
            </w:tcBorders>
          </w:tcPr>
          <w:p w14:paraId="6BD30A5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544" w:type="pct"/>
            <w:tcBorders>
              <w:top w:val="single" w:sz="4" w:space="0" w:color="auto"/>
              <w:left w:val="single" w:sz="4" w:space="0" w:color="auto"/>
              <w:bottom w:val="single" w:sz="4" w:space="0" w:color="auto"/>
              <w:right w:val="single" w:sz="4" w:space="0" w:color="auto"/>
            </w:tcBorders>
          </w:tcPr>
          <w:p w14:paraId="6BD30A5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469" w:type="pct"/>
            <w:tcBorders>
              <w:top w:val="single" w:sz="4" w:space="0" w:color="auto"/>
              <w:left w:val="single" w:sz="4" w:space="0" w:color="auto"/>
              <w:bottom w:val="single" w:sz="4" w:space="0" w:color="auto"/>
              <w:right w:val="single" w:sz="4" w:space="0" w:color="auto"/>
            </w:tcBorders>
          </w:tcPr>
          <w:p w14:paraId="6BD30A6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c>
          <w:tcPr>
            <w:tcW w:w="470" w:type="pct"/>
            <w:tcBorders>
              <w:top w:val="single" w:sz="4" w:space="0" w:color="auto"/>
              <w:left w:val="single" w:sz="4" w:space="0" w:color="auto"/>
              <w:bottom w:val="single" w:sz="4" w:space="0" w:color="auto"/>
              <w:right w:val="single" w:sz="4" w:space="0" w:color="auto"/>
            </w:tcBorders>
          </w:tcPr>
          <w:p w14:paraId="6BD30A6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 </w:t>
            </w:r>
          </w:p>
        </w:tc>
      </w:tr>
      <w:tr w:rsidR="00EA1534" w:rsidRPr="00EA1534" w14:paraId="6BD30A6C" w14:textId="77777777" w:rsidTr="0014030D">
        <w:tc>
          <w:tcPr>
            <w:tcW w:w="947" w:type="pct"/>
            <w:tcBorders>
              <w:top w:val="single" w:sz="4" w:space="0" w:color="auto"/>
              <w:left w:val="single" w:sz="4" w:space="0" w:color="auto"/>
              <w:bottom w:val="single" w:sz="4" w:space="0" w:color="auto"/>
              <w:right w:val="single" w:sz="4" w:space="0" w:color="auto"/>
            </w:tcBorders>
          </w:tcPr>
          <w:p w14:paraId="6BD30A63"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lastRenderedPageBreak/>
              <w:t xml:space="preserve">20 cm x 15 cm </w:t>
            </w:r>
          </w:p>
        </w:tc>
        <w:tc>
          <w:tcPr>
            <w:tcW w:w="543" w:type="pct"/>
            <w:tcBorders>
              <w:top w:val="single" w:sz="4" w:space="0" w:color="auto"/>
              <w:left w:val="single" w:sz="4" w:space="0" w:color="auto"/>
              <w:bottom w:val="single" w:sz="4" w:space="0" w:color="auto"/>
              <w:right w:val="single" w:sz="4" w:space="0" w:color="auto"/>
            </w:tcBorders>
          </w:tcPr>
          <w:p w14:paraId="6BD30A6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197.40</w:t>
            </w:r>
          </w:p>
        </w:tc>
        <w:tc>
          <w:tcPr>
            <w:tcW w:w="544" w:type="pct"/>
            <w:tcBorders>
              <w:top w:val="single" w:sz="4" w:space="0" w:color="auto"/>
              <w:left w:val="single" w:sz="4" w:space="0" w:color="auto"/>
              <w:bottom w:val="single" w:sz="4" w:space="0" w:color="auto"/>
              <w:right w:val="single" w:sz="4" w:space="0" w:color="auto"/>
            </w:tcBorders>
          </w:tcPr>
          <w:p w14:paraId="6BD30A6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214.48</w:t>
            </w:r>
          </w:p>
        </w:tc>
        <w:tc>
          <w:tcPr>
            <w:tcW w:w="469" w:type="pct"/>
            <w:tcBorders>
              <w:top w:val="single" w:sz="4" w:space="0" w:color="auto"/>
              <w:left w:val="single" w:sz="4" w:space="0" w:color="auto"/>
              <w:bottom w:val="single" w:sz="4" w:space="0" w:color="auto"/>
              <w:right w:val="single" w:sz="4" w:space="0" w:color="auto"/>
            </w:tcBorders>
          </w:tcPr>
          <w:p w14:paraId="6BD30A6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24.70</w:t>
            </w:r>
          </w:p>
        </w:tc>
        <w:tc>
          <w:tcPr>
            <w:tcW w:w="471" w:type="pct"/>
            <w:tcBorders>
              <w:top w:val="single" w:sz="4" w:space="0" w:color="auto"/>
              <w:left w:val="single" w:sz="4" w:space="0" w:color="auto"/>
              <w:bottom w:val="single" w:sz="4" w:space="0" w:color="auto"/>
              <w:right w:val="single" w:sz="4" w:space="0" w:color="auto"/>
            </w:tcBorders>
          </w:tcPr>
          <w:p w14:paraId="6BD30A6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25.07</w:t>
            </w:r>
          </w:p>
        </w:tc>
        <w:tc>
          <w:tcPr>
            <w:tcW w:w="543" w:type="pct"/>
            <w:tcBorders>
              <w:top w:val="single" w:sz="4" w:space="0" w:color="auto"/>
              <w:left w:val="single" w:sz="4" w:space="0" w:color="auto"/>
              <w:bottom w:val="single" w:sz="4" w:space="0" w:color="auto"/>
              <w:right w:val="single" w:sz="4" w:space="0" w:color="auto"/>
            </w:tcBorders>
          </w:tcPr>
          <w:p w14:paraId="6BD30A6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184.36</w:t>
            </w:r>
          </w:p>
        </w:tc>
        <w:tc>
          <w:tcPr>
            <w:tcW w:w="544" w:type="pct"/>
            <w:tcBorders>
              <w:top w:val="single" w:sz="4" w:space="0" w:color="auto"/>
              <w:left w:val="single" w:sz="4" w:space="0" w:color="auto"/>
              <w:bottom w:val="single" w:sz="4" w:space="0" w:color="auto"/>
              <w:right w:val="single" w:sz="4" w:space="0" w:color="auto"/>
            </w:tcBorders>
          </w:tcPr>
          <w:p w14:paraId="6BD30A6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194.19</w:t>
            </w:r>
          </w:p>
        </w:tc>
        <w:tc>
          <w:tcPr>
            <w:tcW w:w="469" w:type="pct"/>
            <w:tcBorders>
              <w:top w:val="single" w:sz="4" w:space="0" w:color="auto"/>
              <w:left w:val="single" w:sz="4" w:space="0" w:color="auto"/>
              <w:bottom w:val="single" w:sz="4" w:space="0" w:color="auto"/>
              <w:right w:val="single" w:sz="4" w:space="0" w:color="auto"/>
            </w:tcBorders>
          </w:tcPr>
          <w:p w14:paraId="6BD30A6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25.13</w:t>
            </w:r>
          </w:p>
        </w:tc>
        <w:tc>
          <w:tcPr>
            <w:tcW w:w="470" w:type="pct"/>
            <w:tcBorders>
              <w:top w:val="single" w:sz="4" w:space="0" w:color="auto"/>
              <w:left w:val="single" w:sz="4" w:space="0" w:color="auto"/>
              <w:bottom w:val="single" w:sz="4" w:space="0" w:color="auto"/>
              <w:right w:val="single" w:sz="4" w:space="0" w:color="auto"/>
            </w:tcBorders>
          </w:tcPr>
          <w:p w14:paraId="6BD30A6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25.37</w:t>
            </w:r>
          </w:p>
        </w:tc>
      </w:tr>
      <w:tr w:rsidR="00EA1534" w:rsidRPr="00EA1534" w14:paraId="6BD30A76" w14:textId="77777777" w:rsidTr="0014030D">
        <w:tc>
          <w:tcPr>
            <w:tcW w:w="947" w:type="pct"/>
            <w:tcBorders>
              <w:top w:val="single" w:sz="4" w:space="0" w:color="auto"/>
              <w:left w:val="single" w:sz="4" w:space="0" w:color="auto"/>
              <w:bottom w:val="single" w:sz="4" w:space="0" w:color="auto"/>
              <w:right w:val="single" w:sz="4" w:space="0" w:color="auto"/>
            </w:tcBorders>
          </w:tcPr>
          <w:p w14:paraId="6BD30A6D"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 xml:space="preserve">20 cm x 20 cm </w:t>
            </w:r>
          </w:p>
        </w:tc>
        <w:tc>
          <w:tcPr>
            <w:tcW w:w="543" w:type="pct"/>
            <w:tcBorders>
              <w:top w:val="single" w:sz="4" w:space="0" w:color="auto"/>
              <w:left w:val="single" w:sz="4" w:space="0" w:color="auto"/>
              <w:bottom w:val="single" w:sz="4" w:space="0" w:color="auto"/>
              <w:right w:val="single" w:sz="4" w:space="0" w:color="auto"/>
            </w:tcBorders>
          </w:tcPr>
          <w:p w14:paraId="6BD30A6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220.36</w:t>
            </w:r>
          </w:p>
        </w:tc>
        <w:tc>
          <w:tcPr>
            <w:tcW w:w="544" w:type="pct"/>
            <w:tcBorders>
              <w:top w:val="single" w:sz="4" w:space="0" w:color="auto"/>
              <w:left w:val="single" w:sz="4" w:space="0" w:color="auto"/>
              <w:bottom w:val="single" w:sz="4" w:space="0" w:color="auto"/>
              <w:right w:val="single" w:sz="4" w:space="0" w:color="auto"/>
            </w:tcBorders>
          </w:tcPr>
          <w:p w14:paraId="6BD30A6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233.81</w:t>
            </w:r>
          </w:p>
        </w:tc>
        <w:tc>
          <w:tcPr>
            <w:tcW w:w="469" w:type="pct"/>
            <w:tcBorders>
              <w:top w:val="single" w:sz="4" w:space="0" w:color="auto"/>
              <w:left w:val="single" w:sz="4" w:space="0" w:color="auto"/>
              <w:bottom w:val="single" w:sz="4" w:space="0" w:color="auto"/>
              <w:right w:val="single" w:sz="4" w:space="0" w:color="auto"/>
            </w:tcBorders>
          </w:tcPr>
          <w:p w14:paraId="6BD30A7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26.22</w:t>
            </w:r>
          </w:p>
        </w:tc>
        <w:tc>
          <w:tcPr>
            <w:tcW w:w="471" w:type="pct"/>
            <w:tcBorders>
              <w:top w:val="single" w:sz="4" w:space="0" w:color="auto"/>
              <w:left w:val="single" w:sz="4" w:space="0" w:color="auto"/>
              <w:bottom w:val="single" w:sz="4" w:space="0" w:color="auto"/>
              <w:right w:val="single" w:sz="4" w:space="0" w:color="auto"/>
            </w:tcBorders>
          </w:tcPr>
          <w:p w14:paraId="6BD30A7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26.60</w:t>
            </w:r>
          </w:p>
        </w:tc>
        <w:tc>
          <w:tcPr>
            <w:tcW w:w="543" w:type="pct"/>
            <w:tcBorders>
              <w:top w:val="single" w:sz="4" w:space="0" w:color="auto"/>
              <w:left w:val="single" w:sz="4" w:space="0" w:color="auto"/>
              <w:bottom w:val="single" w:sz="4" w:space="0" w:color="auto"/>
              <w:right w:val="single" w:sz="4" w:space="0" w:color="auto"/>
            </w:tcBorders>
          </w:tcPr>
          <w:p w14:paraId="6BD30A7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214.52</w:t>
            </w:r>
          </w:p>
        </w:tc>
        <w:tc>
          <w:tcPr>
            <w:tcW w:w="544" w:type="pct"/>
            <w:tcBorders>
              <w:top w:val="single" w:sz="4" w:space="0" w:color="auto"/>
              <w:left w:val="single" w:sz="4" w:space="0" w:color="auto"/>
              <w:bottom w:val="single" w:sz="4" w:space="0" w:color="auto"/>
              <w:right w:val="single" w:sz="4" w:space="0" w:color="auto"/>
            </w:tcBorders>
          </w:tcPr>
          <w:p w14:paraId="6BD30A7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232.50</w:t>
            </w:r>
          </w:p>
        </w:tc>
        <w:tc>
          <w:tcPr>
            <w:tcW w:w="469" w:type="pct"/>
            <w:tcBorders>
              <w:top w:val="single" w:sz="4" w:space="0" w:color="auto"/>
              <w:left w:val="single" w:sz="4" w:space="0" w:color="auto"/>
              <w:bottom w:val="single" w:sz="4" w:space="0" w:color="auto"/>
              <w:right w:val="single" w:sz="4" w:space="0" w:color="auto"/>
            </w:tcBorders>
          </w:tcPr>
          <w:p w14:paraId="6BD30A7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26.45</w:t>
            </w:r>
          </w:p>
        </w:tc>
        <w:tc>
          <w:tcPr>
            <w:tcW w:w="470" w:type="pct"/>
            <w:tcBorders>
              <w:top w:val="single" w:sz="4" w:space="0" w:color="auto"/>
              <w:left w:val="single" w:sz="4" w:space="0" w:color="auto"/>
              <w:bottom w:val="single" w:sz="4" w:space="0" w:color="auto"/>
              <w:right w:val="single" w:sz="4" w:space="0" w:color="auto"/>
            </w:tcBorders>
          </w:tcPr>
          <w:p w14:paraId="6BD30A7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26.93</w:t>
            </w:r>
          </w:p>
        </w:tc>
      </w:tr>
      <w:tr w:rsidR="00EA1534" w:rsidRPr="00EA1534" w14:paraId="6BD30A80" w14:textId="77777777" w:rsidTr="0014030D">
        <w:tc>
          <w:tcPr>
            <w:tcW w:w="947" w:type="pct"/>
            <w:tcBorders>
              <w:top w:val="single" w:sz="4" w:space="0" w:color="auto"/>
              <w:left w:val="single" w:sz="4" w:space="0" w:color="auto"/>
              <w:bottom w:val="single" w:sz="4" w:space="0" w:color="auto"/>
              <w:right w:val="single" w:sz="4" w:space="0" w:color="auto"/>
            </w:tcBorders>
          </w:tcPr>
          <w:p w14:paraId="6BD30A77"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 xml:space="preserve">20 cm x 25 cm </w:t>
            </w:r>
          </w:p>
        </w:tc>
        <w:tc>
          <w:tcPr>
            <w:tcW w:w="543" w:type="pct"/>
            <w:tcBorders>
              <w:top w:val="single" w:sz="4" w:space="0" w:color="auto"/>
              <w:left w:val="single" w:sz="4" w:space="0" w:color="auto"/>
              <w:bottom w:val="single" w:sz="4" w:space="0" w:color="auto"/>
              <w:right w:val="single" w:sz="4" w:space="0" w:color="auto"/>
            </w:tcBorders>
          </w:tcPr>
          <w:p w14:paraId="6BD30A7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240.00</w:t>
            </w:r>
          </w:p>
        </w:tc>
        <w:tc>
          <w:tcPr>
            <w:tcW w:w="544" w:type="pct"/>
            <w:tcBorders>
              <w:top w:val="single" w:sz="4" w:space="0" w:color="auto"/>
              <w:left w:val="single" w:sz="4" w:space="0" w:color="auto"/>
              <w:bottom w:val="single" w:sz="4" w:space="0" w:color="auto"/>
              <w:right w:val="single" w:sz="4" w:space="0" w:color="auto"/>
            </w:tcBorders>
          </w:tcPr>
          <w:p w14:paraId="6BD30A7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248.89</w:t>
            </w:r>
          </w:p>
        </w:tc>
        <w:tc>
          <w:tcPr>
            <w:tcW w:w="469" w:type="pct"/>
            <w:tcBorders>
              <w:top w:val="single" w:sz="4" w:space="0" w:color="auto"/>
              <w:left w:val="single" w:sz="4" w:space="0" w:color="auto"/>
              <w:bottom w:val="single" w:sz="4" w:space="0" w:color="auto"/>
              <w:right w:val="single" w:sz="4" w:space="0" w:color="auto"/>
            </w:tcBorders>
          </w:tcPr>
          <w:p w14:paraId="6BD30A7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27.35</w:t>
            </w:r>
          </w:p>
        </w:tc>
        <w:tc>
          <w:tcPr>
            <w:tcW w:w="471" w:type="pct"/>
            <w:tcBorders>
              <w:top w:val="single" w:sz="4" w:space="0" w:color="auto"/>
              <w:left w:val="single" w:sz="4" w:space="0" w:color="auto"/>
              <w:bottom w:val="single" w:sz="4" w:space="0" w:color="auto"/>
              <w:right w:val="single" w:sz="4" w:space="0" w:color="auto"/>
            </w:tcBorders>
          </w:tcPr>
          <w:p w14:paraId="6BD30A7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27.82</w:t>
            </w:r>
          </w:p>
        </w:tc>
        <w:tc>
          <w:tcPr>
            <w:tcW w:w="543" w:type="pct"/>
            <w:tcBorders>
              <w:top w:val="single" w:sz="4" w:space="0" w:color="auto"/>
              <w:left w:val="single" w:sz="4" w:space="0" w:color="auto"/>
              <w:bottom w:val="single" w:sz="4" w:space="0" w:color="auto"/>
              <w:right w:val="single" w:sz="4" w:space="0" w:color="auto"/>
            </w:tcBorders>
          </w:tcPr>
          <w:p w14:paraId="6BD30A7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224.27</w:t>
            </w:r>
          </w:p>
        </w:tc>
        <w:tc>
          <w:tcPr>
            <w:tcW w:w="544" w:type="pct"/>
            <w:tcBorders>
              <w:top w:val="single" w:sz="4" w:space="0" w:color="auto"/>
              <w:left w:val="single" w:sz="4" w:space="0" w:color="auto"/>
              <w:bottom w:val="single" w:sz="4" w:space="0" w:color="auto"/>
              <w:right w:val="single" w:sz="4" w:space="0" w:color="auto"/>
            </w:tcBorders>
          </w:tcPr>
          <w:p w14:paraId="6BD30A7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240.16</w:t>
            </w:r>
          </w:p>
        </w:tc>
        <w:tc>
          <w:tcPr>
            <w:tcW w:w="469" w:type="pct"/>
            <w:tcBorders>
              <w:top w:val="single" w:sz="4" w:space="0" w:color="auto"/>
              <w:left w:val="single" w:sz="4" w:space="0" w:color="auto"/>
              <w:bottom w:val="single" w:sz="4" w:space="0" w:color="auto"/>
              <w:right w:val="single" w:sz="4" w:space="0" w:color="auto"/>
            </w:tcBorders>
          </w:tcPr>
          <w:p w14:paraId="6BD30A7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27.02</w:t>
            </w:r>
          </w:p>
        </w:tc>
        <w:tc>
          <w:tcPr>
            <w:tcW w:w="470" w:type="pct"/>
            <w:tcBorders>
              <w:top w:val="single" w:sz="4" w:space="0" w:color="auto"/>
              <w:left w:val="single" w:sz="4" w:space="0" w:color="auto"/>
              <w:bottom w:val="single" w:sz="4" w:space="0" w:color="auto"/>
              <w:right w:val="single" w:sz="4" w:space="0" w:color="auto"/>
            </w:tcBorders>
          </w:tcPr>
          <w:p w14:paraId="6BD30A7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27.52</w:t>
            </w:r>
          </w:p>
        </w:tc>
      </w:tr>
      <w:tr w:rsidR="00EA1534" w:rsidRPr="00EA1534" w14:paraId="6BD30A8A" w14:textId="77777777" w:rsidTr="0014030D">
        <w:tc>
          <w:tcPr>
            <w:tcW w:w="947" w:type="pct"/>
            <w:tcBorders>
              <w:top w:val="single" w:sz="4" w:space="0" w:color="auto"/>
              <w:left w:val="single" w:sz="4" w:space="0" w:color="auto"/>
              <w:bottom w:val="single" w:sz="4" w:space="0" w:color="auto"/>
              <w:right w:val="single" w:sz="4" w:space="0" w:color="auto"/>
            </w:tcBorders>
          </w:tcPr>
          <w:p w14:paraId="6BD30A81" w14:textId="77777777" w:rsidR="00EA1534" w:rsidRPr="00EA1534" w:rsidRDefault="00EA1534" w:rsidP="0014030D">
            <w:pPr>
              <w:spacing w:before="20" w:after="40"/>
              <w:rPr>
                <w:rFonts w:ascii="Arial" w:hAnsi="Arial" w:cs="Arial"/>
                <w:color w:val="000000" w:themeColor="text1"/>
              </w:rPr>
            </w:pPr>
            <w:r w:rsidRPr="00EA1534">
              <w:rPr>
                <w:rFonts w:ascii="Arial" w:hAnsi="Arial" w:cs="Arial"/>
                <w:color w:val="000000" w:themeColor="text1"/>
              </w:rPr>
              <w:t xml:space="preserve">25 cm x 25 cm </w:t>
            </w:r>
          </w:p>
        </w:tc>
        <w:tc>
          <w:tcPr>
            <w:tcW w:w="543" w:type="pct"/>
            <w:tcBorders>
              <w:top w:val="single" w:sz="4" w:space="0" w:color="auto"/>
              <w:left w:val="single" w:sz="4" w:space="0" w:color="auto"/>
              <w:bottom w:val="single" w:sz="4" w:space="0" w:color="auto"/>
              <w:right w:val="single" w:sz="4" w:space="0" w:color="auto"/>
            </w:tcBorders>
          </w:tcPr>
          <w:p w14:paraId="6BD30A8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234.98</w:t>
            </w:r>
          </w:p>
        </w:tc>
        <w:tc>
          <w:tcPr>
            <w:tcW w:w="544" w:type="pct"/>
            <w:tcBorders>
              <w:top w:val="single" w:sz="4" w:space="0" w:color="auto"/>
              <w:left w:val="single" w:sz="4" w:space="0" w:color="auto"/>
              <w:bottom w:val="single" w:sz="4" w:space="0" w:color="auto"/>
              <w:right w:val="single" w:sz="4" w:space="0" w:color="auto"/>
            </w:tcBorders>
          </w:tcPr>
          <w:p w14:paraId="6BD30A8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246.52</w:t>
            </w:r>
          </w:p>
        </w:tc>
        <w:tc>
          <w:tcPr>
            <w:tcW w:w="469" w:type="pct"/>
            <w:tcBorders>
              <w:top w:val="single" w:sz="4" w:space="0" w:color="auto"/>
              <w:left w:val="single" w:sz="4" w:space="0" w:color="auto"/>
              <w:bottom w:val="single" w:sz="4" w:space="0" w:color="auto"/>
              <w:right w:val="single" w:sz="4" w:space="0" w:color="auto"/>
            </w:tcBorders>
          </w:tcPr>
          <w:p w14:paraId="6BD30A84"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28.13</w:t>
            </w:r>
          </w:p>
        </w:tc>
        <w:tc>
          <w:tcPr>
            <w:tcW w:w="471" w:type="pct"/>
            <w:tcBorders>
              <w:top w:val="single" w:sz="4" w:space="0" w:color="auto"/>
              <w:left w:val="single" w:sz="4" w:space="0" w:color="auto"/>
              <w:bottom w:val="single" w:sz="4" w:space="0" w:color="auto"/>
              <w:right w:val="single" w:sz="4" w:space="0" w:color="auto"/>
            </w:tcBorders>
          </w:tcPr>
          <w:p w14:paraId="6BD30A85"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28.50</w:t>
            </w:r>
          </w:p>
        </w:tc>
        <w:tc>
          <w:tcPr>
            <w:tcW w:w="543" w:type="pct"/>
            <w:tcBorders>
              <w:top w:val="single" w:sz="4" w:space="0" w:color="auto"/>
              <w:left w:val="single" w:sz="4" w:space="0" w:color="auto"/>
              <w:bottom w:val="single" w:sz="4" w:space="0" w:color="auto"/>
              <w:right w:val="single" w:sz="4" w:space="0" w:color="auto"/>
            </w:tcBorders>
          </w:tcPr>
          <w:p w14:paraId="6BD30A8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231.08</w:t>
            </w:r>
          </w:p>
        </w:tc>
        <w:tc>
          <w:tcPr>
            <w:tcW w:w="544" w:type="pct"/>
            <w:tcBorders>
              <w:top w:val="single" w:sz="4" w:space="0" w:color="auto"/>
              <w:left w:val="single" w:sz="4" w:space="0" w:color="auto"/>
              <w:bottom w:val="single" w:sz="4" w:space="0" w:color="auto"/>
              <w:right w:val="single" w:sz="4" w:space="0" w:color="auto"/>
            </w:tcBorders>
          </w:tcPr>
          <w:p w14:paraId="6BD30A8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245.38</w:t>
            </w:r>
          </w:p>
        </w:tc>
        <w:tc>
          <w:tcPr>
            <w:tcW w:w="469" w:type="pct"/>
            <w:tcBorders>
              <w:top w:val="single" w:sz="4" w:space="0" w:color="auto"/>
              <w:left w:val="single" w:sz="4" w:space="0" w:color="auto"/>
              <w:bottom w:val="single" w:sz="4" w:space="0" w:color="auto"/>
              <w:right w:val="single" w:sz="4" w:space="0" w:color="auto"/>
            </w:tcBorders>
          </w:tcPr>
          <w:p w14:paraId="6BD30A8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27.32</w:t>
            </w:r>
          </w:p>
        </w:tc>
        <w:tc>
          <w:tcPr>
            <w:tcW w:w="470" w:type="pct"/>
            <w:tcBorders>
              <w:top w:val="single" w:sz="4" w:space="0" w:color="auto"/>
              <w:left w:val="single" w:sz="4" w:space="0" w:color="auto"/>
              <w:bottom w:val="single" w:sz="4" w:space="0" w:color="auto"/>
              <w:right w:val="single" w:sz="4" w:space="0" w:color="auto"/>
            </w:tcBorders>
          </w:tcPr>
          <w:p w14:paraId="6BD30A8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27.80</w:t>
            </w:r>
          </w:p>
        </w:tc>
      </w:tr>
      <w:tr w:rsidR="00EA1534" w:rsidRPr="00EA1534" w14:paraId="6BD30A94" w14:textId="77777777" w:rsidTr="0014030D">
        <w:tc>
          <w:tcPr>
            <w:tcW w:w="947" w:type="pct"/>
            <w:tcBorders>
              <w:top w:val="single" w:sz="4" w:space="0" w:color="auto"/>
              <w:left w:val="single" w:sz="4" w:space="0" w:color="auto"/>
              <w:bottom w:val="single" w:sz="4" w:space="0" w:color="auto"/>
              <w:right w:val="single" w:sz="4" w:space="0" w:color="auto"/>
            </w:tcBorders>
          </w:tcPr>
          <w:p w14:paraId="6BD30A8B" w14:textId="77777777" w:rsidR="00EA1534" w:rsidRPr="00EA1534" w:rsidRDefault="00EA1534" w:rsidP="00EA1534">
            <w:pPr>
              <w:spacing w:before="20" w:after="40"/>
              <w:ind w:firstLineChars="59" w:firstLine="118"/>
              <w:rPr>
                <w:rFonts w:ascii="Arial" w:hAnsi="Arial" w:cs="Arial"/>
                <w:color w:val="000000" w:themeColor="text1"/>
              </w:rPr>
            </w:pPr>
            <w:proofErr w:type="spellStart"/>
            <w:proofErr w:type="gramStart"/>
            <w:r w:rsidRPr="00EA1534">
              <w:rPr>
                <w:rFonts w:ascii="Arial" w:hAnsi="Arial" w:cs="Arial"/>
                <w:color w:val="000000" w:themeColor="text1"/>
                <w:kern w:val="24"/>
              </w:rPr>
              <w:t>S.Em</w:t>
            </w:r>
            <w:proofErr w:type="spellEnd"/>
            <w:proofErr w:type="gramEnd"/>
            <w:r w:rsidRPr="00EA1534">
              <w:rPr>
                <w:rFonts w:ascii="Arial" w:hAnsi="Arial" w:cs="Arial"/>
                <w:color w:val="000000" w:themeColor="text1"/>
                <w:kern w:val="24"/>
              </w:rPr>
              <w:t>±</w:t>
            </w:r>
          </w:p>
        </w:tc>
        <w:tc>
          <w:tcPr>
            <w:tcW w:w="543" w:type="pct"/>
            <w:tcBorders>
              <w:top w:val="single" w:sz="4" w:space="0" w:color="auto"/>
              <w:left w:val="single" w:sz="4" w:space="0" w:color="auto"/>
              <w:bottom w:val="single" w:sz="4" w:space="0" w:color="auto"/>
              <w:right w:val="single" w:sz="4" w:space="0" w:color="auto"/>
            </w:tcBorders>
          </w:tcPr>
          <w:p w14:paraId="6BD30A8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4.44</w:t>
            </w:r>
          </w:p>
        </w:tc>
        <w:tc>
          <w:tcPr>
            <w:tcW w:w="544" w:type="pct"/>
            <w:tcBorders>
              <w:top w:val="single" w:sz="4" w:space="0" w:color="auto"/>
              <w:left w:val="single" w:sz="4" w:space="0" w:color="auto"/>
              <w:bottom w:val="single" w:sz="4" w:space="0" w:color="auto"/>
              <w:right w:val="single" w:sz="4" w:space="0" w:color="auto"/>
            </w:tcBorders>
          </w:tcPr>
          <w:p w14:paraId="6BD30A8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3.84</w:t>
            </w:r>
          </w:p>
        </w:tc>
        <w:tc>
          <w:tcPr>
            <w:tcW w:w="469" w:type="pct"/>
            <w:tcBorders>
              <w:top w:val="single" w:sz="4" w:space="0" w:color="auto"/>
              <w:left w:val="single" w:sz="4" w:space="0" w:color="auto"/>
              <w:bottom w:val="single" w:sz="4" w:space="0" w:color="auto"/>
              <w:right w:val="single" w:sz="4" w:space="0" w:color="auto"/>
            </w:tcBorders>
          </w:tcPr>
          <w:p w14:paraId="6BD30A8E"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0.38</w:t>
            </w:r>
          </w:p>
        </w:tc>
        <w:tc>
          <w:tcPr>
            <w:tcW w:w="471" w:type="pct"/>
            <w:tcBorders>
              <w:top w:val="single" w:sz="4" w:space="0" w:color="auto"/>
              <w:left w:val="single" w:sz="4" w:space="0" w:color="auto"/>
              <w:bottom w:val="single" w:sz="4" w:space="0" w:color="auto"/>
              <w:right w:val="single" w:sz="4" w:space="0" w:color="auto"/>
            </w:tcBorders>
          </w:tcPr>
          <w:p w14:paraId="6BD30A8F"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0.40</w:t>
            </w:r>
          </w:p>
        </w:tc>
        <w:tc>
          <w:tcPr>
            <w:tcW w:w="543" w:type="pct"/>
            <w:tcBorders>
              <w:top w:val="single" w:sz="4" w:space="0" w:color="auto"/>
              <w:left w:val="single" w:sz="4" w:space="0" w:color="auto"/>
              <w:bottom w:val="single" w:sz="4" w:space="0" w:color="auto"/>
              <w:right w:val="single" w:sz="4" w:space="0" w:color="auto"/>
            </w:tcBorders>
          </w:tcPr>
          <w:p w14:paraId="6BD30A90"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5.98</w:t>
            </w:r>
          </w:p>
        </w:tc>
        <w:tc>
          <w:tcPr>
            <w:tcW w:w="544" w:type="pct"/>
            <w:tcBorders>
              <w:top w:val="single" w:sz="4" w:space="0" w:color="auto"/>
              <w:left w:val="single" w:sz="4" w:space="0" w:color="auto"/>
              <w:bottom w:val="single" w:sz="4" w:space="0" w:color="auto"/>
              <w:right w:val="single" w:sz="4" w:space="0" w:color="auto"/>
            </w:tcBorders>
          </w:tcPr>
          <w:p w14:paraId="6BD30A91"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5.36</w:t>
            </w:r>
          </w:p>
        </w:tc>
        <w:tc>
          <w:tcPr>
            <w:tcW w:w="469" w:type="pct"/>
            <w:tcBorders>
              <w:top w:val="single" w:sz="4" w:space="0" w:color="auto"/>
              <w:left w:val="single" w:sz="4" w:space="0" w:color="auto"/>
              <w:bottom w:val="single" w:sz="4" w:space="0" w:color="auto"/>
              <w:right w:val="single" w:sz="4" w:space="0" w:color="auto"/>
            </w:tcBorders>
          </w:tcPr>
          <w:p w14:paraId="6BD30A92"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0.31</w:t>
            </w:r>
          </w:p>
        </w:tc>
        <w:tc>
          <w:tcPr>
            <w:tcW w:w="470" w:type="pct"/>
            <w:tcBorders>
              <w:top w:val="single" w:sz="4" w:space="0" w:color="auto"/>
              <w:left w:val="single" w:sz="4" w:space="0" w:color="auto"/>
              <w:bottom w:val="single" w:sz="4" w:space="0" w:color="auto"/>
              <w:right w:val="single" w:sz="4" w:space="0" w:color="auto"/>
            </w:tcBorders>
          </w:tcPr>
          <w:p w14:paraId="6BD30A93"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0.31</w:t>
            </w:r>
          </w:p>
        </w:tc>
      </w:tr>
      <w:tr w:rsidR="00EA1534" w:rsidRPr="00EA1534" w14:paraId="6BD30A9E" w14:textId="77777777" w:rsidTr="0014030D">
        <w:tc>
          <w:tcPr>
            <w:tcW w:w="947" w:type="pct"/>
            <w:tcBorders>
              <w:top w:val="single" w:sz="4" w:space="0" w:color="auto"/>
              <w:left w:val="single" w:sz="4" w:space="0" w:color="auto"/>
              <w:bottom w:val="single" w:sz="4" w:space="0" w:color="auto"/>
              <w:right w:val="single" w:sz="4" w:space="0" w:color="auto"/>
            </w:tcBorders>
          </w:tcPr>
          <w:p w14:paraId="6BD30A95" w14:textId="77777777" w:rsidR="00EA1534" w:rsidRPr="00EA1534" w:rsidRDefault="00EA1534" w:rsidP="00EA1534">
            <w:pPr>
              <w:spacing w:before="20" w:after="40"/>
              <w:ind w:firstLineChars="59" w:firstLine="118"/>
              <w:rPr>
                <w:rFonts w:ascii="Arial" w:hAnsi="Arial" w:cs="Arial"/>
                <w:color w:val="000000" w:themeColor="text1"/>
              </w:rPr>
            </w:pPr>
            <w:r w:rsidRPr="00EA1534">
              <w:rPr>
                <w:rFonts w:ascii="Arial" w:hAnsi="Arial" w:cs="Arial"/>
                <w:color w:val="000000" w:themeColor="text1"/>
              </w:rPr>
              <w:t>CD (P=0.05)</w:t>
            </w:r>
          </w:p>
        </w:tc>
        <w:tc>
          <w:tcPr>
            <w:tcW w:w="543" w:type="pct"/>
            <w:tcBorders>
              <w:top w:val="single" w:sz="4" w:space="0" w:color="auto"/>
              <w:left w:val="single" w:sz="4" w:space="0" w:color="auto"/>
              <w:bottom w:val="single" w:sz="4" w:space="0" w:color="auto"/>
              <w:right w:val="single" w:sz="4" w:space="0" w:color="auto"/>
            </w:tcBorders>
          </w:tcPr>
          <w:p w14:paraId="6BD30A96"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12.74</w:t>
            </w:r>
          </w:p>
        </w:tc>
        <w:tc>
          <w:tcPr>
            <w:tcW w:w="544" w:type="pct"/>
            <w:tcBorders>
              <w:top w:val="single" w:sz="4" w:space="0" w:color="auto"/>
              <w:left w:val="single" w:sz="4" w:space="0" w:color="auto"/>
              <w:bottom w:val="single" w:sz="4" w:space="0" w:color="auto"/>
              <w:right w:val="single" w:sz="4" w:space="0" w:color="auto"/>
            </w:tcBorders>
          </w:tcPr>
          <w:p w14:paraId="6BD30A97"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11.02</w:t>
            </w:r>
          </w:p>
        </w:tc>
        <w:tc>
          <w:tcPr>
            <w:tcW w:w="469" w:type="pct"/>
            <w:tcBorders>
              <w:top w:val="single" w:sz="4" w:space="0" w:color="auto"/>
              <w:left w:val="single" w:sz="4" w:space="0" w:color="auto"/>
              <w:bottom w:val="single" w:sz="4" w:space="0" w:color="auto"/>
              <w:right w:val="single" w:sz="4" w:space="0" w:color="auto"/>
            </w:tcBorders>
          </w:tcPr>
          <w:p w14:paraId="6BD30A98"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1.09</w:t>
            </w:r>
          </w:p>
        </w:tc>
        <w:tc>
          <w:tcPr>
            <w:tcW w:w="471" w:type="pct"/>
            <w:tcBorders>
              <w:top w:val="single" w:sz="4" w:space="0" w:color="auto"/>
              <w:left w:val="single" w:sz="4" w:space="0" w:color="auto"/>
              <w:bottom w:val="single" w:sz="4" w:space="0" w:color="auto"/>
              <w:right w:val="single" w:sz="4" w:space="0" w:color="auto"/>
            </w:tcBorders>
          </w:tcPr>
          <w:p w14:paraId="6BD30A99"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1.16</w:t>
            </w:r>
          </w:p>
        </w:tc>
        <w:tc>
          <w:tcPr>
            <w:tcW w:w="543" w:type="pct"/>
            <w:tcBorders>
              <w:top w:val="single" w:sz="4" w:space="0" w:color="auto"/>
              <w:left w:val="single" w:sz="4" w:space="0" w:color="auto"/>
              <w:bottom w:val="single" w:sz="4" w:space="0" w:color="auto"/>
              <w:right w:val="single" w:sz="4" w:space="0" w:color="auto"/>
            </w:tcBorders>
          </w:tcPr>
          <w:p w14:paraId="6BD30A9A"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17.17</w:t>
            </w:r>
          </w:p>
        </w:tc>
        <w:tc>
          <w:tcPr>
            <w:tcW w:w="544" w:type="pct"/>
            <w:tcBorders>
              <w:top w:val="single" w:sz="4" w:space="0" w:color="auto"/>
              <w:left w:val="single" w:sz="4" w:space="0" w:color="auto"/>
              <w:bottom w:val="single" w:sz="4" w:space="0" w:color="auto"/>
              <w:right w:val="single" w:sz="4" w:space="0" w:color="auto"/>
            </w:tcBorders>
          </w:tcPr>
          <w:p w14:paraId="6BD30A9B"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15.37</w:t>
            </w:r>
          </w:p>
        </w:tc>
        <w:tc>
          <w:tcPr>
            <w:tcW w:w="469" w:type="pct"/>
            <w:tcBorders>
              <w:top w:val="single" w:sz="4" w:space="0" w:color="auto"/>
              <w:left w:val="single" w:sz="4" w:space="0" w:color="auto"/>
              <w:bottom w:val="single" w:sz="4" w:space="0" w:color="auto"/>
              <w:right w:val="single" w:sz="4" w:space="0" w:color="auto"/>
            </w:tcBorders>
          </w:tcPr>
          <w:p w14:paraId="6BD30A9C"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.89</w:t>
            </w:r>
          </w:p>
        </w:tc>
        <w:tc>
          <w:tcPr>
            <w:tcW w:w="470" w:type="pct"/>
            <w:tcBorders>
              <w:top w:val="single" w:sz="4" w:space="0" w:color="auto"/>
              <w:left w:val="single" w:sz="4" w:space="0" w:color="auto"/>
              <w:bottom w:val="single" w:sz="4" w:space="0" w:color="auto"/>
              <w:right w:val="single" w:sz="4" w:space="0" w:color="auto"/>
            </w:tcBorders>
          </w:tcPr>
          <w:p w14:paraId="6BD30A9D" w14:textId="77777777" w:rsidR="00EA1534" w:rsidRPr="00EA1534" w:rsidRDefault="00EA1534" w:rsidP="0014030D">
            <w:pPr>
              <w:spacing w:before="20" w:after="40"/>
              <w:ind w:left="-75" w:right="-13"/>
              <w:jc w:val="right"/>
              <w:rPr>
                <w:rFonts w:ascii="Arial" w:hAnsi="Arial" w:cs="Arial"/>
                <w:color w:val="000000" w:themeColor="text1"/>
              </w:rPr>
            </w:pPr>
            <w:r w:rsidRPr="00EA1534">
              <w:rPr>
                <w:rFonts w:ascii="Arial" w:hAnsi="Arial" w:cs="Arial"/>
                <w:color w:val="000000" w:themeColor="text1"/>
              </w:rPr>
              <w:t>.89</w:t>
            </w:r>
          </w:p>
        </w:tc>
      </w:tr>
    </w:tbl>
    <w:p w14:paraId="6BD30AA0" w14:textId="77777777" w:rsidR="00EA1534" w:rsidRPr="00EA1534" w:rsidRDefault="00EA1534" w:rsidP="00EA1534">
      <w:pPr>
        <w:jc w:val="both"/>
        <w:rPr>
          <w:rFonts w:ascii="Arial" w:hAnsi="Arial" w:cs="Arial"/>
          <w:i/>
          <w:color w:val="000000" w:themeColor="text1"/>
          <w:kern w:val="24"/>
        </w:rPr>
      </w:pPr>
      <w:proofErr w:type="gramStart"/>
      <w:r w:rsidRPr="00EA1534">
        <w:rPr>
          <w:rFonts w:ascii="Arial" w:hAnsi="Arial" w:cs="Arial"/>
          <w:i/>
          <w:color w:val="000000" w:themeColor="text1"/>
        </w:rPr>
        <w:t>Note:-</w:t>
      </w:r>
      <w:proofErr w:type="spellStart"/>
      <w:proofErr w:type="gramEnd"/>
      <w:r w:rsidRPr="00EA1534">
        <w:rPr>
          <w:rFonts w:ascii="Arial" w:hAnsi="Arial" w:cs="Arial"/>
          <w:i/>
          <w:color w:val="000000" w:themeColor="text1"/>
          <w:kern w:val="24"/>
        </w:rPr>
        <w:t>S.Em</w:t>
      </w:r>
      <w:proofErr w:type="spellEnd"/>
      <w:r w:rsidRPr="00EA1534">
        <w:rPr>
          <w:rFonts w:ascii="Arial" w:hAnsi="Arial" w:cs="Arial"/>
          <w:i/>
          <w:color w:val="000000" w:themeColor="text1"/>
          <w:kern w:val="24"/>
        </w:rPr>
        <w:t xml:space="preserve">: Standard error of mean; CD: critical difference; </w:t>
      </w:r>
    </w:p>
    <w:p w14:paraId="6BD30AA1" w14:textId="77777777" w:rsidR="00EA1534" w:rsidRDefault="00EA1534" w:rsidP="00EA1534">
      <w:pPr>
        <w:jc w:val="both"/>
        <w:rPr>
          <w:rFonts w:ascii="Times New Roman" w:hAnsi="Times New Roman"/>
          <w:i/>
          <w:color w:val="000000" w:themeColor="text1"/>
          <w:kern w:val="24"/>
          <w:sz w:val="24"/>
          <w:szCs w:val="24"/>
        </w:rPr>
      </w:pPr>
    </w:p>
    <w:p w14:paraId="6BD30AA2" w14:textId="77777777" w:rsidR="00EA1534" w:rsidRPr="00EA1534" w:rsidRDefault="00EA1534" w:rsidP="00EA1534">
      <w:pPr>
        <w:pStyle w:val="NormalWeb"/>
        <w:spacing w:line="276" w:lineRule="auto"/>
        <w:jc w:val="both"/>
        <w:rPr>
          <w:rFonts w:ascii="Arial" w:hAnsi="Arial" w:cs="Arial"/>
          <w:b/>
          <w:color w:val="000000" w:themeColor="text1"/>
          <w:sz w:val="22"/>
          <w:szCs w:val="22"/>
        </w:rPr>
      </w:pPr>
      <w:r>
        <w:rPr>
          <w:rFonts w:ascii="Arial" w:hAnsi="Arial" w:cs="Arial"/>
          <w:b/>
          <w:color w:val="000000" w:themeColor="text1"/>
          <w:sz w:val="22"/>
          <w:szCs w:val="22"/>
        </w:rPr>
        <w:t xml:space="preserve">3.3 </w:t>
      </w:r>
      <w:r w:rsidRPr="00EA1534">
        <w:rPr>
          <w:rFonts w:ascii="Arial" w:hAnsi="Arial" w:cs="Arial"/>
          <w:b/>
          <w:color w:val="000000" w:themeColor="text1"/>
          <w:sz w:val="22"/>
          <w:szCs w:val="22"/>
        </w:rPr>
        <w:t>Influence on Yield and Harvest Index:</w:t>
      </w:r>
    </w:p>
    <w:p w14:paraId="6BD30AA3" w14:textId="77777777" w:rsidR="00EA1534" w:rsidRPr="00EA1534" w:rsidRDefault="00EA1534" w:rsidP="00EA1534">
      <w:pPr>
        <w:spacing w:after="160"/>
        <w:jc w:val="both"/>
        <w:rPr>
          <w:rFonts w:ascii="Arial" w:hAnsi="Arial" w:cs="Arial"/>
          <w:color w:val="000000" w:themeColor="text1"/>
          <w:lang w:val="en-IN"/>
        </w:rPr>
      </w:pPr>
      <w:r w:rsidRPr="00EA1534">
        <w:rPr>
          <w:rFonts w:ascii="Arial" w:hAnsi="Arial" w:cs="Arial"/>
          <w:color w:val="000000" w:themeColor="text1"/>
        </w:rPr>
        <w:t>The presentation of data (Fig. 3) indicated that grain yield under the SRI system was markedly higher than the conventional method, recording 1.18 and 1.16-fold increase in 2016 and 2017, respectively. The pooled data confirmed this trend, showing an average grain yield of 57.13 q ha</w:t>
      </w:r>
      <w:r w:rsidRPr="00EA1534">
        <w:rPr>
          <w:rFonts w:ascii="Times New Roman" w:hAnsi="Times New Roman" w:cs="Arial"/>
          <w:color w:val="000000" w:themeColor="text1"/>
        </w:rPr>
        <w:t>⁻</w:t>
      </w:r>
      <w:r w:rsidRPr="00EA1534">
        <w:rPr>
          <w:rFonts w:ascii="Arial" w:hAnsi="Arial" w:cs="Arial"/>
          <w:color w:val="000000" w:themeColor="text1"/>
        </w:rPr>
        <w:t>¹ under SRI against 48.83 q ha</w:t>
      </w:r>
      <w:r w:rsidRPr="00EA1534">
        <w:rPr>
          <w:rFonts w:ascii="Times New Roman" w:hAnsi="Times New Roman" w:cs="Arial"/>
          <w:color w:val="000000" w:themeColor="text1"/>
        </w:rPr>
        <w:t>⁻</w:t>
      </w:r>
      <w:r w:rsidRPr="00EA1534">
        <w:rPr>
          <w:rFonts w:ascii="Arial" w:hAnsi="Arial" w:cs="Arial"/>
          <w:color w:val="000000" w:themeColor="text1"/>
        </w:rPr>
        <w:t>¹ with conventional method, reflecting a 17% improvement. Straw yield and harvest index (HI) were also significantly influenced by crop establishment method. On average, SRI produced 61.43 q ha</w:t>
      </w:r>
      <w:r w:rsidRPr="00EA1534">
        <w:rPr>
          <w:rFonts w:ascii="Times New Roman" w:hAnsi="Times New Roman" w:cs="Arial"/>
          <w:color w:val="000000" w:themeColor="text1"/>
        </w:rPr>
        <w:t>⁻</w:t>
      </w:r>
      <w:r w:rsidRPr="00EA1534">
        <w:rPr>
          <w:rFonts w:ascii="Arial" w:hAnsi="Arial" w:cs="Arial"/>
          <w:color w:val="000000" w:themeColor="text1"/>
        </w:rPr>
        <w:t>¹ of straw compared with 57.92 q ha</w:t>
      </w:r>
      <w:r w:rsidRPr="00EA1534">
        <w:rPr>
          <w:rFonts w:ascii="Times New Roman" w:hAnsi="Times New Roman" w:cs="Arial"/>
          <w:color w:val="000000" w:themeColor="text1"/>
        </w:rPr>
        <w:t>⁻</w:t>
      </w:r>
      <w:r w:rsidRPr="00EA1534">
        <w:rPr>
          <w:rFonts w:ascii="Arial" w:hAnsi="Arial" w:cs="Arial"/>
          <w:color w:val="000000" w:themeColor="text1"/>
        </w:rPr>
        <w:t xml:space="preserve">¹ under the conventional system (given in Fig. 3). Similarly, HI values were consistently higher under SRI, with 47.87 and 48.42 recorded in 2016 and 2017 versus 45.35 and 46.11 under conventional practice. Pooled analysis indicated a 5% gain in HI due to SRI </w:t>
      </w:r>
      <w:r w:rsidRPr="00EA1534">
        <w:rPr>
          <w:rFonts w:ascii="Arial" w:hAnsi="Arial" w:cs="Arial"/>
          <w:color w:val="000000" w:themeColor="text1"/>
          <w:lang w:val="en-IN"/>
        </w:rPr>
        <w:t>over conventional establishment.</w:t>
      </w:r>
    </w:p>
    <w:p w14:paraId="6BD30AA4" w14:textId="77777777" w:rsidR="00EA1534" w:rsidRPr="00EA1534" w:rsidRDefault="00EA1534" w:rsidP="00EA1534">
      <w:pPr>
        <w:pStyle w:val="NormalWeb"/>
        <w:spacing w:line="276" w:lineRule="auto"/>
        <w:jc w:val="both"/>
        <w:rPr>
          <w:rFonts w:ascii="Arial" w:hAnsi="Arial" w:cs="Arial"/>
          <w:color w:val="000000" w:themeColor="text1"/>
          <w:sz w:val="20"/>
          <w:szCs w:val="20"/>
          <w:lang w:val="en-IN"/>
        </w:rPr>
      </w:pPr>
      <w:r w:rsidRPr="00EA1534">
        <w:rPr>
          <w:rFonts w:ascii="Arial" w:hAnsi="Arial" w:cs="Arial"/>
          <w:color w:val="000000" w:themeColor="text1"/>
          <w:sz w:val="20"/>
          <w:szCs w:val="20"/>
        </w:rPr>
        <w:t xml:space="preserve">The superior performance of SRI can be attributed to transplanting younger, single seedlings under non-hypoxic conditions, which promotes better root development and physiological activity. This likely enhanced light interception, nutrient and water use efficiency, photosynthetic capacity, and assimilate translocation, leading to higher grain and straw yields as well as improved </w:t>
      </w:r>
      <w:proofErr w:type="gramStart"/>
      <w:r w:rsidRPr="00EA1534">
        <w:rPr>
          <w:rFonts w:ascii="Arial" w:hAnsi="Arial" w:cs="Arial"/>
          <w:color w:val="000000" w:themeColor="text1"/>
          <w:sz w:val="20"/>
          <w:szCs w:val="20"/>
        </w:rPr>
        <w:t>HI.</w:t>
      </w:r>
      <w:r w:rsidRPr="00EA1534">
        <w:rPr>
          <w:rFonts w:ascii="Arial" w:hAnsi="Arial" w:cs="Arial"/>
          <w:color w:val="000000" w:themeColor="text1"/>
          <w:sz w:val="20"/>
          <w:szCs w:val="20"/>
          <w:lang w:val="en-IN"/>
        </w:rPr>
        <w:t>This</w:t>
      </w:r>
      <w:proofErr w:type="gramEnd"/>
      <w:r w:rsidRPr="00EA1534">
        <w:rPr>
          <w:rFonts w:ascii="Arial" w:hAnsi="Arial" w:cs="Arial"/>
          <w:color w:val="000000" w:themeColor="text1"/>
          <w:sz w:val="20"/>
          <w:szCs w:val="20"/>
          <w:lang w:val="en-IN"/>
        </w:rPr>
        <w:t xml:space="preserve"> is in conformity with the findings of Thomas and Ramzi (2010), Sato</w:t>
      </w:r>
      <w:r w:rsidRPr="00EA1534">
        <w:rPr>
          <w:rFonts w:ascii="Arial" w:hAnsi="Arial" w:cs="Arial"/>
          <w:i/>
          <w:color w:val="000000" w:themeColor="text1"/>
          <w:sz w:val="20"/>
          <w:szCs w:val="20"/>
          <w:lang w:val="en-IN"/>
        </w:rPr>
        <w:t xml:space="preserve"> et al.</w:t>
      </w:r>
      <w:r w:rsidRPr="00EA1534">
        <w:rPr>
          <w:rFonts w:ascii="Arial" w:hAnsi="Arial" w:cs="Arial"/>
          <w:color w:val="000000" w:themeColor="text1"/>
          <w:sz w:val="20"/>
          <w:szCs w:val="20"/>
          <w:lang w:val="en-IN"/>
        </w:rPr>
        <w:t xml:space="preserve"> (2011), and Thakur </w:t>
      </w:r>
      <w:r w:rsidRPr="00EA1534">
        <w:rPr>
          <w:rFonts w:ascii="Arial" w:hAnsi="Arial" w:cs="Arial"/>
          <w:i/>
          <w:color w:val="000000" w:themeColor="text1"/>
          <w:sz w:val="20"/>
          <w:szCs w:val="20"/>
          <w:lang w:val="en-IN"/>
        </w:rPr>
        <w:t>et al.</w:t>
      </w:r>
      <w:r w:rsidRPr="00EA1534">
        <w:rPr>
          <w:rFonts w:ascii="Arial" w:hAnsi="Arial" w:cs="Arial"/>
          <w:color w:val="000000" w:themeColor="text1"/>
          <w:sz w:val="20"/>
          <w:szCs w:val="20"/>
          <w:lang w:val="en-IN"/>
        </w:rPr>
        <w:t xml:space="preserve"> (2015).</w:t>
      </w:r>
    </w:p>
    <w:p w14:paraId="6BD30AA5" w14:textId="77777777" w:rsidR="00EA1534" w:rsidRPr="00EA1534" w:rsidRDefault="00EA1534" w:rsidP="00EA1534">
      <w:pPr>
        <w:pStyle w:val="NormalWeb"/>
        <w:spacing w:line="276" w:lineRule="auto"/>
        <w:jc w:val="both"/>
        <w:rPr>
          <w:rFonts w:ascii="Arial" w:hAnsi="Arial" w:cs="Arial"/>
          <w:color w:val="000000" w:themeColor="text1"/>
          <w:sz w:val="20"/>
          <w:szCs w:val="20"/>
        </w:rPr>
      </w:pPr>
      <w:r w:rsidRPr="00EA1534">
        <w:rPr>
          <w:rFonts w:ascii="Arial" w:hAnsi="Arial" w:cs="Arial"/>
          <w:color w:val="000000" w:themeColor="text1"/>
          <w:sz w:val="20"/>
          <w:szCs w:val="20"/>
        </w:rPr>
        <w:t>Grain yield data (as indicated in Fig. 4) showed significant differences among transplanting dates. The earliest planting date (i.e. 26 June) produced the highest yields of 54.86 and 58.16 q ha</w:t>
      </w:r>
      <w:r w:rsidRPr="00EA1534">
        <w:rPr>
          <w:rFonts w:cs="Arial"/>
          <w:color w:val="000000" w:themeColor="text1"/>
          <w:sz w:val="20"/>
          <w:szCs w:val="20"/>
        </w:rPr>
        <w:t>⁻</w:t>
      </w:r>
      <w:r w:rsidRPr="00EA1534">
        <w:rPr>
          <w:rFonts w:ascii="Arial" w:hAnsi="Arial" w:cs="Arial"/>
          <w:color w:val="000000" w:themeColor="text1"/>
          <w:sz w:val="20"/>
          <w:szCs w:val="20"/>
        </w:rPr>
        <w:t>¹ in 2016 and 2017, respectively, followed by 10 July and 25 July. This advantage of early transplanting was statistically significant in both years. Pooled results confirmed that 26 June planting outperformed the delayed dates, yielding 1.02 and 1.09 times more grain than 10 July and 25 July, respectively.</w:t>
      </w:r>
    </w:p>
    <w:p w14:paraId="6BD30AA6" w14:textId="77777777" w:rsidR="00EA1534" w:rsidRPr="00EA1534" w:rsidRDefault="00EA1534" w:rsidP="00EA1534">
      <w:pPr>
        <w:pStyle w:val="NormalWeb"/>
        <w:spacing w:line="276" w:lineRule="auto"/>
        <w:jc w:val="both"/>
        <w:rPr>
          <w:rFonts w:ascii="Arial" w:hAnsi="Arial" w:cs="Arial"/>
          <w:color w:val="000000" w:themeColor="text1"/>
          <w:sz w:val="20"/>
          <w:szCs w:val="20"/>
        </w:rPr>
      </w:pPr>
      <w:r w:rsidRPr="00EA1534">
        <w:rPr>
          <w:rFonts w:ascii="Arial" w:hAnsi="Arial" w:cs="Arial"/>
          <w:color w:val="000000" w:themeColor="text1"/>
          <w:sz w:val="20"/>
          <w:szCs w:val="20"/>
        </w:rPr>
        <w:t>Straw yield and harvest index (HI) also declined progressively with delayed planting, though yields from 26 June and 10 July were statistically at par. Pooled analysis revealed a reduction of 5.55 q ha</w:t>
      </w:r>
      <w:r w:rsidRPr="00EA1534">
        <w:rPr>
          <w:rFonts w:cs="Arial"/>
          <w:color w:val="000000" w:themeColor="text1"/>
          <w:sz w:val="20"/>
          <w:szCs w:val="20"/>
        </w:rPr>
        <w:t>⁻</w:t>
      </w:r>
      <w:r w:rsidRPr="00EA1534">
        <w:rPr>
          <w:rFonts w:ascii="Arial" w:hAnsi="Arial" w:cs="Arial"/>
          <w:color w:val="000000" w:themeColor="text1"/>
          <w:sz w:val="20"/>
          <w:szCs w:val="20"/>
        </w:rPr>
        <w:t>¹ in straw yield and 1.25% in HI under late planting. The decline in yield and HI with delay may be attributed to adverse weather conditions that restricted canopy growth, reduced photosynthetic efficiency, and hampered assimilate translocation. Earlier findings of Gill et al., 2006; Meena et al., 2015; Diwan et al., 2017; and Gautam et al., 2019 similarly emphasize the strong influence of weather on rice productivity.</w:t>
      </w:r>
    </w:p>
    <w:p w14:paraId="6BD30AA7" w14:textId="77777777" w:rsidR="00EA1534" w:rsidRPr="00EA1534" w:rsidRDefault="00EA1534" w:rsidP="00EA1534">
      <w:pPr>
        <w:pStyle w:val="NormalWeb"/>
        <w:spacing w:line="276" w:lineRule="auto"/>
        <w:jc w:val="both"/>
        <w:rPr>
          <w:rFonts w:ascii="Arial" w:hAnsi="Arial" w:cs="Arial"/>
          <w:color w:val="000000" w:themeColor="text1"/>
          <w:sz w:val="20"/>
          <w:szCs w:val="20"/>
        </w:rPr>
      </w:pPr>
      <w:r w:rsidRPr="00EA1534">
        <w:rPr>
          <w:rFonts w:ascii="Arial" w:hAnsi="Arial" w:cs="Arial"/>
          <w:color w:val="000000" w:themeColor="text1"/>
          <w:sz w:val="20"/>
          <w:szCs w:val="20"/>
        </w:rPr>
        <w:t>Grain yield, as influenced by four different levels of hill density, showed a significant decline with increasing density, with the highest yields of 55.21 and 58.29 q ha</w:t>
      </w:r>
      <w:r w:rsidRPr="00EA1534">
        <w:rPr>
          <w:rFonts w:cs="Arial"/>
          <w:color w:val="000000" w:themeColor="text1"/>
          <w:sz w:val="20"/>
          <w:szCs w:val="20"/>
        </w:rPr>
        <w:t>⁻</w:t>
      </w:r>
      <w:r w:rsidRPr="00EA1534">
        <w:rPr>
          <w:rFonts w:ascii="Arial" w:hAnsi="Arial" w:cs="Arial"/>
          <w:color w:val="000000" w:themeColor="text1"/>
          <w:sz w:val="20"/>
          <w:szCs w:val="20"/>
        </w:rPr>
        <w:t>¹ recorded under 25 × 25 cm spacing (16 hills m</w:t>
      </w:r>
      <w:r w:rsidRPr="00EA1534">
        <w:rPr>
          <w:rFonts w:cs="Arial"/>
          <w:color w:val="000000" w:themeColor="text1"/>
          <w:sz w:val="20"/>
          <w:szCs w:val="20"/>
        </w:rPr>
        <w:t>⁻</w:t>
      </w:r>
      <w:r w:rsidRPr="00EA1534">
        <w:rPr>
          <w:rFonts w:ascii="Arial" w:hAnsi="Arial" w:cs="Arial"/>
          <w:color w:val="000000" w:themeColor="text1"/>
          <w:sz w:val="20"/>
          <w:szCs w:val="20"/>
        </w:rPr>
        <w:t>².) in 2016 and 2017, respectively, though these were statistically comparable with 20 hills m</w:t>
      </w:r>
      <w:r w:rsidRPr="00EA1534">
        <w:rPr>
          <w:rFonts w:cs="Arial"/>
          <w:color w:val="000000" w:themeColor="text1"/>
          <w:sz w:val="20"/>
          <w:szCs w:val="20"/>
        </w:rPr>
        <w:t>⁻</w:t>
      </w:r>
      <w:r w:rsidRPr="00EA1534">
        <w:rPr>
          <w:rFonts w:ascii="Arial" w:hAnsi="Arial" w:cs="Arial"/>
          <w:color w:val="000000" w:themeColor="text1"/>
          <w:sz w:val="20"/>
          <w:szCs w:val="20"/>
        </w:rPr>
        <w:t>² and 25 hills m</w:t>
      </w:r>
      <w:r w:rsidRPr="00EA1534">
        <w:rPr>
          <w:rFonts w:cs="Arial"/>
          <w:color w:val="000000" w:themeColor="text1"/>
          <w:sz w:val="20"/>
          <w:szCs w:val="20"/>
        </w:rPr>
        <w:t>⁻</w:t>
      </w:r>
      <w:r w:rsidRPr="00EA1534">
        <w:rPr>
          <w:rFonts w:ascii="Arial" w:hAnsi="Arial" w:cs="Arial"/>
          <w:color w:val="000000" w:themeColor="text1"/>
          <w:sz w:val="20"/>
          <w:szCs w:val="20"/>
        </w:rPr>
        <w:t>² as depicted in Figure 6. Pooled analysis confirmed this trend, showing a 1.12-fold advantage of 16 hills m</w:t>
      </w:r>
      <w:r w:rsidRPr="00EA1534">
        <w:rPr>
          <w:rFonts w:cs="Arial"/>
          <w:color w:val="000000" w:themeColor="text1"/>
          <w:sz w:val="20"/>
          <w:szCs w:val="20"/>
        </w:rPr>
        <w:t>⁻</w:t>
      </w:r>
      <w:r w:rsidRPr="00EA1534">
        <w:rPr>
          <w:rFonts w:ascii="Arial" w:hAnsi="Arial" w:cs="Arial"/>
          <w:color w:val="000000" w:themeColor="text1"/>
          <w:sz w:val="20"/>
          <w:szCs w:val="20"/>
        </w:rPr>
        <w:t>² over the densest planting (33 hills m</w:t>
      </w:r>
      <w:r w:rsidRPr="00EA1534">
        <w:rPr>
          <w:rFonts w:cs="Arial"/>
          <w:color w:val="000000" w:themeColor="text1"/>
          <w:sz w:val="20"/>
          <w:szCs w:val="20"/>
        </w:rPr>
        <w:t>⁻</w:t>
      </w:r>
      <w:r w:rsidRPr="00EA1534">
        <w:rPr>
          <w:rFonts w:ascii="Arial" w:hAnsi="Arial" w:cs="Arial"/>
          <w:color w:val="000000" w:themeColor="text1"/>
          <w:sz w:val="20"/>
          <w:szCs w:val="20"/>
        </w:rPr>
        <w:t>²). For straw yield, the 20 × 25 cm spacing (20 hills m</w:t>
      </w:r>
      <w:r w:rsidRPr="00EA1534">
        <w:rPr>
          <w:rFonts w:cs="Arial"/>
          <w:color w:val="000000" w:themeColor="text1"/>
          <w:sz w:val="20"/>
          <w:szCs w:val="20"/>
        </w:rPr>
        <w:t>⁻</w:t>
      </w:r>
      <w:r w:rsidRPr="00EA1534">
        <w:rPr>
          <w:rFonts w:ascii="Arial" w:hAnsi="Arial" w:cs="Arial"/>
          <w:color w:val="000000" w:themeColor="text1"/>
          <w:sz w:val="20"/>
          <w:szCs w:val="20"/>
        </w:rPr>
        <w:t>²) recorded the highest values, which remained at par with 16 hills m</w:t>
      </w:r>
      <w:r w:rsidRPr="00EA1534">
        <w:rPr>
          <w:rFonts w:cs="Arial"/>
          <w:color w:val="000000" w:themeColor="text1"/>
          <w:sz w:val="20"/>
          <w:szCs w:val="20"/>
        </w:rPr>
        <w:t>⁻</w:t>
      </w:r>
      <w:r w:rsidRPr="00EA1534">
        <w:rPr>
          <w:rFonts w:ascii="Arial" w:hAnsi="Arial" w:cs="Arial"/>
          <w:color w:val="000000" w:themeColor="text1"/>
          <w:sz w:val="20"/>
          <w:szCs w:val="20"/>
        </w:rPr>
        <w:t>² and 25 hills m</w:t>
      </w:r>
      <w:r w:rsidRPr="00EA1534">
        <w:rPr>
          <w:rFonts w:cs="Arial"/>
          <w:color w:val="000000" w:themeColor="text1"/>
          <w:sz w:val="20"/>
          <w:szCs w:val="20"/>
        </w:rPr>
        <w:t>⁻</w:t>
      </w:r>
      <w:r w:rsidRPr="00EA1534">
        <w:rPr>
          <w:rFonts w:ascii="Arial" w:hAnsi="Arial" w:cs="Arial"/>
          <w:color w:val="000000" w:themeColor="text1"/>
          <w:sz w:val="20"/>
          <w:szCs w:val="20"/>
        </w:rPr>
        <w:t>² but were significantly superior to 33 hills m</w:t>
      </w:r>
      <w:r w:rsidRPr="00EA1534">
        <w:rPr>
          <w:rFonts w:cs="Arial"/>
          <w:color w:val="000000" w:themeColor="text1"/>
          <w:sz w:val="20"/>
          <w:szCs w:val="20"/>
        </w:rPr>
        <w:t>⁻</w:t>
      </w:r>
      <w:r w:rsidRPr="00EA1534">
        <w:rPr>
          <w:rFonts w:ascii="Arial" w:hAnsi="Arial" w:cs="Arial"/>
          <w:color w:val="000000" w:themeColor="text1"/>
          <w:sz w:val="20"/>
          <w:szCs w:val="20"/>
        </w:rPr>
        <w:t>². Harvest index (HI) showed a gradual rise as hill density decreased, though the effect was statistically non-significant. The yield benefits under wider spacing can be attributed to improved expression of yield attributes, enlarged sink capacity, and efficient assimilate translocation under optimal planting geometry. Comparable results have been reported by Sekhar et al. (2009) and Dass &amp; Chandra (2012).</w:t>
      </w:r>
    </w:p>
    <w:p w14:paraId="6BD30AA8" w14:textId="77777777" w:rsidR="00EA1534" w:rsidRPr="009E5946" w:rsidRDefault="00EA1534" w:rsidP="00EA1534">
      <w:pPr>
        <w:pStyle w:val="NormalWeb"/>
        <w:spacing w:line="276" w:lineRule="auto"/>
        <w:jc w:val="both"/>
        <w:rPr>
          <w:color w:val="000000" w:themeColor="text1"/>
        </w:rPr>
      </w:pPr>
      <w:r w:rsidRPr="009E5946">
        <w:rPr>
          <w:noProof/>
          <w:color w:val="000000" w:themeColor="text1"/>
        </w:rPr>
        <w:lastRenderedPageBreak/>
        <w:drawing>
          <wp:inline distT="0" distB="0" distL="0" distR="0" wp14:anchorId="6BD30B85" wp14:editId="6BD30B86">
            <wp:extent cx="5141346" cy="2250219"/>
            <wp:effectExtent l="0" t="0" r="0" b="0"/>
            <wp:docPr id="4" name="Chart 1">
              <a:extLst xmlns:a="http://schemas.openxmlformats.org/drawingml/2006/main">
                <a:ext uri="{FF2B5EF4-FFF2-40B4-BE49-F238E27FC236}">
                  <a16:creationId xmlns:a16="http://schemas.microsoft.com/office/drawing/2014/main" id="{FDD8BB08-5546-D6C6-2E62-0C407451F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D30AA9" w14:textId="78ED5EDA" w:rsidR="00EA1534" w:rsidRPr="00EA1534" w:rsidRDefault="00EA1534" w:rsidP="00EA1534">
      <w:pPr>
        <w:pStyle w:val="NormalWeb"/>
        <w:spacing w:line="276" w:lineRule="auto"/>
        <w:jc w:val="both"/>
        <w:rPr>
          <w:rFonts w:ascii="Arial" w:hAnsi="Arial" w:cs="Arial"/>
          <w:b/>
          <w:color w:val="000000" w:themeColor="text1"/>
          <w:sz w:val="20"/>
          <w:szCs w:val="20"/>
        </w:rPr>
      </w:pPr>
      <w:r>
        <w:rPr>
          <w:rFonts w:ascii="Arial" w:hAnsi="Arial" w:cs="Arial"/>
          <w:b/>
          <w:color w:val="000000" w:themeColor="text1"/>
          <w:sz w:val="20"/>
          <w:szCs w:val="20"/>
        </w:rPr>
        <w:t>Fig. 3.</w:t>
      </w:r>
      <w:r w:rsidR="00365801">
        <w:rPr>
          <w:rFonts w:ascii="Arial" w:hAnsi="Arial" w:cs="Arial"/>
          <w:b/>
          <w:color w:val="000000" w:themeColor="text1"/>
          <w:sz w:val="20"/>
          <w:szCs w:val="20"/>
        </w:rPr>
        <w:t xml:space="preserve"> </w:t>
      </w:r>
      <w:r w:rsidRPr="00EA1534">
        <w:rPr>
          <w:rFonts w:ascii="Arial" w:hAnsi="Arial" w:cs="Arial"/>
          <w:b/>
          <w:color w:val="000000" w:themeColor="text1"/>
          <w:sz w:val="20"/>
          <w:szCs w:val="20"/>
          <w:lang w:val="en-IN"/>
        </w:rPr>
        <w:t xml:space="preserve">Grain yield, straw yield and HI </w:t>
      </w:r>
      <w:r w:rsidRPr="00EA1534">
        <w:rPr>
          <w:rFonts w:ascii="Arial" w:hAnsi="Arial" w:cs="Arial"/>
          <w:b/>
          <w:color w:val="000000" w:themeColor="text1"/>
          <w:sz w:val="20"/>
          <w:szCs w:val="20"/>
        </w:rPr>
        <w:t>as influenced by method of crop establishment</w:t>
      </w:r>
    </w:p>
    <w:p w14:paraId="6BD30AAA" w14:textId="77777777" w:rsidR="00EA1534" w:rsidRPr="009E5946" w:rsidRDefault="00EA1534" w:rsidP="00EA1534">
      <w:pPr>
        <w:pStyle w:val="NormalWeb"/>
        <w:spacing w:line="276" w:lineRule="auto"/>
        <w:jc w:val="both"/>
        <w:rPr>
          <w:color w:val="000000" w:themeColor="text1"/>
        </w:rPr>
      </w:pPr>
      <w:r w:rsidRPr="009E5946">
        <w:rPr>
          <w:noProof/>
          <w:color w:val="000000" w:themeColor="text1"/>
        </w:rPr>
        <w:drawing>
          <wp:inline distT="0" distB="0" distL="0" distR="0" wp14:anchorId="6BD30B87" wp14:editId="6BD30B88">
            <wp:extent cx="5140960" cy="2570591"/>
            <wp:effectExtent l="0" t="0" r="0" b="0"/>
            <wp:docPr id="5" name="Chart 1">
              <a:extLst xmlns:a="http://schemas.openxmlformats.org/drawingml/2006/main">
                <a:ext uri="{FF2B5EF4-FFF2-40B4-BE49-F238E27FC236}">
                  <a16:creationId xmlns:a16="http://schemas.microsoft.com/office/drawing/2014/main" id="{6267B428-6CCD-32D5-6016-61D9B65E6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D30AAB" w14:textId="77777777" w:rsidR="00EA1534" w:rsidRPr="00EA1534" w:rsidRDefault="00EA1534" w:rsidP="00EA1534">
      <w:pPr>
        <w:pStyle w:val="NormalWeb"/>
        <w:spacing w:line="276" w:lineRule="auto"/>
        <w:jc w:val="both"/>
        <w:rPr>
          <w:rFonts w:ascii="Arial" w:hAnsi="Arial" w:cs="Arial"/>
          <w:b/>
          <w:color w:val="000000" w:themeColor="text1"/>
          <w:sz w:val="20"/>
          <w:szCs w:val="20"/>
        </w:rPr>
      </w:pPr>
      <w:r>
        <w:rPr>
          <w:rFonts w:ascii="Arial" w:hAnsi="Arial" w:cs="Arial"/>
          <w:b/>
          <w:color w:val="000000" w:themeColor="text1"/>
          <w:sz w:val="20"/>
          <w:szCs w:val="20"/>
          <w:lang w:val="en-IN"/>
        </w:rPr>
        <w:t>Fig. 4.</w:t>
      </w:r>
      <w:r w:rsidRPr="00EA1534">
        <w:rPr>
          <w:rFonts w:ascii="Arial" w:hAnsi="Arial" w:cs="Arial"/>
          <w:b/>
          <w:color w:val="000000" w:themeColor="text1"/>
          <w:sz w:val="20"/>
          <w:szCs w:val="20"/>
          <w:lang w:val="en-IN"/>
        </w:rPr>
        <w:t xml:space="preserve"> Grain yield, straw yield and HI </w:t>
      </w:r>
      <w:r w:rsidRPr="00EA1534">
        <w:rPr>
          <w:rFonts w:ascii="Arial" w:hAnsi="Arial" w:cs="Arial"/>
          <w:b/>
          <w:color w:val="000000" w:themeColor="text1"/>
          <w:sz w:val="20"/>
          <w:szCs w:val="20"/>
        </w:rPr>
        <w:t>as influenced by the date of transplanting</w:t>
      </w:r>
    </w:p>
    <w:p w14:paraId="6BD30AAC" w14:textId="77777777" w:rsidR="00EA1534" w:rsidRPr="009E5946" w:rsidRDefault="00EA1534" w:rsidP="00EA1534">
      <w:pPr>
        <w:pStyle w:val="NormalWeb"/>
        <w:spacing w:line="276" w:lineRule="auto"/>
        <w:jc w:val="both"/>
        <w:rPr>
          <w:rStyle w:val="Strong"/>
          <w:b w:val="0"/>
          <w:bCs w:val="0"/>
          <w:color w:val="000000" w:themeColor="text1"/>
        </w:rPr>
      </w:pPr>
      <w:r w:rsidRPr="009E5946">
        <w:rPr>
          <w:noProof/>
          <w:color w:val="000000" w:themeColor="text1"/>
        </w:rPr>
        <w:drawing>
          <wp:inline distT="0" distB="0" distL="0" distR="0" wp14:anchorId="6BD30B89" wp14:editId="6BD30B8A">
            <wp:extent cx="5140960" cy="2385391"/>
            <wp:effectExtent l="0" t="0" r="0" b="0"/>
            <wp:docPr id="6" name="Chart 1">
              <a:extLst xmlns:a="http://schemas.openxmlformats.org/drawingml/2006/main">
                <a:ext uri="{FF2B5EF4-FFF2-40B4-BE49-F238E27FC236}">
                  <a16:creationId xmlns:a16="http://schemas.microsoft.com/office/drawing/2014/main" id="{3F6B982C-63B0-3E56-B37F-C5CD8DD58E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D30AAD" w14:textId="77777777" w:rsidR="00EA1534" w:rsidRPr="00EA1534" w:rsidRDefault="00EA1534" w:rsidP="00EA1534">
      <w:pPr>
        <w:pStyle w:val="NormalWeb"/>
        <w:spacing w:line="276" w:lineRule="auto"/>
        <w:jc w:val="both"/>
        <w:rPr>
          <w:rStyle w:val="Strong"/>
          <w:rFonts w:ascii="Arial" w:hAnsi="Arial" w:cs="Arial"/>
          <w:b w:val="0"/>
          <w:bCs w:val="0"/>
          <w:color w:val="000000" w:themeColor="text1"/>
          <w:sz w:val="20"/>
          <w:szCs w:val="20"/>
        </w:rPr>
      </w:pPr>
      <w:r w:rsidRPr="00EA1534">
        <w:rPr>
          <w:rFonts w:ascii="Arial" w:hAnsi="Arial" w:cs="Arial"/>
          <w:b/>
          <w:color w:val="000000" w:themeColor="text1"/>
          <w:sz w:val="20"/>
          <w:szCs w:val="20"/>
          <w:lang w:val="en-IN"/>
        </w:rPr>
        <w:t xml:space="preserve">Fig. 5. Grain yield, straw yield and HI </w:t>
      </w:r>
      <w:r w:rsidRPr="00EA1534">
        <w:rPr>
          <w:rFonts w:ascii="Arial" w:hAnsi="Arial" w:cs="Arial"/>
          <w:b/>
          <w:color w:val="000000" w:themeColor="text1"/>
          <w:sz w:val="20"/>
          <w:szCs w:val="20"/>
        </w:rPr>
        <w:t>as influenced by hill density</w:t>
      </w:r>
    </w:p>
    <w:p w14:paraId="6BD30AAE" w14:textId="77777777" w:rsidR="00EA1534" w:rsidRDefault="00EA1534" w:rsidP="00EA1534">
      <w:pPr>
        <w:pStyle w:val="NormalWeb"/>
        <w:spacing w:line="276" w:lineRule="auto"/>
        <w:jc w:val="both"/>
        <w:rPr>
          <w:rFonts w:ascii="Arial" w:hAnsi="Arial" w:cs="Arial"/>
          <w:b/>
          <w:color w:val="000000" w:themeColor="text1"/>
          <w:sz w:val="22"/>
          <w:szCs w:val="22"/>
        </w:rPr>
      </w:pPr>
      <w:r w:rsidRPr="00EA1534">
        <w:rPr>
          <w:rFonts w:ascii="Arial" w:hAnsi="Arial" w:cs="Arial"/>
          <w:b/>
          <w:color w:val="000000" w:themeColor="text1"/>
          <w:sz w:val="22"/>
          <w:szCs w:val="22"/>
        </w:rPr>
        <w:lastRenderedPageBreak/>
        <w:t>3.4 Correlation studies</w:t>
      </w:r>
    </w:p>
    <w:p w14:paraId="6BD30AAF" w14:textId="77777777" w:rsidR="00EA1534" w:rsidRPr="00EA1534" w:rsidRDefault="00EA1534" w:rsidP="00EA1534">
      <w:pPr>
        <w:tabs>
          <w:tab w:val="left" w:pos="7956"/>
        </w:tabs>
        <w:jc w:val="both"/>
        <w:rPr>
          <w:rFonts w:ascii="Arial" w:hAnsi="Arial" w:cs="Arial"/>
          <w:color w:val="000000" w:themeColor="text1"/>
        </w:rPr>
      </w:pPr>
      <w:r w:rsidRPr="00EA1534">
        <w:rPr>
          <w:rFonts w:ascii="Arial" w:hAnsi="Arial" w:cs="Arial"/>
          <w:color w:val="000000" w:themeColor="text1"/>
        </w:rPr>
        <w:t>A correlation study was carried out to examine how yield and yield attributes relate to microclimatic factors and thermal indices. The correlation coefficients were derived from the average data of both the first and second year.</w:t>
      </w:r>
    </w:p>
    <w:p w14:paraId="6BD30AB0" w14:textId="77777777" w:rsidR="00E053D0" w:rsidRDefault="00EA1534" w:rsidP="00EA1534">
      <w:pPr>
        <w:tabs>
          <w:tab w:val="left" w:pos="7956"/>
        </w:tabs>
        <w:jc w:val="both"/>
        <w:rPr>
          <w:rFonts w:ascii="Arial" w:hAnsi="Arial" w:cs="Arial"/>
          <w:color w:val="000000" w:themeColor="text1"/>
        </w:rPr>
      </w:pPr>
      <w:r w:rsidRPr="00EA1534">
        <w:rPr>
          <w:rFonts w:ascii="Arial" w:hAnsi="Arial" w:cs="Arial"/>
          <w:color w:val="000000" w:themeColor="text1"/>
        </w:rPr>
        <w:t>The analysis of grain yield against different parameters such as LAI, light intensity, chlorophyll content, LTR, and thermal indices (</w:t>
      </w:r>
      <w:r>
        <w:rPr>
          <w:rFonts w:ascii="Arial" w:hAnsi="Arial" w:cs="Arial"/>
          <w:color w:val="000000" w:themeColor="text1"/>
        </w:rPr>
        <w:t>Fig. 6</w:t>
      </w:r>
      <w:r w:rsidRPr="00EA1534">
        <w:rPr>
          <w:rFonts w:ascii="Arial" w:hAnsi="Arial" w:cs="Arial"/>
          <w:color w:val="000000" w:themeColor="text1"/>
        </w:rPr>
        <w:t xml:space="preserve">) revealed a strong and significant positive correlation of grain yield with chlorophyll content across all crop stages—MTS (0.95), flowering (0.90), and PM (0.88). Similarly, yield showed significant positive correlations with RUE (0.94) and HUE (0.83). In contrast, grain yield was negatively and significantly associated with LTR during the MTS stage and with AHTU at harvest. </w:t>
      </w:r>
      <w:r w:rsidR="00590CD9" w:rsidRPr="00590CD9">
        <w:rPr>
          <w:rFonts w:ascii="Arial" w:hAnsi="Arial" w:cs="Arial"/>
          <w:color w:val="000000" w:themeColor="text1"/>
        </w:rPr>
        <w:t>Apart from yield, LTR displayed negative associations with LAI and chlorophyll content throughout the crop cycle, and also with RUE and HUE at physiological maturity. LTR at MTS exhibited particularly strong correlations with these traits, though its relationship with RUE and HUE remained significantly negative across the growth period. This pattern suggests that higher absorption of PAR and heat energy by the crop canopy enhances yield and related traits. Conversely, LTR showed positive correlations with light intensity, AGDD, and APTU during the flowering and physiological maturity stages. This underlines the critical role of LTR at the maximum tillering stage in influencing grain yield.</w:t>
      </w:r>
      <w:r w:rsidR="00590CD9">
        <w:rPr>
          <w:rFonts w:ascii="Arial" w:hAnsi="Arial" w:cs="Arial"/>
          <w:color w:val="000000" w:themeColor="text1"/>
        </w:rPr>
        <w:t xml:space="preserve"> </w:t>
      </w:r>
      <w:r w:rsidRPr="00EA1534">
        <w:rPr>
          <w:rFonts w:ascii="Arial" w:hAnsi="Arial" w:cs="Arial"/>
          <w:color w:val="000000" w:themeColor="text1"/>
        </w:rPr>
        <w:t>Interestingly, chlorophyll content was also found to be negatively correlated with LTR at MTS, while LAI, RUE, and HUE maintained a consistent positive correlation across all crop stages. For the other parameters, correlations with yield were largely insignificant.</w:t>
      </w:r>
    </w:p>
    <w:p w14:paraId="6BD30AB1" w14:textId="77777777" w:rsidR="0014030D" w:rsidRPr="00EA1534" w:rsidRDefault="0014030D" w:rsidP="00EA1534">
      <w:pPr>
        <w:tabs>
          <w:tab w:val="left" w:pos="7956"/>
        </w:tabs>
        <w:jc w:val="both"/>
        <w:rPr>
          <w:rFonts w:ascii="Arial" w:hAnsi="Arial" w:cs="Arial"/>
          <w:color w:val="000000" w:themeColor="text1"/>
        </w:rPr>
      </w:pPr>
    </w:p>
    <w:p w14:paraId="6BD30AB2" w14:textId="77777777" w:rsidR="00EA1534" w:rsidRDefault="00EA1534" w:rsidP="00EA1534">
      <w:pPr>
        <w:jc w:val="both"/>
        <w:rPr>
          <w:rFonts w:ascii="Times New Roman" w:hAnsi="Times New Roman"/>
          <w:i/>
          <w:color w:val="000000" w:themeColor="text1"/>
          <w:kern w:val="24"/>
          <w:sz w:val="24"/>
          <w:szCs w:val="24"/>
        </w:rPr>
      </w:pPr>
      <w:r w:rsidRPr="004E54B8">
        <w:rPr>
          <w:rFonts w:ascii="Times New Roman" w:hAnsi="Times New Roman"/>
          <w:noProof/>
          <w:color w:val="000000" w:themeColor="text1"/>
          <w:sz w:val="24"/>
          <w:szCs w:val="24"/>
        </w:rPr>
        <w:drawing>
          <wp:inline distT="0" distB="0" distL="0" distR="0" wp14:anchorId="6BD30B8B" wp14:editId="26AFEAA3">
            <wp:extent cx="6369050" cy="3505200"/>
            <wp:effectExtent l="57150" t="57150" r="31750" b="19050"/>
            <wp:docPr id="1212990116" name="Chart 1">
              <a:extLst xmlns:a="http://schemas.openxmlformats.org/drawingml/2006/main">
                <a:ext uri="{FF2B5EF4-FFF2-40B4-BE49-F238E27FC236}">
                  <a16:creationId xmlns:a16="http://schemas.microsoft.com/office/drawing/2014/main" id="{6F20D6C4-888C-331C-C386-572B6F7DC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D4B7FB" w14:textId="77777777" w:rsidR="002A64EE" w:rsidRPr="0014030D" w:rsidRDefault="002A64EE" w:rsidP="002A64EE">
      <w:pPr>
        <w:tabs>
          <w:tab w:val="left" w:pos="7956"/>
        </w:tabs>
        <w:jc w:val="both"/>
        <w:rPr>
          <w:rFonts w:ascii="Arial" w:hAnsi="Arial" w:cs="Arial"/>
          <w:b/>
          <w:color w:val="000000" w:themeColor="text1"/>
          <w:lang w:val="en-IN"/>
        </w:rPr>
      </w:pPr>
      <w:r w:rsidRPr="0014030D">
        <w:rPr>
          <w:rFonts w:ascii="Arial" w:hAnsi="Arial" w:cs="Arial"/>
          <w:i/>
        </w:rPr>
        <w:t>** LAI: leaf area index; LI: light intensity (µmole m</w:t>
      </w:r>
      <w:r w:rsidRPr="0014030D">
        <w:rPr>
          <w:rFonts w:ascii="Arial" w:hAnsi="Arial" w:cs="Arial"/>
          <w:i/>
          <w:vertAlign w:val="superscript"/>
        </w:rPr>
        <w:t>-2</w:t>
      </w:r>
      <w:r w:rsidRPr="0014030D">
        <w:rPr>
          <w:rFonts w:ascii="Arial" w:hAnsi="Arial" w:cs="Arial"/>
          <w:i/>
        </w:rPr>
        <w:t>s</w:t>
      </w:r>
      <w:r w:rsidRPr="0014030D">
        <w:rPr>
          <w:rFonts w:ascii="Arial" w:hAnsi="Arial" w:cs="Arial"/>
          <w:i/>
          <w:vertAlign w:val="superscript"/>
        </w:rPr>
        <w:t>-1</w:t>
      </w:r>
      <w:r w:rsidRPr="0014030D">
        <w:rPr>
          <w:rFonts w:ascii="Arial" w:hAnsi="Arial" w:cs="Arial"/>
          <w:i/>
        </w:rPr>
        <w:t xml:space="preserve">); LTR: light transmission </w:t>
      </w:r>
      <w:proofErr w:type="spellStart"/>
      <w:r w:rsidRPr="0014030D">
        <w:rPr>
          <w:rFonts w:ascii="Arial" w:hAnsi="Arial" w:cs="Arial"/>
          <w:i/>
        </w:rPr>
        <w:t>ratio;MT</w:t>
      </w:r>
      <w:proofErr w:type="spellEnd"/>
      <w:r w:rsidRPr="0014030D">
        <w:rPr>
          <w:rFonts w:ascii="Arial" w:hAnsi="Arial" w:cs="Arial"/>
          <w:i/>
        </w:rPr>
        <w:t xml:space="preserve">: maximum </w:t>
      </w:r>
      <w:proofErr w:type="spellStart"/>
      <w:r w:rsidRPr="0014030D">
        <w:rPr>
          <w:rFonts w:ascii="Arial" w:hAnsi="Arial" w:cs="Arial"/>
          <w:i/>
        </w:rPr>
        <w:t>tillering</w:t>
      </w:r>
      <w:proofErr w:type="spellEnd"/>
      <w:r w:rsidRPr="0014030D">
        <w:rPr>
          <w:rFonts w:ascii="Arial" w:hAnsi="Arial" w:cs="Arial"/>
          <w:i/>
        </w:rPr>
        <w:t>; F: 50% flowering  PM: physiological maturity; AGDD: accumulated growing degree Days  (</w:t>
      </w:r>
      <w:r w:rsidRPr="0014030D">
        <w:rPr>
          <w:rFonts w:ascii="Arial" w:hAnsi="Arial" w:cs="Arial"/>
          <w:i/>
          <w:vertAlign w:val="superscript"/>
        </w:rPr>
        <w:t>o</w:t>
      </w:r>
      <w:r w:rsidRPr="0014030D">
        <w:rPr>
          <w:rFonts w:ascii="Arial" w:hAnsi="Arial" w:cs="Arial"/>
          <w:i/>
        </w:rPr>
        <w:t xml:space="preserve">d); AHTU: accumulated </w:t>
      </w:r>
      <w:proofErr w:type="spellStart"/>
      <w:r w:rsidRPr="0014030D">
        <w:rPr>
          <w:rFonts w:ascii="Arial" w:hAnsi="Arial" w:cs="Arial"/>
          <w:i/>
        </w:rPr>
        <w:t>helio</w:t>
      </w:r>
      <w:proofErr w:type="spellEnd"/>
      <w:r w:rsidRPr="0014030D">
        <w:rPr>
          <w:rFonts w:ascii="Arial" w:hAnsi="Arial" w:cs="Arial"/>
          <w:i/>
        </w:rPr>
        <w:t xml:space="preserve"> thermal unit (°C </w:t>
      </w:r>
      <w:proofErr w:type="spellStart"/>
      <w:r w:rsidRPr="0014030D">
        <w:rPr>
          <w:rFonts w:ascii="Arial" w:hAnsi="Arial" w:cs="Arial"/>
          <w:i/>
        </w:rPr>
        <w:t>hr</w:t>
      </w:r>
      <w:proofErr w:type="spellEnd"/>
      <w:r w:rsidRPr="0014030D">
        <w:rPr>
          <w:rFonts w:ascii="Arial" w:hAnsi="Arial" w:cs="Arial"/>
          <w:i/>
        </w:rPr>
        <w:t>); APTU: accumulated photo thermal unit (</w:t>
      </w:r>
      <w:proofErr w:type="spellStart"/>
      <w:r w:rsidRPr="0014030D">
        <w:rPr>
          <w:rFonts w:ascii="Arial" w:hAnsi="Arial" w:cs="Arial"/>
          <w:i/>
          <w:vertAlign w:val="superscript"/>
        </w:rPr>
        <w:t>o</w:t>
      </w:r>
      <w:r w:rsidRPr="0014030D">
        <w:rPr>
          <w:rFonts w:ascii="Arial" w:hAnsi="Arial" w:cs="Arial"/>
          <w:i/>
        </w:rPr>
        <w:t>Chr</w:t>
      </w:r>
      <w:proofErr w:type="spellEnd"/>
      <w:r w:rsidRPr="0014030D">
        <w:rPr>
          <w:rFonts w:ascii="Arial" w:hAnsi="Arial" w:cs="Arial"/>
          <w:i/>
        </w:rPr>
        <w:t>); RUE: radiation use efficiency (g MJ</w:t>
      </w:r>
      <w:r w:rsidRPr="0014030D">
        <w:rPr>
          <w:rFonts w:ascii="Arial" w:hAnsi="Arial" w:cs="Arial"/>
          <w:i/>
          <w:vertAlign w:val="superscript"/>
        </w:rPr>
        <w:t>-1</w:t>
      </w:r>
      <w:r w:rsidRPr="0014030D">
        <w:rPr>
          <w:rFonts w:ascii="Arial" w:hAnsi="Arial" w:cs="Arial"/>
          <w:i/>
        </w:rPr>
        <w:t>); AIPAR: accumulated incident photosynthetic active radiation (MJ m</w:t>
      </w:r>
      <w:r w:rsidRPr="0014030D">
        <w:rPr>
          <w:rFonts w:ascii="Arial" w:hAnsi="Arial" w:cs="Arial"/>
          <w:i/>
          <w:vertAlign w:val="superscript"/>
        </w:rPr>
        <w:t>-2</w:t>
      </w:r>
      <w:r w:rsidRPr="0014030D">
        <w:rPr>
          <w:rFonts w:ascii="Arial" w:hAnsi="Arial" w:cs="Arial"/>
          <w:i/>
        </w:rPr>
        <w:t>); HUE: heat use efficiency (kg ha</w:t>
      </w:r>
      <w:r w:rsidRPr="0014030D">
        <w:rPr>
          <w:rFonts w:ascii="Arial" w:hAnsi="Arial" w:cs="Arial"/>
          <w:i/>
          <w:vertAlign w:val="superscript"/>
        </w:rPr>
        <w:t>-1o</w:t>
      </w:r>
      <w:r w:rsidRPr="0014030D">
        <w:rPr>
          <w:rFonts w:ascii="Arial" w:hAnsi="Arial" w:cs="Arial"/>
          <w:i/>
        </w:rPr>
        <w:t>d</w:t>
      </w:r>
      <w:r w:rsidRPr="0014030D">
        <w:rPr>
          <w:rFonts w:ascii="Arial" w:hAnsi="Arial" w:cs="Arial"/>
          <w:i/>
          <w:vertAlign w:val="superscript"/>
        </w:rPr>
        <w:t>-1</w:t>
      </w:r>
      <w:r w:rsidRPr="0014030D">
        <w:rPr>
          <w:rFonts w:ascii="Arial" w:hAnsi="Arial" w:cs="Arial"/>
          <w:i/>
        </w:rPr>
        <w:t>)</w:t>
      </w:r>
    </w:p>
    <w:p w14:paraId="51CBA062" w14:textId="77777777" w:rsidR="002A64EE" w:rsidRPr="009E5946" w:rsidRDefault="002A64EE" w:rsidP="00EA1534">
      <w:pPr>
        <w:jc w:val="both"/>
        <w:rPr>
          <w:rFonts w:ascii="Times New Roman" w:hAnsi="Times New Roman"/>
          <w:i/>
          <w:color w:val="000000" w:themeColor="text1"/>
          <w:kern w:val="24"/>
          <w:sz w:val="24"/>
          <w:szCs w:val="24"/>
        </w:rPr>
      </w:pPr>
    </w:p>
    <w:p w14:paraId="6BD30AB3" w14:textId="77777777" w:rsidR="00EA1534" w:rsidRDefault="00EA1534" w:rsidP="00EA1534">
      <w:pPr>
        <w:tabs>
          <w:tab w:val="left" w:pos="7956"/>
        </w:tabs>
        <w:jc w:val="both"/>
        <w:rPr>
          <w:rStyle w:val="Strong"/>
          <w:rFonts w:ascii="Times New Roman" w:hAnsi="Times New Roman"/>
          <w:color w:val="000000" w:themeColor="text1"/>
          <w:sz w:val="24"/>
          <w:szCs w:val="24"/>
        </w:rPr>
      </w:pPr>
    </w:p>
    <w:p w14:paraId="6BD30AB4" w14:textId="77777777" w:rsidR="00EA1534" w:rsidRDefault="00EA1534" w:rsidP="00EA1534">
      <w:pPr>
        <w:tabs>
          <w:tab w:val="left" w:pos="7956"/>
        </w:tabs>
        <w:jc w:val="both"/>
        <w:rPr>
          <w:rFonts w:ascii="Arial" w:hAnsi="Arial" w:cs="Arial"/>
          <w:b/>
          <w:color w:val="000000" w:themeColor="text1"/>
          <w:lang w:val="en-IN"/>
        </w:rPr>
      </w:pPr>
      <w:r w:rsidRPr="004620A0">
        <w:rPr>
          <w:rStyle w:val="Strong"/>
          <w:rFonts w:ascii="Times New Roman" w:hAnsi="Times New Roman"/>
          <w:color w:val="000000" w:themeColor="text1"/>
          <w:sz w:val="24"/>
          <w:szCs w:val="24"/>
        </w:rPr>
        <w:t>Fig.</w:t>
      </w:r>
      <w:r>
        <w:rPr>
          <w:rStyle w:val="Strong"/>
          <w:rFonts w:ascii="Times New Roman" w:hAnsi="Times New Roman"/>
          <w:color w:val="000000" w:themeColor="text1"/>
          <w:sz w:val="24"/>
          <w:szCs w:val="24"/>
        </w:rPr>
        <w:t xml:space="preserve">6. </w:t>
      </w:r>
      <w:r w:rsidRPr="0014030D">
        <w:rPr>
          <w:rFonts w:ascii="Arial" w:hAnsi="Arial" w:cs="Arial"/>
          <w:b/>
          <w:color w:val="000000" w:themeColor="text1"/>
        </w:rPr>
        <w:t xml:space="preserve">Correlation Coefficient of Grain yield </w:t>
      </w:r>
      <w:r w:rsidRPr="0014030D">
        <w:rPr>
          <w:rFonts w:ascii="Arial" w:hAnsi="Arial" w:cs="Arial"/>
          <w:b/>
          <w:color w:val="000000" w:themeColor="text1"/>
          <w:lang w:val="en-IN"/>
        </w:rPr>
        <w:t>with growth and micro-climatic parameters &amp; thermal indices (pooled data)</w:t>
      </w:r>
    </w:p>
    <w:p w14:paraId="6BD30AB5" w14:textId="77777777" w:rsidR="0014030D" w:rsidRDefault="0014030D" w:rsidP="00EA1534">
      <w:pPr>
        <w:tabs>
          <w:tab w:val="left" w:pos="7956"/>
        </w:tabs>
        <w:jc w:val="both"/>
        <w:rPr>
          <w:rFonts w:ascii="Arial" w:hAnsi="Arial" w:cs="Arial"/>
          <w:b/>
          <w:color w:val="000000" w:themeColor="text1"/>
          <w:lang w:val="en-IN"/>
        </w:rPr>
      </w:pPr>
    </w:p>
    <w:p w14:paraId="6BD30AB6" w14:textId="77777777" w:rsidR="0014030D" w:rsidRPr="0014030D" w:rsidRDefault="0014030D" w:rsidP="0014030D">
      <w:pPr>
        <w:tabs>
          <w:tab w:val="left" w:pos="7956"/>
        </w:tabs>
        <w:jc w:val="both"/>
        <w:rPr>
          <w:rFonts w:ascii="Arial" w:hAnsi="Arial" w:cs="Arial"/>
        </w:rPr>
      </w:pPr>
      <w:r w:rsidRPr="0014030D">
        <w:rPr>
          <w:rFonts w:ascii="Arial" w:hAnsi="Arial" w:cs="Arial"/>
        </w:rPr>
        <w:t xml:space="preserve">The correlation analysis of straw yield with leaf area index (LAI), microclimatic parameters, and thermal indices (Table 2) exhibited a trend similar to that observed for grain yield. Likewise, yield-attributing traits such as panicles per m², grains per panicle, test weight, and harvest index showed comparable relationships. Notably, chlorophyll content demonstrated a highly significant and positive correlation with all yield and yield-contributing parameters, underscoring its strong association with overall crop performance. Furthermore, LAI, radiation use efficiency (RUE), and heat use efficiency (HUE) followed a similar pattern to that of chlorophyll content, highlighting their collective influence on yield formation. These findings are consistent with earlier reports by Padma (2009), and </w:t>
      </w:r>
      <w:proofErr w:type="spellStart"/>
      <w:r w:rsidRPr="0014030D">
        <w:rPr>
          <w:rFonts w:ascii="Arial" w:hAnsi="Arial" w:cs="Arial"/>
        </w:rPr>
        <w:t>Thimme</w:t>
      </w:r>
      <w:proofErr w:type="spellEnd"/>
      <w:r w:rsidRPr="0014030D">
        <w:rPr>
          <w:rFonts w:ascii="Arial" w:hAnsi="Arial" w:cs="Arial"/>
        </w:rPr>
        <w:t xml:space="preserve"> Gowda (2012), confirming that enhanced </w:t>
      </w:r>
      <w:r w:rsidRPr="0014030D">
        <w:rPr>
          <w:rFonts w:ascii="Arial" w:hAnsi="Arial" w:cs="Arial"/>
        </w:rPr>
        <w:lastRenderedPageBreak/>
        <w:t>chlorophyll content and efficient utilization of microclimatic and thermal resources play a crucial role in improving rice productivity.</w:t>
      </w:r>
    </w:p>
    <w:p w14:paraId="6BD30AB7" w14:textId="77777777" w:rsidR="00161752" w:rsidRDefault="00161752" w:rsidP="0014030D">
      <w:pPr>
        <w:spacing w:before="120" w:after="120"/>
        <w:ind w:left="1470" w:hanging="1470"/>
        <w:jc w:val="both"/>
        <w:rPr>
          <w:rFonts w:ascii="Arial" w:hAnsi="Arial" w:cs="Arial"/>
          <w:b/>
        </w:rPr>
      </w:pPr>
    </w:p>
    <w:p w14:paraId="6BD30ABC" w14:textId="77777777" w:rsidR="0014030D" w:rsidRPr="0014030D" w:rsidRDefault="0014030D" w:rsidP="0014030D">
      <w:pPr>
        <w:spacing w:before="120" w:after="120"/>
        <w:ind w:left="1470" w:hanging="1470"/>
        <w:jc w:val="both"/>
        <w:rPr>
          <w:rFonts w:ascii="Arial" w:hAnsi="Arial" w:cs="Arial"/>
          <w:b/>
        </w:rPr>
      </w:pPr>
      <w:r w:rsidRPr="0014030D">
        <w:rPr>
          <w:rFonts w:ascii="Arial" w:hAnsi="Arial" w:cs="Arial"/>
          <w:b/>
        </w:rPr>
        <w:t xml:space="preserve">Table 2. </w:t>
      </w:r>
      <w:r w:rsidRPr="0014030D">
        <w:rPr>
          <w:rFonts w:ascii="Arial" w:hAnsi="Arial" w:cs="Arial"/>
          <w:b/>
          <w:bCs/>
        </w:rPr>
        <w:t xml:space="preserve">Correlation coefficients of yield and yield attributes with </w:t>
      </w:r>
      <w:r w:rsidRPr="0014030D">
        <w:rPr>
          <w:rFonts w:ascii="Arial" w:hAnsi="Arial" w:cs="Arial"/>
          <w:b/>
        </w:rPr>
        <w:t>LAI, microclimatic parameters and thermal indices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1"/>
        <w:gridCol w:w="849"/>
        <w:gridCol w:w="1420"/>
        <w:gridCol w:w="1420"/>
        <w:gridCol w:w="1419"/>
        <w:gridCol w:w="1419"/>
        <w:gridCol w:w="1419"/>
        <w:gridCol w:w="1419"/>
      </w:tblGrid>
      <w:tr w:rsidR="0014030D" w:rsidRPr="0014030D" w14:paraId="6BD30ACA" w14:textId="77777777" w:rsidTr="0014030D">
        <w:tc>
          <w:tcPr>
            <w:tcW w:w="1134" w:type="pct"/>
            <w:gridSpan w:val="2"/>
          </w:tcPr>
          <w:p w14:paraId="6BD30ABD" w14:textId="77777777" w:rsidR="0014030D" w:rsidRPr="0014030D" w:rsidRDefault="0014030D" w:rsidP="0014030D">
            <w:pPr>
              <w:spacing w:before="80" w:after="80"/>
              <w:rPr>
                <w:rFonts w:ascii="Arial" w:hAnsi="Arial" w:cs="Arial"/>
                <w:b/>
                <w:bCs/>
              </w:rPr>
            </w:pPr>
            <w:r w:rsidRPr="0014030D">
              <w:rPr>
                <w:rFonts w:ascii="Arial" w:hAnsi="Arial" w:cs="Arial"/>
                <w:b/>
                <w:bCs/>
              </w:rPr>
              <w:t>Yield attributes/ Microclimatic parameters</w:t>
            </w:r>
          </w:p>
        </w:tc>
        <w:tc>
          <w:tcPr>
            <w:tcW w:w="644" w:type="pct"/>
          </w:tcPr>
          <w:p w14:paraId="6BD30ABE"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Grain yield</w:t>
            </w:r>
          </w:p>
          <w:p w14:paraId="6BD30ABF"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(q ha</w:t>
            </w:r>
            <w:r w:rsidRPr="0014030D">
              <w:rPr>
                <w:rFonts w:ascii="Arial" w:hAnsi="Arial" w:cs="Arial"/>
                <w:b/>
                <w:bCs/>
                <w:vertAlign w:val="superscript"/>
              </w:rPr>
              <w:t>-1</w:t>
            </w:r>
            <w:r w:rsidRPr="0014030D">
              <w:rPr>
                <w:rFonts w:ascii="Arial" w:hAnsi="Arial" w:cs="Arial"/>
                <w:b/>
                <w:bCs/>
              </w:rPr>
              <w:t>)</w:t>
            </w:r>
          </w:p>
        </w:tc>
        <w:tc>
          <w:tcPr>
            <w:tcW w:w="644" w:type="pct"/>
          </w:tcPr>
          <w:p w14:paraId="6BD30AC0"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Straw yield</w:t>
            </w:r>
          </w:p>
          <w:p w14:paraId="6BD30AC1" w14:textId="77777777" w:rsidR="0014030D" w:rsidRPr="0014030D" w:rsidRDefault="0014030D" w:rsidP="0014030D">
            <w:pPr>
              <w:spacing w:before="80" w:after="80"/>
              <w:jc w:val="center"/>
              <w:rPr>
                <w:rFonts w:ascii="Arial" w:hAnsi="Arial" w:cs="Arial"/>
                <w:b/>
                <w:bCs/>
                <w:vertAlign w:val="superscript"/>
              </w:rPr>
            </w:pPr>
            <w:r w:rsidRPr="0014030D">
              <w:rPr>
                <w:rFonts w:ascii="Arial" w:hAnsi="Arial" w:cs="Arial"/>
                <w:b/>
                <w:bCs/>
              </w:rPr>
              <w:t>(q ha</w:t>
            </w:r>
            <w:r w:rsidRPr="0014030D">
              <w:rPr>
                <w:rFonts w:ascii="Arial" w:hAnsi="Arial" w:cs="Arial"/>
                <w:b/>
                <w:bCs/>
                <w:vertAlign w:val="superscript"/>
              </w:rPr>
              <w:t>-1</w:t>
            </w:r>
            <w:r w:rsidRPr="0014030D">
              <w:rPr>
                <w:rFonts w:ascii="Arial" w:hAnsi="Arial" w:cs="Arial"/>
                <w:b/>
                <w:bCs/>
              </w:rPr>
              <w:t>)</w:t>
            </w:r>
          </w:p>
        </w:tc>
        <w:tc>
          <w:tcPr>
            <w:tcW w:w="644" w:type="pct"/>
          </w:tcPr>
          <w:p w14:paraId="6BD30AC2"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Panicles m</w:t>
            </w:r>
            <w:r w:rsidRPr="0014030D">
              <w:rPr>
                <w:rFonts w:ascii="Arial" w:hAnsi="Arial" w:cs="Arial"/>
                <w:b/>
                <w:bCs/>
                <w:vertAlign w:val="superscript"/>
              </w:rPr>
              <w:t>-2</w:t>
            </w:r>
          </w:p>
          <w:p w14:paraId="6BD30AC3"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(No.)</w:t>
            </w:r>
          </w:p>
        </w:tc>
        <w:tc>
          <w:tcPr>
            <w:tcW w:w="644" w:type="pct"/>
          </w:tcPr>
          <w:p w14:paraId="6BD30AC4" w14:textId="77777777" w:rsidR="0014030D" w:rsidRPr="0014030D" w:rsidRDefault="0014030D" w:rsidP="0014030D">
            <w:pPr>
              <w:spacing w:before="80" w:after="80"/>
              <w:jc w:val="center"/>
              <w:rPr>
                <w:rFonts w:ascii="Arial" w:hAnsi="Arial" w:cs="Arial"/>
                <w:b/>
                <w:bCs/>
                <w:vertAlign w:val="superscript"/>
              </w:rPr>
            </w:pPr>
            <w:r w:rsidRPr="0014030D">
              <w:rPr>
                <w:rFonts w:ascii="Arial" w:hAnsi="Arial" w:cs="Arial"/>
                <w:b/>
                <w:bCs/>
              </w:rPr>
              <w:t>Filled grains panicle</w:t>
            </w:r>
            <w:r w:rsidRPr="0014030D">
              <w:rPr>
                <w:rFonts w:ascii="Arial" w:hAnsi="Arial" w:cs="Arial"/>
                <w:b/>
                <w:bCs/>
                <w:vertAlign w:val="superscript"/>
              </w:rPr>
              <w:t>-1</w:t>
            </w:r>
          </w:p>
          <w:p w14:paraId="6BD30AC5"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(No.)</w:t>
            </w:r>
          </w:p>
        </w:tc>
        <w:tc>
          <w:tcPr>
            <w:tcW w:w="644" w:type="pct"/>
          </w:tcPr>
          <w:p w14:paraId="6BD30AC6"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TW</w:t>
            </w:r>
          </w:p>
          <w:p w14:paraId="6BD30AC7"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(g)</w:t>
            </w:r>
          </w:p>
        </w:tc>
        <w:tc>
          <w:tcPr>
            <w:tcW w:w="644" w:type="pct"/>
          </w:tcPr>
          <w:p w14:paraId="6BD30AC8"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HI</w:t>
            </w:r>
          </w:p>
          <w:p w14:paraId="6BD30AC9" w14:textId="77777777" w:rsidR="0014030D" w:rsidRPr="0014030D" w:rsidRDefault="0014030D" w:rsidP="0014030D">
            <w:pPr>
              <w:spacing w:before="80" w:after="80"/>
              <w:jc w:val="center"/>
              <w:rPr>
                <w:rFonts w:ascii="Arial" w:hAnsi="Arial" w:cs="Arial"/>
                <w:b/>
                <w:bCs/>
              </w:rPr>
            </w:pPr>
            <w:r w:rsidRPr="0014030D">
              <w:rPr>
                <w:rFonts w:ascii="Arial" w:hAnsi="Arial" w:cs="Arial"/>
                <w:b/>
                <w:bCs/>
              </w:rPr>
              <w:t>(%)</w:t>
            </w:r>
          </w:p>
        </w:tc>
      </w:tr>
      <w:tr w:rsidR="0014030D" w:rsidRPr="0014030D" w14:paraId="6BD30AD2" w14:textId="77777777" w:rsidTr="0014030D">
        <w:tc>
          <w:tcPr>
            <w:tcW w:w="1134" w:type="pct"/>
            <w:gridSpan w:val="2"/>
          </w:tcPr>
          <w:p w14:paraId="6BD30ACB" w14:textId="77777777" w:rsidR="0014030D" w:rsidRPr="0014030D" w:rsidRDefault="0014030D" w:rsidP="0014030D">
            <w:pPr>
              <w:spacing w:before="80" w:after="80"/>
              <w:rPr>
                <w:rFonts w:ascii="Arial" w:hAnsi="Arial" w:cs="Arial"/>
              </w:rPr>
            </w:pPr>
            <w:r w:rsidRPr="0014030D">
              <w:rPr>
                <w:rFonts w:ascii="Arial" w:hAnsi="Arial" w:cs="Arial"/>
                <w:b/>
                <w:bCs/>
              </w:rPr>
              <w:t>LAI</w:t>
            </w:r>
          </w:p>
        </w:tc>
        <w:tc>
          <w:tcPr>
            <w:tcW w:w="644" w:type="pct"/>
          </w:tcPr>
          <w:p w14:paraId="6BD30ACC" w14:textId="77777777" w:rsidR="0014030D" w:rsidRPr="0014030D" w:rsidRDefault="0014030D" w:rsidP="0014030D">
            <w:pPr>
              <w:spacing w:before="80" w:after="80"/>
              <w:ind w:right="105"/>
              <w:jc w:val="right"/>
              <w:rPr>
                <w:rFonts w:ascii="Arial" w:hAnsi="Arial" w:cs="Arial"/>
              </w:rPr>
            </w:pPr>
            <w:r w:rsidRPr="0014030D">
              <w:rPr>
                <w:rFonts w:ascii="Arial" w:hAnsi="Arial" w:cs="Arial"/>
                <w:b/>
                <w:bCs/>
              </w:rPr>
              <w:t>0.89**</w:t>
            </w:r>
          </w:p>
        </w:tc>
        <w:tc>
          <w:tcPr>
            <w:tcW w:w="644" w:type="pct"/>
          </w:tcPr>
          <w:p w14:paraId="6BD30ACD"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0.70**</w:t>
            </w:r>
          </w:p>
        </w:tc>
        <w:tc>
          <w:tcPr>
            <w:tcW w:w="644" w:type="pct"/>
          </w:tcPr>
          <w:p w14:paraId="6BD30ACE"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0.88**</w:t>
            </w:r>
          </w:p>
        </w:tc>
        <w:tc>
          <w:tcPr>
            <w:tcW w:w="644" w:type="pct"/>
          </w:tcPr>
          <w:p w14:paraId="6BD30ACF" w14:textId="77777777" w:rsidR="0014030D" w:rsidRPr="0014030D" w:rsidRDefault="0014030D" w:rsidP="0014030D">
            <w:pPr>
              <w:spacing w:before="80" w:after="80"/>
              <w:ind w:right="105"/>
              <w:jc w:val="right"/>
              <w:rPr>
                <w:rFonts w:ascii="Arial" w:hAnsi="Arial" w:cs="Arial"/>
              </w:rPr>
            </w:pPr>
            <w:r w:rsidRPr="0014030D">
              <w:rPr>
                <w:rFonts w:ascii="Arial" w:hAnsi="Arial" w:cs="Arial"/>
              </w:rPr>
              <w:t>0.92**</w:t>
            </w:r>
          </w:p>
        </w:tc>
        <w:tc>
          <w:tcPr>
            <w:tcW w:w="644" w:type="pct"/>
          </w:tcPr>
          <w:p w14:paraId="6BD30AD0"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0.79**</w:t>
            </w:r>
          </w:p>
        </w:tc>
        <w:tc>
          <w:tcPr>
            <w:tcW w:w="644" w:type="pct"/>
          </w:tcPr>
          <w:p w14:paraId="6BD30AD1" w14:textId="77777777" w:rsidR="0014030D" w:rsidRPr="0014030D" w:rsidRDefault="0014030D" w:rsidP="0014030D">
            <w:pPr>
              <w:spacing w:before="80" w:after="80"/>
              <w:ind w:right="105"/>
              <w:jc w:val="right"/>
              <w:rPr>
                <w:rFonts w:ascii="Arial" w:hAnsi="Arial" w:cs="Arial"/>
              </w:rPr>
            </w:pPr>
            <w:r w:rsidRPr="0014030D">
              <w:rPr>
                <w:rFonts w:ascii="Arial" w:hAnsi="Arial" w:cs="Arial"/>
              </w:rPr>
              <w:t>0.90**</w:t>
            </w:r>
          </w:p>
        </w:tc>
      </w:tr>
      <w:tr w:rsidR="0014030D" w:rsidRPr="0014030D" w14:paraId="6BD30ADB" w14:textId="77777777" w:rsidTr="0014030D">
        <w:tc>
          <w:tcPr>
            <w:tcW w:w="749" w:type="pct"/>
            <w:vMerge w:val="restart"/>
          </w:tcPr>
          <w:p w14:paraId="6BD30AD3"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LI</w:t>
            </w:r>
          </w:p>
        </w:tc>
        <w:tc>
          <w:tcPr>
            <w:tcW w:w="385" w:type="pct"/>
          </w:tcPr>
          <w:p w14:paraId="6BD30AD4"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MT</w:t>
            </w:r>
          </w:p>
        </w:tc>
        <w:tc>
          <w:tcPr>
            <w:tcW w:w="644" w:type="pct"/>
          </w:tcPr>
          <w:p w14:paraId="6BD30AD5"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0.31</w:t>
            </w:r>
          </w:p>
        </w:tc>
        <w:tc>
          <w:tcPr>
            <w:tcW w:w="644" w:type="pct"/>
          </w:tcPr>
          <w:p w14:paraId="6BD30AD6"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0.35</w:t>
            </w:r>
          </w:p>
        </w:tc>
        <w:tc>
          <w:tcPr>
            <w:tcW w:w="644" w:type="pct"/>
          </w:tcPr>
          <w:p w14:paraId="6BD30AD7"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0.08</w:t>
            </w:r>
          </w:p>
        </w:tc>
        <w:tc>
          <w:tcPr>
            <w:tcW w:w="644" w:type="pct"/>
          </w:tcPr>
          <w:p w14:paraId="6BD30AD8"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0.21</w:t>
            </w:r>
          </w:p>
        </w:tc>
        <w:tc>
          <w:tcPr>
            <w:tcW w:w="644" w:type="pct"/>
          </w:tcPr>
          <w:p w14:paraId="6BD30AD9"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0.26</w:t>
            </w:r>
          </w:p>
        </w:tc>
        <w:tc>
          <w:tcPr>
            <w:tcW w:w="644" w:type="pct"/>
          </w:tcPr>
          <w:p w14:paraId="6BD30ADA"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0.17</w:t>
            </w:r>
          </w:p>
        </w:tc>
      </w:tr>
      <w:tr w:rsidR="0014030D" w:rsidRPr="0014030D" w14:paraId="6BD30AE4" w14:textId="77777777" w:rsidTr="0014030D">
        <w:tc>
          <w:tcPr>
            <w:tcW w:w="749" w:type="pct"/>
            <w:vMerge/>
          </w:tcPr>
          <w:p w14:paraId="6BD30ADC" w14:textId="77777777" w:rsidR="0014030D" w:rsidRPr="0014030D" w:rsidRDefault="0014030D" w:rsidP="0014030D">
            <w:pPr>
              <w:spacing w:before="80" w:after="80"/>
              <w:rPr>
                <w:rFonts w:ascii="Arial" w:hAnsi="Arial" w:cs="Arial"/>
              </w:rPr>
            </w:pPr>
          </w:p>
        </w:tc>
        <w:tc>
          <w:tcPr>
            <w:tcW w:w="385" w:type="pct"/>
          </w:tcPr>
          <w:p w14:paraId="6BD30ADD"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F</w:t>
            </w:r>
          </w:p>
        </w:tc>
        <w:tc>
          <w:tcPr>
            <w:tcW w:w="644" w:type="pct"/>
          </w:tcPr>
          <w:p w14:paraId="6BD30ADE"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0.09</w:t>
            </w:r>
          </w:p>
        </w:tc>
        <w:tc>
          <w:tcPr>
            <w:tcW w:w="644" w:type="pct"/>
          </w:tcPr>
          <w:p w14:paraId="6BD30ADF"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0.14</w:t>
            </w:r>
          </w:p>
        </w:tc>
        <w:tc>
          <w:tcPr>
            <w:tcW w:w="644" w:type="pct"/>
          </w:tcPr>
          <w:p w14:paraId="6BD30AE0"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-0.02</w:t>
            </w:r>
          </w:p>
        </w:tc>
        <w:tc>
          <w:tcPr>
            <w:tcW w:w="644" w:type="pct"/>
          </w:tcPr>
          <w:p w14:paraId="6BD30AE1"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0.04</w:t>
            </w:r>
          </w:p>
        </w:tc>
        <w:tc>
          <w:tcPr>
            <w:tcW w:w="644" w:type="pct"/>
          </w:tcPr>
          <w:p w14:paraId="6BD30AE2"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-0.02</w:t>
            </w:r>
          </w:p>
        </w:tc>
        <w:tc>
          <w:tcPr>
            <w:tcW w:w="644" w:type="pct"/>
          </w:tcPr>
          <w:p w14:paraId="6BD30AE3"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0.01</w:t>
            </w:r>
          </w:p>
        </w:tc>
      </w:tr>
      <w:tr w:rsidR="0014030D" w:rsidRPr="0014030D" w14:paraId="6BD30AED" w14:textId="77777777" w:rsidTr="0014030D">
        <w:tc>
          <w:tcPr>
            <w:tcW w:w="749" w:type="pct"/>
            <w:vMerge/>
          </w:tcPr>
          <w:p w14:paraId="6BD30AE5" w14:textId="77777777" w:rsidR="0014030D" w:rsidRPr="0014030D" w:rsidRDefault="0014030D" w:rsidP="0014030D">
            <w:pPr>
              <w:spacing w:before="80" w:after="80"/>
              <w:rPr>
                <w:rFonts w:ascii="Arial" w:hAnsi="Arial" w:cs="Arial"/>
              </w:rPr>
            </w:pPr>
          </w:p>
        </w:tc>
        <w:tc>
          <w:tcPr>
            <w:tcW w:w="385" w:type="pct"/>
          </w:tcPr>
          <w:p w14:paraId="6BD30AE6"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PM</w:t>
            </w:r>
          </w:p>
        </w:tc>
        <w:tc>
          <w:tcPr>
            <w:tcW w:w="644" w:type="pct"/>
          </w:tcPr>
          <w:p w14:paraId="6BD30AE7"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-0.40</w:t>
            </w:r>
          </w:p>
        </w:tc>
        <w:tc>
          <w:tcPr>
            <w:tcW w:w="644" w:type="pct"/>
          </w:tcPr>
          <w:p w14:paraId="6BD30AE8"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-0.26</w:t>
            </w:r>
          </w:p>
        </w:tc>
        <w:tc>
          <w:tcPr>
            <w:tcW w:w="644" w:type="pct"/>
          </w:tcPr>
          <w:p w14:paraId="6BD30AE9"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-0.50*</w:t>
            </w:r>
          </w:p>
        </w:tc>
        <w:tc>
          <w:tcPr>
            <w:tcW w:w="644" w:type="pct"/>
          </w:tcPr>
          <w:p w14:paraId="6BD30AEA"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-0.47*</w:t>
            </w:r>
          </w:p>
        </w:tc>
        <w:tc>
          <w:tcPr>
            <w:tcW w:w="644" w:type="pct"/>
          </w:tcPr>
          <w:p w14:paraId="6BD30AEB"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-0.43*</w:t>
            </w:r>
          </w:p>
        </w:tc>
        <w:tc>
          <w:tcPr>
            <w:tcW w:w="644" w:type="pct"/>
          </w:tcPr>
          <w:p w14:paraId="6BD30AEC"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-0.46*</w:t>
            </w:r>
          </w:p>
        </w:tc>
      </w:tr>
      <w:tr w:rsidR="0014030D" w:rsidRPr="0014030D" w14:paraId="6BD30AF6" w14:textId="77777777" w:rsidTr="0014030D">
        <w:tc>
          <w:tcPr>
            <w:tcW w:w="749" w:type="pct"/>
            <w:vMerge w:val="restart"/>
          </w:tcPr>
          <w:p w14:paraId="6BD30AEE" w14:textId="77777777" w:rsidR="0014030D" w:rsidRPr="0014030D" w:rsidRDefault="0014030D" w:rsidP="0014030D">
            <w:pPr>
              <w:spacing w:before="80" w:after="80"/>
              <w:ind w:left="-92" w:right="-107"/>
              <w:rPr>
                <w:rFonts w:ascii="Arial" w:hAnsi="Arial" w:cs="Arial"/>
                <w:b/>
                <w:bCs/>
              </w:rPr>
            </w:pPr>
            <w:r w:rsidRPr="0014030D">
              <w:rPr>
                <w:rFonts w:ascii="Arial" w:hAnsi="Arial" w:cs="Arial"/>
                <w:b/>
                <w:bCs/>
              </w:rPr>
              <w:t>Chlorophyll</w:t>
            </w:r>
          </w:p>
        </w:tc>
        <w:tc>
          <w:tcPr>
            <w:tcW w:w="385" w:type="pct"/>
          </w:tcPr>
          <w:p w14:paraId="6BD30AEF"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MT</w:t>
            </w:r>
          </w:p>
        </w:tc>
        <w:tc>
          <w:tcPr>
            <w:tcW w:w="644" w:type="pct"/>
          </w:tcPr>
          <w:p w14:paraId="6BD30AF0"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0.95**</w:t>
            </w:r>
          </w:p>
        </w:tc>
        <w:tc>
          <w:tcPr>
            <w:tcW w:w="644" w:type="pct"/>
          </w:tcPr>
          <w:p w14:paraId="6BD30AF1"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0.85**</w:t>
            </w:r>
          </w:p>
        </w:tc>
        <w:tc>
          <w:tcPr>
            <w:tcW w:w="644" w:type="pct"/>
          </w:tcPr>
          <w:p w14:paraId="6BD30AF2"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0.78**</w:t>
            </w:r>
          </w:p>
        </w:tc>
        <w:tc>
          <w:tcPr>
            <w:tcW w:w="644" w:type="pct"/>
          </w:tcPr>
          <w:p w14:paraId="6BD30AF3"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0.92**</w:t>
            </w:r>
          </w:p>
        </w:tc>
        <w:tc>
          <w:tcPr>
            <w:tcW w:w="644" w:type="pct"/>
          </w:tcPr>
          <w:p w14:paraId="6BD30AF4"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0.94**</w:t>
            </w:r>
          </w:p>
        </w:tc>
        <w:tc>
          <w:tcPr>
            <w:tcW w:w="644" w:type="pct"/>
          </w:tcPr>
          <w:p w14:paraId="6BD30AF5"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0.85**</w:t>
            </w:r>
          </w:p>
        </w:tc>
      </w:tr>
      <w:tr w:rsidR="0014030D" w:rsidRPr="0014030D" w14:paraId="6BD30AFF" w14:textId="77777777" w:rsidTr="0014030D">
        <w:tc>
          <w:tcPr>
            <w:tcW w:w="749" w:type="pct"/>
            <w:vMerge/>
          </w:tcPr>
          <w:p w14:paraId="6BD30AF7" w14:textId="77777777" w:rsidR="0014030D" w:rsidRPr="0014030D" w:rsidRDefault="0014030D" w:rsidP="0014030D">
            <w:pPr>
              <w:spacing w:before="80" w:after="80"/>
              <w:rPr>
                <w:rFonts w:ascii="Arial" w:hAnsi="Arial" w:cs="Arial"/>
              </w:rPr>
            </w:pPr>
          </w:p>
        </w:tc>
        <w:tc>
          <w:tcPr>
            <w:tcW w:w="385" w:type="pct"/>
          </w:tcPr>
          <w:p w14:paraId="6BD30AF8"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F</w:t>
            </w:r>
          </w:p>
        </w:tc>
        <w:tc>
          <w:tcPr>
            <w:tcW w:w="644" w:type="pct"/>
          </w:tcPr>
          <w:p w14:paraId="6BD30AF9"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0.90**</w:t>
            </w:r>
          </w:p>
        </w:tc>
        <w:tc>
          <w:tcPr>
            <w:tcW w:w="644" w:type="pct"/>
          </w:tcPr>
          <w:p w14:paraId="6BD30AFA"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0.72**</w:t>
            </w:r>
          </w:p>
        </w:tc>
        <w:tc>
          <w:tcPr>
            <w:tcW w:w="644" w:type="pct"/>
          </w:tcPr>
          <w:p w14:paraId="6BD30AFB"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0.92**</w:t>
            </w:r>
          </w:p>
        </w:tc>
        <w:tc>
          <w:tcPr>
            <w:tcW w:w="644" w:type="pct"/>
          </w:tcPr>
          <w:p w14:paraId="6BD30AFC"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0.95**</w:t>
            </w:r>
          </w:p>
        </w:tc>
        <w:tc>
          <w:tcPr>
            <w:tcW w:w="644" w:type="pct"/>
          </w:tcPr>
          <w:p w14:paraId="6BD30AFD"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0.81**</w:t>
            </w:r>
          </w:p>
        </w:tc>
        <w:tc>
          <w:tcPr>
            <w:tcW w:w="644" w:type="pct"/>
          </w:tcPr>
          <w:p w14:paraId="6BD30AFE"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0.91**</w:t>
            </w:r>
          </w:p>
        </w:tc>
      </w:tr>
      <w:tr w:rsidR="0014030D" w:rsidRPr="0014030D" w14:paraId="6BD30B08" w14:textId="77777777" w:rsidTr="0014030D">
        <w:tc>
          <w:tcPr>
            <w:tcW w:w="749" w:type="pct"/>
            <w:vMerge/>
          </w:tcPr>
          <w:p w14:paraId="6BD30B00" w14:textId="77777777" w:rsidR="0014030D" w:rsidRPr="0014030D" w:rsidRDefault="0014030D" w:rsidP="0014030D">
            <w:pPr>
              <w:spacing w:before="80" w:after="80"/>
              <w:rPr>
                <w:rFonts w:ascii="Arial" w:hAnsi="Arial" w:cs="Arial"/>
              </w:rPr>
            </w:pPr>
          </w:p>
        </w:tc>
        <w:tc>
          <w:tcPr>
            <w:tcW w:w="385" w:type="pct"/>
          </w:tcPr>
          <w:p w14:paraId="6BD30B01"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M</w:t>
            </w:r>
          </w:p>
        </w:tc>
        <w:tc>
          <w:tcPr>
            <w:tcW w:w="644" w:type="pct"/>
          </w:tcPr>
          <w:p w14:paraId="6BD30B02"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0.88**</w:t>
            </w:r>
          </w:p>
        </w:tc>
        <w:tc>
          <w:tcPr>
            <w:tcW w:w="644" w:type="pct"/>
          </w:tcPr>
          <w:p w14:paraId="6BD30B03"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0.76**</w:t>
            </w:r>
          </w:p>
        </w:tc>
        <w:tc>
          <w:tcPr>
            <w:tcW w:w="644" w:type="pct"/>
          </w:tcPr>
          <w:p w14:paraId="6BD30B04"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0.70**</w:t>
            </w:r>
          </w:p>
        </w:tc>
        <w:tc>
          <w:tcPr>
            <w:tcW w:w="644" w:type="pct"/>
          </w:tcPr>
          <w:p w14:paraId="6BD30B05"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0.85**</w:t>
            </w:r>
          </w:p>
        </w:tc>
        <w:tc>
          <w:tcPr>
            <w:tcW w:w="644" w:type="pct"/>
          </w:tcPr>
          <w:p w14:paraId="6BD30B06"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0.91**</w:t>
            </w:r>
          </w:p>
        </w:tc>
        <w:tc>
          <w:tcPr>
            <w:tcW w:w="644" w:type="pct"/>
          </w:tcPr>
          <w:p w14:paraId="6BD30B07"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0.82**</w:t>
            </w:r>
          </w:p>
        </w:tc>
      </w:tr>
      <w:tr w:rsidR="0014030D" w:rsidRPr="0014030D" w14:paraId="6BD30B11" w14:textId="77777777" w:rsidTr="0014030D">
        <w:tc>
          <w:tcPr>
            <w:tcW w:w="749" w:type="pct"/>
            <w:vMerge w:val="restart"/>
          </w:tcPr>
          <w:p w14:paraId="6BD30B09"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LTR</w:t>
            </w:r>
          </w:p>
        </w:tc>
        <w:tc>
          <w:tcPr>
            <w:tcW w:w="385" w:type="pct"/>
          </w:tcPr>
          <w:p w14:paraId="6BD30B0A"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MT</w:t>
            </w:r>
          </w:p>
        </w:tc>
        <w:tc>
          <w:tcPr>
            <w:tcW w:w="644" w:type="pct"/>
          </w:tcPr>
          <w:p w14:paraId="6BD30B0B"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-0.78**</w:t>
            </w:r>
          </w:p>
        </w:tc>
        <w:tc>
          <w:tcPr>
            <w:tcW w:w="644" w:type="pct"/>
          </w:tcPr>
          <w:p w14:paraId="6BD30B0C"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-0.69**</w:t>
            </w:r>
          </w:p>
        </w:tc>
        <w:tc>
          <w:tcPr>
            <w:tcW w:w="644" w:type="pct"/>
          </w:tcPr>
          <w:p w14:paraId="6BD30B0D"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-0.62**</w:t>
            </w:r>
          </w:p>
        </w:tc>
        <w:tc>
          <w:tcPr>
            <w:tcW w:w="644" w:type="pct"/>
          </w:tcPr>
          <w:p w14:paraId="6BD30B0E"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-0.74**</w:t>
            </w:r>
          </w:p>
        </w:tc>
        <w:tc>
          <w:tcPr>
            <w:tcW w:w="644" w:type="pct"/>
          </w:tcPr>
          <w:p w14:paraId="6BD30B0F"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-0.80**</w:t>
            </w:r>
          </w:p>
        </w:tc>
        <w:tc>
          <w:tcPr>
            <w:tcW w:w="644" w:type="pct"/>
          </w:tcPr>
          <w:p w14:paraId="6BD30B10"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-0.69**</w:t>
            </w:r>
          </w:p>
        </w:tc>
      </w:tr>
      <w:tr w:rsidR="0014030D" w:rsidRPr="0014030D" w14:paraId="6BD30B1A" w14:textId="77777777" w:rsidTr="0014030D">
        <w:tc>
          <w:tcPr>
            <w:tcW w:w="749" w:type="pct"/>
            <w:vMerge/>
          </w:tcPr>
          <w:p w14:paraId="6BD30B12" w14:textId="77777777" w:rsidR="0014030D" w:rsidRPr="0014030D" w:rsidRDefault="0014030D" w:rsidP="0014030D">
            <w:pPr>
              <w:spacing w:before="80" w:after="80"/>
              <w:rPr>
                <w:rFonts w:ascii="Arial" w:hAnsi="Arial" w:cs="Arial"/>
              </w:rPr>
            </w:pPr>
          </w:p>
        </w:tc>
        <w:tc>
          <w:tcPr>
            <w:tcW w:w="385" w:type="pct"/>
          </w:tcPr>
          <w:p w14:paraId="6BD30B13"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F</w:t>
            </w:r>
          </w:p>
        </w:tc>
        <w:tc>
          <w:tcPr>
            <w:tcW w:w="644" w:type="pct"/>
          </w:tcPr>
          <w:p w14:paraId="6BD30B14"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-0.33</w:t>
            </w:r>
          </w:p>
        </w:tc>
        <w:tc>
          <w:tcPr>
            <w:tcW w:w="644" w:type="pct"/>
          </w:tcPr>
          <w:p w14:paraId="6BD30B15"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-0.23</w:t>
            </w:r>
          </w:p>
        </w:tc>
        <w:tc>
          <w:tcPr>
            <w:tcW w:w="644" w:type="pct"/>
          </w:tcPr>
          <w:p w14:paraId="6BD30B16"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-0.43*</w:t>
            </w:r>
          </w:p>
        </w:tc>
        <w:tc>
          <w:tcPr>
            <w:tcW w:w="644" w:type="pct"/>
          </w:tcPr>
          <w:p w14:paraId="6BD30B17"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-0.40</w:t>
            </w:r>
          </w:p>
        </w:tc>
        <w:tc>
          <w:tcPr>
            <w:tcW w:w="644" w:type="pct"/>
          </w:tcPr>
          <w:p w14:paraId="6BD30B18"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-0.39</w:t>
            </w:r>
          </w:p>
        </w:tc>
        <w:tc>
          <w:tcPr>
            <w:tcW w:w="644" w:type="pct"/>
          </w:tcPr>
          <w:p w14:paraId="6BD30B19"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-0.37</w:t>
            </w:r>
          </w:p>
        </w:tc>
      </w:tr>
      <w:tr w:rsidR="0014030D" w:rsidRPr="0014030D" w14:paraId="6BD30B23" w14:textId="77777777" w:rsidTr="0014030D">
        <w:tc>
          <w:tcPr>
            <w:tcW w:w="749" w:type="pct"/>
            <w:vMerge/>
          </w:tcPr>
          <w:p w14:paraId="6BD30B1B" w14:textId="77777777" w:rsidR="0014030D" w:rsidRPr="0014030D" w:rsidRDefault="0014030D" w:rsidP="0014030D">
            <w:pPr>
              <w:spacing w:before="80" w:after="80"/>
              <w:rPr>
                <w:rFonts w:ascii="Arial" w:hAnsi="Arial" w:cs="Arial"/>
              </w:rPr>
            </w:pPr>
          </w:p>
        </w:tc>
        <w:tc>
          <w:tcPr>
            <w:tcW w:w="385" w:type="pct"/>
          </w:tcPr>
          <w:p w14:paraId="6BD30B1C"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PM</w:t>
            </w:r>
          </w:p>
        </w:tc>
        <w:tc>
          <w:tcPr>
            <w:tcW w:w="644" w:type="pct"/>
          </w:tcPr>
          <w:p w14:paraId="6BD30B1D"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-0.26</w:t>
            </w:r>
          </w:p>
        </w:tc>
        <w:tc>
          <w:tcPr>
            <w:tcW w:w="644" w:type="pct"/>
          </w:tcPr>
          <w:p w14:paraId="6BD30B1E"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-0.17</w:t>
            </w:r>
          </w:p>
        </w:tc>
        <w:tc>
          <w:tcPr>
            <w:tcW w:w="644" w:type="pct"/>
          </w:tcPr>
          <w:p w14:paraId="6BD30B1F"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-0.39</w:t>
            </w:r>
          </w:p>
        </w:tc>
        <w:tc>
          <w:tcPr>
            <w:tcW w:w="644" w:type="pct"/>
          </w:tcPr>
          <w:p w14:paraId="6BD30B20"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-0.34</w:t>
            </w:r>
          </w:p>
        </w:tc>
        <w:tc>
          <w:tcPr>
            <w:tcW w:w="644" w:type="pct"/>
          </w:tcPr>
          <w:p w14:paraId="6BD30B21"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-0.32</w:t>
            </w:r>
          </w:p>
        </w:tc>
        <w:tc>
          <w:tcPr>
            <w:tcW w:w="644" w:type="pct"/>
          </w:tcPr>
          <w:p w14:paraId="6BD30B22"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-0.32</w:t>
            </w:r>
          </w:p>
        </w:tc>
      </w:tr>
      <w:tr w:rsidR="0014030D" w:rsidRPr="0014030D" w14:paraId="6BD30B2B" w14:textId="77777777" w:rsidTr="0014030D">
        <w:tc>
          <w:tcPr>
            <w:tcW w:w="1134" w:type="pct"/>
            <w:gridSpan w:val="2"/>
          </w:tcPr>
          <w:p w14:paraId="6BD30B24"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AGDD</w:t>
            </w:r>
          </w:p>
        </w:tc>
        <w:tc>
          <w:tcPr>
            <w:tcW w:w="644" w:type="pct"/>
          </w:tcPr>
          <w:p w14:paraId="6BD30B25"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-0.07</w:t>
            </w:r>
          </w:p>
        </w:tc>
        <w:tc>
          <w:tcPr>
            <w:tcW w:w="644" w:type="pct"/>
          </w:tcPr>
          <w:p w14:paraId="6BD30B26"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0.13</w:t>
            </w:r>
          </w:p>
        </w:tc>
        <w:tc>
          <w:tcPr>
            <w:tcW w:w="644" w:type="pct"/>
          </w:tcPr>
          <w:p w14:paraId="6BD30B27"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-0.49*</w:t>
            </w:r>
          </w:p>
        </w:tc>
        <w:tc>
          <w:tcPr>
            <w:tcW w:w="644" w:type="pct"/>
          </w:tcPr>
          <w:p w14:paraId="6BD30B28"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-0.25</w:t>
            </w:r>
          </w:p>
        </w:tc>
        <w:tc>
          <w:tcPr>
            <w:tcW w:w="644" w:type="pct"/>
          </w:tcPr>
          <w:p w14:paraId="6BD30B29"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0.04</w:t>
            </w:r>
          </w:p>
        </w:tc>
        <w:tc>
          <w:tcPr>
            <w:tcW w:w="644" w:type="pct"/>
          </w:tcPr>
          <w:p w14:paraId="6BD30B2A"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-0.30</w:t>
            </w:r>
          </w:p>
        </w:tc>
      </w:tr>
      <w:tr w:rsidR="0014030D" w:rsidRPr="0014030D" w14:paraId="6BD30B33" w14:textId="77777777" w:rsidTr="0014030D">
        <w:tc>
          <w:tcPr>
            <w:tcW w:w="1134" w:type="pct"/>
            <w:gridSpan w:val="2"/>
          </w:tcPr>
          <w:p w14:paraId="6BD30B2C"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 xml:space="preserve">AHTU </w:t>
            </w:r>
          </w:p>
        </w:tc>
        <w:tc>
          <w:tcPr>
            <w:tcW w:w="644" w:type="pct"/>
          </w:tcPr>
          <w:p w14:paraId="6BD30B2D"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-0.64**</w:t>
            </w:r>
          </w:p>
        </w:tc>
        <w:tc>
          <w:tcPr>
            <w:tcW w:w="644" w:type="pct"/>
          </w:tcPr>
          <w:p w14:paraId="6BD30B2E"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-0.53**</w:t>
            </w:r>
          </w:p>
        </w:tc>
        <w:tc>
          <w:tcPr>
            <w:tcW w:w="644" w:type="pct"/>
          </w:tcPr>
          <w:p w14:paraId="6BD30B2F"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-0.71**</w:t>
            </w:r>
          </w:p>
        </w:tc>
        <w:tc>
          <w:tcPr>
            <w:tcW w:w="644" w:type="pct"/>
          </w:tcPr>
          <w:p w14:paraId="6BD30B30"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-0.68**</w:t>
            </w:r>
          </w:p>
        </w:tc>
        <w:tc>
          <w:tcPr>
            <w:tcW w:w="644" w:type="pct"/>
          </w:tcPr>
          <w:p w14:paraId="6BD30B31"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-0.42*</w:t>
            </w:r>
          </w:p>
        </w:tc>
        <w:tc>
          <w:tcPr>
            <w:tcW w:w="644" w:type="pct"/>
          </w:tcPr>
          <w:p w14:paraId="6BD30B32"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-0.61**</w:t>
            </w:r>
          </w:p>
        </w:tc>
      </w:tr>
      <w:tr w:rsidR="0014030D" w:rsidRPr="0014030D" w14:paraId="6BD30B3B" w14:textId="77777777" w:rsidTr="0014030D">
        <w:tc>
          <w:tcPr>
            <w:tcW w:w="1134" w:type="pct"/>
            <w:gridSpan w:val="2"/>
          </w:tcPr>
          <w:p w14:paraId="6BD30B34"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 xml:space="preserve">APTU </w:t>
            </w:r>
          </w:p>
        </w:tc>
        <w:tc>
          <w:tcPr>
            <w:tcW w:w="644" w:type="pct"/>
          </w:tcPr>
          <w:p w14:paraId="6BD30B35"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0.04</w:t>
            </w:r>
          </w:p>
        </w:tc>
        <w:tc>
          <w:tcPr>
            <w:tcW w:w="644" w:type="pct"/>
          </w:tcPr>
          <w:p w14:paraId="6BD30B36"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0.21</w:t>
            </w:r>
          </w:p>
        </w:tc>
        <w:tc>
          <w:tcPr>
            <w:tcW w:w="644" w:type="pct"/>
          </w:tcPr>
          <w:p w14:paraId="6BD30B37"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-0.36</w:t>
            </w:r>
          </w:p>
        </w:tc>
        <w:tc>
          <w:tcPr>
            <w:tcW w:w="644" w:type="pct"/>
          </w:tcPr>
          <w:p w14:paraId="6BD30B38"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-0.13</w:t>
            </w:r>
          </w:p>
        </w:tc>
        <w:tc>
          <w:tcPr>
            <w:tcW w:w="644" w:type="pct"/>
          </w:tcPr>
          <w:p w14:paraId="6BD30B39"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0.11</w:t>
            </w:r>
          </w:p>
        </w:tc>
        <w:tc>
          <w:tcPr>
            <w:tcW w:w="644" w:type="pct"/>
          </w:tcPr>
          <w:p w14:paraId="6BD30B3A"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-0.19</w:t>
            </w:r>
          </w:p>
        </w:tc>
      </w:tr>
      <w:tr w:rsidR="0014030D" w:rsidRPr="0014030D" w14:paraId="6BD30B43" w14:textId="77777777" w:rsidTr="0014030D">
        <w:tc>
          <w:tcPr>
            <w:tcW w:w="1134" w:type="pct"/>
            <w:gridSpan w:val="2"/>
          </w:tcPr>
          <w:p w14:paraId="6BD30B3C"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 xml:space="preserve">RUE </w:t>
            </w:r>
          </w:p>
        </w:tc>
        <w:tc>
          <w:tcPr>
            <w:tcW w:w="644" w:type="pct"/>
          </w:tcPr>
          <w:p w14:paraId="6BD30B3D"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0.14</w:t>
            </w:r>
          </w:p>
        </w:tc>
        <w:tc>
          <w:tcPr>
            <w:tcW w:w="644" w:type="pct"/>
          </w:tcPr>
          <w:p w14:paraId="6BD30B3E"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0.06</w:t>
            </w:r>
          </w:p>
        </w:tc>
        <w:tc>
          <w:tcPr>
            <w:tcW w:w="644" w:type="pct"/>
          </w:tcPr>
          <w:p w14:paraId="6BD30B3F"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0.50*</w:t>
            </w:r>
          </w:p>
        </w:tc>
        <w:tc>
          <w:tcPr>
            <w:tcW w:w="644" w:type="pct"/>
          </w:tcPr>
          <w:p w14:paraId="6BD30B40"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0.27</w:t>
            </w:r>
          </w:p>
        </w:tc>
        <w:tc>
          <w:tcPr>
            <w:tcW w:w="644" w:type="pct"/>
          </w:tcPr>
          <w:p w14:paraId="6BD30B41"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-0.12</w:t>
            </w:r>
          </w:p>
        </w:tc>
        <w:tc>
          <w:tcPr>
            <w:tcW w:w="644" w:type="pct"/>
          </w:tcPr>
          <w:p w14:paraId="6BD30B42"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0.22</w:t>
            </w:r>
          </w:p>
        </w:tc>
      </w:tr>
      <w:tr w:rsidR="0014030D" w:rsidRPr="0014030D" w14:paraId="6BD30B4B" w14:textId="77777777" w:rsidTr="0014030D">
        <w:tc>
          <w:tcPr>
            <w:tcW w:w="1134" w:type="pct"/>
            <w:gridSpan w:val="2"/>
          </w:tcPr>
          <w:p w14:paraId="6BD30B44"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 xml:space="preserve">AIPAR </w:t>
            </w:r>
          </w:p>
        </w:tc>
        <w:tc>
          <w:tcPr>
            <w:tcW w:w="644" w:type="pct"/>
          </w:tcPr>
          <w:p w14:paraId="6BD30B45"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-0.34</w:t>
            </w:r>
          </w:p>
        </w:tc>
        <w:tc>
          <w:tcPr>
            <w:tcW w:w="644" w:type="pct"/>
          </w:tcPr>
          <w:p w14:paraId="6BD30B46"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-0.13</w:t>
            </w:r>
          </w:p>
        </w:tc>
        <w:tc>
          <w:tcPr>
            <w:tcW w:w="644" w:type="pct"/>
          </w:tcPr>
          <w:p w14:paraId="6BD30B47"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-0.73**</w:t>
            </w:r>
          </w:p>
        </w:tc>
        <w:tc>
          <w:tcPr>
            <w:tcW w:w="644" w:type="pct"/>
          </w:tcPr>
          <w:p w14:paraId="6BD30B48"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-0.52**</w:t>
            </w:r>
          </w:p>
        </w:tc>
        <w:tc>
          <w:tcPr>
            <w:tcW w:w="644" w:type="pct"/>
          </w:tcPr>
          <w:p w14:paraId="6BD30B49"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-0.15</w:t>
            </w:r>
          </w:p>
        </w:tc>
        <w:tc>
          <w:tcPr>
            <w:tcW w:w="644" w:type="pct"/>
          </w:tcPr>
          <w:p w14:paraId="6BD30B4A"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-0.53**</w:t>
            </w:r>
          </w:p>
        </w:tc>
      </w:tr>
      <w:tr w:rsidR="0014030D" w:rsidRPr="0014030D" w14:paraId="6BD30B53" w14:textId="77777777" w:rsidTr="0014030D">
        <w:tc>
          <w:tcPr>
            <w:tcW w:w="1134" w:type="pct"/>
            <w:gridSpan w:val="2"/>
          </w:tcPr>
          <w:p w14:paraId="6BD30B4C" w14:textId="77777777" w:rsidR="0014030D" w:rsidRPr="0014030D" w:rsidRDefault="0014030D" w:rsidP="0014030D">
            <w:pPr>
              <w:spacing w:before="80" w:after="80"/>
              <w:ind w:right="-107"/>
              <w:rPr>
                <w:rFonts w:ascii="Arial" w:hAnsi="Arial" w:cs="Arial"/>
                <w:b/>
                <w:bCs/>
              </w:rPr>
            </w:pPr>
            <w:r w:rsidRPr="0014030D">
              <w:rPr>
                <w:rFonts w:ascii="Arial" w:hAnsi="Arial" w:cs="Arial"/>
                <w:b/>
                <w:bCs/>
              </w:rPr>
              <w:t>HUE</w:t>
            </w:r>
          </w:p>
        </w:tc>
        <w:tc>
          <w:tcPr>
            <w:tcW w:w="644" w:type="pct"/>
          </w:tcPr>
          <w:p w14:paraId="6BD30B4D" w14:textId="77777777" w:rsidR="0014030D" w:rsidRPr="0014030D" w:rsidRDefault="0014030D" w:rsidP="0014030D">
            <w:pPr>
              <w:spacing w:before="80" w:after="80"/>
              <w:ind w:left="-109" w:right="105"/>
              <w:jc w:val="right"/>
              <w:rPr>
                <w:rFonts w:ascii="Arial" w:hAnsi="Arial" w:cs="Arial"/>
              </w:rPr>
            </w:pPr>
            <w:r w:rsidRPr="0014030D">
              <w:rPr>
                <w:rFonts w:ascii="Arial" w:hAnsi="Arial" w:cs="Arial"/>
              </w:rPr>
              <w:t>0.83**</w:t>
            </w:r>
          </w:p>
        </w:tc>
        <w:tc>
          <w:tcPr>
            <w:tcW w:w="644" w:type="pct"/>
          </w:tcPr>
          <w:p w14:paraId="6BD30B4E" w14:textId="77777777" w:rsidR="0014030D" w:rsidRPr="0014030D" w:rsidRDefault="0014030D" w:rsidP="0014030D">
            <w:pPr>
              <w:spacing w:before="80" w:after="80"/>
              <w:ind w:left="-45" w:right="105"/>
              <w:jc w:val="right"/>
              <w:rPr>
                <w:rFonts w:ascii="Arial" w:hAnsi="Arial" w:cs="Arial"/>
              </w:rPr>
            </w:pPr>
            <w:r w:rsidRPr="0014030D">
              <w:rPr>
                <w:rFonts w:ascii="Arial" w:hAnsi="Arial" w:cs="Arial"/>
              </w:rPr>
              <w:t>0.79**</w:t>
            </w:r>
          </w:p>
        </w:tc>
        <w:tc>
          <w:tcPr>
            <w:tcW w:w="644" w:type="pct"/>
          </w:tcPr>
          <w:p w14:paraId="6BD30B4F" w14:textId="77777777" w:rsidR="0014030D" w:rsidRPr="0014030D" w:rsidRDefault="0014030D" w:rsidP="0014030D">
            <w:pPr>
              <w:spacing w:before="80" w:after="80"/>
              <w:ind w:left="-108" w:right="105"/>
              <w:jc w:val="right"/>
              <w:rPr>
                <w:rFonts w:ascii="Arial" w:hAnsi="Arial" w:cs="Arial"/>
              </w:rPr>
            </w:pPr>
            <w:r w:rsidRPr="0014030D">
              <w:rPr>
                <w:rFonts w:ascii="Arial" w:hAnsi="Arial" w:cs="Arial"/>
              </w:rPr>
              <w:t>0.87**</w:t>
            </w:r>
          </w:p>
        </w:tc>
        <w:tc>
          <w:tcPr>
            <w:tcW w:w="644" w:type="pct"/>
          </w:tcPr>
          <w:p w14:paraId="6BD30B50"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0.87**</w:t>
            </w:r>
          </w:p>
        </w:tc>
        <w:tc>
          <w:tcPr>
            <w:tcW w:w="644" w:type="pct"/>
          </w:tcPr>
          <w:p w14:paraId="6BD30B51"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0.76**</w:t>
            </w:r>
          </w:p>
        </w:tc>
        <w:tc>
          <w:tcPr>
            <w:tcW w:w="644" w:type="pct"/>
          </w:tcPr>
          <w:p w14:paraId="6BD30B52" w14:textId="77777777" w:rsidR="0014030D" w:rsidRPr="0014030D" w:rsidRDefault="0014030D" w:rsidP="0014030D">
            <w:pPr>
              <w:spacing w:before="80" w:after="80"/>
              <w:ind w:left="-28" w:right="105"/>
              <w:jc w:val="right"/>
              <w:rPr>
                <w:rFonts w:ascii="Arial" w:hAnsi="Arial" w:cs="Arial"/>
              </w:rPr>
            </w:pPr>
            <w:r w:rsidRPr="0014030D">
              <w:rPr>
                <w:rFonts w:ascii="Arial" w:hAnsi="Arial" w:cs="Arial"/>
              </w:rPr>
              <w:t>0.68**</w:t>
            </w:r>
          </w:p>
        </w:tc>
      </w:tr>
    </w:tbl>
    <w:p w14:paraId="6BD30B54" w14:textId="77777777" w:rsidR="0014030D" w:rsidRPr="0014030D" w:rsidRDefault="0014030D" w:rsidP="00EA1534">
      <w:pPr>
        <w:tabs>
          <w:tab w:val="left" w:pos="7956"/>
        </w:tabs>
        <w:jc w:val="both"/>
        <w:rPr>
          <w:rFonts w:ascii="Arial" w:hAnsi="Arial" w:cs="Arial"/>
          <w:b/>
          <w:color w:val="000000" w:themeColor="text1"/>
          <w:lang w:val="en-IN"/>
        </w:rPr>
      </w:pPr>
      <w:r w:rsidRPr="0014030D">
        <w:rPr>
          <w:rFonts w:ascii="Arial" w:hAnsi="Arial" w:cs="Arial"/>
          <w:i/>
        </w:rPr>
        <w:t>** LAI: leaf area index; LI: light intensity (µmole m</w:t>
      </w:r>
      <w:r w:rsidRPr="0014030D">
        <w:rPr>
          <w:rFonts w:ascii="Arial" w:hAnsi="Arial" w:cs="Arial"/>
          <w:i/>
          <w:vertAlign w:val="superscript"/>
        </w:rPr>
        <w:t>-2</w:t>
      </w:r>
      <w:r w:rsidRPr="0014030D">
        <w:rPr>
          <w:rFonts w:ascii="Arial" w:hAnsi="Arial" w:cs="Arial"/>
          <w:i/>
        </w:rPr>
        <w:t>s</w:t>
      </w:r>
      <w:r w:rsidRPr="0014030D">
        <w:rPr>
          <w:rFonts w:ascii="Arial" w:hAnsi="Arial" w:cs="Arial"/>
          <w:i/>
          <w:vertAlign w:val="superscript"/>
        </w:rPr>
        <w:t>-1</w:t>
      </w:r>
      <w:r w:rsidRPr="0014030D">
        <w:rPr>
          <w:rFonts w:ascii="Arial" w:hAnsi="Arial" w:cs="Arial"/>
          <w:i/>
        </w:rPr>
        <w:t xml:space="preserve">); LTR: light transmission </w:t>
      </w:r>
      <w:proofErr w:type="spellStart"/>
      <w:r w:rsidRPr="0014030D">
        <w:rPr>
          <w:rFonts w:ascii="Arial" w:hAnsi="Arial" w:cs="Arial"/>
          <w:i/>
        </w:rPr>
        <w:t>ratio;MT</w:t>
      </w:r>
      <w:proofErr w:type="spellEnd"/>
      <w:r w:rsidRPr="0014030D">
        <w:rPr>
          <w:rFonts w:ascii="Arial" w:hAnsi="Arial" w:cs="Arial"/>
          <w:i/>
        </w:rPr>
        <w:t xml:space="preserve">: maximum </w:t>
      </w:r>
      <w:proofErr w:type="spellStart"/>
      <w:r w:rsidRPr="0014030D">
        <w:rPr>
          <w:rFonts w:ascii="Arial" w:hAnsi="Arial" w:cs="Arial"/>
          <w:i/>
        </w:rPr>
        <w:t>tillering</w:t>
      </w:r>
      <w:proofErr w:type="spellEnd"/>
      <w:r w:rsidRPr="0014030D">
        <w:rPr>
          <w:rFonts w:ascii="Arial" w:hAnsi="Arial" w:cs="Arial"/>
          <w:i/>
        </w:rPr>
        <w:t>; F: 50% flowering  PM: physiological maturity; AGDD: accumulated growing degree Days  (</w:t>
      </w:r>
      <w:r w:rsidRPr="0014030D">
        <w:rPr>
          <w:rFonts w:ascii="Arial" w:hAnsi="Arial" w:cs="Arial"/>
          <w:i/>
          <w:vertAlign w:val="superscript"/>
        </w:rPr>
        <w:t>o</w:t>
      </w:r>
      <w:r w:rsidRPr="0014030D">
        <w:rPr>
          <w:rFonts w:ascii="Arial" w:hAnsi="Arial" w:cs="Arial"/>
          <w:i/>
        </w:rPr>
        <w:t xml:space="preserve">d); AHTU: accumulated </w:t>
      </w:r>
      <w:proofErr w:type="spellStart"/>
      <w:r w:rsidRPr="0014030D">
        <w:rPr>
          <w:rFonts w:ascii="Arial" w:hAnsi="Arial" w:cs="Arial"/>
          <w:i/>
        </w:rPr>
        <w:t>helio</w:t>
      </w:r>
      <w:proofErr w:type="spellEnd"/>
      <w:r w:rsidRPr="0014030D">
        <w:rPr>
          <w:rFonts w:ascii="Arial" w:hAnsi="Arial" w:cs="Arial"/>
          <w:i/>
        </w:rPr>
        <w:t xml:space="preserve"> thermal unit (°C </w:t>
      </w:r>
      <w:proofErr w:type="spellStart"/>
      <w:r w:rsidRPr="0014030D">
        <w:rPr>
          <w:rFonts w:ascii="Arial" w:hAnsi="Arial" w:cs="Arial"/>
          <w:i/>
        </w:rPr>
        <w:t>hr</w:t>
      </w:r>
      <w:proofErr w:type="spellEnd"/>
      <w:r w:rsidRPr="0014030D">
        <w:rPr>
          <w:rFonts w:ascii="Arial" w:hAnsi="Arial" w:cs="Arial"/>
          <w:i/>
        </w:rPr>
        <w:t>); APTU: accumulated photo thermal unit (</w:t>
      </w:r>
      <w:proofErr w:type="spellStart"/>
      <w:r w:rsidRPr="0014030D">
        <w:rPr>
          <w:rFonts w:ascii="Arial" w:hAnsi="Arial" w:cs="Arial"/>
          <w:i/>
          <w:vertAlign w:val="superscript"/>
        </w:rPr>
        <w:t>o</w:t>
      </w:r>
      <w:r w:rsidRPr="0014030D">
        <w:rPr>
          <w:rFonts w:ascii="Arial" w:hAnsi="Arial" w:cs="Arial"/>
          <w:i/>
        </w:rPr>
        <w:t>Chr</w:t>
      </w:r>
      <w:proofErr w:type="spellEnd"/>
      <w:r w:rsidRPr="0014030D">
        <w:rPr>
          <w:rFonts w:ascii="Arial" w:hAnsi="Arial" w:cs="Arial"/>
          <w:i/>
        </w:rPr>
        <w:t>); RUE: radiation use efficiency (g MJ</w:t>
      </w:r>
      <w:r w:rsidRPr="0014030D">
        <w:rPr>
          <w:rFonts w:ascii="Arial" w:hAnsi="Arial" w:cs="Arial"/>
          <w:i/>
          <w:vertAlign w:val="superscript"/>
        </w:rPr>
        <w:t>-1</w:t>
      </w:r>
      <w:r w:rsidRPr="0014030D">
        <w:rPr>
          <w:rFonts w:ascii="Arial" w:hAnsi="Arial" w:cs="Arial"/>
          <w:i/>
        </w:rPr>
        <w:t>); AIPAR: accumulated incident photosynthetic active radiation (MJ m</w:t>
      </w:r>
      <w:r w:rsidRPr="0014030D">
        <w:rPr>
          <w:rFonts w:ascii="Arial" w:hAnsi="Arial" w:cs="Arial"/>
          <w:i/>
          <w:vertAlign w:val="superscript"/>
        </w:rPr>
        <w:t>-2</w:t>
      </w:r>
      <w:r w:rsidRPr="0014030D">
        <w:rPr>
          <w:rFonts w:ascii="Arial" w:hAnsi="Arial" w:cs="Arial"/>
          <w:i/>
        </w:rPr>
        <w:t>); HUE: heat use efficiency (kg ha</w:t>
      </w:r>
      <w:r w:rsidRPr="0014030D">
        <w:rPr>
          <w:rFonts w:ascii="Arial" w:hAnsi="Arial" w:cs="Arial"/>
          <w:i/>
          <w:vertAlign w:val="superscript"/>
        </w:rPr>
        <w:t>-1o</w:t>
      </w:r>
      <w:r w:rsidRPr="0014030D">
        <w:rPr>
          <w:rFonts w:ascii="Arial" w:hAnsi="Arial" w:cs="Arial"/>
          <w:i/>
        </w:rPr>
        <w:t>d</w:t>
      </w:r>
      <w:r w:rsidRPr="0014030D">
        <w:rPr>
          <w:rFonts w:ascii="Arial" w:hAnsi="Arial" w:cs="Arial"/>
          <w:i/>
          <w:vertAlign w:val="superscript"/>
        </w:rPr>
        <w:t>-1</w:t>
      </w:r>
      <w:r w:rsidRPr="0014030D">
        <w:rPr>
          <w:rFonts w:ascii="Arial" w:hAnsi="Arial" w:cs="Arial"/>
          <w:i/>
        </w:rPr>
        <w:t>)</w:t>
      </w:r>
    </w:p>
    <w:p w14:paraId="6BD30B55" w14:textId="77777777" w:rsidR="00EA1534" w:rsidRPr="0014030D" w:rsidRDefault="00EA1534" w:rsidP="00441B6F">
      <w:pPr>
        <w:pStyle w:val="Body"/>
        <w:spacing w:after="0"/>
        <w:rPr>
          <w:rFonts w:ascii="Arial" w:hAnsi="Arial" w:cs="Arial"/>
        </w:rPr>
      </w:pPr>
    </w:p>
    <w:p w14:paraId="6BD30B5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BD30B57" w14:textId="77777777" w:rsidR="00790ADA" w:rsidRPr="00FB3A86" w:rsidRDefault="00790ADA" w:rsidP="00441B6F">
      <w:pPr>
        <w:pStyle w:val="ConcHead"/>
        <w:spacing w:after="0"/>
        <w:jc w:val="both"/>
        <w:rPr>
          <w:rFonts w:ascii="Arial" w:hAnsi="Arial" w:cs="Arial"/>
        </w:rPr>
      </w:pPr>
    </w:p>
    <w:p w14:paraId="6BD30B58" w14:textId="0FEB43C2" w:rsidR="00790ADA" w:rsidRPr="00FB3A86" w:rsidRDefault="0014030D" w:rsidP="00441B6F">
      <w:pPr>
        <w:pStyle w:val="Body"/>
        <w:spacing w:after="0"/>
        <w:rPr>
          <w:rFonts w:ascii="Arial" w:hAnsi="Arial" w:cs="Arial"/>
        </w:rPr>
      </w:pPr>
      <w:r w:rsidRPr="0014030D">
        <w:rPr>
          <w:rFonts w:ascii="Arial" w:hAnsi="Arial" w:cs="Arial"/>
        </w:rPr>
        <w:t xml:space="preserve">The two consecutive years of study revealed that modifying the </w:t>
      </w:r>
      <w:proofErr w:type="spellStart"/>
      <w:r w:rsidR="004551B9">
        <w:rPr>
          <w:rFonts w:ascii="Arial" w:hAnsi="Arial" w:cs="Arial"/>
        </w:rPr>
        <w:t>sali</w:t>
      </w:r>
      <w:proofErr w:type="spellEnd"/>
      <w:r w:rsidR="00DB11F9">
        <w:rPr>
          <w:rFonts w:ascii="Arial" w:hAnsi="Arial" w:cs="Arial"/>
        </w:rPr>
        <w:t xml:space="preserve"> </w:t>
      </w:r>
      <w:r w:rsidR="00141BDA">
        <w:rPr>
          <w:rFonts w:ascii="Arial" w:hAnsi="Arial" w:cs="Arial"/>
        </w:rPr>
        <w:t>paddy</w:t>
      </w:r>
      <w:r w:rsidRPr="0014030D">
        <w:rPr>
          <w:rFonts w:ascii="Arial" w:hAnsi="Arial" w:cs="Arial"/>
        </w:rPr>
        <w:t xml:space="preserve">-ecosystem under medium land situation in the </w:t>
      </w:r>
      <w:proofErr w:type="spellStart"/>
      <w:r w:rsidRPr="0014030D">
        <w:rPr>
          <w:rFonts w:ascii="Arial" w:hAnsi="Arial" w:cs="Arial"/>
        </w:rPr>
        <w:t>inceptisols</w:t>
      </w:r>
      <w:proofErr w:type="spellEnd"/>
      <w:r w:rsidRPr="0014030D">
        <w:rPr>
          <w:rFonts w:ascii="Arial" w:hAnsi="Arial" w:cs="Arial"/>
        </w:rPr>
        <w:t xml:space="preserve"> of </w:t>
      </w:r>
      <w:r w:rsidR="004551B9">
        <w:rPr>
          <w:rFonts w:ascii="Arial" w:hAnsi="Arial" w:cs="Arial"/>
        </w:rPr>
        <w:t>Assam by</w:t>
      </w:r>
      <w:r w:rsidRPr="0014030D">
        <w:rPr>
          <w:rFonts w:ascii="Arial" w:hAnsi="Arial" w:cs="Arial"/>
        </w:rPr>
        <w:t xml:space="preserve"> early transplanting by </w:t>
      </w:r>
      <w:r w:rsidR="004551B9">
        <w:rPr>
          <w:rFonts w:ascii="Arial" w:hAnsi="Arial" w:cs="Arial"/>
        </w:rPr>
        <w:t>26th June</w:t>
      </w:r>
      <w:r w:rsidRPr="0014030D">
        <w:rPr>
          <w:rFonts w:ascii="Arial" w:hAnsi="Arial" w:cs="Arial"/>
        </w:rPr>
        <w:t xml:space="preserve"> at a density of 16 hills m-2 under SRI establishment technique offers a promising crop management strategy. This combination markedly improved both RUE </w:t>
      </w:r>
      <w:r w:rsidR="004551B9">
        <w:rPr>
          <w:rFonts w:ascii="Arial" w:hAnsi="Arial" w:cs="Arial"/>
        </w:rPr>
        <w:t>and HUE</w:t>
      </w:r>
      <w:r w:rsidRPr="0014030D">
        <w:rPr>
          <w:rFonts w:ascii="Arial" w:hAnsi="Arial" w:cs="Arial"/>
        </w:rPr>
        <w:t xml:space="preserve">, leading to escalated yield attributes, grain and straw </w:t>
      </w:r>
      <w:proofErr w:type="spellStart"/>
      <w:proofErr w:type="gramStart"/>
      <w:r w:rsidRPr="0014030D">
        <w:rPr>
          <w:rFonts w:ascii="Arial" w:hAnsi="Arial" w:cs="Arial"/>
        </w:rPr>
        <w:t>yields,coupled</w:t>
      </w:r>
      <w:proofErr w:type="spellEnd"/>
      <w:proofErr w:type="gramEnd"/>
      <w:r w:rsidRPr="0014030D">
        <w:rPr>
          <w:rFonts w:ascii="Arial" w:hAnsi="Arial" w:cs="Arial"/>
        </w:rPr>
        <w:t xml:space="preserve"> with an increased harvest index compared to the conventional method and delayed transplanting. The enhanced performance can be attributed to more effective utilization of resources, esp. heat and solar radiation; reduced competition among plants, and the creation of a favorable microclimatic environment within the crop canopy. Moreover, the strong positive associations observed between chlorophyll content, LAI, RUE, HUE, and yield traits further emphasize that the efficient management of microclimatic and thermal resources plays a vital role in boosting rice growth and productivity.</w:t>
      </w:r>
    </w:p>
    <w:p w14:paraId="6BD30B59" w14:textId="77777777" w:rsidR="0014030D" w:rsidRDefault="0014030D" w:rsidP="00441B6F">
      <w:pPr>
        <w:pStyle w:val="AcknHead"/>
        <w:spacing w:after="0"/>
        <w:jc w:val="both"/>
        <w:rPr>
          <w:rFonts w:ascii="Arial" w:hAnsi="Arial" w:cs="Arial"/>
        </w:rPr>
      </w:pPr>
    </w:p>
    <w:p w14:paraId="6BD30B61" w14:textId="77777777" w:rsidR="00371FB6" w:rsidRDefault="00371FB6" w:rsidP="00441B6F">
      <w:pPr>
        <w:pStyle w:val="ReferHead"/>
        <w:spacing w:after="0"/>
        <w:jc w:val="both"/>
        <w:rPr>
          <w:rFonts w:ascii="Arial" w:hAnsi="Arial" w:cs="Arial"/>
          <w:b w:val="0"/>
          <w:caps w:val="0"/>
          <w:sz w:val="20"/>
        </w:rPr>
      </w:pPr>
    </w:p>
    <w:p w14:paraId="6BD30B6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BD30B63" w14:textId="77777777" w:rsidR="00284C4C" w:rsidRPr="00284C4C" w:rsidRDefault="00284C4C" w:rsidP="00441B6F">
      <w:pPr>
        <w:pStyle w:val="Body"/>
        <w:spacing w:after="0"/>
        <w:rPr>
          <w:rFonts w:ascii="Arial" w:hAnsi="Arial" w:cs="Arial"/>
          <w:i/>
          <w:u w:val="single"/>
        </w:rPr>
      </w:pPr>
    </w:p>
    <w:p w14:paraId="6BD30B64" w14:textId="77777777" w:rsidR="00654C8B" w:rsidRDefault="00654C8B" w:rsidP="00654C8B">
      <w:pPr>
        <w:pStyle w:val="Body"/>
        <w:numPr>
          <w:ilvl w:val="0"/>
          <w:numId w:val="31"/>
        </w:numPr>
        <w:spacing w:after="0"/>
      </w:pPr>
      <w:r w:rsidRPr="00D74CB0">
        <w:lastRenderedPageBreak/>
        <w:t>Anonymous. (20</w:t>
      </w:r>
      <w:r>
        <w:t>25</w:t>
      </w:r>
      <w:r w:rsidRPr="00D74CB0">
        <w:t xml:space="preserve">). </w:t>
      </w:r>
      <w:r>
        <w:t xml:space="preserve">Rice-based Cropping System Knowledge Bank of Assam (RCSKB). </w:t>
      </w:r>
      <w:r w:rsidRPr="00654C8B">
        <w:t xml:space="preserve">aau.ac.in </w:t>
      </w:r>
      <w:hyperlink r:id="rId20" w:history="1">
        <w:r w:rsidRPr="00AF4180">
          <w:rPr>
            <w:rStyle w:val="Hyperlink"/>
          </w:rPr>
          <w:t>https://share.google/1JW7UOMqQdNLrdrif</w:t>
        </w:r>
      </w:hyperlink>
      <w:r>
        <w:t>.</w:t>
      </w:r>
    </w:p>
    <w:p w14:paraId="6BD30B65" w14:textId="77777777" w:rsidR="00A36C62" w:rsidRPr="00BE2F0E" w:rsidRDefault="00A36C62" w:rsidP="00A36C62">
      <w:pPr>
        <w:pStyle w:val="Body"/>
        <w:numPr>
          <w:ilvl w:val="0"/>
          <w:numId w:val="31"/>
        </w:numPr>
        <w:spacing w:after="0"/>
        <w:rPr>
          <w:rFonts w:ascii="Arial" w:hAnsi="Arial" w:cs="Arial"/>
          <w:bCs/>
          <w:lang w:val="en-IN"/>
        </w:rPr>
      </w:pPr>
      <w:r w:rsidRPr="00BE2F0E">
        <w:rPr>
          <w:rFonts w:ascii="Arial" w:hAnsi="Arial" w:cs="Arial"/>
          <w:bCs/>
          <w:lang w:val="en-IN"/>
        </w:rPr>
        <w:t xml:space="preserve">Kalita, R., </w:t>
      </w:r>
      <w:proofErr w:type="spellStart"/>
      <w:r w:rsidRPr="00BE2F0E">
        <w:rPr>
          <w:rFonts w:ascii="Arial" w:hAnsi="Arial" w:cs="Arial"/>
          <w:bCs/>
          <w:lang w:val="en-IN"/>
        </w:rPr>
        <w:t>Thakuria</w:t>
      </w:r>
      <w:proofErr w:type="spellEnd"/>
      <w:r w:rsidRPr="00BE2F0E">
        <w:rPr>
          <w:rFonts w:ascii="Arial" w:hAnsi="Arial" w:cs="Arial"/>
          <w:bCs/>
          <w:lang w:val="en-IN"/>
        </w:rPr>
        <w:t>, R. K., Medhi, B. K., &amp; Saikia, M. (2023). Production maximization of rainy season rice (</w:t>
      </w:r>
      <w:r w:rsidRPr="00AC186A">
        <w:rPr>
          <w:rFonts w:ascii="Arial" w:hAnsi="Arial" w:cs="Arial"/>
          <w:bCs/>
          <w:i/>
          <w:lang w:val="en-IN"/>
        </w:rPr>
        <w:t>Oryza sativa</w:t>
      </w:r>
      <w:r w:rsidRPr="00BE2F0E">
        <w:rPr>
          <w:rFonts w:ascii="Arial" w:hAnsi="Arial" w:cs="Arial"/>
          <w:bCs/>
          <w:lang w:val="en-IN"/>
        </w:rPr>
        <w:t xml:space="preserve">) through effective use of water and solar radiation under modified system of rice intensification in Assam. </w:t>
      </w:r>
      <w:r w:rsidRPr="00AC186A">
        <w:rPr>
          <w:rFonts w:ascii="Arial" w:hAnsi="Arial" w:cs="Arial"/>
          <w:bCs/>
          <w:iCs/>
          <w:lang w:val="en-IN"/>
        </w:rPr>
        <w:t>Indian Journal of Agronomy</w:t>
      </w:r>
      <w:r w:rsidRPr="00BE2F0E">
        <w:rPr>
          <w:rFonts w:ascii="Arial" w:hAnsi="Arial" w:cs="Arial"/>
          <w:bCs/>
          <w:lang w:val="en-IN"/>
        </w:rPr>
        <w:t xml:space="preserve">, </w:t>
      </w:r>
      <w:r w:rsidRPr="00BE2F0E">
        <w:rPr>
          <w:rFonts w:ascii="Arial" w:hAnsi="Arial" w:cs="Arial"/>
          <w:bCs/>
          <w:i/>
          <w:iCs/>
          <w:lang w:val="en-IN"/>
        </w:rPr>
        <w:t>68</w:t>
      </w:r>
      <w:r w:rsidRPr="00BE2F0E">
        <w:rPr>
          <w:rFonts w:ascii="Arial" w:hAnsi="Arial" w:cs="Arial"/>
          <w:bCs/>
          <w:lang w:val="en-IN"/>
        </w:rPr>
        <w:t xml:space="preserve">(1), 1–8. </w:t>
      </w:r>
      <w:hyperlink r:id="rId21" w:history="1">
        <w:r w:rsidRPr="00BE2F0E">
          <w:rPr>
            <w:rStyle w:val="Hyperlink"/>
            <w:rFonts w:ascii="Arial" w:hAnsi="Arial" w:cs="Arial"/>
            <w:bCs/>
            <w:lang w:val="en-IN"/>
          </w:rPr>
          <w:t>https://doi.org/10.59797/ija.v68i1.194</w:t>
        </w:r>
      </w:hyperlink>
    </w:p>
    <w:p w14:paraId="6BD30B66" w14:textId="77777777" w:rsidR="00A36C62" w:rsidRPr="00BE2F0E" w:rsidRDefault="00A36C62" w:rsidP="00A36C62">
      <w:pPr>
        <w:pStyle w:val="Body"/>
        <w:numPr>
          <w:ilvl w:val="0"/>
          <w:numId w:val="31"/>
        </w:numPr>
        <w:spacing w:after="0"/>
        <w:rPr>
          <w:rFonts w:ascii="Arial" w:hAnsi="Arial" w:cs="Arial"/>
          <w:bCs/>
          <w:lang w:val="en-IN"/>
        </w:rPr>
      </w:pPr>
      <w:r w:rsidRPr="00BE2F0E">
        <w:rPr>
          <w:rFonts w:ascii="Arial" w:hAnsi="Arial" w:cs="Arial"/>
          <w:bCs/>
          <w:lang w:val="en-IN"/>
        </w:rPr>
        <w:t xml:space="preserve">Kalita, R., </w:t>
      </w:r>
      <w:proofErr w:type="spellStart"/>
      <w:r w:rsidRPr="00BE2F0E">
        <w:rPr>
          <w:rFonts w:ascii="Arial" w:hAnsi="Arial" w:cs="Arial"/>
          <w:bCs/>
          <w:lang w:val="en-IN"/>
        </w:rPr>
        <w:t>Thakuria</w:t>
      </w:r>
      <w:proofErr w:type="spellEnd"/>
      <w:r w:rsidRPr="00BE2F0E">
        <w:rPr>
          <w:rFonts w:ascii="Arial" w:hAnsi="Arial" w:cs="Arial"/>
          <w:bCs/>
          <w:lang w:val="en-IN"/>
        </w:rPr>
        <w:t xml:space="preserve">, R., Medhi, B., </w:t>
      </w:r>
      <w:proofErr w:type="spellStart"/>
      <w:r w:rsidRPr="00BE2F0E">
        <w:rPr>
          <w:rFonts w:ascii="Arial" w:hAnsi="Arial" w:cs="Arial"/>
          <w:bCs/>
          <w:lang w:val="en-IN"/>
        </w:rPr>
        <w:t>Borkotokiy</w:t>
      </w:r>
      <w:proofErr w:type="spellEnd"/>
      <w:r w:rsidRPr="00BE2F0E">
        <w:rPr>
          <w:rFonts w:ascii="Arial" w:hAnsi="Arial" w:cs="Arial"/>
          <w:bCs/>
          <w:lang w:val="en-IN"/>
        </w:rPr>
        <w:t>, B., &amp;</w:t>
      </w:r>
      <w:proofErr w:type="spellStart"/>
      <w:r w:rsidRPr="00BE2F0E">
        <w:rPr>
          <w:rFonts w:ascii="Arial" w:hAnsi="Arial" w:cs="Arial"/>
          <w:bCs/>
          <w:lang w:val="en-IN"/>
        </w:rPr>
        <w:t>Changmai</w:t>
      </w:r>
      <w:proofErr w:type="spellEnd"/>
      <w:r w:rsidRPr="00BE2F0E">
        <w:rPr>
          <w:rFonts w:ascii="Arial" w:hAnsi="Arial" w:cs="Arial"/>
          <w:bCs/>
          <w:lang w:val="en-IN"/>
        </w:rPr>
        <w:t xml:space="preserve">, R. (2024). Influence of microclimate on crop growth, soil respiration and carbon sequestration under varied agronomic management in </w:t>
      </w:r>
      <w:proofErr w:type="spellStart"/>
      <w:r w:rsidRPr="00BE2F0E">
        <w:rPr>
          <w:rFonts w:ascii="Arial" w:hAnsi="Arial" w:cs="Arial"/>
          <w:bCs/>
          <w:lang w:val="en-IN"/>
        </w:rPr>
        <w:t>sali</w:t>
      </w:r>
      <w:proofErr w:type="spellEnd"/>
      <w:r w:rsidRPr="00BE2F0E">
        <w:rPr>
          <w:rFonts w:ascii="Arial" w:hAnsi="Arial" w:cs="Arial"/>
          <w:bCs/>
          <w:lang w:val="en-IN"/>
        </w:rPr>
        <w:t xml:space="preserve"> paddy in Assam. </w:t>
      </w:r>
      <w:r w:rsidRPr="00AC186A">
        <w:rPr>
          <w:rFonts w:ascii="Arial" w:hAnsi="Arial" w:cs="Arial"/>
          <w:bCs/>
          <w:iCs/>
          <w:lang w:val="en-IN"/>
        </w:rPr>
        <w:t>International Journal of Research in Agronomy</w:t>
      </w:r>
      <w:r w:rsidRPr="00BE2F0E">
        <w:rPr>
          <w:rFonts w:ascii="Arial" w:hAnsi="Arial" w:cs="Arial"/>
          <w:bCs/>
          <w:lang w:val="en-IN"/>
        </w:rPr>
        <w:t xml:space="preserve">, </w:t>
      </w:r>
      <w:r w:rsidRPr="00BE2F0E">
        <w:rPr>
          <w:rFonts w:ascii="Arial" w:hAnsi="Arial" w:cs="Arial"/>
          <w:bCs/>
          <w:i/>
          <w:iCs/>
          <w:lang w:val="en-IN"/>
        </w:rPr>
        <w:t>7</w:t>
      </w:r>
      <w:r w:rsidRPr="00BE2F0E">
        <w:rPr>
          <w:rFonts w:ascii="Arial" w:hAnsi="Arial" w:cs="Arial"/>
          <w:bCs/>
          <w:lang w:val="en-IN"/>
        </w:rPr>
        <w:t xml:space="preserve">(7), 738–744. </w:t>
      </w:r>
      <w:hyperlink r:id="rId22" w:history="1">
        <w:r w:rsidRPr="00BE2F0E">
          <w:rPr>
            <w:rStyle w:val="Hyperlink"/>
            <w:rFonts w:ascii="Arial" w:hAnsi="Arial" w:cs="Arial"/>
            <w:bCs/>
            <w:lang w:val="en-IN"/>
          </w:rPr>
          <w:t>https://doi.org/10.33545/2618060x.2024.v7.i7i.1129</w:t>
        </w:r>
      </w:hyperlink>
    </w:p>
    <w:p w14:paraId="6BD30B67" w14:textId="77777777" w:rsidR="00A36C62" w:rsidRPr="00BE2F0E" w:rsidRDefault="00A36C62" w:rsidP="00A36C62">
      <w:pPr>
        <w:pStyle w:val="Body"/>
        <w:numPr>
          <w:ilvl w:val="0"/>
          <w:numId w:val="31"/>
        </w:numPr>
        <w:spacing w:after="0"/>
        <w:rPr>
          <w:rFonts w:ascii="Arial" w:hAnsi="Arial" w:cs="Arial"/>
          <w:bCs/>
          <w:lang w:val="en-IN"/>
        </w:rPr>
      </w:pPr>
      <w:r w:rsidRPr="00BE2F0E">
        <w:rPr>
          <w:rFonts w:ascii="Arial" w:hAnsi="Arial" w:cs="Arial"/>
          <w:bCs/>
          <w:lang w:val="en-IN"/>
        </w:rPr>
        <w:t xml:space="preserve">Kalita, R., </w:t>
      </w:r>
      <w:proofErr w:type="spellStart"/>
      <w:r w:rsidRPr="00BE2F0E">
        <w:rPr>
          <w:rFonts w:ascii="Arial" w:hAnsi="Arial" w:cs="Arial"/>
          <w:bCs/>
          <w:lang w:val="en-IN"/>
        </w:rPr>
        <w:t>Thakuria</w:t>
      </w:r>
      <w:proofErr w:type="spellEnd"/>
      <w:r w:rsidRPr="00BE2F0E">
        <w:rPr>
          <w:rFonts w:ascii="Arial" w:hAnsi="Arial" w:cs="Arial"/>
          <w:bCs/>
          <w:lang w:val="en-IN"/>
        </w:rPr>
        <w:t>, R., Medhi, B., Kalita, G., Dutta, B., &amp; Kalita, S. (2025). Optimized crop microenvironments for enhanced growth and physiological parameters of kharif paddy (</w:t>
      </w:r>
      <w:r w:rsidRPr="00AC186A">
        <w:rPr>
          <w:rFonts w:ascii="Arial" w:hAnsi="Arial" w:cs="Arial"/>
          <w:bCs/>
          <w:i/>
          <w:lang w:val="en-IN"/>
        </w:rPr>
        <w:t>Oryza sativa</w:t>
      </w:r>
      <w:r w:rsidRPr="00BE2F0E">
        <w:rPr>
          <w:rFonts w:ascii="Arial" w:hAnsi="Arial" w:cs="Arial"/>
          <w:bCs/>
          <w:lang w:val="en-IN"/>
        </w:rPr>
        <w:t xml:space="preserve"> L.) in Assam</w:t>
      </w:r>
      <w:r w:rsidRPr="00AC186A">
        <w:rPr>
          <w:rFonts w:ascii="Arial" w:hAnsi="Arial" w:cs="Arial"/>
          <w:bCs/>
          <w:lang w:val="en-IN"/>
        </w:rPr>
        <w:t xml:space="preserve">. </w:t>
      </w:r>
      <w:r w:rsidRPr="00AC186A">
        <w:rPr>
          <w:rFonts w:ascii="Arial" w:hAnsi="Arial" w:cs="Arial"/>
          <w:bCs/>
          <w:iCs/>
          <w:lang w:val="en-IN"/>
        </w:rPr>
        <w:t>International Journal of Advanced Biochemistry Research</w:t>
      </w:r>
      <w:r w:rsidRPr="00BE2F0E">
        <w:rPr>
          <w:rFonts w:ascii="Arial" w:hAnsi="Arial" w:cs="Arial"/>
          <w:bCs/>
          <w:lang w:val="en-IN"/>
        </w:rPr>
        <w:t xml:space="preserve">, </w:t>
      </w:r>
      <w:r w:rsidRPr="00BE2F0E">
        <w:rPr>
          <w:rFonts w:ascii="Arial" w:hAnsi="Arial" w:cs="Arial"/>
          <w:bCs/>
          <w:i/>
          <w:iCs/>
          <w:lang w:val="en-IN"/>
        </w:rPr>
        <w:t>9</w:t>
      </w:r>
      <w:r w:rsidRPr="00BE2F0E">
        <w:rPr>
          <w:rFonts w:ascii="Arial" w:hAnsi="Arial" w:cs="Arial"/>
          <w:bCs/>
          <w:lang w:val="en-IN"/>
        </w:rPr>
        <w:t xml:space="preserve">(5), 995–1002. </w:t>
      </w:r>
      <w:hyperlink r:id="rId23" w:history="1">
        <w:r w:rsidRPr="00BE2F0E">
          <w:rPr>
            <w:rStyle w:val="Hyperlink"/>
            <w:rFonts w:ascii="Arial" w:hAnsi="Arial" w:cs="Arial"/>
            <w:bCs/>
            <w:lang w:val="en-IN"/>
          </w:rPr>
          <w:t>https://doi.org/10.33545/26174693.2025.v9.i5l.4458</w:t>
        </w:r>
      </w:hyperlink>
    </w:p>
    <w:p w14:paraId="6BD30B68" w14:textId="77777777" w:rsidR="00BE2F0E" w:rsidRPr="0012433B" w:rsidRDefault="00BE2F0E" w:rsidP="00BE2F0E">
      <w:pPr>
        <w:pStyle w:val="Body"/>
        <w:numPr>
          <w:ilvl w:val="0"/>
          <w:numId w:val="31"/>
        </w:numPr>
        <w:spacing w:after="0"/>
        <w:rPr>
          <w:rFonts w:ascii="Arial" w:hAnsi="Arial" w:cs="Arial"/>
          <w:bCs/>
          <w:lang w:val="en-IN"/>
        </w:rPr>
      </w:pPr>
      <w:r w:rsidRPr="00BE2F0E">
        <w:rPr>
          <w:rFonts w:ascii="Arial" w:hAnsi="Arial" w:cs="Arial"/>
          <w:bCs/>
          <w:lang w:val="en-IN"/>
        </w:rPr>
        <w:t xml:space="preserve">Chen, X., Cui, Z., Fan, M., Vitousek, P., Zhao, M., Ma, W., </w:t>
      </w:r>
      <w:r w:rsidR="00AC186A">
        <w:rPr>
          <w:rFonts w:ascii="Arial" w:hAnsi="Arial" w:cs="Arial"/>
          <w:bCs/>
          <w:lang w:val="en-IN"/>
        </w:rPr>
        <w:t xml:space="preserve">et. al. </w:t>
      </w:r>
      <w:r w:rsidRPr="00BE2F0E">
        <w:rPr>
          <w:rFonts w:ascii="Arial" w:hAnsi="Arial" w:cs="Arial"/>
          <w:bCs/>
          <w:lang w:val="en-IN"/>
        </w:rPr>
        <w:t>(2014). Producing more grain with lower environmental costs</w:t>
      </w:r>
      <w:r w:rsidRPr="00AC186A">
        <w:rPr>
          <w:rFonts w:ascii="Arial" w:hAnsi="Arial" w:cs="Arial"/>
          <w:bCs/>
          <w:lang w:val="en-IN"/>
        </w:rPr>
        <w:t xml:space="preserve">. </w:t>
      </w:r>
      <w:r w:rsidRPr="00AC186A">
        <w:rPr>
          <w:rFonts w:ascii="Arial" w:hAnsi="Arial" w:cs="Arial"/>
          <w:bCs/>
          <w:iCs/>
          <w:lang w:val="en-IN"/>
        </w:rPr>
        <w:t>Nature</w:t>
      </w:r>
      <w:r w:rsidRPr="00AC186A">
        <w:rPr>
          <w:rFonts w:ascii="Arial" w:hAnsi="Arial" w:cs="Arial"/>
          <w:bCs/>
          <w:lang w:val="en-IN"/>
        </w:rPr>
        <w:t>,</w:t>
      </w:r>
      <w:r w:rsidRPr="00BE2F0E">
        <w:rPr>
          <w:rFonts w:ascii="Arial" w:hAnsi="Arial" w:cs="Arial"/>
          <w:bCs/>
          <w:i/>
          <w:iCs/>
          <w:lang w:val="en-IN"/>
        </w:rPr>
        <w:t>514</w:t>
      </w:r>
      <w:r w:rsidRPr="00BE2F0E">
        <w:rPr>
          <w:rFonts w:ascii="Arial" w:hAnsi="Arial" w:cs="Arial"/>
          <w:bCs/>
          <w:lang w:val="en-IN"/>
        </w:rPr>
        <w:t xml:space="preserve">(7523), 486–489. </w:t>
      </w:r>
      <w:hyperlink r:id="rId24" w:history="1">
        <w:r w:rsidRPr="00BE2F0E">
          <w:rPr>
            <w:rStyle w:val="Hyperlink"/>
            <w:rFonts w:ascii="Arial" w:hAnsi="Arial" w:cs="Arial"/>
            <w:bCs/>
            <w:lang w:val="en-IN"/>
          </w:rPr>
          <w:t>https://doi.org/10.1038/nature13609</w:t>
        </w:r>
      </w:hyperlink>
    </w:p>
    <w:p w14:paraId="6BD30B69" w14:textId="77777777" w:rsidR="0012433B" w:rsidRDefault="0012433B" w:rsidP="0012433B">
      <w:pPr>
        <w:pStyle w:val="Body"/>
        <w:numPr>
          <w:ilvl w:val="0"/>
          <w:numId w:val="31"/>
        </w:numPr>
        <w:spacing w:after="0"/>
        <w:rPr>
          <w:rFonts w:ascii="Arial" w:hAnsi="Arial" w:cs="Arial"/>
          <w:bCs/>
          <w:lang w:val="en-IN"/>
        </w:rPr>
      </w:pPr>
      <w:r w:rsidRPr="00BE2F0E">
        <w:rPr>
          <w:rFonts w:ascii="Arial" w:hAnsi="Arial" w:cs="Arial"/>
          <w:bCs/>
          <w:lang w:val="en-IN"/>
        </w:rPr>
        <w:t xml:space="preserve">Priyadarshi, D.S.; Mohapatra, A.K.B.; </w:t>
      </w:r>
      <w:proofErr w:type="spellStart"/>
      <w:r w:rsidRPr="00BE2F0E">
        <w:rPr>
          <w:rFonts w:ascii="Arial" w:hAnsi="Arial" w:cs="Arial"/>
          <w:bCs/>
          <w:lang w:val="en-IN"/>
        </w:rPr>
        <w:t>Pasupalak</w:t>
      </w:r>
      <w:proofErr w:type="spellEnd"/>
      <w:r w:rsidRPr="00BE2F0E">
        <w:rPr>
          <w:rFonts w:ascii="Arial" w:hAnsi="Arial" w:cs="Arial"/>
          <w:bCs/>
          <w:lang w:val="en-IN"/>
        </w:rPr>
        <w:t xml:space="preserve">, S.; </w:t>
      </w:r>
      <w:proofErr w:type="spellStart"/>
      <w:r w:rsidRPr="00BE2F0E">
        <w:rPr>
          <w:rFonts w:ascii="Arial" w:hAnsi="Arial" w:cs="Arial"/>
          <w:bCs/>
          <w:lang w:val="en-IN"/>
        </w:rPr>
        <w:t>Baliarsingh</w:t>
      </w:r>
      <w:proofErr w:type="spellEnd"/>
      <w:r w:rsidRPr="00BE2F0E">
        <w:rPr>
          <w:rFonts w:ascii="Arial" w:hAnsi="Arial" w:cs="Arial"/>
          <w:bCs/>
          <w:lang w:val="en-IN"/>
        </w:rPr>
        <w:t>, A.; Rath, B.S.; Nanda, A.</w:t>
      </w:r>
      <w:proofErr w:type="gramStart"/>
      <w:r w:rsidRPr="00BE2F0E">
        <w:rPr>
          <w:rFonts w:ascii="Arial" w:hAnsi="Arial" w:cs="Arial"/>
          <w:bCs/>
          <w:lang w:val="en-IN"/>
        </w:rPr>
        <w:t xml:space="preserve">;  </w:t>
      </w:r>
      <w:r w:rsidR="00AC186A">
        <w:rPr>
          <w:rFonts w:ascii="Arial" w:hAnsi="Arial" w:cs="Arial"/>
          <w:bCs/>
          <w:lang w:val="en-IN"/>
        </w:rPr>
        <w:t>et</w:t>
      </w:r>
      <w:proofErr w:type="gramEnd"/>
      <w:r w:rsidR="00AC186A">
        <w:rPr>
          <w:rFonts w:ascii="Arial" w:hAnsi="Arial" w:cs="Arial"/>
          <w:bCs/>
          <w:lang w:val="en-IN"/>
        </w:rPr>
        <w:t>. al</w:t>
      </w:r>
      <w:r w:rsidRPr="00BE2F0E">
        <w:rPr>
          <w:rFonts w:ascii="Arial" w:hAnsi="Arial" w:cs="Arial"/>
          <w:bCs/>
          <w:lang w:val="en-IN"/>
        </w:rPr>
        <w:t xml:space="preserve">.  (2018). </w:t>
      </w:r>
      <w:proofErr w:type="spellStart"/>
      <w:r w:rsidRPr="00BE2F0E">
        <w:rPr>
          <w:rFonts w:ascii="Arial" w:hAnsi="Arial" w:cs="Arial"/>
          <w:bCs/>
          <w:lang w:val="en-IN"/>
        </w:rPr>
        <w:t>Agro</w:t>
      </w:r>
      <w:proofErr w:type="spellEnd"/>
      <w:r w:rsidRPr="00BE2F0E">
        <w:rPr>
          <w:rFonts w:ascii="Arial" w:hAnsi="Arial" w:cs="Arial"/>
          <w:bCs/>
          <w:lang w:val="en-IN"/>
        </w:rPr>
        <w:t>-meteorological indices and phenology of rice (</w:t>
      </w:r>
      <w:r w:rsidRPr="00BE2F0E">
        <w:rPr>
          <w:rFonts w:ascii="Arial" w:hAnsi="Arial" w:cs="Arial"/>
          <w:bCs/>
          <w:i/>
          <w:iCs/>
          <w:lang w:val="en-IN"/>
        </w:rPr>
        <w:t>Oryza sativa</w:t>
      </w:r>
      <w:r w:rsidRPr="00BE2F0E">
        <w:rPr>
          <w:rFonts w:ascii="Arial" w:hAnsi="Arial" w:cs="Arial"/>
          <w:bCs/>
          <w:lang w:val="en-IN"/>
        </w:rPr>
        <w:t xml:space="preserve"> L.) under different dates of planting and nitrogen levels. </w:t>
      </w:r>
      <w:r w:rsidRPr="00AC186A">
        <w:rPr>
          <w:rFonts w:ascii="Arial" w:hAnsi="Arial" w:cs="Arial"/>
          <w:bCs/>
          <w:iCs/>
          <w:lang w:val="en-IN"/>
        </w:rPr>
        <w:t>Intern. J. Chemical Stud</w:t>
      </w:r>
      <w:r w:rsidRPr="00AC186A">
        <w:rPr>
          <w:rFonts w:ascii="Arial" w:hAnsi="Arial" w:cs="Arial"/>
          <w:bCs/>
          <w:lang w:val="en-IN"/>
        </w:rPr>
        <w:t>.</w:t>
      </w:r>
      <w:r w:rsidRPr="00BE2F0E">
        <w:rPr>
          <w:rFonts w:ascii="Arial" w:hAnsi="Arial" w:cs="Arial"/>
          <w:bCs/>
          <w:lang w:val="en-IN"/>
        </w:rPr>
        <w:t xml:space="preserve"> 6(5): 3298-3302.</w:t>
      </w:r>
    </w:p>
    <w:p w14:paraId="6BD30B6A" w14:textId="77777777" w:rsidR="0012433B" w:rsidRPr="0012433B" w:rsidRDefault="0012433B" w:rsidP="0012433B">
      <w:pPr>
        <w:pStyle w:val="Body"/>
        <w:numPr>
          <w:ilvl w:val="0"/>
          <w:numId w:val="31"/>
        </w:numPr>
        <w:spacing w:after="0"/>
        <w:rPr>
          <w:rFonts w:ascii="Arial" w:hAnsi="Arial" w:cs="Arial"/>
          <w:bCs/>
          <w:lang w:val="en-IN"/>
        </w:rPr>
      </w:pPr>
      <w:r w:rsidRPr="00437F5F">
        <w:t xml:space="preserve">Hou, W.; Khan, M.R.; Zhang, J.; Lu, J.; Ren, T.; Cong, R. </w:t>
      </w:r>
      <w:r>
        <w:t>&amp;</w:t>
      </w:r>
      <w:r w:rsidRPr="00437F5F">
        <w:t xml:space="preserve">Li, X. (2019). Nitrogen rate and plant density interaction enhances radiation interception, yield and nitrogen use efficiency of mechanically transplanted rice. </w:t>
      </w:r>
      <w:r w:rsidRPr="0012433B">
        <w:t xml:space="preserve">Agri. </w:t>
      </w:r>
      <w:proofErr w:type="spellStart"/>
      <w:r w:rsidRPr="0012433B">
        <w:t>Ecosyst</w:t>
      </w:r>
      <w:proofErr w:type="spellEnd"/>
      <w:r w:rsidRPr="0012433B">
        <w:t>. Envt</w:t>
      </w:r>
      <w:r w:rsidRPr="0012433B">
        <w:rPr>
          <w:i/>
        </w:rPr>
        <w:t>.</w:t>
      </w:r>
      <w:r w:rsidRPr="0012433B">
        <w:rPr>
          <w:b/>
          <w:bCs/>
        </w:rPr>
        <w:t>269</w:t>
      </w:r>
      <w:r w:rsidRPr="00437F5F">
        <w:t xml:space="preserve">: 183-192. </w:t>
      </w:r>
    </w:p>
    <w:p w14:paraId="6BD30B6B" w14:textId="77777777" w:rsidR="0012433B" w:rsidRPr="00BE2F0E" w:rsidRDefault="0012433B" w:rsidP="0012433B">
      <w:pPr>
        <w:pStyle w:val="Body"/>
        <w:numPr>
          <w:ilvl w:val="0"/>
          <w:numId w:val="31"/>
        </w:numPr>
        <w:spacing w:after="0"/>
        <w:rPr>
          <w:rFonts w:ascii="Arial" w:hAnsi="Arial" w:cs="Arial"/>
          <w:bCs/>
          <w:lang w:val="en-IN"/>
        </w:rPr>
      </w:pPr>
      <w:r w:rsidRPr="00BE2F0E">
        <w:rPr>
          <w:rFonts w:ascii="Arial" w:hAnsi="Arial" w:cs="Arial"/>
          <w:bCs/>
          <w:lang w:val="en-IN"/>
        </w:rPr>
        <w:t>Mohanty, T. R., Maity, S. K., Roul, P. K., &amp; Sahoo, K. C. (2014). Studies on Yield, Economics and Energetics of Rice (</w:t>
      </w:r>
      <w:r w:rsidRPr="00BE2F0E">
        <w:rPr>
          <w:rFonts w:ascii="Arial" w:hAnsi="Arial" w:cs="Arial"/>
          <w:bCs/>
          <w:i/>
          <w:iCs/>
          <w:lang w:val="en-IN"/>
        </w:rPr>
        <w:t xml:space="preserve">Oryza </w:t>
      </w:r>
      <w:proofErr w:type="spellStart"/>
      <w:r w:rsidRPr="00BE2F0E">
        <w:rPr>
          <w:rFonts w:ascii="Arial" w:hAnsi="Arial" w:cs="Arial"/>
          <w:bCs/>
          <w:i/>
          <w:iCs/>
          <w:lang w:val="en-IN"/>
        </w:rPr>
        <w:t>sativa</w:t>
      </w:r>
      <w:r w:rsidRPr="00BE2F0E">
        <w:rPr>
          <w:rFonts w:ascii="Arial" w:hAnsi="Arial" w:cs="Arial"/>
          <w:bCs/>
          <w:lang w:val="en-IN"/>
        </w:rPr>
        <w:t>L</w:t>
      </w:r>
      <w:proofErr w:type="spellEnd"/>
      <w:r w:rsidRPr="00BE2F0E">
        <w:rPr>
          <w:rFonts w:ascii="Arial" w:hAnsi="Arial" w:cs="Arial"/>
          <w:bCs/>
          <w:lang w:val="en-IN"/>
        </w:rPr>
        <w:t xml:space="preserve">.) in Relation to Crop Establishment Methods and Nutrient Management Practices. </w:t>
      </w:r>
      <w:r w:rsidRPr="00AC186A">
        <w:rPr>
          <w:rFonts w:ascii="Arial" w:hAnsi="Arial" w:cs="Arial"/>
          <w:bCs/>
          <w:iCs/>
          <w:lang w:val="en-IN"/>
        </w:rPr>
        <w:t>International Journal of Bio-Resource and Stress Management</w:t>
      </w:r>
      <w:r w:rsidRPr="00AC186A">
        <w:rPr>
          <w:rFonts w:ascii="Arial" w:hAnsi="Arial" w:cs="Arial"/>
          <w:bCs/>
          <w:lang w:val="en-IN"/>
        </w:rPr>
        <w:t>,</w:t>
      </w:r>
      <w:r w:rsidRPr="00BE2F0E">
        <w:rPr>
          <w:rFonts w:ascii="Arial" w:hAnsi="Arial" w:cs="Arial"/>
          <w:bCs/>
          <w:i/>
          <w:iCs/>
          <w:lang w:val="en-IN"/>
        </w:rPr>
        <w:t>5</w:t>
      </w:r>
      <w:r w:rsidRPr="00BE2F0E">
        <w:rPr>
          <w:rFonts w:ascii="Arial" w:hAnsi="Arial" w:cs="Arial"/>
          <w:bCs/>
          <w:lang w:val="en-IN"/>
        </w:rPr>
        <w:t xml:space="preserve">(4), 495. </w:t>
      </w:r>
      <w:hyperlink r:id="rId25" w:history="1">
        <w:r w:rsidRPr="00BE2F0E">
          <w:rPr>
            <w:rStyle w:val="Hyperlink"/>
            <w:rFonts w:ascii="Arial" w:hAnsi="Arial" w:cs="Arial"/>
            <w:bCs/>
            <w:lang w:val="en-IN"/>
          </w:rPr>
          <w:t>https://doi.org/10.5958/0976-4038.2014.00601.0</w:t>
        </w:r>
      </w:hyperlink>
    </w:p>
    <w:p w14:paraId="6BD30B6C" w14:textId="77777777" w:rsidR="0012433B" w:rsidRPr="00BE2F0E" w:rsidRDefault="0012433B" w:rsidP="0012433B">
      <w:pPr>
        <w:pStyle w:val="Body"/>
        <w:numPr>
          <w:ilvl w:val="0"/>
          <w:numId w:val="31"/>
        </w:numPr>
        <w:spacing w:after="0"/>
        <w:rPr>
          <w:rFonts w:ascii="Arial" w:hAnsi="Arial" w:cs="Arial"/>
          <w:bCs/>
          <w:lang w:val="en-IN"/>
        </w:rPr>
      </w:pPr>
      <w:r w:rsidRPr="00BE2F0E">
        <w:rPr>
          <w:rFonts w:ascii="Arial" w:hAnsi="Arial" w:cs="Arial"/>
          <w:bCs/>
          <w:lang w:val="en-IN"/>
        </w:rPr>
        <w:t xml:space="preserve">Thakur, A.K. (2010). Critiquing SRI criticism: Beyond scepticism with empiricism. </w:t>
      </w:r>
      <w:r w:rsidRPr="00AC186A">
        <w:rPr>
          <w:rFonts w:ascii="Arial" w:hAnsi="Arial" w:cs="Arial"/>
          <w:bCs/>
          <w:iCs/>
          <w:lang w:val="en-IN"/>
        </w:rPr>
        <w:t>Curr. Sci</w:t>
      </w:r>
      <w:r w:rsidRPr="00BE2F0E">
        <w:rPr>
          <w:rFonts w:ascii="Arial" w:hAnsi="Arial" w:cs="Arial"/>
          <w:bCs/>
          <w:lang w:val="en-IN"/>
        </w:rPr>
        <w:t>. 98: 1294-1299.</w:t>
      </w:r>
    </w:p>
    <w:p w14:paraId="6BD30B6D" w14:textId="77777777" w:rsidR="0012433B" w:rsidRPr="00BE2F0E" w:rsidRDefault="0012433B" w:rsidP="0012433B">
      <w:pPr>
        <w:pStyle w:val="Body"/>
        <w:numPr>
          <w:ilvl w:val="0"/>
          <w:numId w:val="31"/>
        </w:numPr>
        <w:spacing w:after="0"/>
        <w:rPr>
          <w:rFonts w:ascii="Arial" w:hAnsi="Arial" w:cs="Arial"/>
          <w:bCs/>
          <w:lang w:val="en-IN"/>
        </w:rPr>
      </w:pPr>
      <w:r w:rsidRPr="00BE2F0E">
        <w:rPr>
          <w:rFonts w:ascii="Arial" w:hAnsi="Arial" w:cs="Arial"/>
          <w:bCs/>
          <w:lang w:val="en-IN"/>
        </w:rPr>
        <w:t xml:space="preserve">Hosain, T.; Hossain, E.; Nizam, R.; Fazle Bari, A.S.M. </w:t>
      </w:r>
      <w:r w:rsidR="00AC186A">
        <w:rPr>
          <w:rFonts w:ascii="Arial" w:hAnsi="Arial" w:cs="Arial"/>
          <w:bCs/>
          <w:lang w:val="en-IN"/>
        </w:rPr>
        <w:t>&amp;</w:t>
      </w:r>
      <w:r w:rsidRPr="00BE2F0E">
        <w:rPr>
          <w:rFonts w:ascii="Arial" w:hAnsi="Arial" w:cs="Arial"/>
          <w:bCs/>
          <w:lang w:val="en-IN"/>
        </w:rPr>
        <w:t xml:space="preserve"> Chakraborty, R. (2018). Response of Physiological Characteristics and Productivity of Hybrid Rice Varieties under System of Rice Intensification (SRI) over the Traditional Cultivation. </w:t>
      </w:r>
      <w:r w:rsidRPr="00AC186A">
        <w:rPr>
          <w:rFonts w:ascii="Arial" w:hAnsi="Arial" w:cs="Arial"/>
          <w:bCs/>
          <w:lang w:val="en-IN"/>
        </w:rPr>
        <w:t>Intern. J. Plant Biol. Res</w:t>
      </w:r>
      <w:r w:rsidRPr="00BE2F0E">
        <w:rPr>
          <w:rFonts w:ascii="Arial" w:hAnsi="Arial" w:cs="Arial"/>
          <w:bCs/>
          <w:i/>
          <w:lang w:val="en-IN"/>
        </w:rPr>
        <w:t>.</w:t>
      </w:r>
      <w:r w:rsidRPr="00BE2F0E">
        <w:rPr>
          <w:rFonts w:ascii="Arial" w:hAnsi="Arial" w:cs="Arial"/>
          <w:bCs/>
          <w:lang w:val="en-IN"/>
        </w:rPr>
        <w:t xml:space="preserve"> 6(2): 1085.</w:t>
      </w:r>
    </w:p>
    <w:p w14:paraId="6BD30B6E" w14:textId="77777777" w:rsidR="0012433B" w:rsidRPr="00BE2F0E" w:rsidRDefault="0012433B" w:rsidP="0012433B">
      <w:pPr>
        <w:pStyle w:val="Body"/>
        <w:numPr>
          <w:ilvl w:val="0"/>
          <w:numId w:val="31"/>
        </w:numPr>
        <w:spacing w:after="0"/>
        <w:rPr>
          <w:rFonts w:ascii="Arial" w:hAnsi="Arial" w:cs="Arial"/>
          <w:bCs/>
          <w:lang w:val="en-IN"/>
        </w:rPr>
      </w:pPr>
      <w:r w:rsidRPr="00BE2F0E">
        <w:rPr>
          <w:rFonts w:ascii="Arial" w:hAnsi="Arial" w:cs="Arial"/>
          <w:bCs/>
          <w:lang w:val="en-IN"/>
        </w:rPr>
        <w:t xml:space="preserve">Sharma, A.; Dhaliwal, L.K.; Sandhu, S.K. </w:t>
      </w:r>
      <w:r w:rsidR="00AC186A">
        <w:rPr>
          <w:rFonts w:ascii="Arial" w:hAnsi="Arial" w:cs="Arial"/>
          <w:bCs/>
          <w:lang w:val="en-IN"/>
        </w:rPr>
        <w:t>&amp;</w:t>
      </w:r>
      <w:r w:rsidRPr="00BE2F0E">
        <w:rPr>
          <w:rFonts w:ascii="Arial" w:hAnsi="Arial" w:cs="Arial"/>
          <w:bCs/>
          <w:lang w:val="en-IN"/>
        </w:rPr>
        <w:t xml:space="preserve"> Singh, S. (2011). Effect of plant spacing and transplanting time on phenology, tiller production and yield of rice (</w:t>
      </w:r>
      <w:r w:rsidRPr="00BE2F0E">
        <w:rPr>
          <w:rFonts w:ascii="Arial" w:hAnsi="Arial" w:cs="Arial"/>
          <w:bCs/>
          <w:i/>
          <w:iCs/>
          <w:lang w:val="en-IN"/>
        </w:rPr>
        <w:t>Oryza sativa</w:t>
      </w:r>
      <w:r w:rsidRPr="00BE2F0E">
        <w:rPr>
          <w:rFonts w:ascii="Arial" w:hAnsi="Arial" w:cs="Arial"/>
          <w:bCs/>
          <w:lang w:val="en-IN"/>
        </w:rPr>
        <w:t xml:space="preserve"> L.). </w:t>
      </w:r>
      <w:r w:rsidRPr="00AC186A">
        <w:rPr>
          <w:rFonts w:ascii="Arial" w:hAnsi="Arial" w:cs="Arial"/>
          <w:bCs/>
          <w:iCs/>
          <w:lang w:val="en-IN"/>
        </w:rPr>
        <w:t xml:space="preserve">Intern. J. </w:t>
      </w:r>
      <w:proofErr w:type="spellStart"/>
      <w:r w:rsidRPr="00AC186A">
        <w:rPr>
          <w:rFonts w:ascii="Arial" w:hAnsi="Arial" w:cs="Arial"/>
          <w:bCs/>
          <w:iCs/>
          <w:lang w:val="en-IN"/>
        </w:rPr>
        <w:t>Agril</w:t>
      </w:r>
      <w:proofErr w:type="spellEnd"/>
      <w:r w:rsidRPr="00AC186A">
        <w:rPr>
          <w:rFonts w:ascii="Arial" w:hAnsi="Arial" w:cs="Arial"/>
          <w:bCs/>
          <w:iCs/>
          <w:lang w:val="en-IN"/>
        </w:rPr>
        <w:t>. Sci</w:t>
      </w:r>
      <w:r w:rsidRPr="00BE2F0E">
        <w:rPr>
          <w:rFonts w:ascii="Arial" w:hAnsi="Arial" w:cs="Arial"/>
          <w:bCs/>
          <w:i/>
          <w:iCs/>
          <w:lang w:val="en-IN"/>
        </w:rPr>
        <w:t>.</w:t>
      </w:r>
      <w:r w:rsidRPr="00BE2F0E">
        <w:rPr>
          <w:rFonts w:ascii="Arial" w:hAnsi="Arial" w:cs="Arial"/>
          <w:bCs/>
          <w:lang w:val="en-IN"/>
        </w:rPr>
        <w:t xml:space="preserve"> 7: 249-253.</w:t>
      </w:r>
    </w:p>
    <w:p w14:paraId="6BD30B6F" w14:textId="77777777" w:rsidR="0012433B" w:rsidRPr="00BE2F0E" w:rsidRDefault="0012433B" w:rsidP="0012433B">
      <w:pPr>
        <w:pStyle w:val="Body"/>
        <w:numPr>
          <w:ilvl w:val="0"/>
          <w:numId w:val="31"/>
        </w:numPr>
        <w:spacing w:after="0"/>
        <w:rPr>
          <w:rFonts w:ascii="Arial" w:hAnsi="Arial" w:cs="Arial"/>
          <w:bCs/>
          <w:lang w:val="en-IN"/>
        </w:rPr>
      </w:pPr>
      <w:r w:rsidRPr="00BE2F0E">
        <w:rPr>
          <w:rFonts w:ascii="Arial" w:hAnsi="Arial" w:cs="Arial"/>
          <w:bCs/>
          <w:lang w:val="en-IN"/>
        </w:rPr>
        <w:t xml:space="preserve">Jayapriya, S.; Ravichandran, V. </w:t>
      </w:r>
      <w:r w:rsidR="00AC186A">
        <w:rPr>
          <w:rFonts w:ascii="Arial" w:hAnsi="Arial" w:cs="Arial"/>
          <w:bCs/>
          <w:lang w:val="en-IN"/>
        </w:rPr>
        <w:t>&amp;</w:t>
      </w:r>
      <w:r w:rsidRPr="00BE2F0E">
        <w:rPr>
          <w:rFonts w:ascii="Arial" w:hAnsi="Arial" w:cs="Arial"/>
          <w:bCs/>
          <w:lang w:val="en-IN"/>
        </w:rPr>
        <w:t xml:space="preserve"> Boominathan, P. (2016). Influence of Sowing Windows on Phenology, Growing Degree Days and Yield Traits of Rice Genotypes. </w:t>
      </w:r>
      <w:r w:rsidRPr="00AC186A">
        <w:rPr>
          <w:rFonts w:ascii="Arial" w:hAnsi="Arial" w:cs="Arial"/>
          <w:bCs/>
          <w:lang w:val="en-IN"/>
        </w:rPr>
        <w:t>Madras Agric. J.</w:t>
      </w:r>
      <w:r w:rsidRPr="00BE2F0E">
        <w:rPr>
          <w:rFonts w:ascii="Arial" w:hAnsi="Arial" w:cs="Arial"/>
          <w:bCs/>
          <w:lang w:val="en-IN"/>
        </w:rPr>
        <w:t xml:space="preserve"> 103(1-3): 11-16.</w:t>
      </w:r>
    </w:p>
    <w:p w14:paraId="6BD30B70" w14:textId="77777777" w:rsidR="0012433B" w:rsidRPr="00BE2F0E" w:rsidRDefault="0012433B" w:rsidP="0012433B">
      <w:pPr>
        <w:pStyle w:val="Body"/>
        <w:numPr>
          <w:ilvl w:val="0"/>
          <w:numId w:val="31"/>
        </w:numPr>
        <w:spacing w:after="0"/>
        <w:rPr>
          <w:rFonts w:ascii="Arial" w:hAnsi="Arial" w:cs="Arial"/>
          <w:bCs/>
          <w:lang w:val="en-IN"/>
        </w:rPr>
      </w:pPr>
      <w:r w:rsidRPr="00BE2F0E">
        <w:rPr>
          <w:rFonts w:ascii="Arial" w:hAnsi="Arial" w:cs="Arial"/>
          <w:bCs/>
          <w:lang w:val="en-IN"/>
        </w:rPr>
        <w:t xml:space="preserve">Sharma, N.; Murty, N.S.; Mall, P. </w:t>
      </w:r>
      <w:r w:rsidR="00AC186A">
        <w:rPr>
          <w:rFonts w:ascii="Arial" w:hAnsi="Arial" w:cs="Arial"/>
          <w:bCs/>
          <w:lang w:val="en-IN"/>
        </w:rPr>
        <w:t>&amp;</w:t>
      </w:r>
      <w:r w:rsidRPr="00BE2F0E">
        <w:rPr>
          <w:rFonts w:ascii="Arial" w:hAnsi="Arial" w:cs="Arial"/>
          <w:bCs/>
          <w:lang w:val="en-IN"/>
        </w:rPr>
        <w:t xml:space="preserve"> Bhardwaj, S.B. (2018). An analysis on the yield and yield contributing characters of rice in </w:t>
      </w:r>
      <w:proofErr w:type="spellStart"/>
      <w:r w:rsidRPr="00BE2F0E">
        <w:rPr>
          <w:rFonts w:ascii="Arial" w:hAnsi="Arial" w:cs="Arial"/>
          <w:bCs/>
          <w:lang w:val="en-IN"/>
        </w:rPr>
        <w:t>tarai</w:t>
      </w:r>
      <w:proofErr w:type="spellEnd"/>
      <w:r w:rsidRPr="00BE2F0E">
        <w:rPr>
          <w:rFonts w:ascii="Arial" w:hAnsi="Arial" w:cs="Arial"/>
          <w:bCs/>
          <w:lang w:val="en-IN"/>
        </w:rPr>
        <w:t xml:space="preserve"> region of Uttarakhand. </w:t>
      </w:r>
      <w:r w:rsidRPr="00AC186A">
        <w:rPr>
          <w:rFonts w:ascii="Arial" w:hAnsi="Arial" w:cs="Arial"/>
          <w:bCs/>
          <w:iCs/>
          <w:lang w:val="en-IN"/>
        </w:rPr>
        <w:t>Intern. J. Chem. Stud.</w:t>
      </w:r>
      <w:r w:rsidRPr="00BE2F0E">
        <w:rPr>
          <w:rFonts w:ascii="Arial" w:hAnsi="Arial" w:cs="Arial"/>
          <w:bCs/>
          <w:lang w:val="en-IN"/>
        </w:rPr>
        <w:t xml:space="preserve"> 6(3): 42-47.</w:t>
      </w:r>
    </w:p>
    <w:p w14:paraId="6BD30B71" w14:textId="77777777" w:rsidR="0012433B" w:rsidRDefault="0012433B" w:rsidP="0012433B">
      <w:pPr>
        <w:pStyle w:val="Body"/>
        <w:numPr>
          <w:ilvl w:val="0"/>
          <w:numId w:val="31"/>
        </w:numPr>
        <w:spacing w:after="0"/>
        <w:rPr>
          <w:rFonts w:ascii="Arial" w:hAnsi="Arial" w:cs="Arial"/>
          <w:bCs/>
          <w:lang w:val="en-IN"/>
        </w:rPr>
      </w:pPr>
      <w:proofErr w:type="spellStart"/>
      <w:r w:rsidRPr="00BE2F0E">
        <w:rPr>
          <w:rFonts w:ascii="Arial" w:hAnsi="Arial" w:cs="Arial"/>
          <w:bCs/>
          <w:lang w:val="en-IN"/>
        </w:rPr>
        <w:t>Chakrabortty</w:t>
      </w:r>
      <w:proofErr w:type="spellEnd"/>
      <w:r w:rsidRPr="00BE2F0E">
        <w:rPr>
          <w:rFonts w:ascii="Arial" w:hAnsi="Arial" w:cs="Arial"/>
          <w:bCs/>
          <w:lang w:val="en-IN"/>
        </w:rPr>
        <w:t xml:space="preserve">, S.; Biswas, P.K.; Roy, T.S.; Mahmud, M.A.A.; Mehraj, H. </w:t>
      </w:r>
      <w:r w:rsidR="00AC186A">
        <w:rPr>
          <w:rFonts w:ascii="Arial" w:hAnsi="Arial" w:cs="Arial"/>
          <w:bCs/>
          <w:lang w:val="en-IN"/>
        </w:rPr>
        <w:t>&amp;</w:t>
      </w:r>
      <w:r w:rsidRPr="00BE2F0E">
        <w:rPr>
          <w:rFonts w:ascii="Arial" w:hAnsi="Arial" w:cs="Arial"/>
          <w:bCs/>
          <w:lang w:val="en-IN"/>
        </w:rPr>
        <w:t xml:space="preserve"> Jamal Uddin, F.M. (2014). Growth and Yield of Boro Rice (BRRI Dhan 50) as Affected by Planting Geometry under System of Rice Intensification. </w:t>
      </w:r>
      <w:r w:rsidRPr="00AC186A">
        <w:rPr>
          <w:rFonts w:ascii="Arial" w:hAnsi="Arial" w:cs="Arial"/>
          <w:bCs/>
          <w:iCs/>
          <w:lang w:val="en-IN"/>
        </w:rPr>
        <w:t xml:space="preserve">J. </w:t>
      </w:r>
      <w:proofErr w:type="spellStart"/>
      <w:r w:rsidRPr="00AC186A">
        <w:rPr>
          <w:rFonts w:ascii="Arial" w:hAnsi="Arial" w:cs="Arial"/>
          <w:bCs/>
          <w:iCs/>
          <w:lang w:val="en-IN"/>
        </w:rPr>
        <w:t>Biosci</w:t>
      </w:r>
      <w:proofErr w:type="spellEnd"/>
      <w:r w:rsidRPr="00AC186A">
        <w:rPr>
          <w:rFonts w:ascii="Arial" w:hAnsi="Arial" w:cs="Arial"/>
          <w:bCs/>
          <w:iCs/>
          <w:lang w:val="en-IN"/>
        </w:rPr>
        <w:t>. Agri. Res</w:t>
      </w:r>
      <w:r w:rsidRPr="00BE2F0E">
        <w:rPr>
          <w:rFonts w:ascii="Arial" w:hAnsi="Arial" w:cs="Arial"/>
          <w:bCs/>
          <w:i/>
          <w:iCs/>
          <w:lang w:val="en-IN"/>
        </w:rPr>
        <w:t>.</w:t>
      </w:r>
      <w:r w:rsidRPr="00BE2F0E">
        <w:rPr>
          <w:rFonts w:ascii="Arial" w:hAnsi="Arial" w:cs="Arial"/>
          <w:bCs/>
          <w:lang w:val="en-IN"/>
        </w:rPr>
        <w:t xml:space="preserve"> 02(01): 36-43.</w:t>
      </w:r>
    </w:p>
    <w:p w14:paraId="6BD30B72" w14:textId="77777777" w:rsidR="0012433B" w:rsidRDefault="0012433B" w:rsidP="0012433B">
      <w:pPr>
        <w:pStyle w:val="Body"/>
        <w:numPr>
          <w:ilvl w:val="0"/>
          <w:numId w:val="31"/>
        </w:numPr>
        <w:spacing w:after="0"/>
        <w:rPr>
          <w:rFonts w:ascii="Arial" w:hAnsi="Arial" w:cs="Arial"/>
          <w:bCs/>
          <w:lang w:val="en-IN"/>
        </w:rPr>
      </w:pPr>
      <w:r w:rsidRPr="00BE2F0E">
        <w:rPr>
          <w:rFonts w:ascii="Arial" w:hAnsi="Arial" w:cs="Arial"/>
          <w:bCs/>
          <w:lang w:val="en-IN"/>
        </w:rPr>
        <w:t xml:space="preserve">Thomas, V., &amp; Ramzi, A. M. (2010). SRI contributions of rice production dealing with water management constraints in northeastern Afghanistan. </w:t>
      </w:r>
      <w:r w:rsidRPr="00AC186A">
        <w:rPr>
          <w:rFonts w:ascii="Arial" w:hAnsi="Arial" w:cs="Arial"/>
          <w:bCs/>
          <w:iCs/>
          <w:lang w:val="en-IN"/>
        </w:rPr>
        <w:t>Paddy and Water Environment</w:t>
      </w:r>
      <w:r w:rsidRPr="00BE2F0E">
        <w:rPr>
          <w:rFonts w:ascii="Arial" w:hAnsi="Arial" w:cs="Arial"/>
          <w:bCs/>
          <w:lang w:val="en-IN"/>
        </w:rPr>
        <w:t xml:space="preserve">, 9, 101–109. </w:t>
      </w:r>
    </w:p>
    <w:p w14:paraId="6BD30B73" w14:textId="77777777" w:rsidR="0012433B" w:rsidRDefault="0012433B" w:rsidP="0012433B">
      <w:pPr>
        <w:pStyle w:val="Body"/>
        <w:numPr>
          <w:ilvl w:val="0"/>
          <w:numId w:val="31"/>
        </w:numPr>
        <w:spacing w:after="0"/>
        <w:rPr>
          <w:rFonts w:ascii="Arial" w:hAnsi="Arial" w:cs="Arial"/>
          <w:bCs/>
          <w:lang w:val="en-IN"/>
        </w:rPr>
      </w:pPr>
      <w:r w:rsidRPr="0012433B">
        <w:rPr>
          <w:rFonts w:ascii="Arial" w:hAnsi="Arial" w:cs="Arial"/>
          <w:bCs/>
          <w:lang w:val="en-IN"/>
        </w:rPr>
        <w:t xml:space="preserve">Sato, S., Yamaji, E., &amp; Kuroda, T. (2011). Strategies and engineering adaptions to disseminate SRI methods in large-scale irrigation systems in eastern Indonesia. </w:t>
      </w:r>
      <w:r w:rsidRPr="00AC186A">
        <w:rPr>
          <w:rFonts w:ascii="Arial" w:hAnsi="Arial" w:cs="Arial"/>
          <w:bCs/>
          <w:iCs/>
          <w:lang w:val="en-IN"/>
        </w:rPr>
        <w:t>Paddy and Water Environment</w:t>
      </w:r>
      <w:r w:rsidRPr="00AC186A">
        <w:rPr>
          <w:rFonts w:ascii="Arial" w:hAnsi="Arial" w:cs="Arial"/>
          <w:bCs/>
          <w:lang w:val="en-IN"/>
        </w:rPr>
        <w:t>,</w:t>
      </w:r>
      <w:r w:rsidRPr="0012433B">
        <w:rPr>
          <w:rFonts w:ascii="Arial" w:hAnsi="Arial" w:cs="Arial"/>
          <w:bCs/>
          <w:lang w:val="en-IN"/>
        </w:rPr>
        <w:t xml:space="preserve"> 9, 79–88.</w:t>
      </w:r>
    </w:p>
    <w:p w14:paraId="6BD30B74" w14:textId="77777777" w:rsidR="0012433B" w:rsidRPr="0012433B" w:rsidRDefault="0012433B" w:rsidP="0012433B">
      <w:pPr>
        <w:pStyle w:val="Body"/>
        <w:numPr>
          <w:ilvl w:val="0"/>
          <w:numId w:val="31"/>
        </w:numPr>
        <w:spacing w:after="0"/>
        <w:rPr>
          <w:rFonts w:ascii="Arial" w:hAnsi="Arial" w:cs="Arial"/>
          <w:bCs/>
          <w:lang w:val="en-IN"/>
        </w:rPr>
      </w:pPr>
      <w:r w:rsidRPr="0012433B">
        <w:rPr>
          <w:rFonts w:ascii="Arial" w:hAnsi="Arial" w:cs="Arial"/>
          <w:bCs/>
          <w:lang w:val="en-IN"/>
        </w:rPr>
        <w:t xml:space="preserve">Thakur, A. K., Mohanty, R. K., Singh, R., &amp; Patil, D. U. (2015). Enhancing water and cropping productivity through Integrated System of Rice Intensification (ISRI) with aquaculture and horticulture under rainfed conditions. </w:t>
      </w:r>
      <w:r w:rsidRPr="00AC186A">
        <w:rPr>
          <w:rFonts w:ascii="Arial" w:hAnsi="Arial" w:cs="Arial"/>
          <w:bCs/>
          <w:iCs/>
          <w:lang w:val="en-IN"/>
        </w:rPr>
        <w:t>Agricultural Water Management</w:t>
      </w:r>
      <w:r w:rsidRPr="00AC186A">
        <w:rPr>
          <w:rFonts w:ascii="Arial" w:hAnsi="Arial" w:cs="Arial"/>
          <w:bCs/>
          <w:lang w:val="en-IN"/>
        </w:rPr>
        <w:t xml:space="preserve">, </w:t>
      </w:r>
      <w:r w:rsidRPr="00AC186A">
        <w:rPr>
          <w:rFonts w:ascii="Arial" w:hAnsi="Arial" w:cs="Arial"/>
          <w:bCs/>
          <w:iCs/>
          <w:lang w:val="en-IN"/>
        </w:rPr>
        <w:t>161</w:t>
      </w:r>
      <w:r w:rsidRPr="00AC186A">
        <w:rPr>
          <w:rFonts w:ascii="Arial" w:hAnsi="Arial" w:cs="Arial"/>
          <w:bCs/>
          <w:lang w:val="en-IN"/>
        </w:rPr>
        <w:t>,</w:t>
      </w:r>
      <w:r w:rsidRPr="0012433B">
        <w:rPr>
          <w:rFonts w:ascii="Arial" w:hAnsi="Arial" w:cs="Arial"/>
          <w:bCs/>
          <w:lang w:val="en-IN"/>
        </w:rPr>
        <w:t xml:space="preserve"> 65–76. </w:t>
      </w:r>
      <w:hyperlink r:id="rId26" w:history="1">
        <w:r w:rsidRPr="0012433B">
          <w:rPr>
            <w:rStyle w:val="Hyperlink"/>
            <w:rFonts w:ascii="Arial" w:hAnsi="Arial" w:cs="Arial"/>
            <w:bCs/>
            <w:lang w:val="en-IN"/>
          </w:rPr>
          <w:t>https://doi.org/10.1016/j.agwat.2015.07.008</w:t>
        </w:r>
      </w:hyperlink>
    </w:p>
    <w:p w14:paraId="6BD30B75" w14:textId="77777777" w:rsidR="0012433B" w:rsidRDefault="00BE2F0E" w:rsidP="0012433B">
      <w:pPr>
        <w:pStyle w:val="Body"/>
        <w:numPr>
          <w:ilvl w:val="0"/>
          <w:numId w:val="31"/>
        </w:numPr>
        <w:spacing w:after="0"/>
        <w:rPr>
          <w:rFonts w:ascii="Arial" w:hAnsi="Arial" w:cs="Arial"/>
          <w:bCs/>
          <w:lang w:val="en-IN"/>
        </w:rPr>
      </w:pPr>
      <w:r w:rsidRPr="00BE2F0E">
        <w:rPr>
          <w:rFonts w:ascii="Arial" w:hAnsi="Arial" w:cs="Arial"/>
          <w:bCs/>
          <w:lang w:val="en-IN"/>
        </w:rPr>
        <w:t>Gill, M. S., Kumar, A., &amp; Kumar, P. (2006). Growth and yield of rice (</w:t>
      </w:r>
      <w:r w:rsidRPr="00AC186A">
        <w:rPr>
          <w:rFonts w:ascii="Arial" w:hAnsi="Arial" w:cs="Arial"/>
          <w:bCs/>
          <w:i/>
          <w:lang w:val="en-IN"/>
        </w:rPr>
        <w:t>Oryza sativa</w:t>
      </w:r>
      <w:r w:rsidRPr="00BE2F0E">
        <w:rPr>
          <w:rFonts w:ascii="Arial" w:hAnsi="Arial" w:cs="Arial"/>
          <w:bCs/>
          <w:lang w:val="en-IN"/>
        </w:rPr>
        <w:t xml:space="preserve">) cultivars under various methods and times of sowing. </w:t>
      </w:r>
      <w:r w:rsidRPr="00AC186A">
        <w:rPr>
          <w:rFonts w:ascii="Arial" w:hAnsi="Arial" w:cs="Arial"/>
          <w:bCs/>
          <w:iCs/>
          <w:lang w:val="en-IN"/>
        </w:rPr>
        <w:t>Indian Journal of Agronomy</w:t>
      </w:r>
      <w:r w:rsidRPr="00AC186A">
        <w:rPr>
          <w:rFonts w:ascii="Arial" w:hAnsi="Arial" w:cs="Arial"/>
          <w:bCs/>
          <w:lang w:val="en-IN"/>
        </w:rPr>
        <w:t>,</w:t>
      </w:r>
      <w:r w:rsidRPr="00BE2F0E">
        <w:rPr>
          <w:rFonts w:ascii="Arial" w:hAnsi="Arial" w:cs="Arial"/>
          <w:bCs/>
          <w:lang w:val="en-IN"/>
        </w:rPr>
        <w:t xml:space="preserve"> 51(2), 123–127.</w:t>
      </w:r>
    </w:p>
    <w:p w14:paraId="6BD30B76" w14:textId="77777777" w:rsidR="00BE2F0E" w:rsidRDefault="00BE2F0E" w:rsidP="0012433B">
      <w:pPr>
        <w:pStyle w:val="Body"/>
        <w:numPr>
          <w:ilvl w:val="0"/>
          <w:numId w:val="31"/>
        </w:numPr>
        <w:spacing w:after="0"/>
        <w:rPr>
          <w:rFonts w:ascii="Arial" w:hAnsi="Arial" w:cs="Arial"/>
          <w:bCs/>
          <w:lang w:val="en-IN"/>
        </w:rPr>
      </w:pPr>
      <w:r w:rsidRPr="0012433B">
        <w:rPr>
          <w:rFonts w:ascii="Arial" w:hAnsi="Arial" w:cs="Arial"/>
          <w:bCs/>
          <w:lang w:val="en-IN"/>
        </w:rPr>
        <w:t xml:space="preserve">Meena, R. L., Rao, V. P., &amp; Jat, A. L. (2015). Performance of rice varieties in relation to crop growth, yield, physiological parameters and agrometeorological indices under different date of transplanting. </w:t>
      </w:r>
      <w:r w:rsidRPr="00AC186A">
        <w:rPr>
          <w:rFonts w:ascii="Arial" w:hAnsi="Arial" w:cs="Arial"/>
          <w:bCs/>
          <w:iCs/>
          <w:lang w:val="en-IN"/>
        </w:rPr>
        <w:t>Green Farming</w:t>
      </w:r>
      <w:r w:rsidRPr="00AC186A">
        <w:rPr>
          <w:rFonts w:ascii="Arial" w:hAnsi="Arial" w:cs="Arial"/>
          <w:bCs/>
          <w:lang w:val="en-IN"/>
        </w:rPr>
        <w:t>,</w:t>
      </w:r>
      <w:r w:rsidRPr="0012433B">
        <w:rPr>
          <w:rFonts w:ascii="Arial" w:hAnsi="Arial" w:cs="Arial"/>
          <w:bCs/>
          <w:lang w:val="en-IN"/>
        </w:rPr>
        <w:t xml:space="preserve"> 6(4), 704–707.</w:t>
      </w:r>
    </w:p>
    <w:p w14:paraId="6BD30B77" w14:textId="77777777" w:rsidR="0012433B" w:rsidRPr="00BE2F0E" w:rsidRDefault="0012433B" w:rsidP="0012433B">
      <w:pPr>
        <w:pStyle w:val="Body"/>
        <w:numPr>
          <w:ilvl w:val="0"/>
          <w:numId w:val="31"/>
        </w:numPr>
        <w:spacing w:after="0"/>
        <w:rPr>
          <w:rFonts w:ascii="Arial" w:hAnsi="Arial" w:cs="Arial"/>
          <w:bCs/>
          <w:lang w:val="en-IN"/>
        </w:rPr>
      </w:pPr>
      <w:r w:rsidRPr="00BE2F0E">
        <w:rPr>
          <w:rFonts w:ascii="Arial" w:hAnsi="Arial" w:cs="Arial"/>
          <w:bCs/>
          <w:lang w:val="en-IN"/>
        </w:rPr>
        <w:t>Diwan, U. K., Chaudhary, J. L., &amp;</w:t>
      </w:r>
      <w:proofErr w:type="spellStart"/>
      <w:r w:rsidRPr="00BE2F0E">
        <w:rPr>
          <w:rFonts w:ascii="Arial" w:hAnsi="Arial" w:cs="Arial"/>
          <w:bCs/>
          <w:lang w:val="en-IN"/>
        </w:rPr>
        <w:t>Unjan</w:t>
      </w:r>
      <w:proofErr w:type="spellEnd"/>
      <w:r w:rsidRPr="00BE2F0E">
        <w:rPr>
          <w:rFonts w:ascii="Arial" w:hAnsi="Arial" w:cs="Arial"/>
          <w:bCs/>
          <w:lang w:val="en-IN"/>
        </w:rPr>
        <w:t xml:space="preserve">, D. (2017). Variation in heat and radiation use efficiency of rice as influenced by different growing environments and genotypes. </w:t>
      </w:r>
      <w:r w:rsidRPr="00AC186A">
        <w:rPr>
          <w:rFonts w:ascii="Arial" w:hAnsi="Arial" w:cs="Arial"/>
          <w:bCs/>
          <w:iCs/>
          <w:lang w:val="en-IN"/>
        </w:rPr>
        <w:t>International Journal of Current Microbiology and Applied Sciences</w:t>
      </w:r>
      <w:r w:rsidRPr="00BE2F0E">
        <w:rPr>
          <w:rFonts w:ascii="Arial" w:hAnsi="Arial" w:cs="Arial"/>
          <w:bCs/>
          <w:lang w:val="en-IN"/>
        </w:rPr>
        <w:t xml:space="preserve">, 6(11), 48–52. </w:t>
      </w:r>
      <w:hyperlink r:id="rId27" w:history="1">
        <w:r w:rsidRPr="00BE2F0E">
          <w:rPr>
            <w:rStyle w:val="Hyperlink"/>
            <w:rFonts w:ascii="Arial" w:hAnsi="Arial" w:cs="Arial"/>
            <w:bCs/>
            <w:lang w:val="en-IN"/>
          </w:rPr>
          <w:t>https://doi.org/10.20546/ijcmas.2017.611.006</w:t>
        </w:r>
      </w:hyperlink>
      <w:r w:rsidRPr="00BE2F0E">
        <w:rPr>
          <w:rFonts w:ascii="Arial" w:hAnsi="Arial" w:cs="Arial"/>
          <w:bCs/>
          <w:lang w:val="en-IN"/>
        </w:rPr>
        <w:t>.</w:t>
      </w:r>
    </w:p>
    <w:p w14:paraId="6BD30B78" w14:textId="77777777" w:rsidR="0012433B" w:rsidRPr="00BE2F0E" w:rsidRDefault="0012433B" w:rsidP="0012433B">
      <w:pPr>
        <w:pStyle w:val="Body"/>
        <w:numPr>
          <w:ilvl w:val="0"/>
          <w:numId w:val="31"/>
        </w:numPr>
        <w:spacing w:after="0"/>
        <w:rPr>
          <w:rFonts w:ascii="Arial" w:hAnsi="Arial" w:cs="Arial"/>
          <w:bCs/>
          <w:lang w:val="en-IN"/>
        </w:rPr>
      </w:pPr>
      <w:r w:rsidRPr="00BE2F0E">
        <w:rPr>
          <w:rFonts w:ascii="Arial" w:hAnsi="Arial" w:cs="Arial"/>
          <w:bCs/>
          <w:lang w:val="en-IN"/>
        </w:rPr>
        <w:t xml:space="preserve">Gautam, P., Lal, B., Nayak, A. K., Raja, R., Panda, B. B., Tripathi, R., Shahid, M., Kumar, U., Baig, M. J., Chatterjee, D., &amp; Swain, C. K. (2019). Inter-relationship between intercepted radiation and rice yield influenced by transplanting time, method, and variety. </w:t>
      </w:r>
      <w:r w:rsidRPr="00AC186A">
        <w:rPr>
          <w:rFonts w:ascii="Arial" w:hAnsi="Arial" w:cs="Arial"/>
          <w:bCs/>
          <w:iCs/>
          <w:lang w:val="en-IN"/>
        </w:rPr>
        <w:t>International Journal of Biometeorology</w:t>
      </w:r>
      <w:r w:rsidRPr="00BE2F0E">
        <w:rPr>
          <w:rFonts w:ascii="Arial" w:hAnsi="Arial" w:cs="Arial"/>
          <w:bCs/>
          <w:lang w:val="en-IN"/>
        </w:rPr>
        <w:t xml:space="preserve">, </w:t>
      </w:r>
      <w:r w:rsidRPr="00BE2F0E">
        <w:rPr>
          <w:rFonts w:ascii="Arial" w:hAnsi="Arial" w:cs="Arial"/>
          <w:bCs/>
          <w:i/>
          <w:iCs/>
          <w:lang w:val="en-IN"/>
        </w:rPr>
        <w:t>63</w:t>
      </w:r>
      <w:r w:rsidRPr="00BE2F0E">
        <w:rPr>
          <w:rFonts w:ascii="Arial" w:hAnsi="Arial" w:cs="Arial"/>
          <w:bCs/>
          <w:lang w:val="en-IN"/>
        </w:rPr>
        <w:t xml:space="preserve">(3), 337–349. </w:t>
      </w:r>
      <w:hyperlink r:id="rId28" w:history="1">
        <w:r w:rsidRPr="00BE2F0E">
          <w:rPr>
            <w:rStyle w:val="Hyperlink"/>
            <w:rFonts w:ascii="Arial" w:hAnsi="Arial" w:cs="Arial"/>
            <w:bCs/>
            <w:lang w:val="en-IN"/>
          </w:rPr>
          <w:t>https://doi.org/10.1007/s00484-018-01667-w</w:t>
        </w:r>
      </w:hyperlink>
      <w:r w:rsidRPr="00BE2F0E">
        <w:rPr>
          <w:rFonts w:ascii="Arial" w:hAnsi="Arial" w:cs="Arial"/>
          <w:bCs/>
          <w:lang w:val="en-IN"/>
        </w:rPr>
        <w:t>.</w:t>
      </w:r>
    </w:p>
    <w:p w14:paraId="6BD30B79" w14:textId="77777777" w:rsidR="0012433B" w:rsidRPr="00BE2F0E" w:rsidRDefault="0012433B" w:rsidP="0012433B">
      <w:pPr>
        <w:pStyle w:val="Body"/>
        <w:numPr>
          <w:ilvl w:val="0"/>
          <w:numId w:val="31"/>
        </w:numPr>
        <w:spacing w:after="0"/>
        <w:rPr>
          <w:rFonts w:ascii="Arial" w:hAnsi="Arial" w:cs="Arial"/>
          <w:bCs/>
          <w:lang w:val="en-IN"/>
        </w:rPr>
      </w:pPr>
      <w:r w:rsidRPr="00BE2F0E">
        <w:rPr>
          <w:rFonts w:ascii="Arial" w:hAnsi="Arial" w:cs="Arial"/>
          <w:bCs/>
          <w:lang w:val="en-IN"/>
        </w:rPr>
        <w:t xml:space="preserve">Sekhar, S., </w:t>
      </w:r>
      <w:proofErr w:type="spellStart"/>
      <w:r w:rsidRPr="00BE2F0E">
        <w:rPr>
          <w:rFonts w:ascii="Arial" w:hAnsi="Arial" w:cs="Arial"/>
          <w:bCs/>
          <w:lang w:val="en-IN"/>
        </w:rPr>
        <w:t>Monkotia</w:t>
      </w:r>
      <w:proofErr w:type="spellEnd"/>
      <w:r w:rsidRPr="00BE2F0E">
        <w:rPr>
          <w:rFonts w:ascii="Arial" w:hAnsi="Arial" w:cs="Arial"/>
          <w:bCs/>
          <w:lang w:val="en-IN"/>
        </w:rPr>
        <w:t>, B. S., &amp; Dev, S. P. (2009). Productivity and economics of rice (</w:t>
      </w:r>
      <w:r w:rsidRPr="00AC186A">
        <w:rPr>
          <w:rFonts w:ascii="Arial" w:hAnsi="Arial" w:cs="Arial"/>
          <w:bCs/>
          <w:i/>
          <w:lang w:val="en-IN"/>
        </w:rPr>
        <w:t>Oryza sativa</w:t>
      </w:r>
      <w:r w:rsidRPr="00BE2F0E">
        <w:rPr>
          <w:rFonts w:ascii="Arial" w:hAnsi="Arial" w:cs="Arial"/>
          <w:bCs/>
          <w:lang w:val="en-IN"/>
        </w:rPr>
        <w:t xml:space="preserve">) in system of rice intensification in north-western Himalayas. </w:t>
      </w:r>
      <w:r w:rsidRPr="00AC186A">
        <w:rPr>
          <w:rFonts w:ascii="Arial" w:hAnsi="Arial" w:cs="Arial"/>
          <w:bCs/>
          <w:iCs/>
          <w:lang w:val="en-IN"/>
        </w:rPr>
        <w:t>Indian Journal of Agronomy</w:t>
      </w:r>
      <w:r w:rsidRPr="00BE2F0E">
        <w:rPr>
          <w:rFonts w:ascii="Arial" w:hAnsi="Arial" w:cs="Arial"/>
          <w:bCs/>
          <w:lang w:val="en-IN"/>
        </w:rPr>
        <w:t xml:space="preserve">, 54(4), 423–427. </w:t>
      </w:r>
    </w:p>
    <w:p w14:paraId="6BD30B7A" w14:textId="77777777" w:rsidR="0012433B" w:rsidRDefault="0012433B" w:rsidP="0012433B">
      <w:pPr>
        <w:pStyle w:val="Body"/>
        <w:numPr>
          <w:ilvl w:val="0"/>
          <w:numId w:val="31"/>
        </w:numPr>
        <w:spacing w:after="0"/>
        <w:rPr>
          <w:rFonts w:ascii="Arial" w:hAnsi="Arial" w:cs="Arial"/>
          <w:bCs/>
          <w:lang w:val="en-IN"/>
        </w:rPr>
      </w:pPr>
      <w:r w:rsidRPr="00BE2F0E">
        <w:rPr>
          <w:rFonts w:ascii="Arial" w:hAnsi="Arial" w:cs="Arial"/>
          <w:bCs/>
          <w:lang w:val="en-IN"/>
        </w:rPr>
        <w:t>Dass, A., &amp; Chandra, S. (2012). Effect of different components of SRI on yield, quality, nutrient accumulation and economics of rice (</w:t>
      </w:r>
      <w:r w:rsidRPr="00AC186A">
        <w:rPr>
          <w:rFonts w:ascii="Arial" w:hAnsi="Arial" w:cs="Arial"/>
          <w:bCs/>
          <w:i/>
          <w:lang w:val="en-IN"/>
        </w:rPr>
        <w:t>Oryza sativa</w:t>
      </w:r>
      <w:r w:rsidRPr="00BE2F0E">
        <w:rPr>
          <w:rFonts w:ascii="Arial" w:hAnsi="Arial" w:cs="Arial"/>
          <w:bCs/>
          <w:lang w:val="en-IN"/>
        </w:rPr>
        <w:t xml:space="preserve">) in Tarai belt of northern India. </w:t>
      </w:r>
      <w:r w:rsidRPr="00AC186A">
        <w:rPr>
          <w:rFonts w:ascii="Arial" w:hAnsi="Arial" w:cs="Arial"/>
          <w:bCs/>
          <w:iCs/>
          <w:lang w:val="en-IN"/>
        </w:rPr>
        <w:t>Indian Journal of Agronomy</w:t>
      </w:r>
      <w:r w:rsidRPr="00BE2F0E">
        <w:rPr>
          <w:rFonts w:ascii="Arial" w:hAnsi="Arial" w:cs="Arial"/>
          <w:bCs/>
          <w:lang w:val="en-IN"/>
        </w:rPr>
        <w:t>, 57(3), 250–254.</w:t>
      </w:r>
    </w:p>
    <w:p w14:paraId="6BD30B7B" w14:textId="77777777" w:rsidR="00BE2F0E" w:rsidRPr="0012433B" w:rsidRDefault="00BE2F0E" w:rsidP="0012433B">
      <w:pPr>
        <w:pStyle w:val="Body"/>
        <w:numPr>
          <w:ilvl w:val="0"/>
          <w:numId w:val="31"/>
        </w:numPr>
        <w:spacing w:after="0"/>
        <w:rPr>
          <w:rFonts w:ascii="Arial" w:hAnsi="Arial" w:cs="Arial"/>
          <w:bCs/>
          <w:lang w:val="en-IN"/>
        </w:rPr>
      </w:pPr>
      <w:r w:rsidRPr="0012433B">
        <w:rPr>
          <w:rFonts w:ascii="Arial" w:hAnsi="Arial" w:cs="Arial"/>
          <w:lang w:val="en-IN"/>
        </w:rPr>
        <w:lastRenderedPageBreak/>
        <w:t xml:space="preserve">Padma, S. (2009). </w:t>
      </w:r>
      <w:r w:rsidRPr="0012433B">
        <w:rPr>
          <w:rFonts w:ascii="Arial" w:hAnsi="Arial" w:cs="Arial"/>
          <w:i/>
          <w:iCs/>
          <w:lang w:val="en-IN"/>
        </w:rPr>
        <w:t>Agroclimatic models for prediction of growth and yield of rice (Oryza sativa L.)</w:t>
      </w:r>
      <w:r w:rsidRPr="0012433B">
        <w:rPr>
          <w:rFonts w:ascii="Arial" w:hAnsi="Arial" w:cs="Arial"/>
          <w:lang w:val="en-IN"/>
        </w:rPr>
        <w:t xml:space="preserve"> (Master’s thesis, Acharya N. G. Ranga Agricultural University, Department of Agronomy).</w:t>
      </w:r>
    </w:p>
    <w:p w14:paraId="6BD30B7C" w14:textId="77777777" w:rsidR="00287E68" w:rsidRPr="00AC186A" w:rsidRDefault="00BE2F0E" w:rsidP="00441B6F">
      <w:pPr>
        <w:pStyle w:val="Body"/>
        <w:numPr>
          <w:ilvl w:val="0"/>
          <w:numId w:val="31"/>
        </w:numPr>
        <w:spacing w:after="0"/>
        <w:rPr>
          <w:rFonts w:ascii="Arial" w:hAnsi="Arial" w:cs="Arial"/>
          <w:bCs/>
          <w:lang w:val="en-IN"/>
        </w:rPr>
      </w:pPr>
      <w:proofErr w:type="spellStart"/>
      <w:r w:rsidRPr="0012433B">
        <w:rPr>
          <w:rFonts w:ascii="Arial" w:hAnsi="Arial" w:cs="Arial"/>
          <w:lang w:val="en-IN"/>
        </w:rPr>
        <w:t>Thimme</w:t>
      </w:r>
      <w:proofErr w:type="spellEnd"/>
      <w:r w:rsidRPr="0012433B">
        <w:rPr>
          <w:rFonts w:ascii="Arial" w:hAnsi="Arial" w:cs="Arial"/>
          <w:lang w:val="en-IN"/>
        </w:rPr>
        <w:t xml:space="preserve"> Gowda, P. (2012). </w:t>
      </w:r>
      <w:r w:rsidRPr="0012433B">
        <w:rPr>
          <w:rFonts w:ascii="Arial" w:hAnsi="Arial" w:cs="Arial"/>
          <w:i/>
          <w:iCs/>
          <w:lang w:val="en-IN"/>
        </w:rPr>
        <w:t xml:space="preserve">Microclimatic studies and crop weather relationship under different sowing dates in maize and </w:t>
      </w:r>
      <w:proofErr w:type="spellStart"/>
      <w:r w:rsidRPr="0012433B">
        <w:rPr>
          <w:rFonts w:ascii="Arial" w:hAnsi="Arial" w:cs="Arial"/>
          <w:i/>
          <w:iCs/>
          <w:lang w:val="en-IN"/>
        </w:rPr>
        <w:t>pigeonpea</w:t>
      </w:r>
      <w:proofErr w:type="spellEnd"/>
      <w:r w:rsidRPr="0012433B">
        <w:rPr>
          <w:rFonts w:ascii="Arial" w:hAnsi="Arial" w:cs="Arial"/>
          <w:i/>
          <w:iCs/>
          <w:lang w:val="en-IN"/>
        </w:rPr>
        <w:t xml:space="preserve"> intercropping system</w:t>
      </w:r>
      <w:r w:rsidRPr="0012433B">
        <w:rPr>
          <w:rFonts w:ascii="Arial" w:hAnsi="Arial" w:cs="Arial"/>
          <w:lang w:val="en-IN"/>
        </w:rPr>
        <w:t xml:space="preserve"> (Doctoral dissertation, University of Agricultural Sciences, Dharwad, Department of Agronomy).</w:t>
      </w:r>
    </w:p>
    <w:p w14:paraId="6BD30B7D" w14:textId="77777777" w:rsidR="00654C8B" w:rsidRDefault="00654C8B" w:rsidP="00441B6F">
      <w:pPr>
        <w:pStyle w:val="Body"/>
        <w:spacing w:after="0"/>
      </w:pPr>
    </w:p>
    <w:p w14:paraId="6BD30B7E" w14:textId="77777777" w:rsidR="00B01FCD" w:rsidRPr="00FB3A86" w:rsidRDefault="00B01FCD" w:rsidP="00441B6F">
      <w:pPr>
        <w:pStyle w:val="Appendix"/>
        <w:spacing w:after="0"/>
        <w:jc w:val="both"/>
        <w:rPr>
          <w:rFonts w:ascii="Arial" w:hAnsi="Arial" w:cs="Arial"/>
          <w:b w:val="0"/>
        </w:rPr>
      </w:pPr>
    </w:p>
    <w:sectPr w:rsidR="00B01FCD" w:rsidRPr="00FB3A86" w:rsidSect="00654C8B">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79837" w14:textId="77777777" w:rsidR="006A0F40" w:rsidRDefault="006A0F40" w:rsidP="00C37E61">
      <w:r>
        <w:separator/>
      </w:r>
    </w:p>
  </w:endnote>
  <w:endnote w:type="continuationSeparator" w:id="0">
    <w:p w14:paraId="7F127312" w14:textId="77777777" w:rsidR="006A0F40" w:rsidRDefault="006A0F4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66259" w14:textId="77777777" w:rsidR="00923DD4" w:rsidRDefault="00923D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4BA02" w14:textId="77777777" w:rsidR="00923DD4" w:rsidRDefault="00923D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30B9D" w14:textId="7841A3A0" w:rsidR="0014030D" w:rsidRPr="0031713D" w:rsidRDefault="0014030D" w:rsidP="0031713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30B9E" w14:textId="77777777" w:rsidR="0014030D" w:rsidRPr="00C37E61" w:rsidRDefault="0014030D"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8CC9A" w14:textId="77777777" w:rsidR="006A0F40" w:rsidRDefault="006A0F40" w:rsidP="00C37E61">
      <w:r>
        <w:separator/>
      </w:r>
    </w:p>
  </w:footnote>
  <w:footnote w:type="continuationSeparator" w:id="0">
    <w:p w14:paraId="6E97C7CB" w14:textId="77777777" w:rsidR="006A0F40" w:rsidRDefault="006A0F4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4C382" w14:textId="2268A10B" w:rsidR="00923DD4" w:rsidRDefault="00923DD4">
    <w:pPr>
      <w:pStyle w:val="Header"/>
    </w:pPr>
    <w:r>
      <w:rPr>
        <w:noProof/>
      </w:rPr>
      <w:pict w14:anchorId="30CF7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91478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FC283" w14:textId="6D66C78E" w:rsidR="00923DD4" w:rsidRDefault="00923DD4">
    <w:pPr>
      <w:pStyle w:val="Header"/>
    </w:pPr>
    <w:r>
      <w:rPr>
        <w:noProof/>
      </w:rPr>
      <w:pict w14:anchorId="6E9BE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91478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30B93" w14:textId="0118BDCC" w:rsidR="0014030D" w:rsidRPr="00296529" w:rsidRDefault="00923DD4" w:rsidP="00296529">
    <w:pPr>
      <w:ind w:left="2160"/>
      <w:jc w:val="center"/>
      <w:rPr>
        <w:rFonts w:ascii="Times New Roman" w:eastAsia="Calibri" w:hAnsi="Times New Roman"/>
        <w:i/>
        <w:sz w:val="18"/>
        <w:szCs w:val="22"/>
      </w:rPr>
    </w:pPr>
    <w:r>
      <w:rPr>
        <w:noProof/>
      </w:rPr>
      <w:pict w14:anchorId="16B03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914781"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BD30B94" w14:textId="77777777" w:rsidR="0014030D" w:rsidRPr="00296529" w:rsidRDefault="0014030D" w:rsidP="00296529">
    <w:pPr>
      <w:ind w:left="4320"/>
      <w:rPr>
        <w:rFonts w:ascii="Times New Roman" w:eastAsia="Calibri" w:hAnsi="Times New Roman"/>
        <w:i/>
        <w:sz w:val="18"/>
        <w:szCs w:val="22"/>
      </w:rPr>
    </w:pPr>
    <w:r>
      <w:rPr>
        <w:rFonts w:ascii="Times New Roman" w:eastAsia="Calibri" w:hAnsi="Times New Roman"/>
        <w:i/>
        <w:sz w:val="18"/>
        <w:szCs w:val="22"/>
      </w:rPr>
      <w:t>.</w:t>
    </w:r>
  </w:p>
  <w:p w14:paraId="6BD30B95" w14:textId="77777777" w:rsidR="0014030D" w:rsidRPr="00296529" w:rsidRDefault="0014030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BD30B96" w14:textId="77777777" w:rsidR="0014030D" w:rsidRPr="00296529" w:rsidRDefault="0014030D"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BD30B97" w14:textId="77777777" w:rsidR="0014030D" w:rsidRDefault="0014030D" w:rsidP="00296529">
    <w:pPr>
      <w:jc w:val="center"/>
      <w:rPr>
        <w:rFonts w:ascii="Times New Roman" w:eastAsia="Calibri" w:hAnsi="Times New Roman"/>
        <w:i/>
        <w:sz w:val="18"/>
        <w:szCs w:val="22"/>
      </w:rPr>
    </w:pPr>
  </w:p>
  <w:p w14:paraId="6BD30B98" w14:textId="77777777" w:rsidR="0014030D" w:rsidRDefault="0014030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BD30B99" w14:textId="77777777" w:rsidR="0014030D" w:rsidRDefault="0014030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E43B8" w14:textId="141DBCD7" w:rsidR="00923DD4" w:rsidRDefault="00923DD4">
    <w:pPr>
      <w:pStyle w:val="Header"/>
    </w:pPr>
    <w:r>
      <w:rPr>
        <w:noProof/>
      </w:rPr>
      <w:pict w14:anchorId="219960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914785"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4684E" w14:textId="14EE9CDC" w:rsidR="00923DD4" w:rsidRDefault="00923DD4">
    <w:pPr>
      <w:pStyle w:val="Header"/>
    </w:pPr>
    <w:r>
      <w:rPr>
        <w:noProof/>
      </w:rPr>
      <w:pict w14:anchorId="66F660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914786"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BCF74" w14:textId="33920F77" w:rsidR="00923DD4" w:rsidRDefault="00923DD4">
    <w:pPr>
      <w:pStyle w:val="Header"/>
    </w:pPr>
    <w:r>
      <w:rPr>
        <w:noProof/>
      </w:rPr>
      <w:pict w14:anchorId="3C4B65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914784"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356096"/>
    <w:multiLevelType w:val="hybridMultilevel"/>
    <w:tmpl w:val="3D764C3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7E45496"/>
    <w:multiLevelType w:val="hybridMultilevel"/>
    <w:tmpl w:val="7A6C03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1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2B36"/>
    <w:rsid w:val="0004579C"/>
    <w:rsid w:val="00063C2F"/>
    <w:rsid w:val="000A47FA"/>
    <w:rsid w:val="000A65D3"/>
    <w:rsid w:val="000B1E33"/>
    <w:rsid w:val="000B315B"/>
    <w:rsid w:val="000D689F"/>
    <w:rsid w:val="000E7B7B"/>
    <w:rsid w:val="000E7D62"/>
    <w:rsid w:val="00102A17"/>
    <w:rsid w:val="00103357"/>
    <w:rsid w:val="0011475D"/>
    <w:rsid w:val="00123C9F"/>
    <w:rsid w:val="0012433B"/>
    <w:rsid w:val="00126190"/>
    <w:rsid w:val="00130F17"/>
    <w:rsid w:val="001320BF"/>
    <w:rsid w:val="0014030D"/>
    <w:rsid w:val="00141BDA"/>
    <w:rsid w:val="00142ABD"/>
    <w:rsid w:val="00153693"/>
    <w:rsid w:val="00161752"/>
    <w:rsid w:val="00163BC4"/>
    <w:rsid w:val="0017520B"/>
    <w:rsid w:val="00191062"/>
    <w:rsid w:val="00192B72"/>
    <w:rsid w:val="001A29D8"/>
    <w:rsid w:val="001A5CAA"/>
    <w:rsid w:val="001B0427"/>
    <w:rsid w:val="001B6BEE"/>
    <w:rsid w:val="001D3A51"/>
    <w:rsid w:val="001E10D2"/>
    <w:rsid w:val="001E25B4"/>
    <w:rsid w:val="001E44FE"/>
    <w:rsid w:val="00200595"/>
    <w:rsid w:val="00204835"/>
    <w:rsid w:val="00204BF0"/>
    <w:rsid w:val="00231920"/>
    <w:rsid w:val="0023195C"/>
    <w:rsid w:val="00237994"/>
    <w:rsid w:val="0024282C"/>
    <w:rsid w:val="002460DC"/>
    <w:rsid w:val="00250985"/>
    <w:rsid w:val="002556F6"/>
    <w:rsid w:val="00283105"/>
    <w:rsid w:val="00284C4C"/>
    <w:rsid w:val="00287E68"/>
    <w:rsid w:val="00296529"/>
    <w:rsid w:val="002A64EE"/>
    <w:rsid w:val="002B27FB"/>
    <w:rsid w:val="002B685A"/>
    <w:rsid w:val="002C17FB"/>
    <w:rsid w:val="002C19F2"/>
    <w:rsid w:val="002C451C"/>
    <w:rsid w:val="002C57D2"/>
    <w:rsid w:val="002E0D56"/>
    <w:rsid w:val="002F79FC"/>
    <w:rsid w:val="00315186"/>
    <w:rsid w:val="0031713D"/>
    <w:rsid w:val="0033343E"/>
    <w:rsid w:val="00336258"/>
    <w:rsid w:val="003512C2"/>
    <w:rsid w:val="00365801"/>
    <w:rsid w:val="00371FB6"/>
    <w:rsid w:val="003763C1"/>
    <w:rsid w:val="00376BBE"/>
    <w:rsid w:val="00385F33"/>
    <w:rsid w:val="0039224F"/>
    <w:rsid w:val="003A43A4"/>
    <w:rsid w:val="003A7E18"/>
    <w:rsid w:val="003C0DCC"/>
    <w:rsid w:val="003C4C86"/>
    <w:rsid w:val="003C6258"/>
    <w:rsid w:val="003D2AFF"/>
    <w:rsid w:val="003E2904"/>
    <w:rsid w:val="003E4EBC"/>
    <w:rsid w:val="003E5EA9"/>
    <w:rsid w:val="003E6358"/>
    <w:rsid w:val="00401927"/>
    <w:rsid w:val="0041027F"/>
    <w:rsid w:val="00412475"/>
    <w:rsid w:val="00423789"/>
    <w:rsid w:val="00440F43"/>
    <w:rsid w:val="00441B6F"/>
    <w:rsid w:val="00446221"/>
    <w:rsid w:val="00450E62"/>
    <w:rsid w:val="004539DB"/>
    <w:rsid w:val="004551B9"/>
    <w:rsid w:val="00471A80"/>
    <w:rsid w:val="00497B13"/>
    <w:rsid w:val="004B04F4"/>
    <w:rsid w:val="004D305E"/>
    <w:rsid w:val="004D4277"/>
    <w:rsid w:val="004F0CCC"/>
    <w:rsid w:val="00502516"/>
    <w:rsid w:val="00505F06"/>
    <w:rsid w:val="00506828"/>
    <w:rsid w:val="00517C88"/>
    <w:rsid w:val="0053056E"/>
    <w:rsid w:val="00554FDA"/>
    <w:rsid w:val="00573FE3"/>
    <w:rsid w:val="00590CD9"/>
    <w:rsid w:val="005C784C"/>
    <w:rsid w:val="005D17F6"/>
    <w:rsid w:val="005D5243"/>
    <w:rsid w:val="005E5539"/>
    <w:rsid w:val="00602BF5"/>
    <w:rsid w:val="00617FDD"/>
    <w:rsid w:val="00633614"/>
    <w:rsid w:val="00633F68"/>
    <w:rsid w:val="00636EB2"/>
    <w:rsid w:val="006375B8"/>
    <w:rsid w:val="00654C8B"/>
    <w:rsid w:val="0066510A"/>
    <w:rsid w:val="00673F9F"/>
    <w:rsid w:val="0068530A"/>
    <w:rsid w:val="00686953"/>
    <w:rsid w:val="00687DEA"/>
    <w:rsid w:val="00687E67"/>
    <w:rsid w:val="006967F7"/>
    <w:rsid w:val="006A0F40"/>
    <w:rsid w:val="006A250C"/>
    <w:rsid w:val="006A66F4"/>
    <w:rsid w:val="006B21D3"/>
    <w:rsid w:val="006B57D0"/>
    <w:rsid w:val="006D30FF"/>
    <w:rsid w:val="006D4186"/>
    <w:rsid w:val="006D6940"/>
    <w:rsid w:val="006F11EC"/>
    <w:rsid w:val="006F5729"/>
    <w:rsid w:val="0070082C"/>
    <w:rsid w:val="007369E6"/>
    <w:rsid w:val="00746E59"/>
    <w:rsid w:val="00754C9A"/>
    <w:rsid w:val="0075599A"/>
    <w:rsid w:val="00761D52"/>
    <w:rsid w:val="0077749E"/>
    <w:rsid w:val="00790ADA"/>
    <w:rsid w:val="007A5943"/>
    <w:rsid w:val="007C0E39"/>
    <w:rsid w:val="007D2288"/>
    <w:rsid w:val="007E088F"/>
    <w:rsid w:val="007F7B32"/>
    <w:rsid w:val="00804BC2"/>
    <w:rsid w:val="0081431A"/>
    <w:rsid w:val="0083216F"/>
    <w:rsid w:val="00860000"/>
    <w:rsid w:val="00863BD3"/>
    <w:rsid w:val="008641ED"/>
    <w:rsid w:val="00866D66"/>
    <w:rsid w:val="008671C6"/>
    <w:rsid w:val="008742E7"/>
    <w:rsid w:val="00875803"/>
    <w:rsid w:val="00883B6E"/>
    <w:rsid w:val="008B459E"/>
    <w:rsid w:val="008E13AE"/>
    <w:rsid w:val="008E1506"/>
    <w:rsid w:val="008E710C"/>
    <w:rsid w:val="008F69D6"/>
    <w:rsid w:val="008F70DE"/>
    <w:rsid w:val="00902823"/>
    <w:rsid w:val="00915CA6"/>
    <w:rsid w:val="00923DD4"/>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2B4"/>
    <w:rsid w:val="00A258C3"/>
    <w:rsid w:val="00A347C0"/>
    <w:rsid w:val="00A36C62"/>
    <w:rsid w:val="00A417DB"/>
    <w:rsid w:val="00A51431"/>
    <w:rsid w:val="00A539AD"/>
    <w:rsid w:val="00A654F9"/>
    <w:rsid w:val="00A94063"/>
    <w:rsid w:val="00AA0AF1"/>
    <w:rsid w:val="00AA6219"/>
    <w:rsid w:val="00AA74E0"/>
    <w:rsid w:val="00AA7C0D"/>
    <w:rsid w:val="00AB703F"/>
    <w:rsid w:val="00AC186A"/>
    <w:rsid w:val="00AC6BB8"/>
    <w:rsid w:val="00AE008F"/>
    <w:rsid w:val="00B01FCD"/>
    <w:rsid w:val="00B1776C"/>
    <w:rsid w:val="00B235B7"/>
    <w:rsid w:val="00B25C58"/>
    <w:rsid w:val="00B52583"/>
    <w:rsid w:val="00B52896"/>
    <w:rsid w:val="00B74652"/>
    <w:rsid w:val="00B95236"/>
    <w:rsid w:val="00B96BD9"/>
    <w:rsid w:val="00BA1B01"/>
    <w:rsid w:val="00BA2641"/>
    <w:rsid w:val="00BB37AA"/>
    <w:rsid w:val="00BB6260"/>
    <w:rsid w:val="00BC53A0"/>
    <w:rsid w:val="00BE2F0E"/>
    <w:rsid w:val="00BE62AD"/>
    <w:rsid w:val="00BF121F"/>
    <w:rsid w:val="00BF1F80"/>
    <w:rsid w:val="00C0634F"/>
    <w:rsid w:val="00C166EF"/>
    <w:rsid w:val="00C17EB0"/>
    <w:rsid w:val="00C242F3"/>
    <w:rsid w:val="00C27F5F"/>
    <w:rsid w:val="00C30A0F"/>
    <w:rsid w:val="00C31CA7"/>
    <w:rsid w:val="00C37E61"/>
    <w:rsid w:val="00C70F1B"/>
    <w:rsid w:val="00C71A47"/>
    <w:rsid w:val="00C7464C"/>
    <w:rsid w:val="00C85588"/>
    <w:rsid w:val="00C85CF8"/>
    <w:rsid w:val="00CD6755"/>
    <w:rsid w:val="00CD6856"/>
    <w:rsid w:val="00CE0089"/>
    <w:rsid w:val="00CE793C"/>
    <w:rsid w:val="00CF193C"/>
    <w:rsid w:val="00D042F9"/>
    <w:rsid w:val="00D173F1"/>
    <w:rsid w:val="00D74CB0"/>
    <w:rsid w:val="00D8295D"/>
    <w:rsid w:val="00DB11F9"/>
    <w:rsid w:val="00DB2EA0"/>
    <w:rsid w:val="00DC2A65"/>
    <w:rsid w:val="00DE15F0"/>
    <w:rsid w:val="00DE5663"/>
    <w:rsid w:val="00DE78AA"/>
    <w:rsid w:val="00E053D0"/>
    <w:rsid w:val="00E15994"/>
    <w:rsid w:val="00E238DF"/>
    <w:rsid w:val="00E3114E"/>
    <w:rsid w:val="00E31A70"/>
    <w:rsid w:val="00E35B02"/>
    <w:rsid w:val="00E66496"/>
    <w:rsid w:val="00E66B35"/>
    <w:rsid w:val="00E66E10"/>
    <w:rsid w:val="00E769F6"/>
    <w:rsid w:val="00E8407C"/>
    <w:rsid w:val="00E84F3C"/>
    <w:rsid w:val="00EA012C"/>
    <w:rsid w:val="00EA1534"/>
    <w:rsid w:val="00EB1B74"/>
    <w:rsid w:val="00EC6A55"/>
    <w:rsid w:val="00ED0288"/>
    <w:rsid w:val="00EE52CB"/>
    <w:rsid w:val="00EF386F"/>
    <w:rsid w:val="00EF581D"/>
    <w:rsid w:val="00EF7249"/>
    <w:rsid w:val="00EF7FD8"/>
    <w:rsid w:val="00F06F59"/>
    <w:rsid w:val="00F17988"/>
    <w:rsid w:val="00F469F0"/>
    <w:rsid w:val="00F50FF8"/>
    <w:rsid w:val="00F53273"/>
    <w:rsid w:val="00F609E2"/>
    <w:rsid w:val="00F755E4"/>
    <w:rsid w:val="00F77D02"/>
    <w:rsid w:val="00F94995"/>
    <w:rsid w:val="00FA62D7"/>
    <w:rsid w:val="00FB3A86"/>
    <w:rsid w:val="00FC4DBB"/>
    <w:rsid w:val="00FD36C8"/>
    <w:rsid w:val="00FD5F97"/>
    <w:rsid w:val="00FF67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 2"/>
      </o:rules>
    </o:shapelayout>
  </w:shapeDefaults>
  <w:decimalSymbol w:val="."/>
  <w:listSeparator w:val=","/>
  <w14:docId w14:val="6BD309AB"/>
  <w15:docId w15:val="{909A81F5-49D3-4445-826A-3D3B0B884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D042F9"/>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D042F9"/>
    <w:rPr>
      <w:rFonts w:asciiTheme="majorHAnsi" w:eastAsiaTheme="majorEastAsia" w:hAnsiTheme="majorHAnsi" w:cstheme="majorBidi"/>
      <w:b/>
      <w:bCs/>
      <w:color w:val="4F81BD" w:themeColor="accent1"/>
      <w:sz w:val="22"/>
      <w:szCs w:val="22"/>
    </w:rPr>
  </w:style>
  <w:style w:type="paragraph" w:styleId="NormalWeb">
    <w:name w:val="Normal (Web)"/>
    <w:basedOn w:val="Normal"/>
    <w:uiPriority w:val="99"/>
    <w:unhideWhenUsed/>
    <w:rsid w:val="00D042F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D042F9"/>
    <w:pPr>
      <w:ind w:left="720"/>
      <w:contextualSpacing/>
    </w:pPr>
  </w:style>
  <w:style w:type="character" w:styleId="Strong">
    <w:name w:val="Strong"/>
    <w:basedOn w:val="DefaultParagraphFont"/>
    <w:uiPriority w:val="22"/>
    <w:qFormat/>
    <w:rsid w:val="00EA1534"/>
    <w:rPr>
      <w:b/>
      <w:bCs/>
    </w:rPr>
  </w:style>
  <w:style w:type="character" w:styleId="UnresolvedMention">
    <w:name w:val="Unresolved Mention"/>
    <w:basedOn w:val="DefaultParagraphFont"/>
    <w:uiPriority w:val="99"/>
    <w:semiHidden/>
    <w:unhideWhenUsed/>
    <w:rsid w:val="00FA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hyperlink" Target="https://doi.org/10.1016/j.agwat.2015.07.008" TargetMode="External"/><Relationship Id="rId3" Type="http://schemas.openxmlformats.org/officeDocument/2006/relationships/styles" Target="styles.xml"/><Relationship Id="rId21" Type="http://schemas.openxmlformats.org/officeDocument/2006/relationships/hyperlink" Target="https://doi.org/10.59797/ija.v68i1.19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yperlink" Target="https://doi.org/10.5958/0976-4038.2014.00601.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share.google/1JW7UOMqQdNLrdrif"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38/nature13609"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doi.org/10.33545/26174693.2025.v9.i5l.4458" TargetMode="External"/><Relationship Id="rId28" Type="http://schemas.openxmlformats.org/officeDocument/2006/relationships/hyperlink" Target="https://doi.org/10.1007/s00484-018-01667-w" TargetMode="Externa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yperlink" Target="https://doi.org/10.33545/2618060x.2024.v7.i7i.1129" TargetMode="External"/><Relationship Id="rId27" Type="http://schemas.openxmlformats.org/officeDocument/2006/relationships/hyperlink" Target="https://doi.org/10.20546/ijcmas.2017.611.006" TargetMode="Externa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Academic\1_HS_Research\01_TODAY_21%20March%202020\_01_Phd_3rd%20july%2019_Ex%20HD%20No.2\1.%20Thesis%20material_rk_26032020\1_chapters_15-ADJ-19\R%20&amp;%20D%20_tables%20&amp;%20graph\1.%20Pooled%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cademic\1_HS_Research\01_TODAY_21%20March%202020\_01_Phd_3rd%20july%2019_Ex%20HD%20No.2\1.%20Thesis%20material_rk_26032020\1_chapters_15-ADJ-19\R%20&amp;%20D%20_tables%20&amp;%20graph\1.%20Pooled%20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b39adced6356023f/Desktop/graph.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352602266180142"/>
          <c:y val="0.10177829786390052"/>
          <c:w val="0.81015688740192249"/>
          <c:h val="0.54983321364376181"/>
        </c:manualLayout>
      </c:layout>
      <c:bar3DChart>
        <c:barDir val="col"/>
        <c:grouping val="clustered"/>
        <c:varyColors val="0"/>
        <c:ser>
          <c:idx val="0"/>
          <c:order val="0"/>
          <c:tx>
            <c:strRef>
              <c:f>RUE_HUE!$B$2:$B$3</c:f>
              <c:strCache>
                <c:ptCount val="1"/>
                <c:pt idx="0">
                  <c:v>RUE (g MJ-1) 2016</c:v>
                </c:pt>
              </c:strCache>
            </c:strRef>
          </c:tx>
          <c:spPr>
            <a:solidFill>
              <a:schemeClr val="bg1"/>
            </a:solidFill>
          </c:spPr>
          <c:invertIfNegative val="0"/>
          <c:dLbls>
            <c:spPr>
              <a:noFill/>
              <a:ln>
                <a:noFill/>
              </a:ln>
              <a:effectLst/>
            </c:spPr>
            <c:txPr>
              <a:bodyPr/>
              <a:lstStyle/>
              <a:p>
                <a:pPr>
                  <a:defRPr lang="en-US"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RUE_HUE!$A$4:$A$14</c:f>
              <c:strCache>
                <c:ptCount val="11"/>
                <c:pt idx="0">
                  <c:v>SRI</c:v>
                </c:pt>
                <c:pt idx="1">
                  <c:v>Conventional</c:v>
                </c:pt>
                <c:pt idx="3">
                  <c:v>26th June</c:v>
                </c:pt>
                <c:pt idx="4">
                  <c:v>10th July</c:v>
                </c:pt>
                <c:pt idx="5">
                  <c:v>25th July</c:v>
                </c:pt>
                <c:pt idx="7">
                  <c:v>20 cm x 15 cm </c:v>
                </c:pt>
                <c:pt idx="8">
                  <c:v>20 cm x 20 cm </c:v>
                </c:pt>
                <c:pt idx="9">
                  <c:v>20 cm x 25 cm </c:v>
                </c:pt>
                <c:pt idx="10">
                  <c:v>25 cm x 25 cm </c:v>
                </c:pt>
              </c:strCache>
            </c:strRef>
          </c:cat>
          <c:val>
            <c:numRef>
              <c:f>RUE_HUE!$B$4:$B$14</c:f>
              <c:numCache>
                <c:formatCode>0.00</c:formatCode>
                <c:ptCount val="11"/>
                <c:pt idx="0">
                  <c:v>1.43</c:v>
                </c:pt>
                <c:pt idx="1">
                  <c:v>1.1800000000000077</c:v>
                </c:pt>
                <c:pt idx="3">
                  <c:v>1.33</c:v>
                </c:pt>
                <c:pt idx="4">
                  <c:v>1.31</c:v>
                </c:pt>
                <c:pt idx="5">
                  <c:v>1.29</c:v>
                </c:pt>
                <c:pt idx="7">
                  <c:v>1.1800000000000077</c:v>
                </c:pt>
                <c:pt idx="8">
                  <c:v>1.34</c:v>
                </c:pt>
                <c:pt idx="9">
                  <c:v>1.36</c:v>
                </c:pt>
                <c:pt idx="10">
                  <c:v>1.36</c:v>
                </c:pt>
              </c:numCache>
            </c:numRef>
          </c:val>
          <c:extLst>
            <c:ext xmlns:c16="http://schemas.microsoft.com/office/drawing/2014/chart" uri="{C3380CC4-5D6E-409C-BE32-E72D297353CC}">
              <c16:uniqueId val="{00000000-AC09-460D-A705-C50C16DB2434}"/>
            </c:ext>
          </c:extLst>
        </c:ser>
        <c:ser>
          <c:idx val="1"/>
          <c:order val="1"/>
          <c:tx>
            <c:strRef>
              <c:f>RUE_HUE!$C$2:$C$3</c:f>
              <c:strCache>
                <c:ptCount val="1"/>
                <c:pt idx="0">
                  <c:v>RUE (g MJ-1) 2017</c:v>
                </c:pt>
              </c:strCache>
            </c:strRef>
          </c:tx>
          <c:invertIfNegative val="0"/>
          <c:dLbls>
            <c:spPr>
              <a:noFill/>
              <a:ln>
                <a:noFill/>
              </a:ln>
              <a:effectLst/>
            </c:spPr>
            <c:txPr>
              <a:bodyPr/>
              <a:lstStyle/>
              <a:p>
                <a:pPr>
                  <a:defRPr lang="en-US" sz="900" b="1">
                    <a:solidFill>
                      <a:srgbClr val="FF66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RUE_HUE!$A$4:$A$14</c:f>
              <c:strCache>
                <c:ptCount val="11"/>
                <c:pt idx="0">
                  <c:v>SRI</c:v>
                </c:pt>
                <c:pt idx="1">
                  <c:v>Conventional</c:v>
                </c:pt>
                <c:pt idx="3">
                  <c:v>26th June</c:v>
                </c:pt>
                <c:pt idx="4">
                  <c:v>10th July</c:v>
                </c:pt>
                <c:pt idx="5">
                  <c:v>25th July</c:v>
                </c:pt>
                <c:pt idx="7">
                  <c:v>20 cm x 15 cm </c:v>
                </c:pt>
                <c:pt idx="8">
                  <c:v>20 cm x 20 cm </c:v>
                </c:pt>
                <c:pt idx="9">
                  <c:v>20 cm x 25 cm </c:v>
                </c:pt>
                <c:pt idx="10">
                  <c:v>25 cm x 25 cm </c:v>
                </c:pt>
              </c:strCache>
            </c:strRef>
          </c:cat>
          <c:val>
            <c:numRef>
              <c:f>RUE_HUE!$C$4:$C$14</c:f>
              <c:numCache>
                <c:formatCode>0.00</c:formatCode>
                <c:ptCount val="11"/>
                <c:pt idx="0">
                  <c:v>1.3</c:v>
                </c:pt>
                <c:pt idx="1">
                  <c:v>1.08</c:v>
                </c:pt>
                <c:pt idx="3">
                  <c:v>1.22</c:v>
                </c:pt>
                <c:pt idx="4">
                  <c:v>1.21</c:v>
                </c:pt>
                <c:pt idx="5">
                  <c:v>1.1299999999999912</c:v>
                </c:pt>
                <c:pt idx="7">
                  <c:v>1.08</c:v>
                </c:pt>
                <c:pt idx="8">
                  <c:v>1.21</c:v>
                </c:pt>
                <c:pt idx="9">
                  <c:v>1.23</c:v>
                </c:pt>
                <c:pt idx="10">
                  <c:v>1.23</c:v>
                </c:pt>
              </c:numCache>
            </c:numRef>
          </c:val>
          <c:extLst>
            <c:ext xmlns:c16="http://schemas.microsoft.com/office/drawing/2014/chart" uri="{C3380CC4-5D6E-409C-BE32-E72D297353CC}">
              <c16:uniqueId val="{00000001-AC09-460D-A705-C50C16DB2434}"/>
            </c:ext>
          </c:extLst>
        </c:ser>
        <c:dLbls>
          <c:showLegendKey val="0"/>
          <c:showVal val="0"/>
          <c:showCatName val="0"/>
          <c:showSerName val="0"/>
          <c:showPercent val="0"/>
          <c:showBubbleSize val="0"/>
        </c:dLbls>
        <c:gapWidth val="150"/>
        <c:shape val="box"/>
        <c:axId val="88905984"/>
        <c:axId val="88942464"/>
        <c:axId val="0"/>
      </c:bar3DChart>
      <c:catAx>
        <c:axId val="88905984"/>
        <c:scaling>
          <c:orientation val="minMax"/>
        </c:scaling>
        <c:delete val="0"/>
        <c:axPos val="b"/>
        <c:title>
          <c:tx>
            <c:rich>
              <a:bodyPr/>
              <a:lstStyle/>
              <a:p>
                <a:pPr>
                  <a:defRPr lang="en-IN"/>
                </a:pPr>
                <a:r>
                  <a:rPr lang="en-IN"/>
                  <a:t>Factors imposed for microclimatic variation</a:t>
                </a:r>
              </a:p>
            </c:rich>
          </c:tx>
          <c:layout>
            <c:manualLayout>
              <c:xMode val="edge"/>
              <c:yMode val="edge"/>
              <c:x val="0.30179202428071777"/>
              <c:y val="0.90787106968771769"/>
            </c:manualLayout>
          </c:layout>
          <c:overlay val="0"/>
        </c:title>
        <c:numFmt formatCode="General" sourceLinked="0"/>
        <c:majorTickMark val="out"/>
        <c:minorTickMark val="none"/>
        <c:tickLblPos val="nextTo"/>
        <c:txPr>
          <a:bodyPr/>
          <a:lstStyle/>
          <a:p>
            <a:pPr>
              <a:defRPr lang="en-US" sz="800" b="1"/>
            </a:pPr>
            <a:endParaRPr lang="en-US"/>
          </a:p>
        </c:txPr>
        <c:crossAx val="88942464"/>
        <c:crosses val="autoZero"/>
        <c:auto val="1"/>
        <c:lblAlgn val="ctr"/>
        <c:lblOffset val="100"/>
        <c:noMultiLvlLbl val="0"/>
      </c:catAx>
      <c:valAx>
        <c:axId val="88942464"/>
        <c:scaling>
          <c:orientation val="minMax"/>
        </c:scaling>
        <c:delete val="0"/>
        <c:axPos val="l"/>
        <c:title>
          <c:tx>
            <c:rich>
              <a:bodyPr rot="-5400000" vert="horz"/>
              <a:lstStyle/>
              <a:p>
                <a:pPr>
                  <a:defRPr lang="en-IN"/>
                </a:pPr>
                <a:r>
                  <a:rPr lang="en-IN"/>
                  <a:t>RUE;</a:t>
                </a:r>
                <a:r>
                  <a:rPr lang="en-IN" baseline="0"/>
                  <a:t> g MJ</a:t>
                </a:r>
                <a:r>
                  <a:rPr lang="en-IN" baseline="30000"/>
                  <a:t>-1</a:t>
                </a:r>
                <a:endParaRPr lang="en-IN"/>
              </a:p>
            </c:rich>
          </c:tx>
          <c:overlay val="0"/>
        </c:title>
        <c:numFmt formatCode="0.00" sourceLinked="1"/>
        <c:majorTickMark val="out"/>
        <c:minorTickMark val="none"/>
        <c:tickLblPos val="nextTo"/>
        <c:txPr>
          <a:bodyPr/>
          <a:lstStyle/>
          <a:p>
            <a:pPr>
              <a:defRPr lang="en-US"/>
            </a:pPr>
            <a:endParaRPr lang="en-US"/>
          </a:p>
        </c:txPr>
        <c:crossAx val="88905984"/>
        <c:crosses val="autoZero"/>
        <c:crossBetween val="between"/>
      </c:valAx>
    </c:plotArea>
    <c:legend>
      <c:legendPos val="r"/>
      <c:layout>
        <c:manualLayout>
          <c:xMode val="edge"/>
          <c:yMode val="edge"/>
          <c:x val="0.42941797900263079"/>
          <c:y val="2.4035383486384541E-2"/>
          <c:w val="0.55669313210849847"/>
          <c:h val="9.0188487144396645E-2"/>
        </c:manualLayout>
      </c:layout>
      <c:overlay val="0"/>
      <c:txPr>
        <a:bodyPr/>
        <a:lstStyle/>
        <a:p>
          <a:pPr>
            <a:defRPr lang="en-US"/>
          </a:pPr>
          <a:endParaRPr lang="en-US"/>
        </a:p>
      </c:txPr>
    </c:legend>
    <c:plotVisOnly val="1"/>
    <c:dispBlanksAs val="gap"/>
    <c:showDLblsOverMax val="0"/>
  </c:chart>
  <c:spPr>
    <a:solidFill>
      <a:srgbClr val="002060"/>
    </a:solidFill>
  </c:spPr>
  <c:txPr>
    <a:bodyPr/>
    <a:lstStyle/>
    <a:p>
      <a:pPr>
        <a:defRPr>
          <a:solidFill>
            <a:schemeClr val="bg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398723356425082"/>
          <c:y val="5.7274795537775806E-2"/>
          <c:w val="0.83472598595630088"/>
          <c:h val="0.52351327575522466"/>
        </c:manualLayout>
      </c:layout>
      <c:bar3DChart>
        <c:barDir val="col"/>
        <c:grouping val="clustered"/>
        <c:varyColors val="0"/>
        <c:ser>
          <c:idx val="0"/>
          <c:order val="0"/>
          <c:tx>
            <c:strRef>
              <c:f>RUE_HUE!$E$2:$E$3</c:f>
              <c:strCache>
                <c:ptCount val="1"/>
                <c:pt idx="0">
                  <c:v>HUE (kg ha-1 0days) 2016</c:v>
                </c:pt>
              </c:strCache>
            </c:strRef>
          </c:tx>
          <c:spPr>
            <a:solidFill>
              <a:schemeClr val="accent3">
                <a:lumMod val="60000"/>
                <a:lumOff val="40000"/>
              </a:schemeClr>
            </a:solidFill>
          </c:spPr>
          <c:invertIfNegative val="0"/>
          <c:dLbls>
            <c:spPr>
              <a:noFill/>
              <a:ln>
                <a:noFill/>
              </a:ln>
              <a:effectLst/>
            </c:spPr>
            <c:txPr>
              <a:bodyPr/>
              <a:lstStyle/>
              <a:p>
                <a:pPr>
                  <a:defRPr lang="en-US">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RUE_HUE!$D$4:$D$14</c:f>
              <c:strCache>
                <c:ptCount val="11"/>
                <c:pt idx="0">
                  <c:v>SRI</c:v>
                </c:pt>
                <c:pt idx="1">
                  <c:v>Conventional</c:v>
                </c:pt>
                <c:pt idx="3">
                  <c:v>26th June</c:v>
                </c:pt>
                <c:pt idx="4">
                  <c:v>10th July</c:v>
                </c:pt>
                <c:pt idx="5">
                  <c:v>25th July</c:v>
                </c:pt>
                <c:pt idx="7">
                  <c:v>20 cm x 15 cm </c:v>
                </c:pt>
                <c:pt idx="8">
                  <c:v>20 cm x 20 cm </c:v>
                </c:pt>
                <c:pt idx="9">
                  <c:v>20 cm x 25 cm </c:v>
                </c:pt>
                <c:pt idx="10">
                  <c:v>25 cm x 25 cm </c:v>
                </c:pt>
              </c:strCache>
            </c:strRef>
          </c:cat>
          <c:val>
            <c:numRef>
              <c:f>RUE_HUE!$E$4:$E$14</c:f>
              <c:numCache>
                <c:formatCode>General</c:formatCode>
                <c:ptCount val="11"/>
                <c:pt idx="0">
                  <c:v>2.3299999999999987</c:v>
                </c:pt>
                <c:pt idx="1">
                  <c:v>1.84</c:v>
                </c:pt>
                <c:pt idx="3">
                  <c:v>2.16</c:v>
                </c:pt>
                <c:pt idx="4" formatCode="0.00">
                  <c:v>2.1</c:v>
                </c:pt>
                <c:pt idx="5">
                  <c:v>2.0099999999999998</c:v>
                </c:pt>
                <c:pt idx="7">
                  <c:v>1.84</c:v>
                </c:pt>
                <c:pt idx="8">
                  <c:v>2.11</c:v>
                </c:pt>
                <c:pt idx="9">
                  <c:v>2.1800000000000002</c:v>
                </c:pt>
                <c:pt idx="10">
                  <c:v>2.2200000000000002</c:v>
                </c:pt>
              </c:numCache>
            </c:numRef>
          </c:val>
          <c:extLst>
            <c:ext xmlns:c16="http://schemas.microsoft.com/office/drawing/2014/chart" uri="{C3380CC4-5D6E-409C-BE32-E72D297353CC}">
              <c16:uniqueId val="{00000000-CECF-4867-B3F0-004B4252CC9A}"/>
            </c:ext>
          </c:extLst>
        </c:ser>
        <c:ser>
          <c:idx val="1"/>
          <c:order val="1"/>
          <c:tx>
            <c:strRef>
              <c:f>RUE_HUE!$F$2:$F$3</c:f>
              <c:strCache>
                <c:ptCount val="1"/>
                <c:pt idx="0">
                  <c:v>HUE (kg ha-1 0days) 2017</c:v>
                </c:pt>
              </c:strCache>
            </c:strRef>
          </c:tx>
          <c:spPr>
            <a:solidFill>
              <a:schemeClr val="accent6"/>
            </a:solidFill>
          </c:spPr>
          <c:invertIfNegative val="0"/>
          <c:dLbls>
            <c:spPr>
              <a:noFill/>
              <a:ln>
                <a:noFill/>
              </a:ln>
              <a:effectLst/>
            </c:spPr>
            <c:txPr>
              <a:bodyPr/>
              <a:lstStyle/>
              <a:p>
                <a:pPr>
                  <a:defRPr lang="en-US">
                    <a:solidFill>
                      <a:srgbClr val="FF99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RUE_HUE!$D$4:$D$14</c:f>
              <c:strCache>
                <c:ptCount val="11"/>
                <c:pt idx="0">
                  <c:v>SRI</c:v>
                </c:pt>
                <c:pt idx="1">
                  <c:v>Conventional</c:v>
                </c:pt>
                <c:pt idx="3">
                  <c:v>26th June</c:v>
                </c:pt>
                <c:pt idx="4">
                  <c:v>10th July</c:v>
                </c:pt>
                <c:pt idx="5">
                  <c:v>25th July</c:v>
                </c:pt>
                <c:pt idx="7">
                  <c:v>20 cm x 15 cm </c:v>
                </c:pt>
                <c:pt idx="8">
                  <c:v>20 cm x 20 cm </c:v>
                </c:pt>
                <c:pt idx="9">
                  <c:v>20 cm x 25 cm </c:v>
                </c:pt>
                <c:pt idx="10">
                  <c:v>25 cm x 25 cm </c:v>
                </c:pt>
              </c:strCache>
            </c:strRef>
          </c:cat>
          <c:val>
            <c:numRef>
              <c:f>RUE_HUE!$F$4:$F$14</c:f>
              <c:numCache>
                <c:formatCode>General</c:formatCode>
                <c:ptCount val="11"/>
                <c:pt idx="0">
                  <c:v>2.63</c:v>
                </c:pt>
                <c:pt idx="1">
                  <c:v>2.3099999999999987</c:v>
                </c:pt>
                <c:pt idx="3">
                  <c:v>2.4699999999999998</c:v>
                </c:pt>
                <c:pt idx="4">
                  <c:v>2.48</c:v>
                </c:pt>
                <c:pt idx="5">
                  <c:v>2.46</c:v>
                </c:pt>
                <c:pt idx="7">
                  <c:v>2.29</c:v>
                </c:pt>
                <c:pt idx="8">
                  <c:v>2.5499999999999998</c:v>
                </c:pt>
                <c:pt idx="9">
                  <c:v>2.54</c:v>
                </c:pt>
                <c:pt idx="10" formatCode="0.00">
                  <c:v>2.5</c:v>
                </c:pt>
              </c:numCache>
            </c:numRef>
          </c:val>
          <c:extLst>
            <c:ext xmlns:c16="http://schemas.microsoft.com/office/drawing/2014/chart" uri="{C3380CC4-5D6E-409C-BE32-E72D297353CC}">
              <c16:uniqueId val="{00000001-CECF-4867-B3F0-004B4252CC9A}"/>
            </c:ext>
          </c:extLst>
        </c:ser>
        <c:dLbls>
          <c:showLegendKey val="0"/>
          <c:showVal val="0"/>
          <c:showCatName val="0"/>
          <c:showSerName val="0"/>
          <c:showPercent val="0"/>
          <c:showBubbleSize val="0"/>
        </c:dLbls>
        <c:gapWidth val="150"/>
        <c:shape val="box"/>
        <c:axId val="99830784"/>
        <c:axId val="101058816"/>
        <c:axId val="0"/>
      </c:bar3DChart>
      <c:catAx>
        <c:axId val="99830784"/>
        <c:scaling>
          <c:orientation val="minMax"/>
        </c:scaling>
        <c:delete val="0"/>
        <c:axPos val="b"/>
        <c:title>
          <c:tx>
            <c:rich>
              <a:bodyPr/>
              <a:lstStyle/>
              <a:p>
                <a:pPr>
                  <a:defRPr lang="en-IN" sz="1200"/>
                </a:pPr>
                <a:r>
                  <a:rPr lang="en-IN" sz="1200" b="1" i="0" baseline="0"/>
                  <a:t>Factors imposed for microclimatic variation</a:t>
                </a:r>
                <a:endParaRPr lang="en-IN" sz="1200"/>
              </a:p>
            </c:rich>
          </c:tx>
          <c:overlay val="0"/>
        </c:title>
        <c:numFmt formatCode="General" sourceLinked="0"/>
        <c:majorTickMark val="out"/>
        <c:minorTickMark val="none"/>
        <c:tickLblPos val="nextTo"/>
        <c:txPr>
          <a:bodyPr/>
          <a:lstStyle/>
          <a:p>
            <a:pPr>
              <a:defRPr lang="en-US"/>
            </a:pPr>
            <a:endParaRPr lang="en-US"/>
          </a:p>
        </c:txPr>
        <c:crossAx val="101058816"/>
        <c:crosses val="autoZero"/>
        <c:auto val="1"/>
        <c:lblAlgn val="ctr"/>
        <c:lblOffset val="100"/>
        <c:noMultiLvlLbl val="0"/>
      </c:catAx>
      <c:valAx>
        <c:axId val="101058816"/>
        <c:scaling>
          <c:orientation val="minMax"/>
        </c:scaling>
        <c:delete val="0"/>
        <c:axPos val="l"/>
        <c:title>
          <c:tx>
            <c:rich>
              <a:bodyPr rot="-5400000" vert="horz"/>
              <a:lstStyle/>
              <a:p>
                <a:pPr>
                  <a:defRPr lang="en-IN"/>
                </a:pPr>
                <a:r>
                  <a:rPr lang="en-IN"/>
                  <a:t>HUE; kg ha </a:t>
                </a:r>
                <a:r>
                  <a:rPr lang="en-IN" baseline="30000"/>
                  <a:t>-1 0 </a:t>
                </a:r>
                <a:r>
                  <a:rPr lang="en-IN" sz="1000" b="1" i="0" u="none" strike="noStrike" kern="1200" baseline="0">
                    <a:solidFill>
                      <a:sysClr val="window" lastClr="FFFFFF"/>
                    </a:solidFill>
                    <a:latin typeface="+mn-lt"/>
                    <a:ea typeface="+mn-ea"/>
                    <a:cs typeface="+mn-cs"/>
                  </a:rPr>
                  <a:t>d</a:t>
                </a:r>
              </a:p>
            </c:rich>
          </c:tx>
          <c:overlay val="0"/>
        </c:title>
        <c:numFmt formatCode="General" sourceLinked="1"/>
        <c:majorTickMark val="out"/>
        <c:minorTickMark val="none"/>
        <c:tickLblPos val="nextTo"/>
        <c:txPr>
          <a:bodyPr/>
          <a:lstStyle/>
          <a:p>
            <a:pPr>
              <a:defRPr lang="en-US"/>
            </a:pPr>
            <a:endParaRPr lang="en-US"/>
          </a:p>
        </c:txPr>
        <c:crossAx val="99830784"/>
        <c:crosses val="autoZero"/>
        <c:crossBetween val="between"/>
      </c:valAx>
    </c:plotArea>
    <c:legend>
      <c:legendPos val="r"/>
      <c:layout>
        <c:manualLayout>
          <c:xMode val="edge"/>
          <c:yMode val="edge"/>
          <c:x val="0.33064457288444021"/>
          <c:y val="1.6574619901835577E-2"/>
          <c:w val="0.65241535433070863"/>
          <c:h val="7.3701834652214623E-2"/>
        </c:manualLayout>
      </c:layout>
      <c:overlay val="0"/>
      <c:spPr>
        <a:solidFill>
          <a:srgbClr val="002060"/>
        </a:solidFill>
      </c:spPr>
      <c:txPr>
        <a:bodyPr/>
        <a:lstStyle/>
        <a:p>
          <a:pPr>
            <a:defRPr lang="en-US"/>
          </a:pPr>
          <a:endParaRPr lang="en-US"/>
        </a:p>
      </c:txPr>
    </c:legend>
    <c:plotVisOnly val="1"/>
    <c:dispBlanksAs val="gap"/>
    <c:showDLblsOverMax val="0"/>
  </c:chart>
  <c:spPr>
    <a:solidFill>
      <a:srgbClr val="002060"/>
    </a:solidFill>
  </c:spPr>
  <c:txPr>
    <a:bodyPr/>
    <a:lstStyle/>
    <a:p>
      <a:pPr>
        <a:defRPr>
          <a:solidFill>
            <a:schemeClr val="bg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20"/>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360960034634972E-2"/>
          <c:y val="0"/>
          <c:w val="0.89925403115747871"/>
          <c:h val="0.76361670926869463"/>
        </c:manualLayout>
      </c:layout>
      <c:bar3DChart>
        <c:barDir val="bar"/>
        <c:grouping val="clustered"/>
        <c:varyColors val="0"/>
        <c:ser>
          <c:idx val="0"/>
          <c:order val="0"/>
          <c:tx>
            <c:strRef>
              <c:f>Sheet1!$B$7</c:f>
              <c:strCache>
                <c:ptCount val="1"/>
                <c:pt idx="0">
                  <c:v>Straw yield (q ha-1)</c:v>
                </c:pt>
              </c:strCache>
            </c:strRef>
          </c:tx>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Sheet1!$A$8:$A$9</c:f>
              <c:strCache>
                <c:ptCount val="2"/>
                <c:pt idx="0">
                  <c:v>SRI</c:v>
                </c:pt>
                <c:pt idx="1">
                  <c:v>CRC</c:v>
                </c:pt>
              </c:strCache>
            </c:strRef>
          </c:cat>
          <c:val>
            <c:numRef>
              <c:f>Sheet1!$B$8:$B$9</c:f>
              <c:numCache>
                <c:formatCode>General</c:formatCode>
                <c:ptCount val="2"/>
                <c:pt idx="0">
                  <c:v>61.43</c:v>
                </c:pt>
                <c:pt idx="1">
                  <c:v>57.92</c:v>
                </c:pt>
              </c:numCache>
            </c:numRef>
          </c:val>
          <c:extLst>
            <c:ext xmlns:c16="http://schemas.microsoft.com/office/drawing/2014/chart" uri="{C3380CC4-5D6E-409C-BE32-E72D297353CC}">
              <c16:uniqueId val="{00000000-7A69-4B1F-8538-7B753C77E9FF}"/>
            </c:ext>
          </c:extLst>
        </c:ser>
        <c:ser>
          <c:idx val="1"/>
          <c:order val="1"/>
          <c:tx>
            <c:strRef>
              <c:f>Sheet1!$C$7</c:f>
              <c:strCache>
                <c:ptCount val="1"/>
                <c:pt idx="0">
                  <c:v>Grain yield (q ha-1)</c:v>
                </c:pt>
              </c:strCache>
            </c:strRef>
          </c:tx>
          <c:spPr>
            <a:gradFill flip="none" rotWithShape="1">
              <a:gsLst>
                <a:gs pos="0">
                  <a:srgbClr val="FFCC66">
                    <a:shade val="30000"/>
                    <a:satMod val="115000"/>
                  </a:srgbClr>
                </a:gs>
                <a:gs pos="50000">
                  <a:srgbClr val="FFCC66">
                    <a:shade val="67500"/>
                    <a:satMod val="115000"/>
                  </a:srgbClr>
                </a:gs>
                <a:gs pos="100000">
                  <a:srgbClr val="FFCC66">
                    <a:shade val="100000"/>
                    <a:satMod val="115000"/>
                  </a:srgbClr>
                </a:gs>
              </a:gsLst>
              <a:lin ang="0" scaled="1"/>
              <a:tileRect/>
            </a:gradFill>
            <a:ln>
              <a:noFill/>
            </a:ln>
            <a:effectLst/>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D36C-472D-B0C8-FE5CAA5CCAB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Sheet1!$A$8:$A$9</c:f>
              <c:strCache>
                <c:ptCount val="2"/>
                <c:pt idx="0">
                  <c:v>SRI</c:v>
                </c:pt>
                <c:pt idx="1">
                  <c:v>CRC</c:v>
                </c:pt>
              </c:strCache>
            </c:strRef>
          </c:cat>
          <c:val>
            <c:numRef>
              <c:f>Sheet1!$C$8:$C$9</c:f>
              <c:numCache>
                <c:formatCode>General</c:formatCode>
                <c:ptCount val="2"/>
                <c:pt idx="0">
                  <c:v>57.13</c:v>
                </c:pt>
                <c:pt idx="1">
                  <c:v>48.83</c:v>
                </c:pt>
              </c:numCache>
            </c:numRef>
          </c:val>
          <c:extLst>
            <c:ext xmlns:c16="http://schemas.microsoft.com/office/drawing/2014/chart" uri="{C3380CC4-5D6E-409C-BE32-E72D297353CC}">
              <c16:uniqueId val="{00000002-7A69-4B1F-8538-7B753C77E9FF}"/>
            </c:ext>
          </c:extLst>
        </c:ser>
        <c:ser>
          <c:idx val="3"/>
          <c:order val="3"/>
          <c:tx>
            <c:strRef>
              <c:f>Sheet1!$E$7</c:f>
              <c:strCache>
                <c:ptCount val="1"/>
                <c:pt idx="0">
                  <c:v>Harvest index (%)</c:v>
                </c:pt>
              </c:strCache>
            </c:strRef>
          </c:tx>
          <c:spPr>
            <a:gradFill flip="none" rotWithShape="1">
              <a:gsLst>
                <a:gs pos="0">
                  <a:schemeClr val="accent3">
                    <a:lumMod val="20000"/>
                    <a:lumOff val="80000"/>
                    <a:shade val="30000"/>
                    <a:satMod val="115000"/>
                  </a:schemeClr>
                </a:gs>
                <a:gs pos="50000">
                  <a:schemeClr val="accent3">
                    <a:lumMod val="20000"/>
                    <a:lumOff val="80000"/>
                    <a:shade val="67500"/>
                    <a:satMod val="115000"/>
                  </a:schemeClr>
                </a:gs>
                <a:gs pos="100000">
                  <a:schemeClr val="accent3">
                    <a:lumMod val="20000"/>
                    <a:lumOff val="80000"/>
                    <a:shade val="100000"/>
                    <a:satMod val="115000"/>
                  </a:schemeClr>
                </a:gs>
              </a:gsLst>
              <a:lin ang="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Sheet1!$A$8:$A$9</c:f>
              <c:strCache>
                <c:ptCount val="2"/>
                <c:pt idx="0">
                  <c:v>SRI</c:v>
                </c:pt>
                <c:pt idx="1">
                  <c:v>CRC</c:v>
                </c:pt>
              </c:strCache>
            </c:strRef>
          </c:cat>
          <c:val>
            <c:numRef>
              <c:f>Sheet1!$E$8:$E$9</c:f>
              <c:numCache>
                <c:formatCode>General</c:formatCode>
                <c:ptCount val="2"/>
                <c:pt idx="0">
                  <c:v>48.15</c:v>
                </c:pt>
                <c:pt idx="1">
                  <c:v>45.730000000000011</c:v>
                </c:pt>
              </c:numCache>
            </c:numRef>
          </c:val>
          <c:extLst>
            <c:ext xmlns:c16="http://schemas.microsoft.com/office/drawing/2014/chart" uri="{C3380CC4-5D6E-409C-BE32-E72D297353CC}">
              <c16:uniqueId val="{00000003-7A69-4B1F-8538-7B753C77E9FF}"/>
            </c:ext>
          </c:extLst>
        </c:ser>
        <c:dLbls>
          <c:showLegendKey val="0"/>
          <c:showVal val="0"/>
          <c:showCatName val="0"/>
          <c:showSerName val="0"/>
          <c:showPercent val="0"/>
          <c:showBubbleSize val="0"/>
        </c:dLbls>
        <c:gapWidth val="182"/>
        <c:shape val="box"/>
        <c:axId val="102923264"/>
        <c:axId val="104821888"/>
        <c:axId val="0"/>
        <c:extLst>
          <c:ext xmlns:c15="http://schemas.microsoft.com/office/drawing/2012/chart" uri="{02D57815-91ED-43cb-92C2-25804820EDAC}">
            <c15:filteredBarSeries>
              <c15:ser>
                <c:idx val="2"/>
                <c:order val="2"/>
                <c:tx>
                  <c:strRef>
                    <c:extLst>
                      <c:ext uri="{02D57815-91ED-43cb-92C2-25804820EDAC}">
                        <c15:formulaRef>
                          <c15:sqref>Sheet1!$D$7</c15:sqref>
                        </c15:formulaRef>
                      </c:ext>
                    </c:extLst>
                    <c:strCache>
                      <c:ptCount val="1"/>
                    </c:strCache>
                  </c:strRef>
                </c:tx>
                <c:spPr>
                  <a:solidFill>
                    <a:schemeClr val="accent3"/>
                  </a:solidFill>
                  <a:ln>
                    <a:noFill/>
                  </a:ln>
                  <a:effectLst/>
                  <a:sp3d/>
                </c:spPr>
                <c:invertIfNegative val="0"/>
                <c:cat>
                  <c:strRef>
                    <c:extLst>
                      <c:ext uri="{02D57815-91ED-43cb-92C2-25804820EDAC}">
                        <c15:formulaRef>
                          <c15:sqref>Sheet1!$A$8:$A$9</c15:sqref>
                        </c15:formulaRef>
                      </c:ext>
                    </c:extLst>
                    <c:strCache>
                      <c:ptCount val="2"/>
                      <c:pt idx="0">
                        <c:v>SRI</c:v>
                      </c:pt>
                      <c:pt idx="1">
                        <c:v>CRC</c:v>
                      </c:pt>
                    </c:strCache>
                  </c:strRef>
                </c:cat>
                <c:val>
                  <c:numRef>
                    <c:extLst>
                      <c:ext uri="{02D57815-91ED-43cb-92C2-25804820EDAC}">
                        <c15:formulaRef>
                          <c15:sqref>Sheet1!$D$8:$D$9</c15:sqref>
                        </c15:formulaRef>
                      </c:ext>
                    </c:extLst>
                    <c:numCache>
                      <c:formatCode>General</c:formatCode>
                      <c:ptCount val="2"/>
                    </c:numCache>
                  </c:numRef>
                </c:val>
                <c:extLst>
                  <c:ext xmlns:c16="http://schemas.microsoft.com/office/drawing/2014/chart" uri="{C3380CC4-5D6E-409C-BE32-E72D297353CC}">
                    <c16:uniqueId val="{00000004-7A69-4B1F-8538-7B753C77E9FF}"/>
                  </c:ext>
                </c:extLst>
              </c15:ser>
            </c15:filteredBarSeries>
          </c:ext>
        </c:extLst>
      </c:bar3DChart>
      <c:catAx>
        <c:axId val="102923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crossAx val="104821888"/>
        <c:crosses val="autoZero"/>
        <c:auto val="1"/>
        <c:lblAlgn val="ctr"/>
        <c:lblOffset val="100"/>
        <c:noMultiLvlLbl val="0"/>
      </c:catAx>
      <c:valAx>
        <c:axId val="104821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crossAx val="102923264"/>
        <c:crosses val="autoZero"/>
        <c:crossBetween val="between"/>
      </c:valAx>
      <c:spPr>
        <a:noFill/>
        <a:ln>
          <a:noFill/>
        </a:ln>
        <a:effectLst/>
      </c:spPr>
    </c:plotArea>
    <c:legend>
      <c:legendPos val="b"/>
      <c:layout>
        <c:manualLayout>
          <c:xMode val="edge"/>
          <c:yMode val="edge"/>
          <c:x val="0.19079123536524256"/>
          <c:y val="0.8953847282906755"/>
          <c:w val="0.51304860066649105"/>
          <c:h val="6.23333252892004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2060"/>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Sheet2!$B$2</c:f>
              <c:strCache>
                <c:ptCount val="1"/>
                <c:pt idx="0">
                  <c:v>Straw yield (q ha-1)</c:v>
                </c:pt>
              </c:strCache>
            </c:strRef>
          </c:tx>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0" scaled="1"/>
              <a:tileRect/>
            </a:gradFill>
            <a:ln>
              <a:noFill/>
            </a:ln>
            <a:effectLst/>
            <a:sp3d/>
          </c:spPr>
          <c:invertIfNegative val="0"/>
          <c:cat>
            <c:strRef>
              <c:f>Sheet2!$A$3:$A$5</c:f>
              <c:strCache>
                <c:ptCount val="3"/>
                <c:pt idx="0">
                  <c:v>26th June</c:v>
                </c:pt>
                <c:pt idx="1">
                  <c:v>10th July</c:v>
                </c:pt>
                <c:pt idx="2">
                  <c:v>25th July</c:v>
                </c:pt>
              </c:strCache>
            </c:strRef>
          </c:cat>
          <c:val>
            <c:numRef>
              <c:f>Sheet2!$B$3:$B$5</c:f>
              <c:numCache>
                <c:formatCode>General</c:formatCode>
                <c:ptCount val="3"/>
                <c:pt idx="0" formatCode="0.00">
                  <c:v>62</c:v>
                </c:pt>
                <c:pt idx="1">
                  <c:v>60.58</c:v>
                </c:pt>
                <c:pt idx="2">
                  <c:v>56.45</c:v>
                </c:pt>
              </c:numCache>
            </c:numRef>
          </c:val>
          <c:extLst>
            <c:ext xmlns:c16="http://schemas.microsoft.com/office/drawing/2014/chart" uri="{C3380CC4-5D6E-409C-BE32-E72D297353CC}">
              <c16:uniqueId val="{00000000-1006-47BE-BCD1-E9E2E9772435}"/>
            </c:ext>
          </c:extLst>
        </c:ser>
        <c:ser>
          <c:idx val="1"/>
          <c:order val="1"/>
          <c:tx>
            <c:strRef>
              <c:f>Sheet2!$C$2</c:f>
              <c:strCache>
                <c:ptCount val="1"/>
                <c:pt idx="0">
                  <c:v>Grain yield (q ha-1)</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0" scaled="1"/>
              <a:tileRect/>
            </a:gradFill>
            <a:ln>
              <a:noFill/>
            </a:ln>
            <a:effectLst/>
            <a:sp3d/>
          </c:spPr>
          <c:invertIfNegative val="0"/>
          <c:cat>
            <c:strRef>
              <c:f>Sheet2!$A$3:$A$5</c:f>
              <c:strCache>
                <c:ptCount val="3"/>
                <c:pt idx="0">
                  <c:v>26th June</c:v>
                </c:pt>
                <c:pt idx="1">
                  <c:v>10th July</c:v>
                </c:pt>
                <c:pt idx="2">
                  <c:v>25th July</c:v>
                </c:pt>
              </c:strCache>
            </c:strRef>
          </c:cat>
          <c:val>
            <c:numRef>
              <c:f>Sheet2!$C$3:$C$5</c:f>
              <c:numCache>
                <c:formatCode>General</c:formatCode>
                <c:ptCount val="3"/>
                <c:pt idx="0">
                  <c:v>56.51</c:v>
                </c:pt>
                <c:pt idx="1">
                  <c:v>53.56</c:v>
                </c:pt>
                <c:pt idx="2">
                  <c:v>48.87</c:v>
                </c:pt>
              </c:numCache>
            </c:numRef>
          </c:val>
          <c:extLst>
            <c:ext xmlns:c16="http://schemas.microsoft.com/office/drawing/2014/chart" uri="{C3380CC4-5D6E-409C-BE32-E72D297353CC}">
              <c16:uniqueId val="{00000001-1006-47BE-BCD1-E9E2E9772435}"/>
            </c:ext>
          </c:extLst>
        </c:ser>
        <c:ser>
          <c:idx val="2"/>
          <c:order val="2"/>
          <c:tx>
            <c:strRef>
              <c:f>Sheet2!$D$2</c:f>
              <c:strCache>
                <c:ptCount val="1"/>
                <c:pt idx="0">
                  <c:v>Harvest index (%)</c:v>
                </c:pt>
              </c:strCache>
            </c:strRef>
          </c:tx>
          <c:spPr>
            <a:gradFill flip="none" rotWithShape="1">
              <a:gsLst>
                <a:gs pos="0">
                  <a:schemeClr val="bg2">
                    <a:lumMod val="75000"/>
                    <a:shade val="30000"/>
                    <a:satMod val="115000"/>
                  </a:schemeClr>
                </a:gs>
                <a:gs pos="50000">
                  <a:schemeClr val="bg2">
                    <a:lumMod val="75000"/>
                    <a:shade val="67500"/>
                    <a:satMod val="115000"/>
                  </a:schemeClr>
                </a:gs>
                <a:gs pos="100000">
                  <a:schemeClr val="bg2">
                    <a:lumMod val="75000"/>
                    <a:shade val="100000"/>
                    <a:satMod val="115000"/>
                  </a:schemeClr>
                </a:gs>
              </a:gsLst>
              <a:lin ang="0" scaled="1"/>
              <a:tileRect/>
            </a:gradFill>
            <a:ln>
              <a:noFill/>
            </a:ln>
            <a:effectLst/>
            <a:sp3d/>
          </c:spPr>
          <c:invertIfNegative val="0"/>
          <c:cat>
            <c:strRef>
              <c:f>Sheet2!$A$3:$A$5</c:f>
              <c:strCache>
                <c:ptCount val="3"/>
                <c:pt idx="0">
                  <c:v>26th June</c:v>
                </c:pt>
                <c:pt idx="1">
                  <c:v>10th July</c:v>
                </c:pt>
                <c:pt idx="2">
                  <c:v>25th July</c:v>
                </c:pt>
              </c:strCache>
            </c:strRef>
          </c:cat>
          <c:val>
            <c:numRef>
              <c:f>Sheet2!$D$3:$D$5</c:f>
              <c:numCache>
                <c:formatCode>General</c:formatCode>
                <c:ptCount val="3"/>
                <c:pt idx="0">
                  <c:v>47.6</c:v>
                </c:pt>
                <c:pt idx="1">
                  <c:v>46.87</c:v>
                </c:pt>
                <c:pt idx="2">
                  <c:v>46.35</c:v>
                </c:pt>
              </c:numCache>
            </c:numRef>
          </c:val>
          <c:extLst>
            <c:ext xmlns:c16="http://schemas.microsoft.com/office/drawing/2014/chart" uri="{C3380CC4-5D6E-409C-BE32-E72D297353CC}">
              <c16:uniqueId val="{00000002-1006-47BE-BCD1-E9E2E9772435}"/>
            </c:ext>
          </c:extLst>
        </c:ser>
        <c:dLbls>
          <c:showLegendKey val="0"/>
          <c:showVal val="0"/>
          <c:showCatName val="0"/>
          <c:showSerName val="0"/>
          <c:showPercent val="0"/>
          <c:showBubbleSize val="0"/>
        </c:dLbls>
        <c:gapWidth val="182"/>
        <c:shape val="box"/>
        <c:axId val="136868608"/>
        <c:axId val="136870528"/>
        <c:axId val="0"/>
      </c:bar3DChart>
      <c:catAx>
        <c:axId val="13686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36870528"/>
        <c:crosses val="autoZero"/>
        <c:auto val="1"/>
        <c:lblAlgn val="ctr"/>
        <c:lblOffset val="100"/>
        <c:noMultiLvlLbl val="0"/>
      </c:catAx>
      <c:valAx>
        <c:axId val="1368705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3686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2060"/>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Sheet2!$B$8</c:f>
              <c:strCache>
                <c:ptCount val="1"/>
                <c:pt idx="0">
                  <c:v>Straw yield (q ha-1)</c:v>
                </c:pt>
              </c:strCache>
            </c:strRef>
          </c:tx>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0" scaled="1"/>
              <a:tileRect/>
            </a:gradFill>
            <a:ln>
              <a:noFill/>
            </a:ln>
            <a:effectLst/>
            <a:sp3d/>
          </c:spPr>
          <c:invertIfNegative val="0"/>
          <c:cat>
            <c:strRef>
              <c:f>Sheet2!$A$9:$A$12</c:f>
              <c:strCache>
                <c:ptCount val="4"/>
                <c:pt idx="0">
                  <c:v>20 cm x 15 cm </c:v>
                </c:pt>
                <c:pt idx="1">
                  <c:v>20 cm x 20 cm </c:v>
                </c:pt>
                <c:pt idx="2">
                  <c:v>20 cm x 25 cm </c:v>
                </c:pt>
                <c:pt idx="3">
                  <c:v>25 cm x 25 cm </c:v>
                </c:pt>
              </c:strCache>
            </c:strRef>
          </c:cat>
          <c:val>
            <c:numRef>
              <c:f>Sheet2!$B$9:$B$12</c:f>
              <c:numCache>
                <c:formatCode>General</c:formatCode>
                <c:ptCount val="4"/>
                <c:pt idx="0">
                  <c:v>54.55</c:v>
                </c:pt>
                <c:pt idx="1">
                  <c:v>61.120000000000012</c:v>
                </c:pt>
                <c:pt idx="2">
                  <c:v>61.83</c:v>
                </c:pt>
                <c:pt idx="3">
                  <c:v>61.21</c:v>
                </c:pt>
              </c:numCache>
            </c:numRef>
          </c:val>
          <c:extLst>
            <c:ext xmlns:c16="http://schemas.microsoft.com/office/drawing/2014/chart" uri="{C3380CC4-5D6E-409C-BE32-E72D297353CC}">
              <c16:uniqueId val="{00000000-0416-4CB4-8286-D64F2843E6CC}"/>
            </c:ext>
          </c:extLst>
        </c:ser>
        <c:ser>
          <c:idx val="1"/>
          <c:order val="1"/>
          <c:tx>
            <c:strRef>
              <c:f>Sheet2!$C$8</c:f>
              <c:strCache>
                <c:ptCount val="1"/>
                <c:pt idx="0">
                  <c:v>Grain yield (q ha-1)</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0" scaled="1"/>
              <a:tileRect/>
            </a:gradFill>
            <a:ln>
              <a:noFill/>
            </a:ln>
            <a:effectLst/>
            <a:sp3d/>
          </c:spPr>
          <c:invertIfNegative val="0"/>
          <c:cat>
            <c:strRef>
              <c:f>Sheet2!$A$9:$A$12</c:f>
              <c:strCache>
                <c:ptCount val="4"/>
                <c:pt idx="0">
                  <c:v>20 cm x 15 cm </c:v>
                </c:pt>
                <c:pt idx="1">
                  <c:v>20 cm x 20 cm </c:v>
                </c:pt>
                <c:pt idx="2">
                  <c:v>20 cm x 25 cm </c:v>
                </c:pt>
                <c:pt idx="3">
                  <c:v>25 cm x 25 cm </c:v>
                </c:pt>
              </c:strCache>
            </c:strRef>
          </c:cat>
          <c:val>
            <c:numRef>
              <c:f>Sheet2!$C$9:$C$12</c:f>
              <c:numCache>
                <c:formatCode>General</c:formatCode>
                <c:ptCount val="4"/>
                <c:pt idx="0">
                  <c:v>46.49</c:v>
                </c:pt>
                <c:pt idx="1">
                  <c:v>53.2</c:v>
                </c:pt>
                <c:pt idx="2">
                  <c:v>55.48</c:v>
                </c:pt>
                <c:pt idx="3">
                  <c:v>56.75</c:v>
                </c:pt>
              </c:numCache>
            </c:numRef>
          </c:val>
          <c:extLst>
            <c:ext xmlns:c16="http://schemas.microsoft.com/office/drawing/2014/chart" uri="{C3380CC4-5D6E-409C-BE32-E72D297353CC}">
              <c16:uniqueId val="{00000001-0416-4CB4-8286-D64F2843E6CC}"/>
            </c:ext>
          </c:extLst>
        </c:ser>
        <c:ser>
          <c:idx val="2"/>
          <c:order val="2"/>
          <c:tx>
            <c:strRef>
              <c:f>Sheet2!$D$8</c:f>
              <c:strCache>
                <c:ptCount val="1"/>
                <c:pt idx="0">
                  <c:v>Harvest index (%)</c:v>
                </c:pt>
              </c:strCache>
            </c:strRef>
          </c:tx>
          <c:spPr>
            <a:gradFill flip="none" rotWithShape="1">
              <a:gsLst>
                <a:gs pos="0">
                  <a:schemeClr val="bg2">
                    <a:lumMod val="75000"/>
                    <a:shade val="30000"/>
                    <a:satMod val="115000"/>
                  </a:schemeClr>
                </a:gs>
                <a:gs pos="50000">
                  <a:schemeClr val="bg2">
                    <a:lumMod val="75000"/>
                    <a:shade val="67500"/>
                    <a:satMod val="115000"/>
                  </a:schemeClr>
                </a:gs>
                <a:gs pos="100000">
                  <a:schemeClr val="bg2">
                    <a:lumMod val="75000"/>
                    <a:shade val="100000"/>
                    <a:satMod val="115000"/>
                  </a:schemeClr>
                </a:gs>
              </a:gsLst>
              <a:lin ang="0" scaled="1"/>
              <a:tileRect/>
            </a:gradFill>
            <a:ln>
              <a:noFill/>
            </a:ln>
            <a:effectLst/>
            <a:sp3d/>
          </c:spPr>
          <c:invertIfNegative val="0"/>
          <c:cat>
            <c:strRef>
              <c:f>Sheet2!$A$9:$A$12</c:f>
              <c:strCache>
                <c:ptCount val="4"/>
                <c:pt idx="0">
                  <c:v>20 cm x 15 cm </c:v>
                </c:pt>
                <c:pt idx="1">
                  <c:v>20 cm x 20 cm </c:v>
                </c:pt>
                <c:pt idx="2">
                  <c:v>20 cm x 25 cm </c:v>
                </c:pt>
                <c:pt idx="3">
                  <c:v>25 cm x 25 cm </c:v>
                </c:pt>
              </c:strCache>
            </c:strRef>
          </c:cat>
          <c:val>
            <c:numRef>
              <c:f>Sheet2!$D$9:$D$12</c:f>
              <c:numCache>
                <c:formatCode>General</c:formatCode>
                <c:ptCount val="4"/>
                <c:pt idx="0" formatCode="0.00">
                  <c:v>46</c:v>
                </c:pt>
                <c:pt idx="1">
                  <c:v>46.51</c:v>
                </c:pt>
                <c:pt idx="2">
                  <c:v>47.24</c:v>
                </c:pt>
                <c:pt idx="3">
                  <c:v>48.01</c:v>
                </c:pt>
              </c:numCache>
            </c:numRef>
          </c:val>
          <c:extLst>
            <c:ext xmlns:c16="http://schemas.microsoft.com/office/drawing/2014/chart" uri="{C3380CC4-5D6E-409C-BE32-E72D297353CC}">
              <c16:uniqueId val="{00000002-0416-4CB4-8286-D64F2843E6CC}"/>
            </c:ext>
          </c:extLst>
        </c:ser>
        <c:dLbls>
          <c:showLegendKey val="0"/>
          <c:showVal val="0"/>
          <c:showCatName val="0"/>
          <c:showSerName val="0"/>
          <c:showPercent val="0"/>
          <c:showBubbleSize val="0"/>
        </c:dLbls>
        <c:gapWidth val="150"/>
        <c:shape val="box"/>
        <c:axId val="174497152"/>
        <c:axId val="183776384"/>
        <c:axId val="0"/>
      </c:bar3DChart>
      <c:catAx>
        <c:axId val="174497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83776384"/>
        <c:crosses val="autoZero"/>
        <c:auto val="1"/>
        <c:lblAlgn val="ctr"/>
        <c:lblOffset val="100"/>
        <c:noMultiLvlLbl val="0"/>
      </c:catAx>
      <c:valAx>
        <c:axId val="183776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7449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2060"/>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4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24519120617029"/>
          <c:y val="2.9392593709707437E-2"/>
          <c:w val="0.88009057440499261"/>
          <c:h val="0.77606692302634617"/>
        </c:manualLayout>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1-419D-4058-9A48-BA77C793E955}"/>
              </c:ext>
            </c:extLst>
          </c:dPt>
          <c:dPt>
            <c:idx val="1"/>
            <c:invertIfNegative val="0"/>
            <c:bubble3D val="0"/>
            <c:spPr>
              <a:solidFill>
                <a:srgbClr val="FFC000"/>
              </a:solidFill>
              <a:ln>
                <a:noFill/>
              </a:ln>
              <a:effectLst/>
              <a:sp3d/>
            </c:spPr>
            <c:extLst>
              <c:ext xmlns:c16="http://schemas.microsoft.com/office/drawing/2014/chart" uri="{C3380CC4-5D6E-409C-BE32-E72D297353CC}">
                <c16:uniqueId val="{00000003-419D-4058-9A48-BA77C793E955}"/>
              </c:ext>
            </c:extLst>
          </c:dPt>
          <c:dPt>
            <c:idx val="2"/>
            <c:invertIfNegative val="0"/>
            <c:bubble3D val="0"/>
            <c:spPr>
              <a:solidFill>
                <a:srgbClr val="FFFF00"/>
              </a:solidFill>
              <a:ln>
                <a:noFill/>
              </a:ln>
              <a:effectLst/>
              <a:sp3d/>
            </c:spPr>
            <c:extLst>
              <c:ext xmlns:c16="http://schemas.microsoft.com/office/drawing/2014/chart" uri="{C3380CC4-5D6E-409C-BE32-E72D297353CC}">
                <c16:uniqueId val="{00000005-419D-4058-9A48-BA77C793E955}"/>
              </c:ext>
            </c:extLst>
          </c:dPt>
          <c:dPt>
            <c:idx val="3"/>
            <c:invertIfNegative val="0"/>
            <c:bubble3D val="0"/>
            <c:spPr>
              <a:solidFill>
                <a:schemeClr val="bg2">
                  <a:lumMod val="50000"/>
                </a:schemeClr>
              </a:solidFill>
              <a:ln>
                <a:noFill/>
              </a:ln>
              <a:effectLst/>
              <a:sp3d/>
            </c:spPr>
            <c:extLst>
              <c:ext xmlns:c16="http://schemas.microsoft.com/office/drawing/2014/chart" uri="{C3380CC4-5D6E-409C-BE32-E72D297353CC}">
                <c16:uniqueId val="{00000007-419D-4058-9A48-BA77C793E955}"/>
              </c:ext>
            </c:extLst>
          </c:dPt>
          <c:dPt>
            <c:idx val="4"/>
            <c:invertIfNegative val="0"/>
            <c:bubble3D val="0"/>
            <c:spPr>
              <a:solidFill>
                <a:srgbClr val="008000"/>
              </a:solidFill>
              <a:ln>
                <a:noFill/>
              </a:ln>
              <a:effectLst/>
              <a:sp3d/>
            </c:spPr>
            <c:extLst>
              <c:ext xmlns:c16="http://schemas.microsoft.com/office/drawing/2014/chart" uri="{C3380CC4-5D6E-409C-BE32-E72D297353CC}">
                <c16:uniqueId val="{00000009-419D-4058-9A48-BA77C793E955}"/>
              </c:ext>
            </c:extLst>
          </c:dPt>
          <c:dPt>
            <c:idx val="5"/>
            <c:invertIfNegative val="0"/>
            <c:bubble3D val="0"/>
            <c:spPr>
              <a:solidFill>
                <a:srgbClr val="92D050"/>
              </a:solidFill>
              <a:ln>
                <a:noFill/>
              </a:ln>
              <a:effectLst/>
              <a:sp3d/>
            </c:spPr>
            <c:extLst>
              <c:ext xmlns:c16="http://schemas.microsoft.com/office/drawing/2014/chart" uri="{C3380CC4-5D6E-409C-BE32-E72D297353CC}">
                <c16:uniqueId val="{0000000B-419D-4058-9A48-BA77C793E955}"/>
              </c:ext>
            </c:extLst>
          </c:dPt>
          <c:dPt>
            <c:idx val="6"/>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D-419D-4058-9A48-BA77C793E955}"/>
              </c:ext>
            </c:extLst>
          </c:dPt>
          <c:dPt>
            <c:idx val="8"/>
            <c:invertIfNegative val="0"/>
            <c:bubble3D val="0"/>
            <c:spPr>
              <a:solidFill>
                <a:srgbClr val="00B0F0"/>
              </a:solidFill>
              <a:ln>
                <a:noFill/>
              </a:ln>
              <a:effectLst/>
              <a:sp3d/>
            </c:spPr>
            <c:extLst>
              <c:ext xmlns:c16="http://schemas.microsoft.com/office/drawing/2014/chart" uri="{C3380CC4-5D6E-409C-BE32-E72D297353CC}">
                <c16:uniqueId val="{0000000F-419D-4058-9A48-BA77C793E955}"/>
              </c:ext>
            </c:extLst>
          </c:dPt>
          <c:dPt>
            <c:idx val="9"/>
            <c:invertIfNegative val="0"/>
            <c:bubble3D val="0"/>
            <c:spPr>
              <a:solidFill>
                <a:schemeClr val="tx2">
                  <a:lumMod val="40000"/>
                  <a:lumOff val="60000"/>
                </a:schemeClr>
              </a:solidFill>
              <a:ln>
                <a:noFill/>
              </a:ln>
              <a:effectLst/>
              <a:sp3d/>
            </c:spPr>
            <c:extLst>
              <c:ext xmlns:c16="http://schemas.microsoft.com/office/drawing/2014/chart" uri="{C3380CC4-5D6E-409C-BE32-E72D297353CC}">
                <c16:uniqueId val="{00000011-419D-4058-9A48-BA77C793E955}"/>
              </c:ext>
            </c:extLst>
          </c:dPt>
          <c:dPt>
            <c:idx val="10"/>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13-419D-4058-9A48-BA77C793E955}"/>
              </c:ext>
            </c:extLst>
          </c:dPt>
          <c:dPt>
            <c:idx val="11"/>
            <c:invertIfNegative val="0"/>
            <c:bubble3D val="0"/>
            <c:spPr>
              <a:solidFill>
                <a:srgbClr val="FF0000"/>
              </a:solidFill>
              <a:ln>
                <a:noFill/>
              </a:ln>
              <a:effectLst/>
              <a:sp3d/>
            </c:spPr>
            <c:extLst>
              <c:ext xmlns:c16="http://schemas.microsoft.com/office/drawing/2014/chart" uri="{C3380CC4-5D6E-409C-BE32-E72D297353CC}">
                <c16:uniqueId val="{00000015-419D-4058-9A48-BA77C793E955}"/>
              </c:ext>
            </c:extLst>
          </c:dPt>
          <c:dPt>
            <c:idx val="12"/>
            <c:invertIfNegative val="0"/>
            <c:bubble3D val="0"/>
            <c:spPr>
              <a:solidFill>
                <a:schemeClr val="tx1">
                  <a:lumMod val="50000"/>
                  <a:lumOff val="50000"/>
                </a:schemeClr>
              </a:solidFill>
              <a:ln>
                <a:noFill/>
              </a:ln>
              <a:effectLst/>
              <a:sp3d/>
            </c:spPr>
            <c:extLst>
              <c:ext xmlns:c16="http://schemas.microsoft.com/office/drawing/2014/chart" uri="{C3380CC4-5D6E-409C-BE32-E72D297353CC}">
                <c16:uniqueId val="{00000017-419D-4058-9A48-BA77C793E955}"/>
              </c:ext>
            </c:extLst>
          </c:dPt>
          <c:dPt>
            <c:idx val="13"/>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19-419D-4058-9A48-BA77C793E955}"/>
              </c:ext>
            </c:extLst>
          </c:dPt>
          <c:dPt>
            <c:idx val="14"/>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1B-419D-4058-9A48-BA77C793E955}"/>
              </c:ext>
            </c:extLst>
          </c:dPt>
          <c:dPt>
            <c:idx val="15"/>
            <c:invertIfNegative val="0"/>
            <c:bubble3D val="0"/>
            <c:spPr>
              <a:solidFill>
                <a:srgbClr val="7030A0"/>
              </a:solidFill>
              <a:ln>
                <a:noFill/>
              </a:ln>
              <a:effectLst/>
              <a:sp3d/>
            </c:spPr>
            <c:extLst>
              <c:ext xmlns:c16="http://schemas.microsoft.com/office/drawing/2014/chart" uri="{C3380CC4-5D6E-409C-BE32-E72D297353CC}">
                <c16:uniqueId val="{0000001D-419D-4058-9A48-BA77C793E95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SRI_COR!$A$53:$A$68</c:f>
              <c:strCache>
                <c:ptCount val="16"/>
                <c:pt idx="0">
                  <c:v>Max. LAI</c:v>
                </c:pt>
                <c:pt idx="1">
                  <c:v>LI at MTS</c:v>
                </c:pt>
                <c:pt idx="2">
                  <c:v>LI at fl.</c:v>
                </c:pt>
                <c:pt idx="3">
                  <c:v>LI at PM</c:v>
                </c:pt>
                <c:pt idx="4">
                  <c:v>Chlorophyll at MTS</c:v>
                </c:pt>
                <c:pt idx="5">
                  <c:v>Chlorophyll at Fl.</c:v>
                </c:pt>
                <c:pt idx="6">
                  <c:v>Chlorophyll at M</c:v>
                </c:pt>
                <c:pt idx="7">
                  <c:v>LTR at MTS</c:v>
                </c:pt>
                <c:pt idx="8">
                  <c:v>LTR at Fl</c:v>
                </c:pt>
                <c:pt idx="9">
                  <c:v>LTR at PM</c:v>
                </c:pt>
                <c:pt idx="10">
                  <c:v>AGDD</c:v>
                </c:pt>
                <c:pt idx="11">
                  <c:v>AHTU  </c:v>
                </c:pt>
                <c:pt idx="12">
                  <c:v>APTU </c:v>
                </c:pt>
                <c:pt idx="13">
                  <c:v>RUE </c:v>
                </c:pt>
                <c:pt idx="14">
                  <c:v>AIPAR</c:v>
                </c:pt>
                <c:pt idx="15">
                  <c:v>HUE</c:v>
                </c:pt>
              </c:strCache>
            </c:strRef>
          </c:cat>
          <c:val>
            <c:numRef>
              <c:f>SRI_COR!$B$53:$B$68</c:f>
              <c:numCache>
                <c:formatCode>General</c:formatCode>
                <c:ptCount val="16"/>
                <c:pt idx="0">
                  <c:v>0.89</c:v>
                </c:pt>
                <c:pt idx="1">
                  <c:v>0.31000000000000055</c:v>
                </c:pt>
                <c:pt idx="2">
                  <c:v>9.0000000000000024E-2</c:v>
                </c:pt>
                <c:pt idx="3" formatCode="0.00">
                  <c:v>-0.4</c:v>
                </c:pt>
                <c:pt idx="4">
                  <c:v>0.95000000000000062</c:v>
                </c:pt>
                <c:pt idx="5" formatCode="0.00">
                  <c:v>0.9</c:v>
                </c:pt>
                <c:pt idx="6">
                  <c:v>0.88</c:v>
                </c:pt>
                <c:pt idx="7">
                  <c:v>-0.78</c:v>
                </c:pt>
                <c:pt idx="8">
                  <c:v>-0.33000000000000074</c:v>
                </c:pt>
                <c:pt idx="9">
                  <c:v>-0.26</c:v>
                </c:pt>
                <c:pt idx="10">
                  <c:v>-7.0000000000000021E-2</c:v>
                </c:pt>
                <c:pt idx="11">
                  <c:v>-0.64000000000000123</c:v>
                </c:pt>
                <c:pt idx="12">
                  <c:v>4.0000000000000022E-2</c:v>
                </c:pt>
                <c:pt idx="13">
                  <c:v>0.94000000000000061</c:v>
                </c:pt>
                <c:pt idx="14">
                  <c:v>-0.34</c:v>
                </c:pt>
                <c:pt idx="15">
                  <c:v>0.83000000000000063</c:v>
                </c:pt>
              </c:numCache>
            </c:numRef>
          </c:val>
          <c:extLst>
            <c:ext xmlns:c16="http://schemas.microsoft.com/office/drawing/2014/chart" uri="{C3380CC4-5D6E-409C-BE32-E72D297353CC}">
              <c16:uniqueId val="{0000001E-419D-4058-9A48-BA77C793E955}"/>
            </c:ext>
          </c:extLst>
        </c:ser>
        <c:dLbls>
          <c:showLegendKey val="0"/>
          <c:showVal val="0"/>
          <c:showCatName val="0"/>
          <c:showSerName val="0"/>
          <c:showPercent val="0"/>
          <c:showBubbleSize val="0"/>
        </c:dLbls>
        <c:gapWidth val="150"/>
        <c:shape val="box"/>
        <c:axId val="136861184"/>
        <c:axId val="136862720"/>
        <c:axId val="0"/>
      </c:bar3DChart>
      <c:catAx>
        <c:axId val="136861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62720"/>
        <c:crossesAt val="0"/>
        <c:auto val="1"/>
        <c:lblAlgn val="ctr"/>
        <c:lblOffset val="100"/>
        <c:noMultiLvlLbl val="0"/>
      </c:catAx>
      <c:valAx>
        <c:axId val="136862720"/>
        <c:scaling>
          <c:orientation val="minMax"/>
          <c:max val="1"/>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Correlation Coefficient</a:t>
                </a:r>
              </a:p>
            </c:rich>
          </c:tx>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61184"/>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w="25400"/>
    </a:sp3d>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0.89778</cdr:x>
      <cdr:y>0.16389</cdr:y>
    </cdr:from>
    <cdr:to>
      <cdr:x>0.96444</cdr:x>
      <cdr:y>0.31272</cdr:y>
    </cdr:to>
    <cdr:sp macro="" textlink="">
      <cdr:nvSpPr>
        <cdr:cNvPr id="2" name="TextBox 10">
          <a:extLst xmlns:a="http://schemas.openxmlformats.org/drawingml/2006/main">
            <a:ext uri="{FF2B5EF4-FFF2-40B4-BE49-F238E27FC236}">
              <a16:creationId xmlns:a16="http://schemas.microsoft.com/office/drawing/2014/main" id="{9555B422-9970-D8D9-4DD1-D30F67A26BD6}"/>
            </a:ext>
          </a:extLst>
        </cdr:cNvPr>
        <cdr:cNvSpPr txBox="1"/>
      </cdr:nvSpPr>
      <cdr:spPr>
        <a:xfrm xmlns:a="http://schemas.openxmlformats.org/drawingml/2006/main">
          <a:off x="5130813" y="412014"/>
          <a:ext cx="380962"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indent="0" algn="l" defTabSz="914400" rtl="0" eaLnBrk="1" latinLnBrk="0" hangingPunct="1">
            <a:defRPr sz="1800" kern="1200">
              <a:solidFill>
                <a:schemeClr val="tx1"/>
              </a:solidFill>
              <a:latin typeface="+mn-lt"/>
              <a:ea typeface="+mn-ea"/>
              <a:cs typeface="+mn-cs"/>
            </a:defRPr>
          </a:lvl1pPr>
          <a:lvl2pPr marL="457200" indent="0" algn="l" defTabSz="914400" rtl="0" eaLnBrk="1" latinLnBrk="0" hangingPunct="1">
            <a:defRPr sz="1800" kern="1200">
              <a:solidFill>
                <a:schemeClr val="tx1"/>
              </a:solidFill>
              <a:latin typeface="+mn-lt"/>
              <a:ea typeface="+mn-ea"/>
              <a:cs typeface="+mn-cs"/>
            </a:defRPr>
          </a:lvl2pPr>
          <a:lvl3pPr marL="914400" indent="0" algn="l" defTabSz="914400" rtl="0" eaLnBrk="1" latinLnBrk="0" hangingPunct="1">
            <a:defRPr sz="1800" kern="1200">
              <a:solidFill>
                <a:schemeClr val="tx1"/>
              </a:solidFill>
              <a:latin typeface="+mn-lt"/>
              <a:ea typeface="+mn-ea"/>
              <a:cs typeface="+mn-cs"/>
            </a:defRPr>
          </a:lvl3pPr>
          <a:lvl4pPr marL="1371600" indent="0" algn="l" defTabSz="914400" rtl="0" eaLnBrk="1" latinLnBrk="0" hangingPunct="1">
            <a:defRPr sz="1800" kern="1200">
              <a:solidFill>
                <a:schemeClr val="tx1"/>
              </a:solidFill>
              <a:latin typeface="+mn-lt"/>
              <a:ea typeface="+mn-ea"/>
              <a:cs typeface="+mn-cs"/>
            </a:defRPr>
          </a:lvl4pPr>
          <a:lvl5pPr marL="1828800" indent="0" algn="l" defTabSz="914400" rtl="0" eaLnBrk="1" latinLnBrk="0" hangingPunct="1">
            <a:defRPr sz="1800" kern="1200">
              <a:solidFill>
                <a:schemeClr val="tx1"/>
              </a:solidFill>
              <a:latin typeface="+mn-lt"/>
              <a:ea typeface="+mn-ea"/>
              <a:cs typeface="+mn-cs"/>
            </a:defRPr>
          </a:lvl5pPr>
          <a:lvl6pPr marL="2286000" indent="0" algn="l" defTabSz="914400" rtl="0" eaLnBrk="1" latinLnBrk="0" hangingPunct="1">
            <a:defRPr sz="1800" kern="1200">
              <a:solidFill>
                <a:schemeClr val="tx1"/>
              </a:solidFill>
              <a:latin typeface="+mn-lt"/>
              <a:ea typeface="+mn-ea"/>
              <a:cs typeface="+mn-cs"/>
            </a:defRPr>
          </a:lvl6pPr>
          <a:lvl7pPr marL="2743200" indent="0" algn="l" defTabSz="914400" rtl="0" eaLnBrk="1" latinLnBrk="0" hangingPunct="1">
            <a:defRPr sz="1800" kern="1200">
              <a:solidFill>
                <a:schemeClr val="tx1"/>
              </a:solidFill>
              <a:latin typeface="+mn-lt"/>
              <a:ea typeface="+mn-ea"/>
              <a:cs typeface="+mn-cs"/>
            </a:defRPr>
          </a:lvl7pPr>
          <a:lvl8pPr marL="3200400" indent="0" algn="l" defTabSz="914400" rtl="0" eaLnBrk="1" latinLnBrk="0" hangingPunct="1">
            <a:defRPr sz="1800" kern="1200">
              <a:solidFill>
                <a:schemeClr val="tx1"/>
              </a:solidFill>
              <a:latin typeface="+mn-lt"/>
              <a:ea typeface="+mn-ea"/>
              <a:cs typeface="+mn-cs"/>
            </a:defRPr>
          </a:lvl8pPr>
          <a:lvl9pPr marL="3657600" indent="0" algn="l" defTabSz="914400" rtl="0" eaLnBrk="1" latinLnBrk="0" hangingPunct="1">
            <a:defRPr sz="1800" kern="1200">
              <a:solidFill>
                <a:schemeClr val="tx1"/>
              </a:solidFill>
              <a:latin typeface="+mn-lt"/>
              <a:ea typeface="+mn-ea"/>
              <a:cs typeface="+mn-cs"/>
            </a:defRPr>
          </a:lvl9pPr>
        </a:lstStyle>
        <a:p xmlns:a="http://schemas.openxmlformats.org/drawingml/2006/main">
          <a:endParaRPr lang="en-IN" b="1" dirty="0">
            <a:solidFill>
              <a:schemeClr val="bg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0.90411</cdr:x>
      <cdr:y>0.14337</cdr:y>
    </cdr:from>
    <cdr:to>
      <cdr:x>0.9726</cdr:x>
      <cdr:y>0.29219</cdr:y>
    </cdr:to>
    <cdr:sp macro="" textlink="">
      <cdr:nvSpPr>
        <cdr:cNvPr id="2" name="TextBox 10">
          <a:extLst xmlns:a="http://schemas.openxmlformats.org/drawingml/2006/main">
            <a:ext uri="{FF2B5EF4-FFF2-40B4-BE49-F238E27FC236}">
              <a16:creationId xmlns:a16="http://schemas.microsoft.com/office/drawing/2014/main" id="{ED9EDB98-87FD-D517-B26C-9AD001A107A4}"/>
            </a:ext>
          </a:extLst>
        </cdr:cNvPr>
        <cdr:cNvSpPr txBox="1"/>
      </cdr:nvSpPr>
      <cdr:spPr>
        <a:xfrm xmlns:a="http://schemas.openxmlformats.org/drawingml/2006/main">
          <a:off x="5029202" y="360427"/>
          <a:ext cx="380983"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indent="0" algn="l" defTabSz="914400" rtl="0" eaLnBrk="1" latinLnBrk="0" hangingPunct="1">
            <a:defRPr sz="1800" kern="1200">
              <a:solidFill>
                <a:schemeClr val="tx1"/>
              </a:solidFill>
              <a:latin typeface="+mn-lt"/>
              <a:ea typeface="+mn-ea"/>
              <a:cs typeface="+mn-cs"/>
            </a:defRPr>
          </a:lvl1pPr>
          <a:lvl2pPr marL="457200" indent="0" algn="l" defTabSz="914400" rtl="0" eaLnBrk="1" latinLnBrk="0" hangingPunct="1">
            <a:defRPr sz="1800" kern="1200">
              <a:solidFill>
                <a:schemeClr val="tx1"/>
              </a:solidFill>
              <a:latin typeface="+mn-lt"/>
              <a:ea typeface="+mn-ea"/>
              <a:cs typeface="+mn-cs"/>
            </a:defRPr>
          </a:lvl2pPr>
          <a:lvl3pPr marL="914400" indent="0" algn="l" defTabSz="914400" rtl="0" eaLnBrk="1" latinLnBrk="0" hangingPunct="1">
            <a:defRPr sz="1800" kern="1200">
              <a:solidFill>
                <a:schemeClr val="tx1"/>
              </a:solidFill>
              <a:latin typeface="+mn-lt"/>
              <a:ea typeface="+mn-ea"/>
              <a:cs typeface="+mn-cs"/>
            </a:defRPr>
          </a:lvl3pPr>
          <a:lvl4pPr marL="1371600" indent="0" algn="l" defTabSz="914400" rtl="0" eaLnBrk="1" latinLnBrk="0" hangingPunct="1">
            <a:defRPr sz="1800" kern="1200">
              <a:solidFill>
                <a:schemeClr val="tx1"/>
              </a:solidFill>
              <a:latin typeface="+mn-lt"/>
              <a:ea typeface="+mn-ea"/>
              <a:cs typeface="+mn-cs"/>
            </a:defRPr>
          </a:lvl4pPr>
          <a:lvl5pPr marL="1828800" indent="0" algn="l" defTabSz="914400" rtl="0" eaLnBrk="1" latinLnBrk="0" hangingPunct="1">
            <a:defRPr sz="1800" kern="1200">
              <a:solidFill>
                <a:schemeClr val="tx1"/>
              </a:solidFill>
              <a:latin typeface="+mn-lt"/>
              <a:ea typeface="+mn-ea"/>
              <a:cs typeface="+mn-cs"/>
            </a:defRPr>
          </a:lvl5pPr>
          <a:lvl6pPr marL="2286000" indent="0" algn="l" defTabSz="914400" rtl="0" eaLnBrk="1" latinLnBrk="0" hangingPunct="1">
            <a:defRPr sz="1800" kern="1200">
              <a:solidFill>
                <a:schemeClr val="tx1"/>
              </a:solidFill>
              <a:latin typeface="+mn-lt"/>
              <a:ea typeface="+mn-ea"/>
              <a:cs typeface="+mn-cs"/>
            </a:defRPr>
          </a:lvl6pPr>
          <a:lvl7pPr marL="2743200" indent="0" algn="l" defTabSz="914400" rtl="0" eaLnBrk="1" latinLnBrk="0" hangingPunct="1">
            <a:defRPr sz="1800" kern="1200">
              <a:solidFill>
                <a:schemeClr val="tx1"/>
              </a:solidFill>
              <a:latin typeface="+mn-lt"/>
              <a:ea typeface="+mn-ea"/>
              <a:cs typeface="+mn-cs"/>
            </a:defRPr>
          </a:lvl7pPr>
          <a:lvl8pPr marL="3200400" indent="0" algn="l" defTabSz="914400" rtl="0" eaLnBrk="1" latinLnBrk="0" hangingPunct="1">
            <a:defRPr sz="1800" kern="1200">
              <a:solidFill>
                <a:schemeClr val="tx1"/>
              </a:solidFill>
              <a:latin typeface="+mn-lt"/>
              <a:ea typeface="+mn-ea"/>
              <a:cs typeface="+mn-cs"/>
            </a:defRPr>
          </a:lvl8pPr>
          <a:lvl9pPr marL="3657600" indent="0" algn="l" defTabSz="914400" rtl="0" eaLnBrk="1" latinLnBrk="0" hangingPunct="1">
            <a:defRPr sz="1800" kern="1200">
              <a:solidFill>
                <a:schemeClr val="tx1"/>
              </a:solidFill>
              <a:latin typeface="+mn-lt"/>
              <a:ea typeface="+mn-ea"/>
              <a:cs typeface="+mn-cs"/>
            </a:defRPr>
          </a:lvl9pPr>
        </a:lstStyle>
        <a:p xmlns:a="http://schemas.openxmlformats.org/drawingml/2006/main">
          <a:endParaRPr lang="en-IN" b="1" dirty="0">
            <a:solidFill>
              <a:schemeClr val="bg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F9452-1E06-46EF-8791-A8A0D74E6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149</TotalTime>
  <Pages>10</Pages>
  <Words>4810</Words>
  <Characters>27417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32163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69</cp:revision>
  <cp:lastPrinted>1999-07-06T11:00:00Z</cp:lastPrinted>
  <dcterms:created xsi:type="dcterms:W3CDTF">2025-09-18T18:50:00Z</dcterms:created>
  <dcterms:modified xsi:type="dcterms:W3CDTF">2025-10-11T11:59:00Z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e453d9b9-ef5a-498a-9995-aad97c19b7a6</vt:lpwstr>
  </property>
</Properties>
</file>