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78A31" w14:textId="489713B2" w:rsidR="0088264D" w:rsidRDefault="0062717E" w:rsidP="00461A90">
      <w:pPr>
        <w:pStyle w:val="NormalWeb"/>
        <w:spacing w:line="360" w:lineRule="auto"/>
        <w:rPr>
          <w:b/>
          <w:bCs/>
          <w:color w:val="000000" w:themeColor="text1"/>
          <w:sz w:val="32"/>
          <w:szCs w:val="32"/>
          <w:lang w:val="en-US"/>
        </w:rPr>
      </w:pPr>
      <w:r w:rsidRPr="00461A90">
        <w:rPr>
          <w:b/>
          <w:bCs/>
          <w:i/>
          <w:iCs/>
          <w:color w:val="000000" w:themeColor="text1"/>
          <w:sz w:val="32"/>
          <w:szCs w:val="32"/>
          <w:lang w:val="en-US"/>
        </w:rPr>
        <w:t>I</w:t>
      </w:r>
      <w:r w:rsidR="00423186" w:rsidRPr="00461A90">
        <w:rPr>
          <w:b/>
          <w:bCs/>
          <w:i/>
          <w:iCs/>
          <w:color w:val="000000" w:themeColor="text1"/>
          <w:sz w:val="32"/>
          <w:szCs w:val="32"/>
          <w:lang w:val="en-US"/>
        </w:rPr>
        <w:t xml:space="preserve">n-vitro </w:t>
      </w:r>
      <w:r w:rsidR="00423186" w:rsidRPr="00461A90">
        <w:rPr>
          <w:b/>
          <w:bCs/>
          <w:color w:val="000000" w:themeColor="text1"/>
          <w:sz w:val="32"/>
          <w:szCs w:val="32"/>
          <w:lang w:val="en-US"/>
        </w:rPr>
        <w:t>efficacy of fungicid</w:t>
      </w:r>
      <w:r w:rsidRPr="00461A90">
        <w:rPr>
          <w:b/>
          <w:bCs/>
          <w:color w:val="000000" w:themeColor="text1"/>
          <w:sz w:val="32"/>
          <w:szCs w:val="32"/>
          <w:lang w:val="en-US"/>
        </w:rPr>
        <w:t xml:space="preserve">es </w:t>
      </w:r>
      <w:r w:rsidR="00423186" w:rsidRPr="00461A90">
        <w:rPr>
          <w:b/>
          <w:bCs/>
          <w:color w:val="000000" w:themeColor="text1"/>
          <w:sz w:val="32"/>
          <w:szCs w:val="32"/>
          <w:lang w:val="en-US"/>
        </w:rPr>
        <w:t xml:space="preserve">against </w:t>
      </w:r>
      <w:r w:rsidR="00423186" w:rsidRPr="00461A90">
        <w:rPr>
          <w:b/>
          <w:bCs/>
          <w:i/>
          <w:iCs/>
          <w:color w:val="000000" w:themeColor="text1"/>
          <w:sz w:val="32"/>
          <w:szCs w:val="32"/>
          <w:lang w:val="en-US"/>
        </w:rPr>
        <w:t xml:space="preserve">Colletotrichum </w:t>
      </w:r>
      <w:proofErr w:type="spellStart"/>
      <w:r w:rsidR="00423186" w:rsidRPr="00461A90">
        <w:rPr>
          <w:b/>
          <w:bCs/>
          <w:i/>
          <w:iCs/>
          <w:color w:val="000000" w:themeColor="text1"/>
          <w:sz w:val="32"/>
          <w:szCs w:val="32"/>
          <w:lang w:val="en-US"/>
        </w:rPr>
        <w:t>truncatum</w:t>
      </w:r>
      <w:proofErr w:type="spellEnd"/>
      <w:r w:rsidR="00423186" w:rsidRPr="00461A90">
        <w:rPr>
          <w:b/>
          <w:bCs/>
          <w:color w:val="000000" w:themeColor="text1"/>
          <w:sz w:val="32"/>
          <w:szCs w:val="32"/>
          <w:lang w:val="en-US"/>
        </w:rPr>
        <w:t xml:space="preserve"> </w:t>
      </w:r>
      <w:r w:rsidRPr="00461A90">
        <w:rPr>
          <w:b/>
          <w:bCs/>
          <w:color w:val="000000" w:themeColor="text1"/>
          <w:sz w:val="32"/>
          <w:szCs w:val="32"/>
          <w:lang w:val="en-US"/>
        </w:rPr>
        <w:t xml:space="preserve">causing anthracnose </w:t>
      </w:r>
      <w:r w:rsidR="00423186" w:rsidRPr="00461A90">
        <w:rPr>
          <w:b/>
          <w:bCs/>
          <w:color w:val="000000" w:themeColor="text1"/>
          <w:sz w:val="32"/>
          <w:szCs w:val="32"/>
          <w:lang w:val="en-US"/>
        </w:rPr>
        <w:t>of Soybean</w:t>
      </w:r>
    </w:p>
    <w:p w14:paraId="5BAFB45F" w14:textId="77777777" w:rsidR="006145FE" w:rsidRPr="00461A90" w:rsidRDefault="006145FE" w:rsidP="00461A90">
      <w:pPr>
        <w:pStyle w:val="NormalWeb"/>
        <w:spacing w:line="360" w:lineRule="auto"/>
        <w:rPr>
          <w:b/>
          <w:bCs/>
          <w:color w:val="000000" w:themeColor="text1"/>
          <w:sz w:val="32"/>
          <w:szCs w:val="32"/>
          <w:lang w:val="en-US"/>
        </w:rPr>
      </w:pPr>
    </w:p>
    <w:p w14:paraId="71A3FFB5" w14:textId="77777777" w:rsidR="00DC4E2D" w:rsidRPr="00461A90" w:rsidRDefault="00DC4E2D" w:rsidP="00DC4E2D">
      <w:pPr>
        <w:autoSpaceDE w:val="0"/>
        <w:autoSpaceDN w:val="0"/>
        <w:adjustRightInd w:val="0"/>
        <w:spacing w:after="0" w:line="240" w:lineRule="auto"/>
        <w:jc w:val="center"/>
        <w:rPr>
          <w:rFonts w:ascii="Times New Roman" w:hAnsi="Times New Roman" w:cs="Times New Roman"/>
          <w:b/>
          <w:bCs/>
          <w:color w:val="000000" w:themeColor="text1"/>
          <w:sz w:val="24"/>
          <w:szCs w:val="24"/>
          <w:lang w:val="en-US"/>
        </w:rPr>
      </w:pPr>
    </w:p>
    <w:p w14:paraId="0951E29F" w14:textId="1FC6750E" w:rsidR="00423186" w:rsidRPr="00461A90" w:rsidRDefault="00DA6EAF" w:rsidP="0015044A">
      <w:pPr>
        <w:pStyle w:val="NormalWeb"/>
        <w:spacing w:line="360" w:lineRule="auto"/>
        <w:jc w:val="both"/>
        <w:rPr>
          <w:i/>
          <w:iCs/>
          <w:color w:val="000000" w:themeColor="text1"/>
        </w:rPr>
      </w:pPr>
      <w:r w:rsidRPr="00461A90">
        <w:rPr>
          <w:b/>
          <w:bCs/>
          <w:color w:val="000000" w:themeColor="text1"/>
        </w:rPr>
        <w:t>ABSTRACT</w:t>
      </w:r>
      <w:r w:rsidR="005F2B70" w:rsidRPr="00461A90">
        <w:rPr>
          <w:b/>
          <w:bCs/>
          <w:color w:val="000000" w:themeColor="text1"/>
        </w:rPr>
        <w:t>:</w:t>
      </w:r>
      <w:r w:rsidR="005F2B70" w:rsidRPr="00461A90">
        <w:rPr>
          <w:color w:val="000000" w:themeColor="text1"/>
        </w:rPr>
        <w:t xml:space="preserve"> </w:t>
      </w:r>
      <w:r w:rsidR="005F2B70" w:rsidRPr="00461A90">
        <w:rPr>
          <w:color w:val="000000" w:themeColor="text1"/>
          <w:spacing w:val="1"/>
        </w:rPr>
        <w:t>The study assessed the effectiveness of various single and combination fungicides against </w:t>
      </w:r>
      <w:r w:rsidR="00E73619" w:rsidRPr="00461A90">
        <w:rPr>
          <w:i/>
          <w:iCs/>
          <w:color w:val="000000" w:themeColor="text1"/>
          <w:spacing w:val="1"/>
        </w:rPr>
        <w:t xml:space="preserve">C. </w:t>
      </w:r>
      <w:proofErr w:type="spellStart"/>
      <w:r w:rsidR="00E73619" w:rsidRPr="00461A90">
        <w:rPr>
          <w:i/>
          <w:iCs/>
          <w:color w:val="000000" w:themeColor="text1"/>
          <w:spacing w:val="1"/>
        </w:rPr>
        <w:t>truncatum</w:t>
      </w:r>
      <w:proofErr w:type="spellEnd"/>
      <w:r w:rsidR="00DA0D83" w:rsidRPr="00461A90">
        <w:rPr>
          <w:i/>
          <w:iCs/>
          <w:color w:val="000000" w:themeColor="text1"/>
          <w:spacing w:val="1"/>
        </w:rPr>
        <w:t>,</w:t>
      </w:r>
      <w:r w:rsidR="00E73619" w:rsidRPr="00461A90">
        <w:rPr>
          <w:i/>
          <w:iCs/>
          <w:color w:val="000000" w:themeColor="text1"/>
        </w:rPr>
        <w:t xml:space="preserve"> </w:t>
      </w:r>
      <w:r w:rsidR="005F2B70" w:rsidRPr="00461A90">
        <w:rPr>
          <w:color w:val="000000" w:themeColor="text1"/>
          <w:spacing w:val="1"/>
        </w:rPr>
        <w:t xml:space="preserve">the pathogen responsible for soybean anthracnose, using the poisoned food technique under laboratory conditions. </w:t>
      </w:r>
      <w:r w:rsidR="0062717E" w:rsidRPr="00461A90">
        <w:rPr>
          <w:color w:val="000000" w:themeColor="text1"/>
          <w:spacing w:val="1"/>
        </w:rPr>
        <w:t xml:space="preserve">In </w:t>
      </w:r>
      <w:r w:rsidR="005F2B70" w:rsidRPr="00461A90">
        <w:rPr>
          <w:color w:val="000000" w:themeColor="text1"/>
          <w:spacing w:val="1"/>
        </w:rPr>
        <w:t xml:space="preserve">total </w:t>
      </w:r>
      <w:r w:rsidR="0062717E" w:rsidRPr="00461A90">
        <w:rPr>
          <w:color w:val="000000" w:themeColor="text1"/>
          <w:spacing w:val="1"/>
        </w:rPr>
        <w:t xml:space="preserve">a set </w:t>
      </w:r>
      <w:r w:rsidR="005F2B70" w:rsidRPr="00461A90">
        <w:rPr>
          <w:color w:val="000000" w:themeColor="text1"/>
          <w:spacing w:val="1"/>
        </w:rPr>
        <w:t>of twelve fungicides</w:t>
      </w:r>
      <w:r w:rsidR="00DE3BBC" w:rsidRPr="00461A90">
        <w:rPr>
          <w:color w:val="000000" w:themeColor="text1"/>
          <w:spacing w:val="1"/>
        </w:rPr>
        <w:t xml:space="preserve"> </w:t>
      </w:r>
      <w:r w:rsidR="0062717E" w:rsidRPr="00461A90">
        <w:rPr>
          <w:color w:val="000000" w:themeColor="text1"/>
          <w:spacing w:val="1"/>
        </w:rPr>
        <w:t xml:space="preserve">comprising </w:t>
      </w:r>
      <w:r w:rsidR="005F2B70" w:rsidRPr="00461A90">
        <w:rPr>
          <w:color w:val="000000" w:themeColor="text1"/>
          <w:spacing w:val="1"/>
        </w:rPr>
        <w:t>six single-molecule formulations and six combinations</w:t>
      </w:r>
      <w:r w:rsidR="000156C3" w:rsidRPr="00461A90">
        <w:rPr>
          <w:color w:val="000000" w:themeColor="text1"/>
          <w:spacing w:val="1"/>
        </w:rPr>
        <w:t xml:space="preserve"> </w:t>
      </w:r>
      <w:r w:rsidR="005F2B70" w:rsidRPr="00461A90">
        <w:rPr>
          <w:color w:val="000000" w:themeColor="text1"/>
          <w:spacing w:val="1"/>
        </w:rPr>
        <w:t xml:space="preserve">were evaluated at concentrations of 100, 250 and 500 ppm. Results showed significant differences in </w:t>
      </w:r>
      <w:r w:rsidR="0062717E" w:rsidRPr="00461A90">
        <w:rPr>
          <w:color w:val="000000" w:themeColor="text1"/>
          <w:spacing w:val="1"/>
        </w:rPr>
        <w:t xml:space="preserve">inhibition of test pathogen </w:t>
      </w:r>
      <w:r w:rsidR="005F2B70" w:rsidRPr="00461A90">
        <w:rPr>
          <w:color w:val="000000" w:themeColor="text1"/>
          <w:spacing w:val="1"/>
        </w:rPr>
        <w:t xml:space="preserve">among </w:t>
      </w:r>
      <w:r w:rsidR="0062717E" w:rsidRPr="00461A90">
        <w:rPr>
          <w:color w:val="000000" w:themeColor="text1"/>
          <w:spacing w:val="1"/>
        </w:rPr>
        <w:t xml:space="preserve">different </w:t>
      </w:r>
      <w:r w:rsidR="005F2B70" w:rsidRPr="00461A90">
        <w:rPr>
          <w:color w:val="000000" w:themeColor="text1"/>
          <w:spacing w:val="1"/>
        </w:rPr>
        <w:t xml:space="preserve">treatments. Among the single fungicides, carbendazim (50 WP) and tebuconazole (25.9% EC) achieved complete mycelial </w:t>
      </w:r>
      <w:r w:rsidR="0062717E" w:rsidRPr="00461A90">
        <w:rPr>
          <w:color w:val="000000" w:themeColor="text1"/>
          <w:spacing w:val="1"/>
        </w:rPr>
        <w:t xml:space="preserve">growth </w:t>
      </w:r>
      <w:r w:rsidR="005F2B70" w:rsidRPr="00461A90">
        <w:rPr>
          <w:color w:val="000000" w:themeColor="text1"/>
          <w:spacing w:val="1"/>
        </w:rPr>
        <w:t xml:space="preserve">inhibition (100%) at 500 ppm. The mixture of carbendazim (25%) + mancozeb (50% WS) proved most effective overall, fully suppressing fungal growth at both 250 and 500 ppm. Strobilurin-based combinations like metiram + </w:t>
      </w:r>
      <w:proofErr w:type="spellStart"/>
      <w:r w:rsidR="005F2B70" w:rsidRPr="00461A90">
        <w:rPr>
          <w:color w:val="000000" w:themeColor="text1"/>
          <w:spacing w:val="1"/>
        </w:rPr>
        <w:t>pyraclostrobin</w:t>
      </w:r>
      <w:proofErr w:type="spellEnd"/>
      <w:r w:rsidR="005F2B70" w:rsidRPr="00461A90">
        <w:rPr>
          <w:color w:val="000000" w:themeColor="text1"/>
          <w:spacing w:val="1"/>
        </w:rPr>
        <w:t xml:space="preserve"> and </w:t>
      </w:r>
      <w:proofErr w:type="spellStart"/>
      <w:r w:rsidR="005F2B70" w:rsidRPr="00461A90">
        <w:rPr>
          <w:color w:val="000000" w:themeColor="text1"/>
          <w:spacing w:val="1"/>
        </w:rPr>
        <w:t>penflufen</w:t>
      </w:r>
      <w:proofErr w:type="spellEnd"/>
      <w:r w:rsidR="005F2B70" w:rsidRPr="00461A90">
        <w:rPr>
          <w:color w:val="000000" w:themeColor="text1"/>
          <w:spacing w:val="1"/>
        </w:rPr>
        <w:t xml:space="preserve"> + </w:t>
      </w:r>
      <w:proofErr w:type="spellStart"/>
      <w:r w:rsidR="005F2B70" w:rsidRPr="00461A90">
        <w:rPr>
          <w:color w:val="000000" w:themeColor="text1"/>
          <w:spacing w:val="1"/>
        </w:rPr>
        <w:t>trifloxystrobin</w:t>
      </w:r>
      <w:proofErr w:type="spellEnd"/>
      <w:r w:rsidR="005F2B70" w:rsidRPr="00461A90">
        <w:rPr>
          <w:color w:val="000000" w:themeColor="text1"/>
          <w:spacing w:val="1"/>
        </w:rPr>
        <w:t xml:space="preserve"> also demonstrated strong inhibition rates (&gt;80%) at higher doses, whereas carboxin + thiram was the least effective, showing only 49.59% inhibition at 100 ppm. Overall, antifungal activity increased with concentration, with carbendazim + mancozeb standing out as a promising candidate for integrated management strategies, meriting further validation under field conditions.</w:t>
      </w:r>
    </w:p>
    <w:p w14:paraId="3E7C42AC" w14:textId="0F7E3C3F" w:rsidR="00DA0D83" w:rsidRPr="00461A90" w:rsidRDefault="00DA6EAF" w:rsidP="00DA0D83">
      <w:pPr>
        <w:pStyle w:val="NormalWeb"/>
        <w:spacing w:before="0" w:beforeAutospacing="0" w:after="0" w:afterAutospacing="0"/>
        <w:jc w:val="both"/>
        <w:rPr>
          <w:color w:val="000000" w:themeColor="text1"/>
        </w:rPr>
      </w:pPr>
      <w:r w:rsidRPr="00461A90">
        <w:rPr>
          <w:b/>
          <w:bCs/>
          <w:color w:val="000000" w:themeColor="text1"/>
        </w:rPr>
        <w:t>KEYWORDS</w:t>
      </w:r>
      <w:r w:rsidR="005F2B70" w:rsidRPr="00461A90">
        <w:rPr>
          <w:color w:val="000000" w:themeColor="text1"/>
        </w:rPr>
        <w:t xml:space="preserve">: </w:t>
      </w:r>
      <w:r w:rsidR="00DA0D83" w:rsidRPr="00461A90">
        <w:rPr>
          <w:color w:val="000000" w:themeColor="text1"/>
        </w:rPr>
        <w:t xml:space="preserve">Soybean, </w:t>
      </w:r>
      <w:r w:rsidR="00CD6E2D" w:rsidRPr="00461A90">
        <w:rPr>
          <w:color w:val="000000" w:themeColor="text1"/>
        </w:rPr>
        <w:t>Anthracnose,</w:t>
      </w:r>
      <w:r w:rsidR="00CD6E2D" w:rsidRPr="00461A90">
        <w:rPr>
          <w:rStyle w:val="Emphasis"/>
          <w:color w:val="000000" w:themeColor="text1"/>
        </w:rPr>
        <w:t xml:space="preserve"> </w:t>
      </w:r>
      <w:r w:rsidR="005F2B70" w:rsidRPr="00461A90">
        <w:rPr>
          <w:rStyle w:val="Emphasis"/>
          <w:color w:val="000000" w:themeColor="text1"/>
        </w:rPr>
        <w:t xml:space="preserve">Colletotrichum </w:t>
      </w:r>
      <w:proofErr w:type="spellStart"/>
      <w:r w:rsidR="005F2B70" w:rsidRPr="00461A90">
        <w:rPr>
          <w:rStyle w:val="Emphasis"/>
          <w:color w:val="000000" w:themeColor="text1"/>
        </w:rPr>
        <w:t>truncatum</w:t>
      </w:r>
      <w:proofErr w:type="spellEnd"/>
      <w:r w:rsidR="005F2B70" w:rsidRPr="00461A90">
        <w:rPr>
          <w:color w:val="000000" w:themeColor="text1"/>
        </w:rPr>
        <w:t xml:space="preserve">, </w:t>
      </w:r>
      <w:r w:rsidR="00CD6E2D" w:rsidRPr="00461A90">
        <w:rPr>
          <w:color w:val="000000" w:themeColor="text1"/>
        </w:rPr>
        <w:t xml:space="preserve">Fungicides, </w:t>
      </w:r>
    </w:p>
    <w:p w14:paraId="4E09C441" w14:textId="0ED386D5" w:rsidR="002A7A90" w:rsidRPr="00461A90" w:rsidRDefault="00DA6EAF" w:rsidP="00DA6EAF">
      <w:pPr>
        <w:pStyle w:val="NormalWeb"/>
        <w:spacing w:before="240" w:beforeAutospacing="0" w:after="0" w:afterAutospacing="0" w:line="360" w:lineRule="auto"/>
        <w:jc w:val="both"/>
        <w:rPr>
          <w:color w:val="000000" w:themeColor="text1"/>
        </w:rPr>
      </w:pPr>
      <w:r w:rsidRPr="00461A90">
        <w:rPr>
          <w:b/>
          <w:bCs/>
          <w:color w:val="000000" w:themeColor="text1"/>
        </w:rPr>
        <w:t>INTRODUCTION</w:t>
      </w:r>
      <w:r w:rsidR="005F2B70" w:rsidRPr="00461A90">
        <w:rPr>
          <w:color w:val="000000" w:themeColor="text1"/>
        </w:rPr>
        <w:t xml:space="preserve">: </w:t>
      </w:r>
      <w:r w:rsidR="002A7A90" w:rsidRPr="00461A90">
        <w:rPr>
          <w:color w:val="000000" w:themeColor="text1"/>
          <w:spacing w:val="1"/>
        </w:rPr>
        <w:t>Soybean (</w:t>
      </w:r>
      <w:r w:rsidR="002A7A90" w:rsidRPr="00461A90">
        <w:rPr>
          <w:i/>
          <w:iCs/>
          <w:color w:val="000000" w:themeColor="text1"/>
          <w:spacing w:val="1"/>
        </w:rPr>
        <w:t>Glycine max</w:t>
      </w:r>
      <w:r w:rsidR="002A7A90" w:rsidRPr="00461A90">
        <w:rPr>
          <w:color w:val="000000" w:themeColor="text1"/>
          <w:spacing w:val="1"/>
        </w:rPr>
        <w:t xml:space="preserve">) is a vital global oilseed crop, highly valued for its nutritional content and wide industrial uses. It contains roughly 42% protein and 20% oil, along with beneficial compounds like isoflavones, dietary </w:t>
      </w:r>
      <w:proofErr w:type="spellStart"/>
      <w:r w:rsidR="002A7A90" w:rsidRPr="00461A90">
        <w:rPr>
          <w:color w:val="000000" w:themeColor="text1"/>
          <w:spacing w:val="1"/>
        </w:rPr>
        <w:t>fiber</w:t>
      </w:r>
      <w:proofErr w:type="spellEnd"/>
      <w:r w:rsidR="002A7A90" w:rsidRPr="00461A90">
        <w:rPr>
          <w:color w:val="000000" w:themeColor="text1"/>
          <w:spacing w:val="1"/>
        </w:rPr>
        <w:t xml:space="preserve">, and omega-3 fatty acids, making it a digestible and cost-effective plant-based protein source (Masuda and Goldsmith, 2009; </w:t>
      </w:r>
      <w:proofErr w:type="spellStart"/>
      <w:r w:rsidR="002A7A90" w:rsidRPr="00461A90">
        <w:rPr>
          <w:color w:val="000000" w:themeColor="text1"/>
          <w:spacing w:val="1"/>
        </w:rPr>
        <w:t>Guzeler</w:t>
      </w:r>
      <w:proofErr w:type="spellEnd"/>
      <w:r w:rsidR="002A7A90" w:rsidRPr="00461A90">
        <w:rPr>
          <w:color w:val="000000" w:themeColor="text1"/>
          <w:spacing w:val="1"/>
        </w:rPr>
        <w:t xml:space="preserve"> and Yildirim, 2016). In India, large-scale soybean farming started in the early 1970s and has since become a key part of the agricultural economy. Despite its importance, soybean is highly susceptible to anthracnose, mainly caused by the fungus </w:t>
      </w:r>
      <w:r w:rsidR="002A7A90" w:rsidRPr="00461A90">
        <w:rPr>
          <w:i/>
          <w:color w:val="000000" w:themeColor="text1"/>
          <w:spacing w:val="1"/>
        </w:rPr>
        <w:t xml:space="preserve">Colletotrichum </w:t>
      </w:r>
      <w:proofErr w:type="spellStart"/>
      <w:r w:rsidR="002A7A90" w:rsidRPr="00461A90">
        <w:rPr>
          <w:i/>
          <w:color w:val="000000" w:themeColor="text1"/>
          <w:spacing w:val="1"/>
        </w:rPr>
        <w:t>truncatum</w:t>
      </w:r>
      <w:proofErr w:type="spellEnd"/>
      <w:r w:rsidR="002A7A90" w:rsidRPr="00461A90">
        <w:rPr>
          <w:color w:val="000000" w:themeColor="text1"/>
          <w:spacing w:val="1"/>
        </w:rPr>
        <w:t>, recognized as one of the most damaging diseases. Reported yield losses range from 16 to 26% (B</w:t>
      </w:r>
      <w:r w:rsidR="007D48DB" w:rsidRPr="00461A90">
        <w:rPr>
          <w:color w:val="000000" w:themeColor="text1"/>
          <w:spacing w:val="1"/>
        </w:rPr>
        <w:t>e</w:t>
      </w:r>
      <w:r w:rsidR="002A7A90" w:rsidRPr="00461A90">
        <w:rPr>
          <w:color w:val="000000" w:themeColor="text1"/>
          <w:spacing w:val="1"/>
        </w:rPr>
        <w:t xml:space="preserve">ckman </w:t>
      </w:r>
      <w:r w:rsidR="00986009" w:rsidRPr="00986009">
        <w:rPr>
          <w:i/>
          <w:iCs/>
          <w:color w:val="000000" w:themeColor="text1"/>
          <w:spacing w:val="1"/>
        </w:rPr>
        <w:t>et al</w:t>
      </w:r>
      <w:r w:rsidR="002A7A90" w:rsidRPr="00461A90">
        <w:rPr>
          <w:color w:val="000000" w:themeColor="text1"/>
          <w:spacing w:val="1"/>
        </w:rPr>
        <w:t xml:space="preserve">., 1982), and even a 1% increase in disease incidence can lower yields by almost 90 kg/ha (Dias </w:t>
      </w:r>
      <w:r w:rsidR="00986009" w:rsidRPr="00986009">
        <w:rPr>
          <w:i/>
          <w:iCs/>
          <w:color w:val="000000" w:themeColor="text1"/>
          <w:spacing w:val="1"/>
        </w:rPr>
        <w:t>et al</w:t>
      </w:r>
      <w:r w:rsidR="002A7A90" w:rsidRPr="00461A90">
        <w:rPr>
          <w:color w:val="000000" w:themeColor="text1"/>
          <w:spacing w:val="1"/>
        </w:rPr>
        <w:t>., 2016). This disease, first identified in Korea in 1917 (</w:t>
      </w:r>
      <w:proofErr w:type="spellStart"/>
      <w:r w:rsidR="002A7A90" w:rsidRPr="00461A90">
        <w:rPr>
          <w:color w:val="000000" w:themeColor="text1"/>
          <w:spacing w:val="1"/>
        </w:rPr>
        <w:t>Latunde</w:t>
      </w:r>
      <w:proofErr w:type="spellEnd"/>
      <w:r w:rsidR="002A7A90" w:rsidRPr="00461A90">
        <w:rPr>
          <w:color w:val="000000" w:themeColor="text1"/>
          <w:spacing w:val="1"/>
        </w:rPr>
        <w:t xml:space="preserve">, 2001) and later in India by Srivastava and Nene (1971), is now widespread. It </w:t>
      </w:r>
      <w:r w:rsidR="002A7A90" w:rsidRPr="00461A90">
        <w:rPr>
          <w:color w:val="000000" w:themeColor="text1"/>
          <w:spacing w:val="1"/>
        </w:rPr>
        <w:lastRenderedPageBreak/>
        <w:t xml:space="preserve">spreads via seeds and can infect soybeans at any growth stage, with pod blight causing the most severe damage (Vyas </w:t>
      </w:r>
      <w:r w:rsidR="00986009" w:rsidRPr="00986009">
        <w:rPr>
          <w:i/>
          <w:iCs/>
          <w:color w:val="000000" w:themeColor="text1"/>
          <w:spacing w:val="1"/>
        </w:rPr>
        <w:t>et al</w:t>
      </w:r>
      <w:r w:rsidR="002A7A90" w:rsidRPr="00461A90">
        <w:rPr>
          <w:color w:val="000000" w:themeColor="text1"/>
          <w:spacing w:val="1"/>
        </w:rPr>
        <w:t xml:space="preserve">., 1997). Symptoms include dead lesions, early leaf drop, and seeds that are </w:t>
      </w:r>
      <w:r w:rsidR="0062717E" w:rsidRPr="00461A90">
        <w:rPr>
          <w:color w:val="000000" w:themeColor="text1"/>
          <w:spacing w:val="1"/>
        </w:rPr>
        <w:t>shrivelled</w:t>
      </w:r>
      <w:r w:rsidR="002A7A90" w:rsidRPr="00461A90">
        <w:rPr>
          <w:color w:val="000000" w:themeColor="text1"/>
          <w:spacing w:val="1"/>
        </w:rPr>
        <w:t xml:space="preserve"> or </w:t>
      </w:r>
      <w:proofErr w:type="spellStart"/>
      <w:r w:rsidR="002A7A90" w:rsidRPr="00461A90">
        <w:rPr>
          <w:color w:val="000000" w:themeColor="text1"/>
          <w:spacing w:val="1"/>
        </w:rPr>
        <w:t>moldy</w:t>
      </w:r>
      <w:proofErr w:type="spellEnd"/>
      <w:r w:rsidR="002A7A90" w:rsidRPr="00461A90">
        <w:rPr>
          <w:color w:val="000000" w:themeColor="text1"/>
          <w:spacing w:val="1"/>
        </w:rPr>
        <w:t xml:space="preserve"> (Yang and Hartman, 2015). Disease development is </w:t>
      </w:r>
      <w:r w:rsidR="00DA0D83" w:rsidRPr="00461A90">
        <w:rPr>
          <w:color w:val="000000" w:themeColor="text1"/>
          <w:spacing w:val="1"/>
        </w:rPr>
        <w:t>favoured</w:t>
      </w:r>
      <w:r w:rsidR="002A7A90" w:rsidRPr="00461A90">
        <w:rPr>
          <w:color w:val="000000" w:themeColor="text1"/>
          <w:spacing w:val="1"/>
        </w:rPr>
        <w:t xml:space="preserve"> by warm, humid conditions around 35°C (Sharma </w:t>
      </w:r>
      <w:r w:rsidR="00986009" w:rsidRPr="00986009">
        <w:rPr>
          <w:i/>
          <w:iCs/>
          <w:color w:val="000000" w:themeColor="text1"/>
          <w:spacing w:val="1"/>
        </w:rPr>
        <w:t>et al</w:t>
      </w:r>
      <w:r w:rsidR="002A7A90" w:rsidRPr="00461A90">
        <w:rPr>
          <w:color w:val="000000" w:themeColor="text1"/>
          <w:spacing w:val="1"/>
        </w:rPr>
        <w:t>., 20</w:t>
      </w:r>
      <w:r w:rsidR="00B9407C" w:rsidRPr="00461A90">
        <w:rPr>
          <w:color w:val="000000" w:themeColor="text1"/>
          <w:spacing w:val="1"/>
        </w:rPr>
        <w:t>20</w:t>
      </w:r>
      <w:r w:rsidR="002A7A90" w:rsidRPr="00461A90">
        <w:rPr>
          <w:color w:val="000000" w:themeColor="text1"/>
          <w:spacing w:val="1"/>
        </w:rPr>
        <w:t>).</w:t>
      </w:r>
      <w:r w:rsidR="0062717E" w:rsidRPr="00461A90">
        <w:rPr>
          <w:color w:val="000000" w:themeColor="text1"/>
          <w:spacing w:val="1"/>
        </w:rPr>
        <w:t xml:space="preserve"> </w:t>
      </w:r>
    </w:p>
    <w:p w14:paraId="67BADCD5" w14:textId="647FA0B5" w:rsidR="002A7A90" w:rsidRPr="00461A90" w:rsidRDefault="002A7A90" w:rsidP="0062717E">
      <w:pPr>
        <w:pStyle w:val="NormalWeb"/>
        <w:spacing w:line="360" w:lineRule="auto"/>
        <w:ind w:firstLine="720"/>
        <w:jc w:val="both"/>
        <w:rPr>
          <w:color w:val="000000" w:themeColor="text1"/>
          <w:spacing w:val="1"/>
        </w:rPr>
      </w:pPr>
      <w:r w:rsidRPr="00461A90">
        <w:rPr>
          <w:color w:val="000000" w:themeColor="text1"/>
          <w:spacing w:val="1"/>
        </w:rPr>
        <w:t xml:space="preserve">While chemical fungicides are commonly used to control anthracnose, their prolonged use raises concerns about resistance, environmental impact, and human health. Developing resistant soybean varieties is seen as the best alternative, but no cultivar has achieved complete immunity, and resistance often fails within a few years (Dias </w:t>
      </w:r>
      <w:r w:rsidR="00986009" w:rsidRPr="00986009">
        <w:rPr>
          <w:i/>
          <w:iCs/>
          <w:color w:val="000000" w:themeColor="text1"/>
          <w:spacing w:val="1"/>
        </w:rPr>
        <w:t>et al</w:t>
      </w:r>
      <w:r w:rsidRPr="00461A90">
        <w:rPr>
          <w:color w:val="000000" w:themeColor="text1"/>
          <w:spacing w:val="1"/>
        </w:rPr>
        <w:t>., 2018).</w:t>
      </w:r>
      <w:r w:rsidR="00F803D0" w:rsidRPr="00461A90">
        <w:rPr>
          <w:color w:val="000000" w:themeColor="text1"/>
          <w:spacing w:val="1"/>
        </w:rPr>
        <w:t xml:space="preserve"> </w:t>
      </w:r>
      <w:r w:rsidRPr="00461A90">
        <w:rPr>
          <w:color w:val="000000" w:themeColor="text1"/>
          <w:spacing w:val="1"/>
        </w:rPr>
        <w:t>Given these challenges,</w:t>
      </w:r>
      <w:r w:rsidR="0012507F" w:rsidRPr="00461A90">
        <w:rPr>
          <w:color w:val="000000" w:themeColor="text1"/>
          <w:spacing w:val="1"/>
        </w:rPr>
        <w:t xml:space="preserve"> </w:t>
      </w:r>
      <w:r w:rsidR="0012507F" w:rsidRPr="00461A90">
        <w:rPr>
          <w:color w:val="000000" w:themeColor="text1"/>
        </w:rPr>
        <w:t xml:space="preserve">fungicide applications </w:t>
      </w:r>
      <w:proofErr w:type="gramStart"/>
      <w:r w:rsidR="0012507F" w:rsidRPr="00461A90">
        <w:rPr>
          <w:color w:val="000000" w:themeColor="text1"/>
        </w:rPr>
        <w:t>appears</w:t>
      </w:r>
      <w:proofErr w:type="gramEnd"/>
      <w:r w:rsidR="0012507F" w:rsidRPr="00461A90">
        <w:rPr>
          <w:color w:val="000000" w:themeColor="text1"/>
        </w:rPr>
        <w:t xml:space="preserve"> to be the most widely adopted and direct approach for managing anthracnose in soybean</w:t>
      </w:r>
      <w:r w:rsidR="0012507F" w:rsidRPr="00461A90">
        <w:rPr>
          <w:color w:val="000000" w:themeColor="text1"/>
          <w:spacing w:val="1"/>
        </w:rPr>
        <w:t>,</w:t>
      </w:r>
    </w:p>
    <w:p w14:paraId="2A79BDAD" w14:textId="55D83C70" w:rsidR="00661F5A" w:rsidRPr="00461A90" w:rsidRDefault="00DA6EAF" w:rsidP="004E1A12">
      <w:pPr>
        <w:pStyle w:val="NormalWeb"/>
        <w:spacing w:line="360" w:lineRule="auto"/>
        <w:jc w:val="both"/>
        <w:rPr>
          <w:color w:val="000000" w:themeColor="text1"/>
        </w:rPr>
      </w:pPr>
      <w:r w:rsidRPr="00461A90">
        <w:rPr>
          <w:b/>
          <w:bCs/>
          <w:color w:val="000000" w:themeColor="text1"/>
        </w:rPr>
        <w:t>METHODOLOGY</w:t>
      </w:r>
      <w:r w:rsidR="0015044A" w:rsidRPr="00461A90">
        <w:rPr>
          <w:color w:val="000000" w:themeColor="text1"/>
        </w:rPr>
        <w:t xml:space="preserve">: </w:t>
      </w:r>
      <w:r w:rsidR="00A97BE7" w:rsidRPr="00461A90">
        <w:rPr>
          <w:color w:val="000000" w:themeColor="text1"/>
        </w:rPr>
        <w:t xml:space="preserve">The poisoned food technique (Nene and Thapliyal, 1993) was employed to evaluate the efficacy of fungicides against </w:t>
      </w:r>
      <w:r w:rsidR="00A97BE7" w:rsidRPr="00461A90">
        <w:rPr>
          <w:i/>
          <w:iCs/>
          <w:color w:val="000000" w:themeColor="text1"/>
        </w:rPr>
        <w:t xml:space="preserve">C. </w:t>
      </w:r>
      <w:proofErr w:type="spellStart"/>
      <w:r w:rsidR="00A97BE7" w:rsidRPr="00461A90">
        <w:rPr>
          <w:i/>
          <w:iCs/>
          <w:color w:val="000000" w:themeColor="text1"/>
        </w:rPr>
        <w:t>truncatum</w:t>
      </w:r>
      <w:proofErr w:type="spellEnd"/>
      <w:r w:rsidR="00A97BE7" w:rsidRPr="00461A90">
        <w:rPr>
          <w:color w:val="000000" w:themeColor="text1"/>
        </w:rPr>
        <w:t xml:space="preserve"> under laboratory conditions. A total of twelve fungicides, comprising six single-compound formulations and six combinations, were tested at concentrations of 100, 250, and 500 ppm by incorporating the required amount into molten PDA. The single-compound fungicides included propiconazole 25% EC, hexaconazole 5% SC, tebuconazole 25.9% w/w EC, carbendazim 50% WP, mancozeb 75% WP and </w:t>
      </w:r>
      <w:proofErr w:type="spellStart"/>
      <w:r w:rsidR="00A97BE7" w:rsidRPr="00461A90">
        <w:rPr>
          <w:color w:val="000000" w:themeColor="text1"/>
        </w:rPr>
        <w:t>pyraclostrobin</w:t>
      </w:r>
      <w:proofErr w:type="spellEnd"/>
      <w:r w:rsidR="00A97BE7" w:rsidRPr="00461A90">
        <w:rPr>
          <w:color w:val="000000" w:themeColor="text1"/>
        </w:rPr>
        <w:t xml:space="preserve"> 20% WG. The combination fungicides consisted of metiram 55% + </w:t>
      </w:r>
      <w:proofErr w:type="spellStart"/>
      <w:r w:rsidR="00A97BE7" w:rsidRPr="00461A90">
        <w:rPr>
          <w:color w:val="000000" w:themeColor="text1"/>
        </w:rPr>
        <w:t>pyraclostrobin</w:t>
      </w:r>
      <w:proofErr w:type="spellEnd"/>
      <w:r w:rsidR="00A97BE7" w:rsidRPr="00461A90">
        <w:rPr>
          <w:color w:val="000000" w:themeColor="text1"/>
        </w:rPr>
        <w:t xml:space="preserve"> 5% WG, carboxin 37.5% + thiram 37.5% WS, carbendazim 25% + mancozeb 50% WS, thiophanate methyl 450 + </w:t>
      </w:r>
      <w:proofErr w:type="spellStart"/>
      <w:r w:rsidR="00A97BE7" w:rsidRPr="00461A90">
        <w:rPr>
          <w:color w:val="000000" w:themeColor="text1"/>
        </w:rPr>
        <w:t>pyraclostrobin</w:t>
      </w:r>
      <w:proofErr w:type="spellEnd"/>
      <w:r w:rsidR="00A97BE7" w:rsidRPr="00461A90">
        <w:rPr>
          <w:color w:val="000000" w:themeColor="text1"/>
        </w:rPr>
        <w:t xml:space="preserve"> 50 G/L (w/v) FS, </w:t>
      </w:r>
      <w:proofErr w:type="spellStart"/>
      <w:r w:rsidR="00A97BE7" w:rsidRPr="00461A90">
        <w:rPr>
          <w:color w:val="000000" w:themeColor="text1"/>
        </w:rPr>
        <w:t>penflufen</w:t>
      </w:r>
      <w:proofErr w:type="spellEnd"/>
      <w:r w:rsidR="00A97BE7" w:rsidRPr="00461A90">
        <w:rPr>
          <w:color w:val="000000" w:themeColor="text1"/>
        </w:rPr>
        <w:t xml:space="preserve"> 13.28% w/w + </w:t>
      </w:r>
      <w:proofErr w:type="spellStart"/>
      <w:r w:rsidR="00A97BE7" w:rsidRPr="00461A90">
        <w:rPr>
          <w:color w:val="000000" w:themeColor="text1"/>
        </w:rPr>
        <w:t>trifloxystrobin</w:t>
      </w:r>
      <w:proofErr w:type="spellEnd"/>
      <w:r w:rsidR="00A97BE7" w:rsidRPr="00461A90">
        <w:rPr>
          <w:color w:val="000000" w:themeColor="text1"/>
        </w:rPr>
        <w:t xml:space="preserve"> 13.28% w/w FS and azoxystrobin 11% + tebuconazole 18.3% SC. Mycelial discs (5 mm) from 10</w:t>
      </w:r>
      <w:r w:rsidR="00DA0D83" w:rsidRPr="00461A90">
        <w:rPr>
          <w:color w:val="000000" w:themeColor="text1"/>
        </w:rPr>
        <w:t xml:space="preserve"> </w:t>
      </w:r>
      <w:r w:rsidR="00A97BE7" w:rsidRPr="00461A90">
        <w:rPr>
          <w:color w:val="000000" w:themeColor="text1"/>
        </w:rPr>
        <w:t>day</w:t>
      </w:r>
      <w:r w:rsidR="00DA0D83" w:rsidRPr="00461A90">
        <w:rPr>
          <w:color w:val="000000" w:themeColor="text1"/>
        </w:rPr>
        <w:t xml:space="preserve"> </w:t>
      </w:r>
      <w:r w:rsidR="00A97BE7" w:rsidRPr="00461A90">
        <w:rPr>
          <w:color w:val="000000" w:themeColor="text1"/>
        </w:rPr>
        <w:t xml:space="preserve">old cultures of </w:t>
      </w:r>
      <w:r w:rsidR="00A97BE7" w:rsidRPr="00461A90">
        <w:rPr>
          <w:i/>
          <w:iCs/>
          <w:color w:val="000000" w:themeColor="text1"/>
        </w:rPr>
        <w:t xml:space="preserve">C. </w:t>
      </w:r>
      <w:proofErr w:type="spellStart"/>
      <w:r w:rsidR="00A97BE7" w:rsidRPr="00461A90">
        <w:rPr>
          <w:i/>
          <w:iCs/>
          <w:color w:val="000000" w:themeColor="text1"/>
        </w:rPr>
        <w:t>truncatum</w:t>
      </w:r>
      <w:proofErr w:type="spellEnd"/>
      <w:r w:rsidR="00A97BE7" w:rsidRPr="00461A90">
        <w:rPr>
          <w:color w:val="000000" w:themeColor="text1"/>
        </w:rPr>
        <w:t xml:space="preserve"> were placed at the </w:t>
      </w:r>
      <w:r w:rsidR="00DA0D83" w:rsidRPr="00461A90">
        <w:rPr>
          <w:color w:val="000000" w:themeColor="text1"/>
        </w:rPr>
        <w:t>centre</w:t>
      </w:r>
      <w:r w:rsidR="00A97BE7" w:rsidRPr="00461A90">
        <w:rPr>
          <w:color w:val="000000" w:themeColor="text1"/>
        </w:rPr>
        <w:t xml:space="preserve"> of the amended plates, while plates without fungicide served as control. Each treatment was replicated thrice in a Completely Randomized Design (CRD). The inoculated plates were incubated at 27 ± 2°C and radial mycelial growth was recorded on the 3</w:t>
      </w:r>
      <w:r w:rsidR="00A97BE7" w:rsidRPr="00461A90">
        <w:rPr>
          <w:color w:val="000000" w:themeColor="text1"/>
          <w:vertAlign w:val="superscript"/>
        </w:rPr>
        <w:t>rd</w:t>
      </w:r>
      <w:r w:rsidR="00A97BE7" w:rsidRPr="00461A90">
        <w:rPr>
          <w:color w:val="000000" w:themeColor="text1"/>
        </w:rPr>
        <w:t>, 5</w:t>
      </w:r>
      <w:r w:rsidR="00A97BE7" w:rsidRPr="00461A90">
        <w:rPr>
          <w:color w:val="000000" w:themeColor="text1"/>
          <w:vertAlign w:val="superscript"/>
        </w:rPr>
        <w:t>th</w:t>
      </w:r>
      <w:r w:rsidR="00A97BE7" w:rsidRPr="00461A90">
        <w:rPr>
          <w:color w:val="000000" w:themeColor="text1"/>
        </w:rPr>
        <w:t xml:space="preserve"> and 7</w:t>
      </w:r>
      <w:r w:rsidR="00A97BE7" w:rsidRPr="00461A90">
        <w:rPr>
          <w:color w:val="000000" w:themeColor="text1"/>
          <w:vertAlign w:val="superscript"/>
        </w:rPr>
        <w:t>th</w:t>
      </w:r>
      <w:r w:rsidR="00A97BE7" w:rsidRPr="00461A90">
        <w:rPr>
          <w:color w:val="000000" w:themeColor="text1"/>
        </w:rPr>
        <w:t xml:space="preserve"> day. Per cent inhibition of mycelial growth over control was calculated using Vincent’s formula (1947).</w:t>
      </w:r>
      <w:r w:rsidR="009E76F0" w:rsidRPr="00461A90">
        <w:rPr>
          <w:color w:val="000000" w:themeColor="text1"/>
        </w:rPr>
        <w:t xml:space="preserve"> </w:t>
      </w:r>
    </w:p>
    <w:p w14:paraId="3D42BE6E" w14:textId="77777777" w:rsidR="002F658E" w:rsidRPr="00461A90" w:rsidRDefault="002F658E" w:rsidP="002F658E">
      <w:pPr>
        <w:pStyle w:val="NormalWeb"/>
        <w:spacing w:line="360" w:lineRule="auto"/>
        <w:jc w:val="both"/>
        <w:rPr>
          <w:rFonts w:eastAsia="Arial"/>
          <w:bCs/>
          <w:color w:val="000000" w:themeColor="text1"/>
        </w:rPr>
      </w:pPr>
      <m:oMathPara>
        <m:oMath>
          <m:r>
            <w:rPr>
              <w:rFonts w:ascii="Cambria Math" w:hAnsi="Cambria Math"/>
              <w:color w:val="000000" w:themeColor="text1"/>
              <w:lang w:val="en-US"/>
            </w:rPr>
            <m:t>PI=</m:t>
          </m:r>
          <m:f>
            <m:fPr>
              <m:ctrlPr>
                <w:rPr>
                  <w:rFonts w:ascii="Cambria Math" w:hAnsi="Cambria Math"/>
                  <w:i/>
                  <w:color w:val="000000" w:themeColor="text1"/>
                  <w:lang w:val="en-US"/>
                </w:rPr>
              </m:ctrlPr>
            </m:fPr>
            <m:num>
              <m:r>
                <w:rPr>
                  <w:rFonts w:ascii="Cambria Math" w:hAnsi="Cambria Math"/>
                  <w:color w:val="000000" w:themeColor="text1"/>
                  <w:lang w:val="en-US"/>
                </w:rPr>
                <m:t>C -T</m:t>
              </m:r>
            </m:num>
            <m:den>
              <m:r>
                <w:rPr>
                  <w:rFonts w:ascii="Cambria Math" w:hAnsi="Cambria Math"/>
                  <w:color w:val="000000" w:themeColor="text1"/>
                  <w:lang w:val="en-US"/>
                </w:rPr>
                <m:t>C</m:t>
              </m:r>
            </m:den>
          </m:f>
          <m:r>
            <w:rPr>
              <w:rFonts w:ascii="Cambria Math" w:hAnsi="Cambria Math"/>
              <w:color w:val="000000" w:themeColor="text1"/>
              <w:lang w:val="en-US"/>
            </w:rPr>
            <m:t xml:space="preserve"> × 100</m:t>
          </m:r>
        </m:oMath>
      </m:oMathPara>
    </w:p>
    <w:p w14:paraId="44904878" w14:textId="77777777" w:rsidR="002F658E" w:rsidRPr="00461A90" w:rsidRDefault="002F658E" w:rsidP="002F658E">
      <w:pPr>
        <w:spacing w:after="240" w:line="360" w:lineRule="auto"/>
        <w:jc w:val="both"/>
        <w:rPr>
          <w:rFonts w:ascii="Times New Roman" w:hAnsi="Times New Roman" w:cs="Times New Roman"/>
          <w:color w:val="000000" w:themeColor="text1"/>
          <w:lang w:val="en-GB"/>
        </w:rPr>
      </w:pPr>
      <w:r w:rsidRPr="00461A90">
        <w:rPr>
          <w:rFonts w:ascii="Times New Roman" w:hAnsi="Times New Roman" w:cs="Times New Roman"/>
          <w:color w:val="000000" w:themeColor="text1"/>
          <w:lang w:val="en-GB"/>
        </w:rPr>
        <w:t>Where,</w:t>
      </w:r>
    </w:p>
    <w:tbl>
      <w:tblPr>
        <w:tblStyle w:val="TableGrid"/>
        <w:tblW w:w="765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352"/>
        <w:gridCol w:w="6742"/>
      </w:tblGrid>
      <w:tr w:rsidR="00461A90" w:rsidRPr="00461A90" w14:paraId="19288EBC" w14:textId="77777777" w:rsidTr="003174E0">
        <w:tc>
          <w:tcPr>
            <w:tcW w:w="561" w:type="dxa"/>
          </w:tcPr>
          <w:p w14:paraId="6E38FA82" w14:textId="77777777" w:rsidR="002F658E" w:rsidRPr="00461A90" w:rsidRDefault="002F658E" w:rsidP="003174E0">
            <w:pPr>
              <w:spacing w:before="60" w:after="60" w:line="276" w:lineRule="auto"/>
              <w:jc w:val="both"/>
              <w:rPr>
                <w:rFonts w:ascii="Times New Roman" w:hAnsi="Times New Roman" w:cs="Times New Roman"/>
                <w:b/>
                <w:bCs/>
                <w:color w:val="000000" w:themeColor="text1"/>
                <w:sz w:val="24"/>
                <w:szCs w:val="24"/>
                <w:lang w:val="en-GB"/>
              </w:rPr>
            </w:pPr>
            <w:r w:rsidRPr="00461A90">
              <w:rPr>
                <w:rFonts w:ascii="Times New Roman" w:hAnsi="Times New Roman" w:cs="Times New Roman"/>
                <w:b/>
                <w:bCs/>
                <w:color w:val="000000" w:themeColor="text1"/>
                <w:sz w:val="24"/>
                <w:szCs w:val="24"/>
                <w:lang w:val="en-GB"/>
              </w:rPr>
              <w:t>PI</w:t>
            </w:r>
          </w:p>
        </w:tc>
        <w:tc>
          <w:tcPr>
            <w:tcW w:w="345" w:type="dxa"/>
          </w:tcPr>
          <w:p w14:paraId="1AEF420B"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w:t>
            </w:r>
          </w:p>
        </w:tc>
        <w:tc>
          <w:tcPr>
            <w:tcW w:w="6749" w:type="dxa"/>
          </w:tcPr>
          <w:p w14:paraId="67C55A5D"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Per cent inhibition</w:t>
            </w:r>
          </w:p>
        </w:tc>
      </w:tr>
      <w:tr w:rsidR="00461A90" w:rsidRPr="00461A90" w14:paraId="5255236A" w14:textId="77777777" w:rsidTr="003174E0">
        <w:tc>
          <w:tcPr>
            <w:tcW w:w="561" w:type="dxa"/>
          </w:tcPr>
          <w:p w14:paraId="43F879D2" w14:textId="77777777" w:rsidR="002F658E" w:rsidRPr="00461A90" w:rsidRDefault="002F658E" w:rsidP="003174E0">
            <w:pPr>
              <w:spacing w:before="60" w:after="60" w:line="276" w:lineRule="auto"/>
              <w:jc w:val="both"/>
              <w:rPr>
                <w:rFonts w:ascii="Times New Roman" w:hAnsi="Times New Roman" w:cs="Times New Roman"/>
                <w:b/>
                <w:bCs/>
                <w:color w:val="000000" w:themeColor="text1"/>
                <w:sz w:val="24"/>
                <w:szCs w:val="24"/>
                <w:lang w:val="en-GB"/>
              </w:rPr>
            </w:pPr>
            <w:r w:rsidRPr="00461A90">
              <w:rPr>
                <w:rFonts w:ascii="Times New Roman" w:hAnsi="Times New Roman" w:cs="Times New Roman"/>
                <w:b/>
                <w:bCs/>
                <w:color w:val="000000" w:themeColor="text1"/>
                <w:sz w:val="24"/>
                <w:szCs w:val="24"/>
                <w:lang w:val="en-GB"/>
              </w:rPr>
              <w:t>C</w:t>
            </w:r>
          </w:p>
        </w:tc>
        <w:tc>
          <w:tcPr>
            <w:tcW w:w="345" w:type="dxa"/>
          </w:tcPr>
          <w:p w14:paraId="2E66379F"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w:t>
            </w:r>
          </w:p>
        </w:tc>
        <w:tc>
          <w:tcPr>
            <w:tcW w:w="6749" w:type="dxa"/>
          </w:tcPr>
          <w:p w14:paraId="2270896F"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Colony diameter in check plate (mm)</w:t>
            </w:r>
          </w:p>
        </w:tc>
      </w:tr>
      <w:tr w:rsidR="00461A90" w:rsidRPr="00461A90" w14:paraId="07F86A80" w14:textId="77777777" w:rsidTr="003174E0">
        <w:tc>
          <w:tcPr>
            <w:tcW w:w="561" w:type="dxa"/>
          </w:tcPr>
          <w:p w14:paraId="273C8D46" w14:textId="77777777" w:rsidR="002F658E" w:rsidRPr="00461A90" w:rsidRDefault="002F658E" w:rsidP="003174E0">
            <w:pPr>
              <w:spacing w:before="60" w:after="60" w:line="276" w:lineRule="auto"/>
              <w:jc w:val="both"/>
              <w:rPr>
                <w:rFonts w:ascii="Times New Roman" w:hAnsi="Times New Roman" w:cs="Times New Roman"/>
                <w:b/>
                <w:bCs/>
                <w:color w:val="000000" w:themeColor="text1"/>
                <w:sz w:val="24"/>
                <w:szCs w:val="24"/>
                <w:lang w:val="en-GB"/>
              </w:rPr>
            </w:pPr>
            <w:r w:rsidRPr="00461A90">
              <w:rPr>
                <w:rFonts w:ascii="Times New Roman" w:hAnsi="Times New Roman" w:cs="Times New Roman"/>
                <w:b/>
                <w:bCs/>
                <w:color w:val="000000" w:themeColor="text1"/>
                <w:sz w:val="24"/>
                <w:szCs w:val="24"/>
                <w:lang w:val="en-GB"/>
              </w:rPr>
              <w:lastRenderedPageBreak/>
              <w:t>T</w:t>
            </w:r>
          </w:p>
        </w:tc>
        <w:tc>
          <w:tcPr>
            <w:tcW w:w="345" w:type="dxa"/>
          </w:tcPr>
          <w:p w14:paraId="59048242"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w:t>
            </w:r>
          </w:p>
        </w:tc>
        <w:tc>
          <w:tcPr>
            <w:tcW w:w="6749" w:type="dxa"/>
          </w:tcPr>
          <w:p w14:paraId="1D05F0ED"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Colony diameter in treatments (mm)</w:t>
            </w:r>
          </w:p>
        </w:tc>
      </w:tr>
    </w:tbl>
    <w:p w14:paraId="7AF65ADB" w14:textId="2AB91A92" w:rsidR="00C329D1" w:rsidRPr="00461A90" w:rsidRDefault="00DA6EAF" w:rsidP="00AC2297">
      <w:pPr>
        <w:pStyle w:val="NormalWeb"/>
        <w:spacing w:line="360" w:lineRule="auto"/>
        <w:jc w:val="both"/>
        <w:rPr>
          <w:color w:val="000000" w:themeColor="text1"/>
        </w:rPr>
      </w:pPr>
      <w:r w:rsidRPr="00461A90">
        <w:rPr>
          <w:b/>
          <w:bCs/>
          <w:color w:val="000000" w:themeColor="text1"/>
        </w:rPr>
        <w:t>RESULTS AND DISCUSSION</w:t>
      </w:r>
      <w:r w:rsidR="00EA42F1" w:rsidRPr="00461A90">
        <w:rPr>
          <w:b/>
          <w:bCs/>
          <w:color w:val="000000" w:themeColor="text1"/>
        </w:rPr>
        <w:t xml:space="preserve">: </w:t>
      </w:r>
    </w:p>
    <w:p w14:paraId="7E903036" w14:textId="0356AD6C" w:rsidR="00AC2297" w:rsidRPr="00AC2297" w:rsidRDefault="00AC2297" w:rsidP="00D7450D">
      <w:pPr>
        <w:pStyle w:val="NormalWeb"/>
        <w:spacing w:line="360" w:lineRule="auto"/>
        <w:ind w:firstLine="720"/>
        <w:jc w:val="both"/>
        <w:rPr>
          <w:color w:val="000000" w:themeColor="text1"/>
        </w:rPr>
      </w:pPr>
      <w:r w:rsidRPr="00AC2297">
        <w:rPr>
          <w:color w:val="000000" w:themeColor="text1"/>
        </w:rPr>
        <w:t xml:space="preserve">All the tested fungicides exhibited significant inhibitory effects on the mycelial growth of </w:t>
      </w:r>
      <w:r w:rsidRPr="00AC2297">
        <w:rPr>
          <w:i/>
          <w:iCs/>
          <w:color w:val="000000" w:themeColor="text1"/>
        </w:rPr>
        <w:t xml:space="preserve">Colletotrichum </w:t>
      </w:r>
      <w:proofErr w:type="spellStart"/>
      <w:r w:rsidRPr="00AC2297">
        <w:rPr>
          <w:i/>
          <w:iCs/>
          <w:color w:val="000000" w:themeColor="text1"/>
        </w:rPr>
        <w:t>truncatum</w:t>
      </w:r>
      <w:proofErr w:type="spellEnd"/>
      <w:r w:rsidRPr="00AC2297">
        <w:rPr>
          <w:color w:val="000000" w:themeColor="text1"/>
        </w:rPr>
        <w:t xml:space="preserve"> under </w:t>
      </w:r>
      <w:r w:rsidRPr="00AC2297">
        <w:rPr>
          <w:i/>
          <w:iCs/>
          <w:color w:val="000000" w:themeColor="text1"/>
        </w:rPr>
        <w:t>in vitro</w:t>
      </w:r>
      <w:r w:rsidRPr="00AC2297">
        <w:rPr>
          <w:color w:val="000000" w:themeColor="text1"/>
        </w:rPr>
        <w:t xml:space="preserve"> conditions compared to the untreated control, indicating their potential in the chemical management of soybean anthracnose. Among the single fungicides, carbendazim (50 WP) and tebuconazole (25.9% EC) demonstrated the highest efficacy, achieving complete inhibition (100%) of fungal growth at 500 ppm and maintaining over 90% inhibition even at 250 ppm. These results suggest strong fungistatic activity even at relatively lower concentrations. On the other hand, mancozeb (75% WP) exhibited the lowest efficacy among the single fungicides at 100 ppm (51.76%), although its inhibitory effect improved significantly with increasing concentrations, underscoring a clear dose</w:t>
      </w:r>
      <w:r w:rsidRPr="00461A90">
        <w:rPr>
          <w:color w:val="000000" w:themeColor="text1"/>
        </w:rPr>
        <w:t>-</w:t>
      </w:r>
      <w:r w:rsidRPr="00AC2297">
        <w:rPr>
          <w:color w:val="000000" w:themeColor="text1"/>
        </w:rPr>
        <w:t>response relationship.</w:t>
      </w:r>
    </w:p>
    <w:p w14:paraId="7C96832C" w14:textId="77777777" w:rsidR="00AC2297" w:rsidRPr="00AC2297" w:rsidRDefault="00AC2297" w:rsidP="00AC2297">
      <w:pPr>
        <w:pStyle w:val="NormalWeb"/>
        <w:spacing w:line="360" w:lineRule="auto"/>
        <w:ind w:firstLine="720"/>
        <w:jc w:val="both"/>
        <w:rPr>
          <w:color w:val="000000" w:themeColor="text1"/>
        </w:rPr>
      </w:pPr>
      <w:r w:rsidRPr="00AC2297">
        <w:rPr>
          <w:color w:val="000000" w:themeColor="text1"/>
        </w:rPr>
        <w:t xml:space="preserve">Strobilurin fungicides, such as </w:t>
      </w:r>
      <w:proofErr w:type="spellStart"/>
      <w:r w:rsidRPr="00AC2297">
        <w:rPr>
          <w:color w:val="000000" w:themeColor="text1"/>
        </w:rPr>
        <w:t>pyraclostrobin</w:t>
      </w:r>
      <w:proofErr w:type="spellEnd"/>
      <w:r w:rsidRPr="00AC2297">
        <w:rPr>
          <w:color w:val="000000" w:themeColor="text1"/>
        </w:rPr>
        <w:t xml:space="preserve">, also showed pronounced antifungal activity, achieving over 80% inhibition at higher concentrations, whereas propiconazole and hexaconazole produced moderate levels of suppression across all tested doses. This variability in performance highlights inherent differences in the modes of action and potency of fungicidal groups against </w:t>
      </w:r>
      <w:r w:rsidRPr="00AC2297">
        <w:rPr>
          <w:i/>
          <w:iCs/>
          <w:color w:val="000000" w:themeColor="text1"/>
        </w:rPr>
        <w:t xml:space="preserve">C. </w:t>
      </w:r>
      <w:proofErr w:type="spellStart"/>
      <w:r w:rsidRPr="00AC2297">
        <w:rPr>
          <w:i/>
          <w:iCs/>
          <w:color w:val="000000" w:themeColor="text1"/>
        </w:rPr>
        <w:t>truncatum</w:t>
      </w:r>
      <w:proofErr w:type="spellEnd"/>
      <w:r w:rsidRPr="00AC2297">
        <w:rPr>
          <w:color w:val="000000" w:themeColor="text1"/>
        </w:rPr>
        <w:t>.</w:t>
      </w:r>
    </w:p>
    <w:p w14:paraId="35331D0E" w14:textId="77777777" w:rsidR="00AC2297" w:rsidRPr="00AC2297" w:rsidRDefault="00AC2297" w:rsidP="00AC2297">
      <w:pPr>
        <w:pStyle w:val="NormalWeb"/>
        <w:spacing w:line="360" w:lineRule="auto"/>
        <w:ind w:firstLine="720"/>
        <w:jc w:val="both"/>
        <w:rPr>
          <w:color w:val="000000" w:themeColor="text1"/>
        </w:rPr>
      </w:pPr>
      <w:r w:rsidRPr="00AC2297">
        <w:rPr>
          <w:color w:val="000000" w:themeColor="text1"/>
        </w:rPr>
        <w:t xml:space="preserve">In the case of combination fungicides, carbendazim (25%) + mancozeb (50% WS) was the most effective, recording complete inhibition (100%) at both 250 and 500 ppm. This was followed by metiram + </w:t>
      </w:r>
      <w:proofErr w:type="spellStart"/>
      <w:r w:rsidRPr="00AC2297">
        <w:rPr>
          <w:color w:val="000000" w:themeColor="text1"/>
        </w:rPr>
        <w:t>pyraclostrobin</w:t>
      </w:r>
      <w:proofErr w:type="spellEnd"/>
      <w:r w:rsidRPr="00AC2297">
        <w:rPr>
          <w:color w:val="000000" w:themeColor="text1"/>
        </w:rPr>
        <w:t xml:space="preserve"> and </w:t>
      </w:r>
      <w:proofErr w:type="spellStart"/>
      <w:r w:rsidRPr="00AC2297">
        <w:rPr>
          <w:color w:val="000000" w:themeColor="text1"/>
        </w:rPr>
        <w:t>penflufen</w:t>
      </w:r>
      <w:proofErr w:type="spellEnd"/>
      <w:r w:rsidRPr="00AC2297">
        <w:rPr>
          <w:color w:val="000000" w:themeColor="text1"/>
        </w:rPr>
        <w:t xml:space="preserve"> + </w:t>
      </w:r>
      <w:proofErr w:type="spellStart"/>
      <w:r w:rsidRPr="00AC2297">
        <w:rPr>
          <w:color w:val="000000" w:themeColor="text1"/>
        </w:rPr>
        <w:t>trifloxystrobin</w:t>
      </w:r>
      <w:proofErr w:type="spellEnd"/>
      <w:r w:rsidRPr="00AC2297">
        <w:rPr>
          <w:color w:val="000000" w:themeColor="text1"/>
        </w:rPr>
        <w:t xml:space="preserve">, which achieved inhibition levels of 85.88% and 84.71%, respectively, at 500 ppm. In contrast, carboxin + thiram exhibited the weakest antifungal activity among the combinations, with only 49.59% inhibition at 100 ppm. Across all fungicides, a consistent increase in inhibition with rising concentrations confirmed a dose-dependent response, indicating that higher doses enhance fungicidal efficacy against </w:t>
      </w:r>
      <w:r w:rsidRPr="00AC2297">
        <w:rPr>
          <w:i/>
          <w:iCs/>
          <w:color w:val="000000" w:themeColor="text1"/>
        </w:rPr>
        <w:t xml:space="preserve">C. </w:t>
      </w:r>
      <w:proofErr w:type="spellStart"/>
      <w:r w:rsidRPr="00AC2297">
        <w:rPr>
          <w:i/>
          <w:iCs/>
          <w:color w:val="000000" w:themeColor="text1"/>
        </w:rPr>
        <w:t>truncatum</w:t>
      </w:r>
      <w:proofErr w:type="spellEnd"/>
      <w:r w:rsidRPr="00AC2297">
        <w:rPr>
          <w:color w:val="000000" w:themeColor="text1"/>
        </w:rPr>
        <w:t>.</w:t>
      </w:r>
    </w:p>
    <w:p w14:paraId="04EE757C" w14:textId="6F6EC7D3" w:rsidR="00AC2297" w:rsidRPr="00AC2297" w:rsidRDefault="00AC2297" w:rsidP="00AC2297">
      <w:pPr>
        <w:pStyle w:val="NormalWeb"/>
        <w:spacing w:line="360" w:lineRule="auto"/>
        <w:jc w:val="both"/>
        <w:rPr>
          <w:color w:val="000000" w:themeColor="text1"/>
        </w:rPr>
      </w:pPr>
      <w:r w:rsidRPr="00AC2297">
        <w:rPr>
          <w:color w:val="000000" w:themeColor="text1"/>
        </w:rPr>
        <w:t>The observed variation in fungicidal performance is closely associated with differences in their biochemical modes of action. Benzimidazoles such as carbendazim disrupt microtubule assembly, leading to mitotic arrest (</w:t>
      </w:r>
      <w:proofErr w:type="spellStart"/>
      <w:r w:rsidRPr="00AC2297">
        <w:rPr>
          <w:color w:val="000000" w:themeColor="text1"/>
        </w:rPr>
        <w:t>Gawade</w:t>
      </w:r>
      <w:proofErr w:type="spellEnd"/>
      <w:r w:rsidRPr="00AC2297">
        <w:rPr>
          <w:color w:val="000000" w:themeColor="text1"/>
        </w:rPr>
        <w:t xml:space="preserve"> &amp; </w:t>
      </w:r>
      <w:proofErr w:type="spellStart"/>
      <w:r w:rsidRPr="00AC2297">
        <w:rPr>
          <w:color w:val="000000" w:themeColor="text1"/>
        </w:rPr>
        <w:t>Suryavanshi</w:t>
      </w:r>
      <w:proofErr w:type="spellEnd"/>
      <w:r w:rsidRPr="00AC2297">
        <w:rPr>
          <w:color w:val="000000" w:themeColor="text1"/>
        </w:rPr>
        <w:t xml:space="preserve">, 2009; </w:t>
      </w:r>
      <w:proofErr w:type="spellStart"/>
      <w:r w:rsidRPr="00AC2297">
        <w:rPr>
          <w:color w:val="000000" w:themeColor="text1"/>
        </w:rPr>
        <w:t>Bankoliya</w:t>
      </w:r>
      <w:proofErr w:type="spellEnd"/>
      <w:r w:rsidRPr="00AC2297">
        <w:rPr>
          <w:color w:val="000000" w:themeColor="text1"/>
        </w:rPr>
        <w:t xml:space="preserve"> </w:t>
      </w:r>
      <w:r w:rsidR="00986009" w:rsidRPr="00986009">
        <w:rPr>
          <w:i/>
          <w:iCs/>
          <w:color w:val="000000" w:themeColor="text1"/>
        </w:rPr>
        <w:t>et al</w:t>
      </w:r>
      <w:r w:rsidRPr="00AC2297">
        <w:rPr>
          <w:color w:val="000000" w:themeColor="text1"/>
        </w:rPr>
        <w:t xml:space="preserve">., 2022), whereas triazoles including tebuconazole, hexaconazole, and propiconazole inhibit ergosterol biosynthesis, compromising fungal cell membrane integrity (Nagaraj, 2013; Gujar </w:t>
      </w:r>
      <w:r w:rsidR="00986009" w:rsidRPr="00986009">
        <w:rPr>
          <w:i/>
          <w:iCs/>
          <w:color w:val="000000" w:themeColor="text1"/>
        </w:rPr>
        <w:t>et al</w:t>
      </w:r>
      <w:r w:rsidRPr="00AC2297">
        <w:rPr>
          <w:color w:val="000000" w:themeColor="text1"/>
        </w:rPr>
        <w:t xml:space="preserve">., 2021). </w:t>
      </w:r>
      <w:proofErr w:type="spellStart"/>
      <w:r w:rsidRPr="00AC2297">
        <w:rPr>
          <w:color w:val="000000" w:themeColor="text1"/>
        </w:rPr>
        <w:lastRenderedPageBreak/>
        <w:t>Strobilurins</w:t>
      </w:r>
      <w:proofErr w:type="spellEnd"/>
      <w:r w:rsidRPr="00AC2297">
        <w:rPr>
          <w:color w:val="000000" w:themeColor="text1"/>
        </w:rPr>
        <w:t xml:space="preserve">, such as </w:t>
      </w:r>
      <w:proofErr w:type="spellStart"/>
      <w:r w:rsidRPr="00AC2297">
        <w:rPr>
          <w:color w:val="000000" w:themeColor="text1"/>
        </w:rPr>
        <w:t>pyraclostrobin</w:t>
      </w:r>
      <w:proofErr w:type="spellEnd"/>
      <w:r w:rsidRPr="00AC2297">
        <w:rPr>
          <w:color w:val="000000" w:themeColor="text1"/>
        </w:rPr>
        <w:t xml:space="preserve">, </w:t>
      </w:r>
      <w:proofErr w:type="spellStart"/>
      <w:r w:rsidRPr="00AC2297">
        <w:rPr>
          <w:color w:val="000000" w:themeColor="text1"/>
        </w:rPr>
        <w:t>trifloxystrobin</w:t>
      </w:r>
      <w:proofErr w:type="spellEnd"/>
      <w:r w:rsidRPr="00AC2297">
        <w:rPr>
          <w:color w:val="000000" w:themeColor="text1"/>
        </w:rPr>
        <w:t>, and azoxystrobin, act by blocking electron transfer at the cytochrome bc1 complex, thereby halting mitochondrial respiration (</w:t>
      </w:r>
      <w:proofErr w:type="spellStart"/>
      <w:r w:rsidRPr="00AC2297">
        <w:rPr>
          <w:color w:val="000000" w:themeColor="text1"/>
        </w:rPr>
        <w:t>Shashikumara</w:t>
      </w:r>
      <w:proofErr w:type="spellEnd"/>
      <w:r w:rsidRPr="00AC2297">
        <w:rPr>
          <w:color w:val="000000" w:themeColor="text1"/>
        </w:rPr>
        <w:t xml:space="preserve"> </w:t>
      </w:r>
      <w:r w:rsidR="00986009" w:rsidRPr="00986009">
        <w:rPr>
          <w:i/>
          <w:iCs/>
          <w:color w:val="000000" w:themeColor="text1"/>
        </w:rPr>
        <w:t>et al</w:t>
      </w:r>
      <w:r w:rsidRPr="00AC2297">
        <w:rPr>
          <w:color w:val="000000" w:themeColor="text1"/>
        </w:rPr>
        <w:t xml:space="preserve">., 2020). In contrast, </w:t>
      </w:r>
      <w:proofErr w:type="spellStart"/>
      <w:r w:rsidRPr="00AC2297">
        <w:rPr>
          <w:color w:val="000000" w:themeColor="text1"/>
        </w:rPr>
        <w:t>dithiocarbamates</w:t>
      </w:r>
      <w:proofErr w:type="spellEnd"/>
      <w:r w:rsidRPr="00AC2297">
        <w:rPr>
          <w:color w:val="000000" w:themeColor="text1"/>
        </w:rPr>
        <w:t xml:space="preserve"> like mancozeb act as multi-site inhibitors, interfering with multiple enzymatic pathways simultaneously.</w:t>
      </w:r>
    </w:p>
    <w:p w14:paraId="4B1DCFE4" w14:textId="7A1BB023" w:rsidR="00AC2297" w:rsidRPr="00461A90" w:rsidRDefault="00AC2297" w:rsidP="00D7450D">
      <w:pPr>
        <w:pStyle w:val="NormalWeb"/>
        <w:spacing w:line="360" w:lineRule="auto"/>
        <w:ind w:firstLine="720"/>
        <w:jc w:val="both"/>
        <w:rPr>
          <w:color w:val="000000" w:themeColor="text1"/>
        </w:rPr>
      </w:pPr>
      <w:r w:rsidRPr="00AC2297">
        <w:rPr>
          <w:color w:val="000000" w:themeColor="text1"/>
        </w:rPr>
        <w:t xml:space="preserve">The superior performance of carbendazim and tebuconazole highlights the advantage of target-specific fungicides with potent systemic activity. Furthermore, the exceptional efficacy of carbendazim + mancozeb demonstrates the synergistic effect of combining systemic and contact fungicides, enhancing both curative and protective action (Rajashree </w:t>
      </w:r>
      <w:r w:rsidR="00986009" w:rsidRPr="00986009">
        <w:rPr>
          <w:i/>
          <w:iCs/>
          <w:color w:val="000000" w:themeColor="text1"/>
        </w:rPr>
        <w:t>et al</w:t>
      </w:r>
      <w:r w:rsidRPr="00AC2297">
        <w:rPr>
          <w:color w:val="000000" w:themeColor="text1"/>
        </w:rPr>
        <w:t xml:space="preserve">., 2020). The pronounced dose-dependent inhibition observed across all treatments further emphasizes the necessity of applying fungicides at optimal concentrations to achieve effective suppression of soybean anthracnose (Patel </w:t>
      </w:r>
      <w:r w:rsidR="00986009" w:rsidRPr="00986009">
        <w:rPr>
          <w:i/>
          <w:iCs/>
          <w:color w:val="000000" w:themeColor="text1"/>
        </w:rPr>
        <w:t>et al</w:t>
      </w:r>
      <w:r w:rsidRPr="00AC2297">
        <w:rPr>
          <w:color w:val="000000" w:themeColor="text1"/>
        </w:rPr>
        <w:t>., 2020).</w:t>
      </w:r>
    </w:p>
    <w:p w14:paraId="6D442B49" w14:textId="74445BD5" w:rsidR="00D7450D" w:rsidRPr="00461A90" w:rsidRDefault="00D7450D" w:rsidP="00D7450D">
      <w:pPr>
        <w:pStyle w:val="NormalWeb"/>
        <w:spacing w:line="360" w:lineRule="auto"/>
        <w:ind w:firstLine="720"/>
        <w:jc w:val="both"/>
        <w:rPr>
          <w:color w:val="000000" w:themeColor="text1"/>
        </w:rPr>
      </w:pPr>
      <w:bookmarkStart w:id="0" w:name="_Hlk210330348"/>
      <w:r w:rsidRPr="00461A90">
        <w:rPr>
          <w:color w:val="000000" w:themeColor="text1"/>
          <w:spacing w:val="1"/>
        </w:rPr>
        <w:t xml:space="preserve">So far, numerous biocontrol agents, particularly species of </w:t>
      </w:r>
      <w:r w:rsidRPr="00461A90">
        <w:rPr>
          <w:i/>
          <w:iCs/>
          <w:color w:val="000000" w:themeColor="text1"/>
          <w:spacing w:val="1"/>
        </w:rPr>
        <w:t>Trichoderma</w:t>
      </w:r>
      <w:r w:rsidRPr="00461A90">
        <w:rPr>
          <w:color w:val="000000" w:themeColor="text1"/>
          <w:spacing w:val="1"/>
        </w:rPr>
        <w:t xml:space="preserve">, have been extensively explored and recommended for the management of plant diseases across a wide range of crops </w:t>
      </w:r>
      <w:r w:rsidR="00AC2297" w:rsidRPr="00461A90">
        <w:rPr>
          <w:color w:val="000000" w:themeColor="text1"/>
          <w:spacing w:val="1"/>
        </w:rPr>
        <w:t xml:space="preserve">(Kumar </w:t>
      </w:r>
      <w:r w:rsidR="00986009" w:rsidRPr="00986009">
        <w:rPr>
          <w:i/>
          <w:iCs/>
          <w:color w:val="000000" w:themeColor="text1"/>
          <w:spacing w:val="1"/>
        </w:rPr>
        <w:t>et al</w:t>
      </w:r>
      <w:r w:rsidR="00AC2297" w:rsidRPr="00461A90">
        <w:rPr>
          <w:color w:val="000000" w:themeColor="text1"/>
          <w:spacing w:val="1"/>
        </w:rPr>
        <w:t xml:space="preserve">., 2009; Kumar </w:t>
      </w:r>
      <w:r w:rsidR="00986009" w:rsidRPr="00986009">
        <w:rPr>
          <w:i/>
          <w:iCs/>
          <w:color w:val="000000" w:themeColor="text1"/>
          <w:spacing w:val="1"/>
        </w:rPr>
        <w:t>et al</w:t>
      </w:r>
      <w:r w:rsidR="00AC2297" w:rsidRPr="00461A90">
        <w:rPr>
          <w:color w:val="000000" w:themeColor="text1"/>
          <w:spacing w:val="1"/>
        </w:rPr>
        <w:t>., 2013; Kumar</w:t>
      </w:r>
      <w:r w:rsidR="00BA64E9" w:rsidRPr="00461A90">
        <w:rPr>
          <w:color w:val="000000" w:themeColor="text1"/>
          <w:spacing w:val="1"/>
        </w:rPr>
        <w:t xml:space="preserve"> </w:t>
      </w:r>
      <w:r w:rsidR="00986009" w:rsidRPr="00986009">
        <w:rPr>
          <w:i/>
          <w:iCs/>
          <w:color w:val="000000" w:themeColor="text1"/>
          <w:spacing w:val="1"/>
        </w:rPr>
        <w:t>et al</w:t>
      </w:r>
      <w:r w:rsidR="00BA64E9" w:rsidRPr="00461A90">
        <w:rPr>
          <w:color w:val="000000" w:themeColor="text1"/>
          <w:spacing w:val="1"/>
        </w:rPr>
        <w:t>., 2014</w:t>
      </w:r>
      <w:r w:rsidR="001A0CD2" w:rsidRPr="00461A90">
        <w:rPr>
          <w:color w:val="000000" w:themeColor="text1"/>
          <w:spacing w:val="1"/>
        </w:rPr>
        <w:t xml:space="preserve">a, 2014b, 2015; Kumar and Sahu, </w:t>
      </w:r>
      <w:r w:rsidR="00AC2297" w:rsidRPr="00461A90">
        <w:rPr>
          <w:color w:val="000000" w:themeColor="text1"/>
          <w:spacing w:val="1"/>
        </w:rPr>
        <w:t>2015</w:t>
      </w:r>
      <w:r w:rsidR="00BA64E9" w:rsidRPr="00461A90">
        <w:rPr>
          <w:color w:val="000000" w:themeColor="text1"/>
          <w:spacing w:val="1"/>
        </w:rPr>
        <w:t>;</w:t>
      </w:r>
      <w:r w:rsidR="00AC2297" w:rsidRPr="00461A90">
        <w:rPr>
          <w:color w:val="000000" w:themeColor="text1"/>
          <w:spacing w:val="1"/>
        </w:rPr>
        <w:t xml:space="preserve"> </w:t>
      </w:r>
      <w:r w:rsidR="0087731E" w:rsidRPr="00461A90">
        <w:rPr>
          <w:color w:val="000000" w:themeColor="text1"/>
          <w:spacing w:val="1"/>
        </w:rPr>
        <w:t xml:space="preserve">Jain </w:t>
      </w:r>
      <w:r w:rsidR="00986009" w:rsidRPr="00986009">
        <w:rPr>
          <w:i/>
          <w:iCs/>
          <w:color w:val="000000" w:themeColor="text1"/>
          <w:spacing w:val="1"/>
        </w:rPr>
        <w:t>et al</w:t>
      </w:r>
      <w:r w:rsidR="0087731E" w:rsidRPr="00461A90">
        <w:rPr>
          <w:color w:val="000000" w:themeColor="text1"/>
          <w:spacing w:val="1"/>
        </w:rPr>
        <w:t xml:space="preserve">., 2017; </w:t>
      </w:r>
      <w:proofErr w:type="spellStart"/>
      <w:r w:rsidR="00AC2297" w:rsidRPr="00461A90">
        <w:rPr>
          <w:color w:val="000000" w:themeColor="text1"/>
          <w:spacing w:val="1"/>
        </w:rPr>
        <w:t>Kharte</w:t>
      </w:r>
      <w:proofErr w:type="spellEnd"/>
      <w:r w:rsidR="00AC2297" w:rsidRPr="00461A90">
        <w:rPr>
          <w:color w:val="000000" w:themeColor="text1"/>
          <w:spacing w:val="1"/>
        </w:rPr>
        <w:t xml:space="preserve"> </w:t>
      </w:r>
      <w:r w:rsidR="00986009" w:rsidRPr="00986009">
        <w:rPr>
          <w:i/>
          <w:iCs/>
          <w:color w:val="000000" w:themeColor="text1"/>
          <w:spacing w:val="1"/>
        </w:rPr>
        <w:t>et al</w:t>
      </w:r>
      <w:r w:rsidR="00AC2297" w:rsidRPr="00461A90">
        <w:rPr>
          <w:color w:val="000000" w:themeColor="text1"/>
          <w:spacing w:val="1"/>
        </w:rPr>
        <w:t>., 2022;</w:t>
      </w:r>
      <w:r w:rsidR="0087731E" w:rsidRPr="00461A90">
        <w:rPr>
          <w:color w:val="000000" w:themeColor="text1"/>
          <w:spacing w:val="1"/>
        </w:rPr>
        <w:t xml:space="preserve"> Parihar </w:t>
      </w:r>
      <w:r w:rsidR="00986009" w:rsidRPr="00986009">
        <w:rPr>
          <w:i/>
          <w:iCs/>
          <w:color w:val="000000" w:themeColor="text1"/>
          <w:spacing w:val="1"/>
        </w:rPr>
        <w:t>et al</w:t>
      </w:r>
      <w:r w:rsidR="0087731E" w:rsidRPr="00461A90">
        <w:rPr>
          <w:color w:val="000000" w:themeColor="text1"/>
          <w:spacing w:val="1"/>
        </w:rPr>
        <w:t>., 2024a, 2024b</w:t>
      </w:r>
      <w:r w:rsidR="00AC2297" w:rsidRPr="00461A90">
        <w:rPr>
          <w:color w:val="000000" w:themeColor="text1"/>
          <w:spacing w:val="1"/>
        </w:rPr>
        <w:t>)</w:t>
      </w:r>
      <w:r w:rsidRPr="00461A90">
        <w:rPr>
          <w:color w:val="000000" w:themeColor="text1"/>
          <w:spacing w:val="1"/>
        </w:rPr>
        <w:t xml:space="preserve">. </w:t>
      </w:r>
      <w:r w:rsidRPr="00D7450D">
        <w:rPr>
          <w:color w:val="000000" w:themeColor="text1"/>
        </w:rPr>
        <w:t>These beneficial fungi are known for their antagonistic mechanisms, including mycoparasitism, competition for nutrients and space, production of cell wall–degrading enzymes, and induction of systemic resistance in host plants. Despite their well-documented potential, the field performance of biocontrol agents has often been inconsistent, primarily due to variability in environmental conditions, soil microbiota, and pathogen pressure, which can significantly influence their efficacy.</w:t>
      </w:r>
    </w:p>
    <w:p w14:paraId="764C6A8C" w14:textId="490595D2" w:rsidR="00D7450D" w:rsidRPr="00D7450D" w:rsidRDefault="00D7450D" w:rsidP="00D7450D">
      <w:pPr>
        <w:pStyle w:val="NormalWeb"/>
        <w:spacing w:line="360" w:lineRule="auto"/>
        <w:ind w:firstLine="720"/>
        <w:jc w:val="both"/>
        <w:rPr>
          <w:color w:val="000000" w:themeColor="text1"/>
        </w:rPr>
      </w:pPr>
      <w:r w:rsidRPr="00D7450D">
        <w:rPr>
          <w:color w:val="000000" w:themeColor="text1"/>
        </w:rPr>
        <w:t>Given these challenges, an integrated approach involving judicious use of compatible fungicides in combination with potent biocontrol agents offers a promising strategy for effective disease suppression. Such integration should be preceded by detailed morphological and cultural characterization of the bioagents as well as compatibility assessments to ensure that the chemical treatments do not adversely affect the growth, sporulation, or antagonistic activity of beneficial microorganisms</w:t>
      </w:r>
      <w:r w:rsidR="00AC2297" w:rsidRPr="00461A90">
        <w:rPr>
          <w:color w:val="000000" w:themeColor="text1"/>
          <w:spacing w:val="1"/>
        </w:rPr>
        <w:t xml:space="preserve"> (Kumar </w:t>
      </w:r>
      <w:r w:rsidR="00986009" w:rsidRPr="00986009">
        <w:rPr>
          <w:i/>
          <w:iCs/>
          <w:color w:val="000000" w:themeColor="text1"/>
          <w:spacing w:val="1"/>
        </w:rPr>
        <w:t>et al</w:t>
      </w:r>
      <w:r w:rsidR="00AC2297" w:rsidRPr="00461A90">
        <w:rPr>
          <w:color w:val="000000" w:themeColor="text1"/>
          <w:spacing w:val="1"/>
        </w:rPr>
        <w:t>., 2014b;</w:t>
      </w:r>
      <w:r w:rsidR="0087731E" w:rsidRPr="00461A90">
        <w:rPr>
          <w:color w:val="000000" w:themeColor="text1"/>
          <w:spacing w:val="1"/>
        </w:rPr>
        <w:t xml:space="preserve"> Kumar </w:t>
      </w:r>
      <w:r w:rsidR="00986009" w:rsidRPr="00986009">
        <w:rPr>
          <w:i/>
          <w:iCs/>
          <w:color w:val="000000" w:themeColor="text1"/>
          <w:spacing w:val="1"/>
        </w:rPr>
        <w:t>et al</w:t>
      </w:r>
      <w:r w:rsidR="0087731E" w:rsidRPr="00461A90">
        <w:rPr>
          <w:color w:val="000000" w:themeColor="text1"/>
          <w:spacing w:val="1"/>
        </w:rPr>
        <w:t>., 2016;</w:t>
      </w:r>
      <w:r w:rsidR="00AC2297" w:rsidRPr="00461A90">
        <w:rPr>
          <w:color w:val="000000" w:themeColor="text1"/>
          <w:spacing w:val="1"/>
        </w:rPr>
        <w:t xml:space="preserve"> </w:t>
      </w:r>
      <w:r w:rsidR="0087731E" w:rsidRPr="00461A90">
        <w:rPr>
          <w:color w:val="000000" w:themeColor="text1"/>
          <w:spacing w:val="1"/>
        </w:rPr>
        <w:t xml:space="preserve">Bansal </w:t>
      </w:r>
      <w:r w:rsidR="00986009" w:rsidRPr="00986009">
        <w:rPr>
          <w:i/>
          <w:iCs/>
          <w:color w:val="000000" w:themeColor="text1"/>
          <w:spacing w:val="1"/>
        </w:rPr>
        <w:t>et al</w:t>
      </w:r>
      <w:r w:rsidR="0087731E" w:rsidRPr="00461A90">
        <w:rPr>
          <w:color w:val="000000" w:themeColor="text1"/>
          <w:spacing w:val="1"/>
        </w:rPr>
        <w:t xml:space="preserve">., 2021; </w:t>
      </w:r>
      <w:proofErr w:type="spellStart"/>
      <w:r w:rsidR="00AC2297" w:rsidRPr="00461A90">
        <w:rPr>
          <w:color w:val="000000" w:themeColor="text1"/>
        </w:rPr>
        <w:t>Dinkwar</w:t>
      </w:r>
      <w:proofErr w:type="spellEnd"/>
      <w:r w:rsidR="00AC2297" w:rsidRPr="00461A90">
        <w:rPr>
          <w:color w:val="000000" w:themeColor="text1"/>
        </w:rPr>
        <w:t xml:space="preserve"> </w:t>
      </w:r>
      <w:r w:rsidR="00986009" w:rsidRPr="00986009">
        <w:rPr>
          <w:i/>
          <w:iCs/>
          <w:color w:val="000000" w:themeColor="text1"/>
        </w:rPr>
        <w:t>et al</w:t>
      </w:r>
      <w:r w:rsidR="00AC2297" w:rsidRPr="00461A90">
        <w:rPr>
          <w:color w:val="000000" w:themeColor="text1"/>
        </w:rPr>
        <w:t xml:space="preserve">., 2023; Singh </w:t>
      </w:r>
      <w:r w:rsidR="00986009" w:rsidRPr="00986009">
        <w:rPr>
          <w:i/>
          <w:iCs/>
          <w:color w:val="000000" w:themeColor="text1"/>
        </w:rPr>
        <w:t>et al</w:t>
      </w:r>
      <w:r w:rsidR="00AC2297" w:rsidRPr="00461A90">
        <w:rPr>
          <w:color w:val="000000" w:themeColor="text1"/>
        </w:rPr>
        <w:t>., 2023</w:t>
      </w:r>
      <w:r w:rsidR="00AC2297" w:rsidRPr="00461A90">
        <w:rPr>
          <w:color w:val="000000" w:themeColor="text1"/>
          <w:spacing w:val="1"/>
        </w:rPr>
        <w:t xml:space="preserve">). </w:t>
      </w:r>
      <w:r w:rsidRPr="00D7450D">
        <w:rPr>
          <w:color w:val="000000" w:themeColor="text1"/>
        </w:rPr>
        <w:t xml:space="preserve">The development of such synergistic combinations could substantially enhance the reliability and consistency of disease control under diverse </w:t>
      </w:r>
      <w:proofErr w:type="spellStart"/>
      <w:r w:rsidRPr="00D7450D">
        <w:rPr>
          <w:color w:val="000000" w:themeColor="text1"/>
        </w:rPr>
        <w:t>agro</w:t>
      </w:r>
      <w:proofErr w:type="spellEnd"/>
      <w:r w:rsidRPr="00D7450D">
        <w:rPr>
          <w:color w:val="000000" w:themeColor="text1"/>
        </w:rPr>
        <w:t>-ecological conditions.</w:t>
      </w:r>
      <w:r w:rsidRPr="00461A90">
        <w:rPr>
          <w:color w:val="000000" w:themeColor="text1"/>
        </w:rPr>
        <w:t xml:space="preserve"> </w:t>
      </w:r>
      <w:r w:rsidRPr="00D7450D">
        <w:rPr>
          <w:color w:val="000000" w:themeColor="text1"/>
        </w:rPr>
        <w:t xml:space="preserve">Moreover, integrating biocontrol agents with chemical fungicides not only broadens the spectrum and durability of disease management but also allows for the dual exploitation of their plant growth-promoting attributes (Kumar and </w:t>
      </w:r>
      <w:r w:rsidRPr="00D7450D">
        <w:rPr>
          <w:color w:val="000000" w:themeColor="text1"/>
        </w:rPr>
        <w:lastRenderedPageBreak/>
        <w:t xml:space="preserve">Sahu, 2014; Kumar </w:t>
      </w:r>
      <w:r w:rsidR="00986009" w:rsidRPr="00986009">
        <w:rPr>
          <w:i/>
          <w:iCs/>
          <w:color w:val="000000" w:themeColor="text1"/>
        </w:rPr>
        <w:t>et al</w:t>
      </w:r>
      <w:r w:rsidRPr="00D7450D">
        <w:rPr>
          <w:color w:val="000000" w:themeColor="text1"/>
        </w:rPr>
        <w:t xml:space="preserve">., 2019). </w:t>
      </w:r>
      <w:r w:rsidRPr="00D7450D">
        <w:rPr>
          <w:i/>
          <w:iCs/>
          <w:color w:val="000000" w:themeColor="text1"/>
        </w:rPr>
        <w:t>Trichoderma</w:t>
      </w:r>
      <w:r w:rsidRPr="00D7450D">
        <w:rPr>
          <w:color w:val="000000" w:themeColor="text1"/>
        </w:rPr>
        <w:t xml:space="preserve"> spp., for instance, are known to enhance root growth, improve nutrient uptake, and stimulate plant </w:t>
      </w:r>
      <w:proofErr w:type="spellStart"/>
      <w:r w:rsidRPr="00D7450D">
        <w:rPr>
          <w:color w:val="000000" w:themeColor="text1"/>
        </w:rPr>
        <w:t>defense</w:t>
      </w:r>
      <w:proofErr w:type="spellEnd"/>
      <w:r w:rsidRPr="00D7450D">
        <w:rPr>
          <w:color w:val="000000" w:themeColor="text1"/>
        </w:rPr>
        <w:t xml:space="preserve"> responses, thereby contributing to improved crop </w:t>
      </w:r>
      <w:proofErr w:type="spellStart"/>
      <w:r w:rsidRPr="00D7450D">
        <w:rPr>
          <w:color w:val="000000" w:themeColor="text1"/>
        </w:rPr>
        <w:t>vigor</w:t>
      </w:r>
      <w:proofErr w:type="spellEnd"/>
      <w:r w:rsidRPr="00D7450D">
        <w:rPr>
          <w:color w:val="000000" w:themeColor="text1"/>
        </w:rPr>
        <w:t xml:space="preserve"> and yield. Thus, designing disease management strategies that harness both the curative and protective efficacy of fungicides and the ecological and growth-promoting benefits of bioagents represents a sustainable, eco-friendly, and future-oriented approach to managing soybean anthracnose and similar fungal diseases.</w:t>
      </w:r>
    </w:p>
    <w:bookmarkEnd w:id="0"/>
    <w:p w14:paraId="4627E313" w14:textId="33749903" w:rsidR="00FC3565" w:rsidRDefault="00DA6EAF" w:rsidP="00FC356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CONCLUSION</w:t>
      </w:r>
      <w:r w:rsidR="00FC3565" w:rsidRPr="00461A90">
        <w:rPr>
          <w:rFonts w:ascii="Times New Roman" w:eastAsia="Times New Roman" w:hAnsi="Times New Roman" w:cs="Times New Roman"/>
          <w:color w:val="000000" w:themeColor="text1"/>
          <w:sz w:val="24"/>
          <w:szCs w:val="24"/>
          <w:lang w:eastAsia="en-IN"/>
        </w:rPr>
        <w:br/>
        <w:t>Th</w:t>
      </w:r>
      <w:r w:rsidR="002F658E" w:rsidRPr="00461A90">
        <w:rPr>
          <w:rFonts w:ascii="Times New Roman" w:eastAsia="Times New Roman" w:hAnsi="Times New Roman" w:cs="Times New Roman"/>
          <w:color w:val="000000" w:themeColor="text1"/>
          <w:sz w:val="24"/>
          <w:szCs w:val="24"/>
          <w:lang w:eastAsia="en-IN"/>
        </w:rPr>
        <w:t>is</w:t>
      </w:r>
      <w:r w:rsidR="00FC3565" w:rsidRPr="00461A90">
        <w:rPr>
          <w:rFonts w:ascii="Times New Roman" w:eastAsia="Times New Roman" w:hAnsi="Times New Roman" w:cs="Times New Roman"/>
          <w:color w:val="000000" w:themeColor="text1"/>
          <w:sz w:val="24"/>
          <w:szCs w:val="24"/>
          <w:lang w:eastAsia="en-IN"/>
        </w:rPr>
        <w:t xml:space="preserve"> study demonstrated that all tested fungicides suppressed the mycelial growth of </w:t>
      </w:r>
      <w:r w:rsidR="00FC3565" w:rsidRPr="00461A90">
        <w:rPr>
          <w:rFonts w:ascii="Times New Roman" w:eastAsia="Times New Roman" w:hAnsi="Times New Roman" w:cs="Times New Roman"/>
          <w:i/>
          <w:iCs/>
          <w:color w:val="000000" w:themeColor="text1"/>
          <w:sz w:val="24"/>
          <w:szCs w:val="24"/>
          <w:lang w:eastAsia="en-IN"/>
        </w:rPr>
        <w:t xml:space="preserve">Colletotrichum </w:t>
      </w:r>
      <w:proofErr w:type="spellStart"/>
      <w:r w:rsidR="00FC3565" w:rsidRPr="00461A90">
        <w:rPr>
          <w:rFonts w:ascii="Times New Roman" w:eastAsia="Times New Roman" w:hAnsi="Times New Roman" w:cs="Times New Roman"/>
          <w:i/>
          <w:iCs/>
          <w:color w:val="000000" w:themeColor="text1"/>
          <w:sz w:val="24"/>
          <w:szCs w:val="24"/>
          <w:lang w:eastAsia="en-IN"/>
        </w:rPr>
        <w:t>truncatum</w:t>
      </w:r>
      <w:proofErr w:type="spellEnd"/>
      <w:r w:rsidR="00FC3565" w:rsidRPr="00461A90">
        <w:rPr>
          <w:rFonts w:ascii="Times New Roman" w:eastAsia="Times New Roman" w:hAnsi="Times New Roman" w:cs="Times New Roman"/>
          <w:color w:val="000000" w:themeColor="text1"/>
          <w:sz w:val="24"/>
          <w:szCs w:val="24"/>
          <w:lang w:eastAsia="en-IN"/>
        </w:rPr>
        <w:t>, with efficacy increasing at higher concentrations. Among single fungicides, carbendazim and tebuconazole showed complete inhibition, while the combination of carbendazim + mancozeb proved most effective overall. Strobilurin-based mixtures also performed well, though carboxin + thiram was least effective. These findings highlight carbendazim + mancozeb as a promising option for integrated management of soybean anthracnose, warranting further field validation.</w:t>
      </w:r>
    </w:p>
    <w:p w14:paraId="788CD055" w14:textId="5DE2A66A" w:rsidR="00423186" w:rsidRPr="003404F0" w:rsidRDefault="00DA6EAF" w:rsidP="003404F0">
      <w:pPr>
        <w:autoSpaceDE w:val="0"/>
        <w:autoSpaceDN w:val="0"/>
        <w:adjustRightInd w:val="0"/>
        <w:spacing w:before="240" w:after="0" w:line="360" w:lineRule="auto"/>
        <w:rPr>
          <w:rFonts w:ascii="Arial" w:hAnsi="Arial" w:cs="Arial"/>
          <w:sz w:val="20"/>
          <w:szCs w:val="20"/>
        </w:rPr>
      </w:pPr>
      <w:bookmarkStart w:id="1" w:name="_GoBack"/>
      <w:bookmarkEnd w:id="1"/>
      <w:r w:rsidRPr="003404F0">
        <w:rPr>
          <w:rFonts w:ascii="Times New Roman" w:hAnsi="Times New Roman" w:cs="Times New Roman"/>
          <w:b/>
          <w:bCs/>
          <w:color w:val="000000" w:themeColor="text1"/>
          <w:sz w:val="24"/>
          <w:szCs w:val="24"/>
        </w:rPr>
        <w:t>REFERENCES</w:t>
      </w:r>
    </w:p>
    <w:p w14:paraId="368FACE1" w14:textId="77777777" w:rsidR="006A04A0" w:rsidRDefault="006A04A0" w:rsidP="006A04A0">
      <w:pPr>
        <w:pStyle w:val="NormalWeb"/>
        <w:numPr>
          <w:ilvl w:val="0"/>
          <w:numId w:val="7"/>
        </w:numPr>
        <w:spacing w:line="360" w:lineRule="auto"/>
        <w:jc w:val="both"/>
      </w:pPr>
      <w:r>
        <w:t xml:space="preserve">Backman, P. A., Williams, J. C., &amp; Crawford, M. A. (1982). Yield losses in soybean from anthracnose caused by </w:t>
      </w:r>
      <w:r>
        <w:rPr>
          <w:rStyle w:val="Emphasis"/>
        </w:rPr>
        <w:t xml:space="preserve">Colletotrichum </w:t>
      </w:r>
      <w:proofErr w:type="spellStart"/>
      <w:r>
        <w:rPr>
          <w:rStyle w:val="Emphasis"/>
        </w:rPr>
        <w:t>truncatum</w:t>
      </w:r>
      <w:proofErr w:type="spellEnd"/>
      <w:r>
        <w:t xml:space="preserve">. </w:t>
      </w:r>
      <w:r>
        <w:rPr>
          <w:rStyle w:val="Emphasis"/>
        </w:rPr>
        <w:t>Plant Disease, 66</w:t>
      </w:r>
      <w:r>
        <w:t>(11), 1032–1034.</w:t>
      </w:r>
    </w:p>
    <w:p w14:paraId="40E800FD" w14:textId="77777777" w:rsidR="006A04A0" w:rsidRDefault="006A04A0" w:rsidP="006A04A0">
      <w:pPr>
        <w:pStyle w:val="NormalWeb"/>
        <w:numPr>
          <w:ilvl w:val="0"/>
          <w:numId w:val="7"/>
        </w:numPr>
        <w:spacing w:line="360" w:lineRule="auto"/>
        <w:jc w:val="both"/>
      </w:pPr>
      <w:proofErr w:type="spellStart"/>
      <w:r>
        <w:t>Bankoliya</w:t>
      </w:r>
      <w:proofErr w:type="spellEnd"/>
      <w:r>
        <w:t xml:space="preserve">, M., Yadav, V. K., Kumar, A., </w:t>
      </w:r>
      <w:proofErr w:type="spellStart"/>
      <w:r>
        <w:t>Amrate</w:t>
      </w:r>
      <w:proofErr w:type="spellEnd"/>
      <w:r>
        <w:t xml:space="preserve">, P., &amp; Bhatt, J. (2022). The resistance screening and in-vitro efficacy of fungicides for the management of dry root rot of chickpea caused by </w:t>
      </w:r>
      <w:proofErr w:type="spellStart"/>
      <w:r>
        <w:rPr>
          <w:rStyle w:val="Emphasis"/>
        </w:rPr>
        <w:t>Rhizoctonia</w:t>
      </w:r>
      <w:proofErr w:type="spellEnd"/>
      <w:r>
        <w:rPr>
          <w:rStyle w:val="Emphasis"/>
        </w:rPr>
        <w:t xml:space="preserve"> </w:t>
      </w:r>
      <w:proofErr w:type="spellStart"/>
      <w:r>
        <w:rPr>
          <w:rStyle w:val="Emphasis"/>
        </w:rPr>
        <w:t>bataticola</w:t>
      </w:r>
      <w:proofErr w:type="spellEnd"/>
      <w:r>
        <w:t xml:space="preserve">. </w:t>
      </w:r>
      <w:r>
        <w:rPr>
          <w:rStyle w:val="Emphasis"/>
        </w:rPr>
        <w:t>Environment Conservation Journal, 23</w:t>
      </w:r>
      <w:r>
        <w:t>(3), 8–13.</w:t>
      </w:r>
    </w:p>
    <w:p w14:paraId="1F7ACE2B" w14:textId="77777777" w:rsidR="006A04A0" w:rsidRDefault="006A04A0" w:rsidP="006A04A0">
      <w:pPr>
        <w:pStyle w:val="NormalWeb"/>
        <w:numPr>
          <w:ilvl w:val="0"/>
          <w:numId w:val="7"/>
        </w:numPr>
        <w:spacing w:line="360" w:lineRule="auto"/>
        <w:jc w:val="both"/>
      </w:pPr>
      <w:r>
        <w:t xml:space="preserve">Bansal, R., Pachauri, S., </w:t>
      </w:r>
      <w:proofErr w:type="spellStart"/>
      <w:r>
        <w:t>Gururajaiah</w:t>
      </w:r>
      <w:proofErr w:type="spellEnd"/>
      <w:r>
        <w:t xml:space="preserve">, D., </w:t>
      </w:r>
      <w:proofErr w:type="spellStart"/>
      <w:r>
        <w:t>Sherkhane</w:t>
      </w:r>
      <w:proofErr w:type="spellEnd"/>
      <w:r>
        <w:t xml:space="preserve">, P. D., Khan, Z., Gupta, S., Banerjee, K., Kumar, A., &amp; Mukherjee, P. K. (2021). Dual role of a dedicated GAPDH in the biosynthesis of volatile and non-volatile metabolites: Novel insights into the regulation of secondary metabolism in </w:t>
      </w:r>
      <w:r>
        <w:rPr>
          <w:rStyle w:val="Emphasis"/>
        </w:rPr>
        <w:t>Trichoderma virens</w:t>
      </w:r>
      <w:r>
        <w:t xml:space="preserve">. </w:t>
      </w:r>
      <w:r>
        <w:rPr>
          <w:rStyle w:val="Emphasis"/>
        </w:rPr>
        <w:t>Microbiological Research, 253,</w:t>
      </w:r>
      <w:r>
        <w:t xml:space="preserve"> 126862.</w:t>
      </w:r>
    </w:p>
    <w:p w14:paraId="4543FC72" w14:textId="77777777" w:rsidR="006A04A0" w:rsidRDefault="006A04A0" w:rsidP="006A04A0">
      <w:pPr>
        <w:pStyle w:val="NormalWeb"/>
        <w:numPr>
          <w:ilvl w:val="0"/>
          <w:numId w:val="7"/>
        </w:numPr>
        <w:spacing w:line="360" w:lineRule="auto"/>
        <w:jc w:val="both"/>
      </w:pPr>
      <w:r>
        <w:t xml:space="preserve">Dias, M. D., Fonseca, M. E. N., Dias-Neto, J. J., Santos, M. D., Pandolfo, G. M., Boiteux, L. S., &amp; Café-Filho, A. C. (2018). Biology, pathogenicity, and haplotype analyses of </w:t>
      </w:r>
      <w:r>
        <w:rPr>
          <w:rStyle w:val="Emphasis"/>
        </w:rPr>
        <w:t xml:space="preserve">Colletotrichum </w:t>
      </w:r>
      <w:proofErr w:type="spellStart"/>
      <w:r>
        <w:rPr>
          <w:rStyle w:val="Emphasis"/>
        </w:rPr>
        <w:t>cliviae</w:t>
      </w:r>
      <w:proofErr w:type="spellEnd"/>
      <w:r>
        <w:t xml:space="preserve">: A novel soybean anthracnose agent in warm tropical areas. </w:t>
      </w:r>
      <w:r>
        <w:rPr>
          <w:rStyle w:val="Emphasis"/>
        </w:rPr>
        <w:t>Tropical Plant Pathology, 43</w:t>
      </w:r>
      <w:r>
        <w:t>(5), 439–451.</w:t>
      </w:r>
    </w:p>
    <w:p w14:paraId="5C387D6D" w14:textId="77777777" w:rsidR="006A04A0" w:rsidRDefault="006A04A0" w:rsidP="006A04A0">
      <w:pPr>
        <w:pStyle w:val="NormalWeb"/>
        <w:numPr>
          <w:ilvl w:val="0"/>
          <w:numId w:val="7"/>
        </w:numPr>
        <w:spacing w:line="360" w:lineRule="auto"/>
        <w:jc w:val="both"/>
      </w:pPr>
      <w:r>
        <w:lastRenderedPageBreak/>
        <w:t xml:space="preserve">Dias, M. D., Pinheiro, V. F., &amp; Café-Filho, A. C. (2016). Impact of anthracnose on the yield of soybean subjected to chemical control in the north region of Brazil. </w:t>
      </w:r>
      <w:r>
        <w:rPr>
          <w:rStyle w:val="Emphasis"/>
        </w:rPr>
        <w:t xml:space="preserve">Summa </w:t>
      </w:r>
      <w:proofErr w:type="spellStart"/>
      <w:r>
        <w:rPr>
          <w:rStyle w:val="Emphasis"/>
        </w:rPr>
        <w:t>Phytopathologica</w:t>
      </w:r>
      <w:proofErr w:type="spellEnd"/>
      <w:r>
        <w:rPr>
          <w:rStyle w:val="Emphasis"/>
        </w:rPr>
        <w:t>, 42</w:t>
      </w:r>
      <w:r>
        <w:t>(1), 18–23.</w:t>
      </w:r>
    </w:p>
    <w:p w14:paraId="7E309A88" w14:textId="77777777" w:rsidR="006A04A0" w:rsidRDefault="006A04A0" w:rsidP="006A04A0">
      <w:pPr>
        <w:pStyle w:val="NormalWeb"/>
        <w:numPr>
          <w:ilvl w:val="0"/>
          <w:numId w:val="7"/>
        </w:numPr>
        <w:spacing w:line="360" w:lineRule="auto"/>
        <w:jc w:val="both"/>
      </w:pPr>
      <w:proofErr w:type="spellStart"/>
      <w:r>
        <w:t>Dinkwar</w:t>
      </w:r>
      <w:proofErr w:type="spellEnd"/>
      <w:r>
        <w:t xml:space="preserve">, G. T., Yadav, V. K., Kumar, A., Nema, S., &amp; Mishra, S. (2023). Compatibility of fungicides with potent </w:t>
      </w:r>
      <w:r>
        <w:rPr>
          <w:rStyle w:val="Emphasis"/>
        </w:rPr>
        <w:t>Trichoderma</w:t>
      </w:r>
      <w:r>
        <w:t xml:space="preserve"> isolates. </w:t>
      </w:r>
      <w:r>
        <w:rPr>
          <w:rStyle w:val="Emphasis"/>
        </w:rPr>
        <w:t>International Journal of Plant &amp; Soil Science, 35</w:t>
      </w:r>
      <w:r>
        <w:t>(18), 1934–1948.</w:t>
      </w:r>
    </w:p>
    <w:p w14:paraId="29A54EBD" w14:textId="77777777" w:rsidR="006A04A0" w:rsidRDefault="006A04A0" w:rsidP="006A04A0">
      <w:pPr>
        <w:pStyle w:val="NormalWeb"/>
        <w:numPr>
          <w:ilvl w:val="0"/>
          <w:numId w:val="7"/>
        </w:numPr>
        <w:spacing w:line="360" w:lineRule="auto"/>
        <w:jc w:val="both"/>
      </w:pPr>
      <w:proofErr w:type="spellStart"/>
      <w:r>
        <w:t>Dinkwar</w:t>
      </w:r>
      <w:proofErr w:type="spellEnd"/>
      <w:r>
        <w:t xml:space="preserve">, G. T., Yadav, V. K., Kumar, A., Nema, S., &amp; Mishra, S. (2023). Compatibility of fungicides with potent </w:t>
      </w:r>
      <w:r>
        <w:rPr>
          <w:rStyle w:val="Emphasis"/>
        </w:rPr>
        <w:t>Trichoderma</w:t>
      </w:r>
      <w:r>
        <w:t xml:space="preserve"> isolates. </w:t>
      </w:r>
      <w:r>
        <w:rPr>
          <w:rStyle w:val="Emphasis"/>
        </w:rPr>
        <w:t>International Journal of Plant &amp; Soil Science, 35</w:t>
      </w:r>
      <w:r>
        <w:t>(16), 1934–1946.</w:t>
      </w:r>
    </w:p>
    <w:p w14:paraId="45CA81E6" w14:textId="77777777" w:rsidR="006A04A0" w:rsidRDefault="006A04A0" w:rsidP="006A04A0">
      <w:pPr>
        <w:pStyle w:val="NormalWeb"/>
        <w:numPr>
          <w:ilvl w:val="0"/>
          <w:numId w:val="7"/>
        </w:numPr>
        <w:spacing w:line="360" w:lineRule="auto"/>
        <w:jc w:val="both"/>
      </w:pPr>
      <w:proofErr w:type="spellStart"/>
      <w:r>
        <w:t>Gawade</w:t>
      </w:r>
      <w:proofErr w:type="spellEnd"/>
      <w:r>
        <w:t xml:space="preserve">, D. B., &amp; </w:t>
      </w:r>
      <w:proofErr w:type="spellStart"/>
      <w:r>
        <w:t>Suryawanshi</w:t>
      </w:r>
      <w:proofErr w:type="spellEnd"/>
      <w:r>
        <w:t xml:space="preserve">, A. P. (2009). In vitro evaluation of fungicides, botanicals and bioagents against </w:t>
      </w:r>
      <w:r>
        <w:rPr>
          <w:rStyle w:val="Emphasis"/>
        </w:rPr>
        <w:t xml:space="preserve">Colletotrichum </w:t>
      </w:r>
      <w:proofErr w:type="spellStart"/>
      <w:r>
        <w:rPr>
          <w:rStyle w:val="Emphasis"/>
        </w:rPr>
        <w:t>truncatum</w:t>
      </w:r>
      <w:proofErr w:type="spellEnd"/>
      <w:r>
        <w:t xml:space="preserve"> soybean anthracnose. </w:t>
      </w:r>
      <w:r>
        <w:rPr>
          <w:rStyle w:val="Emphasis"/>
        </w:rPr>
        <w:t>Plant Disease Research, 24</w:t>
      </w:r>
      <w:r>
        <w:t>(2), 120–123.</w:t>
      </w:r>
    </w:p>
    <w:p w14:paraId="04E63B36" w14:textId="77777777" w:rsidR="006A04A0" w:rsidRDefault="006A04A0" w:rsidP="006A04A0">
      <w:pPr>
        <w:pStyle w:val="NormalWeb"/>
        <w:numPr>
          <w:ilvl w:val="0"/>
          <w:numId w:val="7"/>
        </w:numPr>
        <w:spacing w:line="360" w:lineRule="auto"/>
        <w:jc w:val="both"/>
      </w:pPr>
      <w:r>
        <w:t xml:space="preserve">Gujar, P. D., Borkar, S. G., &amp; Raut, B. T. (2021). Evaluation of fungicides and bioagents against </w:t>
      </w:r>
      <w:r>
        <w:rPr>
          <w:rStyle w:val="Emphasis"/>
        </w:rPr>
        <w:t xml:space="preserve">Colletotrichum </w:t>
      </w:r>
      <w:proofErr w:type="spellStart"/>
      <w:r>
        <w:rPr>
          <w:rStyle w:val="Emphasis"/>
        </w:rPr>
        <w:t>truncatum</w:t>
      </w:r>
      <w:proofErr w:type="spellEnd"/>
      <w:r>
        <w:t xml:space="preserve">, the incitant of anthracnose of soybean. </w:t>
      </w:r>
      <w:r>
        <w:rPr>
          <w:rStyle w:val="Emphasis"/>
        </w:rPr>
        <w:t>Journal of Pharmacognosy and Phytochemistry, 10</w:t>
      </w:r>
      <w:r>
        <w:t>(4), 1155–1158.</w:t>
      </w:r>
    </w:p>
    <w:p w14:paraId="0F7A3440" w14:textId="77777777" w:rsidR="006A04A0" w:rsidRDefault="006A04A0" w:rsidP="006A04A0">
      <w:pPr>
        <w:pStyle w:val="NormalWeb"/>
        <w:numPr>
          <w:ilvl w:val="0"/>
          <w:numId w:val="7"/>
        </w:numPr>
        <w:spacing w:line="360" w:lineRule="auto"/>
        <w:jc w:val="both"/>
      </w:pPr>
      <w:proofErr w:type="spellStart"/>
      <w:r>
        <w:t>Güzeler</w:t>
      </w:r>
      <w:proofErr w:type="spellEnd"/>
      <w:r>
        <w:t xml:space="preserve">, N., &amp; Yıldırım, Ç. (2016). The utilization and processing of soybean and soybean products. </w:t>
      </w:r>
      <w:r>
        <w:rPr>
          <w:rStyle w:val="Emphasis"/>
        </w:rPr>
        <w:t>International Journal of Food Science and Nutrition Engineering, 6</w:t>
      </w:r>
      <w:r>
        <w:t>(2), 21–27.</w:t>
      </w:r>
    </w:p>
    <w:p w14:paraId="5E33467A" w14:textId="77777777" w:rsidR="006A04A0" w:rsidRDefault="006A04A0" w:rsidP="006A04A0">
      <w:pPr>
        <w:pStyle w:val="NormalWeb"/>
        <w:numPr>
          <w:ilvl w:val="0"/>
          <w:numId w:val="7"/>
        </w:numPr>
        <w:spacing w:line="360" w:lineRule="auto"/>
        <w:jc w:val="both"/>
      </w:pPr>
      <w:r>
        <w:t xml:space="preserve">Jain, A. K., Kumar, A., Chouhan, S. S., &amp; Tripathi, S. K. (2017). Cultural characteristics and evaluation of </w:t>
      </w:r>
      <w:r>
        <w:rPr>
          <w:rStyle w:val="Emphasis"/>
        </w:rPr>
        <w:t>Trichoderma</w:t>
      </w:r>
      <w:r>
        <w:t xml:space="preserve"> isolates against </w:t>
      </w:r>
      <w:proofErr w:type="spellStart"/>
      <w:r>
        <w:rPr>
          <w:rStyle w:val="Emphasis"/>
        </w:rPr>
        <w:t>Rhizoctonia</w:t>
      </w:r>
      <w:proofErr w:type="spellEnd"/>
      <w:r>
        <w:rPr>
          <w:rStyle w:val="Emphasis"/>
        </w:rPr>
        <w:t xml:space="preserve"> </w:t>
      </w:r>
      <w:proofErr w:type="spellStart"/>
      <w:r>
        <w:rPr>
          <w:rStyle w:val="Emphasis"/>
        </w:rPr>
        <w:t>solani</w:t>
      </w:r>
      <w:proofErr w:type="spellEnd"/>
      <w:r>
        <w:t xml:space="preserve"> </w:t>
      </w:r>
      <w:proofErr w:type="spellStart"/>
      <w:r>
        <w:t>Kühn</w:t>
      </w:r>
      <w:proofErr w:type="spellEnd"/>
      <w:r>
        <w:t xml:space="preserve"> causing banded leaf and sheath blight of little millet. </w:t>
      </w:r>
      <w:r>
        <w:rPr>
          <w:rStyle w:val="Emphasis"/>
        </w:rPr>
        <w:t>Annals of Plant Protection Sciences, 25</w:t>
      </w:r>
      <w:r>
        <w:t>(1), 140–143.</w:t>
      </w:r>
    </w:p>
    <w:p w14:paraId="70239E3E" w14:textId="77777777" w:rsidR="006A04A0" w:rsidRDefault="006A04A0" w:rsidP="006A04A0">
      <w:pPr>
        <w:pStyle w:val="NormalWeb"/>
        <w:numPr>
          <w:ilvl w:val="0"/>
          <w:numId w:val="7"/>
        </w:numPr>
        <w:spacing w:line="360" w:lineRule="auto"/>
        <w:jc w:val="both"/>
      </w:pPr>
      <w:proofErr w:type="spellStart"/>
      <w:r>
        <w:t>Kharte</w:t>
      </w:r>
      <w:proofErr w:type="spellEnd"/>
      <w:r>
        <w:t xml:space="preserve">, S., Kumar, A., Sharma, S., Ramakrishnan, R. S., Kumar, S., Malvi, S., Singh, Y., &amp; Kurmi, S. (2022). In vitro evaluation of fungicides and bio-agents for the management of lentil wilt caused by </w:t>
      </w:r>
      <w:r>
        <w:rPr>
          <w:rStyle w:val="Emphasis"/>
        </w:rPr>
        <w:t xml:space="preserve">Fusarium </w:t>
      </w:r>
      <w:proofErr w:type="spellStart"/>
      <w:r>
        <w:rPr>
          <w:rStyle w:val="Emphasis"/>
        </w:rPr>
        <w:t>oxysporum</w:t>
      </w:r>
      <w:proofErr w:type="spellEnd"/>
      <w:r>
        <w:t xml:space="preserve"> f. sp. </w:t>
      </w:r>
      <w:proofErr w:type="spellStart"/>
      <w:r>
        <w:rPr>
          <w:rStyle w:val="Emphasis"/>
        </w:rPr>
        <w:t>lentis</w:t>
      </w:r>
      <w:proofErr w:type="spellEnd"/>
      <w:r>
        <w:t xml:space="preserve">. </w:t>
      </w:r>
      <w:r>
        <w:rPr>
          <w:rStyle w:val="Emphasis"/>
        </w:rPr>
        <w:t>Biological Forum – An International Journal, 14</w:t>
      </w:r>
      <w:r>
        <w:t>(4), 489–495.</w:t>
      </w:r>
    </w:p>
    <w:p w14:paraId="217AAE41" w14:textId="77777777" w:rsidR="006A04A0" w:rsidRDefault="006A04A0" w:rsidP="006A04A0">
      <w:pPr>
        <w:pStyle w:val="NormalWeb"/>
        <w:numPr>
          <w:ilvl w:val="0"/>
          <w:numId w:val="7"/>
        </w:numPr>
        <w:spacing w:line="360" w:lineRule="auto"/>
        <w:jc w:val="both"/>
      </w:pPr>
      <w:proofErr w:type="spellStart"/>
      <w:r>
        <w:t>Kharte</w:t>
      </w:r>
      <w:proofErr w:type="spellEnd"/>
      <w:r>
        <w:t xml:space="preserve">, S., Kumar, A., Sharma, S., Ramakrishnan, R. S., Kumar, S., Malvi, S., &amp; Kurmi, S. (2022). In vitro evaluation of fungicides and bio-agents for the management of lentil wilt caused by </w:t>
      </w:r>
      <w:r>
        <w:rPr>
          <w:rStyle w:val="Emphasis"/>
        </w:rPr>
        <w:t xml:space="preserve">Fusarium </w:t>
      </w:r>
      <w:proofErr w:type="spellStart"/>
      <w:r>
        <w:rPr>
          <w:rStyle w:val="Emphasis"/>
        </w:rPr>
        <w:t>oxysporum</w:t>
      </w:r>
      <w:proofErr w:type="spellEnd"/>
      <w:r>
        <w:t xml:space="preserve"> f. sp. </w:t>
      </w:r>
      <w:proofErr w:type="spellStart"/>
      <w:r>
        <w:rPr>
          <w:rStyle w:val="Emphasis"/>
        </w:rPr>
        <w:t>lentis</w:t>
      </w:r>
      <w:proofErr w:type="spellEnd"/>
      <w:r>
        <w:t xml:space="preserve">. </w:t>
      </w:r>
      <w:r>
        <w:rPr>
          <w:rStyle w:val="Emphasis"/>
        </w:rPr>
        <w:t>Biological Forum – An International Journal, 14</w:t>
      </w:r>
      <w:r>
        <w:t>(4), 489–495.</w:t>
      </w:r>
    </w:p>
    <w:p w14:paraId="7A7BC5A8" w14:textId="77777777" w:rsidR="006A04A0" w:rsidRDefault="006A04A0" w:rsidP="006A04A0">
      <w:pPr>
        <w:pStyle w:val="NormalWeb"/>
        <w:numPr>
          <w:ilvl w:val="0"/>
          <w:numId w:val="7"/>
        </w:numPr>
        <w:spacing w:line="360" w:lineRule="auto"/>
        <w:jc w:val="both"/>
      </w:pPr>
      <w:r>
        <w:t xml:space="preserve">Kumar, A., &amp; Sahu, T. K. (2014). Studies on substrate evaluation for mass multiplication of </w:t>
      </w:r>
      <w:r>
        <w:rPr>
          <w:rStyle w:val="Emphasis"/>
        </w:rPr>
        <w:t>Trichoderma</w:t>
      </w:r>
      <w:r>
        <w:t xml:space="preserve"> species and their plant growth promotion activity in tomato. </w:t>
      </w:r>
      <w:r>
        <w:rPr>
          <w:rStyle w:val="Emphasis"/>
        </w:rPr>
        <w:t>International Journal of Plant Protection, 7</w:t>
      </w:r>
      <w:r>
        <w:t>(2), 382–388.</w:t>
      </w:r>
    </w:p>
    <w:p w14:paraId="795ABA42" w14:textId="77777777" w:rsidR="006A04A0" w:rsidRDefault="006A04A0" w:rsidP="006A04A0">
      <w:pPr>
        <w:pStyle w:val="NormalWeb"/>
        <w:numPr>
          <w:ilvl w:val="0"/>
          <w:numId w:val="7"/>
        </w:numPr>
        <w:spacing w:line="360" w:lineRule="auto"/>
        <w:jc w:val="both"/>
      </w:pPr>
      <w:r>
        <w:lastRenderedPageBreak/>
        <w:t xml:space="preserve">Kumar, A., &amp; Sahu, T. K. (2015). Use of local isolates of </w:t>
      </w:r>
      <w:r>
        <w:rPr>
          <w:rStyle w:val="Emphasis"/>
        </w:rPr>
        <w:t>Trichoderma</w:t>
      </w:r>
      <w:r>
        <w:t xml:space="preserve"> from Madhya Pradesh against </w:t>
      </w:r>
      <w:proofErr w:type="spellStart"/>
      <w:r>
        <w:rPr>
          <w:rStyle w:val="Emphasis"/>
        </w:rPr>
        <w:t>Rhizoctonia</w:t>
      </w:r>
      <w:proofErr w:type="spellEnd"/>
      <w:r>
        <w:rPr>
          <w:rStyle w:val="Emphasis"/>
        </w:rPr>
        <w:t xml:space="preserve"> </w:t>
      </w:r>
      <w:proofErr w:type="spellStart"/>
      <w:r>
        <w:rPr>
          <w:rStyle w:val="Emphasis"/>
        </w:rPr>
        <w:t>solani</w:t>
      </w:r>
      <w:proofErr w:type="spellEnd"/>
      <w:r>
        <w:t xml:space="preserve"> causing wet root rot of chickpea. </w:t>
      </w:r>
      <w:r>
        <w:rPr>
          <w:rStyle w:val="Emphasis"/>
        </w:rPr>
        <w:t>Environment and Ecology, 33</w:t>
      </w:r>
      <w:r>
        <w:t>(4), 1553–1557.</w:t>
      </w:r>
    </w:p>
    <w:p w14:paraId="28A87C79" w14:textId="77777777" w:rsidR="006A04A0" w:rsidRDefault="006A04A0" w:rsidP="006A04A0">
      <w:pPr>
        <w:pStyle w:val="NormalWeb"/>
        <w:numPr>
          <w:ilvl w:val="0"/>
          <w:numId w:val="7"/>
        </w:numPr>
        <w:spacing w:line="360" w:lineRule="auto"/>
        <w:jc w:val="both"/>
      </w:pPr>
      <w:r>
        <w:t xml:space="preserve">Kumar, A., Govil, M., Singh, S., Sharma, K. K., Tripathi, S. K., Tiwari, R. K., Tripathi, A. N., &amp; Singh, S. (2015). Role of micro-organisms in bioremediation: A comprehensive model using </w:t>
      </w:r>
      <w:r>
        <w:rPr>
          <w:rStyle w:val="Emphasis"/>
        </w:rPr>
        <w:t>Trichoderma</w:t>
      </w:r>
      <w:r>
        <w:t xml:space="preserve"> spp. In A. K. Sharma, S. Wahab, &amp; R. Srivastava (Eds.), </w:t>
      </w:r>
      <w:r>
        <w:rPr>
          <w:rStyle w:val="Emphasis"/>
        </w:rPr>
        <w:t>Handbook of research on uncovering new methods for ecosystem management through bioremediation</w:t>
      </w:r>
      <w:r>
        <w:t xml:space="preserve"> (pp. 29–50). IGI Global.</w:t>
      </w:r>
    </w:p>
    <w:p w14:paraId="62BC0998" w14:textId="77777777" w:rsidR="006A04A0" w:rsidRDefault="006A04A0" w:rsidP="006A04A0">
      <w:pPr>
        <w:pStyle w:val="NormalWeb"/>
        <w:numPr>
          <w:ilvl w:val="0"/>
          <w:numId w:val="7"/>
        </w:numPr>
        <w:spacing w:line="360" w:lineRule="auto"/>
        <w:jc w:val="both"/>
      </w:pPr>
      <w:r>
        <w:t xml:space="preserve">Kumar, A., Jain, A. K., Sahu, T. K., Singh, T. K., &amp; Shivcharan, S. (2013). Exploration of potential biocontrol agent </w:t>
      </w:r>
      <w:r>
        <w:rPr>
          <w:rStyle w:val="Emphasis"/>
        </w:rPr>
        <w:t>Trichoderma</w:t>
      </w:r>
      <w:r>
        <w:t xml:space="preserve"> spp. from Madhya Pradesh against </w:t>
      </w:r>
      <w:r>
        <w:rPr>
          <w:rStyle w:val="Emphasis"/>
        </w:rPr>
        <w:t xml:space="preserve">Fusarium </w:t>
      </w:r>
      <w:proofErr w:type="spellStart"/>
      <w:r>
        <w:rPr>
          <w:rStyle w:val="Emphasis"/>
        </w:rPr>
        <w:t>oxysporum</w:t>
      </w:r>
      <w:proofErr w:type="spellEnd"/>
      <w:r>
        <w:t xml:space="preserve"> f. sp. </w:t>
      </w:r>
      <w:proofErr w:type="spellStart"/>
      <w:r>
        <w:rPr>
          <w:rStyle w:val="Emphasis"/>
        </w:rPr>
        <w:t>ciceris</w:t>
      </w:r>
      <w:proofErr w:type="spellEnd"/>
      <w:r>
        <w:t xml:space="preserve"> causing wilt of chickpea. </w:t>
      </w:r>
      <w:r>
        <w:rPr>
          <w:rStyle w:val="Emphasis"/>
        </w:rPr>
        <w:t>Environment and Ecology, 31</w:t>
      </w:r>
      <w:r>
        <w:t>(2B), 877–882.</w:t>
      </w:r>
    </w:p>
    <w:p w14:paraId="62C8EBAD" w14:textId="77777777" w:rsidR="006A04A0" w:rsidRDefault="006A04A0" w:rsidP="006A04A0">
      <w:pPr>
        <w:pStyle w:val="NormalWeb"/>
        <w:numPr>
          <w:ilvl w:val="0"/>
          <w:numId w:val="7"/>
        </w:numPr>
        <w:spacing w:line="360" w:lineRule="auto"/>
        <w:jc w:val="both"/>
      </w:pPr>
      <w:r>
        <w:t xml:space="preserve">Kumar, A., Jain, A. K., Singh, J., Tripathi, S. K., &amp; Tiwari, R. K. (2016). In vitro studies on cultural characterization of a repository of local isolates of </w:t>
      </w:r>
      <w:r>
        <w:rPr>
          <w:rStyle w:val="Emphasis"/>
        </w:rPr>
        <w:t>Trichoderma</w:t>
      </w:r>
      <w:r>
        <w:t xml:space="preserve"> spp. from Madhya Pradesh. </w:t>
      </w:r>
      <w:r>
        <w:rPr>
          <w:rStyle w:val="Emphasis"/>
        </w:rPr>
        <w:t>Indian Phytopathology, 69</w:t>
      </w:r>
      <w:r>
        <w:t>(4s), 482–485.</w:t>
      </w:r>
    </w:p>
    <w:p w14:paraId="5106356C" w14:textId="77777777" w:rsidR="006A04A0" w:rsidRDefault="006A04A0" w:rsidP="006A04A0">
      <w:pPr>
        <w:pStyle w:val="NormalWeb"/>
        <w:numPr>
          <w:ilvl w:val="0"/>
          <w:numId w:val="7"/>
        </w:numPr>
        <w:spacing w:line="360" w:lineRule="auto"/>
        <w:jc w:val="both"/>
      </w:pPr>
      <w:r>
        <w:t xml:space="preserve">Kumar, A., Kumar, S., Srivastava, R., &amp; Sharma, A. K. (2009). Fungal biocontrol agents (BCAs) and their metabolites. In A. K. Sharma, S. Wahab, &amp; R. Srivastava (Eds.), </w:t>
      </w:r>
      <w:r>
        <w:rPr>
          <w:rStyle w:val="Emphasis"/>
        </w:rPr>
        <w:t>Agricultural diversification: Problems and prospects</w:t>
      </w:r>
      <w:r>
        <w:t xml:space="preserve"> (pp. 44–56). I. K. International, New Delhi.</w:t>
      </w:r>
    </w:p>
    <w:p w14:paraId="763C4773" w14:textId="77777777" w:rsidR="006A04A0" w:rsidRDefault="006A04A0" w:rsidP="006A04A0">
      <w:pPr>
        <w:pStyle w:val="NormalWeb"/>
        <w:numPr>
          <w:ilvl w:val="0"/>
          <w:numId w:val="7"/>
        </w:numPr>
        <w:spacing w:line="360" w:lineRule="auto"/>
        <w:jc w:val="both"/>
      </w:pPr>
      <w:r>
        <w:t xml:space="preserve">Kumar, A., Patel, A., Singh, S. N., &amp; Tiwari, R. K. (2019). Effect of </w:t>
      </w:r>
      <w:r>
        <w:rPr>
          <w:rStyle w:val="Emphasis"/>
        </w:rPr>
        <w:t>Trichoderma</w:t>
      </w:r>
      <w:r>
        <w:t xml:space="preserve"> spp. in plant growth promotion in chilli. </w:t>
      </w:r>
      <w:r>
        <w:rPr>
          <w:rStyle w:val="Emphasis"/>
        </w:rPr>
        <w:t>International Journal of Current Microbiology and Applied Sciences, 8</w:t>
      </w:r>
      <w:r>
        <w:t>(3), 1574–1581.</w:t>
      </w:r>
    </w:p>
    <w:p w14:paraId="018DF11B" w14:textId="77777777" w:rsidR="006A04A0" w:rsidRDefault="006A04A0" w:rsidP="006A04A0">
      <w:pPr>
        <w:pStyle w:val="NormalWeb"/>
        <w:numPr>
          <w:ilvl w:val="0"/>
          <w:numId w:val="7"/>
        </w:numPr>
        <w:spacing w:line="360" w:lineRule="auto"/>
        <w:jc w:val="both"/>
      </w:pPr>
      <w:r>
        <w:t xml:space="preserve">Kumar, A., Sahu, T. K., Bhalla, A., &amp; Solanki, S. (2014a). Influence of </w:t>
      </w:r>
      <w:r>
        <w:rPr>
          <w:rStyle w:val="Emphasis"/>
        </w:rPr>
        <w:t>Trichoderma</w:t>
      </w:r>
      <w:r>
        <w:t xml:space="preserve"> spp. against </w:t>
      </w:r>
      <w:proofErr w:type="spellStart"/>
      <w:r>
        <w:rPr>
          <w:rStyle w:val="Emphasis"/>
        </w:rPr>
        <w:t>Ustilaginoidea</w:t>
      </w:r>
      <w:proofErr w:type="spellEnd"/>
      <w:r>
        <w:rPr>
          <w:rStyle w:val="Emphasis"/>
        </w:rPr>
        <w:t xml:space="preserve"> </w:t>
      </w:r>
      <w:proofErr w:type="spellStart"/>
      <w:r>
        <w:rPr>
          <w:rStyle w:val="Emphasis"/>
        </w:rPr>
        <w:t>virens</w:t>
      </w:r>
      <w:proofErr w:type="spellEnd"/>
      <w:r>
        <w:t xml:space="preserve"> inciting false smut of rice. </w:t>
      </w:r>
      <w:r>
        <w:rPr>
          <w:rStyle w:val="Emphasis"/>
        </w:rPr>
        <w:t>Environment and Ecology, 32</w:t>
      </w:r>
      <w:r>
        <w:t>(1), 163–168.</w:t>
      </w:r>
    </w:p>
    <w:p w14:paraId="3D6742B2" w14:textId="77777777" w:rsidR="006A04A0" w:rsidRDefault="006A04A0" w:rsidP="006A04A0">
      <w:pPr>
        <w:pStyle w:val="NormalWeb"/>
        <w:numPr>
          <w:ilvl w:val="0"/>
          <w:numId w:val="7"/>
        </w:numPr>
        <w:spacing w:line="360" w:lineRule="auto"/>
        <w:jc w:val="both"/>
      </w:pPr>
      <w:r>
        <w:t xml:space="preserve">Kumar, A., Sahu, T. K., Bhalla, A., &amp; Jain, A. K. (2014b). Morphological characterization of </w:t>
      </w:r>
      <w:r>
        <w:rPr>
          <w:rStyle w:val="Emphasis"/>
        </w:rPr>
        <w:t xml:space="preserve">Trichoderma </w:t>
      </w:r>
      <w:proofErr w:type="spellStart"/>
      <w:r>
        <w:rPr>
          <w:rStyle w:val="Emphasis"/>
        </w:rPr>
        <w:t>harzianum</w:t>
      </w:r>
      <w:proofErr w:type="spellEnd"/>
      <w:r>
        <w:t xml:space="preserve"> from Madhya Pradesh. </w:t>
      </w:r>
      <w:r>
        <w:rPr>
          <w:rStyle w:val="Emphasis"/>
        </w:rPr>
        <w:t>Annals of Plant Protection Sciences, 22</w:t>
      </w:r>
      <w:r>
        <w:t>(1), 190–239.</w:t>
      </w:r>
    </w:p>
    <w:p w14:paraId="3D766EBF" w14:textId="77777777" w:rsidR="006A04A0" w:rsidRDefault="006A04A0" w:rsidP="006A04A0">
      <w:pPr>
        <w:pStyle w:val="NormalWeb"/>
        <w:numPr>
          <w:ilvl w:val="0"/>
          <w:numId w:val="7"/>
        </w:numPr>
        <w:spacing w:line="360" w:lineRule="auto"/>
        <w:jc w:val="both"/>
      </w:pPr>
      <w:proofErr w:type="spellStart"/>
      <w:r>
        <w:t>Latunde</w:t>
      </w:r>
      <w:proofErr w:type="spellEnd"/>
      <w:r>
        <w:t xml:space="preserve">-Dada, A. O. (2001). </w:t>
      </w:r>
      <w:r>
        <w:rPr>
          <w:rStyle w:val="Emphasis"/>
        </w:rPr>
        <w:t>Colletotrichum</w:t>
      </w:r>
      <w:r>
        <w:t xml:space="preserve">: Tales of forcible entry, stealth, transient confinement and breakout. </w:t>
      </w:r>
      <w:r>
        <w:rPr>
          <w:rStyle w:val="Emphasis"/>
        </w:rPr>
        <w:t>Molecular Plant Pathology, 2</w:t>
      </w:r>
      <w:r>
        <w:t>(4), 187–198.</w:t>
      </w:r>
    </w:p>
    <w:p w14:paraId="038370A7" w14:textId="77777777" w:rsidR="006A04A0" w:rsidRDefault="006A04A0" w:rsidP="006A04A0">
      <w:pPr>
        <w:pStyle w:val="NormalWeb"/>
        <w:numPr>
          <w:ilvl w:val="0"/>
          <w:numId w:val="7"/>
        </w:numPr>
        <w:spacing w:line="360" w:lineRule="auto"/>
        <w:jc w:val="both"/>
      </w:pPr>
      <w:r>
        <w:t xml:space="preserve">Masuda, T., &amp; Goldsmith, P. D. (2009). World soybean production: Area harvested, yield, and long-term projections. </w:t>
      </w:r>
      <w:r>
        <w:rPr>
          <w:rStyle w:val="Emphasis"/>
        </w:rPr>
        <w:t>International Food and Agribusiness Management Review, 12</w:t>
      </w:r>
      <w:r>
        <w:t>(4), 143–161.</w:t>
      </w:r>
    </w:p>
    <w:p w14:paraId="64857348" w14:textId="77777777" w:rsidR="006A04A0" w:rsidRDefault="006A04A0" w:rsidP="006A04A0">
      <w:pPr>
        <w:pStyle w:val="NormalWeb"/>
        <w:numPr>
          <w:ilvl w:val="0"/>
          <w:numId w:val="7"/>
        </w:numPr>
        <w:spacing w:line="360" w:lineRule="auto"/>
        <w:jc w:val="both"/>
      </w:pPr>
      <w:r>
        <w:lastRenderedPageBreak/>
        <w:t xml:space="preserve">Nagaraj, B. T. (2013). Studies on soybean anthracnose caused by </w:t>
      </w:r>
      <w:r>
        <w:rPr>
          <w:rStyle w:val="Emphasis"/>
        </w:rPr>
        <w:t xml:space="preserve">Colletotrichum </w:t>
      </w:r>
      <w:proofErr w:type="spellStart"/>
      <w:r>
        <w:rPr>
          <w:rStyle w:val="Emphasis"/>
        </w:rPr>
        <w:t>truncatum</w:t>
      </w:r>
      <w:proofErr w:type="spellEnd"/>
      <w:r>
        <w:t xml:space="preserve"> (</w:t>
      </w:r>
      <w:proofErr w:type="spellStart"/>
      <w:r>
        <w:t>Schw</w:t>
      </w:r>
      <w:proofErr w:type="spellEnd"/>
      <w:r>
        <w:t>.) Andrus and Moore (Master’s thesis, University of Agricultural Sciences, Dharwad).</w:t>
      </w:r>
    </w:p>
    <w:p w14:paraId="6EA48F55" w14:textId="77777777" w:rsidR="006A04A0" w:rsidRDefault="006A04A0" w:rsidP="006A04A0">
      <w:pPr>
        <w:pStyle w:val="NormalWeb"/>
        <w:numPr>
          <w:ilvl w:val="0"/>
          <w:numId w:val="7"/>
        </w:numPr>
        <w:spacing w:line="360" w:lineRule="auto"/>
        <w:jc w:val="both"/>
      </w:pPr>
      <w:r>
        <w:t xml:space="preserve">Nene, Y. L., &amp; Srivastava, S. S. L. (1971). Outbreaks and new records. </w:t>
      </w:r>
      <w:r>
        <w:rPr>
          <w:rStyle w:val="Emphasis"/>
        </w:rPr>
        <w:t>Plant Protection Bulletin (FAO), 19</w:t>
      </w:r>
      <w:r>
        <w:t>(2), 66–73.</w:t>
      </w:r>
    </w:p>
    <w:p w14:paraId="3A1BAB96" w14:textId="77777777" w:rsidR="006A04A0" w:rsidRDefault="006A04A0" w:rsidP="006A04A0">
      <w:pPr>
        <w:pStyle w:val="NormalWeb"/>
        <w:numPr>
          <w:ilvl w:val="0"/>
          <w:numId w:val="7"/>
        </w:numPr>
        <w:spacing w:line="360" w:lineRule="auto"/>
        <w:jc w:val="both"/>
      </w:pPr>
      <w:r>
        <w:t xml:space="preserve">Nene, Y. L., &amp; Thapliyal, P. N. (1993). </w:t>
      </w:r>
      <w:r>
        <w:rPr>
          <w:rStyle w:val="Emphasis"/>
        </w:rPr>
        <w:t>Fungicides in plant disease control</w:t>
      </w:r>
      <w:r>
        <w:t xml:space="preserve"> (3rd ed.). Oxford &amp; IBH Publishing Co. </w:t>
      </w:r>
      <w:proofErr w:type="spellStart"/>
      <w:r>
        <w:t>Pvt.</w:t>
      </w:r>
      <w:proofErr w:type="spellEnd"/>
      <w:r>
        <w:t xml:space="preserve"> Ltd.</w:t>
      </w:r>
    </w:p>
    <w:p w14:paraId="52926F22" w14:textId="77777777" w:rsidR="006A04A0" w:rsidRDefault="006A04A0" w:rsidP="006A04A0">
      <w:pPr>
        <w:pStyle w:val="NormalWeb"/>
        <w:numPr>
          <w:ilvl w:val="0"/>
          <w:numId w:val="7"/>
        </w:numPr>
        <w:spacing w:line="360" w:lineRule="auto"/>
        <w:jc w:val="both"/>
      </w:pPr>
      <w:r>
        <w:t xml:space="preserve">Parihar, S., Saxena, H. O., Kumar, A., &amp; Singh, S. (2024b). In-vitro antagonistic activity of </w:t>
      </w:r>
      <w:r>
        <w:rPr>
          <w:rStyle w:val="Emphasis"/>
        </w:rPr>
        <w:t>Trichoderma</w:t>
      </w:r>
      <w:r>
        <w:t xml:space="preserve"> spp. isolated from forest soils of central India against </w:t>
      </w:r>
      <w:proofErr w:type="spellStart"/>
      <w:r>
        <w:rPr>
          <w:rStyle w:val="Emphasis"/>
        </w:rPr>
        <w:t>Macrophomina</w:t>
      </w:r>
      <w:proofErr w:type="spellEnd"/>
      <w:r>
        <w:rPr>
          <w:rStyle w:val="Emphasis"/>
        </w:rPr>
        <w:t xml:space="preserve"> </w:t>
      </w:r>
      <w:proofErr w:type="spellStart"/>
      <w:r>
        <w:rPr>
          <w:rStyle w:val="Emphasis"/>
        </w:rPr>
        <w:t>phaseolina</w:t>
      </w:r>
      <w:proofErr w:type="spellEnd"/>
      <w:r>
        <w:t xml:space="preserve"> for identification of potential strain. </w:t>
      </w:r>
      <w:proofErr w:type="spellStart"/>
      <w:r>
        <w:rPr>
          <w:rStyle w:val="Emphasis"/>
        </w:rPr>
        <w:t>Vegetos</w:t>
      </w:r>
      <w:proofErr w:type="spellEnd"/>
      <w:r>
        <w:rPr>
          <w:rStyle w:val="Emphasis"/>
        </w:rPr>
        <w:t>, 38,</w:t>
      </w:r>
      <w:r>
        <w:t xml:space="preserve"> 1643–1649.</w:t>
      </w:r>
    </w:p>
    <w:p w14:paraId="56BE5CCB" w14:textId="77777777" w:rsidR="006A04A0" w:rsidRDefault="006A04A0" w:rsidP="006A04A0">
      <w:pPr>
        <w:pStyle w:val="NormalWeb"/>
        <w:numPr>
          <w:ilvl w:val="0"/>
          <w:numId w:val="7"/>
        </w:numPr>
        <w:spacing w:line="360" w:lineRule="auto"/>
        <w:jc w:val="both"/>
      </w:pPr>
      <w:r>
        <w:t xml:space="preserve">Parihar, S., Saxena, H. O., Singh, S., Kumar, A., &amp; Chauhan, P. S. (2024a). Characterisation and antagonistic potential of </w:t>
      </w:r>
      <w:r>
        <w:rPr>
          <w:rStyle w:val="Emphasis"/>
        </w:rPr>
        <w:t>Trichoderma</w:t>
      </w:r>
      <w:r>
        <w:t xml:space="preserve"> species isolated from forest soils of central India against </w:t>
      </w:r>
      <w:proofErr w:type="spellStart"/>
      <w:r>
        <w:rPr>
          <w:rStyle w:val="Emphasis"/>
        </w:rPr>
        <w:t>Rhizoctonia</w:t>
      </w:r>
      <w:proofErr w:type="spellEnd"/>
      <w:r>
        <w:rPr>
          <w:rStyle w:val="Emphasis"/>
        </w:rPr>
        <w:t xml:space="preserve"> </w:t>
      </w:r>
      <w:proofErr w:type="spellStart"/>
      <w:r>
        <w:rPr>
          <w:rStyle w:val="Emphasis"/>
        </w:rPr>
        <w:t>solani</w:t>
      </w:r>
      <w:proofErr w:type="spellEnd"/>
      <w:r>
        <w:t xml:space="preserve">. </w:t>
      </w:r>
      <w:r>
        <w:rPr>
          <w:rStyle w:val="Emphasis"/>
        </w:rPr>
        <w:t>Tropical Agriculture, 101</w:t>
      </w:r>
      <w:r>
        <w:t>(2), 161–167.</w:t>
      </w:r>
    </w:p>
    <w:p w14:paraId="5FFAB1BC" w14:textId="77777777" w:rsidR="006A04A0" w:rsidRDefault="006A04A0" w:rsidP="006A04A0">
      <w:pPr>
        <w:pStyle w:val="NormalWeb"/>
        <w:numPr>
          <w:ilvl w:val="0"/>
          <w:numId w:val="7"/>
        </w:numPr>
        <w:spacing w:line="360" w:lineRule="auto"/>
        <w:jc w:val="both"/>
      </w:pPr>
      <w:r>
        <w:t xml:space="preserve">Rajashree, G., Patil, M. B., </w:t>
      </w:r>
      <w:proofErr w:type="spellStart"/>
      <w:r>
        <w:t>Aswathanarayana</w:t>
      </w:r>
      <w:proofErr w:type="spellEnd"/>
      <w:r>
        <w:t xml:space="preserve">, D. S., Mallikarjun, K., &amp; Sreenivas, A. G. (2020). Effect of different fungicides and bioagents against </w:t>
      </w:r>
      <w:r>
        <w:rPr>
          <w:rStyle w:val="Emphasis"/>
        </w:rPr>
        <w:t xml:space="preserve">Colletotrichum </w:t>
      </w:r>
      <w:proofErr w:type="spellStart"/>
      <w:r>
        <w:rPr>
          <w:rStyle w:val="Emphasis"/>
        </w:rPr>
        <w:t>truncatum</w:t>
      </w:r>
      <w:proofErr w:type="spellEnd"/>
      <w:r>
        <w:t xml:space="preserve"> (</w:t>
      </w:r>
      <w:proofErr w:type="spellStart"/>
      <w:r>
        <w:t>Schw</w:t>
      </w:r>
      <w:proofErr w:type="spellEnd"/>
      <w:r>
        <w:t xml:space="preserve">.) causing anthracnose of </w:t>
      </w:r>
      <w:proofErr w:type="spellStart"/>
      <w:r>
        <w:t>greengram</w:t>
      </w:r>
      <w:proofErr w:type="spellEnd"/>
      <w:r>
        <w:t xml:space="preserve"> [</w:t>
      </w:r>
      <w:r>
        <w:rPr>
          <w:rStyle w:val="Emphasis"/>
        </w:rPr>
        <w:t>Vigna radiata</w:t>
      </w:r>
      <w:r>
        <w:t xml:space="preserve"> (L.) Wilczek] in vitro. </w:t>
      </w:r>
      <w:r>
        <w:rPr>
          <w:rStyle w:val="Emphasis"/>
        </w:rPr>
        <w:t>Journal of Pharmacognosy and Phytochemistry, 9</w:t>
      </w:r>
      <w:r>
        <w:t>(2), 1168–1175.</w:t>
      </w:r>
    </w:p>
    <w:p w14:paraId="2F8158E8" w14:textId="77777777" w:rsidR="006A04A0" w:rsidRDefault="006A04A0" w:rsidP="006A04A0">
      <w:pPr>
        <w:pStyle w:val="NormalWeb"/>
        <w:numPr>
          <w:ilvl w:val="0"/>
          <w:numId w:val="7"/>
        </w:numPr>
        <w:spacing w:line="360" w:lineRule="auto"/>
        <w:jc w:val="both"/>
      </w:pPr>
      <w:r>
        <w:t xml:space="preserve">Sharma, A. (2020). Molecular identification and variability of </w:t>
      </w:r>
      <w:r>
        <w:rPr>
          <w:rStyle w:val="Emphasis"/>
        </w:rPr>
        <w:t xml:space="preserve">Colletotrichum </w:t>
      </w:r>
      <w:proofErr w:type="spellStart"/>
      <w:r>
        <w:rPr>
          <w:rStyle w:val="Emphasis"/>
        </w:rPr>
        <w:t>truncatum</w:t>
      </w:r>
      <w:proofErr w:type="spellEnd"/>
      <w:r>
        <w:t xml:space="preserve"> isolates infecting soybean in India. </w:t>
      </w:r>
      <w:r>
        <w:rPr>
          <w:rStyle w:val="Emphasis"/>
        </w:rPr>
        <w:t>Journal of Pharmacognosy and Phytochemistry, 9</w:t>
      </w:r>
      <w:r>
        <w:t>(3), 1510–1514.</w:t>
      </w:r>
    </w:p>
    <w:p w14:paraId="103C8D6F" w14:textId="77777777" w:rsidR="006A04A0" w:rsidRDefault="006A04A0" w:rsidP="006A04A0">
      <w:pPr>
        <w:pStyle w:val="NormalWeb"/>
        <w:numPr>
          <w:ilvl w:val="0"/>
          <w:numId w:val="7"/>
        </w:numPr>
        <w:spacing w:line="360" w:lineRule="auto"/>
        <w:jc w:val="both"/>
      </w:pPr>
      <w:proofErr w:type="spellStart"/>
      <w:r>
        <w:t>Shashikumara</w:t>
      </w:r>
      <w:proofErr w:type="spellEnd"/>
      <w:r>
        <w:t xml:space="preserve">, B., Rajeswari, B., Uma Devi, G., Sridevi, G., &amp; Somashekhar, K. (2020). In vitro evaluation of fungicides, botanicals and bioagents against </w:t>
      </w:r>
      <w:r>
        <w:rPr>
          <w:rStyle w:val="Emphasis"/>
        </w:rPr>
        <w:t xml:space="preserve">Colletotrichum </w:t>
      </w:r>
      <w:proofErr w:type="spellStart"/>
      <w:r>
        <w:rPr>
          <w:rStyle w:val="Emphasis"/>
        </w:rPr>
        <w:t>truncatum</w:t>
      </w:r>
      <w:proofErr w:type="spellEnd"/>
      <w:r>
        <w:t xml:space="preserve">. </w:t>
      </w:r>
      <w:r>
        <w:rPr>
          <w:rStyle w:val="Emphasis"/>
        </w:rPr>
        <w:t>International Journal of Current Microbiology and Applied Sciences, 9</w:t>
      </w:r>
      <w:r>
        <w:t>(7), 551–556.</w:t>
      </w:r>
    </w:p>
    <w:p w14:paraId="7E0A83EF" w14:textId="77777777" w:rsidR="006A04A0" w:rsidRDefault="006A04A0" w:rsidP="006A04A0">
      <w:pPr>
        <w:pStyle w:val="NormalWeb"/>
        <w:numPr>
          <w:ilvl w:val="0"/>
          <w:numId w:val="7"/>
        </w:numPr>
        <w:spacing w:line="360" w:lineRule="auto"/>
        <w:jc w:val="both"/>
      </w:pPr>
      <w:r>
        <w:t xml:space="preserve">Singh, Y., Bhatt, J., Yadav, V. K., Kumar, A., </w:t>
      </w:r>
      <w:proofErr w:type="spellStart"/>
      <w:r>
        <w:t>Kharte</w:t>
      </w:r>
      <w:proofErr w:type="spellEnd"/>
      <w:r>
        <w:t xml:space="preserve">, S., &amp; </w:t>
      </w:r>
      <w:proofErr w:type="spellStart"/>
      <w:r>
        <w:t>Malempati</w:t>
      </w:r>
      <w:proofErr w:type="spellEnd"/>
      <w:r>
        <w:t xml:space="preserve">, S. S. S. (2023). In vitro management of fusarium wilt of linseed using phytoextract, fungicides and bioagents. </w:t>
      </w:r>
      <w:r>
        <w:rPr>
          <w:rStyle w:val="Emphasis"/>
        </w:rPr>
        <w:t>Environment Conservation Journal, 24</w:t>
      </w:r>
      <w:r>
        <w:t>(4), 96–105.</w:t>
      </w:r>
    </w:p>
    <w:p w14:paraId="747452E5" w14:textId="77777777" w:rsidR="006A04A0" w:rsidRDefault="006A04A0" w:rsidP="006A04A0">
      <w:pPr>
        <w:pStyle w:val="NormalWeb"/>
        <w:numPr>
          <w:ilvl w:val="0"/>
          <w:numId w:val="7"/>
        </w:numPr>
        <w:spacing w:line="360" w:lineRule="auto"/>
        <w:jc w:val="both"/>
      </w:pPr>
      <w:r>
        <w:t xml:space="preserve">Srivastava, S. S. L., &amp; Nene, Y. L. (1971). Outbreaks and new records. </w:t>
      </w:r>
      <w:r>
        <w:rPr>
          <w:rStyle w:val="Emphasis"/>
        </w:rPr>
        <w:t>Plant Protection Bulletin (FAO), 19</w:t>
      </w:r>
      <w:r>
        <w:t>(2), 66–73.</w:t>
      </w:r>
    </w:p>
    <w:p w14:paraId="2D9D0AC3" w14:textId="77777777" w:rsidR="006A04A0" w:rsidRDefault="006A04A0" w:rsidP="006A04A0">
      <w:pPr>
        <w:pStyle w:val="NormalWeb"/>
        <w:numPr>
          <w:ilvl w:val="0"/>
          <w:numId w:val="7"/>
        </w:numPr>
        <w:spacing w:line="360" w:lineRule="auto"/>
        <w:jc w:val="both"/>
      </w:pPr>
      <w:r>
        <w:t xml:space="preserve">Varsha, K., &amp; Solanki, S. G. (2014). Management of blossom blight and leaf anthracnose of mango using fungicides. </w:t>
      </w:r>
      <w:r>
        <w:rPr>
          <w:rStyle w:val="Emphasis"/>
        </w:rPr>
        <w:t>International Journal of Plant Protection, 7</w:t>
      </w:r>
      <w:r>
        <w:t>(2), 453–455.</w:t>
      </w:r>
    </w:p>
    <w:p w14:paraId="7CB2A025" w14:textId="77777777" w:rsidR="006A04A0" w:rsidRDefault="006A04A0" w:rsidP="006A04A0">
      <w:pPr>
        <w:pStyle w:val="NormalWeb"/>
        <w:numPr>
          <w:ilvl w:val="0"/>
          <w:numId w:val="7"/>
        </w:numPr>
        <w:spacing w:line="360" w:lineRule="auto"/>
        <w:jc w:val="both"/>
      </w:pPr>
      <w:r>
        <w:lastRenderedPageBreak/>
        <w:t xml:space="preserve">Vincent, J. M. (1947). The esters of 4-hydroxybenzoic acid and related compounds. Part I. Methods for the study of their fungistatic properties. </w:t>
      </w:r>
      <w:r>
        <w:rPr>
          <w:rStyle w:val="Emphasis"/>
        </w:rPr>
        <w:t>Journal of the Society of Chemical Industry, 66</w:t>
      </w:r>
      <w:r>
        <w:t>(5), 149–155.</w:t>
      </w:r>
    </w:p>
    <w:p w14:paraId="6BB6AC51" w14:textId="77777777" w:rsidR="006A04A0" w:rsidRDefault="006A04A0" w:rsidP="006A04A0">
      <w:pPr>
        <w:pStyle w:val="NormalWeb"/>
        <w:numPr>
          <w:ilvl w:val="0"/>
          <w:numId w:val="7"/>
        </w:numPr>
        <w:spacing w:line="360" w:lineRule="auto"/>
        <w:jc w:val="both"/>
      </w:pPr>
      <w:r>
        <w:t xml:space="preserve">Vyas, S. C., Vyas, S., &amp; Shroff, V. N. (1997). </w:t>
      </w:r>
      <w:r>
        <w:rPr>
          <w:rStyle w:val="Emphasis"/>
        </w:rPr>
        <w:t>Diseases of soybean</w:t>
      </w:r>
      <w:r>
        <w:t>. SOPA: The Soybean Producers Association of India.</w:t>
      </w:r>
    </w:p>
    <w:p w14:paraId="59FD8973" w14:textId="77777777" w:rsidR="006A04A0" w:rsidRDefault="006A04A0" w:rsidP="006A04A0">
      <w:pPr>
        <w:pStyle w:val="NormalWeb"/>
        <w:numPr>
          <w:ilvl w:val="0"/>
          <w:numId w:val="7"/>
        </w:numPr>
        <w:spacing w:line="360" w:lineRule="auto"/>
        <w:jc w:val="both"/>
      </w:pPr>
      <w:r>
        <w:t xml:space="preserve">Yang, H. C., &amp; Hartman, G. L. (2015). Methods and evaluation of soybean genotypes for resistance to </w:t>
      </w:r>
      <w:r>
        <w:rPr>
          <w:rStyle w:val="Emphasis"/>
        </w:rPr>
        <w:t xml:space="preserve">Colletotrichum </w:t>
      </w:r>
      <w:proofErr w:type="spellStart"/>
      <w:r>
        <w:rPr>
          <w:rStyle w:val="Emphasis"/>
        </w:rPr>
        <w:t>truncatum</w:t>
      </w:r>
      <w:proofErr w:type="spellEnd"/>
      <w:r>
        <w:t xml:space="preserve">. </w:t>
      </w:r>
      <w:r>
        <w:rPr>
          <w:rStyle w:val="Emphasis"/>
        </w:rPr>
        <w:t>Plant Disease, 99</w:t>
      </w:r>
      <w:r>
        <w:t>(2), 143–148.</w:t>
      </w:r>
    </w:p>
    <w:p w14:paraId="15F4C9FB" w14:textId="77777777" w:rsidR="00FC3565" w:rsidRPr="00461A90" w:rsidRDefault="00FC3565">
      <w:pPr>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br w:type="page"/>
      </w:r>
    </w:p>
    <w:p w14:paraId="35F5ECCA" w14:textId="7D7480C1" w:rsidR="00FC7412" w:rsidRPr="00461A90" w:rsidRDefault="00FC7412" w:rsidP="00FC7412">
      <w:pPr>
        <w:spacing w:line="360" w:lineRule="auto"/>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lastRenderedPageBreak/>
        <w:t xml:space="preserve">Table 1: </w:t>
      </w:r>
      <w:r w:rsidRPr="00461A90">
        <w:rPr>
          <w:rFonts w:ascii="Times New Roman" w:hAnsi="Times New Roman" w:cs="Times New Roman"/>
          <w:b/>
          <w:bCs/>
          <w:i/>
          <w:iCs/>
          <w:color w:val="000000" w:themeColor="text1"/>
          <w:sz w:val="24"/>
          <w:szCs w:val="24"/>
          <w:lang w:val="en-US"/>
        </w:rPr>
        <w:t xml:space="preserve">In vitro </w:t>
      </w:r>
      <w:r w:rsidRPr="00461A90">
        <w:rPr>
          <w:rFonts w:ascii="Times New Roman" w:hAnsi="Times New Roman" w:cs="Times New Roman"/>
          <w:b/>
          <w:bCs/>
          <w:color w:val="000000" w:themeColor="text1"/>
          <w:sz w:val="24"/>
          <w:szCs w:val="24"/>
          <w:lang w:val="en-US"/>
        </w:rPr>
        <w:t xml:space="preserve">efficacy of single </w:t>
      </w:r>
      <w:r w:rsidR="005A3703" w:rsidRPr="00461A90">
        <w:rPr>
          <w:rFonts w:ascii="Times New Roman" w:hAnsi="Times New Roman" w:cs="Times New Roman"/>
          <w:b/>
          <w:bCs/>
          <w:color w:val="000000" w:themeColor="text1"/>
          <w:sz w:val="24"/>
          <w:szCs w:val="24"/>
          <w:lang w:val="en-US"/>
        </w:rPr>
        <w:t xml:space="preserve">compound </w:t>
      </w:r>
      <w:r w:rsidRPr="00461A90">
        <w:rPr>
          <w:rFonts w:ascii="Times New Roman" w:hAnsi="Times New Roman" w:cs="Times New Roman"/>
          <w:b/>
          <w:bCs/>
          <w:color w:val="000000" w:themeColor="text1"/>
          <w:sz w:val="24"/>
          <w:szCs w:val="24"/>
          <w:lang w:val="en-US"/>
        </w:rPr>
        <w:t xml:space="preserve">fungicides against </w:t>
      </w:r>
      <w:r w:rsidRPr="00461A90">
        <w:rPr>
          <w:rFonts w:ascii="Times New Roman" w:hAnsi="Times New Roman" w:cs="Times New Roman"/>
          <w:b/>
          <w:bCs/>
          <w:i/>
          <w:iCs/>
          <w:color w:val="000000" w:themeColor="text1"/>
          <w:sz w:val="24"/>
          <w:szCs w:val="24"/>
          <w:lang w:val="en-US"/>
        </w:rPr>
        <w:t xml:space="preserve">C. </w:t>
      </w:r>
      <w:proofErr w:type="spellStart"/>
      <w:r w:rsidRPr="00461A90">
        <w:rPr>
          <w:rFonts w:ascii="Times New Roman" w:hAnsi="Times New Roman" w:cs="Times New Roman"/>
          <w:b/>
          <w:bCs/>
          <w:i/>
          <w:iCs/>
          <w:color w:val="000000" w:themeColor="text1"/>
          <w:sz w:val="24"/>
          <w:szCs w:val="24"/>
          <w:lang w:val="en-US"/>
        </w:rPr>
        <w:t>truncatum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1997"/>
        <w:gridCol w:w="945"/>
        <w:gridCol w:w="1027"/>
        <w:gridCol w:w="945"/>
        <w:gridCol w:w="1027"/>
        <w:gridCol w:w="945"/>
        <w:gridCol w:w="1027"/>
      </w:tblGrid>
      <w:tr w:rsidR="00461A90" w:rsidRPr="00461A90" w14:paraId="7050DBE0" w14:textId="77777777" w:rsidTr="005D0540">
        <w:trPr>
          <w:trHeight w:val="837"/>
        </w:trPr>
        <w:tc>
          <w:tcPr>
            <w:tcW w:w="0" w:type="auto"/>
            <w:vMerge w:val="restart"/>
            <w:vAlign w:val="center"/>
            <w:hideMark/>
          </w:tcPr>
          <w:p w14:paraId="3689CF76" w14:textId="406751E5"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w:t>
            </w:r>
            <w:r w:rsidRPr="00461A90">
              <w:rPr>
                <w:rFonts w:ascii="Times New Roman" w:eastAsia="Times New Roman" w:hAnsi="Times New Roman" w:cs="Times New Roman"/>
                <w:b/>
                <w:bCs/>
                <w:color w:val="000000" w:themeColor="text1"/>
                <w:sz w:val="24"/>
                <w:szCs w:val="24"/>
                <w:lang w:eastAsia="en-IN"/>
              </w:rPr>
              <w:br/>
              <w:t>number</w:t>
            </w:r>
          </w:p>
        </w:tc>
        <w:tc>
          <w:tcPr>
            <w:tcW w:w="0" w:type="auto"/>
            <w:vMerge w:val="restart"/>
            <w:noWrap/>
            <w:vAlign w:val="center"/>
            <w:hideMark/>
          </w:tcPr>
          <w:p w14:paraId="5FE89FAE" w14:textId="30622662"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w:t>
            </w:r>
            <w:r w:rsidR="005D0540" w:rsidRPr="00461A90">
              <w:rPr>
                <w:rFonts w:ascii="Times New Roman" w:eastAsia="Times New Roman" w:hAnsi="Times New Roman" w:cs="Times New Roman"/>
                <w:b/>
                <w:bCs/>
                <w:color w:val="000000" w:themeColor="text1"/>
                <w:sz w:val="24"/>
                <w:szCs w:val="24"/>
                <w:lang w:eastAsia="en-IN"/>
              </w:rPr>
              <w:t>s</w:t>
            </w:r>
            <w:r w:rsidRPr="00461A90">
              <w:rPr>
                <w:rFonts w:ascii="Times New Roman" w:eastAsia="Times New Roman" w:hAnsi="Times New Roman" w:cs="Times New Roman"/>
                <w:b/>
                <w:bCs/>
                <w:color w:val="000000" w:themeColor="text1"/>
                <w:sz w:val="24"/>
                <w:szCs w:val="24"/>
                <w:lang w:eastAsia="en-IN"/>
              </w:rPr>
              <w:t xml:space="preserve"> detail</w:t>
            </w:r>
          </w:p>
        </w:tc>
        <w:tc>
          <w:tcPr>
            <w:tcW w:w="0" w:type="auto"/>
            <w:gridSpan w:val="6"/>
            <w:vAlign w:val="center"/>
            <w:hideMark/>
          </w:tcPr>
          <w:p w14:paraId="7A42D0CA" w14:textId="50491217"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Mycelial radial growth after 7 days (in mm) and percent inhibition in growth of the test fungus</w:t>
            </w:r>
          </w:p>
        </w:tc>
      </w:tr>
      <w:tr w:rsidR="00461A90" w:rsidRPr="00461A90" w14:paraId="0205EB26" w14:textId="77777777" w:rsidTr="005D0540">
        <w:trPr>
          <w:trHeight w:val="338"/>
        </w:trPr>
        <w:tc>
          <w:tcPr>
            <w:tcW w:w="0" w:type="auto"/>
            <w:vMerge/>
            <w:vAlign w:val="center"/>
            <w:hideMark/>
          </w:tcPr>
          <w:p w14:paraId="69102260" w14:textId="77777777" w:rsidR="005A3703" w:rsidRPr="00461A90" w:rsidRDefault="005A3703"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0" w:type="auto"/>
            <w:vMerge/>
            <w:noWrap/>
            <w:vAlign w:val="center"/>
            <w:hideMark/>
          </w:tcPr>
          <w:p w14:paraId="2B039C69" w14:textId="797C5D2D"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p>
        </w:tc>
        <w:tc>
          <w:tcPr>
            <w:tcW w:w="0" w:type="auto"/>
            <w:gridSpan w:val="2"/>
            <w:noWrap/>
            <w:vAlign w:val="center"/>
            <w:hideMark/>
          </w:tcPr>
          <w:p w14:paraId="44943253" w14:textId="1E47E974"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100 ppm</w:t>
            </w:r>
          </w:p>
        </w:tc>
        <w:tc>
          <w:tcPr>
            <w:tcW w:w="0" w:type="auto"/>
            <w:gridSpan w:val="2"/>
            <w:noWrap/>
            <w:vAlign w:val="center"/>
            <w:hideMark/>
          </w:tcPr>
          <w:p w14:paraId="045B6D40" w14:textId="47D3CC99"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250 ppm</w:t>
            </w:r>
          </w:p>
        </w:tc>
        <w:tc>
          <w:tcPr>
            <w:tcW w:w="0" w:type="auto"/>
            <w:gridSpan w:val="2"/>
            <w:noWrap/>
            <w:vAlign w:val="center"/>
            <w:hideMark/>
          </w:tcPr>
          <w:p w14:paraId="427AF496" w14:textId="235CF209"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500 ppm</w:t>
            </w:r>
          </w:p>
        </w:tc>
      </w:tr>
      <w:tr w:rsidR="00461A90" w:rsidRPr="00461A90" w14:paraId="2D3BD822" w14:textId="77777777" w:rsidTr="005D0540">
        <w:trPr>
          <w:trHeight w:val="965"/>
        </w:trPr>
        <w:tc>
          <w:tcPr>
            <w:tcW w:w="0" w:type="auto"/>
            <w:vMerge/>
            <w:vAlign w:val="center"/>
            <w:hideMark/>
          </w:tcPr>
          <w:p w14:paraId="381ABD50" w14:textId="77777777" w:rsidR="005A3703" w:rsidRPr="00461A90" w:rsidRDefault="005A3703"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0" w:type="auto"/>
            <w:vMerge/>
            <w:noWrap/>
            <w:vAlign w:val="center"/>
            <w:hideMark/>
          </w:tcPr>
          <w:p w14:paraId="74DD7BDB" w14:textId="330F8B4C"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p>
        </w:tc>
        <w:tc>
          <w:tcPr>
            <w:tcW w:w="0" w:type="auto"/>
            <w:vAlign w:val="center"/>
            <w:hideMark/>
          </w:tcPr>
          <w:p w14:paraId="6FE57093"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0" w:type="auto"/>
            <w:vAlign w:val="center"/>
            <w:hideMark/>
          </w:tcPr>
          <w:p w14:paraId="501CA685"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0" w:type="auto"/>
            <w:vAlign w:val="center"/>
            <w:hideMark/>
          </w:tcPr>
          <w:p w14:paraId="762D248A"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0" w:type="auto"/>
            <w:vAlign w:val="center"/>
            <w:hideMark/>
          </w:tcPr>
          <w:p w14:paraId="3CDFB560"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0" w:type="auto"/>
            <w:vAlign w:val="center"/>
            <w:hideMark/>
          </w:tcPr>
          <w:p w14:paraId="6D3DE56F"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0" w:type="auto"/>
            <w:vAlign w:val="center"/>
            <w:hideMark/>
          </w:tcPr>
          <w:p w14:paraId="7A97D10D"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r>
      <w:tr w:rsidR="00461A90" w:rsidRPr="00461A90" w14:paraId="6CDFFAF8" w14:textId="77777777" w:rsidTr="005D0540">
        <w:trPr>
          <w:trHeight w:val="444"/>
        </w:trPr>
        <w:tc>
          <w:tcPr>
            <w:tcW w:w="0" w:type="auto"/>
            <w:noWrap/>
            <w:vAlign w:val="center"/>
            <w:hideMark/>
          </w:tcPr>
          <w:p w14:paraId="6BDF664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T1</w:t>
            </w:r>
          </w:p>
        </w:tc>
        <w:tc>
          <w:tcPr>
            <w:tcW w:w="0" w:type="auto"/>
            <w:vAlign w:val="center"/>
            <w:hideMark/>
          </w:tcPr>
          <w:p w14:paraId="7464323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Propiconazole 25%</w:t>
            </w:r>
          </w:p>
        </w:tc>
        <w:tc>
          <w:tcPr>
            <w:tcW w:w="0" w:type="auto"/>
            <w:vAlign w:val="center"/>
            <w:hideMark/>
          </w:tcPr>
          <w:p w14:paraId="42E6982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30.00</w:t>
            </w:r>
          </w:p>
        </w:tc>
        <w:tc>
          <w:tcPr>
            <w:tcW w:w="0" w:type="auto"/>
            <w:vAlign w:val="center"/>
            <w:hideMark/>
          </w:tcPr>
          <w:p w14:paraId="23690BD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64.71</w:t>
            </w:r>
          </w:p>
        </w:tc>
        <w:tc>
          <w:tcPr>
            <w:tcW w:w="0" w:type="auto"/>
            <w:vAlign w:val="center"/>
            <w:hideMark/>
          </w:tcPr>
          <w:p w14:paraId="0FF7AC2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25.33</w:t>
            </w:r>
          </w:p>
        </w:tc>
        <w:tc>
          <w:tcPr>
            <w:tcW w:w="0" w:type="auto"/>
            <w:vAlign w:val="center"/>
            <w:hideMark/>
          </w:tcPr>
          <w:p w14:paraId="2B94B38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70.19</w:t>
            </w:r>
          </w:p>
        </w:tc>
        <w:tc>
          <w:tcPr>
            <w:tcW w:w="0" w:type="auto"/>
            <w:vAlign w:val="center"/>
            <w:hideMark/>
          </w:tcPr>
          <w:p w14:paraId="02B82DF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17.67</w:t>
            </w:r>
          </w:p>
        </w:tc>
        <w:tc>
          <w:tcPr>
            <w:tcW w:w="0" w:type="auto"/>
            <w:vAlign w:val="center"/>
            <w:hideMark/>
          </w:tcPr>
          <w:p w14:paraId="6EC73F9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79.21</w:t>
            </w:r>
          </w:p>
        </w:tc>
      </w:tr>
      <w:tr w:rsidR="00461A90" w:rsidRPr="00461A90" w14:paraId="02F87523" w14:textId="77777777" w:rsidTr="005D0540">
        <w:trPr>
          <w:trHeight w:val="338"/>
        </w:trPr>
        <w:tc>
          <w:tcPr>
            <w:tcW w:w="0" w:type="auto"/>
            <w:noWrap/>
            <w:vAlign w:val="center"/>
            <w:hideMark/>
          </w:tcPr>
          <w:p w14:paraId="67ABEEF5"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T2</w:t>
            </w:r>
          </w:p>
        </w:tc>
        <w:tc>
          <w:tcPr>
            <w:tcW w:w="0" w:type="auto"/>
            <w:vAlign w:val="center"/>
            <w:hideMark/>
          </w:tcPr>
          <w:p w14:paraId="49FB186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Hexaconazole 5%</w:t>
            </w:r>
          </w:p>
        </w:tc>
        <w:tc>
          <w:tcPr>
            <w:tcW w:w="0" w:type="auto"/>
            <w:vAlign w:val="center"/>
            <w:hideMark/>
          </w:tcPr>
          <w:p w14:paraId="40E2FFE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38.05</w:t>
            </w:r>
          </w:p>
        </w:tc>
        <w:tc>
          <w:tcPr>
            <w:tcW w:w="0" w:type="auto"/>
            <w:vAlign w:val="center"/>
            <w:hideMark/>
          </w:tcPr>
          <w:p w14:paraId="5F7F2EE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55.233</w:t>
            </w:r>
          </w:p>
        </w:tc>
        <w:tc>
          <w:tcPr>
            <w:tcW w:w="0" w:type="auto"/>
            <w:vAlign w:val="center"/>
            <w:hideMark/>
          </w:tcPr>
          <w:p w14:paraId="2D366D4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35.00</w:t>
            </w:r>
          </w:p>
        </w:tc>
        <w:tc>
          <w:tcPr>
            <w:tcW w:w="0" w:type="auto"/>
            <w:vAlign w:val="center"/>
            <w:hideMark/>
          </w:tcPr>
          <w:p w14:paraId="1C0AA96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58.82</w:t>
            </w:r>
          </w:p>
        </w:tc>
        <w:tc>
          <w:tcPr>
            <w:tcW w:w="0" w:type="auto"/>
            <w:vAlign w:val="center"/>
            <w:hideMark/>
          </w:tcPr>
          <w:p w14:paraId="6011131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30.00</w:t>
            </w:r>
          </w:p>
        </w:tc>
        <w:tc>
          <w:tcPr>
            <w:tcW w:w="0" w:type="auto"/>
            <w:vAlign w:val="center"/>
            <w:hideMark/>
          </w:tcPr>
          <w:p w14:paraId="0A15D77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64.70</w:t>
            </w:r>
          </w:p>
        </w:tc>
      </w:tr>
      <w:tr w:rsidR="00461A90" w:rsidRPr="00461A90" w14:paraId="6267A03E" w14:textId="77777777" w:rsidTr="005D0540">
        <w:trPr>
          <w:trHeight w:val="338"/>
        </w:trPr>
        <w:tc>
          <w:tcPr>
            <w:tcW w:w="0" w:type="auto"/>
            <w:noWrap/>
            <w:vAlign w:val="center"/>
            <w:hideMark/>
          </w:tcPr>
          <w:p w14:paraId="10B25EF7"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T3</w:t>
            </w:r>
          </w:p>
        </w:tc>
        <w:tc>
          <w:tcPr>
            <w:tcW w:w="0" w:type="auto"/>
            <w:vAlign w:val="center"/>
            <w:hideMark/>
          </w:tcPr>
          <w:p w14:paraId="25F1D36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Tebuconazole25.9%</w:t>
            </w:r>
          </w:p>
        </w:tc>
        <w:tc>
          <w:tcPr>
            <w:tcW w:w="0" w:type="auto"/>
            <w:vAlign w:val="center"/>
            <w:hideMark/>
          </w:tcPr>
          <w:p w14:paraId="494793D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10.00</w:t>
            </w:r>
          </w:p>
        </w:tc>
        <w:tc>
          <w:tcPr>
            <w:tcW w:w="0" w:type="auto"/>
            <w:vAlign w:val="center"/>
            <w:hideMark/>
          </w:tcPr>
          <w:p w14:paraId="5A00A51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88.24</w:t>
            </w:r>
          </w:p>
        </w:tc>
        <w:tc>
          <w:tcPr>
            <w:tcW w:w="0" w:type="auto"/>
            <w:vAlign w:val="center"/>
            <w:hideMark/>
          </w:tcPr>
          <w:p w14:paraId="65CAE78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8.00</w:t>
            </w:r>
          </w:p>
        </w:tc>
        <w:tc>
          <w:tcPr>
            <w:tcW w:w="0" w:type="auto"/>
            <w:vAlign w:val="center"/>
            <w:hideMark/>
          </w:tcPr>
          <w:p w14:paraId="342032E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90.59</w:t>
            </w:r>
          </w:p>
        </w:tc>
        <w:tc>
          <w:tcPr>
            <w:tcW w:w="0" w:type="auto"/>
            <w:vAlign w:val="center"/>
            <w:hideMark/>
          </w:tcPr>
          <w:p w14:paraId="524CB49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0" w:type="auto"/>
            <w:vAlign w:val="center"/>
            <w:hideMark/>
          </w:tcPr>
          <w:p w14:paraId="63B99A7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r>
      <w:tr w:rsidR="00461A90" w:rsidRPr="00461A90" w14:paraId="74E6AD72" w14:textId="77777777" w:rsidTr="005D0540">
        <w:trPr>
          <w:trHeight w:val="495"/>
        </w:trPr>
        <w:tc>
          <w:tcPr>
            <w:tcW w:w="0" w:type="auto"/>
            <w:noWrap/>
            <w:vAlign w:val="center"/>
            <w:hideMark/>
          </w:tcPr>
          <w:p w14:paraId="3C7B62A2"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T4</w:t>
            </w:r>
          </w:p>
        </w:tc>
        <w:tc>
          <w:tcPr>
            <w:tcW w:w="0" w:type="auto"/>
            <w:vAlign w:val="center"/>
            <w:hideMark/>
          </w:tcPr>
          <w:p w14:paraId="6483C13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Carbendazim (50 WP)</w:t>
            </w:r>
          </w:p>
        </w:tc>
        <w:tc>
          <w:tcPr>
            <w:tcW w:w="0" w:type="auto"/>
            <w:vAlign w:val="center"/>
            <w:hideMark/>
          </w:tcPr>
          <w:p w14:paraId="2D97FEB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11.55</w:t>
            </w:r>
          </w:p>
        </w:tc>
        <w:tc>
          <w:tcPr>
            <w:tcW w:w="0" w:type="auto"/>
            <w:vAlign w:val="center"/>
            <w:hideMark/>
          </w:tcPr>
          <w:p w14:paraId="3B13CB5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86.413</w:t>
            </w:r>
          </w:p>
        </w:tc>
        <w:tc>
          <w:tcPr>
            <w:tcW w:w="0" w:type="auto"/>
            <w:vAlign w:val="center"/>
            <w:hideMark/>
          </w:tcPr>
          <w:p w14:paraId="016C6AB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8.00</w:t>
            </w:r>
          </w:p>
        </w:tc>
        <w:tc>
          <w:tcPr>
            <w:tcW w:w="0" w:type="auto"/>
            <w:vAlign w:val="center"/>
            <w:hideMark/>
          </w:tcPr>
          <w:p w14:paraId="3746214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90.58</w:t>
            </w:r>
          </w:p>
        </w:tc>
        <w:tc>
          <w:tcPr>
            <w:tcW w:w="0" w:type="auto"/>
            <w:vAlign w:val="center"/>
            <w:hideMark/>
          </w:tcPr>
          <w:p w14:paraId="187883B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0" w:type="auto"/>
            <w:vAlign w:val="center"/>
            <w:hideMark/>
          </w:tcPr>
          <w:p w14:paraId="62626C6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r>
      <w:tr w:rsidR="00461A90" w:rsidRPr="00461A90" w14:paraId="54FEEFE2" w14:textId="77777777" w:rsidTr="005D0540">
        <w:trPr>
          <w:trHeight w:val="532"/>
        </w:trPr>
        <w:tc>
          <w:tcPr>
            <w:tcW w:w="0" w:type="auto"/>
            <w:noWrap/>
            <w:vAlign w:val="center"/>
            <w:hideMark/>
          </w:tcPr>
          <w:p w14:paraId="5098E76C"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T5</w:t>
            </w:r>
          </w:p>
        </w:tc>
        <w:tc>
          <w:tcPr>
            <w:tcW w:w="0" w:type="auto"/>
            <w:vAlign w:val="center"/>
            <w:hideMark/>
          </w:tcPr>
          <w:p w14:paraId="14F30190" w14:textId="0341CDC9"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Mancozeb 75 WP</w:t>
            </w:r>
          </w:p>
        </w:tc>
        <w:tc>
          <w:tcPr>
            <w:tcW w:w="0" w:type="auto"/>
            <w:vAlign w:val="center"/>
            <w:hideMark/>
          </w:tcPr>
          <w:p w14:paraId="498FB74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41.00</w:t>
            </w:r>
          </w:p>
        </w:tc>
        <w:tc>
          <w:tcPr>
            <w:tcW w:w="0" w:type="auto"/>
            <w:vAlign w:val="center"/>
            <w:hideMark/>
          </w:tcPr>
          <w:p w14:paraId="2977AB1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51.76</w:t>
            </w:r>
          </w:p>
        </w:tc>
        <w:tc>
          <w:tcPr>
            <w:tcW w:w="0" w:type="auto"/>
            <w:vAlign w:val="center"/>
            <w:hideMark/>
          </w:tcPr>
          <w:p w14:paraId="6EEC3C7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18.33</w:t>
            </w:r>
          </w:p>
        </w:tc>
        <w:tc>
          <w:tcPr>
            <w:tcW w:w="0" w:type="auto"/>
            <w:vAlign w:val="center"/>
            <w:hideMark/>
          </w:tcPr>
          <w:p w14:paraId="77D8A5A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78.43</w:t>
            </w:r>
          </w:p>
        </w:tc>
        <w:tc>
          <w:tcPr>
            <w:tcW w:w="0" w:type="auto"/>
            <w:vAlign w:val="center"/>
            <w:hideMark/>
          </w:tcPr>
          <w:p w14:paraId="4D56E9D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8.17</w:t>
            </w:r>
          </w:p>
        </w:tc>
        <w:tc>
          <w:tcPr>
            <w:tcW w:w="0" w:type="auto"/>
            <w:vAlign w:val="center"/>
            <w:hideMark/>
          </w:tcPr>
          <w:p w14:paraId="1A5549D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90.39</w:t>
            </w:r>
          </w:p>
        </w:tc>
      </w:tr>
      <w:tr w:rsidR="00461A90" w:rsidRPr="00461A90" w14:paraId="3D5A7FE4" w14:textId="77777777" w:rsidTr="005D0540">
        <w:trPr>
          <w:trHeight w:val="337"/>
        </w:trPr>
        <w:tc>
          <w:tcPr>
            <w:tcW w:w="0" w:type="auto"/>
            <w:noWrap/>
            <w:vAlign w:val="center"/>
            <w:hideMark/>
          </w:tcPr>
          <w:p w14:paraId="53459A13"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T6</w:t>
            </w:r>
          </w:p>
        </w:tc>
        <w:tc>
          <w:tcPr>
            <w:tcW w:w="0" w:type="auto"/>
            <w:vAlign w:val="center"/>
            <w:hideMark/>
          </w:tcPr>
          <w:p w14:paraId="3034B71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proofErr w:type="spellStart"/>
            <w:r w:rsidRPr="00461A90">
              <w:rPr>
                <w:rFonts w:ascii="Times New Roman" w:eastAsia="Times New Roman" w:hAnsi="Times New Roman" w:cs="Times New Roman"/>
                <w:color w:val="000000" w:themeColor="text1"/>
                <w:sz w:val="24"/>
                <w:szCs w:val="24"/>
                <w:lang w:eastAsia="en-IN"/>
              </w:rPr>
              <w:t>Pyraclostrobin</w:t>
            </w:r>
            <w:proofErr w:type="spellEnd"/>
            <w:r w:rsidRPr="00461A90">
              <w:rPr>
                <w:rFonts w:ascii="Times New Roman" w:eastAsia="Times New Roman" w:hAnsi="Times New Roman" w:cs="Times New Roman"/>
                <w:color w:val="000000" w:themeColor="text1"/>
                <w:sz w:val="24"/>
                <w:szCs w:val="24"/>
                <w:lang w:eastAsia="en-IN"/>
              </w:rPr>
              <w:t xml:space="preserve"> 20%</w:t>
            </w:r>
          </w:p>
        </w:tc>
        <w:tc>
          <w:tcPr>
            <w:tcW w:w="0" w:type="auto"/>
            <w:vAlign w:val="center"/>
            <w:hideMark/>
          </w:tcPr>
          <w:p w14:paraId="71611F0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19.00</w:t>
            </w:r>
          </w:p>
        </w:tc>
        <w:tc>
          <w:tcPr>
            <w:tcW w:w="0" w:type="auto"/>
            <w:vAlign w:val="center"/>
            <w:hideMark/>
          </w:tcPr>
          <w:p w14:paraId="35EF834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77.65</w:t>
            </w:r>
          </w:p>
        </w:tc>
        <w:tc>
          <w:tcPr>
            <w:tcW w:w="0" w:type="auto"/>
            <w:vAlign w:val="center"/>
            <w:hideMark/>
          </w:tcPr>
          <w:p w14:paraId="408BA52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18.00</w:t>
            </w:r>
          </w:p>
        </w:tc>
        <w:tc>
          <w:tcPr>
            <w:tcW w:w="0" w:type="auto"/>
            <w:vAlign w:val="center"/>
            <w:hideMark/>
          </w:tcPr>
          <w:p w14:paraId="484B1CF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78.823</w:t>
            </w:r>
          </w:p>
        </w:tc>
        <w:tc>
          <w:tcPr>
            <w:tcW w:w="0" w:type="auto"/>
            <w:vAlign w:val="center"/>
            <w:hideMark/>
          </w:tcPr>
          <w:p w14:paraId="04A2DCC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14.00</w:t>
            </w:r>
          </w:p>
        </w:tc>
        <w:tc>
          <w:tcPr>
            <w:tcW w:w="0" w:type="auto"/>
            <w:vAlign w:val="center"/>
            <w:hideMark/>
          </w:tcPr>
          <w:p w14:paraId="76FC050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83.53</w:t>
            </w:r>
          </w:p>
        </w:tc>
      </w:tr>
      <w:tr w:rsidR="00461A90" w:rsidRPr="00461A90" w14:paraId="12775D87" w14:textId="77777777" w:rsidTr="005D0540">
        <w:trPr>
          <w:trHeight w:val="338"/>
        </w:trPr>
        <w:tc>
          <w:tcPr>
            <w:tcW w:w="0" w:type="auto"/>
            <w:noWrap/>
            <w:vAlign w:val="center"/>
            <w:hideMark/>
          </w:tcPr>
          <w:p w14:paraId="53E92245"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T7</w:t>
            </w:r>
          </w:p>
        </w:tc>
        <w:tc>
          <w:tcPr>
            <w:tcW w:w="0" w:type="auto"/>
            <w:noWrap/>
            <w:vAlign w:val="center"/>
            <w:hideMark/>
          </w:tcPr>
          <w:p w14:paraId="31D4A61B" w14:textId="036CA30B" w:rsidR="00FC7412" w:rsidRPr="00461A90" w:rsidRDefault="00611495"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w:t>
            </w:r>
            <w:r w:rsidR="00FC7412" w:rsidRPr="00461A90">
              <w:rPr>
                <w:rFonts w:ascii="Times New Roman" w:eastAsia="Times New Roman" w:hAnsi="Times New Roman" w:cs="Times New Roman"/>
                <w:color w:val="000000" w:themeColor="text1"/>
                <w:sz w:val="24"/>
                <w:szCs w:val="24"/>
                <w:lang w:eastAsia="en-IN"/>
              </w:rPr>
              <w:t>ontrol</w:t>
            </w:r>
          </w:p>
        </w:tc>
        <w:tc>
          <w:tcPr>
            <w:tcW w:w="0" w:type="auto"/>
            <w:vAlign w:val="center"/>
            <w:hideMark/>
          </w:tcPr>
          <w:p w14:paraId="45F5290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0" w:type="auto"/>
            <w:noWrap/>
            <w:vAlign w:val="center"/>
            <w:hideMark/>
          </w:tcPr>
          <w:p w14:paraId="69330B5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vAlign w:val="center"/>
            <w:hideMark/>
          </w:tcPr>
          <w:p w14:paraId="6646EBB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0" w:type="auto"/>
            <w:noWrap/>
            <w:vAlign w:val="center"/>
            <w:hideMark/>
          </w:tcPr>
          <w:p w14:paraId="49CE710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vAlign w:val="center"/>
            <w:hideMark/>
          </w:tcPr>
          <w:p w14:paraId="0FD3CCD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0" w:type="auto"/>
            <w:noWrap/>
            <w:vAlign w:val="center"/>
            <w:hideMark/>
          </w:tcPr>
          <w:p w14:paraId="4B6590F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r>
      <w:tr w:rsidR="00461A90" w:rsidRPr="00461A90" w14:paraId="46444C99" w14:textId="77777777" w:rsidTr="005D0540">
        <w:trPr>
          <w:trHeight w:val="321"/>
        </w:trPr>
        <w:tc>
          <w:tcPr>
            <w:tcW w:w="0" w:type="auto"/>
            <w:noWrap/>
            <w:vAlign w:val="center"/>
            <w:hideMark/>
          </w:tcPr>
          <w:p w14:paraId="084BB8F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noWrap/>
            <w:vAlign w:val="center"/>
            <w:hideMark/>
          </w:tcPr>
          <w:p w14:paraId="5C02D88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C.D. (5%)</w:t>
            </w:r>
          </w:p>
        </w:tc>
        <w:tc>
          <w:tcPr>
            <w:tcW w:w="0" w:type="auto"/>
            <w:vAlign w:val="center"/>
            <w:hideMark/>
          </w:tcPr>
          <w:p w14:paraId="7439B13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0.55</w:t>
            </w:r>
          </w:p>
        </w:tc>
        <w:tc>
          <w:tcPr>
            <w:tcW w:w="0" w:type="auto"/>
            <w:vAlign w:val="center"/>
            <w:hideMark/>
          </w:tcPr>
          <w:p w14:paraId="6450AD0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0.702</w:t>
            </w:r>
          </w:p>
        </w:tc>
        <w:tc>
          <w:tcPr>
            <w:tcW w:w="0" w:type="auto"/>
            <w:vAlign w:val="center"/>
            <w:hideMark/>
          </w:tcPr>
          <w:p w14:paraId="060BA15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1.63</w:t>
            </w:r>
          </w:p>
        </w:tc>
        <w:tc>
          <w:tcPr>
            <w:tcW w:w="0" w:type="auto"/>
            <w:vAlign w:val="center"/>
            <w:hideMark/>
          </w:tcPr>
          <w:p w14:paraId="073A5E3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2.101</w:t>
            </w:r>
          </w:p>
        </w:tc>
        <w:tc>
          <w:tcPr>
            <w:tcW w:w="0" w:type="auto"/>
            <w:vAlign w:val="center"/>
            <w:hideMark/>
          </w:tcPr>
          <w:p w14:paraId="653DB10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1.94</w:t>
            </w:r>
          </w:p>
        </w:tc>
        <w:tc>
          <w:tcPr>
            <w:tcW w:w="0" w:type="auto"/>
            <w:vAlign w:val="center"/>
            <w:hideMark/>
          </w:tcPr>
          <w:p w14:paraId="0ABE6C1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2.506</w:t>
            </w:r>
          </w:p>
        </w:tc>
      </w:tr>
      <w:tr w:rsidR="00FC7412" w:rsidRPr="00461A90" w14:paraId="6C3542A9" w14:textId="77777777" w:rsidTr="005D0540">
        <w:trPr>
          <w:trHeight w:val="321"/>
        </w:trPr>
        <w:tc>
          <w:tcPr>
            <w:tcW w:w="0" w:type="auto"/>
            <w:noWrap/>
            <w:vAlign w:val="center"/>
            <w:hideMark/>
          </w:tcPr>
          <w:p w14:paraId="453B588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noWrap/>
            <w:vAlign w:val="center"/>
            <w:hideMark/>
          </w:tcPr>
          <w:p w14:paraId="10C12AA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SE(m)±</w:t>
            </w:r>
          </w:p>
        </w:tc>
        <w:tc>
          <w:tcPr>
            <w:tcW w:w="0" w:type="auto"/>
            <w:vAlign w:val="center"/>
            <w:hideMark/>
          </w:tcPr>
          <w:p w14:paraId="5D8E5E8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0.18</w:t>
            </w:r>
          </w:p>
        </w:tc>
        <w:tc>
          <w:tcPr>
            <w:tcW w:w="0" w:type="auto"/>
            <w:vAlign w:val="center"/>
            <w:hideMark/>
          </w:tcPr>
          <w:p w14:paraId="39CD1F4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0.225</w:t>
            </w:r>
          </w:p>
        </w:tc>
        <w:tc>
          <w:tcPr>
            <w:tcW w:w="0" w:type="auto"/>
            <w:vAlign w:val="center"/>
            <w:hideMark/>
          </w:tcPr>
          <w:p w14:paraId="0D36F15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0.53</w:t>
            </w:r>
          </w:p>
        </w:tc>
        <w:tc>
          <w:tcPr>
            <w:tcW w:w="0" w:type="auto"/>
            <w:vAlign w:val="center"/>
            <w:hideMark/>
          </w:tcPr>
          <w:p w14:paraId="0FD66A8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0.674</w:t>
            </w:r>
          </w:p>
        </w:tc>
        <w:tc>
          <w:tcPr>
            <w:tcW w:w="0" w:type="auto"/>
            <w:vAlign w:val="center"/>
            <w:hideMark/>
          </w:tcPr>
          <w:p w14:paraId="2FC2A76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0.63</w:t>
            </w:r>
          </w:p>
        </w:tc>
        <w:tc>
          <w:tcPr>
            <w:tcW w:w="0" w:type="auto"/>
            <w:vAlign w:val="center"/>
            <w:hideMark/>
          </w:tcPr>
          <w:p w14:paraId="599CB76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0.804</w:t>
            </w:r>
          </w:p>
        </w:tc>
      </w:tr>
    </w:tbl>
    <w:p w14:paraId="68052BC6" w14:textId="77777777" w:rsidR="00FC7412" w:rsidRPr="00461A90" w:rsidRDefault="00FC7412" w:rsidP="00FC7412">
      <w:pPr>
        <w:spacing w:line="360" w:lineRule="auto"/>
        <w:rPr>
          <w:rFonts w:ascii="Times New Roman" w:hAnsi="Times New Roman" w:cs="Times New Roman"/>
          <w:b/>
          <w:bCs/>
          <w:color w:val="000000" w:themeColor="text1"/>
          <w:sz w:val="24"/>
          <w:szCs w:val="24"/>
          <w:lang w:val="en-US"/>
        </w:rPr>
      </w:pPr>
    </w:p>
    <w:p w14:paraId="64989B63" w14:textId="77777777" w:rsidR="00FC3565" w:rsidRPr="00461A90" w:rsidRDefault="00FC3565">
      <w:pPr>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br w:type="page"/>
      </w:r>
    </w:p>
    <w:p w14:paraId="13F9464F" w14:textId="30F5BCC9" w:rsidR="00FC7412" w:rsidRPr="00461A90" w:rsidRDefault="00FC7412" w:rsidP="00FC7412">
      <w:pPr>
        <w:spacing w:line="360" w:lineRule="auto"/>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lastRenderedPageBreak/>
        <w:t xml:space="preserve">Table 2: </w:t>
      </w:r>
      <w:r w:rsidRPr="00461A90">
        <w:rPr>
          <w:rFonts w:ascii="Times New Roman" w:hAnsi="Times New Roman" w:cs="Times New Roman"/>
          <w:b/>
          <w:bCs/>
          <w:i/>
          <w:iCs/>
          <w:color w:val="000000" w:themeColor="text1"/>
          <w:sz w:val="24"/>
          <w:szCs w:val="24"/>
          <w:lang w:val="en-US"/>
        </w:rPr>
        <w:t xml:space="preserve">In vitro </w:t>
      </w:r>
      <w:r w:rsidRPr="00461A90">
        <w:rPr>
          <w:rFonts w:ascii="Times New Roman" w:hAnsi="Times New Roman" w:cs="Times New Roman"/>
          <w:b/>
          <w:bCs/>
          <w:color w:val="000000" w:themeColor="text1"/>
          <w:sz w:val="24"/>
          <w:szCs w:val="24"/>
          <w:lang w:val="en-US"/>
        </w:rPr>
        <w:t xml:space="preserve">efficacy of combination </w:t>
      </w:r>
      <w:r w:rsidR="008A6B50" w:rsidRPr="00461A90">
        <w:rPr>
          <w:rFonts w:ascii="Times New Roman" w:hAnsi="Times New Roman" w:cs="Times New Roman"/>
          <w:b/>
          <w:bCs/>
          <w:color w:val="000000" w:themeColor="text1"/>
          <w:sz w:val="24"/>
          <w:szCs w:val="24"/>
          <w:lang w:val="en-US"/>
        </w:rPr>
        <w:t xml:space="preserve">of </w:t>
      </w:r>
      <w:r w:rsidRPr="00461A90">
        <w:rPr>
          <w:rFonts w:ascii="Times New Roman" w:hAnsi="Times New Roman" w:cs="Times New Roman"/>
          <w:b/>
          <w:bCs/>
          <w:color w:val="000000" w:themeColor="text1"/>
          <w:sz w:val="24"/>
          <w:szCs w:val="24"/>
          <w:lang w:val="en-US"/>
        </w:rPr>
        <w:t xml:space="preserve">fungicides against </w:t>
      </w:r>
      <w:r w:rsidRPr="00461A90">
        <w:rPr>
          <w:rFonts w:ascii="Times New Roman" w:hAnsi="Times New Roman" w:cs="Times New Roman"/>
          <w:b/>
          <w:bCs/>
          <w:i/>
          <w:iCs/>
          <w:color w:val="000000" w:themeColor="text1"/>
          <w:sz w:val="24"/>
          <w:szCs w:val="24"/>
          <w:lang w:val="en-US"/>
        </w:rPr>
        <w:t xml:space="preserve">C. </w:t>
      </w:r>
      <w:proofErr w:type="spellStart"/>
      <w:r w:rsidRPr="00461A90">
        <w:rPr>
          <w:rFonts w:ascii="Times New Roman" w:hAnsi="Times New Roman" w:cs="Times New Roman"/>
          <w:b/>
          <w:bCs/>
          <w:i/>
          <w:iCs/>
          <w:color w:val="000000" w:themeColor="text1"/>
          <w:sz w:val="24"/>
          <w:szCs w:val="24"/>
          <w:lang w:val="en-US"/>
        </w:rPr>
        <w:t>truncatum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7"/>
        <w:gridCol w:w="2118"/>
        <w:gridCol w:w="909"/>
        <w:gridCol w:w="992"/>
        <w:gridCol w:w="909"/>
        <w:gridCol w:w="992"/>
        <w:gridCol w:w="909"/>
        <w:gridCol w:w="990"/>
      </w:tblGrid>
      <w:tr w:rsidR="00461A90" w:rsidRPr="00461A90" w14:paraId="2A21B05F" w14:textId="77777777" w:rsidTr="005D0540">
        <w:trPr>
          <w:trHeight w:val="715"/>
        </w:trPr>
        <w:tc>
          <w:tcPr>
            <w:tcW w:w="664" w:type="pct"/>
            <w:vMerge w:val="restart"/>
            <w:vAlign w:val="center"/>
            <w:hideMark/>
          </w:tcPr>
          <w:p w14:paraId="5D0B0570" w14:textId="6FB194D7"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Treatments</w:t>
            </w:r>
            <w:r w:rsidRPr="00461A90">
              <w:rPr>
                <w:rFonts w:ascii="Times New Roman" w:eastAsia="Times New Roman" w:hAnsi="Times New Roman" w:cs="Times New Roman"/>
                <w:b/>
                <w:bCs/>
                <w:color w:val="000000" w:themeColor="text1"/>
                <w:sz w:val="24"/>
                <w:szCs w:val="24"/>
                <w:lang w:eastAsia="en-IN"/>
              </w:rPr>
              <w:br/>
              <w:t>Number</w:t>
            </w:r>
          </w:p>
        </w:tc>
        <w:tc>
          <w:tcPr>
            <w:tcW w:w="1175" w:type="pct"/>
            <w:vMerge w:val="restart"/>
            <w:noWrap/>
            <w:vAlign w:val="center"/>
            <w:hideMark/>
          </w:tcPr>
          <w:p w14:paraId="0ADC7122" w14:textId="77777777"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 detail</w:t>
            </w:r>
          </w:p>
        </w:tc>
        <w:tc>
          <w:tcPr>
            <w:tcW w:w="3161" w:type="pct"/>
            <w:gridSpan w:val="6"/>
            <w:vAlign w:val="center"/>
            <w:hideMark/>
          </w:tcPr>
          <w:p w14:paraId="45ECD7DA" w14:textId="7768F3B5"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Mycelial radial growth after 7 days (in mm) and percent inhibition in growth of the test fungus</w:t>
            </w:r>
          </w:p>
        </w:tc>
      </w:tr>
      <w:tr w:rsidR="00461A90" w:rsidRPr="00461A90" w14:paraId="3B7B9ACC" w14:textId="77777777" w:rsidTr="005D0540">
        <w:trPr>
          <w:trHeight w:val="288"/>
        </w:trPr>
        <w:tc>
          <w:tcPr>
            <w:tcW w:w="664" w:type="pct"/>
            <w:vMerge/>
            <w:vAlign w:val="center"/>
            <w:hideMark/>
          </w:tcPr>
          <w:p w14:paraId="6977EEBF" w14:textId="77777777" w:rsidR="008A6B50" w:rsidRPr="00461A90" w:rsidRDefault="008A6B50"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1175" w:type="pct"/>
            <w:vMerge/>
            <w:noWrap/>
            <w:vAlign w:val="center"/>
            <w:hideMark/>
          </w:tcPr>
          <w:p w14:paraId="390F051B" w14:textId="0AA7F412"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p>
        </w:tc>
        <w:tc>
          <w:tcPr>
            <w:tcW w:w="1054" w:type="pct"/>
            <w:gridSpan w:val="2"/>
            <w:noWrap/>
            <w:vAlign w:val="center"/>
            <w:hideMark/>
          </w:tcPr>
          <w:p w14:paraId="1043AFFB" w14:textId="105A647D"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100 ppm</w:t>
            </w:r>
          </w:p>
        </w:tc>
        <w:tc>
          <w:tcPr>
            <w:tcW w:w="1054" w:type="pct"/>
            <w:gridSpan w:val="2"/>
            <w:noWrap/>
            <w:vAlign w:val="center"/>
            <w:hideMark/>
          </w:tcPr>
          <w:p w14:paraId="0FC2FB7D" w14:textId="76CDBAF1"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250 ppm</w:t>
            </w:r>
          </w:p>
        </w:tc>
        <w:tc>
          <w:tcPr>
            <w:tcW w:w="1054" w:type="pct"/>
            <w:gridSpan w:val="2"/>
            <w:noWrap/>
            <w:vAlign w:val="center"/>
            <w:hideMark/>
          </w:tcPr>
          <w:p w14:paraId="4636B2F1" w14:textId="4D899DD8"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500 ppm</w:t>
            </w:r>
          </w:p>
        </w:tc>
      </w:tr>
      <w:tr w:rsidR="00461A90" w:rsidRPr="00461A90" w14:paraId="7A53A28E" w14:textId="77777777" w:rsidTr="005D0540">
        <w:trPr>
          <w:trHeight w:val="824"/>
        </w:trPr>
        <w:tc>
          <w:tcPr>
            <w:tcW w:w="664" w:type="pct"/>
            <w:vMerge/>
            <w:vAlign w:val="center"/>
            <w:hideMark/>
          </w:tcPr>
          <w:p w14:paraId="0FEE5662" w14:textId="77777777" w:rsidR="008A6B50" w:rsidRPr="00461A90" w:rsidRDefault="008A6B50"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1175" w:type="pct"/>
            <w:vMerge/>
            <w:noWrap/>
            <w:vAlign w:val="center"/>
            <w:hideMark/>
          </w:tcPr>
          <w:p w14:paraId="4574B203" w14:textId="0F19AC0D"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p>
        </w:tc>
        <w:tc>
          <w:tcPr>
            <w:tcW w:w="504" w:type="pct"/>
            <w:vAlign w:val="center"/>
            <w:hideMark/>
          </w:tcPr>
          <w:p w14:paraId="28DDF0B6"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550" w:type="pct"/>
            <w:vAlign w:val="center"/>
            <w:hideMark/>
          </w:tcPr>
          <w:p w14:paraId="656844DD"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504" w:type="pct"/>
            <w:vAlign w:val="center"/>
            <w:hideMark/>
          </w:tcPr>
          <w:p w14:paraId="6C26CED0"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550" w:type="pct"/>
            <w:vAlign w:val="center"/>
            <w:hideMark/>
          </w:tcPr>
          <w:p w14:paraId="27D8FD6C"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504" w:type="pct"/>
            <w:vAlign w:val="center"/>
            <w:hideMark/>
          </w:tcPr>
          <w:p w14:paraId="4A7ED573"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550" w:type="pct"/>
            <w:vAlign w:val="center"/>
            <w:hideMark/>
          </w:tcPr>
          <w:p w14:paraId="7ECF85F9"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r>
      <w:tr w:rsidR="00461A90" w:rsidRPr="00461A90" w14:paraId="6FC284C6" w14:textId="77777777" w:rsidTr="005D0540">
        <w:trPr>
          <w:trHeight w:val="549"/>
        </w:trPr>
        <w:tc>
          <w:tcPr>
            <w:tcW w:w="664" w:type="pct"/>
            <w:noWrap/>
            <w:vAlign w:val="center"/>
            <w:hideMark/>
          </w:tcPr>
          <w:p w14:paraId="75902096"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T1</w:t>
            </w:r>
          </w:p>
        </w:tc>
        <w:tc>
          <w:tcPr>
            <w:tcW w:w="1175" w:type="pct"/>
            <w:vAlign w:val="center"/>
            <w:hideMark/>
          </w:tcPr>
          <w:p w14:paraId="353F1633" w14:textId="77777777" w:rsidR="00FC7412" w:rsidRPr="00461A90" w:rsidRDefault="0002799F" w:rsidP="00ED2F55">
            <w:pPr>
              <w:spacing w:after="0" w:line="360" w:lineRule="auto"/>
              <w:jc w:val="center"/>
              <w:rPr>
                <w:rFonts w:ascii="Times New Roman" w:eastAsia="Times New Roman" w:hAnsi="Times New Roman" w:cs="Times New Roman"/>
                <w:color w:val="000000" w:themeColor="text1"/>
                <w:sz w:val="24"/>
                <w:szCs w:val="24"/>
                <w:lang w:eastAsia="en-IN"/>
              </w:rPr>
            </w:pPr>
            <w:hyperlink r:id="rId7" w:history="1">
              <w:r w:rsidR="00FC7412" w:rsidRPr="00461A90">
                <w:rPr>
                  <w:rFonts w:ascii="Times New Roman" w:eastAsia="Times New Roman" w:hAnsi="Times New Roman" w:cs="Times New Roman"/>
                  <w:color w:val="000000" w:themeColor="text1"/>
                  <w:sz w:val="24"/>
                  <w:szCs w:val="24"/>
                  <w:lang w:eastAsia="en-IN"/>
                </w:rPr>
                <w:t xml:space="preserve">Metiram 55% + </w:t>
              </w:r>
              <w:proofErr w:type="spellStart"/>
              <w:r w:rsidR="00FC7412" w:rsidRPr="00461A90">
                <w:rPr>
                  <w:rFonts w:ascii="Times New Roman" w:eastAsia="Times New Roman" w:hAnsi="Times New Roman" w:cs="Times New Roman"/>
                  <w:color w:val="000000" w:themeColor="text1"/>
                  <w:sz w:val="24"/>
                  <w:szCs w:val="24"/>
                  <w:lang w:eastAsia="en-IN"/>
                </w:rPr>
                <w:t>Pyraclostrobin</w:t>
              </w:r>
              <w:proofErr w:type="spellEnd"/>
              <w:r w:rsidR="00FC7412" w:rsidRPr="00461A90">
                <w:rPr>
                  <w:rFonts w:ascii="Times New Roman" w:eastAsia="Times New Roman" w:hAnsi="Times New Roman" w:cs="Times New Roman"/>
                  <w:color w:val="000000" w:themeColor="text1"/>
                  <w:sz w:val="24"/>
                  <w:szCs w:val="24"/>
                  <w:lang w:eastAsia="en-IN"/>
                </w:rPr>
                <w:t xml:space="preserve"> 5% WG</w:t>
              </w:r>
            </w:hyperlink>
          </w:p>
        </w:tc>
        <w:tc>
          <w:tcPr>
            <w:tcW w:w="504" w:type="pct"/>
            <w:vAlign w:val="center"/>
            <w:hideMark/>
          </w:tcPr>
          <w:p w14:paraId="5043782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16.90</w:t>
            </w:r>
          </w:p>
        </w:tc>
        <w:tc>
          <w:tcPr>
            <w:tcW w:w="550" w:type="pct"/>
            <w:vAlign w:val="center"/>
            <w:hideMark/>
          </w:tcPr>
          <w:p w14:paraId="4765FB1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80.12</w:t>
            </w:r>
          </w:p>
        </w:tc>
        <w:tc>
          <w:tcPr>
            <w:tcW w:w="504" w:type="pct"/>
            <w:vAlign w:val="center"/>
            <w:hideMark/>
          </w:tcPr>
          <w:p w14:paraId="2E5D6EC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14.00</w:t>
            </w:r>
          </w:p>
        </w:tc>
        <w:tc>
          <w:tcPr>
            <w:tcW w:w="550" w:type="pct"/>
            <w:vAlign w:val="center"/>
            <w:hideMark/>
          </w:tcPr>
          <w:p w14:paraId="51708E1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83.53</w:t>
            </w:r>
          </w:p>
        </w:tc>
        <w:tc>
          <w:tcPr>
            <w:tcW w:w="504" w:type="pct"/>
            <w:vAlign w:val="center"/>
            <w:hideMark/>
          </w:tcPr>
          <w:p w14:paraId="66078CC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12.00</w:t>
            </w:r>
          </w:p>
        </w:tc>
        <w:tc>
          <w:tcPr>
            <w:tcW w:w="550" w:type="pct"/>
            <w:vAlign w:val="center"/>
            <w:hideMark/>
          </w:tcPr>
          <w:p w14:paraId="4AB07D4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85.88</w:t>
            </w:r>
          </w:p>
        </w:tc>
      </w:tr>
      <w:tr w:rsidR="00461A90" w:rsidRPr="00461A90" w14:paraId="0018A90E" w14:textId="77777777" w:rsidTr="005D0540">
        <w:trPr>
          <w:trHeight w:val="288"/>
        </w:trPr>
        <w:tc>
          <w:tcPr>
            <w:tcW w:w="664" w:type="pct"/>
            <w:noWrap/>
            <w:vAlign w:val="center"/>
            <w:hideMark/>
          </w:tcPr>
          <w:p w14:paraId="146C8F6D"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T2</w:t>
            </w:r>
          </w:p>
        </w:tc>
        <w:tc>
          <w:tcPr>
            <w:tcW w:w="1175" w:type="pct"/>
            <w:vAlign w:val="center"/>
            <w:hideMark/>
          </w:tcPr>
          <w:p w14:paraId="23C706D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Carboxin37.5% + Thiram 37.5%</w:t>
            </w:r>
          </w:p>
        </w:tc>
        <w:tc>
          <w:tcPr>
            <w:tcW w:w="504" w:type="pct"/>
            <w:vAlign w:val="center"/>
            <w:hideMark/>
          </w:tcPr>
          <w:p w14:paraId="255F23F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42.85</w:t>
            </w:r>
          </w:p>
        </w:tc>
        <w:tc>
          <w:tcPr>
            <w:tcW w:w="550" w:type="pct"/>
            <w:vAlign w:val="center"/>
            <w:hideMark/>
          </w:tcPr>
          <w:p w14:paraId="4DF30F0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49.59</w:t>
            </w:r>
          </w:p>
        </w:tc>
        <w:tc>
          <w:tcPr>
            <w:tcW w:w="504" w:type="pct"/>
            <w:vAlign w:val="center"/>
            <w:hideMark/>
          </w:tcPr>
          <w:p w14:paraId="00951D2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24.10</w:t>
            </w:r>
          </w:p>
        </w:tc>
        <w:tc>
          <w:tcPr>
            <w:tcW w:w="550" w:type="pct"/>
            <w:vAlign w:val="center"/>
            <w:hideMark/>
          </w:tcPr>
          <w:p w14:paraId="738CE45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71.647</w:t>
            </w:r>
          </w:p>
        </w:tc>
        <w:tc>
          <w:tcPr>
            <w:tcW w:w="504" w:type="pct"/>
            <w:vAlign w:val="center"/>
            <w:hideMark/>
          </w:tcPr>
          <w:p w14:paraId="7F20E91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16.40</w:t>
            </w:r>
          </w:p>
        </w:tc>
        <w:tc>
          <w:tcPr>
            <w:tcW w:w="550" w:type="pct"/>
            <w:vAlign w:val="center"/>
            <w:hideMark/>
          </w:tcPr>
          <w:p w14:paraId="2C9C37E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80.707</w:t>
            </w:r>
          </w:p>
        </w:tc>
      </w:tr>
      <w:tr w:rsidR="00461A90" w:rsidRPr="00461A90" w14:paraId="7505F4E9" w14:textId="77777777" w:rsidTr="005D0540">
        <w:trPr>
          <w:trHeight w:val="288"/>
        </w:trPr>
        <w:tc>
          <w:tcPr>
            <w:tcW w:w="664" w:type="pct"/>
            <w:noWrap/>
            <w:vAlign w:val="center"/>
            <w:hideMark/>
          </w:tcPr>
          <w:p w14:paraId="4D1A2A4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T3</w:t>
            </w:r>
          </w:p>
        </w:tc>
        <w:tc>
          <w:tcPr>
            <w:tcW w:w="1175" w:type="pct"/>
            <w:vAlign w:val="center"/>
            <w:hideMark/>
          </w:tcPr>
          <w:p w14:paraId="7FD55F8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Carbendazim25%+ Mancozeb 50%</w:t>
            </w:r>
          </w:p>
        </w:tc>
        <w:tc>
          <w:tcPr>
            <w:tcW w:w="504" w:type="pct"/>
            <w:vAlign w:val="center"/>
            <w:hideMark/>
          </w:tcPr>
          <w:p w14:paraId="37BEB52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10.00</w:t>
            </w:r>
          </w:p>
        </w:tc>
        <w:tc>
          <w:tcPr>
            <w:tcW w:w="550" w:type="pct"/>
            <w:vAlign w:val="center"/>
            <w:hideMark/>
          </w:tcPr>
          <w:p w14:paraId="2A39785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88.24</w:t>
            </w:r>
          </w:p>
        </w:tc>
        <w:tc>
          <w:tcPr>
            <w:tcW w:w="504" w:type="pct"/>
            <w:vAlign w:val="center"/>
            <w:hideMark/>
          </w:tcPr>
          <w:p w14:paraId="79CB224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550" w:type="pct"/>
            <w:vAlign w:val="center"/>
            <w:hideMark/>
          </w:tcPr>
          <w:p w14:paraId="00F0161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c>
          <w:tcPr>
            <w:tcW w:w="504" w:type="pct"/>
            <w:vAlign w:val="center"/>
            <w:hideMark/>
          </w:tcPr>
          <w:p w14:paraId="158BCDF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550" w:type="pct"/>
            <w:vAlign w:val="center"/>
            <w:hideMark/>
          </w:tcPr>
          <w:p w14:paraId="2F69484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r>
      <w:tr w:rsidR="00461A90" w:rsidRPr="00461A90" w14:paraId="3C55E8AB" w14:textId="77777777" w:rsidTr="005D0540">
        <w:trPr>
          <w:trHeight w:val="744"/>
        </w:trPr>
        <w:tc>
          <w:tcPr>
            <w:tcW w:w="664" w:type="pct"/>
            <w:noWrap/>
            <w:vAlign w:val="center"/>
            <w:hideMark/>
          </w:tcPr>
          <w:p w14:paraId="00918A8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T4</w:t>
            </w:r>
          </w:p>
        </w:tc>
        <w:tc>
          <w:tcPr>
            <w:tcW w:w="1175" w:type="pct"/>
            <w:vAlign w:val="center"/>
            <w:hideMark/>
          </w:tcPr>
          <w:p w14:paraId="6A7CA3F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xml:space="preserve">Thiophanate Methyl 450 + </w:t>
            </w:r>
            <w:proofErr w:type="spellStart"/>
            <w:r w:rsidRPr="00461A90">
              <w:rPr>
                <w:rFonts w:ascii="Times New Roman" w:eastAsia="Times New Roman" w:hAnsi="Times New Roman" w:cs="Times New Roman"/>
                <w:color w:val="000000" w:themeColor="text1"/>
                <w:sz w:val="24"/>
                <w:szCs w:val="24"/>
                <w:lang w:eastAsia="en-IN"/>
              </w:rPr>
              <w:t>Pyraclostrobin</w:t>
            </w:r>
            <w:proofErr w:type="spellEnd"/>
            <w:r w:rsidRPr="00461A90">
              <w:rPr>
                <w:rFonts w:ascii="Times New Roman" w:eastAsia="Times New Roman" w:hAnsi="Times New Roman" w:cs="Times New Roman"/>
                <w:color w:val="000000" w:themeColor="text1"/>
                <w:sz w:val="24"/>
                <w:szCs w:val="24"/>
                <w:lang w:eastAsia="en-IN"/>
              </w:rPr>
              <w:t xml:space="preserve"> 50 G/L (W/V) FS</w:t>
            </w:r>
          </w:p>
        </w:tc>
        <w:tc>
          <w:tcPr>
            <w:tcW w:w="504" w:type="pct"/>
            <w:vAlign w:val="center"/>
            <w:hideMark/>
          </w:tcPr>
          <w:p w14:paraId="4AAB917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30.00</w:t>
            </w:r>
          </w:p>
        </w:tc>
        <w:tc>
          <w:tcPr>
            <w:tcW w:w="550" w:type="pct"/>
            <w:vAlign w:val="center"/>
            <w:hideMark/>
          </w:tcPr>
          <w:p w14:paraId="32F8CA9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64.71</w:t>
            </w:r>
          </w:p>
        </w:tc>
        <w:tc>
          <w:tcPr>
            <w:tcW w:w="504" w:type="pct"/>
            <w:vAlign w:val="center"/>
            <w:hideMark/>
          </w:tcPr>
          <w:p w14:paraId="0D80D17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19.70</w:t>
            </w:r>
          </w:p>
        </w:tc>
        <w:tc>
          <w:tcPr>
            <w:tcW w:w="550" w:type="pct"/>
            <w:vAlign w:val="center"/>
            <w:hideMark/>
          </w:tcPr>
          <w:p w14:paraId="21F03DB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76.823</w:t>
            </w:r>
          </w:p>
        </w:tc>
        <w:tc>
          <w:tcPr>
            <w:tcW w:w="504" w:type="pct"/>
            <w:vAlign w:val="center"/>
            <w:hideMark/>
          </w:tcPr>
          <w:p w14:paraId="187D330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18.05</w:t>
            </w:r>
          </w:p>
        </w:tc>
        <w:tc>
          <w:tcPr>
            <w:tcW w:w="550" w:type="pct"/>
            <w:vAlign w:val="center"/>
            <w:hideMark/>
          </w:tcPr>
          <w:p w14:paraId="161B9CA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78.763</w:t>
            </w:r>
          </w:p>
        </w:tc>
      </w:tr>
      <w:tr w:rsidR="00461A90" w:rsidRPr="00461A90" w14:paraId="167790FC" w14:textId="77777777" w:rsidTr="005D0540">
        <w:trPr>
          <w:trHeight w:val="549"/>
        </w:trPr>
        <w:tc>
          <w:tcPr>
            <w:tcW w:w="664" w:type="pct"/>
            <w:noWrap/>
            <w:vAlign w:val="center"/>
            <w:hideMark/>
          </w:tcPr>
          <w:p w14:paraId="46CBC9D4"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T5</w:t>
            </w:r>
          </w:p>
        </w:tc>
        <w:tc>
          <w:tcPr>
            <w:tcW w:w="1175" w:type="pct"/>
            <w:vAlign w:val="center"/>
            <w:hideMark/>
          </w:tcPr>
          <w:p w14:paraId="130A9E7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xml:space="preserve">Penflufen13.28% + </w:t>
            </w:r>
            <w:proofErr w:type="spellStart"/>
            <w:r w:rsidRPr="00461A90">
              <w:rPr>
                <w:rFonts w:ascii="Times New Roman" w:eastAsia="Times New Roman" w:hAnsi="Times New Roman" w:cs="Times New Roman"/>
                <w:color w:val="000000" w:themeColor="text1"/>
                <w:sz w:val="24"/>
                <w:szCs w:val="24"/>
                <w:lang w:eastAsia="en-IN"/>
              </w:rPr>
              <w:t>Trifloxystrobin</w:t>
            </w:r>
            <w:proofErr w:type="spellEnd"/>
            <w:r w:rsidRPr="00461A90">
              <w:rPr>
                <w:rFonts w:ascii="Times New Roman" w:eastAsia="Times New Roman" w:hAnsi="Times New Roman" w:cs="Times New Roman"/>
                <w:color w:val="000000" w:themeColor="text1"/>
                <w:sz w:val="24"/>
                <w:szCs w:val="24"/>
                <w:lang w:eastAsia="en-IN"/>
              </w:rPr>
              <w:t xml:space="preserve"> 13.28%</w:t>
            </w:r>
          </w:p>
        </w:tc>
        <w:tc>
          <w:tcPr>
            <w:tcW w:w="504" w:type="pct"/>
            <w:vAlign w:val="center"/>
            <w:hideMark/>
          </w:tcPr>
          <w:p w14:paraId="196DE38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24.20</w:t>
            </w:r>
          </w:p>
        </w:tc>
        <w:tc>
          <w:tcPr>
            <w:tcW w:w="550" w:type="pct"/>
            <w:vAlign w:val="center"/>
            <w:hideMark/>
          </w:tcPr>
          <w:p w14:paraId="27BF1AB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71.53</w:t>
            </w:r>
          </w:p>
        </w:tc>
        <w:tc>
          <w:tcPr>
            <w:tcW w:w="504" w:type="pct"/>
            <w:vAlign w:val="center"/>
            <w:hideMark/>
          </w:tcPr>
          <w:p w14:paraId="696FF84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17.60</w:t>
            </w:r>
          </w:p>
        </w:tc>
        <w:tc>
          <w:tcPr>
            <w:tcW w:w="550" w:type="pct"/>
            <w:vAlign w:val="center"/>
            <w:hideMark/>
          </w:tcPr>
          <w:p w14:paraId="07949EE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79.297</w:t>
            </w:r>
          </w:p>
        </w:tc>
        <w:tc>
          <w:tcPr>
            <w:tcW w:w="504" w:type="pct"/>
            <w:vAlign w:val="center"/>
            <w:hideMark/>
          </w:tcPr>
          <w:p w14:paraId="6BA1A97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13.00</w:t>
            </w:r>
          </w:p>
        </w:tc>
        <w:tc>
          <w:tcPr>
            <w:tcW w:w="550" w:type="pct"/>
            <w:vAlign w:val="center"/>
            <w:hideMark/>
          </w:tcPr>
          <w:p w14:paraId="33EFED8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84.71</w:t>
            </w:r>
          </w:p>
        </w:tc>
      </w:tr>
      <w:tr w:rsidR="00461A90" w:rsidRPr="00461A90" w14:paraId="665E6097" w14:textId="77777777" w:rsidTr="005D0540">
        <w:trPr>
          <w:trHeight w:val="640"/>
        </w:trPr>
        <w:tc>
          <w:tcPr>
            <w:tcW w:w="664" w:type="pct"/>
            <w:noWrap/>
            <w:vAlign w:val="center"/>
            <w:hideMark/>
          </w:tcPr>
          <w:p w14:paraId="0401D796"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T6</w:t>
            </w:r>
          </w:p>
        </w:tc>
        <w:tc>
          <w:tcPr>
            <w:tcW w:w="1175" w:type="pct"/>
            <w:vAlign w:val="center"/>
            <w:hideMark/>
          </w:tcPr>
          <w:p w14:paraId="55B8464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xml:space="preserve">Azoxystrobin11% + Tebuconazole 18.3% SC </w:t>
            </w:r>
          </w:p>
        </w:tc>
        <w:tc>
          <w:tcPr>
            <w:tcW w:w="504" w:type="pct"/>
            <w:vAlign w:val="center"/>
            <w:hideMark/>
          </w:tcPr>
          <w:p w14:paraId="196CA86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32.10</w:t>
            </w:r>
          </w:p>
        </w:tc>
        <w:tc>
          <w:tcPr>
            <w:tcW w:w="550" w:type="pct"/>
            <w:vAlign w:val="center"/>
            <w:hideMark/>
          </w:tcPr>
          <w:p w14:paraId="78860B8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62.237</w:t>
            </w:r>
          </w:p>
        </w:tc>
        <w:tc>
          <w:tcPr>
            <w:tcW w:w="504" w:type="pct"/>
            <w:vAlign w:val="center"/>
            <w:hideMark/>
          </w:tcPr>
          <w:p w14:paraId="4975212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27.50</w:t>
            </w:r>
          </w:p>
        </w:tc>
        <w:tc>
          <w:tcPr>
            <w:tcW w:w="550" w:type="pct"/>
            <w:vAlign w:val="center"/>
            <w:hideMark/>
          </w:tcPr>
          <w:p w14:paraId="2D855FE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67.65</w:t>
            </w:r>
          </w:p>
        </w:tc>
        <w:tc>
          <w:tcPr>
            <w:tcW w:w="504" w:type="pct"/>
            <w:vAlign w:val="center"/>
            <w:hideMark/>
          </w:tcPr>
          <w:p w14:paraId="70BC39F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20.00</w:t>
            </w:r>
          </w:p>
        </w:tc>
        <w:tc>
          <w:tcPr>
            <w:tcW w:w="550" w:type="pct"/>
            <w:vAlign w:val="center"/>
            <w:hideMark/>
          </w:tcPr>
          <w:p w14:paraId="0008A2E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76.47</w:t>
            </w:r>
          </w:p>
        </w:tc>
      </w:tr>
      <w:tr w:rsidR="00461A90" w:rsidRPr="00461A90" w14:paraId="514B26F1" w14:textId="77777777" w:rsidTr="005D0540">
        <w:trPr>
          <w:trHeight w:val="288"/>
        </w:trPr>
        <w:tc>
          <w:tcPr>
            <w:tcW w:w="664" w:type="pct"/>
            <w:noWrap/>
            <w:vAlign w:val="center"/>
            <w:hideMark/>
          </w:tcPr>
          <w:p w14:paraId="4DAC778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T7</w:t>
            </w:r>
          </w:p>
        </w:tc>
        <w:tc>
          <w:tcPr>
            <w:tcW w:w="1175" w:type="pct"/>
            <w:vAlign w:val="center"/>
            <w:hideMark/>
          </w:tcPr>
          <w:p w14:paraId="6C72EC2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Control</w:t>
            </w:r>
          </w:p>
        </w:tc>
        <w:tc>
          <w:tcPr>
            <w:tcW w:w="504" w:type="pct"/>
            <w:vAlign w:val="center"/>
            <w:hideMark/>
          </w:tcPr>
          <w:p w14:paraId="0FDB950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550" w:type="pct"/>
            <w:noWrap/>
            <w:vAlign w:val="center"/>
            <w:hideMark/>
          </w:tcPr>
          <w:p w14:paraId="75EFF73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w:t>
            </w:r>
          </w:p>
        </w:tc>
        <w:tc>
          <w:tcPr>
            <w:tcW w:w="504" w:type="pct"/>
            <w:vAlign w:val="center"/>
            <w:hideMark/>
          </w:tcPr>
          <w:p w14:paraId="11ECE1F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550" w:type="pct"/>
            <w:noWrap/>
            <w:vAlign w:val="center"/>
            <w:hideMark/>
          </w:tcPr>
          <w:p w14:paraId="47A6601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504" w:type="pct"/>
            <w:vAlign w:val="center"/>
            <w:hideMark/>
          </w:tcPr>
          <w:p w14:paraId="54C0CFC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550" w:type="pct"/>
            <w:noWrap/>
            <w:vAlign w:val="center"/>
            <w:hideMark/>
          </w:tcPr>
          <w:p w14:paraId="03F10B4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r>
      <w:tr w:rsidR="00461A90" w:rsidRPr="00461A90" w14:paraId="1932912F" w14:textId="77777777" w:rsidTr="005D0540">
        <w:trPr>
          <w:trHeight w:val="274"/>
        </w:trPr>
        <w:tc>
          <w:tcPr>
            <w:tcW w:w="664" w:type="pct"/>
            <w:noWrap/>
            <w:vAlign w:val="center"/>
            <w:hideMark/>
          </w:tcPr>
          <w:p w14:paraId="4B21DE9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1175" w:type="pct"/>
            <w:noWrap/>
            <w:vAlign w:val="center"/>
            <w:hideMark/>
          </w:tcPr>
          <w:p w14:paraId="6D64338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C.D. (5%)</w:t>
            </w:r>
          </w:p>
        </w:tc>
        <w:tc>
          <w:tcPr>
            <w:tcW w:w="504" w:type="pct"/>
            <w:vAlign w:val="center"/>
            <w:hideMark/>
          </w:tcPr>
          <w:p w14:paraId="381A57A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1.61</w:t>
            </w:r>
          </w:p>
        </w:tc>
        <w:tc>
          <w:tcPr>
            <w:tcW w:w="550" w:type="pct"/>
            <w:vAlign w:val="center"/>
            <w:hideMark/>
          </w:tcPr>
          <w:p w14:paraId="65A17AC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2.085</w:t>
            </w:r>
          </w:p>
        </w:tc>
        <w:tc>
          <w:tcPr>
            <w:tcW w:w="504" w:type="pct"/>
            <w:vAlign w:val="center"/>
            <w:hideMark/>
          </w:tcPr>
          <w:p w14:paraId="7EEF3D3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0.84</w:t>
            </w:r>
          </w:p>
        </w:tc>
        <w:tc>
          <w:tcPr>
            <w:tcW w:w="550" w:type="pct"/>
            <w:vAlign w:val="center"/>
            <w:hideMark/>
          </w:tcPr>
          <w:p w14:paraId="3B0B5D0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1.086</w:t>
            </w:r>
          </w:p>
        </w:tc>
        <w:tc>
          <w:tcPr>
            <w:tcW w:w="504" w:type="pct"/>
            <w:vAlign w:val="center"/>
            <w:hideMark/>
          </w:tcPr>
          <w:p w14:paraId="3DFD133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1.23</w:t>
            </w:r>
          </w:p>
        </w:tc>
        <w:tc>
          <w:tcPr>
            <w:tcW w:w="550" w:type="pct"/>
            <w:vAlign w:val="center"/>
            <w:hideMark/>
          </w:tcPr>
          <w:p w14:paraId="30D5E80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1.584</w:t>
            </w:r>
          </w:p>
        </w:tc>
      </w:tr>
      <w:tr w:rsidR="00FC7412" w:rsidRPr="00461A90" w14:paraId="1A0A6D32" w14:textId="77777777" w:rsidTr="005D0540">
        <w:trPr>
          <w:trHeight w:val="274"/>
        </w:trPr>
        <w:tc>
          <w:tcPr>
            <w:tcW w:w="664" w:type="pct"/>
            <w:noWrap/>
            <w:vAlign w:val="center"/>
            <w:hideMark/>
          </w:tcPr>
          <w:p w14:paraId="43F8869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1175" w:type="pct"/>
            <w:noWrap/>
            <w:vAlign w:val="center"/>
            <w:hideMark/>
          </w:tcPr>
          <w:p w14:paraId="3050833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SE(m)±</w:t>
            </w:r>
          </w:p>
        </w:tc>
        <w:tc>
          <w:tcPr>
            <w:tcW w:w="504" w:type="pct"/>
            <w:vAlign w:val="center"/>
            <w:hideMark/>
          </w:tcPr>
          <w:p w14:paraId="1BC66A1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0.53</w:t>
            </w:r>
          </w:p>
        </w:tc>
        <w:tc>
          <w:tcPr>
            <w:tcW w:w="550" w:type="pct"/>
            <w:vAlign w:val="center"/>
            <w:hideMark/>
          </w:tcPr>
          <w:p w14:paraId="25E1968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0.669</w:t>
            </w:r>
          </w:p>
        </w:tc>
        <w:tc>
          <w:tcPr>
            <w:tcW w:w="504" w:type="pct"/>
            <w:vAlign w:val="center"/>
            <w:hideMark/>
          </w:tcPr>
          <w:p w14:paraId="5A598C0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0.27</w:t>
            </w:r>
          </w:p>
        </w:tc>
        <w:tc>
          <w:tcPr>
            <w:tcW w:w="550" w:type="pct"/>
            <w:vAlign w:val="center"/>
            <w:hideMark/>
          </w:tcPr>
          <w:p w14:paraId="385D6BC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0.349</w:t>
            </w:r>
          </w:p>
        </w:tc>
        <w:tc>
          <w:tcPr>
            <w:tcW w:w="504" w:type="pct"/>
            <w:vAlign w:val="center"/>
            <w:hideMark/>
          </w:tcPr>
          <w:p w14:paraId="72FC10C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0.40</w:t>
            </w:r>
          </w:p>
        </w:tc>
        <w:tc>
          <w:tcPr>
            <w:tcW w:w="550" w:type="pct"/>
            <w:vAlign w:val="center"/>
            <w:hideMark/>
          </w:tcPr>
          <w:p w14:paraId="4B1C5C3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0.508</w:t>
            </w:r>
          </w:p>
        </w:tc>
      </w:tr>
    </w:tbl>
    <w:p w14:paraId="38147653" w14:textId="2FED35BC" w:rsidR="00DF4B58" w:rsidRPr="00461A90" w:rsidRDefault="00DF4B58" w:rsidP="00DF4B58">
      <w:pPr>
        <w:pStyle w:val="NormalWeb"/>
        <w:tabs>
          <w:tab w:val="left" w:pos="5670"/>
        </w:tabs>
        <w:spacing w:line="360" w:lineRule="auto"/>
        <w:ind w:left="720"/>
        <w:jc w:val="both"/>
        <w:rPr>
          <w:color w:val="000000" w:themeColor="text1"/>
        </w:rPr>
      </w:pPr>
    </w:p>
    <w:p w14:paraId="3A333A06" w14:textId="39053E01" w:rsidR="00897AA5" w:rsidRPr="00461A90" w:rsidRDefault="00DC733C" w:rsidP="0089195F">
      <w:pPr>
        <w:pStyle w:val="NormalWeb"/>
        <w:tabs>
          <w:tab w:val="left" w:pos="5670"/>
        </w:tabs>
        <w:spacing w:line="360" w:lineRule="auto"/>
        <w:rPr>
          <w:color w:val="000000" w:themeColor="text1"/>
        </w:rPr>
      </w:pPr>
      <w:r w:rsidRPr="00461A90">
        <w:rPr>
          <w:noProof/>
          <w:color w:val="000000" w:themeColor="text1"/>
        </w:rPr>
        <w:lastRenderedPageBreak/>
        <w:drawing>
          <wp:inline distT="0" distB="0" distL="0" distR="0" wp14:anchorId="19288DB3" wp14:editId="0F0CE73F">
            <wp:extent cx="5219700" cy="2052955"/>
            <wp:effectExtent l="0" t="0" r="0" b="4445"/>
            <wp:docPr id="1" name="Chart 1">
              <a:extLst xmlns:a="http://schemas.openxmlformats.org/drawingml/2006/main">
                <a:ext uri="{FF2B5EF4-FFF2-40B4-BE49-F238E27FC236}">
                  <a16:creationId xmlns:a16="http://schemas.microsoft.com/office/drawing/2014/main" id="{A227052B-45A9-4EDD-B0B5-74BE26154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35E65EE" w14:textId="01B23FEC" w:rsidR="009653AE" w:rsidRPr="00461A90" w:rsidRDefault="009653AE" w:rsidP="00FD19F7">
      <w:pPr>
        <w:spacing w:before="240" w:after="0" w:line="360" w:lineRule="auto"/>
        <w:jc w:val="both"/>
        <w:rPr>
          <w:rFonts w:ascii="Times New Roman" w:hAnsi="Times New Roman" w:cs="Times New Roman"/>
          <w:b/>
          <w:bCs/>
          <w:color w:val="000000" w:themeColor="text1"/>
          <w:sz w:val="24"/>
          <w:szCs w:val="24"/>
        </w:rPr>
      </w:pPr>
      <w:r w:rsidRPr="00461A90">
        <w:rPr>
          <w:rFonts w:ascii="Times New Roman" w:hAnsi="Times New Roman" w:cs="Times New Roman"/>
          <w:b/>
          <w:bCs/>
          <w:color w:val="000000" w:themeColor="text1"/>
          <w:sz w:val="24"/>
          <w:szCs w:val="24"/>
        </w:rPr>
        <w:t xml:space="preserve">Figure 1: Effect of different </w:t>
      </w:r>
      <w:r w:rsidR="00FD19F7" w:rsidRPr="00461A90">
        <w:rPr>
          <w:rFonts w:ascii="Times New Roman" w:hAnsi="Times New Roman" w:cs="Times New Roman"/>
          <w:b/>
          <w:bCs/>
          <w:color w:val="000000" w:themeColor="text1"/>
          <w:sz w:val="24"/>
          <w:szCs w:val="24"/>
        </w:rPr>
        <w:t xml:space="preserve">single compound </w:t>
      </w:r>
      <w:r w:rsidRPr="00461A90">
        <w:rPr>
          <w:rFonts w:ascii="Times New Roman" w:hAnsi="Times New Roman" w:cs="Times New Roman"/>
          <w:b/>
          <w:bCs/>
          <w:color w:val="000000" w:themeColor="text1"/>
          <w:sz w:val="24"/>
          <w:szCs w:val="24"/>
        </w:rPr>
        <w:t xml:space="preserve">fungicides on percent inhibition of the test fungus after </w:t>
      </w:r>
      <w:r w:rsidR="00FD19F7" w:rsidRPr="00461A90">
        <w:rPr>
          <w:rFonts w:ascii="Times New Roman" w:hAnsi="Times New Roman" w:cs="Times New Roman"/>
          <w:b/>
          <w:bCs/>
          <w:color w:val="000000" w:themeColor="text1"/>
          <w:sz w:val="24"/>
          <w:szCs w:val="24"/>
        </w:rPr>
        <w:t>seven</w:t>
      </w:r>
      <w:r w:rsidRPr="00461A90">
        <w:rPr>
          <w:rFonts w:ascii="Times New Roman" w:hAnsi="Times New Roman" w:cs="Times New Roman"/>
          <w:b/>
          <w:bCs/>
          <w:color w:val="000000" w:themeColor="text1"/>
          <w:sz w:val="24"/>
          <w:szCs w:val="24"/>
        </w:rPr>
        <w:t xml:space="preserve"> days of incubation at 100, 250 and 500 ppm concentrations</w:t>
      </w:r>
    </w:p>
    <w:p w14:paraId="756BF90C" w14:textId="77777777" w:rsidR="0089195F" w:rsidRPr="00461A90" w:rsidRDefault="0089195F" w:rsidP="009653AE">
      <w:pPr>
        <w:spacing w:before="240" w:after="0"/>
        <w:jc w:val="both"/>
        <w:rPr>
          <w:rFonts w:ascii="Times New Roman" w:hAnsi="Times New Roman" w:cs="Times New Roman"/>
          <w:b/>
          <w:bCs/>
          <w:color w:val="000000" w:themeColor="text1"/>
          <w:sz w:val="24"/>
          <w:szCs w:val="24"/>
        </w:rPr>
      </w:pPr>
    </w:p>
    <w:p w14:paraId="42B925D8" w14:textId="565FF981" w:rsidR="009653AE" w:rsidRPr="00461A90" w:rsidRDefault="0089195F" w:rsidP="009653AE">
      <w:pPr>
        <w:spacing w:line="360" w:lineRule="auto"/>
        <w:jc w:val="both"/>
        <w:rPr>
          <w:rFonts w:ascii="Times New Roman" w:hAnsi="Times New Roman" w:cs="Times New Roman"/>
          <w:b/>
          <w:bCs/>
          <w:color w:val="000000" w:themeColor="text1"/>
          <w:sz w:val="24"/>
          <w:szCs w:val="24"/>
        </w:rPr>
      </w:pPr>
      <w:r w:rsidRPr="00461A90">
        <w:rPr>
          <w:rFonts w:ascii="Times New Roman" w:hAnsi="Times New Roman" w:cs="Times New Roman"/>
          <w:noProof/>
          <w:color w:val="000000" w:themeColor="text1"/>
          <w:lang w:eastAsia="en-IN"/>
        </w:rPr>
        <w:drawing>
          <wp:inline distT="0" distB="0" distL="0" distR="0" wp14:anchorId="3AF3A9B2" wp14:editId="469814B6">
            <wp:extent cx="5171090" cy="2411730"/>
            <wp:effectExtent l="0" t="0" r="10795" b="7620"/>
            <wp:docPr id="2" name="Chart 2">
              <a:extLst xmlns:a="http://schemas.openxmlformats.org/drawingml/2006/main">
                <a:ext uri="{FF2B5EF4-FFF2-40B4-BE49-F238E27FC236}">
                  <a16:creationId xmlns:a16="http://schemas.microsoft.com/office/drawing/2014/main" id="{8E7F4638-EB73-46CD-8219-A1803B863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7912AF" w14:textId="47181389" w:rsidR="009653AE" w:rsidRPr="00461A90" w:rsidRDefault="009653AE" w:rsidP="009653AE">
      <w:pPr>
        <w:spacing w:line="360" w:lineRule="auto"/>
        <w:jc w:val="both"/>
        <w:rPr>
          <w:rFonts w:ascii="Times New Roman" w:hAnsi="Times New Roman" w:cs="Times New Roman"/>
          <w:b/>
          <w:bCs/>
          <w:color w:val="000000" w:themeColor="text1"/>
          <w:sz w:val="28"/>
          <w:szCs w:val="28"/>
        </w:rPr>
        <w:sectPr w:rsidR="009653AE" w:rsidRPr="00461A90" w:rsidSect="005D054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pPr>
      <w:r w:rsidRPr="00461A90">
        <w:rPr>
          <w:rFonts w:ascii="Times New Roman" w:hAnsi="Times New Roman" w:cs="Times New Roman"/>
          <w:b/>
          <w:bCs/>
          <w:color w:val="000000" w:themeColor="text1"/>
          <w:sz w:val="24"/>
          <w:szCs w:val="24"/>
        </w:rPr>
        <w:t xml:space="preserve">Figure </w:t>
      </w:r>
      <w:r w:rsidR="0089195F" w:rsidRPr="00461A90">
        <w:rPr>
          <w:rFonts w:ascii="Times New Roman" w:hAnsi="Times New Roman" w:cs="Times New Roman"/>
          <w:b/>
          <w:bCs/>
          <w:color w:val="000000" w:themeColor="text1"/>
          <w:sz w:val="24"/>
          <w:szCs w:val="24"/>
        </w:rPr>
        <w:t>2</w:t>
      </w:r>
      <w:r w:rsidRPr="00461A90">
        <w:rPr>
          <w:rFonts w:ascii="Times New Roman" w:hAnsi="Times New Roman" w:cs="Times New Roman"/>
          <w:b/>
          <w:bCs/>
          <w:color w:val="000000" w:themeColor="text1"/>
          <w:sz w:val="24"/>
          <w:szCs w:val="24"/>
        </w:rPr>
        <w:t>: Effect of different fungicidal combinations</w:t>
      </w:r>
      <w:r w:rsidR="00FD19F7" w:rsidRPr="00461A90">
        <w:rPr>
          <w:rFonts w:ascii="Times New Roman" w:hAnsi="Times New Roman" w:cs="Times New Roman"/>
          <w:b/>
          <w:bCs/>
          <w:color w:val="000000" w:themeColor="text1"/>
          <w:sz w:val="24"/>
          <w:szCs w:val="24"/>
        </w:rPr>
        <w:t xml:space="preserve"> on</w:t>
      </w:r>
      <w:r w:rsidRPr="00461A90">
        <w:rPr>
          <w:rFonts w:ascii="Times New Roman" w:hAnsi="Times New Roman" w:cs="Times New Roman"/>
          <w:b/>
          <w:bCs/>
          <w:color w:val="000000" w:themeColor="text1"/>
          <w:sz w:val="24"/>
          <w:szCs w:val="24"/>
        </w:rPr>
        <w:t xml:space="preserve"> percent inhibition of the test fungus after </w:t>
      </w:r>
      <w:r w:rsidR="00FD19F7" w:rsidRPr="00461A90">
        <w:rPr>
          <w:rFonts w:ascii="Times New Roman" w:hAnsi="Times New Roman" w:cs="Times New Roman"/>
          <w:b/>
          <w:bCs/>
          <w:color w:val="000000" w:themeColor="text1"/>
          <w:sz w:val="24"/>
          <w:szCs w:val="24"/>
        </w:rPr>
        <w:t>seven</w:t>
      </w:r>
      <w:r w:rsidRPr="00461A90">
        <w:rPr>
          <w:rFonts w:ascii="Times New Roman" w:hAnsi="Times New Roman" w:cs="Times New Roman"/>
          <w:b/>
          <w:bCs/>
          <w:color w:val="000000" w:themeColor="text1"/>
          <w:sz w:val="24"/>
          <w:szCs w:val="24"/>
        </w:rPr>
        <w:t xml:space="preserve"> days of incubation period at 100, 250 and 500 ppm concentrations</w:t>
      </w:r>
    </w:p>
    <w:tbl>
      <w:tblPr>
        <w:tblStyle w:val="TableGrid"/>
        <w:tblW w:w="83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2789"/>
        <w:gridCol w:w="2789"/>
        <w:gridCol w:w="14"/>
      </w:tblGrid>
      <w:tr w:rsidR="00461A90" w:rsidRPr="00461A90" w14:paraId="0104A984" w14:textId="77777777" w:rsidTr="00FC3565">
        <w:trPr>
          <w:trHeight w:val="17"/>
          <w:jc w:val="center"/>
        </w:trPr>
        <w:tc>
          <w:tcPr>
            <w:tcW w:w="2789" w:type="dxa"/>
          </w:tcPr>
          <w:p w14:paraId="3A82BCE1" w14:textId="7C55F614" w:rsidR="00897AA5" w:rsidRPr="00461A90" w:rsidRDefault="00897AA5" w:rsidP="00302FD0">
            <w:pPr>
              <w:spacing w:line="276" w:lineRule="auto"/>
              <w:rPr>
                <w:rFonts w:ascii="Times New Roman" w:hAnsi="Times New Roman" w:cs="Times New Roman"/>
                <w:b/>
                <w:bCs/>
                <w:noProof/>
                <w:color w:val="000000" w:themeColor="text1"/>
                <w:sz w:val="24"/>
                <w:szCs w:val="24"/>
                <w:lang w:val="en-US"/>
              </w:rPr>
            </w:pPr>
            <w:r w:rsidRPr="00461A90">
              <w:rPr>
                <w:rFonts w:ascii="Times New Roman" w:hAnsi="Times New Roman" w:cs="Times New Roman"/>
                <w:b/>
                <w:bCs/>
                <w:noProof/>
                <w:color w:val="000000" w:themeColor="text1"/>
                <w:sz w:val="24"/>
                <w:szCs w:val="24"/>
                <w:lang w:val="en-US"/>
              </w:rPr>
              <w:lastRenderedPageBreak/>
              <w:t>100</w:t>
            </w:r>
            <w:r w:rsidR="00846756" w:rsidRPr="00461A90">
              <w:rPr>
                <w:rFonts w:ascii="Times New Roman" w:hAnsi="Times New Roman" w:cs="Times New Roman"/>
                <w:b/>
                <w:bCs/>
                <w:noProof/>
                <w:color w:val="000000" w:themeColor="text1"/>
                <w:sz w:val="24"/>
                <w:szCs w:val="24"/>
                <w:lang w:val="en-US"/>
              </w:rPr>
              <w:t xml:space="preserve"> </w:t>
            </w:r>
            <w:r w:rsidRPr="00461A90">
              <w:rPr>
                <w:rFonts w:ascii="Times New Roman" w:hAnsi="Times New Roman" w:cs="Times New Roman"/>
                <w:b/>
                <w:bCs/>
                <w:noProof/>
                <w:color w:val="000000" w:themeColor="text1"/>
                <w:sz w:val="24"/>
                <w:szCs w:val="24"/>
                <w:lang w:val="en-US"/>
              </w:rPr>
              <w:t>ppm</w:t>
            </w:r>
          </w:p>
        </w:tc>
        <w:tc>
          <w:tcPr>
            <w:tcW w:w="2789" w:type="dxa"/>
          </w:tcPr>
          <w:p w14:paraId="4494D87B" w14:textId="047AF6AD" w:rsidR="00897AA5" w:rsidRPr="00461A90" w:rsidRDefault="00897AA5" w:rsidP="00302FD0">
            <w:pPr>
              <w:spacing w:line="276" w:lineRule="auto"/>
              <w:rPr>
                <w:rFonts w:ascii="Times New Roman" w:hAnsi="Times New Roman" w:cs="Times New Roman"/>
                <w:b/>
                <w:bCs/>
                <w:noProof/>
                <w:color w:val="000000" w:themeColor="text1"/>
                <w:sz w:val="24"/>
                <w:szCs w:val="24"/>
                <w:lang w:val="en-US"/>
              </w:rPr>
            </w:pPr>
            <w:r w:rsidRPr="00461A90">
              <w:rPr>
                <w:rFonts w:ascii="Times New Roman" w:hAnsi="Times New Roman" w:cs="Times New Roman"/>
                <w:b/>
                <w:bCs/>
                <w:noProof/>
                <w:color w:val="000000" w:themeColor="text1"/>
                <w:sz w:val="24"/>
                <w:szCs w:val="24"/>
                <w:lang w:val="en-US"/>
              </w:rPr>
              <w:t>250</w:t>
            </w:r>
            <w:r w:rsidR="00846756" w:rsidRPr="00461A90">
              <w:rPr>
                <w:rFonts w:ascii="Times New Roman" w:hAnsi="Times New Roman" w:cs="Times New Roman"/>
                <w:b/>
                <w:bCs/>
                <w:noProof/>
                <w:color w:val="000000" w:themeColor="text1"/>
                <w:sz w:val="24"/>
                <w:szCs w:val="24"/>
                <w:lang w:val="en-US"/>
              </w:rPr>
              <w:t xml:space="preserve"> </w:t>
            </w:r>
            <w:r w:rsidRPr="00461A90">
              <w:rPr>
                <w:rFonts w:ascii="Times New Roman" w:hAnsi="Times New Roman" w:cs="Times New Roman"/>
                <w:b/>
                <w:bCs/>
                <w:noProof/>
                <w:color w:val="000000" w:themeColor="text1"/>
                <w:sz w:val="24"/>
                <w:szCs w:val="24"/>
                <w:lang w:val="en-US"/>
              </w:rPr>
              <w:t>ppm</w:t>
            </w:r>
          </w:p>
        </w:tc>
        <w:tc>
          <w:tcPr>
            <w:tcW w:w="2803" w:type="dxa"/>
            <w:gridSpan w:val="2"/>
          </w:tcPr>
          <w:p w14:paraId="1D41D13C" w14:textId="385087EA" w:rsidR="00897AA5" w:rsidRPr="00461A90" w:rsidRDefault="00897AA5" w:rsidP="00302FD0">
            <w:pPr>
              <w:spacing w:line="276" w:lineRule="auto"/>
              <w:rPr>
                <w:rFonts w:ascii="Times New Roman" w:hAnsi="Times New Roman" w:cs="Times New Roman"/>
                <w:b/>
                <w:bCs/>
                <w:noProof/>
                <w:color w:val="000000" w:themeColor="text1"/>
                <w:sz w:val="24"/>
                <w:szCs w:val="24"/>
                <w:lang w:val="en-US"/>
              </w:rPr>
            </w:pPr>
            <w:r w:rsidRPr="00461A90">
              <w:rPr>
                <w:rFonts w:ascii="Times New Roman" w:hAnsi="Times New Roman" w:cs="Times New Roman"/>
                <w:b/>
                <w:bCs/>
                <w:noProof/>
                <w:color w:val="000000" w:themeColor="text1"/>
                <w:sz w:val="24"/>
                <w:szCs w:val="24"/>
                <w:lang w:val="en-US"/>
              </w:rPr>
              <w:t>500</w:t>
            </w:r>
            <w:r w:rsidR="00846756" w:rsidRPr="00461A90">
              <w:rPr>
                <w:rFonts w:ascii="Times New Roman" w:hAnsi="Times New Roman" w:cs="Times New Roman"/>
                <w:b/>
                <w:bCs/>
                <w:noProof/>
                <w:color w:val="000000" w:themeColor="text1"/>
                <w:sz w:val="24"/>
                <w:szCs w:val="24"/>
                <w:lang w:val="en-US"/>
              </w:rPr>
              <w:t xml:space="preserve"> </w:t>
            </w:r>
            <w:r w:rsidRPr="00461A90">
              <w:rPr>
                <w:rFonts w:ascii="Times New Roman" w:hAnsi="Times New Roman" w:cs="Times New Roman"/>
                <w:b/>
                <w:bCs/>
                <w:noProof/>
                <w:color w:val="000000" w:themeColor="text1"/>
                <w:sz w:val="24"/>
                <w:szCs w:val="24"/>
                <w:lang w:val="en-US"/>
              </w:rPr>
              <w:t>ppm</w:t>
            </w:r>
          </w:p>
        </w:tc>
      </w:tr>
      <w:tr w:rsidR="00461A90" w:rsidRPr="00461A90" w14:paraId="307F1D58" w14:textId="77777777" w:rsidTr="00FC3565">
        <w:trPr>
          <w:trHeight w:val="17"/>
          <w:jc w:val="center"/>
        </w:trPr>
        <w:tc>
          <w:tcPr>
            <w:tcW w:w="2789" w:type="dxa"/>
          </w:tcPr>
          <w:p w14:paraId="2AE7E1B4"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1312" behindDoc="0" locked="0" layoutInCell="1" allowOverlap="1" wp14:anchorId="47B90F91" wp14:editId="21970B90">
                      <wp:simplePos x="0" y="0"/>
                      <wp:positionH relativeFrom="column">
                        <wp:posOffset>12700</wp:posOffset>
                      </wp:positionH>
                      <wp:positionV relativeFrom="paragraph">
                        <wp:posOffset>5715</wp:posOffset>
                      </wp:positionV>
                      <wp:extent cx="361950" cy="257175"/>
                      <wp:effectExtent l="0" t="0" r="6350" b="0"/>
                      <wp:wrapNone/>
                      <wp:docPr id="123036086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4304E6DC" w14:textId="77777777" w:rsidR="00897AA5" w:rsidRPr="002F04AB" w:rsidRDefault="00897AA5" w:rsidP="00897AA5">
                                  <w:pPr>
                                    <w:rPr>
                                      <w:lang w:val="en-US"/>
                                    </w:rPr>
                                  </w:pPr>
                                  <w:r>
                                    <w:rPr>
                                      <w:lang w:val="en-US"/>
                                    </w:rPr>
                                    <w:t>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7B90F91" id="_x0000_t202" coordsize="21600,21600" o:spt="202" path="m,l,21600r21600,l21600,xe">
                      <v:stroke joinstyle="miter"/>
                      <v:path gradientshapeok="t" o:connecttype="rect"/>
                    </v:shapetype>
                    <v:shape id="Text Box 139" o:spid="_x0000_s1026" type="#_x0000_t202" style="position:absolute;margin-left:1pt;margin-top:.45pt;width:28.5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07GgIAADcEAAAOAAAAZHJzL2Uyb0RvYy54bWysU9uO2yAQfa/Uf0C8N74kzsWKs2p3m6rS&#10;9iLt9gMwxjEqtwKJnX59B+zNpreXqjwghjlzmDkzbG8GKdCJWce1qnA2SzFiiuqGq0OFvzzuX60x&#10;cp6ohgitWIXPzOGb3csX296ULNedFg2zCEiUK3tT4c57UyaJox2TxM20YQqcrbaSeDDtIWks6YFd&#10;iiRP02XSa9sYqylzDm7vRifeRf62ZdR/alvHPBIVhtx83G3c67Anuy0pD5aYjtMpDfIPWUjCFTx6&#10;obojnqCj5b9RSU6tdrr1M6plotuWUxZrgGqy9JdqHjpiWKwFxHHmIpP7f7T04+mzRbyB3uXzdL5M&#10;10vomCISevXIBo/e6AFl800QqjeuBPyDgQg/gAOCYtHO3Gv61QEkucKMAS6g6/6DboCRHL2OEUNr&#10;ZZALBEBAA505X7oRXqVwOV9mmwI8FFx5scpWRUgiIeVTsLHOv2NaonCosIVmR3Jyund+hD5BwltO&#10;C97suRDRsIf6Vlh0IjAY+7gm9p9gQqG+wpsiL8ZC/0qRxvUnCsk9TLjgssLrC4iUHSPNW9VAmqT0&#10;hIvxDNUJNckYlBs19EM9ADBoW+vmDIJaPU4y/Dw4dNp+x6iHKa6w+3YklmEk3isYk022WISxj8ai&#10;WOVg2GtPfe0higJVhT1G4/HWx68SclT6NTSv5VHY50ymXGE6Y2umnxTG/9qOqOf/vvsBAAD//wMA&#10;UEsDBBQABgAIAAAAIQDAIFPW2wAAAAQBAAAPAAAAZHJzL2Rvd25yZXYueG1sTI/NTsMwEITvSLyD&#10;tUjcqNM/REM2FT9CQqhSRdMHcOMlDsTrKHbb8PYsJziOZjTzTbEefadONMQ2MMJ0koEiroNtuUHY&#10;Vy83d6BiMmxNF5gQvinCury8KExuw5nf6bRLjZISjrlBcCn1udaxduRNnISeWLyPMHiTRA6NtoM5&#10;S7nv9CzLbrU3LcuCMz09Oaq/dkeP8Pw53+65ddb389e3qtqMy61+RLy+Gh/uQSUa018YfvEFHUph&#10;OoQj26g6hJk8SQgrUGIuV6IOCIvpAnRZ6P/w5Q8AAAD//wMAUEsBAi0AFAAGAAgAAAAhALaDOJL+&#10;AAAA4QEAABMAAAAAAAAAAAAAAAAAAAAAAFtDb250ZW50X1R5cGVzXS54bWxQSwECLQAUAAYACAAA&#10;ACEAOP0h/9YAAACUAQAACwAAAAAAAAAAAAAAAAAvAQAAX3JlbHMvLnJlbHNQSwECLQAUAAYACAAA&#10;ACEA0La9OxoCAAA3BAAADgAAAAAAAAAAAAAAAAAuAgAAZHJzL2Uyb0RvYy54bWxQSwECLQAUAAYA&#10;CAAAACEAwCBT1tsAAAAEAQAADwAAAAAAAAAAAAAAAAB0BAAAZHJzL2Rvd25yZXYueG1sUEsFBgAA&#10;AAAEAAQA8wAAAHwFAAAAAA==&#10;">
                      <v:path arrowok="t"/>
                      <v:textbox>
                        <w:txbxContent>
                          <w:p w14:paraId="4304E6DC" w14:textId="77777777" w:rsidR="00897AA5" w:rsidRPr="002F04AB" w:rsidRDefault="00897AA5" w:rsidP="00897AA5">
                            <w:pPr>
                              <w:rPr>
                                <w:lang w:val="en-US"/>
                              </w:rPr>
                            </w:pPr>
                            <w:r>
                              <w:rPr>
                                <w:lang w:val="en-US"/>
                              </w:rPr>
                              <w:t>T1</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3AA35DA4" wp14:editId="54327452">
                  <wp:extent cx="1080000" cy="10800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2789" w:type="dxa"/>
          </w:tcPr>
          <w:p w14:paraId="1CCA8B70"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FE46C22" wp14:editId="502AC0D3">
                  <wp:extent cx="1080000" cy="1080000"/>
                  <wp:effectExtent l="0" t="0" r="6350" b="6350"/>
                  <wp:docPr id="15" name="Picture 13">
                    <a:extLst xmlns:a="http://schemas.openxmlformats.org/drawingml/2006/main">
                      <a:ext uri="{FF2B5EF4-FFF2-40B4-BE49-F238E27FC236}">
                        <a16:creationId xmlns:a16="http://schemas.microsoft.com/office/drawing/2014/main" id="{562FC44A-E867-4A04-B422-19F0359D6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62FC44A-E867-4A04-B422-19F0359D6ACD}"/>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7307" t="27500" r="19529" b="2512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21540CE3"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44FCF728" wp14:editId="6E12C069">
                  <wp:extent cx="1080000" cy="1080000"/>
                  <wp:effectExtent l="0" t="0" r="6350" b="6350"/>
                  <wp:docPr id="16" name="Picture 15">
                    <a:extLst xmlns:a="http://schemas.openxmlformats.org/drawingml/2006/main">
                      <a:ext uri="{FF2B5EF4-FFF2-40B4-BE49-F238E27FC236}">
                        <a16:creationId xmlns:a16="http://schemas.microsoft.com/office/drawing/2014/main" id="{A07ABFCA-E25F-41A4-91D7-D7F0CF9D6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07ABFCA-E25F-41A4-91D7-D7F0CF9D6039}"/>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9166" t="27605" r="20834" b="2739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2793223A" w14:textId="77777777" w:rsidTr="00FC3565">
        <w:trPr>
          <w:trHeight w:val="17"/>
          <w:jc w:val="center"/>
        </w:trPr>
        <w:tc>
          <w:tcPr>
            <w:tcW w:w="2789" w:type="dxa"/>
          </w:tcPr>
          <w:p w14:paraId="179595FF"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59264" behindDoc="0" locked="0" layoutInCell="1" allowOverlap="1" wp14:anchorId="71F40114" wp14:editId="38DA5786">
                      <wp:simplePos x="0" y="0"/>
                      <wp:positionH relativeFrom="column">
                        <wp:posOffset>3175</wp:posOffset>
                      </wp:positionH>
                      <wp:positionV relativeFrom="paragraph">
                        <wp:posOffset>0</wp:posOffset>
                      </wp:positionV>
                      <wp:extent cx="361950" cy="257175"/>
                      <wp:effectExtent l="0" t="0" r="6350" b="0"/>
                      <wp:wrapNone/>
                      <wp:docPr id="93449759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2E194BFB" w14:textId="77777777" w:rsidR="00897AA5" w:rsidRPr="002F04AB" w:rsidRDefault="00897AA5" w:rsidP="00897AA5">
                                  <w:pPr>
                                    <w:rPr>
                                      <w:lang w:val="en-US"/>
                                    </w:rPr>
                                  </w:pPr>
                                  <w:r>
                                    <w:rPr>
                                      <w:lang w:val="en-US"/>
                                    </w:rPr>
                                    <w:t>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F40114" id="Text Box 137" o:spid="_x0000_s1027" type="#_x0000_t202" style="position:absolute;margin-left:.25pt;margin-top:0;width:28.5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dHgIAAD0EAAAOAAAAZHJzL2Uyb0RvYy54bWysU9uO2yAQfa/Uf0C8N46TONlYcVbtblNV&#10;2l6k3X4AwThGBYYCiZ1+/Q44SdPbS1UeEMMMh5lzZla3vVbkIJyXYCqaj8aUCMOhlmZX0S9Pm1c3&#10;lPjATM0UGFHRo/D0dv3yxaqzpZhAC6oWjiCI8WVnK9qGYMss87wVmvkRWGHQ2YDTLKDpdlntWIfo&#10;WmWT8XiedeBq64AL7/H2fnDSdcJvGsHDp6bxIhBVUcwtpN2lfRv3bL1i5c4x20p+SoP9QxaaSYOf&#10;XqDuWWBk7+RvUFpyBx6aMOKgM2gayUWqAavJx79U89gyK1ItSI63F5r8/4PlHw+fHZF1RZfT2Wy5&#10;KJZzSgzTKNWT6AN5Az3Jp4vIU2d9ieGPFh+EHh2od6rZ2wfgXz2GZFcxwwMfo7fdB6gRke0DpBd9&#10;43RkC+snCIPCHC9ixF85Xk7n+bJAD0fXpFjkiyImkbHy/Ng6H94J0CQeKupQ6wTODg8+DKHnkPiX&#10;ByXrjVQqGW63vVOOHBj2xSatE/pPYcqQDpkpJsVQ6F8hxmn9CULLgA2upK7ozSWIla1g9VtTY5qs&#10;DEyq4YzVKXOiMTI3cBj6bZ8kys8ybKE+Iq8Ohn7G+cNDC+47JR32ckX9tz1zghL13mCzLPPZLDZ/&#10;MmbFYoKGu/Zsrz3McISqaKBkON6FNDAxVQOvUcNGJn6j2EMmp5SxR5NCp3mKQ3Btp6gfU79+BgAA&#10;//8DAFBLAwQUAAYACAAAACEAm4h93dkAAAADAQAADwAAAGRycy9kb3ducmV2LnhtbEyPzU7DMBCE&#10;70i8g7VI3KgDJVCl2VT8CAmhShVNH8CNlzgQr6PYbcPbs5zgOJrRzDflavK9OtIYu8AI17MMFHET&#10;bMctwq5+uVqAismwNX1gQvimCKvq/Kw0hQ0nfqfjNrVKSjgWBsGlNBRax8aRN3EWBmLxPsLoTRI5&#10;ttqO5iTlvtc3WXanvelYFpwZ6MlR87U9eITnz/lmx52zfpi/vtX1eso3+hHx8mJ6WIJKNKW/MPzi&#10;CzpUwrQPB7ZR9Qi55BDkjnj5vag9wm2Wg65K/Z+9+gEAAP//AwBQSwECLQAUAAYACAAAACEAtoM4&#10;kv4AAADhAQAAEwAAAAAAAAAAAAAAAAAAAAAAW0NvbnRlbnRfVHlwZXNdLnhtbFBLAQItABQABgAI&#10;AAAAIQA4/SH/1gAAAJQBAAALAAAAAAAAAAAAAAAAAC8BAABfcmVscy8ucmVsc1BLAQItABQABgAI&#10;AAAAIQBuT+adHgIAAD0EAAAOAAAAAAAAAAAAAAAAAC4CAABkcnMvZTJvRG9jLnhtbFBLAQItABQA&#10;BgAIAAAAIQCbiH3d2QAAAAMBAAAPAAAAAAAAAAAAAAAAAHgEAABkcnMvZG93bnJldi54bWxQSwUG&#10;AAAAAAQABADzAAAAfgUAAAAA&#10;">
                      <v:path arrowok="t"/>
                      <v:textbox>
                        <w:txbxContent>
                          <w:p w14:paraId="2E194BFB" w14:textId="77777777" w:rsidR="00897AA5" w:rsidRPr="002F04AB" w:rsidRDefault="00897AA5" w:rsidP="00897AA5">
                            <w:pPr>
                              <w:rPr>
                                <w:lang w:val="en-US"/>
                              </w:rPr>
                            </w:pPr>
                            <w:r>
                              <w:rPr>
                                <w:lang w:val="en-US"/>
                              </w:rPr>
                              <w:t>T2</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2B5C81E1" wp14:editId="2639C3A0">
                  <wp:extent cx="1080000" cy="1080000"/>
                  <wp:effectExtent l="0" t="0" r="6350" b="6350"/>
                  <wp:docPr id="18" name="Picture 17">
                    <a:extLst xmlns:a="http://schemas.openxmlformats.org/drawingml/2006/main">
                      <a:ext uri="{FF2B5EF4-FFF2-40B4-BE49-F238E27FC236}">
                        <a16:creationId xmlns:a16="http://schemas.microsoft.com/office/drawing/2014/main" id="{D2096063-ED9E-4B18-A707-B979E5229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2096063-ED9E-4B18-A707-B979E5229BE4}"/>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0278" t="27709" r="19722" b="27292"/>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60A80B5F"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76308673" wp14:editId="713B46C4">
                  <wp:extent cx="1080000" cy="1080000"/>
                  <wp:effectExtent l="0" t="0" r="6350" b="6350"/>
                  <wp:docPr id="28" name="Picture 27">
                    <a:extLst xmlns:a="http://schemas.openxmlformats.org/drawingml/2006/main">
                      <a:ext uri="{FF2B5EF4-FFF2-40B4-BE49-F238E27FC236}">
                        <a16:creationId xmlns:a16="http://schemas.microsoft.com/office/drawing/2014/main" id="{920CDD24-E642-4490-B93E-2D7648F96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920CDD24-E642-4490-B93E-2D7648F9682E}"/>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8055" t="26459" r="20001" b="2708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29C938C2"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93F47CC" wp14:editId="68367D0F">
                  <wp:extent cx="1080000" cy="1080000"/>
                  <wp:effectExtent l="0" t="0" r="6350" b="6350"/>
                  <wp:docPr id="17" name="Picture 29">
                    <a:extLst xmlns:a="http://schemas.openxmlformats.org/drawingml/2006/main">
                      <a:ext uri="{FF2B5EF4-FFF2-40B4-BE49-F238E27FC236}">
                        <a16:creationId xmlns:a16="http://schemas.microsoft.com/office/drawing/2014/main" id="{4C32B203-54C6-41C7-B191-5D2587FC8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C32B203-54C6-41C7-B191-5D2587FC8596}"/>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7585" t="26250" r="17585" b="2512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32CCE2EF" w14:textId="77777777" w:rsidTr="00FC3565">
        <w:trPr>
          <w:trHeight w:val="17"/>
          <w:jc w:val="center"/>
        </w:trPr>
        <w:tc>
          <w:tcPr>
            <w:tcW w:w="2789" w:type="dxa"/>
          </w:tcPr>
          <w:p w14:paraId="5294C3F1"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0288" behindDoc="0" locked="0" layoutInCell="1" allowOverlap="1" wp14:anchorId="57F9CA42" wp14:editId="24D13A91">
                      <wp:simplePos x="0" y="0"/>
                      <wp:positionH relativeFrom="column">
                        <wp:posOffset>3175</wp:posOffset>
                      </wp:positionH>
                      <wp:positionV relativeFrom="paragraph">
                        <wp:posOffset>13335</wp:posOffset>
                      </wp:positionV>
                      <wp:extent cx="361950" cy="257175"/>
                      <wp:effectExtent l="0" t="0" r="6350" b="0"/>
                      <wp:wrapNone/>
                      <wp:docPr id="1464516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B84AFA8" w14:textId="77777777" w:rsidR="00897AA5" w:rsidRPr="002F04AB" w:rsidRDefault="00897AA5" w:rsidP="00897AA5">
                                  <w:pPr>
                                    <w:rPr>
                                      <w:lang w:val="en-US"/>
                                    </w:rPr>
                                  </w:pPr>
                                  <w:r>
                                    <w:rPr>
                                      <w:lang w:val="en-US"/>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7F9CA42" id="Text Box 135" o:spid="_x0000_s1028" type="#_x0000_t202" style="position:absolute;margin-left:.25pt;margin-top:1.05pt;width:28.5pt;height:2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isHwIAAD0EAAAOAAAAZHJzL2Uyb0RvYy54bWysU9tu2zAMfR+wfxD0vjhO47Qx4hRbuwwD&#10;ugvQ7gNoWY6F6TZJiZ19fSk5ybLbyzA9CKJIHpKH5Op2UJLsufPC6IrmkyklXDPTCL2t6Jenzasb&#10;SnwA3YA0mlf0wD29Xb98septyWemM7LhjiCI9mVvK9qFYMss86zjCvzEWK5R2RqnIKDotlnjoEd0&#10;JbPZdLrIeuMa6wzj3uPv/aik64TftpyFT23reSCyophbSLdLdx3vbL2CcuvAdoId04B/yEKB0Bj0&#10;DHUPAcjOid+glGDOeNOGCTMqM20rGE81YDX59JdqHjuwPNWC5Hh7psn/P1j2cf/ZEdFg7+aLeZEv&#10;ioISDQpb9cSHQN6YgeRXReSpt75E80eLDmFABfqkmr19MOyrR5PswmZ08NG67j+YBhFhF0zyGFqn&#10;IltYP0EYbMzh3IwYleHn1SJfFqhhqJoV1/l1SiKD8uRsnQ/vuFEkPirqsNcJHPYPPsRkoDyZxFje&#10;SNFshJRJcNv6TjqyB5yLTTqxRHT5yUxq0ld0WcyKsdC/QkzT+ROEEgEHXApV0ZuzEZQdh+atbjAm&#10;lAGEHN8YX+ojjZG5kcMw1ENq0ezUhto0B+TVmXGecf/w0Rn3nZIeZ7mi/tsOHKdEvtc4LMt8Po/D&#10;n4R5cT1DwV1q6ksNaIZQFQ2UjM+7kBYmpqrNa+xhKxK/sdljJseUcUYTh8d9iktwKSerH1u/fgYA&#10;AP//AwBQSwMEFAAGAAgAAAAhAGjyrTPaAAAABAEAAA8AAABkcnMvZG93bnJldi54bWxMjt1Kw0AQ&#10;he8F32EZwTu7aWpqSTMp/iCICMWmD7DNjkk0Oxuy2za+veOVXh7O4TtfsZlcr040hs4zwnyWgCKu&#10;ve24QdhXzzcrUCEatqb3TAjfFGBTXl4UJrf+zO902sVGCYRDbhDaGIdc61C35EyY+YFYug8/OhMl&#10;jo22ozkL3PU6TZKldqZjeWjNQI8t1V+7o0N4+lxs99y11g2Ll9eqepuyrX5AvL6a7tegIk3xbwy/&#10;+qIOpTgd/JFtUD1CJjuEdA5KyuxO4gHhNl2CLgv9X778AQAA//8DAFBLAQItABQABgAIAAAAIQC2&#10;gziS/gAAAOEBAAATAAAAAAAAAAAAAAAAAAAAAABbQ29udGVudF9UeXBlc10ueG1sUEsBAi0AFAAG&#10;AAgAAAAhADj9If/WAAAAlAEAAAsAAAAAAAAAAAAAAAAALwEAAF9yZWxzLy5yZWxzUEsBAi0AFAAG&#10;AAgAAAAhAD0heKwfAgAAPQQAAA4AAAAAAAAAAAAAAAAALgIAAGRycy9lMm9Eb2MueG1sUEsBAi0A&#10;FAAGAAgAAAAhAGjyrTPaAAAABAEAAA8AAAAAAAAAAAAAAAAAeQQAAGRycy9kb3ducmV2LnhtbFBL&#10;BQYAAAAABAAEAPMAAACABQAAAAA=&#10;">
                      <v:path arrowok="t"/>
                      <v:textbox>
                        <w:txbxContent>
                          <w:p w14:paraId="1B84AFA8" w14:textId="77777777" w:rsidR="00897AA5" w:rsidRPr="002F04AB" w:rsidRDefault="00897AA5" w:rsidP="00897AA5">
                            <w:pPr>
                              <w:rPr>
                                <w:lang w:val="en-US"/>
                              </w:rPr>
                            </w:pPr>
                            <w:r>
                              <w:rPr>
                                <w:lang w:val="en-US"/>
                              </w:rPr>
                              <w:t>T3</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09C0986F" wp14:editId="54F4DEF5">
                  <wp:extent cx="1080000" cy="1080000"/>
                  <wp:effectExtent l="0" t="0" r="6350" b="6350"/>
                  <wp:docPr id="19" name="Picture 19">
                    <a:extLst xmlns:a="http://schemas.openxmlformats.org/drawingml/2006/main">
                      <a:ext uri="{FF2B5EF4-FFF2-40B4-BE49-F238E27FC236}">
                        <a16:creationId xmlns:a16="http://schemas.microsoft.com/office/drawing/2014/main" id="{A8DFF89A-F490-46E6-A45F-3F8C82FD6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8DFF89A-F490-46E6-A45F-3F8C82FD6947}"/>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9167" t="26917" r="17223" b="2537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302DC939"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DCCFB13" wp14:editId="63025F7B">
                  <wp:extent cx="1080000" cy="1080000"/>
                  <wp:effectExtent l="0" t="0" r="6350" b="6350"/>
                  <wp:docPr id="21" name="Picture 31">
                    <a:extLst xmlns:a="http://schemas.openxmlformats.org/drawingml/2006/main">
                      <a:ext uri="{FF2B5EF4-FFF2-40B4-BE49-F238E27FC236}">
                        <a16:creationId xmlns:a16="http://schemas.microsoft.com/office/drawing/2014/main" id="{769C8017-2793-4F7D-A424-BDD58D653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769C8017-2793-4F7D-A424-BDD58D653C23}"/>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8092" t="26459" r="16703" b="2463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678D4CEC"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2DFD3318" wp14:editId="05A4D052">
                  <wp:extent cx="1080000" cy="1080000"/>
                  <wp:effectExtent l="0" t="0" r="6350" b="6350"/>
                  <wp:docPr id="23" name="Picture 33">
                    <a:extLst xmlns:a="http://schemas.openxmlformats.org/drawingml/2006/main">
                      <a:ext uri="{FF2B5EF4-FFF2-40B4-BE49-F238E27FC236}">
                        <a16:creationId xmlns:a16="http://schemas.microsoft.com/office/drawing/2014/main" id="{AC8F4BDF-DB38-4254-9F0A-78C9827A0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AC8F4BDF-DB38-4254-9F0A-78C9827A0942}"/>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5278" t="25313" r="18889" b="2531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555F652B" w14:textId="77777777" w:rsidTr="00FC3565">
        <w:trPr>
          <w:trHeight w:val="17"/>
          <w:jc w:val="center"/>
        </w:trPr>
        <w:tc>
          <w:tcPr>
            <w:tcW w:w="2789" w:type="dxa"/>
          </w:tcPr>
          <w:p w14:paraId="792AC58F"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2336" behindDoc="0" locked="0" layoutInCell="1" allowOverlap="1" wp14:anchorId="76456E18" wp14:editId="609D94B0">
                      <wp:simplePos x="0" y="0"/>
                      <wp:positionH relativeFrom="column">
                        <wp:posOffset>12700</wp:posOffset>
                      </wp:positionH>
                      <wp:positionV relativeFrom="paragraph">
                        <wp:posOffset>7620</wp:posOffset>
                      </wp:positionV>
                      <wp:extent cx="361950" cy="257175"/>
                      <wp:effectExtent l="0" t="0" r="6350" b="0"/>
                      <wp:wrapNone/>
                      <wp:docPr id="165947938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4C5380D8" w14:textId="77777777" w:rsidR="00897AA5" w:rsidRPr="002F04AB" w:rsidRDefault="00897AA5" w:rsidP="00897AA5">
                                  <w:pPr>
                                    <w:rPr>
                                      <w:lang w:val="en-US"/>
                                    </w:rPr>
                                  </w:pPr>
                                  <w:r>
                                    <w:rPr>
                                      <w:lang w:val="en-US"/>
                                    </w:rPr>
                                    <w:t>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456E18" id="Text Box 133" o:spid="_x0000_s1029" type="#_x0000_t202" style="position:absolute;margin-left:1pt;margin-top:.6pt;width:28.5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XcHQIAAD4EAAAOAAAAZHJzL2Uyb0RvYy54bWysU8mO2zAMvRfoPwi6N87mLEacQTvTFAWm&#10;CzDTD6BlORaqrZISO/36oeRMmm6Xoj4Iokk+ke+Rm5teSXLkzgujSzoZjSnhmpla6H1JvzzuXq0o&#10;8QF0DdJoXtIT9/Rm+/LFprMFn5rWyJo7giDaF50taRuCLbLMs5Yr8CNjuUZnY5yCgKbbZ7WDDtGV&#10;zKbj8SLrjKutM4x7j3/vBifdJvym4Sx8ahrPA5ElxdpCOl06q3hm2w0Uewe2FexcBvxDFQqExkcv&#10;UHcQgByc+A1KCeaMN00YMaMy0zSC8dQDdjMZ/9LNQwuWp16QHG8vNPn/B8s+Hj87ImrUbpGv58v1&#10;bLWkRINCrR55H8gb05PJbBaJ6qwvMP7BYkbo0YFJqWlv7w376jEku4oZEnyMrroPpkZEOASTMvrG&#10;qUgXEkAQBpU5XdSIrzL8OVtM1jl6GLqm+XKyzGMRGRTPydb58I4bReKlpA7FTuBwvPdhCH0OiW95&#10;I0W9E1Imw+2rW+nIEXAwduk7o/8UJjXpSrrOp/nQ6F8hxun7E4QSASdcClXS1SUIipZD/VbXWCYU&#10;AYQc7tid1GcaI3MDh6Gv+qTRRYbK1Cfk1ZlhoHEB8dIa952SDoe5pP7bARynRL7XOC3ryXwepz8Z&#10;83w5RcNde6prD2iGUCUNlAzX25A2JpaqzWvUsBGJ3yj2UMm5ZBzSpNB5oeIWXNsp6sfab58AAAD/&#10;/wMAUEsDBBQABgAIAAAAIQBaiwt43AAAAAUBAAAPAAAAZHJzL2Rvd25yZXYueG1sTI/NTsMwEITv&#10;SLyDtUjcqNOU8hOyqfgREkJIFU0fwI2XOBCvo9htw9uznOA4O6uZb8rV5Ht1oDF2gRHmswwUcRNs&#10;xy3Ctn6+uAEVk2Fr+sCE8E0RVtXpSWkKG478TodNapWEcCwMgktpKLSOjSNv4iwMxOJ9hNGbJHJs&#10;tR3NUcJ9r/Msu9LedCwNzgz06Kj52uw9wtPnYr3lzlk/LF5e6/ptWq71A+L52XR/ByrRlP6e4Rdf&#10;0KESpl3Ys42qR8hlSZJzDkrc5a3IHcLl/Bp0Ver/9NUPAAAA//8DAFBLAQItABQABgAIAAAAIQC2&#10;gziS/gAAAOEBAAATAAAAAAAAAAAAAAAAAAAAAABbQ29udGVudF9UeXBlc10ueG1sUEsBAi0AFAAG&#10;AAgAAAAhADj9If/WAAAAlAEAAAsAAAAAAAAAAAAAAAAALwEAAF9yZWxzLy5yZWxzUEsBAi0AFAAG&#10;AAgAAAAhAG4J5dwdAgAAPgQAAA4AAAAAAAAAAAAAAAAALgIAAGRycy9lMm9Eb2MueG1sUEsBAi0A&#10;FAAGAAgAAAAhAFqLC3jcAAAABQEAAA8AAAAAAAAAAAAAAAAAdwQAAGRycy9kb3ducmV2LnhtbFBL&#10;BQYAAAAABAAEAPMAAACABQAAAAA=&#10;">
                      <v:path arrowok="t"/>
                      <v:textbox>
                        <w:txbxContent>
                          <w:p w14:paraId="4C5380D8" w14:textId="77777777" w:rsidR="00897AA5" w:rsidRPr="002F04AB" w:rsidRDefault="00897AA5" w:rsidP="00897AA5">
                            <w:pPr>
                              <w:rPr>
                                <w:lang w:val="en-US"/>
                              </w:rPr>
                            </w:pPr>
                            <w:r>
                              <w:rPr>
                                <w:lang w:val="en-US"/>
                              </w:rPr>
                              <w:t>T4</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185E1B73" wp14:editId="282D7B51">
                  <wp:extent cx="1080000" cy="1080000"/>
                  <wp:effectExtent l="0" t="0" r="6350" b="6350"/>
                  <wp:docPr id="25" name="Picture 21">
                    <a:extLst xmlns:a="http://schemas.openxmlformats.org/drawingml/2006/main">
                      <a:ext uri="{FF2B5EF4-FFF2-40B4-BE49-F238E27FC236}">
                        <a16:creationId xmlns:a16="http://schemas.microsoft.com/office/drawing/2014/main" id="{660592F4-F0BE-49CA-97C7-401902F98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660592F4-F0BE-49CA-97C7-401902F985A7}"/>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6945" t="26037" r="18056" b="2521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78E9FDE0"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2B6185D3" wp14:editId="6A49A44A">
                  <wp:extent cx="1080000" cy="1080000"/>
                  <wp:effectExtent l="0" t="0" r="6350" b="6350"/>
                  <wp:docPr id="26" name="Picture 35">
                    <a:extLst xmlns:a="http://schemas.openxmlformats.org/drawingml/2006/main">
                      <a:ext uri="{FF2B5EF4-FFF2-40B4-BE49-F238E27FC236}">
                        <a16:creationId xmlns:a16="http://schemas.microsoft.com/office/drawing/2014/main" id="{6263E088-E700-41E8-AE98-8989E243B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6263E088-E700-41E8-AE98-8989E243B2F5}"/>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7223" t="25173" r="17223" b="25662"/>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43BD6F30"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5B5B9527" wp14:editId="6F62C7F6">
                  <wp:extent cx="1081217" cy="1080000"/>
                  <wp:effectExtent l="0" t="0" r="5080" b="6350"/>
                  <wp:docPr id="27" name="Picture 37">
                    <a:extLst xmlns:a="http://schemas.openxmlformats.org/drawingml/2006/main">
                      <a:ext uri="{FF2B5EF4-FFF2-40B4-BE49-F238E27FC236}">
                        <a16:creationId xmlns:a16="http://schemas.microsoft.com/office/drawing/2014/main" id="{4446E99B-F480-4254-BF7A-3D39290D2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4446E99B-F480-4254-BF7A-3D39290D25C9}"/>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7221" t="26250" r="17223" b="24639"/>
                          <a:stretch/>
                        </pic:blipFill>
                        <pic:spPr>
                          <a:xfrm>
                            <a:off x="0" y="0"/>
                            <a:ext cx="1081217" cy="1080000"/>
                          </a:xfrm>
                          <a:prstGeom prst="rect">
                            <a:avLst/>
                          </a:prstGeom>
                        </pic:spPr>
                      </pic:pic>
                    </a:graphicData>
                  </a:graphic>
                </wp:inline>
              </w:drawing>
            </w:r>
          </w:p>
        </w:tc>
      </w:tr>
      <w:tr w:rsidR="00461A90" w:rsidRPr="00461A90" w14:paraId="1D3FC1A4" w14:textId="77777777" w:rsidTr="00FC3565">
        <w:trPr>
          <w:gridAfter w:val="1"/>
          <w:wAfter w:w="14" w:type="dxa"/>
          <w:trHeight w:val="17"/>
          <w:jc w:val="center"/>
        </w:trPr>
        <w:tc>
          <w:tcPr>
            <w:tcW w:w="2789" w:type="dxa"/>
          </w:tcPr>
          <w:p w14:paraId="1F95E38A"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4384" behindDoc="0" locked="0" layoutInCell="1" allowOverlap="1" wp14:anchorId="712EA6DB" wp14:editId="25C400BE">
                      <wp:simplePos x="0" y="0"/>
                      <wp:positionH relativeFrom="column">
                        <wp:posOffset>-1270</wp:posOffset>
                      </wp:positionH>
                      <wp:positionV relativeFrom="paragraph">
                        <wp:posOffset>6985</wp:posOffset>
                      </wp:positionV>
                      <wp:extent cx="361950" cy="257175"/>
                      <wp:effectExtent l="0" t="0" r="6350" b="0"/>
                      <wp:wrapNone/>
                      <wp:docPr id="111805771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C80E789" w14:textId="77777777" w:rsidR="00897AA5" w:rsidRPr="002F04AB" w:rsidRDefault="00897AA5" w:rsidP="00897AA5">
                                  <w:pPr>
                                    <w:rPr>
                                      <w:lang w:val="en-US"/>
                                    </w:rPr>
                                  </w:pPr>
                                  <w:r>
                                    <w:rPr>
                                      <w:lang w:val="en-US"/>
                                    </w:rPr>
                                    <w:t>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2EA6DB" id="Text Box 131" o:spid="_x0000_s1030" type="#_x0000_t202" style="position:absolute;margin-left:-.1pt;margin-top:.55pt;width:28.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KHgIAAD4EAAAOAAAAZHJzL2Uyb0RvYy54bWysU9tu2zAMfR+wfxD0vthO4yYx4hRbuwwD&#10;ugvQ7gMYWY6F6TZJid19fSk5ybLbyzA/CKJJHpHnkKubQUly4M4Lo2taTHJKuGamEXpX0y+Pm1cL&#10;SnwA3YA0mtf0iXt6s375YtXbik9NZ2TDHUEQ7ave1rQLwVZZ5lnHFfiJsVyjszVOQUDT7bLGQY/o&#10;SmbTPL/OeuMa6wzj3uPfu9FJ1wm/bTkLn9rW80BkTbG2kE6Xzm08s/UKqp0D2wl2LAP+oQoFQuOj&#10;Z6g7CED2TvwGpQRzxps2TJhRmWlbwXjqAbsp8l+6eejA8tQLkuPtmSb//2DZx8NnR0SD2hXFIi/n&#10;82JGiQaFWj3yIZA3ZiDFVRGJ6q2vMP7BYkYY0IFJqWlv7w376jEku4gZE3yM3vYfTIOIsA8mZQyt&#10;U5EuJIAgDCrzdFYjvsrw59V1sSzRw9A1LefFvIxFZFCdkq3z4R03isRLTR2KncDhcO/DGHoKiW95&#10;I0WzEVImw+22t9KRA+BgbNJ3RP8pTGrS13RZTsux0b9C5On7E4QSASdcClXTxTkIqo5D81Y3WCZU&#10;AYQc79id1EcaI3Mjh2HYDkmj2UmGrWmekFdnxoHGBcRLZ9x3Snoc5pr6b3twnBL5XuO0LIvZLE5/&#10;MmblfIqGu/RsLz2gGULVNFAyXm9D2phYqjavUcNWJH6j2GMlx5JxSJNCx4WKW3Bpp6gfa79+BgAA&#10;//8DAFBLAwQUAAYACAAAACEAOvYDh9wAAAAFAQAADwAAAGRycy9kb3ducmV2LnhtbEyPwW7CMBBE&#10;75X4B2uRegMnUKIqjYNoq0pVVQmV8AEmXuJAvI5iA+nfd3tqj7MzmnlbrEfXiSsOofWkIJ0nIJBq&#10;b1pqFOyrt9kjiBA1Gd15QgXfGGBdTu4KnRt/oy+87mIjuIRCrhXYGPtcylBbdDrMfY/E3tEPTkeW&#10;QyPNoG9c7jq5SJJMOt0SL1jd44vF+ry7OAWvp+V2T601rl++f1TV57jaymel7qfj5glExDH+heEX&#10;n9GhZKaDv5AJolMwW3CQzykIdlcZ/3FQ8JBmIMtC/qcvfwAAAP//AwBQSwECLQAUAAYACAAAACEA&#10;toM4kv4AAADhAQAAEwAAAAAAAAAAAAAAAAAAAAAAW0NvbnRlbnRfVHlwZXNdLnhtbFBLAQItABQA&#10;BgAIAAAAIQA4/SH/1gAAAJQBAAALAAAAAAAAAAAAAAAAAC8BAABfcmVscy8ucmVsc1BLAQItABQA&#10;BgAIAAAAIQAkL/wKHgIAAD4EAAAOAAAAAAAAAAAAAAAAAC4CAABkcnMvZTJvRG9jLnhtbFBLAQIt&#10;ABQABgAIAAAAIQA69gOH3AAAAAUBAAAPAAAAAAAAAAAAAAAAAHgEAABkcnMvZG93bnJldi54bWxQ&#10;SwUGAAAAAAQABADzAAAAgQUAAAAA&#10;">
                      <v:path arrowok="t"/>
                      <v:textbox>
                        <w:txbxContent>
                          <w:p w14:paraId="1C80E789" w14:textId="77777777" w:rsidR="00897AA5" w:rsidRPr="002F04AB" w:rsidRDefault="00897AA5" w:rsidP="00897AA5">
                            <w:pPr>
                              <w:rPr>
                                <w:lang w:val="en-US"/>
                              </w:rPr>
                            </w:pPr>
                            <w:r>
                              <w:rPr>
                                <w:lang w:val="en-US"/>
                              </w:rPr>
                              <w:t>T5</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6B5D4320" wp14:editId="7A3C5D7A">
                  <wp:extent cx="1080000" cy="1080000"/>
                  <wp:effectExtent l="0" t="0" r="6350" b="6350"/>
                  <wp:docPr id="29" name="Picture 23">
                    <a:extLst xmlns:a="http://schemas.openxmlformats.org/drawingml/2006/main">
                      <a:ext uri="{FF2B5EF4-FFF2-40B4-BE49-F238E27FC236}">
                        <a16:creationId xmlns:a16="http://schemas.microsoft.com/office/drawing/2014/main" id="{E5D7AC5A-C176-444D-931E-D50221507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E5D7AC5A-C176-444D-931E-D50221507669}"/>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0266" t="28525" r="20266" b="2687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5446DD54"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3667E85B" wp14:editId="484E652F">
                  <wp:extent cx="1080000" cy="1080000"/>
                  <wp:effectExtent l="0" t="0" r="6350" b="6350"/>
                  <wp:docPr id="31" name="Picture 39">
                    <a:extLst xmlns:a="http://schemas.openxmlformats.org/drawingml/2006/main">
                      <a:ext uri="{FF2B5EF4-FFF2-40B4-BE49-F238E27FC236}">
                        <a16:creationId xmlns:a16="http://schemas.microsoft.com/office/drawing/2014/main" id="{24F32975-EF26-4D30-B51E-ACDA6DBCB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24F32975-EF26-4D30-B51E-ACDA6DBCBC85}"/>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7653" t="26875" r="18761" b="2543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3DA5D095"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660E1481" wp14:editId="5ADCCF30">
                  <wp:extent cx="1080000" cy="1080000"/>
                  <wp:effectExtent l="0" t="0" r="6350" b="6350"/>
                  <wp:docPr id="44" name="Picture 43">
                    <a:extLst xmlns:a="http://schemas.openxmlformats.org/drawingml/2006/main">
                      <a:ext uri="{FF2B5EF4-FFF2-40B4-BE49-F238E27FC236}">
                        <a16:creationId xmlns:a16="http://schemas.microsoft.com/office/drawing/2014/main" id="{AE208A40-0B7C-4657-8034-A728B9AD3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AE208A40-0B7C-4657-8034-A728B9AD3567}"/>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8418" t="26668" r="17307" b="2512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6696673F" w14:textId="77777777" w:rsidTr="00FC3565">
        <w:trPr>
          <w:gridAfter w:val="1"/>
          <w:wAfter w:w="14" w:type="dxa"/>
          <w:trHeight w:val="17"/>
          <w:jc w:val="center"/>
        </w:trPr>
        <w:tc>
          <w:tcPr>
            <w:tcW w:w="2789" w:type="dxa"/>
          </w:tcPr>
          <w:p w14:paraId="31F47E6E" w14:textId="0CBD30D9"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5408" behindDoc="0" locked="0" layoutInCell="1" allowOverlap="1" wp14:anchorId="0FAD1AC7" wp14:editId="5107B412">
                      <wp:simplePos x="0" y="0"/>
                      <wp:positionH relativeFrom="column">
                        <wp:posOffset>-1270</wp:posOffset>
                      </wp:positionH>
                      <wp:positionV relativeFrom="paragraph">
                        <wp:posOffset>6350</wp:posOffset>
                      </wp:positionV>
                      <wp:extent cx="361950" cy="257175"/>
                      <wp:effectExtent l="0" t="0" r="6350" b="0"/>
                      <wp:wrapNone/>
                      <wp:docPr id="14211936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09363891" w14:textId="77777777" w:rsidR="00897AA5" w:rsidRPr="002F04AB" w:rsidRDefault="00897AA5" w:rsidP="00897AA5">
                                  <w:pPr>
                                    <w:rPr>
                                      <w:lang w:val="en-US"/>
                                    </w:rPr>
                                  </w:pPr>
                                  <w:r>
                                    <w:rPr>
                                      <w:lang w:val="en-US"/>
                                    </w:rPr>
                                    <w:t>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AD1AC7" id="Text Box 129" o:spid="_x0000_s1031" type="#_x0000_t202" style="position:absolute;margin-left:-.1pt;margin-top:.5pt;width:28.5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6/HQIAAD4EAAAOAAAAZHJzL2Uyb0RvYy54bWysU9tu2zAMfR+wfxD0vjh2Lm2MOMXWLsOA&#10;7gK0+wBalmNhuk1SYmdfP0pO0+z2MswPgmgeHpGH5PpmUJIcuPPC6IrmkyklXDPTCL2r6JfH7atr&#10;SnwA3YA0mlf0yD292bx8se5tyQvTGdlwR5BE+7K3Fe1CsGWWedZxBX5iLNfobI1TENB0u6xx0CO7&#10;klkxnS6z3rjGOsO49/j3bnTSTeJvW87Cp7b1PBBZUcwtpNOls45ntllDuXNgO8FOacA/ZKFAaHz0&#10;THUHAcjeid+olGDOeNOGCTMqM20rGE81YDX59JdqHjqwPNWC4nh7lsn/P1r28fDZEdFg7+ZFnq9m&#10;y/mMEg0Ke/XIh0DemIHkxSoK1VtfIv7BYkQY0IFBqWhv7w376hGSXWDGAB/Rdf/BNMgI+2BSxNA6&#10;FeVCAQjSYGeO527EVxn+nC3z1QI9DF3F4iq/WsQkMiifgq3z4R03isRLRR02O5HD4d6HEfoEiW95&#10;I0WzFVImw+3qW+nIAXAwtuk7sf8Ek5r0FV0tisVY6F8ppun7E4USASdcClXR6zMIyo5D81Y3mCaU&#10;AYQc71id1CcZo3KjhmGoh9SjpECUuDbNEXV1ZhxoXEC8dMZ9p6THYa6o/7YHxymR7zVOyyqfz+P0&#10;J2O+uCrQcJee+tIDmiFVRQMl4/U2pI2JqWrzGnvYiqTvcyanlHFIU4dOCxW34NJOqOe13/wAAAD/&#10;/wMAUEsDBBQABgAIAAAAIQBbZ8vr2wAAAAUBAAAPAAAAZHJzL2Rvd25yZXYueG1sTI/NTsMwEITv&#10;SLyDtUjcWqctqVDIpuJHSAghVTR9ADde4kC8jmK3DW/PcoLjzoxmvyk3k+/VicbYBUZYzDNQxE2w&#10;HbcI+/p5dgsqJsPW9IEJ4ZsibKrLi9IUNpz5nU671Cop4VgYBJfSUGgdG0fexHkYiMX7CKM3Sc6x&#10;1XY0Zyn3vV5m2Vp707F8cGagR0fN1+7oEZ4+V9s9d876YfXyWtdvU77VD4jXV9P9HahEU/oLwy++&#10;oEMlTIdwZBtVjzBbSlBkGSRuvpYdB4SbRQ66KvV/+uoHAAD//wMAUEsBAi0AFAAGAAgAAAAhALaD&#10;OJL+AAAA4QEAABMAAAAAAAAAAAAAAAAAAAAAAFtDb250ZW50X1R5cGVzXS54bWxQSwECLQAUAAYA&#10;CAAAACEAOP0h/9YAAACUAQAACwAAAAAAAAAAAAAAAAAvAQAAX3JlbHMvLnJlbHNQSwECLQAUAAYA&#10;CAAAACEAX4J+vx0CAAA+BAAADgAAAAAAAAAAAAAAAAAuAgAAZHJzL2Uyb0RvYy54bWxQSwECLQAU&#10;AAYACAAAACEAW2fL69sAAAAFAQAADwAAAAAAAAAAAAAAAAB3BAAAZHJzL2Rvd25yZXYueG1sUEsF&#10;BgAAAAAEAAQA8wAAAH8FAAAAAA==&#10;">
                      <v:path arrowok="t"/>
                      <v:textbox>
                        <w:txbxContent>
                          <w:p w14:paraId="09363891" w14:textId="77777777" w:rsidR="00897AA5" w:rsidRPr="002F04AB" w:rsidRDefault="00897AA5" w:rsidP="00897AA5">
                            <w:pPr>
                              <w:rPr>
                                <w:lang w:val="en-US"/>
                              </w:rPr>
                            </w:pPr>
                            <w:r>
                              <w:rPr>
                                <w:lang w:val="en-US"/>
                              </w:rPr>
                              <w:t>T6</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4CBAB81D" wp14:editId="7EFB26E3">
                  <wp:extent cx="1080000" cy="1080000"/>
                  <wp:effectExtent l="0" t="0" r="6350" b="6350"/>
                  <wp:docPr id="33" name="Picture 25">
                    <a:extLst xmlns:a="http://schemas.openxmlformats.org/drawingml/2006/main">
                      <a:ext uri="{FF2B5EF4-FFF2-40B4-BE49-F238E27FC236}">
                        <a16:creationId xmlns:a16="http://schemas.microsoft.com/office/drawing/2014/main" id="{5FB24471-F03E-4EE6-98D7-944AAB1CA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FB24471-F03E-4EE6-98D7-944AAB1CAA4F}"/>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21361" t="28979" r="18056" b="2558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0BA3113D" w14:textId="28477AAC" w:rsidR="00897AA5" w:rsidRPr="00461A90" w:rsidRDefault="00302FD0"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7456" behindDoc="0" locked="0" layoutInCell="1" allowOverlap="1" wp14:anchorId="60A6919E" wp14:editId="00E18387">
                      <wp:simplePos x="0" y="0"/>
                      <wp:positionH relativeFrom="column">
                        <wp:posOffset>-12700</wp:posOffset>
                      </wp:positionH>
                      <wp:positionV relativeFrom="paragraph">
                        <wp:posOffset>1158240</wp:posOffset>
                      </wp:positionV>
                      <wp:extent cx="361950" cy="273050"/>
                      <wp:effectExtent l="0" t="0" r="19050" b="12700"/>
                      <wp:wrapNone/>
                      <wp:docPr id="185099415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73050"/>
                              </a:xfrm>
                              <a:prstGeom prst="rect">
                                <a:avLst/>
                              </a:prstGeom>
                              <a:solidFill>
                                <a:srgbClr val="FFFFFF"/>
                              </a:solidFill>
                              <a:ln w="9525">
                                <a:solidFill>
                                  <a:srgbClr val="000000"/>
                                </a:solidFill>
                                <a:miter lim="800000"/>
                                <a:headEnd/>
                                <a:tailEnd/>
                              </a:ln>
                            </wps:spPr>
                            <wps:txbx>
                              <w:txbxContent>
                                <w:p w14:paraId="7C1A3CC6" w14:textId="77777777" w:rsidR="00302FD0" w:rsidRPr="002F04AB" w:rsidRDefault="00302FD0" w:rsidP="00302FD0">
                                  <w:pPr>
                                    <w:rPr>
                                      <w:lang w:val="en-US"/>
                                    </w:rPr>
                                  </w:pPr>
                                  <w:r>
                                    <w:rPr>
                                      <w:lang w:val="en-US"/>
                                    </w:rPr>
                                    <w:t>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A6919E" id="Text Box 127" o:spid="_x0000_s1032" type="#_x0000_t202" style="position:absolute;margin-left:-1pt;margin-top:91.2pt;width:28.5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9fHQIAAD4EAAAOAAAAZHJzL2Uyb0RvYy54bWysU8mO2zAMvRfoPwi6N14mzmLEGbQzTVFg&#10;ugAz/QBZlmOh2iopsdOvH0p20nS7FPVBEE3yiXyP3NwOUqAjs45rVeFslmLEFNUNV/sKf3navVph&#10;5DxRDRFasQqfmMO325cvNr0pWa47LRpmEYAoV/amwp33pkwSRzsmiZtpwxQ4W20l8WDafdJY0gO6&#10;FEmepouk17YxVlPmHPy9H514G/HbllH/qW0d80hUGGrz8bTxrMOZbDek3FtiOk6nMsg/VCEJV/Do&#10;BeqeeIIOlv8GJTm12unWz6iWiW5bTlnsAbrJ0l+6eeyIYbEXIMeZC03u/8HSj8fPFvEGtFsV6Xo9&#10;z4ocI0UkaPXEBo/e6AFl+TIQ1RtXQvyjgQw/gAOSYtPOPGj61UFIchUzJrgQXfcfdAOI5OB1zBha&#10;KwNdQAACGFDmdFEjvErh580iWxfgoeDKlzcp3MMLpDwnG+v8O6YlCpcKWxA7gpPjg/Nj6DkkvOW0&#10;4M2OCxENu6/vhEVHAoOxi9+E/lOYUKiv8LrIi7HRv0Kk8fsThOQeJlxwWeHVJYiUHSPNW9VAmaT0&#10;hIvxDt0JNdEYmBs59EM9RI0WZxlq3ZyAV6vHgYYFhEun7XeMehjmCrtvB2IZRuK9gmlZZ/N5mP5o&#10;zItlDoa99tTXHqIoQFXYYzRe73zcmFCq0q9Bw5ZHfoPYYyVTyTCkUaFpocIWXNsx6sfab58BAAD/&#10;/wMAUEsDBBQABgAIAAAAIQBVptg63wAAAAkBAAAPAAAAZHJzL2Rvd25yZXYueG1sTI/NTsMwEITv&#10;SLyDtUjcWge3QVWIU/EjJISQKpo+gBtv45R4HcVuG96e5QTHnR3NfFOuJ9+LM46xC6Thbp6BQGqC&#10;7ajVsKtfZysQMRmypg+EGr4xwrq6vipNYcOFPvG8Ta3gEIqF0eBSGgopY+PQmzgPAxL/DmH0JvE5&#10;ttKO5sLhvpcqy+6lNx1xgzMDPjtsvrYnr+HluNjsqHPWD4u397r+mPKNfNL69mZ6fACRcEp/ZvjF&#10;Z3SomGkfTmSj6DXMFE9JrK/UEgQb8pyFvQal8iXIqpT/F1Q/AAAA//8DAFBLAQItABQABgAIAAAA&#10;IQC2gziS/gAAAOEBAAATAAAAAAAAAAAAAAAAAAAAAABbQ29udGVudF9UeXBlc10ueG1sUEsBAi0A&#10;FAAGAAgAAAAhADj9If/WAAAAlAEAAAsAAAAAAAAAAAAAAAAALwEAAF9yZWxzLy5yZWxzUEsBAi0A&#10;FAAGAAgAAAAhALz7v18dAgAAPgQAAA4AAAAAAAAAAAAAAAAALgIAAGRycy9lMm9Eb2MueG1sUEsB&#10;Ai0AFAAGAAgAAAAhAFWm2DrfAAAACQEAAA8AAAAAAAAAAAAAAAAAdwQAAGRycy9kb3ducmV2Lnht&#10;bFBLBQYAAAAABAAEAPMAAACDBQAAAAA=&#10;">
                      <v:path arrowok="t"/>
                      <v:textbox>
                        <w:txbxContent>
                          <w:p w14:paraId="7C1A3CC6" w14:textId="77777777" w:rsidR="00302FD0" w:rsidRPr="002F04AB" w:rsidRDefault="00302FD0" w:rsidP="00302FD0">
                            <w:pPr>
                              <w:rPr>
                                <w:lang w:val="en-US"/>
                              </w:rPr>
                            </w:pPr>
                            <w:r>
                              <w:rPr>
                                <w:lang w:val="en-US"/>
                              </w:rPr>
                              <w:t>T7</w:t>
                            </w:r>
                          </w:p>
                        </w:txbxContent>
                      </v:textbox>
                    </v:shape>
                  </w:pict>
                </mc:Fallback>
              </mc:AlternateContent>
            </w:r>
            <w:r w:rsidR="00897AA5" w:rsidRPr="00461A90">
              <w:rPr>
                <w:rFonts w:ascii="Times New Roman" w:hAnsi="Times New Roman" w:cs="Times New Roman"/>
                <w:noProof/>
                <w:color w:val="000000" w:themeColor="text1"/>
                <w:sz w:val="32"/>
                <w:szCs w:val="32"/>
                <w:lang w:eastAsia="en-IN"/>
              </w:rPr>
              <w:drawing>
                <wp:inline distT="0" distB="0" distL="0" distR="0" wp14:anchorId="5FE24368" wp14:editId="70559D4A">
                  <wp:extent cx="1080000" cy="1080000"/>
                  <wp:effectExtent l="0" t="0" r="6350" b="6350"/>
                  <wp:docPr id="46" name="Picture 45">
                    <a:extLst xmlns:a="http://schemas.openxmlformats.org/drawingml/2006/main">
                      <a:ext uri="{FF2B5EF4-FFF2-40B4-BE49-F238E27FC236}">
                        <a16:creationId xmlns:a16="http://schemas.microsoft.com/office/drawing/2014/main" id="{4B0D6229-5196-491E-9DBF-C0AE55454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4B0D6229-5196-491E-9DBF-C0AE5545487C}"/>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7477" t="25952" r="16644" b="2463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09D90B62"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7E94CD7B" wp14:editId="17BAE563">
                  <wp:extent cx="1080000" cy="1080000"/>
                  <wp:effectExtent l="0" t="0" r="6350" b="6350"/>
                  <wp:docPr id="48" name="Picture 47">
                    <a:extLst xmlns:a="http://schemas.openxmlformats.org/drawingml/2006/main">
                      <a:ext uri="{FF2B5EF4-FFF2-40B4-BE49-F238E27FC236}">
                        <a16:creationId xmlns:a16="http://schemas.microsoft.com/office/drawing/2014/main" id="{91E2C2BF-B9D1-4CEB-B209-07153598B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91E2C2BF-B9D1-4CEB-B209-07153598BC3C}"/>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7223" t="25748" r="19167" b="2654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97AA5" w:rsidRPr="00461A90" w14:paraId="586A797C" w14:textId="77777777" w:rsidTr="00FC3565">
        <w:trPr>
          <w:gridAfter w:val="1"/>
          <w:wAfter w:w="14" w:type="dxa"/>
          <w:trHeight w:val="17"/>
          <w:jc w:val="center"/>
        </w:trPr>
        <w:tc>
          <w:tcPr>
            <w:tcW w:w="2789" w:type="dxa"/>
          </w:tcPr>
          <w:p w14:paraId="3303C204" w14:textId="77FEC6E0" w:rsidR="00897AA5" w:rsidRPr="00461A90" w:rsidRDefault="00897AA5" w:rsidP="00302FD0">
            <w:pPr>
              <w:spacing w:line="276" w:lineRule="auto"/>
              <w:rPr>
                <w:rFonts w:ascii="Times New Roman" w:hAnsi="Times New Roman" w:cs="Times New Roman"/>
                <w:color w:val="000000" w:themeColor="text1"/>
                <w:sz w:val="32"/>
                <w:szCs w:val="32"/>
                <w:lang w:val="en-US"/>
              </w:rPr>
            </w:pPr>
          </w:p>
        </w:tc>
        <w:tc>
          <w:tcPr>
            <w:tcW w:w="2789" w:type="dxa"/>
          </w:tcPr>
          <w:p w14:paraId="3236DD09" w14:textId="0E8891A1"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8E909CB" wp14:editId="7E177946">
                  <wp:extent cx="1064469" cy="1080000"/>
                  <wp:effectExtent l="0" t="0" r="2540" b="6350"/>
                  <wp:docPr id="41" name="Picture 9">
                    <a:extLst xmlns:a="http://schemas.openxmlformats.org/drawingml/2006/main">
                      <a:ext uri="{FF2B5EF4-FFF2-40B4-BE49-F238E27FC236}">
                        <a16:creationId xmlns:a16="http://schemas.microsoft.com/office/drawing/2014/main" id="{67FD061A-5FD0-402E-A452-3487EF3D7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7FD061A-5FD0-402E-A452-3487EF3D7EA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8055" t="24702" r="15278" b="24569"/>
                          <a:stretch/>
                        </pic:blipFill>
                        <pic:spPr>
                          <a:xfrm>
                            <a:off x="0" y="0"/>
                            <a:ext cx="1064469" cy="1080000"/>
                          </a:xfrm>
                          <a:prstGeom prst="rect">
                            <a:avLst/>
                          </a:prstGeom>
                        </pic:spPr>
                      </pic:pic>
                    </a:graphicData>
                  </a:graphic>
                </wp:inline>
              </w:drawing>
            </w:r>
          </w:p>
        </w:tc>
        <w:tc>
          <w:tcPr>
            <w:tcW w:w="2789" w:type="dxa"/>
          </w:tcPr>
          <w:p w14:paraId="7DCA63FA" w14:textId="7F39A35A" w:rsidR="00897AA5" w:rsidRPr="00461A90" w:rsidRDefault="00897AA5" w:rsidP="00302FD0">
            <w:pPr>
              <w:spacing w:line="276" w:lineRule="auto"/>
              <w:rPr>
                <w:rFonts w:ascii="Times New Roman" w:hAnsi="Times New Roman" w:cs="Times New Roman"/>
                <w:color w:val="000000" w:themeColor="text1"/>
                <w:sz w:val="32"/>
                <w:szCs w:val="32"/>
                <w:lang w:val="en-US"/>
              </w:rPr>
            </w:pPr>
          </w:p>
        </w:tc>
      </w:tr>
    </w:tbl>
    <w:p w14:paraId="07C37A12" w14:textId="77777777" w:rsidR="00897AA5" w:rsidRPr="00461A90" w:rsidRDefault="00897AA5" w:rsidP="00897AA5">
      <w:pPr>
        <w:spacing w:after="0"/>
        <w:jc w:val="both"/>
        <w:rPr>
          <w:rFonts w:ascii="Times New Roman" w:hAnsi="Times New Roman" w:cs="Times New Roman"/>
          <w:b/>
          <w:bCs/>
          <w:color w:val="000000" w:themeColor="text1"/>
          <w:sz w:val="28"/>
          <w:szCs w:val="28"/>
          <w:lang w:val="en-US"/>
        </w:rPr>
      </w:pPr>
    </w:p>
    <w:p w14:paraId="2788829A" w14:textId="10A2247A" w:rsidR="00302FD0" w:rsidRPr="00461A90" w:rsidRDefault="00302FD0" w:rsidP="00302FD0">
      <w:pPr>
        <w:spacing w:after="0" w:line="360" w:lineRule="auto"/>
        <w:ind w:left="1276" w:hanging="1134"/>
        <w:jc w:val="both"/>
        <w:rPr>
          <w:rFonts w:ascii="Times New Roman" w:hAnsi="Times New Roman" w:cs="Times New Roman"/>
          <w:b/>
          <w:bCs/>
          <w:color w:val="000000" w:themeColor="text1"/>
          <w:sz w:val="28"/>
          <w:szCs w:val="28"/>
          <w:lang w:val="en-US"/>
        </w:rPr>
      </w:pPr>
      <w:r w:rsidRPr="00461A90">
        <w:rPr>
          <w:rFonts w:ascii="Times New Roman" w:hAnsi="Times New Roman" w:cs="Times New Roman"/>
          <w:b/>
          <w:bCs/>
          <w:color w:val="000000" w:themeColor="text1"/>
          <w:sz w:val="24"/>
          <w:szCs w:val="24"/>
          <w:lang w:val="en-US"/>
        </w:rPr>
        <w:t xml:space="preserve">Plate 1: Evaluation of different </w:t>
      </w:r>
      <w:r w:rsidRPr="00461A90">
        <w:rPr>
          <w:rFonts w:ascii="Times New Roman" w:eastAsia="BookAntiqua" w:hAnsi="Times New Roman" w:cs="Times New Roman"/>
          <w:b/>
          <w:bCs/>
          <w:color w:val="000000" w:themeColor="text1"/>
          <w:sz w:val="24"/>
          <w:szCs w:val="24"/>
        </w:rPr>
        <w:t>single compound fungicides</w:t>
      </w:r>
      <w:r w:rsidRPr="00461A90">
        <w:rPr>
          <w:rFonts w:ascii="Times New Roman" w:hAnsi="Times New Roman" w:cs="Times New Roman"/>
          <w:b/>
          <w:bCs/>
          <w:color w:val="000000" w:themeColor="text1"/>
          <w:sz w:val="24"/>
          <w:szCs w:val="24"/>
          <w:lang w:val="en-US"/>
        </w:rPr>
        <w:t xml:space="preserve"> against </w:t>
      </w:r>
      <w:r w:rsidRPr="00461A90">
        <w:rPr>
          <w:rFonts w:ascii="Times New Roman" w:hAnsi="Times New Roman" w:cs="Times New Roman"/>
          <w:b/>
          <w:bCs/>
          <w:i/>
          <w:iCs/>
          <w:color w:val="000000" w:themeColor="text1"/>
          <w:sz w:val="24"/>
          <w:szCs w:val="24"/>
          <w:lang w:val="en-US"/>
        </w:rPr>
        <w:t xml:space="preserve">Colletotrichum </w:t>
      </w:r>
      <w:proofErr w:type="spellStart"/>
      <w:r w:rsidRPr="00461A90">
        <w:rPr>
          <w:rFonts w:ascii="Times New Roman" w:hAnsi="Times New Roman" w:cs="Times New Roman"/>
          <w:b/>
          <w:bCs/>
          <w:i/>
          <w:iCs/>
          <w:color w:val="000000" w:themeColor="text1"/>
          <w:sz w:val="24"/>
          <w:szCs w:val="24"/>
          <w:lang w:val="en-US"/>
        </w:rPr>
        <w:t>truncatum</w:t>
      </w:r>
      <w:proofErr w:type="spellEnd"/>
      <w:r w:rsidRPr="00461A90">
        <w:rPr>
          <w:rFonts w:ascii="Times New Roman" w:hAnsi="Times New Roman" w:cs="Times New Roman"/>
          <w:b/>
          <w:bCs/>
          <w:color w:val="000000" w:themeColor="text1"/>
          <w:sz w:val="24"/>
          <w:szCs w:val="24"/>
          <w:lang w:val="en-US"/>
        </w:rPr>
        <w:t xml:space="preserve"> at different concentration</w:t>
      </w:r>
      <w:r w:rsidR="006D5C69" w:rsidRPr="00461A90">
        <w:rPr>
          <w:rFonts w:ascii="Times New Roman" w:hAnsi="Times New Roman" w:cs="Times New Roman"/>
          <w:b/>
          <w:bCs/>
          <w:color w:val="000000" w:themeColor="text1"/>
          <w:sz w:val="24"/>
          <w:szCs w:val="24"/>
          <w:lang w:val="en-US"/>
        </w:rPr>
        <w:t>.</w:t>
      </w:r>
    </w:p>
    <w:tbl>
      <w:tblPr>
        <w:tblStyle w:val="TableGrid"/>
        <w:tblpPr w:leftFromText="180" w:rightFromText="180" w:vertAnchor="page" w:horzAnchor="page" w:tblpXSpec="center" w:tblpY="159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
        <w:gridCol w:w="2906"/>
        <w:gridCol w:w="72"/>
        <w:gridCol w:w="2924"/>
        <w:gridCol w:w="72"/>
        <w:gridCol w:w="2975"/>
      </w:tblGrid>
      <w:tr w:rsidR="00461A90" w:rsidRPr="00461A90" w14:paraId="0D812629" w14:textId="77777777" w:rsidTr="00EC3B73">
        <w:trPr>
          <w:trHeight w:val="334"/>
        </w:trPr>
        <w:tc>
          <w:tcPr>
            <w:tcW w:w="1652" w:type="pct"/>
            <w:gridSpan w:val="2"/>
          </w:tcPr>
          <w:p w14:paraId="5E8BAD63" w14:textId="211CEC0E" w:rsidR="00E21A4C" w:rsidRPr="00461A90" w:rsidRDefault="00E21A4C" w:rsidP="00E21A4C">
            <w:pPr>
              <w:spacing w:line="276" w:lineRule="auto"/>
              <w:rPr>
                <w:rFonts w:ascii="Times New Roman" w:hAnsi="Times New Roman" w:cs="Times New Roman"/>
                <w:noProof/>
                <w:color w:val="000000" w:themeColor="text1"/>
                <w:sz w:val="28"/>
                <w:szCs w:val="28"/>
                <w:lang w:val="en-US"/>
              </w:rPr>
            </w:pPr>
            <w:r w:rsidRPr="00461A90">
              <w:rPr>
                <w:rFonts w:ascii="Times New Roman" w:hAnsi="Times New Roman" w:cs="Times New Roman"/>
                <w:noProof/>
                <w:color w:val="000000" w:themeColor="text1"/>
                <w:sz w:val="28"/>
                <w:szCs w:val="28"/>
                <w:lang w:val="en-US"/>
              </w:rPr>
              <w:lastRenderedPageBreak/>
              <w:t>100</w:t>
            </w:r>
            <w:r w:rsidR="00846756" w:rsidRPr="00461A90">
              <w:rPr>
                <w:rFonts w:ascii="Times New Roman" w:hAnsi="Times New Roman" w:cs="Times New Roman"/>
                <w:noProof/>
                <w:color w:val="000000" w:themeColor="text1"/>
                <w:sz w:val="28"/>
                <w:szCs w:val="28"/>
                <w:lang w:val="en-US"/>
              </w:rPr>
              <w:t xml:space="preserve"> </w:t>
            </w:r>
            <w:r w:rsidRPr="00461A90">
              <w:rPr>
                <w:rFonts w:ascii="Times New Roman" w:hAnsi="Times New Roman" w:cs="Times New Roman"/>
                <w:noProof/>
                <w:color w:val="000000" w:themeColor="text1"/>
                <w:sz w:val="28"/>
                <w:szCs w:val="28"/>
                <w:lang w:val="en-US"/>
              </w:rPr>
              <w:t>ppm</w:t>
            </w:r>
          </w:p>
        </w:tc>
        <w:tc>
          <w:tcPr>
            <w:tcW w:w="1660" w:type="pct"/>
            <w:gridSpan w:val="2"/>
          </w:tcPr>
          <w:p w14:paraId="2F879AF0" w14:textId="6D989A64" w:rsidR="00E21A4C" w:rsidRPr="00461A90" w:rsidRDefault="00E21A4C" w:rsidP="00E21A4C">
            <w:pPr>
              <w:spacing w:line="276" w:lineRule="auto"/>
              <w:rPr>
                <w:rFonts w:ascii="Times New Roman" w:hAnsi="Times New Roman" w:cs="Times New Roman"/>
                <w:color w:val="000000" w:themeColor="text1"/>
                <w:sz w:val="28"/>
                <w:szCs w:val="28"/>
              </w:rPr>
            </w:pPr>
            <w:r w:rsidRPr="00461A90">
              <w:rPr>
                <w:rFonts w:ascii="Times New Roman" w:hAnsi="Times New Roman" w:cs="Times New Roman"/>
                <w:noProof/>
                <w:color w:val="000000" w:themeColor="text1"/>
                <w:sz w:val="28"/>
                <w:szCs w:val="28"/>
                <w:lang w:val="en-US"/>
              </w:rPr>
              <w:t>250</w:t>
            </w:r>
            <w:r w:rsidR="00846756" w:rsidRPr="00461A90">
              <w:rPr>
                <w:rFonts w:ascii="Times New Roman" w:hAnsi="Times New Roman" w:cs="Times New Roman"/>
                <w:noProof/>
                <w:color w:val="000000" w:themeColor="text1"/>
                <w:sz w:val="28"/>
                <w:szCs w:val="28"/>
                <w:lang w:val="en-US"/>
              </w:rPr>
              <w:t xml:space="preserve"> </w:t>
            </w:r>
            <w:r w:rsidRPr="00461A90">
              <w:rPr>
                <w:rFonts w:ascii="Times New Roman" w:hAnsi="Times New Roman" w:cs="Times New Roman"/>
                <w:noProof/>
                <w:color w:val="000000" w:themeColor="text1"/>
                <w:sz w:val="28"/>
                <w:szCs w:val="28"/>
                <w:lang w:val="en-US"/>
              </w:rPr>
              <w:t>ppm</w:t>
            </w:r>
          </w:p>
        </w:tc>
        <w:tc>
          <w:tcPr>
            <w:tcW w:w="1688" w:type="pct"/>
            <w:gridSpan w:val="2"/>
          </w:tcPr>
          <w:p w14:paraId="004FB937" w14:textId="1267EF35" w:rsidR="00E21A4C" w:rsidRPr="00461A90" w:rsidRDefault="00E21A4C" w:rsidP="00E21A4C">
            <w:pPr>
              <w:spacing w:line="276" w:lineRule="auto"/>
              <w:rPr>
                <w:rFonts w:ascii="Times New Roman" w:hAnsi="Times New Roman" w:cs="Times New Roman"/>
                <w:color w:val="000000" w:themeColor="text1"/>
                <w:sz w:val="28"/>
                <w:szCs w:val="28"/>
              </w:rPr>
            </w:pPr>
            <w:r w:rsidRPr="00461A90">
              <w:rPr>
                <w:rFonts w:ascii="Times New Roman" w:hAnsi="Times New Roman" w:cs="Times New Roman"/>
                <w:noProof/>
                <w:color w:val="000000" w:themeColor="text1"/>
                <w:sz w:val="28"/>
                <w:szCs w:val="28"/>
                <w:lang w:val="en-US"/>
              </w:rPr>
              <w:t>500</w:t>
            </w:r>
            <w:r w:rsidR="00846756" w:rsidRPr="00461A90">
              <w:rPr>
                <w:rFonts w:ascii="Times New Roman" w:hAnsi="Times New Roman" w:cs="Times New Roman"/>
                <w:noProof/>
                <w:color w:val="000000" w:themeColor="text1"/>
                <w:sz w:val="28"/>
                <w:szCs w:val="28"/>
                <w:lang w:val="en-US"/>
              </w:rPr>
              <w:t xml:space="preserve"> </w:t>
            </w:r>
            <w:r w:rsidRPr="00461A90">
              <w:rPr>
                <w:rFonts w:ascii="Times New Roman" w:hAnsi="Times New Roman" w:cs="Times New Roman"/>
                <w:noProof/>
                <w:color w:val="000000" w:themeColor="text1"/>
                <w:sz w:val="28"/>
                <w:szCs w:val="28"/>
                <w:lang w:val="en-US"/>
              </w:rPr>
              <w:t>ppm</w:t>
            </w:r>
          </w:p>
        </w:tc>
      </w:tr>
      <w:tr w:rsidR="00461A90" w:rsidRPr="00461A90" w14:paraId="1D18F23F" w14:textId="77777777" w:rsidTr="00EC3B73">
        <w:trPr>
          <w:trHeight w:val="1802"/>
        </w:trPr>
        <w:tc>
          <w:tcPr>
            <w:tcW w:w="1652" w:type="pct"/>
            <w:gridSpan w:val="2"/>
          </w:tcPr>
          <w:p w14:paraId="2EA1A8B2" w14:textId="097B4B88" w:rsidR="00E21A4C" w:rsidRPr="00461A90" w:rsidRDefault="005662FD"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0528" behindDoc="0" locked="0" layoutInCell="1" allowOverlap="1" wp14:anchorId="52E2850F" wp14:editId="05FA927B">
                      <wp:simplePos x="0" y="0"/>
                      <wp:positionH relativeFrom="column">
                        <wp:posOffset>10795</wp:posOffset>
                      </wp:positionH>
                      <wp:positionV relativeFrom="paragraph">
                        <wp:posOffset>1137920</wp:posOffset>
                      </wp:positionV>
                      <wp:extent cx="361950" cy="257175"/>
                      <wp:effectExtent l="0" t="0" r="19050" b="28575"/>
                      <wp:wrapNone/>
                      <wp:docPr id="16109518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0C63FB0C" w14:textId="77777777" w:rsidR="00E21A4C" w:rsidRPr="002F04AB" w:rsidRDefault="00E21A4C" w:rsidP="00E21A4C">
                                  <w:pPr>
                                    <w:rPr>
                                      <w:lang w:val="en-US"/>
                                    </w:rPr>
                                  </w:pPr>
                                  <w:r>
                                    <w:rPr>
                                      <w:lang w:val="en-US"/>
                                    </w:rPr>
                                    <w:t>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2850F" id="Text Box 153" o:spid="_x0000_s1033" type="#_x0000_t202" style="position:absolute;margin-left:.85pt;margin-top:89.6pt;width:28.5pt;height:2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amHgIAAD4EAAAOAAAAZHJzL2Uyb0RvYy54bWysU8mO2zAMvRfoPwi6N7YzcRYjzqCdaYoC&#10;0wWY6QfIkhwL1VZJiZ1+/VBykqbbpagPgmiST+R75Pp2UBIduPPC6BoXkxwjrqlhQu9q/OVp+2qJ&#10;kQ9EMyKN5jU+co9vNy9frHtb8anpjGTcIQDRvuptjbsQbJVlnnZcET8xlmtwtsYpEsB0u4w50gO6&#10;ktk0z+dZbxyzzlDuPfy9H514k/DbltPwqW09D0jWGGoL6XTpbOKZbdak2jliO0FPZZB/qEIRoeHR&#10;C9Q9CQTtnfgNSgnqjDdtmFCjMtO2gvLUA3RT5L9089gRy1MvQI63F5r8/4OlHw+fHRIMtJsX+aos&#10;liUopokCrZ74ENAbM6CivIlE9dZXEP9oISMM4ICk1LS3D4Z+9RCSXcWMCT5GN/0HwwCR7INJGUPr&#10;VKQLCEAAA8ocL2rEVyn8vJkXqxI8FFzTclEsylhERqpzsnU+vONGoXipsQOxEzg5PPgwhp5D4lve&#10;SMG2QspkuF1zJx06EBiMbfpO6D+FSY36Gq/KaTk2+leIPH1/glAiwIRLoWq8vASRquOEvdUMyiRV&#10;IEKOd+hO6hONkbmRwzA0Q9JocZahMewIvDozDjQsIFw6475j1MMw19h/2xPHMZLvNUzLqpjN4vQn&#10;Y1YupmC4a09z7SGaAlSNA0bj9S6kjYmlavMaNGxF4jeKPVZyKhmGNCl0Wqi4Bdd2ivqx9ptnAAAA&#10;//8DAFBLAwQUAAYACAAAACEA01XJ4t4AAAAIAQAADwAAAGRycy9kb3ducmV2LnhtbEyPzW7CMBCE&#10;75V4B2uReisOQRRI46D+qBKqKqESHsDE2zhtvI5iA+nbs5zoaTU7o9lv8/XgWnHCPjSeFEwnCQik&#10;ypuGagX78v1hCSJETUa3nlDBHwZYF6O7XGfGn+kLT7tYCy6hkGkFNsYukzJUFp0OE98hsffte6cj&#10;y76WptdnLnetTJPkUTrdEF+wusNXi9Xv7ugUvP3MtntqrHHdbPNRlp/DfCtflLofD89PICIO8RaG&#10;Kz6jQ8FMB38kE0TLesHB61ilINifL3lxUJBOVwuQRS7/P1BcAAAA//8DAFBLAQItABQABgAIAAAA&#10;IQC2gziS/gAAAOEBAAATAAAAAAAAAAAAAAAAAAAAAABbQ29udGVudF9UeXBlc10ueG1sUEsBAi0A&#10;FAAGAAgAAAAhADj9If/WAAAAlAEAAAsAAAAAAAAAAAAAAAAALwEAAF9yZWxzLy5yZWxzUEsBAi0A&#10;FAAGAAgAAAAhAOzbtqYeAgAAPgQAAA4AAAAAAAAAAAAAAAAALgIAAGRycy9lMm9Eb2MueG1sUEsB&#10;Ai0AFAAGAAgAAAAhANNVyeLeAAAACAEAAA8AAAAAAAAAAAAAAAAAeAQAAGRycy9kb3ducmV2Lnht&#10;bFBLBQYAAAAABAAEAPMAAACDBQAAAAA=&#10;">
                      <v:path arrowok="t"/>
                      <v:textbox>
                        <w:txbxContent>
                          <w:p w14:paraId="0C63FB0C" w14:textId="77777777" w:rsidR="00E21A4C" w:rsidRPr="002F04AB" w:rsidRDefault="00E21A4C" w:rsidP="00E21A4C">
                            <w:pPr>
                              <w:rPr>
                                <w:lang w:val="en-US"/>
                              </w:rPr>
                            </w:pPr>
                            <w:r>
                              <w:rPr>
                                <w:lang w:val="en-US"/>
                              </w:rPr>
                              <w:t>T2</w:t>
                            </w:r>
                          </w:p>
                        </w:txbxContent>
                      </v:textbox>
                    </v:shape>
                  </w:pict>
                </mc:Fallback>
              </mc:AlternateContent>
            </w:r>
            <w:r w:rsidR="00E21A4C"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9504" behindDoc="0" locked="0" layoutInCell="1" allowOverlap="1" wp14:anchorId="3BCAC2B9" wp14:editId="20D04528">
                      <wp:simplePos x="0" y="0"/>
                      <wp:positionH relativeFrom="column">
                        <wp:posOffset>-10160</wp:posOffset>
                      </wp:positionH>
                      <wp:positionV relativeFrom="paragraph">
                        <wp:posOffset>13335</wp:posOffset>
                      </wp:positionV>
                      <wp:extent cx="361950" cy="257175"/>
                      <wp:effectExtent l="0" t="0" r="6350" b="0"/>
                      <wp:wrapNone/>
                      <wp:docPr id="4518589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66031A72" w14:textId="77777777" w:rsidR="00E21A4C" w:rsidRPr="002F04AB" w:rsidRDefault="00E21A4C" w:rsidP="00E21A4C">
                                  <w:pPr>
                                    <w:rPr>
                                      <w:lang w:val="en-US"/>
                                    </w:rPr>
                                  </w:pPr>
                                  <w:r>
                                    <w:rPr>
                                      <w:lang w:val="en-US"/>
                                    </w:rPr>
                                    <w:t>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CAC2B9" id="Text Box 151" o:spid="_x0000_s1034" type="#_x0000_t202" style="position:absolute;margin-left:-.8pt;margin-top:1.05pt;width:28.5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3eHgIAAD0EAAAOAAAAZHJzL2Uyb0RvYy54bWysU9uO2yAQfa/Uf0C8N47TOJtYcVbtblNV&#10;2l6k3X4AxjhGBYYCiZ1+fQecpOntpSoPiGEOh5k5M+vbQStyEM5LMBXNJ1NKhOHQSLOr6Oen7Ysl&#10;JT4w0zAFRlT0KDy93Tx/tu5tKWbQgWqEI0hifNnbinYh2DLLPO+EZn4CVhh0tuA0C2i6XdY41iO7&#10;VtlsOl1kPbjGOuDCe7y9H510k/jbVvDwsW29CERVFGMLaXdpr+Oebdas3DlmO8lPYbB/iEIzafDT&#10;C9U9C4zsnfyNSkvuwEMbJhx0Bm0ruUg5YDb59JdsHjtmRcoFi+PtpUz+/9HyD4dPjsimovMiXxbL&#10;1XRBiWEapXoSQyCvYSB5kcc69daXCH+0+CAM6EC9U87ePgD/4hGSXWHGBz6i6/49NMjI9gHSi6F1&#10;OlYL8ydIg8IcL2LEXzlevlzkqwI9HF2z4ia/KWIQGSvPj63z4a0ATeKhog61TuTs8ODDCD1D4l8e&#10;lGy2UqlkuF19pxw5MOyLbVon9p9gypC+oqtiVoyJ/pVimtafKLQM2OBK6oouLyBWdoI1b0yDYbIy&#10;MKnGM2anzKmMsXJjDcNQD0mi5VmGGpoj1tXB2M84f3jowH2jpMderqj/umdOUKLeGWyWVT6fx+ZP&#10;xry4maHhrj31tYcZjlQVDZSMx7uQBiaGauAVatjKVN8o9hjJKWTs0aTQaZ7iEFzbCfVj6jffAQAA&#10;//8DAFBLAwQUAAYACAAAACEAR6Rn/90AAAAGAQAADwAAAGRycy9kb3ducmV2LnhtbEyO3UrDQBCF&#10;7wXfYRnBu3aTtAkSMyn+IIgIxaYPsM2O2Wh2NmS3bXx71yt7eTiH73zVZraDONHke8cI6TIBQdw6&#10;3XOHsG9eFncgfFCs1eCYEH7Iw6a+vqpUqd2ZP+i0C52IEPalQjAhjKWUvjVklV+6kTh2n26yKsQ4&#10;dVJP6hzhdpBZkhTSqp7jg1EjPRlqv3dHi/D8tdruuTfajqvXt6Z5n/OtfES8vZkf7kEEmsP/GP70&#10;ozrU0engjqy9GBAWaRGXCFkKItZ5vgZxQFhnBci6kpf69S8AAAD//wMAUEsBAi0AFAAGAAgAAAAh&#10;ALaDOJL+AAAA4QEAABMAAAAAAAAAAAAAAAAAAAAAAFtDb250ZW50X1R5cGVzXS54bWxQSwECLQAU&#10;AAYACAAAACEAOP0h/9YAAACUAQAACwAAAAAAAAAAAAAAAAAvAQAAX3JlbHMvLnJlbHNQSwECLQAU&#10;AAYACAAAACEAEpid3h4CAAA9BAAADgAAAAAAAAAAAAAAAAAuAgAAZHJzL2Uyb0RvYy54bWxQSwEC&#10;LQAUAAYACAAAACEAR6Rn/90AAAAGAQAADwAAAAAAAAAAAAAAAAB4BAAAZHJzL2Rvd25yZXYueG1s&#10;UEsFBgAAAAAEAAQA8wAAAIIFAAAAAA==&#10;">
                      <v:path arrowok="t"/>
                      <v:textbox>
                        <w:txbxContent>
                          <w:p w14:paraId="66031A72" w14:textId="77777777" w:rsidR="00E21A4C" w:rsidRPr="002F04AB" w:rsidRDefault="00E21A4C" w:rsidP="00E21A4C">
                            <w:pPr>
                              <w:rPr>
                                <w:lang w:val="en-US"/>
                              </w:rPr>
                            </w:pPr>
                            <w:r>
                              <w:rPr>
                                <w:lang w:val="en-US"/>
                              </w:rPr>
                              <w:t>T1</w:t>
                            </w:r>
                          </w:p>
                        </w:txbxContent>
                      </v:textbox>
                    </v:shape>
                  </w:pict>
                </mc:Fallback>
              </mc:AlternateContent>
            </w:r>
            <w:r w:rsidR="00E21A4C" w:rsidRPr="00461A90">
              <w:rPr>
                <w:rFonts w:ascii="Times New Roman" w:hAnsi="Times New Roman" w:cs="Times New Roman"/>
                <w:noProof/>
                <w:color w:val="000000" w:themeColor="text1"/>
                <w:sz w:val="32"/>
                <w:szCs w:val="32"/>
                <w:lang w:eastAsia="en-IN"/>
              </w:rPr>
              <w:drawing>
                <wp:inline distT="0" distB="0" distL="0" distR="0" wp14:anchorId="5F7A9D7F" wp14:editId="5EC22232">
                  <wp:extent cx="1080000" cy="1080000"/>
                  <wp:effectExtent l="0" t="0" r="6350" b="6350"/>
                  <wp:docPr id="37" name="Picture 36">
                    <a:extLst xmlns:a="http://schemas.openxmlformats.org/drawingml/2006/main">
                      <a:ext uri="{FF2B5EF4-FFF2-40B4-BE49-F238E27FC236}">
                        <a16:creationId xmlns:a16="http://schemas.microsoft.com/office/drawing/2014/main" id="{B62C5CEE-D430-4DF7-9AF1-ADEA0287F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B62C5CEE-D430-4DF7-9AF1-ADEA0287F9B6}"/>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7906" t="26550" r="18183" b="2551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gridSpan w:val="2"/>
          </w:tcPr>
          <w:p w14:paraId="0AD1868C"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536C32B2" wp14:editId="60EC0DB8">
                  <wp:extent cx="1080000" cy="1080000"/>
                  <wp:effectExtent l="0" t="0" r="6350" b="6350"/>
                  <wp:docPr id="10" name="Picture 9">
                    <a:extLst xmlns:a="http://schemas.openxmlformats.org/drawingml/2006/main">
                      <a:ext uri="{FF2B5EF4-FFF2-40B4-BE49-F238E27FC236}">
                        <a16:creationId xmlns:a16="http://schemas.microsoft.com/office/drawing/2014/main" id="{044A8E5E-0962-4E4F-B270-AF79BBFF2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44A8E5E-0962-4E4F-B270-AF79BBFF21FC}"/>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19444" t="26895" r="18889" b="2685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88" w:type="pct"/>
            <w:gridSpan w:val="2"/>
          </w:tcPr>
          <w:p w14:paraId="2323524C"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68A878A" wp14:editId="5442E67A">
                  <wp:extent cx="1080000" cy="1080000"/>
                  <wp:effectExtent l="0" t="0" r="6350" b="6350"/>
                  <wp:docPr id="12" name="Picture 11">
                    <a:extLst xmlns:a="http://schemas.openxmlformats.org/drawingml/2006/main">
                      <a:ext uri="{FF2B5EF4-FFF2-40B4-BE49-F238E27FC236}">
                        <a16:creationId xmlns:a16="http://schemas.microsoft.com/office/drawing/2014/main" id="{D2F0F9A7-77C0-4C09-B694-026A5C352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2F0F9A7-77C0-4C09-B694-026A5C35267F}"/>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9444" t="25833" r="16111" b="2583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0FD49329" w14:textId="77777777" w:rsidTr="00EC3B73">
        <w:trPr>
          <w:gridBefore w:val="1"/>
          <w:wBefore w:w="42" w:type="pct"/>
          <w:trHeight w:val="1815"/>
        </w:trPr>
        <w:tc>
          <w:tcPr>
            <w:tcW w:w="1650" w:type="pct"/>
            <w:gridSpan w:val="2"/>
          </w:tcPr>
          <w:p w14:paraId="61121D0C" w14:textId="42887EF5"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9678D63" wp14:editId="738F7DF5">
                  <wp:extent cx="1072850" cy="1080000"/>
                  <wp:effectExtent l="0" t="0" r="0" b="6350"/>
                  <wp:docPr id="20" name="Picture 19">
                    <a:extLst xmlns:a="http://schemas.openxmlformats.org/drawingml/2006/main">
                      <a:ext uri="{FF2B5EF4-FFF2-40B4-BE49-F238E27FC236}">
                        <a16:creationId xmlns:a16="http://schemas.microsoft.com/office/drawing/2014/main" id="{6929A7DD-BBCF-4049-AD07-C864C683D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929A7DD-BBCF-4049-AD07-C864C683D053}"/>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7172" t="25455" r="14722" b="23125"/>
                          <a:stretch/>
                        </pic:blipFill>
                        <pic:spPr>
                          <a:xfrm>
                            <a:off x="0" y="0"/>
                            <a:ext cx="1072850" cy="1080000"/>
                          </a:xfrm>
                          <a:prstGeom prst="rect">
                            <a:avLst/>
                          </a:prstGeom>
                        </pic:spPr>
                      </pic:pic>
                    </a:graphicData>
                  </a:graphic>
                </wp:inline>
              </w:drawing>
            </w:r>
          </w:p>
        </w:tc>
        <w:tc>
          <w:tcPr>
            <w:tcW w:w="1660" w:type="pct"/>
            <w:gridSpan w:val="2"/>
          </w:tcPr>
          <w:p w14:paraId="0EF13E1D"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118809FC" wp14:editId="0615BDC4">
                  <wp:extent cx="1081294" cy="1080000"/>
                  <wp:effectExtent l="0" t="0" r="5080" b="6350"/>
                  <wp:docPr id="30" name="Picture 29">
                    <a:extLst xmlns:a="http://schemas.openxmlformats.org/drawingml/2006/main">
                      <a:ext uri="{FF2B5EF4-FFF2-40B4-BE49-F238E27FC236}">
                        <a16:creationId xmlns:a16="http://schemas.microsoft.com/office/drawing/2014/main" id="{1D0DA8ED-A925-4434-B850-0C1E75662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1D0DA8ED-A925-4434-B850-0C1E75662785}"/>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8344" t="26337" r="16111" b="24563"/>
                          <a:stretch/>
                        </pic:blipFill>
                        <pic:spPr>
                          <a:xfrm>
                            <a:off x="0" y="0"/>
                            <a:ext cx="1081294" cy="1080000"/>
                          </a:xfrm>
                          <a:prstGeom prst="rect">
                            <a:avLst/>
                          </a:prstGeom>
                        </pic:spPr>
                      </pic:pic>
                    </a:graphicData>
                  </a:graphic>
                </wp:inline>
              </w:drawing>
            </w:r>
          </w:p>
        </w:tc>
        <w:tc>
          <w:tcPr>
            <w:tcW w:w="1648" w:type="pct"/>
          </w:tcPr>
          <w:p w14:paraId="57E88F76"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675257E1" wp14:editId="255DC980">
                  <wp:extent cx="1080000" cy="1080000"/>
                  <wp:effectExtent l="0" t="0" r="6350" b="6350"/>
                  <wp:docPr id="32" name="Picture 31">
                    <a:extLst xmlns:a="http://schemas.openxmlformats.org/drawingml/2006/main">
                      <a:ext uri="{FF2B5EF4-FFF2-40B4-BE49-F238E27FC236}">
                        <a16:creationId xmlns:a16="http://schemas.microsoft.com/office/drawing/2014/main" id="{FDA9D6A8-3F2C-4F2D-934C-01EB2D792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FDA9D6A8-3F2C-4F2D-934C-01EB2D792336}"/>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7738" t="26336" r="19598" b="2666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6E5A72F6" w14:textId="77777777" w:rsidTr="00EC3B73">
        <w:trPr>
          <w:gridBefore w:val="1"/>
          <w:wBefore w:w="42" w:type="pct"/>
          <w:trHeight w:val="1854"/>
        </w:trPr>
        <w:tc>
          <w:tcPr>
            <w:tcW w:w="1650" w:type="pct"/>
            <w:gridSpan w:val="2"/>
          </w:tcPr>
          <w:p w14:paraId="691E57F2"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1552" behindDoc="0" locked="0" layoutInCell="1" allowOverlap="1" wp14:anchorId="3A211CA9" wp14:editId="2355430F">
                      <wp:simplePos x="0" y="0"/>
                      <wp:positionH relativeFrom="column">
                        <wp:posOffset>-10795</wp:posOffset>
                      </wp:positionH>
                      <wp:positionV relativeFrom="paragraph">
                        <wp:posOffset>635</wp:posOffset>
                      </wp:positionV>
                      <wp:extent cx="361950" cy="257175"/>
                      <wp:effectExtent l="0" t="0" r="6350" b="0"/>
                      <wp:wrapNone/>
                      <wp:docPr id="80943652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33F713E6" w14:textId="77777777" w:rsidR="00E21A4C" w:rsidRPr="002F04AB" w:rsidRDefault="00E21A4C" w:rsidP="00E21A4C">
                                  <w:pPr>
                                    <w:rPr>
                                      <w:lang w:val="en-US"/>
                                    </w:rPr>
                                  </w:pPr>
                                  <w:r>
                                    <w:rPr>
                                      <w:lang w:val="en-US"/>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211CA9" id="Text Box 149" o:spid="_x0000_s1035" type="#_x0000_t202" style="position:absolute;margin-left:-.85pt;margin-top:.05pt;width:28.5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qTHAIAAD0EAAAOAAAAZHJzL2Uyb0RvYy54bWysU9uO2yAQfa/Uf0C8N74kzm6sOKt2t6kq&#10;bS/Sbj8AA45RuRVI7PTrd8DZNL29VOUBMcxwmDlnZn0zKokO3HlhdIOLWY4R19QwoXcN/vK4fXWN&#10;kQ9EMyKN5g0+co9vNi9frAdb89L0RjLuEIBoXw+2wX0Its4yT3uuiJ8ZyzU4O+MUCWC6XcYcGQBd&#10;yazM82U2GMesM5R7D7d3kxNvEn7XcRo+dZ3nAckGQ24h7S7tbdyzzZrUO0dsL+gpDfIPWSgiNHx6&#10;hrojgaC9E79BKUGd8aYLM2pUZrpOUJ5qgGqK/JdqHnpieaoFyPH2TJP/f7D04+GzQ4I1+DpfLebL&#10;qpxjpIkCqR75GNAbM6JisYo8DdbXEP5g4UEYwQF6p5q9vTf0q4eQ7CJmeuBjdDt8MAwQyT6Y9GLs&#10;nIpsQf0IYECY41mM+CuFy/myWFXgoeAqq6viqopJZKR+fmydD++4USgeGuxA6wRODvc+TKHPIfEv&#10;b6RgWyFlMtyuvZUOHQj0xTatE/pPYVKjocGrqqymQv8Kkaf1JwglAjS4FCoyHFcMInXPCXurWToH&#10;IuR0huqkPtEYmZs4DGM7JonOMrSGHYFXZ6Z+hvmDQ2/cd4wG6OUG+2974jhG8r2GZlkVi0Vs/mQs&#10;qqsSDHfpaS89RFOAanDAaDrehjQwMW1tXoOGnUj8RrGnTE4pQ48mhU7zFIfg0k5RP6Z+8wQAAP//&#10;AwBQSwMEFAAGAAgAAAAhAAcEtBrbAAAABQEAAA8AAABkcnMvZG93bnJldi54bWxMjstuwjAQRfeV&#10;+AdrKnUHDk1DqzQO6kOVUIWESvgAE0/jlHgcxQbC33dYtcv70L2nWI6uEyccQutJwXyWgECqvWmp&#10;UbCrPqZPIELUZHTnCRVcMMCynNwUOjf+TF942sZG8AiFXCuwMfa5lKG26HSY+R6Js28/OB1ZDo00&#10;gz7zuOvkfZIspNMt8YPVPb5ZrA/bo1Pw/pNudtRa4/p09VlV6zHbyFel7m7Hl2cQEcf4V4YrPqND&#10;yUx7fyQTRKdgOn/k5tUXnGZZCmKv4CFZgCwL+Z++/AUAAP//AwBQSwECLQAUAAYACAAAACEAtoM4&#10;kv4AAADhAQAAEwAAAAAAAAAAAAAAAAAAAAAAW0NvbnRlbnRfVHlwZXNdLnhtbFBLAQItABQABgAI&#10;AAAAIQA4/SH/1gAAAJQBAAALAAAAAAAAAAAAAAAAAC8BAABfcmVscy8ucmVsc1BLAQItABQABgAI&#10;AAAAIQBb1mqTHAIAAD0EAAAOAAAAAAAAAAAAAAAAAC4CAABkcnMvZTJvRG9jLnhtbFBLAQItABQA&#10;BgAIAAAAIQAHBLQa2wAAAAUBAAAPAAAAAAAAAAAAAAAAAHYEAABkcnMvZG93bnJldi54bWxQSwUG&#10;AAAAAAQABADzAAAAfgUAAAAA&#10;">
                      <v:path arrowok="t"/>
                      <v:textbox>
                        <w:txbxContent>
                          <w:p w14:paraId="33F713E6" w14:textId="77777777" w:rsidR="00E21A4C" w:rsidRPr="002F04AB" w:rsidRDefault="00E21A4C" w:rsidP="00E21A4C">
                            <w:pPr>
                              <w:rPr>
                                <w:lang w:val="en-US"/>
                              </w:rPr>
                            </w:pPr>
                            <w:r>
                              <w:rPr>
                                <w:lang w:val="en-US"/>
                              </w:rPr>
                              <w:t>T3</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18FA4AC0" wp14:editId="08ACAB22">
                  <wp:extent cx="1080000" cy="1080000"/>
                  <wp:effectExtent l="0" t="0" r="6350" b="6350"/>
                  <wp:docPr id="22" name="Picture 21">
                    <a:extLst xmlns:a="http://schemas.openxmlformats.org/drawingml/2006/main">
                      <a:ext uri="{FF2B5EF4-FFF2-40B4-BE49-F238E27FC236}">
                        <a16:creationId xmlns:a16="http://schemas.microsoft.com/office/drawing/2014/main" id="{73AD3BA3-4397-4EDE-8811-76FDF9270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3AD3BA3-4397-4EDE-8811-76FDF9270E3F}"/>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18296" t="27116" r="18018" b="25118"/>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gridSpan w:val="2"/>
          </w:tcPr>
          <w:p w14:paraId="4C20C6C4"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40C61DC1" wp14:editId="1942F60A">
                  <wp:extent cx="1078298" cy="1080000"/>
                  <wp:effectExtent l="0" t="0" r="7620" b="6350"/>
                  <wp:docPr id="34" name="Picture 33">
                    <a:extLst xmlns:a="http://schemas.openxmlformats.org/drawingml/2006/main">
                      <a:ext uri="{FF2B5EF4-FFF2-40B4-BE49-F238E27FC236}">
                        <a16:creationId xmlns:a16="http://schemas.microsoft.com/office/drawing/2014/main" id="{105199B9-6A7D-4891-9715-6E3FA1311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105199B9-6A7D-4891-9715-6E3FA131187F}"/>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16388" t="26337" r="18248" b="24563"/>
                          <a:stretch/>
                        </pic:blipFill>
                        <pic:spPr>
                          <a:xfrm>
                            <a:off x="0" y="0"/>
                            <a:ext cx="1078298" cy="1080000"/>
                          </a:xfrm>
                          <a:prstGeom prst="rect">
                            <a:avLst/>
                          </a:prstGeom>
                        </pic:spPr>
                      </pic:pic>
                    </a:graphicData>
                  </a:graphic>
                </wp:inline>
              </w:drawing>
            </w:r>
          </w:p>
        </w:tc>
        <w:tc>
          <w:tcPr>
            <w:tcW w:w="1648" w:type="pct"/>
          </w:tcPr>
          <w:p w14:paraId="20761D9A" w14:textId="77777777" w:rsidR="00E21A4C" w:rsidRPr="00461A90" w:rsidRDefault="00E21A4C" w:rsidP="00E21A4C">
            <w:pPr>
              <w:spacing w:line="276" w:lineRule="auto"/>
              <w:rPr>
                <w:rFonts w:ascii="Times New Roman" w:hAnsi="Times New Roman" w:cs="Times New Roman"/>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6D72453E" wp14:editId="5B69644E">
                  <wp:extent cx="1088053" cy="1080000"/>
                  <wp:effectExtent l="0" t="0" r="0" b="6350"/>
                  <wp:docPr id="36" name="Picture 35">
                    <a:extLst xmlns:a="http://schemas.openxmlformats.org/drawingml/2006/main">
                      <a:ext uri="{FF2B5EF4-FFF2-40B4-BE49-F238E27FC236}">
                        <a16:creationId xmlns:a16="http://schemas.microsoft.com/office/drawing/2014/main" id="{7715AC8C-06C0-4787-B52A-5AAC9C34B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7715AC8C-06C0-4787-B52A-5AAC9C34B77B}"/>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18247" t="26336" r="18249" b="26388"/>
                          <a:stretch/>
                        </pic:blipFill>
                        <pic:spPr bwMode="auto">
                          <a:xfrm>
                            <a:off x="0" y="0"/>
                            <a:ext cx="1088053"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4FD5A9DE" w14:textId="77777777" w:rsidTr="00EC3B73">
        <w:trPr>
          <w:gridBefore w:val="1"/>
          <w:wBefore w:w="42" w:type="pct"/>
          <w:trHeight w:val="1802"/>
        </w:trPr>
        <w:tc>
          <w:tcPr>
            <w:tcW w:w="1650" w:type="pct"/>
            <w:gridSpan w:val="2"/>
          </w:tcPr>
          <w:p w14:paraId="1EF9354A" w14:textId="7130C870" w:rsidR="00E21A4C" w:rsidRPr="00461A90" w:rsidRDefault="005662FD"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4624" behindDoc="0" locked="0" layoutInCell="1" allowOverlap="1" wp14:anchorId="67D532E7" wp14:editId="056FCA87">
                      <wp:simplePos x="0" y="0"/>
                      <wp:positionH relativeFrom="column">
                        <wp:posOffset>-17780</wp:posOffset>
                      </wp:positionH>
                      <wp:positionV relativeFrom="paragraph">
                        <wp:posOffset>1132840</wp:posOffset>
                      </wp:positionV>
                      <wp:extent cx="361950" cy="257175"/>
                      <wp:effectExtent l="0" t="0" r="19050" b="28575"/>
                      <wp:wrapNone/>
                      <wp:docPr id="128303461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4DBEE6EE" w14:textId="77777777" w:rsidR="005662FD" w:rsidRPr="002F04AB" w:rsidRDefault="005662FD" w:rsidP="00E21A4C">
                                  <w:pPr>
                                    <w:rPr>
                                      <w:lang w:val="en-US"/>
                                    </w:rPr>
                                  </w:pPr>
                                  <w:r>
                                    <w:rPr>
                                      <w:lang w:val="en-US"/>
                                    </w:rPr>
                                    <w:t>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D532E7" id="Text Box 145" o:spid="_x0000_s1036" type="#_x0000_t202" style="position:absolute;margin-left:-1.4pt;margin-top:89.2pt;width:28.5pt;height:20.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JHwIAAD8EAAAOAAAAZHJzL2Uyb0RvYy54bWysU8mO2zAMvRfoPwi6N16yG3EG7UxTFJgu&#10;wEw/gJblWKgsqZISO/36UnImk26XojoIokg+ko/k5mboJDly64RWJc0mKSVcMV0LtS/pl8fdqxUl&#10;zoOqQWrFS3rijt5sX77Y9KbguW61rLklCKJc0ZuStt6bIkkca3kHbqINV6hstO3Ao2j3SW2hR/RO&#10;JnmaLpJe29pYzbhz+Hs3Kuk24jcNZ/5T0zjuiSwp5ubjbeNdhTvZbqDYWzCtYOc04B+y6EAoDHqB&#10;ugMP5GDFb1CdYFY73fgJ012im0YwHmvAarL0l2oeWjA81oLkOHOhyf0/WPbx+NkSUWPv8tU0nc4W&#10;WUaJgg579cgHT97ogWSzeSCqN65A+weDHn5ABTrFop251+yrQ5PkymZ0cMG66j/oGhHh4HX0GBrb&#10;BbqQAIIw2JnTpRshKsPP6SJbz1HDUJXPl9kyJpFA8eRsrPPvuO5IeJTUYrMjOBzvnQ/JQPFkEmI5&#10;LUW9E1JGwe6rW2nJEXAwdvGEEtHlJzOpSF/S9Tyfj4X+FSKN508QnfA44VJ0JV1djKBoOdRvVY0x&#10;ofAg5PjG+FKdaQzMjRz6oRrGHsWBDRxXuj4hsVaPE40biI9W2++U9DjNJXXfDmA5JfK9wnFZZ7NZ&#10;GP8ozObLHAV7ramuNaAYQpXUUzI+b31cmZCr0q+xiY2IBD9ncs4ZpzSSeN6osAbXcrR63vvtDwAA&#10;AP//AwBQSwMEFAAGAAgAAAAhACZCOBvgAAAACQEAAA8AAABkcnMvZG93bnJldi54bWxMj81OwzAQ&#10;hO9IvIO1SNxap2kLaRqn4kdIqEKqaPoAbrzEgXgdxW4b3p7lBMedHc18U2xG14kzDqH1pGA2TUAg&#10;1d601Cg4VC+TDESImozuPKGCbwywKa+vCp0bf6F3PO9jIziEQq4V2Bj7XMpQW3Q6TH2PxL8PPzgd&#10;+RwaaQZ94XDXyTRJ7qTTLXGD1T0+Way/9ien4PlzvjtQa43r56/bqnoblzv5qNTtzfiwBhFxjH9m&#10;+MVndCiZ6ehPZILoFExSJo+s32cLEGxYLlIQRwXpLFuBLAv5f0H5AwAA//8DAFBLAQItABQABgAI&#10;AAAAIQC2gziS/gAAAOEBAAATAAAAAAAAAAAAAAAAAAAAAABbQ29udGVudF9UeXBlc10ueG1sUEsB&#10;Ai0AFAAGAAgAAAAhADj9If/WAAAAlAEAAAsAAAAAAAAAAAAAAAAALwEAAF9yZWxzLy5yZWxzUEsB&#10;Ai0AFAAGAAgAAAAhAL4hXskfAgAAPwQAAA4AAAAAAAAAAAAAAAAALgIAAGRycy9lMm9Eb2MueG1s&#10;UEsBAi0AFAAGAAgAAAAhACZCOBvgAAAACQEAAA8AAAAAAAAAAAAAAAAAeQQAAGRycy9kb3ducmV2&#10;LnhtbFBLBQYAAAAABAAEAPMAAACGBQAAAAA=&#10;">
                      <v:path arrowok="t"/>
                      <v:textbox>
                        <w:txbxContent>
                          <w:p w14:paraId="4DBEE6EE" w14:textId="77777777" w:rsidR="005662FD" w:rsidRPr="002F04AB" w:rsidRDefault="005662FD" w:rsidP="00E21A4C">
                            <w:pPr>
                              <w:rPr>
                                <w:lang w:val="en-US"/>
                              </w:rPr>
                            </w:pPr>
                            <w:r>
                              <w:rPr>
                                <w:lang w:val="en-US"/>
                              </w:rPr>
                              <w:t>T5</w:t>
                            </w:r>
                          </w:p>
                        </w:txbxContent>
                      </v:textbox>
                    </v:shape>
                  </w:pict>
                </mc:Fallback>
              </mc:AlternateContent>
            </w:r>
            <w:r w:rsidR="00E21A4C"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2576" behindDoc="0" locked="0" layoutInCell="1" allowOverlap="1" wp14:anchorId="065A122B" wp14:editId="4877AEDF">
                      <wp:simplePos x="0" y="0"/>
                      <wp:positionH relativeFrom="column">
                        <wp:posOffset>-10160</wp:posOffset>
                      </wp:positionH>
                      <wp:positionV relativeFrom="paragraph">
                        <wp:posOffset>13335</wp:posOffset>
                      </wp:positionV>
                      <wp:extent cx="361950" cy="257175"/>
                      <wp:effectExtent l="0" t="0" r="6350" b="0"/>
                      <wp:wrapNone/>
                      <wp:docPr id="10446912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65378246" w14:textId="77777777" w:rsidR="00E21A4C" w:rsidRPr="002F04AB" w:rsidRDefault="00E21A4C" w:rsidP="00E21A4C">
                                  <w:pPr>
                                    <w:rPr>
                                      <w:lang w:val="en-US"/>
                                    </w:rPr>
                                  </w:pPr>
                                  <w:r>
                                    <w:rPr>
                                      <w:lang w:val="en-US"/>
                                    </w:rPr>
                                    <w:t>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5A122B" id="Text Box 147" o:spid="_x0000_s1037" type="#_x0000_t202" style="position:absolute;margin-left:-.8pt;margin-top:1.05pt;width:28.5pt;height:2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lcHQIAAD4EAAAOAAAAZHJzL2Uyb0RvYy54bWysU9uO0zAQfUfiHyy/01xI2m3UdAW7FCEt&#10;F2mXD3Acp7HwDdttUr6esZOWcntB5MHyZGaOZ86Z2dyOUqAjs45rVeNskWLEFNUtV/saf37avbjB&#10;yHmiWiK0YjU+MYdvt8+fbQZTsVz3WrTMIgBRrhpMjXvvTZUkjvZMErfQhilwdtpK4sG0+6S1ZAB0&#10;KZI8TZfJoG1rrKbMOfh7PznxNuJ3HaP+Y9c55pGoMdTm42nj2YQz2W5ItbfE9JzOZZB/qEISruDR&#10;C9Q98QQdLP8NSnJqtdOdX1AtE911nLLYA3STpb9089gTw2IvQI4zF5rc/4OlH46fLOItaJcWxXKd&#10;5RlGikiQ6omNHr3WI8qKVeBpMK6C8EcDCX4EB+TEnp150PSLg5DkKmZKcCG6Gd7rFhDJweuYMXZW&#10;BragfwQwIMzpIkZ4lcLPl8tsXYKHgisvV9mqDEUkpDonG+v8W6YlCpcaW9A6gpPjg/NT6DkkvOW0&#10;4O2OCxENu2/uhEVHAnOxi9+M/lOYUGio8brMy6nRv0Kk8fsThOQeBlxwWeObSxCpekbaN6qFMknl&#10;CRfTHboTaqYxMDdx6MdmnCTKzjo0uj0BsVZPAw0LCJde228YDTDMNXZfD8QyjMQ7BdOyzooiTH80&#10;inKVg2GvPc21hygKUDX2GE3XOx83JtSq9CsQseOR4KD2VMlcMwxplGheqLAF13aM+rH22+8AAAD/&#10;/wMAUEsDBBQABgAIAAAAIQBHpGf/3QAAAAYBAAAPAAAAZHJzL2Rvd25yZXYueG1sTI7dSsNAEIXv&#10;Bd9hGcG7dpO0CRIzKf4giAjFpg+wzY7ZaHY2ZLdtfHvXK3t5OIfvfNVmtoM40eR7xwjpMgFB3Drd&#10;c4ewb14WdyB8UKzV4JgQfsjDpr6+qlSp3Zk/6LQLnYgQ9qVCMCGMpZS+NWSVX7qROHafbrIqxDh1&#10;Uk/qHOF2kFmSFNKqnuODUSM9GWq/d0eL8Py12u65N9qOq9e3pnmf8618RLy9mR/uQQSaw/8Y/vSj&#10;OtTR6eCOrL0YEBZpEZcIWQoi1nm+BnFAWGcFyLqSl/r1LwAAAP//AwBQSwECLQAUAAYACAAAACEA&#10;toM4kv4AAADhAQAAEwAAAAAAAAAAAAAAAAAAAAAAW0NvbnRlbnRfVHlwZXNdLnhtbFBLAQItABQA&#10;BgAIAAAAIQA4/SH/1gAAAJQBAAALAAAAAAAAAAAAAAAAAC8BAABfcmVscy8ucmVsc1BLAQItABQA&#10;BgAIAAAAIQAwVulcHQIAAD4EAAAOAAAAAAAAAAAAAAAAAC4CAABkcnMvZTJvRG9jLnhtbFBLAQIt&#10;ABQABgAIAAAAIQBHpGf/3QAAAAYBAAAPAAAAAAAAAAAAAAAAAHcEAABkcnMvZG93bnJldi54bWxQ&#10;SwUGAAAAAAQABADzAAAAgQUAAAAA&#10;">
                      <v:path arrowok="t"/>
                      <v:textbox>
                        <w:txbxContent>
                          <w:p w14:paraId="65378246" w14:textId="77777777" w:rsidR="00E21A4C" w:rsidRPr="002F04AB" w:rsidRDefault="00E21A4C" w:rsidP="00E21A4C">
                            <w:pPr>
                              <w:rPr>
                                <w:lang w:val="en-US"/>
                              </w:rPr>
                            </w:pPr>
                            <w:r>
                              <w:rPr>
                                <w:lang w:val="en-US"/>
                              </w:rPr>
                              <w:t>T4</w:t>
                            </w:r>
                          </w:p>
                        </w:txbxContent>
                      </v:textbox>
                    </v:shape>
                  </w:pict>
                </mc:Fallback>
              </mc:AlternateContent>
            </w:r>
            <w:r w:rsidR="00E21A4C" w:rsidRPr="00461A90">
              <w:rPr>
                <w:rFonts w:ascii="Times New Roman" w:hAnsi="Times New Roman" w:cs="Times New Roman"/>
                <w:noProof/>
                <w:color w:val="000000" w:themeColor="text1"/>
                <w:sz w:val="32"/>
                <w:szCs w:val="32"/>
                <w:lang w:eastAsia="en-IN"/>
              </w:rPr>
              <w:drawing>
                <wp:inline distT="0" distB="0" distL="0" distR="0" wp14:anchorId="327C8425" wp14:editId="2225B86D">
                  <wp:extent cx="1080000" cy="1080000"/>
                  <wp:effectExtent l="0" t="0" r="6350" b="6350"/>
                  <wp:docPr id="24" name="Picture 23">
                    <a:extLst xmlns:a="http://schemas.openxmlformats.org/drawingml/2006/main">
                      <a:ext uri="{FF2B5EF4-FFF2-40B4-BE49-F238E27FC236}">
                        <a16:creationId xmlns:a16="http://schemas.microsoft.com/office/drawing/2014/main" id="{AF1FA3ED-9DAB-4831-95FE-C50BC5AB8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AF1FA3ED-9DAB-4831-95FE-C50BC5AB8E42}"/>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16328" t="25828" r="16330" b="2366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gridSpan w:val="2"/>
          </w:tcPr>
          <w:p w14:paraId="597E1D57"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35053E7B" wp14:editId="271B43C7">
                  <wp:extent cx="1080000" cy="1080000"/>
                  <wp:effectExtent l="0" t="0" r="6350" b="6350"/>
                  <wp:docPr id="38" name="Picture 37">
                    <a:extLst xmlns:a="http://schemas.openxmlformats.org/drawingml/2006/main">
                      <a:ext uri="{FF2B5EF4-FFF2-40B4-BE49-F238E27FC236}">
                        <a16:creationId xmlns:a16="http://schemas.microsoft.com/office/drawing/2014/main" id="{A2F1E13E-0A22-4779-9C65-E463616FC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A2F1E13E-0A22-4779-9C65-E463616FCBC2}"/>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8344" t="26800" r="14722" b="2299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48" w:type="pct"/>
          </w:tcPr>
          <w:p w14:paraId="56387B0E"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5B8D824D" wp14:editId="74983196">
                  <wp:extent cx="1080000" cy="1080000"/>
                  <wp:effectExtent l="0" t="0" r="6350" b="6350"/>
                  <wp:docPr id="40" name="Picture 39">
                    <a:extLst xmlns:a="http://schemas.openxmlformats.org/drawingml/2006/main">
                      <a:ext uri="{FF2B5EF4-FFF2-40B4-BE49-F238E27FC236}">
                        <a16:creationId xmlns:a16="http://schemas.microsoft.com/office/drawing/2014/main" id="{E374CF58-734F-4B26-AACC-48A519E47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E374CF58-734F-4B26-AACC-48A519E47E3D}"/>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18247" t="27074" r="18250" b="2529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0F8DFEE1" w14:textId="77777777" w:rsidTr="00EC3B73">
        <w:trPr>
          <w:gridBefore w:val="1"/>
          <w:wBefore w:w="42" w:type="pct"/>
          <w:trHeight w:val="1802"/>
        </w:trPr>
        <w:tc>
          <w:tcPr>
            <w:tcW w:w="1650" w:type="pct"/>
            <w:gridSpan w:val="2"/>
          </w:tcPr>
          <w:p w14:paraId="20980A96" w14:textId="0F0F6178" w:rsidR="005662FD" w:rsidRPr="00461A90" w:rsidRDefault="005662FD" w:rsidP="005662FD">
            <w:pPr>
              <w:spacing w:line="276" w:lineRule="auto"/>
              <w:rPr>
                <w:rFonts w:ascii="Times New Roman" w:hAnsi="Times New Roman" w:cs="Times New Roman"/>
                <w:noProof/>
                <w:color w:val="000000" w:themeColor="text1"/>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5648" behindDoc="0" locked="0" layoutInCell="1" allowOverlap="1" wp14:anchorId="5F208620" wp14:editId="79522BD1">
                      <wp:simplePos x="0" y="0"/>
                      <wp:positionH relativeFrom="column">
                        <wp:posOffset>-26670</wp:posOffset>
                      </wp:positionH>
                      <wp:positionV relativeFrom="paragraph">
                        <wp:posOffset>1143635</wp:posOffset>
                      </wp:positionV>
                      <wp:extent cx="361950" cy="257175"/>
                      <wp:effectExtent l="0" t="0" r="19050" b="28575"/>
                      <wp:wrapNone/>
                      <wp:docPr id="74798304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F915440" w14:textId="77777777" w:rsidR="005662FD" w:rsidRPr="002F04AB" w:rsidRDefault="005662FD" w:rsidP="00E21A4C">
                                  <w:pPr>
                                    <w:rPr>
                                      <w:lang w:val="en-US"/>
                                    </w:rPr>
                                  </w:pPr>
                                  <w:r>
                                    <w:rPr>
                                      <w:lang w:val="en-US"/>
                                    </w:rPr>
                                    <w:t>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F208620" id="Text Box 143" o:spid="_x0000_s1038" type="#_x0000_t202" style="position:absolute;margin-left:-2.1pt;margin-top:90.05pt;width:28.5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CKHwIAAD4EAAAOAAAAZHJzL2Uyb0RvYy54bWysU9uO2yAQfa/Uf0C8N77E3iRWnFW721SV&#10;thdptx+AMY5RuRVI7PTrd8BJmt5eqvKAGOZwmJkzs74dpUAHZh3XqsbZLMWIKapbrnY1/vK0fbXE&#10;yHmiWiK0YjU+ModvNy9frAdTsVz3WrTMIiBRrhpMjXvvTZUkjvZMEjfThilwdtpK4sG0u6S1ZAB2&#10;KZI8TW+SQdvWWE2Zc3B7PznxJvJ3HaP+U9c55pGoMcTm427j3oQ92axJtbPE9JyewiD/EIUkXMGn&#10;F6p74gnaW/4bleTUaqc7P6NaJrrrOGUxB8gmS3/J5rEnhsVcoDjOXMrk/h8t/Xj4bBFva7woFqvl&#10;PC1AMEUkSPXERo/e6BFlxTzUaTCuAvijgQd+BAfoHXN25kHTrw4gyRVmeuACuhk+6BYYyd7r+GLs&#10;rAzVgvwR0IAwx4sY4VcKl/ObbFWCh4IrLxfZogxBJKQ6PzbW+XdMSxQONbagdSQnhwfnJ+gZEv5y&#10;WvB2y4WIht01d8KiA4G+2MZ1Yv8JJhQaarwq83JK9K8UaVx/opDcQ4MLLmu8vIBI1TPSvlUthEkq&#10;T7iYzpCdUKcyhspNNfRjM0aJsvysQ6PbIxTW6qmhYQDh0Gv7HaMBmrnG7tueWIaReK+gW1ZZUYTu&#10;j0ZRLnIw7LWnufYQRYGqxh6j6Xjn48SEWJV+DSJ2PBY4qD1FcooZmjRKdBqoMAXXdkT9GPvNMwAA&#10;AP//AwBQSwMEFAAGAAgAAAAhAGE8B6rfAAAACQEAAA8AAABkcnMvZG93bnJldi54bWxMj91qwzAM&#10;Ru8Hewejwe5au+laShan7IfBGIOypg/gxlqcNpZD7LbZ20+76i4lHT6dr1iPvhNnHGIbSMNsqkAg&#10;1cG21GjYVW+TFYiYDFnTBUINPxhhXd7eFCa34UJfeN6mRnAIxdxocCn1uZSxduhNnIYeiW/fYfAm&#10;8Tg00g7mwuG+k5lSS+lNS/zBmR5fHNbH7clreD3MNztqnfX9/P2jqj7HxUY+a31/Nz49gkg4pisM&#10;f/qsDiU77cOJbBSdhslDxiTvV2oGgoFFxlX2GrJMLUGWhfzfoPwFAAD//wMAUEsBAi0AFAAGAAgA&#10;AAAhALaDOJL+AAAA4QEAABMAAAAAAAAAAAAAAAAAAAAAAFtDb250ZW50X1R5cGVzXS54bWxQSwEC&#10;LQAUAAYACAAAACEAOP0h/9YAAACUAQAACwAAAAAAAAAAAAAAAAAvAQAAX3JlbHMvLnJlbHNQSwEC&#10;LQAUAAYACAAAACEA0QrQih8CAAA+BAAADgAAAAAAAAAAAAAAAAAuAgAAZHJzL2Uyb0RvYy54bWxQ&#10;SwECLQAUAAYACAAAACEAYTwHqt8AAAAJAQAADwAAAAAAAAAAAAAAAAB5BAAAZHJzL2Rvd25yZXYu&#10;eG1sUEsFBgAAAAAEAAQA8wAAAIUFAAAAAA==&#10;">
                      <v:path arrowok="t"/>
                      <v:textbox>
                        <w:txbxContent>
                          <w:p w14:paraId="1F915440" w14:textId="77777777" w:rsidR="005662FD" w:rsidRPr="002F04AB" w:rsidRDefault="005662FD" w:rsidP="00E21A4C">
                            <w:pPr>
                              <w:rPr>
                                <w:lang w:val="en-US"/>
                              </w:rPr>
                            </w:pPr>
                            <w:r>
                              <w:rPr>
                                <w:lang w:val="en-US"/>
                              </w:rPr>
                              <w:t>T6</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44AD7B20" wp14:editId="4E59640C">
                  <wp:extent cx="1080000" cy="1080000"/>
                  <wp:effectExtent l="0" t="0" r="6350" b="6350"/>
                  <wp:docPr id="4" name="Picture 3">
                    <a:extLst xmlns:a="http://schemas.openxmlformats.org/drawingml/2006/main">
                      <a:ext uri="{FF2B5EF4-FFF2-40B4-BE49-F238E27FC236}">
                        <a16:creationId xmlns:a16="http://schemas.microsoft.com/office/drawing/2014/main" id="{20AA37C4-E962-47EA-B552-3F94717FE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AA37C4-E962-47EA-B552-3F94717FED19}"/>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18990" t="26463" r="17961" b="26250"/>
                          <a:stretch/>
                        </pic:blipFill>
                        <pic:spPr>
                          <a:xfrm>
                            <a:off x="0" y="0"/>
                            <a:ext cx="1080000" cy="1080000"/>
                          </a:xfrm>
                          <a:prstGeom prst="rect">
                            <a:avLst/>
                          </a:prstGeom>
                        </pic:spPr>
                      </pic:pic>
                    </a:graphicData>
                  </a:graphic>
                </wp:inline>
              </w:drawing>
            </w:r>
          </w:p>
        </w:tc>
        <w:tc>
          <w:tcPr>
            <w:tcW w:w="1660" w:type="pct"/>
            <w:gridSpan w:val="2"/>
          </w:tcPr>
          <w:p w14:paraId="03DAD285" w14:textId="56601000"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3E52C291" wp14:editId="07FF041B">
                  <wp:extent cx="1090460" cy="1080000"/>
                  <wp:effectExtent l="0" t="0" r="0" b="6350"/>
                  <wp:docPr id="6" name="Picture 5">
                    <a:extLst xmlns:a="http://schemas.openxmlformats.org/drawingml/2006/main">
                      <a:ext uri="{FF2B5EF4-FFF2-40B4-BE49-F238E27FC236}">
                        <a16:creationId xmlns:a16="http://schemas.microsoft.com/office/drawing/2014/main" id="{25424A8C-821F-4294-AB43-EF1BED7CF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5424A8C-821F-4294-AB43-EF1BED7CFE16}"/>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8344" t="26337" r="15557" b="24563"/>
                          <a:stretch/>
                        </pic:blipFill>
                        <pic:spPr>
                          <a:xfrm>
                            <a:off x="0" y="0"/>
                            <a:ext cx="1090460" cy="1080000"/>
                          </a:xfrm>
                          <a:prstGeom prst="rect">
                            <a:avLst/>
                          </a:prstGeom>
                        </pic:spPr>
                      </pic:pic>
                    </a:graphicData>
                  </a:graphic>
                </wp:inline>
              </w:drawing>
            </w:r>
          </w:p>
        </w:tc>
        <w:tc>
          <w:tcPr>
            <w:tcW w:w="1648" w:type="pct"/>
          </w:tcPr>
          <w:p w14:paraId="7CCAEA5D" w14:textId="5D4D219A"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730EE7B6" wp14:editId="1DDC17FF">
                  <wp:extent cx="1080000" cy="1080000"/>
                  <wp:effectExtent l="0" t="0" r="6350" b="6350"/>
                  <wp:docPr id="7" name="Picture 6">
                    <a:extLst xmlns:a="http://schemas.openxmlformats.org/drawingml/2006/main">
                      <a:ext uri="{FF2B5EF4-FFF2-40B4-BE49-F238E27FC236}">
                        <a16:creationId xmlns:a16="http://schemas.microsoft.com/office/drawing/2014/main" id="{E5C1ACE3-FAE6-4639-BC8C-00BF1C9B1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5C1ACE3-FAE6-4639-BC8C-00BF1C9B1BC4}"/>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8344" t="27109" r="18248" b="25335"/>
                          <a:stretch/>
                        </pic:blipFill>
                        <pic:spPr>
                          <a:xfrm>
                            <a:off x="0" y="0"/>
                            <a:ext cx="1080000" cy="1080000"/>
                          </a:xfrm>
                          <a:prstGeom prst="rect">
                            <a:avLst/>
                          </a:prstGeom>
                        </pic:spPr>
                      </pic:pic>
                    </a:graphicData>
                  </a:graphic>
                </wp:inline>
              </w:drawing>
            </w:r>
          </w:p>
        </w:tc>
      </w:tr>
      <w:tr w:rsidR="00461A90" w:rsidRPr="00461A90" w14:paraId="4CF1C32E" w14:textId="77777777" w:rsidTr="00EC3B73">
        <w:trPr>
          <w:gridBefore w:val="1"/>
          <w:wBefore w:w="42" w:type="pct"/>
          <w:trHeight w:val="1802"/>
        </w:trPr>
        <w:tc>
          <w:tcPr>
            <w:tcW w:w="1650" w:type="pct"/>
            <w:gridSpan w:val="2"/>
          </w:tcPr>
          <w:p w14:paraId="5D10ACFE" w14:textId="4D960156" w:rsidR="005662FD" w:rsidRPr="00461A90" w:rsidRDefault="00846756" w:rsidP="005662FD">
            <w:pPr>
              <w:spacing w:line="276" w:lineRule="auto"/>
              <w:rPr>
                <w:rFonts w:ascii="Times New Roman" w:hAnsi="Times New Roman" w:cs="Times New Roman"/>
                <w:noProof/>
                <w:color w:val="000000" w:themeColor="text1"/>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6672" behindDoc="0" locked="0" layoutInCell="1" allowOverlap="1" wp14:anchorId="21C7DF08" wp14:editId="2B864F03">
                      <wp:simplePos x="0" y="0"/>
                      <wp:positionH relativeFrom="column">
                        <wp:posOffset>1781309</wp:posOffset>
                      </wp:positionH>
                      <wp:positionV relativeFrom="paragraph">
                        <wp:posOffset>1116965</wp:posOffset>
                      </wp:positionV>
                      <wp:extent cx="373380" cy="260985"/>
                      <wp:effectExtent l="0" t="0" r="7620" b="18415"/>
                      <wp:wrapNone/>
                      <wp:docPr id="12588317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380" cy="260985"/>
                              </a:xfrm>
                              <a:prstGeom prst="rect">
                                <a:avLst/>
                              </a:prstGeom>
                              <a:solidFill>
                                <a:srgbClr val="FFFFFF"/>
                              </a:solidFill>
                              <a:ln w="9525">
                                <a:solidFill>
                                  <a:srgbClr val="000000"/>
                                </a:solidFill>
                                <a:miter lim="800000"/>
                                <a:headEnd/>
                                <a:tailEnd/>
                              </a:ln>
                            </wps:spPr>
                            <wps:txbx>
                              <w:txbxContent>
                                <w:p w14:paraId="0A2C0177" w14:textId="77777777" w:rsidR="005662FD" w:rsidRPr="002F04AB" w:rsidRDefault="005662FD" w:rsidP="00E21A4C">
                                  <w:pPr>
                                    <w:rPr>
                                      <w:lang w:val="en-US"/>
                                    </w:rPr>
                                  </w:pPr>
                                  <w:r>
                                    <w:rPr>
                                      <w:lang w:val="en-US"/>
                                    </w:rPr>
                                    <w:t>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C7DF08" id="Text Box 141" o:spid="_x0000_s1039" type="#_x0000_t202" style="position:absolute;margin-left:140.25pt;margin-top:87.95pt;width:29.4pt;height:20.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D2HgIAAD8EAAAOAAAAZHJzL2Uyb0RvYy54bWysU9uO2yAQfa/Uf0C8N74k2ThWnFW721SV&#10;thdptx+AMY5RuRVI7PTrd8BOmt5eqvKAGGbmMHPOsLkdpEBHZh3XqsLZLMWIKaobrvYV/vK0e1Vg&#10;5DxRDRFasQqfmMO325cvNr0pWa47LRpmEYAoV/amwp33pkwSRzsmiZtpwxQ4W20l8WDafdJY0gO6&#10;FEmepjdJr21jrKbMObi9H514G/HbllH/qW0d80hUGGrzcbdxr8OebDek3FtiOk6nMsg/VCEJV/Do&#10;BeqeeIIOlv8GJTm12unWz6iWiW5bTlnsAbrJ0l+6eeyIYbEXIMeZC03u/8HSj8fPFvEGtMuXRTHP&#10;VosMI0UkaPXEBo/e6AFlcAdE9caVEP9oIMMP4ICk2LQzD5p+dRCSXMWMCS5E1/0H3QAiOXgdM4bW&#10;ykAXEIAABpQ5XdQIr1K4nK/m8wI8FFz5TboulqGIhJTnZGOdf8e0ROFQYQtiR3ByfHB+DD2HhLec&#10;FrzZcSGiYff1nbDoSGAwdnFN6D+FCYX6Cq+X+XJs9K8QaVx/gpDcw4QLLitcXIJI2THSvFUNlElK&#10;T7gYz9CdUBONgbmRQz/Uw6jR/KxDrZsTEGv1ONHwA+HQafsdox6mucLu24FYhpF4r2Bc1tliEcY/&#10;GovlKgfDXnvqaw9RFKAq7DEaj3c+fplQq9KvQcSWR4KD2mMlU80wpVGi6UeFb3Btx6gf/377DAAA&#10;//8DAFBLAwQUAAYACAAAACEAgVhtUeAAAAALAQAADwAAAGRycy9kb3ducmV2LnhtbEyPy07DMBBF&#10;90j8gzVI7KjdRqFtiFPxEBJCSBVNP8CNhzgQj6PYbcPfM6xgOTpX954pN5PvxQnH2AXSMJ8pEEhN&#10;sB21Gvb1880KREyGrOkDoYZvjLCpLi9KU9hwpnc87VIruIRiYTS4lIZCytg49CbOwoDE7COM3iQ+&#10;x1ba0Zy53PdyodSt9KYjXnBmwEeHzdfu6DU8fWbbPXXO+iF7ea3rtynfygetr6+m+zsQCaf0F4Zf&#10;fVaHip0O4Ug2il7DYqVyjjJY5msQnMiydQbiwGi+VCCrUv7/ofoBAAD//wMAUEsBAi0AFAAGAAgA&#10;AAAhALaDOJL+AAAA4QEAABMAAAAAAAAAAAAAAAAAAAAAAFtDb250ZW50X1R5cGVzXS54bWxQSwEC&#10;LQAUAAYACAAAACEAOP0h/9YAAACUAQAACwAAAAAAAAAAAAAAAAAvAQAAX3JlbHMvLnJlbHNQSwEC&#10;LQAUAAYACAAAACEAOL6Q9h4CAAA/BAAADgAAAAAAAAAAAAAAAAAuAgAAZHJzL2Uyb0RvYy54bWxQ&#10;SwECLQAUAAYACAAAACEAgVhtUeAAAAALAQAADwAAAAAAAAAAAAAAAAB4BAAAZHJzL2Rvd25yZXYu&#10;eG1sUEsFBgAAAAAEAAQA8wAAAIUFAAAAAA==&#10;">
                      <v:path arrowok="t"/>
                      <v:textbox>
                        <w:txbxContent>
                          <w:p w14:paraId="0A2C0177" w14:textId="77777777" w:rsidR="005662FD" w:rsidRPr="002F04AB" w:rsidRDefault="005662FD" w:rsidP="00E21A4C">
                            <w:pPr>
                              <w:rPr>
                                <w:lang w:val="en-US"/>
                              </w:rPr>
                            </w:pPr>
                            <w:r>
                              <w:rPr>
                                <w:lang w:val="en-US"/>
                              </w:rPr>
                              <w:t>T7</w:t>
                            </w:r>
                          </w:p>
                        </w:txbxContent>
                      </v:textbox>
                    </v:shape>
                  </w:pict>
                </mc:Fallback>
              </mc:AlternateContent>
            </w:r>
            <w:r w:rsidR="005662FD" w:rsidRPr="00461A90">
              <w:rPr>
                <w:rFonts w:ascii="Times New Roman" w:hAnsi="Times New Roman" w:cs="Times New Roman"/>
                <w:noProof/>
                <w:color w:val="000000" w:themeColor="text1"/>
                <w:sz w:val="32"/>
                <w:szCs w:val="32"/>
                <w:lang w:eastAsia="en-IN"/>
              </w:rPr>
              <w:drawing>
                <wp:inline distT="0" distB="0" distL="0" distR="0" wp14:anchorId="3D0107F4" wp14:editId="6B9AF747">
                  <wp:extent cx="1080000" cy="1080000"/>
                  <wp:effectExtent l="0" t="0" r="6350" b="6350"/>
                  <wp:docPr id="5" name="Picture 4">
                    <a:extLst xmlns:a="http://schemas.openxmlformats.org/drawingml/2006/main">
                      <a:ext uri="{FF2B5EF4-FFF2-40B4-BE49-F238E27FC236}">
                        <a16:creationId xmlns:a16="http://schemas.microsoft.com/office/drawing/2014/main" id="{D92ED720-26A1-41CD-B400-D39650FE0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2ED720-26A1-41CD-B400-D39650FE09B1}"/>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20200" t="28542" r="20198" b="27324"/>
                          <a:stretch/>
                        </pic:blipFill>
                        <pic:spPr>
                          <a:xfrm>
                            <a:off x="0" y="0"/>
                            <a:ext cx="1080000" cy="1080000"/>
                          </a:xfrm>
                          <a:prstGeom prst="rect">
                            <a:avLst/>
                          </a:prstGeom>
                        </pic:spPr>
                      </pic:pic>
                    </a:graphicData>
                  </a:graphic>
                </wp:inline>
              </w:drawing>
            </w:r>
          </w:p>
        </w:tc>
        <w:tc>
          <w:tcPr>
            <w:tcW w:w="1660" w:type="pct"/>
            <w:gridSpan w:val="2"/>
          </w:tcPr>
          <w:p w14:paraId="63C97373" w14:textId="7F933645"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1E1A06FA" wp14:editId="678A639C">
                  <wp:extent cx="1080000" cy="1080000"/>
                  <wp:effectExtent l="0" t="0" r="6350" b="6350"/>
                  <wp:docPr id="8" name="Picture 7">
                    <a:extLst xmlns:a="http://schemas.openxmlformats.org/drawingml/2006/main">
                      <a:ext uri="{FF2B5EF4-FFF2-40B4-BE49-F238E27FC236}">
                        <a16:creationId xmlns:a16="http://schemas.microsoft.com/office/drawing/2014/main" id="{8DB6EB00-4C12-4059-B498-BE89E55BD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DB6EB00-4C12-4059-B498-BE89E55BD958}"/>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19039" t="28628" r="18430" b="25067"/>
                          <a:stretch/>
                        </pic:blipFill>
                        <pic:spPr>
                          <a:xfrm>
                            <a:off x="0" y="0"/>
                            <a:ext cx="1080000" cy="1080000"/>
                          </a:xfrm>
                          <a:prstGeom prst="rect">
                            <a:avLst/>
                          </a:prstGeom>
                        </pic:spPr>
                      </pic:pic>
                    </a:graphicData>
                  </a:graphic>
                </wp:inline>
              </w:drawing>
            </w:r>
          </w:p>
        </w:tc>
        <w:tc>
          <w:tcPr>
            <w:tcW w:w="1648" w:type="pct"/>
          </w:tcPr>
          <w:p w14:paraId="425EE130" w14:textId="431C39C1"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2CE0720A" wp14:editId="3983A3B4">
                  <wp:extent cx="1080000" cy="1080000"/>
                  <wp:effectExtent l="0" t="0" r="6350" b="6350"/>
                  <wp:docPr id="9" name="Picture 8">
                    <a:extLst xmlns:a="http://schemas.openxmlformats.org/drawingml/2006/main">
                      <a:ext uri="{FF2B5EF4-FFF2-40B4-BE49-F238E27FC236}">
                        <a16:creationId xmlns:a16="http://schemas.microsoft.com/office/drawing/2014/main" id="{8A348748-51A7-4587-9ADD-33DBBCE3A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348748-51A7-4587-9ADD-33DBBCE3A9E7}"/>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16388" t="26038" r="18248" b="25561"/>
                          <a:stretch/>
                        </pic:blipFill>
                        <pic:spPr>
                          <a:xfrm>
                            <a:off x="0" y="0"/>
                            <a:ext cx="1080000" cy="1080000"/>
                          </a:xfrm>
                          <a:prstGeom prst="rect">
                            <a:avLst/>
                          </a:prstGeom>
                        </pic:spPr>
                      </pic:pic>
                    </a:graphicData>
                  </a:graphic>
                </wp:inline>
              </w:drawing>
            </w:r>
          </w:p>
        </w:tc>
      </w:tr>
      <w:tr w:rsidR="00461A90" w:rsidRPr="00461A90" w14:paraId="5F8A6CD4" w14:textId="77777777" w:rsidTr="00EC3B73">
        <w:trPr>
          <w:gridBefore w:val="1"/>
          <w:wBefore w:w="42" w:type="pct"/>
          <w:trHeight w:val="1802"/>
        </w:trPr>
        <w:tc>
          <w:tcPr>
            <w:tcW w:w="1650" w:type="pct"/>
            <w:gridSpan w:val="2"/>
          </w:tcPr>
          <w:p w14:paraId="4AF70C71" w14:textId="25A4FD3B" w:rsidR="005662FD" w:rsidRPr="00461A90" w:rsidRDefault="005662FD" w:rsidP="005662FD">
            <w:pPr>
              <w:spacing w:line="276" w:lineRule="auto"/>
              <w:rPr>
                <w:rFonts w:ascii="Times New Roman" w:hAnsi="Times New Roman" w:cs="Times New Roman"/>
                <w:noProof/>
                <w:color w:val="000000" w:themeColor="text1"/>
              </w:rPr>
            </w:pPr>
          </w:p>
        </w:tc>
        <w:tc>
          <w:tcPr>
            <w:tcW w:w="1660" w:type="pct"/>
            <w:gridSpan w:val="2"/>
          </w:tcPr>
          <w:p w14:paraId="02A526FE" w14:textId="534EBD31"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069B25F1" wp14:editId="090B313F">
                  <wp:extent cx="1064469" cy="1080000"/>
                  <wp:effectExtent l="0" t="0" r="2540" b="6350"/>
                  <wp:docPr id="11" name="Picture 9">
                    <a:extLst xmlns:a="http://schemas.openxmlformats.org/drawingml/2006/main">
                      <a:ext uri="{FF2B5EF4-FFF2-40B4-BE49-F238E27FC236}">
                        <a16:creationId xmlns:a16="http://schemas.microsoft.com/office/drawing/2014/main" id="{67FD061A-5FD0-402E-A452-3487EF3D7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7FD061A-5FD0-402E-A452-3487EF3D7EA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8055" t="24702" r="15278" b="24569"/>
                          <a:stretch/>
                        </pic:blipFill>
                        <pic:spPr>
                          <a:xfrm>
                            <a:off x="0" y="0"/>
                            <a:ext cx="1064469" cy="1080000"/>
                          </a:xfrm>
                          <a:prstGeom prst="rect">
                            <a:avLst/>
                          </a:prstGeom>
                        </pic:spPr>
                      </pic:pic>
                    </a:graphicData>
                  </a:graphic>
                </wp:inline>
              </w:drawing>
            </w:r>
          </w:p>
        </w:tc>
        <w:tc>
          <w:tcPr>
            <w:tcW w:w="1648" w:type="pct"/>
          </w:tcPr>
          <w:p w14:paraId="14D58CE2" w14:textId="77777777" w:rsidR="005662FD" w:rsidRPr="00461A90" w:rsidRDefault="005662FD" w:rsidP="005662FD">
            <w:pPr>
              <w:spacing w:line="276" w:lineRule="auto"/>
              <w:rPr>
                <w:rFonts w:ascii="Times New Roman" w:hAnsi="Times New Roman" w:cs="Times New Roman"/>
                <w:noProof/>
                <w:color w:val="000000" w:themeColor="text1"/>
                <w:sz w:val="32"/>
                <w:szCs w:val="32"/>
              </w:rPr>
            </w:pPr>
          </w:p>
        </w:tc>
      </w:tr>
    </w:tbl>
    <w:p w14:paraId="7C6446AF" w14:textId="3EB0C0BF" w:rsidR="005662FD" w:rsidRPr="00461A90" w:rsidRDefault="005662FD" w:rsidP="00FC3565">
      <w:pPr>
        <w:pStyle w:val="NormalWeb"/>
        <w:tabs>
          <w:tab w:val="left" w:pos="5670"/>
        </w:tabs>
        <w:spacing w:line="360" w:lineRule="auto"/>
        <w:ind w:left="720"/>
        <w:jc w:val="both"/>
        <w:rPr>
          <w:b/>
          <w:bCs/>
          <w:color w:val="000000" w:themeColor="text1"/>
          <w:lang w:val="en-US"/>
        </w:rPr>
      </w:pPr>
      <w:bookmarkStart w:id="2" w:name="_Hlk208407463"/>
      <w:r w:rsidRPr="00461A90">
        <w:rPr>
          <w:b/>
          <w:bCs/>
          <w:color w:val="000000" w:themeColor="text1"/>
          <w:lang w:val="en-US"/>
        </w:rPr>
        <w:t xml:space="preserve">Plate 2: Evaluation of different </w:t>
      </w:r>
      <w:r w:rsidRPr="00461A90">
        <w:rPr>
          <w:rFonts w:eastAsia="BookAntiqua"/>
          <w:b/>
          <w:bCs/>
          <w:color w:val="000000" w:themeColor="text1"/>
        </w:rPr>
        <w:t xml:space="preserve">combination of fungicide </w:t>
      </w:r>
      <w:r w:rsidRPr="00461A90">
        <w:rPr>
          <w:b/>
          <w:bCs/>
          <w:color w:val="000000" w:themeColor="text1"/>
          <w:lang w:val="en-US"/>
        </w:rPr>
        <w:t xml:space="preserve">against </w:t>
      </w:r>
      <w:r w:rsidRPr="00461A90">
        <w:rPr>
          <w:b/>
          <w:bCs/>
          <w:i/>
          <w:iCs/>
          <w:color w:val="000000" w:themeColor="text1"/>
          <w:lang w:val="en-US"/>
        </w:rPr>
        <w:t xml:space="preserve">Colletotrichum </w:t>
      </w:r>
      <w:proofErr w:type="spellStart"/>
      <w:r w:rsidRPr="00461A90">
        <w:rPr>
          <w:b/>
          <w:bCs/>
          <w:i/>
          <w:iCs/>
          <w:color w:val="000000" w:themeColor="text1"/>
          <w:lang w:val="en-US"/>
        </w:rPr>
        <w:t>truncatum</w:t>
      </w:r>
      <w:proofErr w:type="spellEnd"/>
      <w:r w:rsidRPr="00461A90">
        <w:rPr>
          <w:b/>
          <w:bCs/>
          <w:color w:val="000000" w:themeColor="text1"/>
          <w:lang w:val="en-US"/>
        </w:rPr>
        <w:t xml:space="preserve"> at different concentrations</w:t>
      </w:r>
      <w:bookmarkEnd w:id="2"/>
      <w:r w:rsidR="006D5C69" w:rsidRPr="00461A90">
        <w:rPr>
          <w:b/>
          <w:bCs/>
          <w:color w:val="000000" w:themeColor="text1"/>
          <w:lang w:val="en-US"/>
        </w:rPr>
        <w:t>.</w:t>
      </w:r>
    </w:p>
    <w:sectPr w:rsidR="005662FD" w:rsidRPr="00461A90" w:rsidSect="005D05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4FAD9" w14:textId="77777777" w:rsidR="0002799F" w:rsidRDefault="0002799F" w:rsidP="00FC44B4">
      <w:pPr>
        <w:spacing w:after="0" w:line="240" w:lineRule="auto"/>
      </w:pPr>
      <w:r>
        <w:separator/>
      </w:r>
    </w:p>
  </w:endnote>
  <w:endnote w:type="continuationSeparator" w:id="0">
    <w:p w14:paraId="48396476" w14:textId="77777777" w:rsidR="0002799F" w:rsidRDefault="0002799F" w:rsidP="00FC4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Antiqua">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15A09" w14:textId="77777777" w:rsidR="00FC44B4" w:rsidRDefault="00FC4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8697" w14:textId="77777777" w:rsidR="00FC44B4" w:rsidRDefault="00FC44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81AF3" w14:textId="77777777" w:rsidR="00FC44B4" w:rsidRDefault="00FC4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B475E1" w14:textId="77777777" w:rsidR="0002799F" w:rsidRDefault="0002799F" w:rsidP="00FC44B4">
      <w:pPr>
        <w:spacing w:after="0" w:line="240" w:lineRule="auto"/>
      </w:pPr>
      <w:r>
        <w:separator/>
      </w:r>
    </w:p>
  </w:footnote>
  <w:footnote w:type="continuationSeparator" w:id="0">
    <w:p w14:paraId="4B3AB0C1" w14:textId="77777777" w:rsidR="0002799F" w:rsidRDefault="0002799F" w:rsidP="00FC4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45BB7" w14:textId="5B2A531F" w:rsidR="00FC44B4" w:rsidRDefault="00FC44B4">
    <w:pPr>
      <w:pStyle w:val="Header"/>
    </w:pPr>
    <w:r>
      <w:rPr>
        <w:noProof/>
      </w:rPr>
      <w:pict w14:anchorId="1C1B3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7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0CF6" w14:textId="483BA784" w:rsidR="00FC44B4" w:rsidRDefault="00FC44B4">
    <w:pPr>
      <w:pStyle w:val="Header"/>
    </w:pPr>
    <w:r>
      <w:rPr>
        <w:noProof/>
      </w:rPr>
      <w:pict w14:anchorId="2A423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7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DAE2" w14:textId="4377BF09" w:rsidR="00FC44B4" w:rsidRDefault="00FC44B4">
    <w:pPr>
      <w:pStyle w:val="Header"/>
    </w:pPr>
    <w:r>
      <w:rPr>
        <w:noProof/>
      </w:rPr>
      <w:pict w14:anchorId="13126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7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C3571"/>
    <w:multiLevelType w:val="multilevel"/>
    <w:tmpl w:val="D8B8C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6618B7"/>
    <w:multiLevelType w:val="hybridMultilevel"/>
    <w:tmpl w:val="A12C8C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84534A2"/>
    <w:multiLevelType w:val="hybridMultilevel"/>
    <w:tmpl w:val="C2C80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F809FB"/>
    <w:multiLevelType w:val="hybridMultilevel"/>
    <w:tmpl w:val="FEFA5B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97D401F"/>
    <w:multiLevelType w:val="hybridMultilevel"/>
    <w:tmpl w:val="3BA0B9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1DF398C"/>
    <w:multiLevelType w:val="hybridMultilevel"/>
    <w:tmpl w:val="FEFA5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6642BDD"/>
    <w:multiLevelType w:val="hybridMultilevel"/>
    <w:tmpl w:val="FF1A3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9A57B83"/>
    <w:multiLevelType w:val="hybridMultilevel"/>
    <w:tmpl w:val="28C0C41E"/>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2"/>
  </w:num>
  <w:num w:numId="4">
    <w:abstractNumId w:val="5"/>
  </w:num>
  <w:num w:numId="5">
    <w:abstractNumId w:val="4"/>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186"/>
    <w:rsid w:val="000156C3"/>
    <w:rsid w:val="0002799F"/>
    <w:rsid w:val="000601B8"/>
    <w:rsid w:val="000868C6"/>
    <w:rsid w:val="000979AE"/>
    <w:rsid w:val="000C1A02"/>
    <w:rsid w:val="0012507F"/>
    <w:rsid w:val="0015044A"/>
    <w:rsid w:val="0018172E"/>
    <w:rsid w:val="001A0CD2"/>
    <w:rsid w:val="00267A03"/>
    <w:rsid w:val="002A7A90"/>
    <w:rsid w:val="002F6062"/>
    <w:rsid w:val="002F658E"/>
    <w:rsid w:val="00302FD0"/>
    <w:rsid w:val="00303A1A"/>
    <w:rsid w:val="003306CC"/>
    <w:rsid w:val="003404F0"/>
    <w:rsid w:val="00376C94"/>
    <w:rsid w:val="003C34F8"/>
    <w:rsid w:val="00410964"/>
    <w:rsid w:val="00417175"/>
    <w:rsid w:val="00423186"/>
    <w:rsid w:val="00453259"/>
    <w:rsid w:val="00461A90"/>
    <w:rsid w:val="00484EF9"/>
    <w:rsid w:val="004E1A12"/>
    <w:rsid w:val="005662FD"/>
    <w:rsid w:val="005A3703"/>
    <w:rsid w:val="005D0540"/>
    <w:rsid w:val="005F2B70"/>
    <w:rsid w:val="00611495"/>
    <w:rsid w:val="006145FE"/>
    <w:rsid w:val="00624CD8"/>
    <w:rsid w:val="0062717E"/>
    <w:rsid w:val="00645BF0"/>
    <w:rsid w:val="00661F5A"/>
    <w:rsid w:val="006A04A0"/>
    <w:rsid w:val="006C2A4F"/>
    <w:rsid w:val="006D2A2C"/>
    <w:rsid w:val="006D5C69"/>
    <w:rsid w:val="007713AC"/>
    <w:rsid w:val="007B1D55"/>
    <w:rsid w:val="007C1D7A"/>
    <w:rsid w:val="007D48DB"/>
    <w:rsid w:val="00846756"/>
    <w:rsid w:val="00865D14"/>
    <w:rsid w:val="00873FB5"/>
    <w:rsid w:val="0087731E"/>
    <w:rsid w:val="0088264D"/>
    <w:rsid w:val="0089195F"/>
    <w:rsid w:val="00897AA5"/>
    <w:rsid w:val="008A6B50"/>
    <w:rsid w:val="00905CB6"/>
    <w:rsid w:val="00955F17"/>
    <w:rsid w:val="009653AE"/>
    <w:rsid w:val="00971C82"/>
    <w:rsid w:val="00986009"/>
    <w:rsid w:val="0098709D"/>
    <w:rsid w:val="009B2715"/>
    <w:rsid w:val="009E76F0"/>
    <w:rsid w:val="00A97BE7"/>
    <w:rsid w:val="00AC2297"/>
    <w:rsid w:val="00AC4801"/>
    <w:rsid w:val="00AD03B9"/>
    <w:rsid w:val="00B9407C"/>
    <w:rsid w:val="00BA64E9"/>
    <w:rsid w:val="00C329D1"/>
    <w:rsid w:val="00C55B29"/>
    <w:rsid w:val="00C7364B"/>
    <w:rsid w:val="00CC2F32"/>
    <w:rsid w:val="00CD6E2D"/>
    <w:rsid w:val="00D16734"/>
    <w:rsid w:val="00D32609"/>
    <w:rsid w:val="00D7450D"/>
    <w:rsid w:val="00DA0D83"/>
    <w:rsid w:val="00DA6EAF"/>
    <w:rsid w:val="00DC4E2D"/>
    <w:rsid w:val="00DC733C"/>
    <w:rsid w:val="00DE3BBC"/>
    <w:rsid w:val="00DE70BE"/>
    <w:rsid w:val="00DF4B58"/>
    <w:rsid w:val="00E035A4"/>
    <w:rsid w:val="00E21A4C"/>
    <w:rsid w:val="00E626BA"/>
    <w:rsid w:val="00E73619"/>
    <w:rsid w:val="00E777D2"/>
    <w:rsid w:val="00EA42F1"/>
    <w:rsid w:val="00EC3B73"/>
    <w:rsid w:val="00ED2A48"/>
    <w:rsid w:val="00ED7E9E"/>
    <w:rsid w:val="00EE0F25"/>
    <w:rsid w:val="00F25ADB"/>
    <w:rsid w:val="00F73F4C"/>
    <w:rsid w:val="00F803D0"/>
    <w:rsid w:val="00FA2A43"/>
    <w:rsid w:val="00FC3565"/>
    <w:rsid w:val="00FC44B4"/>
    <w:rsid w:val="00FC7412"/>
    <w:rsid w:val="00FD19F7"/>
    <w:rsid w:val="00FE00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338D7A"/>
  <w15:chartTrackingRefBased/>
  <w15:docId w15:val="{E905FF4A-5074-46A8-B645-51F7F144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5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F2B7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C329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318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F2B70"/>
    <w:rPr>
      <w:i/>
      <w:iCs/>
    </w:rPr>
  </w:style>
  <w:style w:type="character" w:customStyle="1" w:styleId="Heading2Char">
    <w:name w:val="Heading 2 Char"/>
    <w:basedOn w:val="DefaultParagraphFont"/>
    <w:link w:val="Heading2"/>
    <w:uiPriority w:val="9"/>
    <w:rsid w:val="005F2B70"/>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5F2B70"/>
    <w:rPr>
      <w:b/>
      <w:bCs/>
    </w:rPr>
  </w:style>
  <w:style w:type="paragraph" w:customStyle="1" w:styleId="my-2">
    <w:name w:val="my-2"/>
    <w:basedOn w:val="Normal"/>
    <w:rsid w:val="00303A1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qFormat/>
    <w:rsid w:val="0066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329D1"/>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D48DB"/>
    <w:pPr>
      <w:ind w:left="720"/>
      <w:contextualSpacing/>
    </w:pPr>
  </w:style>
  <w:style w:type="character" w:styleId="Hyperlink">
    <w:name w:val="Hyperlink"/>
    <w:basedOn w:val="DefaultParagraphFont"/>
    <w:uiPriority w:val="99"/>
    <w:unhideWhenUsed/>
    <w:rsid w:val="00B9407C"/>
    <w:rPr>
      <w:color w:val="0563C1" w:themeColor="hyperlink"/>
      <w:u w:val="single"/>
    </w:rPr>
  </w:style>
  <w:style w:type="character" w:customStyle="1" w:styleId="UnresolvedMention1">
    <w:name w:val="Unresolved Mention1"/>
    <w:basedOn w:val="DefaultParagraphFont"/>
    <w:uiPriority w:val="99"/>
    <w:semiHidden/>
    <w:unhideWhenUsed/>
    <w:rsid w:val="00B9407C"/>
    <w:rPr>
      <w:color w:val="605E5C"/>
      <w:shd w:val="clear" w:color="auto" w:fill="E1DFDD"/>
    </w:rPr>
  </w:style>
  <w:style w:type="character" w:customStyle="1" w:styleId="Heading1Char">
    <w:name w:val="Heading 1 Char"/>
    <w:basedOn w:val="DefaultParagraphFont"/>
    <w:link w:val="Heading1"/>
    <w:uiPriority w:val="9"/>
    <w:rsid w:val="00D7450D"/>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267A03"/>
    <w:rPr>
      <w:color w:val="605E5C"/>
      <w:shd w:val="clear" w:color="auto" w:fill="E1DFDD"/>
    </w:rPr>
  </w:style>
  <w:style w:type="paragraph" w:styleId="Header">
    <w:name w:val="header"/>
    <w:basedOn w:val="Normal"/>
    <w:link w:val="HeaderChar"/>
    <w:uiPriority w:val="99"/>
    <w:unhideWhenUsed/>
    <w:rsid w:val="00FC4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4B4"/>
  </w:style>
  <w:style w:type="paragraph" w:styleId="Footer">
    <w:name w:val="footer"/>
    <w:basedOn w:val="Normal"/>
    <w:link w:val="FooterChar"/>
    <w:uiPriority w:val="99"/>
    <w:unhideWhenUsed/>
    <w:rsid w:val="00FC4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4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0243">
      <w:bodyDiv w:val="1"/>
      <w:marLeft w:val="0"/>
      <w:marRight w:val="0"/>
      <w:marTop w:val="0"/>
      <w:marBottom w:val="0"/>
      <w:divBdr>
        <w:top w:val="none" w:sz="0" w:space="0" w:color="auto"/>
        <w:left w:val="none" w:sz="0" w:space="0" w:color="auto"/>
        <w:bottom w:val="none" w:sz="0" w:space="0" w:color="auto"/>
        <w:right w:val="none" w:sz="0" w:space="0" w:color="auto"/>
      </w:divBdr>
    </w:div>
    <w:div w:id="649330723">
      <w:bodyDiv w:val="1"/>
      <w:marLeft w:val="0"/>
      <w:marRight w:val="0"/>
      <w:marTop w:val="0"/>
      <w:marBottom w:val="0"/>
      <w:divBdr>
        <w:top w:val="none" w:sz="0" w:space="0" w:color="auto"/>
        <w:left w:val="none" w:sz="0" w:space="0" w:color="auto"/>
        <w:bottom w:val="none" w:sz="0" w:space="0" w:color="auto"/>
        <w:right w:val="none" w:sz="0" w:space="0" w:color="auto"/>
      </w:divBdr>
    </w:div>
    <w:div w:id="1180117057">
      <w:bodyDiv w:val="1"/>
      <w:marLeft w:val="0"/>
      <w:marRight w:val="0"/>
      <w:marTop w:val="0"/>
      <w:marBottom w:val="0"/>
      <w:divBdr>
        <w:top w:val="none" w:sz="0" w:space="0" w:color="auto"/>
        <w:left w:val="none" w:sz="0" w:space="0" w:color="auto"/>
        <w:bottom w:val="none" w:sz="0" w:space="0" w:color="auto"/>
        <w:right w:val="none" w:sz="0" w:space="0" w:color="auto"/>
      </w:divBdr>
    </w:div>
    <w:div w:id="1340618741">
      <w:bodyDiv w:val="1"/>
      <w:marLeft w:val="0"/>
      <w:marRight w:val="0"/>
      <w:marTop w:val="0"/>
      <w:marBottom w:val="0"/>
      <w:divBdr>
        <w:top w:val="none" w:sz="0" w:space="0" w:color="auto"/>
        <w:left w:val="none" w:sz="0" w:space="0" w:color="auto"/>
        <w:bottom w:val="none" w:sz="0" w:space="0" w:color="auto"/>
        <w:right w:val="none" w:sz="0" w:space="0" w:color="auto"/>
      </w:divBdr>
    </w:div>
    <w:div w:id="1512179989">
      <w:bodyDiv w:val="1"/>
      <w:marLeft w:val="0"/>
      <w:marRight w:val="0"/>
      <w:marTop w:val="0"/>
      <w:marBottom w:val="0"/>
      <w:divBdr>
        <w:top w:val="none" w:sz="0" w:space="0" w:color="auto"/>
        <w:left w:val="none" w:sz="0" w:space="0" w:color="auto"/>
        <w:bottom w:val="none" w:sz="0" w:space="0" w:color="auto"/>
        <w:right w:val="none" w:sz="0" w:space="0" w:color="auto"/>
      </w:divBdr>
    </w:div>
    <w:div w:id="1681157654">
      <w:bodyDiv w:val="1"/>
      <w:marLeft w:val="0"/>
      <w:marRight w:val="0"/>
      <w:marTop w:val="0"/>
      <w:marBottom w:val="0"/>
      <w:divBdr>
        <w:top w:val="none" w:sz="0" w:space="0" w:color="auto"/>
        <w:left w:val="none" w:sz="0" w:space="0" w:color="auto"/>
        <w:bottom w:val="none" w:sz="0" w:space="0" w:color="auto"/>
        <w:right w:val="none" w:sz="0" w:space="0" w:color="auto"/>
      </w:divBdr>
    </w:div>
    <w:div w:id="1838838516">
      <w:bodyDiv w:val="1"/>
      <w:marLeft w:val="0"/>
      <w:marRight w:val="0"/>
      <w:marTop w:val="0"/>
      <w:marBottom w:val="0"/>
      <w:divBdr>
        <w:top w:val="none" w:sz="0" w:space="0" w:color="auto"/>
        <w:left w:val="none" w:sz="0" w:space="0" w:color="auto"/>
        <w:bottom w:val="none" w:sz="0" w:space="0" w:color="auto"/>
        <w:right w:val="none" w:sz="0" w:space="0" w:color="auto"/>
      </w:divBdr>
    </w:div>
    <w:div w:id="1914195086">
      <w:bodyDiv w:val="1"/>
      <w:marLeft w:val="0"/>
      <w:marRight w:val="0"/>
      <w:marTop w:val="0"/>
      <w:marBottom w:val="0"/>
      <w:divBdr>
        <w:top w:val="none" w:sz="0" w:space="0" w:color="auto"/>
        <w:left w:val="none" w:sz="0" w:space="0" w:color="auto"/>
        <w:bottom w:val="none" w:sz="0" w:space="0" w:color="auto"/>
        <w:right w:val="none" w:sz="0" w:space="0" w:color="auto"/>
      </w:divBdr>
    </w:div>
    <w:div w:id="1966618079">
      <w:bodyDiv w:val="1"/>
      <w:marLeft w:val="0"/>
      <w:marRight w:val="0"/>
      <w:marTop w:val="0"/>
      <w:marBottom w:val="0"/>
      <w:divBdr>
        <w:top w:val="none" w:sz="0" w:space="0" w:color="auto"/>
        <w:left w:val="none" w:sz="0" w:space="0" w:color="auto"/>
        <w:bottom w:val="none" w:sz="0" w:space="0" w:color="auto"/>
        <w:right w:val="none" w:sz="0" w:space="0" w:color="auto"/>
      </w:divBdr>
    </w:div>
    <w:div w:id="202744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hyperlink" Target="https://agribegri.com/technical/metiram-55--pyraclostrobin-5-wg.php?srsltid=AfmBOorck8-vUifmLcKG1w250PtC3gTMiKMv5-g_GPOomvQIFt6Dq_03"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chart" Target="charts/chart1.xml"/><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OneDrive\Desktop\RESEARCH%20WORK\fungicides%20photo\Copy%20of%20Fungicide%20growth(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OneDrive\Desktop\RESEARCH%20WORK\fungicides%20photo\Copy%20of%20Fungicide%20growth(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Sheet2!$E$21</c:f>
              <c:strCache>
                <c:ptCount val="1"/>
                <c:pt idx="0">
                  <c:v>T1</c:v>
                </c:pt>
              </c:strCache>
            </c:strRef>
          </c:tx>
          <c:spPr>
            <a:solidFill>
              <a:schemeClr val="accent1"/>
            </a:solidFill>
            <a:ln>
              <a:noFill/>
            </a:ln>
            <a:effectLst/>
          </c:spPr>
          <c:invertIfNegative val="0"/>
          <c:cat>
            <c:strRef>
              <c:f>Sheet2!$F$20:$H$20</c:f>
              <c:strCache>
                <c:ptCount val="3"/>
                <c:pt idx="0">
                  <c:v>100ppm</c:v>
                </c:pt>
                <c:pt idx="1">
                  <c:v>250ppm</c:v>
                </c:pt>
                <c:pt idx="2">
                  <c:v>500ppm</c:v>
                </c:pt>
              </c:strCache>
              <c:extLst/>
            </c:strRef>
          </c:cat>
          <c:val>
            <c:numRef>
              <c:f>Sheet2!$F$21:$H$21</c:f>
              <c:numCache>
                <c:formatCode>0.00</c:formatCode>
                <c:ptCount val="3"/>
                <c:pt idx="0">
                  <c:v>80.117647058823522</c:v>
                </c:pt>
                <c:pt idx="1">
                  <c:v>83.529411764705884</c:v>
                </c:pt>
                <c:pt idx="2">
                  <c:v>85.882352941176464</c:v>
                </c:pt>
              </c:numCache>
            </c:numRef>
          </c:val>
          <c:extLst>
            <c:ext xmlns:c16="http://schemas.microsoft.com/office/drawing/2014/chart" uri="{C3380CC4-5D6E-409C-BE32-E72D297353CC}">
              <c16:uniqueId val="{00000000-92EA-4D50-A593-8275798922A0}"/>
            </c:ext>
          </c:extLst>
        </c:ser>
        <c:ser>
          <c:idx val="1"/>
          <c:order val="1"/>
          <c:tx>
            <c:strRef>
              <c:f>Sheet2!$E$22</c:f>
              <c:strCache>
                <c:ptCount val="1"/>
                <c:pt idx="0">
                  <c:v>T2</c:v>
                </c:pt>
              </c:strCache>
            </c:strRef>
          </c:tx>
          <c:spPr>
            <a:solidFill>
              <a:schemeClr val="accent2"/>
            </a:solidFill>
            <a:ln>
              <a:noFill/>
            </a:ln>
            <a:effectLst/>
          </c:spPr>
          <c:invertIfNegative val="0"/>
          <c:cat>
            <c:strRef>
              <c:f>Sheet2!$F$20:$H$20</c:f>
              <c:strCache>
                <c:ptCount val="3"/>
                <c:pt idx="0">
                  <c:v>100ppm</c:v>
                </c:pt>
                <c:pt idx="1">
                  <c:v>250ppm</c:v>
                </c:pt>
                <c:pt idx="2">
                  <c:v>500ppm</c:v>
                </c:pt>
              </c:strCache>
              <c:extLst/>
            </c:strRef>
          </c:cat>
          <c:val>
            <c:numRef>
              <c:f>Sheet2!$F$22:$H$22</c:f>
              <c:numCache>
                <c:formatCode>0.00</c:formatCode>
                <c:ptCount val="3"/>
                <c:pt idx="0">
                  <c:v>49.588235294117645</c:v>
                </c:pt>
                <c:pt idx="1">
                  <c:v>71.647058823529406</c:v>
                </c:pt>
                <c:pt idx="2">
                  <c:v>80.705882352941174</c:v>
                </c:pt>
              </c:numCache>
            </c:numRef>
          </c:val>
          <c:extLst>
            <c:ext xmlns:c16="http://schemas.microsoft.com/office/drawing/2014/chart" uri="{C3380CC4-5D6E-409C-BE32-E72D297353CC}">
              <c16:uniqueId val="{00000001-92EA-4D50-A593-8275798922A0}"/>
            </c:ext>
          </c:extLst>
        </c:ser>
        <c:ser>
          <c:idx val="2"/>
          <c:order val="2"/>
          <c:tx>
            <c:strRef>
              <c:f>Sheet2!$E$23</c:f>
              <c:strCache>
                <c:ptCount val="1"/>
                <c:pt idx="0">
                  <c:v>T3</c:v>
                </c:pt>
              </c:strCache>
            </c:strRef>
          </c:tx>
          <c:spPr>
            <a:solidFill>
              <a:schemeClr val="accent3"/>
            </a:solidFill>
            <a:ln>
              <a:noFill/>
            </a:ln>
            <a:effectLst/>
          </c:spPr>
          <c:invertIfNegative val="0"/>
          <c:cat>
            <c:strRef>
              <c:f>Sheet2!$F$20:$H$20</c:f>
              <c:strCache>
                <c:ptCount val="3"/>
                <c:pt idx="0">
                  <c:v>100ppm</c:v>
                </c:pt>
                <c:pt idx="1">
                  <c:v>250ppm</c:v>
                </c:pt>
                <c:pt idx="2">
                  <c:v>500ppm</c:v>
                </c:pt>
              </c:strCache>
              <c:extLst/>
            </c:strRef>
          </c:cat>
          <c:val>
            <c:numRef>
              <c:f>Sheet2!$F$23:$H$23</c:f>
              <c:numCache>
                <c:formatCode>0.00</c:formatCode>
                <c:ptCount val="3"/>
                <c:pt idx="0">
                  <c:v>88.235294117647058</c:v>
                </c:pt>
                <c:pt idx="1">
                  <c:v>100</c:v>
                </c:pt>
                <c:pt idx="2">
                  <c:v>100</c:v>
                </c:pt>
              </c:numCache>
            </c:numRef>
          </c:val>
          <c:extLst>
            <c:ext xmlns:c16="http://schemas.microsoft.com/office/drawing/2014/chart" uri="{C3380CC4-5D6E-409C-BE32-E72D297353CC}">
              <c16:uniqueId val="{00000002-92EA-4D50-A593-8275798922A0}"/>
            </c:ext>
          </c:extLst>
        </c:ser>
        <c:ser>
          <c:idx val="3"/>
          <c:order val="3"/>
          <c:tx>
            <c:strRef>
              <c:f>Sheet2!$E$24</c:f>
              <c:strCache>
                <c:ptCount val="1"/>
                <c:pt idx="0">
                  <c:v>T4</c:v>
                </c:pt>
              </c:strCache>
            </c:strRef>
          </c:tx>
          <c:spPr>
            <a:solidFill>
              <a:schemeClr val="accent4"/>
            </a:solidFill>
            <a:ln>
              <a:noFill/>
            </a:ln>
            <a:effectLst/>
          </c:spPr>
          <c:invertIfNegative val="0"/>
          <c:cat>
            <c:strRef>
              <c:f>Sheet2!$F$20:$H$20</c:f>
              <c:strCache>
                <c:ptCount val="3"/>
                <c:pt idx="0">
                  <c:v>100ppm</c:v>
                </c:pt>
                <c:pt idx="1">
                  <c:v>250ppm</c:v>
                </c:pt>
                <c:pt idx="2">
                  <c:v>500ppm</c:v>
                </c:pt>
              </c:strCache>
              <c:extLst/>
            </c:strRef>
          </c:cat>
          <c:val>
            <c:numRef>
              <c:f>Sheet2!$F$24:$H$24</c:f>
              <c:numCache>
                <c:formatCode>0.00</c:formatCode>
                <c:ptCount val="3"/>
                <c:pt idx="0">
                  <c:v>64.705882352941174</c:v>
                </c:pt>
                <c:pt idx="1">
                  <c:v>76.823529411764696</c:v>
                </c:pt>
                <c:pt idx="2">
                  <c:v>78.764705882352942</c:v>
                </c:pt>
              </c:numCache>
            </c:numRef>
          </c:val>
          <c:extLst>
            <c:ext xmlns:c16="http://schemas.microsoft.com/office/drawing/2014/chart" uri="{C3380CC4-5D6E-409C-BE32-E72D297353CC}">
              <c16:uniqueId val="{00000003-92EA-4D50-A593-8275798922A0}"/>
            </c:ext>
          </c:extLst>
        </c:ser>
        <c:ser>
          <c:idx val="4"/>
          <c:order val="4"/>
          <c:tx>
            <c:strRef>
              <c:f>Sheet2!$E$25</c:f>
              <c:strCache>
                <c:ptCount val="1"/>
                <c:pt idx="0">
                  <c:v>T5</c:v>
                </c:pt>
              </c:strCache>
            </c:strRef>
          </c:tx>
          <c:spPr>
            <a:solidFill>
              <a:schemeClr val="accent5"/>
            </a:solidFill>
            <a:ln>
              <a:noFill/>
            </a:ln>
            <a:effectLst/>
          </c:spPr>
          <c:invertIfNegative val="0"/>
          <c:cat>
            <c:strRef>
              <c:f>Sheet2!$F$20:$H$20</c:f>
              <c:strCache>
                <c:ptCount val="3"/>
                <c:pt idx="0">
                  <c:v>100ppm</c:v>
                </c:pt>
                <c:pt idx="1">
                  <c:v>250ppm</c:v>
                </c:pt>
                <c:pt idx="2">
                  <c:v>500ppm</c:v>
                </c:pt>
              </c:strCache>
              <c:extLst/>
            </c:strRef>
          </c:cat>
          <c:val>
            <c:numRef>
              <c:f>Sheet2!$F$25:$H$25</c:f>
              <c:numCache>
                <c:formatCode>0.00</c:formatCode>
                <c:ptCount val="3"/>
                <c:pt idx="0">
                  <c:v>71.52941176470587</c:v>
                </c:pt>
                <c:pt idx="1">
                  <c:v>79.294117647058826</c:v>
                </c:pt>
                <c:pt idx="2">
                  <c:v>84.705882352941174</c:v>
                </c:pt>
              </c:numCache>
            </c:numRef>
          </c:val>
          <c:extLst>
            <c:ext xmlns:c16="http://schemas.microsoft.com/office/drawing/2014/chart" uri="{C3380CC4-5D6E-409C-BE32-E72D297353CC}">
              <c16:uniqueId val="{00000004-92EA-4D50-A593-8275798922A0}"/>
            </c:ext>
          </c:extLst>
        </c:ser>
        <c:ser>
          <c:idx val="5"/>
          <c:order val="5"/>
          <c:tx>
            <c:strRef>
              <c:f>Sheet2!$E$26</c:f>
              <c:strCache>
                <c:ptCount val="1"/>
                <c:pt idx="0">
                  <c:v>T6</c:v>
                </c:pt>
              </c:strCache>
            </c:strRef>
          </c:tx>
          <c:spPr>
            <a:solidFill>
              <a:schemeClr val="accent6"/>
            </a:solidFill>
            <a:ln>
              <a:noFill/>
            </a:ln>
            <a:effectLst/>
          </c:spPr>
          <c:invertIfNegative val="0"/>
          <c:cat>
            <c:strRef>
              <c:f>Sheet2!$F$20:$H$20</c:f>
              <c:strCache>
                <c:ptCount val="3"/>
                <c:pt idx="0">
                  <c:v>100ppm</c:v>
                </c:pt>
                <c:pt idx="1">
                  <c:v>250ppm</c:v>
                </c:pt>
                <c:pt idx="2">
                  <c:v>500ppm</c:v>
                </c:pt>
              </c:strCache>
              <c:extLst/>
            </c:strRef>
          </c:cat>
          <c:val>
            <c:numRef>
              <c:f>Sheet2!$F$26:$H$26</c:f>
              <c:numCache>
                <c:formatCode>0.00</c:formatCode>
                <c:ptCount val="3"/>
                <c:pt idx="0">
                  <c:v>62.235294117647058</c:v>
                </c:pt>
                <c:pt idx="1">
                  <c:v>67.64705882352942</c:v>
                </c:pt>
                <c:pt idx="2">
                  <c:v>76.470588235294116</c:v>
                </c:pt>
              </c:numCache>
            </c:numRef>
          </c:val>
          <c:extLst>
            <c:ext xmlns:c16="http://schemas.microsoft.com/office/drawing/2014/chart" uri="{C3380CC4-5D6E-409C-BE32-E72D297353CC}">
              <c16:uniqueId val="{00000005-92EA-4D50-A593-8275798922A0}"/>
            </c:ext>
          </c:extLst>
        </c:ser>
        <c:dLbls>
          <c:showLegendKey val="0"/>
          <c:showVal val="0"/>
          <c:showCatName val="0"/>
          <c:showSerName val="0"/>
          <c:showPercent val="0"/>
          <c:showBubbleSize val="0"/>
        </c:dLbls>
        <c:gapWidth val="219"/>
        <c:overlap val="-27"/>
        <c:axId val="375268216"/>
        <c:axId val="375260376"/>
      </c:barChart>
      <c:catAx>
        <c:axId val="37526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0376"/>
        <c:crosses val="autoZero"/>
        <c:auto val="1"/>
        <c:lblAlgn val="ctr"/>
        <c:lblOffset val="100"/>
        <c:noMultiLvlLbl val="0"/>
      </c:catAx>
      <c:valAx>
        <c:axId val="375260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8216"/>
        <c:crosses val="autoZero"/>
        <c:crossBetween val="between"/>
      </c:valAx>
      <c:spPr>
        <a:noFill/>
        <a:ln>
          <a:noFill/>
        </a:ln>
        <a:effectLst/>
      </c:spPr>
    </c:plotArea>
    <c:legend>
      <c:legendPos val="b"/>
      <c:layout>
        <c:manualLayout>
          <c:xMode val="edge"/>
          <c:yMode val="edge"/>
          <c:x val="0.2909212901373413"/>
          <c:y val="0.91538665416216436"/>
          <c:w val="0.44863272705799356"/>
          <c:h val="6.24197959474927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Sheet2!$Y$5</c:f>
              <c:strCache>
                <c:ptCount val="1"/>
                <c:pt idx="0">
                  <c:v>T1</c:v>
                </c:pt>
              </c:strCache>
            </c:strRef>
          </c:tx>
          <c:spPr>
            <a:solidFill>
              <a:schemeClr val="accent1"/>
            </a:solidFill>
            <a:ln>
              <a:noFill/>
            </a:ln>
            <a:effectLst/>
          </c:spPr>
          <c:invertIfNegative val="0"/>
          <c:cat>
            <c:strRef>
              <c:f>Sheet2!$Z$4:$AB$4</c:f>
              <c:strCache>
                <c:ptCount val="3"/>
                <c:pt idx="0">
                  <c:v>100ppm</c:v>
                </c:pt>
                <c:pt idx="1">
                  <c:v>250ppm</c:v>
                </c:pt>
                <c:pt idx="2">
                  <c:v>500ppm</c:v>
                </c:pt>
              </c:strCache>
            </c:strRef>
          </c:cat>
          <c:val>
            <c:numRef>
              <c:f>Sheet2!$Z$5:$AB$5</c:f>
              <c:numCache>
                <c:formatCode>General</c:formatCode>
                <c:ptCount val="3"/>
                <c:pt idx="0">
                  <c:v>64.705882352941174</c:v>
                </c:pt>
                <c:pt idx="1">
                  <c:v>70.1964705882353</c:v>
                </c:pt>
                <c:pt idx="2">
                  <c:v>79.215294117647062</c:v>
                </c:pt>
              </c:numCache>
            </c:numRef>
          </c:val>
          <c:extLst>
            <c:ext xmlns:c16="http://schemas.microsoft.com/office/drawing/2014/chart" uri="{C3380CC4-5D6E-409C-BE32-E72D297353CC}">
              <c16:uniqueId val="{00000000-28EC-4434-94A0-F8C1F3E4FC55}"/>
            </c:ext>
          </c:extLst>
        </c:ser>
        <c:ser>
          <c:idx val="1"/>
          <c:order val="1"/>
          <c:tx>
            <c:strRef>
              <c:f>Sheet2!$Y$6</c:f>
              <c:strCache>
                <c:ptCount val="1"/>
                <c:pt idx="0">
                  <c:v>T2</c:v>
                </c:pt>
              </c:strCache>
            </c:strRef>
          </c:tx>
          <c:spPr>
            <a:solidFill>
              <a:schemeClr val="accent2"/>
            </a:solidFill>
            <a:ln>
              <a:noFill/>
            </a:ln>
            <a:effectLst/>
          </c:spPr>
          <c:invertIfNegative val="0"/>
          <c:cat>
            <c:strRef>
              <c:f>Sheet2!$Z$4:$AB$4</c:f>
              <c:strCache>
                <c:ptCount val="3"/>
                <c:pt idx="0">
                  <c:v>100ppm</c:v>
                </c:pt>
                <c:pt idx="1">
                  <c:v>250ppm</c:v>
                </c:pt>
                <c:pt idx="2">
                  <c:v>500ppm</c:v>
                </c:pt>
              </c:strCache>
            </c:strRef>
          </c:cat>
          <c:val>
            <c:numRef>
              <c:f>Sheet2!$Z$6:$AB$6</c:f>
              <c:numCache>
                <c:formatCode>General</c:formatCode>
                <c:ptCount val="3"/>
                <c:pt idx="0">
                  <c:v>55.235294117647058</c:v>
                </c:pt>
                <c:pt idx="1">
                  <c:v>58.82352941176471</c:v>
                </c:pt>
                <c:pt idx="2">
                  <c:v>64.705882352941174</c:v>
                </c:pt>
              </c:numCache>
            </c:numRef>
          </c:val>
          <c:extLst>
            <c:ext xmlns:c16="http://schemas.microsoft.com/office/drawing/2014/chart" uri="{C3380CC4-5D6E-409C-BE32-E72D297353CC}">
              <c16:uniqueId val="{00000001-28EC-4434-94A0-F8C1F3E4FC55}"/>
            </c:ext>
          </c:extLst>
        </c:ser>
        <c:ser>
          <c:idx val="2"/>
          <c:order val="2"/>
          <c:tx>
            <c:strRef>
              <c:f>Sheet2!$Y$7</c:f>
              <c:strCache>
                <c:ptCount val="1"/>
                <c:pt idx="0">
                  <c:v>T3</c:v>
                </c:pt>
              </c:strCache>
            </c:strRef>
          </c:tx>
          <c:spPr>
            <a:solidFill>
              <a:schemeClr val="accent3"/>
            </a:solidFill>
            <a:ln>
              <a:noFill/>
            </a:ln>
            <a:effectLst/>
          </c:spPr>
          <c:invertIfNegative val="0"/>
          <c:cat>
            <c:strRef>
              <c:f>Sheet2!$Z$4:$AB$4</c:f>
              <c:strCache>
                <c:ptCount val="3"/>
                <c:pt idx="0">
                  <c:v>100ppm</c:v>
                </c:pt>
                <c:pt idx="1">
                  <c:v>250ppm</c:v>
                </c:pt>
                <c:pt idx="2">
                  <c:v>500ppm</c:v>
                </c:pt>
              </c:strCache>
            </c:strRef>
          </c:cat>
          <c:val>
            <c:numRef>
              <c:f>Sheet2!$Z$7:$AB$7</c:f>
              <c:numCache>
                <c:formatCode>General</c:formatCode>
                <c:ptCount val="3"/>
                <c:pt idx="0">
                  <c:v>88.235294117647058</c:v>
                </c:pt>
                <c:pt idx="1">
                  <c:v>90.588235294117652</c:v>
                </c:pt>
                <c:pt idx="2">
                  <c:v>100</c:v>
                </c:pt>
              </c:numCache>
            </c:numRef>
          </c:val>
          <c:extLst>
            <c:ext xmlns:c16="http://schemas.microsoft.com/office/drawing/2014/chart" uri="{C3380CC4-5D6E-409C-BE32-E72D297353CC}">
              <c16:uniqueId val="{00000002-28EC-4434-94A0-F8C1F3E4FC55}"/>
            </c:ext>
          </c:extLst>
        </c:ser>
        <c:ser>
          <c:idx val="3"/>
          <c:order val="3"/>
          <c:tx>
            <c:strRef>
              <c:f>Sheet2!$Y$8</c:f>
              <c:strCache>
                <c:ptCount val="1"/>
                <c:pt idx="0">
                  <c:v>T4</c:v>
                </c:pt>
              </c:strCache>
            </c:strRef>
          </c:tx>
          <c:spPr>
            <a:solidFill>
              <a:schemeClr val="accent4"/>
            </a:solidFill>
            <a:ln>
              <a:noFill/>
            </a:ln>
            <a:effectLst/>
          </c:spPr>
          <c:invertIfNegative val="0"/>
          <c:cat>
            <c:strRef>
              <c:f>Sheet2!$Z$4:$AB$4</c:f>
              <c:strCache>
                <c:ptCount val="3"/>
                <c:pt idx="0">
                  <c:v>100ppm</c:v>
                </c:pt>
                <c:pt idx="1">
                  <c:v>250ppm</c:v>
                </c:pt>
                <c:pt idx="2">
                  <c:v>500ppm</c:v>
                </c:pt>
              </c:strCache>
            </c:strRef>
          </c:cat>
          <c:val>
            <c:numRef>
              <c:f>Sheet2!$Z$8:$AB$8</c:f>
              <c:numCache>
                <c:formatCode>General</c:formatCode>
                <c:ptCount val="3"/>
                <c:pt idx="0">
                  <c:v>86.411764705882348</c:v>
                </c:pt>
                <c:pt idx="1">
                  <c:v>90.588235294117652</c:v>
                </c:pt>
                <c:pt idx="2">
                  <c:v>100</c:v>
                </c:pt>
              </c:numCache>
            </c:numRef>
          </c:val>
          <c:extLst>
            <c:ext xmlns:c16="http://schemas.microsoft.com/office/drawing/2014/chart" uri="{C3380CC4-5D6E-409C-BE32-E72D297353CC}">
              <c16:uniqueId val="{00000003-28EC-4434-94A0-F8C1F3E4FC55}"/>
            </c:ext>
          </c:extLst>
        </c:ser>
        <c:ser>
          <c:idx val="4"/>
          <c:order val="4"/>
          <c:tx>
            <c:strRef>
              <c:f>Sheet2!$Y$9</c:f>
              <c:strCache>
                <c:ptCount val="1"/>
                <c:pt idx="0">
                  <c:v>T5</c:v>
                </c:pt>
              </c:strCache>
            </c:strRef>
          </c:tx>
          <c:spPr>
            <a:solidFill>
              <a:schemeClr val="accent5"/>
            </a:solidFill>
            <a:ln>
              <a:noFill/>
            </a:ln>
            <a:effectLst/>
          </c:spPr>
          <c:invertIfNegative val="0"/>
          <c:cat>
            <c:strRef>
              <c:f>Sheet2!$Z$4:$AB$4</c:f>
              <c:strCache>
                <c:ptCount val="3"/>
                <c:pt idx="0">
                  <c:v>100ppm</c:v>
                </c:pt>
                <c:pt idx="1">
                  <c:v>250ppm</c:v>
                </c:pt>
                <c:pt idx="2">
                  <c:v>500ppm</c:v>
                </c:pt>
              </c:strCache>
            </c:strRef>
          </c:cat>
          <c:val>
            <c:numRef>
              <c:f>Sheet2!$Z$9:$AB$9</c:f>
              <c:numCache>
                <c:formatCode>General</c:formatCode>
                <c:ptCount val="3"/>
                <c:pt idx="0">
                  <c:v>51.764705882352949</c:v>
                </c:pt>
                <c:pt idx="1">
                  <c:v>78.431764705882358</c:v>
                </c:pt>
                <c:pt idx="2">
                  <c:v>90.391764705882352</c:v>
                </c:pt>
              </c:numCache>
            </c:numRef>
          </c:val>
          <c:extLst>
            <c:ext xmlns:c16="http://schemas.microsoft.com/office/drawing/2014/chart" uri="{C3380CC4-5D6E-409C-BE32-E72D297353CC}">
              <c16:uniqueId val="{00000004-28EC-4434-94A0-F8C1F3E4FC55}"/>
            </c:ext>
          </c:extLst>
        </c:ser>
        <c:ser>
          <c:idx val="5"/>
          <c:order val="5"/>
          <c:tx>
            <c:strRef>
              <c:f>Sheet2!$Y$10</c:f>
              <c:strCache>
                <c:ptCount val="1"/>
                <c:pt idx="0">
                  <c:v>T6</c:v>
                </c:pt>
              </c:strCache>
            </c:strRef>
          </c:tx>
          <c:spPr>
            <a:solidFill>
              <a:schemeClr val="accent6"/>
            </a:solidFill>
            <a:ln>
              <a:noFill/>
            </a:ln>
            <a:effectLst/>
          </c:spPr>
          <c:invertIfNegative val="0"/>
          <c:cat>
            <c:strRef>
              <c:f>Sheet2!$Z$4:$AB$4</c:f>
              <c:strCache>
                <c:ptCount val="3"/>
                <c:pt idx="0">
                  <c:v>100ppm</c:v>
                </c:pt>
                <c:pt idx="1">
                  <c:v>250ppm</c:v>
                </c:pt>
                <c:pt idx="2">
                  <c:v>500ppm</c:v>
                </c:pt>
              </c:strCache>
            </c:strRef>
          </c:cat>
          <c:val>
            <c:numRef>
              <c:f>Sheet2!$Z$10:$AB$10</c:f>
              <c:numCache>
                <c:formatCode>General</c:formatCode>
                <c:ptCount val="3"/>
                <c:pt idx="0">
                  <c:v>77.64705882352942</c:v>
                </c:pt>
                <c:pt idx="1">
                  <c:v>78.82352941176471</c:v>
                </c:pt>
                <c:pt idx="2">
                  <c:v>83.529411764705884</c:v>
                </c:pt>
              </c:numCache>
            </c:numRef>
          </c:val>
          <c:extLst>
            <c:ext xmlns:c16="http://schemas.microsoft.com/office/drawing/2014/chart" uri="{C3380CC4-5D6E-409C-BE32-E72D297353CC}">
              <c16:uniqueId val="{00000005-28EC-4434-94A0-F8C1F3E4FC55}"/>
            </c:ext>
          </c:extLst>
        </c:ser>
        <c:dLbls>
          <c:showLegendKey val="0"/>
          <c:showVal val="0"/>
          <c:showCatName val="0"/>
          <c:showSerName val="0"/>
          <c:showPercent val="0"/>
          <c:showBubbleSize val="0"/>
        </c:dLbls>
        <c:gapWidth val="219"/>
        <c:overlap val="-27"/>
        <c:axId val="375261160"/>
        <c:axId val="375261944"/>
      </c:barChart>
      <c:catAx>
        <c:axId val="37526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1944"/>
        <c:crosses val="autoZero"/>
        <c:auto val="1"/>
        <c:lblAlgn val="ctr"/>
        <c:lblOffset val="100"/>
        <c:noMultiLvlLbl val="0"/>
      </c:catAx>
      <c:valAx>
        <c:axId val="375261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1160"/>
        <c:crosses val="autoZero"/>
        <c:crossBetween val="between"/>
      </c:valAx>
      <c:spPr>
        <a:noFill/>
        <a:ln>
          <a:noFill/>
        </a:ln>
        <a:effectLst/>
      </c:spPr>
    </c:plotArea>
    <c:legend>
      <c:legendPos val="b"/>
      <c:layout>
        <c:manualLayout>
          <c:xMode val="edge"/>
          <c:yMode val="edge"/>
          <c:x val="0.26418941535799079"/>
          <c:y val="0.89409667541557303"/>
          <c:w val="0.5193591681108664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3280</Words>
  <Characters>18697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khare</dc:creator>
  <cp:keywords/>
  <dc:description/>
  <cp:lastModifiedBy>SDI 1084</cp:lastModifiedBy>
  <cp:revision>6</cp:revision>
  <cp:lastPrinted>2025-10-02T16:17:00Z</cp:lastPrinted>
  <dcterms:created xsi:type="dcterms:W3CDTF">2025-10-02T17:32:00Z</dcterms:created>
  <dcterms:modified xsi:type="dcterms:W3CDTF">2025-10-03T13:52:00Z</dcterms:modified>
</cp:coreProperties>
</file>