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3B937" w14:textId="6E11AD99" w:rsidR="00247A6E" w:rsidRPr="00C93050" w:rsidRDefault="00247A6E" w:rsidP="00C5696F">
      <w:pPr>
        <w:jc w:val="center"/>
        <w:rPr>
          <w:rFonts w:ascii="Times New Roman" w:hAnsi="Times New Roman" w:cs="Times New Roman"/>
          <w:b/>
          <w:bCs/>
          <w:sz w:val="24"/>
          <w:szCs w:val="24"/>
        </w:rPr>
      </w:pPr>
      <w:bookmarkStart w:id="0" w:name="_Hlk209178705"/>
      <w:r w:rsidRPr="00C93050">
        <w:rPr>
          <w:rFonts w:ascii="Times New Roman" w:hAnsi="Times New Roman" w:cs="Times New Roman"/>
          <w:b/>
          <w:bCs/>
          <w:sz w:val="24"/>
          <w:szCs w:val="24"/>
        </w:rPr>
        <w:t xml:space="preserve">Isolation of </w:t>
      </w:r>
      <w:r w:rsidRPr="00C93050">
        <w:rPr>
          <w:rFonts w:ascii="Times New Roman" w:hAnsi="Times New Roman" w:cs="Times New Roman"/>
          <w:b/>
          <w:bCs/>
          <w:i/>
          <w:iCs/>
          <w:sz w:val="24"/>
          <w:szCs w:val="24"/>
        </w:rPr>
        <w:t xml:space="preserve">Enterobacter </w:t>
      </w:r>
      <w:proofErr w:type="spellStart"/>
      <w:r w:rsidRPr="00C93050">
        <w:rPr>
          <w:rFonts w:ascii="Times New Roman" w:hAnsi="Times New Roman" w:cs="Times New Roman"/>
          <w:b/>
          <w:bCs/>
          <w:i/>
          <w:iCs/>
          <w:sz w:val="24"/>
          <w:szCs w:val="24"/>
        </w:rPr>
        <w:t>ludwigii</w:t>
      </w:r>
      <w:proofErr w:type="spellEnd"/>
      <w:r w:rsidRPr="00C93050">
        <w:rPr>
          <w:rFonts w:ascii="Times New Roman" w:hAnsi="Times New Roman" w:cs="Times New Roman"/>
          <w:b/>
          <w:bCs/>
          <w:sz w:val="24"/>
          <w:szCs w:val="24"/>
        </w:rPr>
        <w:t xml:space="preserve"> from diseased </w:t>
      </w:r>
      <w:proofErr w:type="spellStart"/>
      <w:r w:rsidRPr="00C93050">
        <w:rPr>
          <w:rFonts w:ascii="Times New Roman" w:hAnsi="Times New Roman" w:cs="Times New Roman"/>
          <w:b/>
          <w:bCs/>
          <w:i/>
          <w:iCs/>
          <w:sz w:val="24"/>
          <w:szCs w:val="24"/>
        </w:rPr>
        <w:t>Catla</w:t>
      </w:r>
      <w:proofErr w:type="spellEnd"/>
      <w:r w:rsidRPr="00C93050">
        <w:rPr>
          <w:rFonts w:ascii="Times New Roman" w:hAnsi="Times New Roman" w:cs="Times New Roman"/>
          <w:b/>
          <w:bCs/>
          <w:i/>
          <w:iCs/>
          <w:sz w:val="24"/>
          <w:szCs w:val="24"/>
        </w:rPr>
        <w:t xml:space="preserve"> </w:t>
      </w:r>
      <w:proofErr w:type="spellStart"/>
      <w:r w:rsidRPr="00C93050">
        <w:rPr>
          <w:rFonts w:ascii="Times New Roman" w:hAnsi="Times New Roman" w:cs="Times New Roman"/>
          <w:b/>
          <w:bCs/>
          <w:i/>
          <w:iCs/>
          <w:sz w:val="24"/>
          <w:szCs w:val="24"/>
        </w:rPr>
        <w:t>catla</w:t>
      </w:r>
      <w:proofErr w:type="spellEnd"/>
      <w:r w:rsidRPr="00C93050">
        <w:rPr>
          <w:rFonts w:ascii="Times New Roman" w:hAnsi="Times New Roman" w:cs="Times New Roman"/>
          <w:b/>
          <w:bCs/>
          <w:sz w:val="24"/>
          <w:szCs w:val="24"/>
        </w:rPr>
        <w:t xml:space="preserve"> and in vitro evaluation of </w:t>
      </w:r>
      <w:r w:rsidRPr="00C93050">
        <w:rPr>
          <w:rFonts w:ascii="Times New Roman" w:hAnsi="Times New Roman" w:cs="Times New Roman"/>
          <w:b/>
          <w:bCs/>
          <w:i/>
          <w:iCs/>
          <w:sz w:val="24"/>
          <w:szCs w:val="24"/>
        </w:rPr>
        <w:t>Curcuma longa</w:t>
      </w:r>
      <w:r w:rsidRPr="00C93050">
        <w:rPr>
          <w:rFonts w:ascii="Times New Roman" w:hAnsi="Times New Roman" w:cs="Times New Roman"/>
          <w:b/>
          <w:bCs/>
          <w:sz w:val="24"/>
          <w:szCs w:val="24"/>
        </w:rPr>
        <w:t xml:space="preserve"> aqueous extract for bactericidal activity</w:t>
      </w:r>
    </w:p>
    <w:bookmarkEnd w:id="0"/>
    <w:p w14:paraId="5C794140" w14:textId="77777777" w:rsidR="0030612E" w:rsidRPr="00200CF5" w:rsidRDefault="0030612E" w:rsidP="00AC2C43">
      <w:pPr>
        <w:spacing w:after="0"/>
        <w:jc w:val="center"/>
        <w:rPr>
          <w:rFonts w:ascii="Times New Roman" w:hAnsi="Times New Roman" w:cs="Times New Roman"/>
          <w:sz w:val="24"/>
          <w:szCs w:val="24"/>
        </w:rPr>
      </w:pPr>
    </w:p>
    <w:p w14:paraId="6521452B" w14:textId="2D1C6279" w:rsidR="00D378AD" w:rsidRDefault="00F51CC8" w:rsidP="00C7597C">
      <w:pPr>
        <w:jc w:val="both"/>
        <w:rPr>
          <w:rFonts w:ascii="Times New Roman" w:hAnsi="Times New Roman" w:cs="Times New Roman"/>
          <w:sz w:val="24"/>
          <w:szCs w:val="24"/>
        </w:rPr>
      </w:pPr>
      <w:r w:rsidRPr="00C93050">
        <w:rPr>
          <w:rFonts w:ascii="Times New Roman" w:hAnsi="Times New Roman" w:cs="Times New Roman"/>
          <w:b/>
          <w:bCs/>
          <w:sz w:val="24"/>
          <w:szCs w:val="24"/>
        </w:rPr>
        <w:t>Abstract</w:t>
      </w:r>
      <w:r w:rsidR="00C93050" w:rsidRPr="00C93050">
        <w:rPr>
          <w:rFonts w:ascii="Times New Roman" w:hAnsi="Times New Roman" w:cs="Times New Roman"/>
          <w:b/>
          <w:bCs/>
          <w:sz w:val="24"/>
          <w:szCs w:val="24"/>
        </w:rPr>
        <w:t xml:space="preserve">: </w:t>
      </w:r>
      <w:r w:rsidR="00F51780" w:rsidRPr="00C93050">
        <w:rPr>
          <w:rFonts w:ascii="Times New Roman" w:hAnsi="Times New Roman" w:cs="Times New Roman"/>
          <w:sz w:val="24"/>
          <w:szCs w:val="24"/>
        </w:rPr>
        <w:t xml:space="preserve">Disease outbreaks are a significant concern for sustainable freshwater aquaculture, especially in unmanaged pond systems. In this study, we investigated a pathogen associated with mortality in </w:t>
      </w:r>
      <w:proofErr w:type="spellStart"/>
      <w:r w:rsidR="00F51780" w:rsidRPr="00C93050">
        <w:rPr>
          <w:rFonts w:ascii="Times New Roman" w:hAnsi="Times New Roman" w:cs="Times New Roman"/>
          <w:i/>
          <w:iCs/>
          <w:sz w:val="24"/>
          <w:szCs w:val="24"/>
        </w:rPr>
        <w:t>Catla</w:t>
      </w:r>
      <w:proofErr w:type="spellEnd"/>
      <w:r w:rsidR="00F51780" w:rsidRPr="00C93050">
        <w:rPr>
          <w:rFonts w:ascii="Times New Roman" w:hAnsi="Times New Roman" w:cs="Times New Roman"/>
          <w:i/>
          <w:iCs/>
          <w:sz w:val="24"/>
          <w:szCs w:val="24"/>
        </w:rPr>
        <w:t xml:space="preserve"> </w:t>
      </w:r>
      <w:proofErr w:type="spellStart"/>
      <w:r w:rsidR="00F51780" w:rsidRPr="00C93050">
        <w:rPr>
          <w:rFonts w:ascii="Times New Roman" w:hAnsi="Times New Roman" w:cs="Times New Roman"/>
          <w:i/>
          <w:iCs/>
          <w:sz w:val="24"/>
          <w:szCs w:val="24"/>
        </w:rPr>
        <w:t>catla</w:t>
      </w:r>
      <w:proofErr w:type="spellEnd"/>
      <w:r w:rsidR="00F51780" w:rsidRPr="00C93050">
        <w:rPr>
          <w:rFonts w:ascii="Times New Roman" w:hAnsi="Times New Roman" w:cs="Times New Roman"/>
          <w:sz w:val="24"/>
          <w:szCs w:val="24"/>
        </w:rPr>
        <w:t xml:space="preserve"> from an unmanaged village pond in </w:t>
      </w:r>
      <w:proofErr w:type="spellStart"/>
      <w:r w:rsidR="00F51780" w:rsidRPr="00C93050">
        <w:rPr>
          <w:rFonts w:ascii="Times New Roman" w:hAnsi="Times New Roman" w:cs="Times New Roman"/>
          <w:sz w:val="24"/>
          <w:szCs w:val="24"/>
        </w:rPr>
        <w:t>Ladwa</w:t>
      </w:r>
      <w:proofErr w:type="spellEnd"/>
      <w:r w:rsidR="00F51780" w:rsidRPr="00C93050">
        <w:rPr>
          <w:rFonts w:ascii="Times New Roman" w:hAnsi="Times New Roman" w:cs="Times New Roman"/>
          <w:sz w:val="24"/>
          <w:szCs w:val="24"/>
        </w:rPr>
        <w:t>, India. The pond</w:t>
      </w:r>
      <w:r w:rsidR="00D7487F" w:rsidRPr="00C93050">
        <w:rPr>
          <w:rFonts w:ascii="Times New Roman" w:hAnsi="Times New Roman" w:cs="Times New Roman"/>
          <w:sz w:val="24"/>
          <w:szCs w:val="24"/>
        </w:rPr>
        <w:t xml:space="preserve"> entirely </w:t>
      </w:r>
      <w:r w:rsidR="00F51780" w:rsidRPr="00C93050">
        <w:rPr>
          <w:rFonts w:ascii="Times New Roman" w:hAnsi="Times New Roman" w:cs="Times New Roman"/>
          <w:sz w:val="24"/>
          <w:szCs w:val="24"/>
        </w:rPr>
        <w:t xml:space="preserve">depended on natural productivity, with no supplemental feeding. Affected fish showed signs of illness, including reduced appetite, lethargy, and severe gill </w:t>
      </w:r>
      <w:proofErr w:type="spellStart"/>
      <w:r w:rsidR="00F51780" w:rsidRPr="00C93050">
        <w:rPr>
          <w:rFonts w:ascii="Times New Roman" w:hAnsi="Times New Roman" w:cs="Times New Roman"/>
          <w:sz w:val="24"/>
          <w:szCs w:val="24"/>
        </w:rPr>
        <w:t>hemorrhages</w:t>
      </w:r>
      <w:proofErr w:type="spellEnd"/>
      <w:r w:rsidR="00F51780" w:rsidRPr="00C93050">
        <w:rPr>
          <w:rFonts w:ascii="Times New Roman" w:hAnsi="Times New Roman" w:cs="Times New Roman"/>
          <w:sz w:val="24"/>
          <w:szCs w:val="24"/>
        </w:rPr>
        <w:t>. Water quality analysis indicated stressful conditions, with elevated pH (9.2 ± 0.2), low dissolved oxygen (4.9 ± 0.3 mg</w:t>
      </w:r>
      <w:r w:rsidR="00200CF5">
        <w:rPr>
          <w:rFonts w:ascii="Times New Roman" w:hAnsi="Times New Roman" w:cs="Times New Roman"/>
          <w:sz w:val="24"/>
          <w:szCs w:val="24"/>
        </w:rPr>
        <w:t>/L</w:t>
      </w:r>
      <w:r w:rsidR="00F51780" w:rsidRPr="00C93050">
        <w:rPr>
          <w:rFonts w:ascii="Times New Roman" w:hAnsi="Times New Roman" w:cs="Times New Roman"/>
          <w:sz w:val="24"/>
          <w:szCs w:val="24"/>
        </w:rPr>
        <w:t>), and high total ammonia (0.5 ± 0.2 mg</w:t>
      </w:r>
      <w:r w:rsidR="00200CF5">
        <w:rPr>
          <w:rFonts w:ascii="Times New Roman" w:hAnsi="Times New Roman" w:cs="Times New Roman"/>
          <w:sz w:val="24"/>
          <w:szCs w:val="24"/>
        </w:rPr>
        <w:t>/L</w:t>
      </w:r>
      <w:r w:rsidR="00F51780" w:rsidRPr="00C93050">
        <w:rPr>
          <w:rFonts w:ascii="Times New Roman" w:hAnsi="Times New Roman" w:cs="Times New Roman"/>
          <w:sz w:val="24"/>
          <w:szCs w:val="24"/>
        </w:rPr>
        <w:t>).</w:t>
      </w:r>
      <w:r w:rsidR="008E139E" w:rsidRPr="00C93050">
        <w:rPr>
          <w:rFonts w:ascii="Times New Roman" w:hAnsi="Times New Roman" w:cs="Times New Roman"/>
          <w:sz w:val="24"/>
          <w:szCs w:val="24"/>
        </w:rPr>
        <w:t xml:space="preserve"> </w:t>
      </w:r>
      <w:r w:rsidR="00F51780" w:rsidRPr="00C93050">
        <w:rPr>
          <w:rFonts w:ascii="Times New Roman" w:hAnsi="Times New Roman" w:cs="Times New Roman"/>
          <w:sz w:val="24"/>
          <w:szCs w:val="24"/>
        </w:rPr>
        <w:t xml:space="preserve">A dominant Gram-negative bacterium was isolated from gill lesions and identified as </w:t>
      </w:r>
      <w:r w:rsidR="00F51780" w:rsidRPr="00C93050">
        <w:rPr>
          <w:rFonts w:ascii="Times New Roman" w:hAnsi="Times New Roman" w:cs="Times New Roman"/>
          <w:i/>
          <w:iCs/>
          <w:sz w:val="24"/>
          <w:szCs w:val="24"/>
        </w:rPr>
        <w:t xml:space="preserve">Enterobacter </w:t>
      </w:r>
      <w:proofErr w:type="spellStart"/>
      <w:r w:rsidR="00F51780" w:rsidRPr="00C93050">
        <w:rPr>
          <w:rFonts w:ascii="Times New Roman" w:hAnsi="Times New Roman" w:cs="Times New Roman"/>
          <w:i/>
          <w:iCs/>
          <w:sz w:val="24"/>
          <w:szCs w:val="24"/>
        </w:rPr>
        <w:t>ludwigii</w:t>
      </w:r>
      <w:proofErr w:type="spellEnd"/>
      <w:r w:rsidR="00F51780" w:rsidRPr="00C93050">
        <w:rPr>
          <w:rFonts w:ascii="Times New Roman" w:hAnsi="Times New Roman" w:cs="Times New Roman"/>
          <w:sz w:val="24"/>
          <w:szCs w:val="24"/>
        </w:rPr>
        <w:t xml:space="preserve"> (strain HAUAAHM_EL1; GenBank PP989393) using both biochemical tests and 16S rRNA sequencing.</w:t>
      </w:r>
      <w:r w:rsidR="0003669C" w:rsidRPr="00C93050">
        <w:rPr>
          <w:rFonts w:ascii="Times New Roman" w:hAnsi="Times New Roman" w:cs="Times New Roman"/>
          <w:sz w:val="24"/>
          <w:szCs w:val="24"/>
        </w:rPr>
        <w:t xml:space="preserve"> </w:t>
      </w:r>
      <w:r w:rsidR="00F51780" w:rsidRPr="00C93050">
        <w:rPr>
          <w:rFonts w:ascii="Times New Roman" w:hAnsi="Times New Roman" w:cs="Times New Roman"/>
          <w:sz w:val="24"/>
          <w:szCs w:val="24"/>
        </w:rPr>
        <w:t xml:space="preserve">Considering the need for sustainable disease management, the antibacterial potential of an aqueous extract of </w:t>
      </w:r>
      <w:r w:rsidR="00F51780" w:rsidRPr="00C93050">
        <w:rPr>
          <w:rFonts w:ascii="Times New Roman" w:hAnsi="Times New Roman" w:cs="Times New Roman"/>
          <w:i/>
          <w:iCs/>
          <w:sz w:val="24"/>
          <w:szCs w:val="24"/>
        </w:rPr>
        <w:t>Curcuma longa</w:t>
      </w:r>
      <w:r w:rsidR="00F51780" w:rsidRPr="00C93050">
        <w:rPr>
          <w:rFonts w:ascii="Times New Roman" w:hAnsi="Times New Roman" w:cs="Times New Roman"/>
          <w:sz w:val="24"/>
          <w:szCs w:val="24"/>
        </w:rPr>
        <w:t xml:space="preserve"> (turmeric) was tested in vitro. Broth microdilution assays showed concentration-dependent</w:t>
      </w:r>
      <w:bookmarkStart w:id="1" w:name="_GoBack"/>
      <w:bookmarkEnd w:id="1"/>
      <w:r w:rsidR="00F51780" w:rsidRPr="00C93050">
        <w:rPr>
          <w:rFonts w:ascii="Times New Roman" w:hAnsi="Times New Roman" w:cs="Times New Roman"/>
          <w:sz w:val="24"/>
          <w:szCs w:val="24"/>
        </w:rPr>
        <w:t xml:space="preserve"> inhibition of the pathogen, with a minimum inhibitory concentration (MIC) of 2.5 m</w:t>
      </w:r>
      <w:r w:rsidR="00036A47">
        <w:rPr>
          <w:rFonts w:ascii="Times New Roman" w:hAnsi="Times New Roman" w:cs="Times New Roman"/>
          <w:sz w:val="24"/>
          <w:szCs w:val="24"/>
        </w:rPr>
        <w:t>g/mL</w:t>
      </w:r>
      <w:r w:rsidR="00F51780" w:rsidRPr="00C93050">
        <w:rPr>
          <w:rFonts w:ascii="Times New Roman" w:hAnsi="Times New Roman" w:cs="Times New Roman"/>
          <w:sz w:val="24"/>
          <w:szCs w:val="24"/>
        </w:rPr>
        <w:t xml:space="preserve"> and a minimum bactericidal concentration (MBC) of </w:t>
      </w:r>
      <w:r w:rsidR="00F51780" w:rsidRPr="00203624">
        <w:rPr>
          <w:rFonts w:ascii="Times New Roman" w:hAnsi="Times New Roman" w:cs="Times New Roman"/>
          <w:sz w:val="24"/>
          <w:szCs w:val="24"/>
        </w:rPr>
        <w:t>10 mg</w:t>
      </w:r>
      <w:r w:rsidR="00036A47" w:rsidRPr="00203624">
        <w:rPr>
          <w:rFonts w:ascii="Times New Roman" w:hAnsi="Times New Roman" w:cs="Times New Roman"/>
          <w:sz w:val="24"/>
          <w:szCs w:val="24"/>
        </w:rPr>
        <w:t>/</w:t>
      </w:r>
      <w:proofErr w:type="spellStart"/>
      <w:r w:rsidR="00F51780" w:rsidRPr="00203624">
        <w:rPr>
          <w:rFonts w:ascii="Times New Roman" w:hAnsi="Times New Roman" w:cs="Times New Roman"/>
          <w:sz w:val="24"/>
          <w:szCs w:val="24"/>
        </w:rPr>
        <w:t>mL.</w:t>
      </w:r>
      <w:proofErr w:type="spellEnd"/>
      <w:r w:rsidR="00F51780" w:rsidRPr="00C93050">
        <w:rPr>
          <w:rFonts w:ascii="Times New Roman" w:hAnsi="Times New Roman" w:cs="Times New Roman"/>
          <w:sz w:val="24"/>
          <w:szCs w:val="24"/>
        </w:rPr>
        <w:t xml:space="preserve"> </w:t>
      </w:r>
      <w:r w:rsidR="007A1573" w:rsidRPr="00C93050">
        <w:rPr>
          <w:rFonts w:ascii="Times New Roman" w:hAnsi="Times New Roman" w:cs="Times New Roman"/>
          <w:sz w:val="24"/>
          <w:szCs w:val="24"/>
        </w:rPr>
        <w:t>An MBC/MIC ratio of 4 confirmed the extract's bactericidal effect</w:t>
      </w:r>
      <w:r w:rsidR="00F51780" w:rsidRPr="00C93050">
        <w:rPr>
          <w:rFonts w:ascii="Times New Roman" w:hAnsi="Times New Roman" w:cs="Times New Roman"/>
          <w:sz w:val="24"/>
          <w:szCs w:val="24"/>
        </w:rPr>
        <w:t xml:space="preserve">. These results confirm that </w:t>
      </w:r>
      <w:r w:rsidR="00F51780" w:rsidRPr="00C93050">
        <w:rPr>
          <w:rFonts w:ascii="Times New Roman" w:hAnsi="Times New Roman" w:cs="Times New Roman"/>
          <w:i/>
          <w:iCs/>
          <w:sz w:val="24"/>
          <w:szCs w:val="24"/>
        </w:rPr>
        <w:t xml:space="preserve">E. </w:t>
      </w:r>
      <w:proofErr w:type="spellStart"/>
      <w:r w:rsidR="00F51780" w:rsidRPr="00C93050">
        <w:rPr>
          <w:rFonts w:ascii="Times New Roman" w:hAnsi="Times New Roman" w:cs="Times New Roman"/>
          <w:i/>
          <w:iCs/>
          <w:sz w:val="24"/>
          <w:szCs w:val="24"/>
        </w:rPr>
        <w:t>ludwigii</w:t>
      </w:r>
      <w:proofErr w:type="spellEnd"/>
      <w:r w:rsidR="00F51780" w:rsidRPr="00C93050">
        <w:rPr>
          <w:rFonts w:ascii="Times New Roman" w:hAnsi="Times New Roman" w:cs="Times New Roman"/>
          <w:sz w:val="24"/>
          <w:szCs w:val="24"/>
        </w:rPr>
        <w:t xml:space="preserve"> can act as an opportunistic pathogen in unmanaged aquaculture ponds and suggest that turmeric extract, which is easily available and eco-friendly, may serve as a potential antibacterial agent. Further research is required to evaluate the in vivo effectiveness of the extract, standardize its phytochemical composition, and examine the antimicrobial resistance profile of the isolate </w:t>
      </w:r>
      <w:r w:rsidR="00D378AD" w:rsidRPr="00D378AD">
        <w:rPr>
          <w:rFonts w:ascii="Times New Roman" w:hAnsi="Times New Roman" w:cs="Times New Roman"/>
          <w:sz w:val="24"/>
          <w:szCs w:val="24"/>
        </w:rPr>
        <w:t>before recommending its practical application in aquaculture systems.</w:t>
      </w:r>
    </w:p>
    <w:p w14:paraId="67743CAA" w14:textId="5A00A0AF" w:rsidR="00F51CC8" w:rsidRPr="00C93050" w:rsidRDefault="00F51CC8" w:rsidP="00C7597C">
      <w:pPr>
        <w:jc w:val="both"/>
        <w:rPr>
          <w:rFonts w:ascii="Times New Roman" w:hAnsi="Times New Roman" w:cs="Times New Roman"/>
          <w:b/>
          <w:bCs/>
          <w:sz w:val="24"/>
          <w:szCs w:val="24"/>
        </w:rPr>
      </w:pPr>
      <w:r w:rsidRPr="00C93050">
        <w:rPr>
          <w:rFonts w:ascii="Times New Roman" w:hAnsi="Times New Roman" w:cs="Times New Roman"/>
          <w:b/>
          <w:bCs/>
          <w:sz w:val="24"/>
          <w:szCs w:val="24"/>
        </w:rPr>
        <w:t>Keywords: </w:t>
      </w:r>
      <w:r w:rsidRPr="00C93050">
        <w:rPr>
          <w:rFonts w:ascii="Times New Roman" w:hAnsi="Times New Roman" w:cs="Times New Roman"/>
          <w:i/>
          <w:iCs/>
          <w:sz w:val="24"/>
          <w:szCs w:val="24"/>
        </w:rPr>
        <w:t xml:space="preserve">Enterobacter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i/>
          <w:iCs/>
          <w:sz w:val="24"/>
          <w:szCs w:val="24"/>
        </w:rPr>
        <w:t xml:space="preserve">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sz w:val="24"/>
          <w:szCs w:val="24"/>
        </w:rPr>
        <w:t>,</w:t>
      </w:r>
      <w:r w:rsidR="009B7A3E" w:rsidRPr="00C93050">
        <w:rPr>
          <w:rFonts w:ascii="Times New Roman" w:hAnsi="Times New Roman" w:cs="Times New Roman"/>
          <w:sz w:val="24"/>
          <w:szCs w:val="24"/>
        </w:rPr>
        <w:t xml:space="preserve"> a</w:t>
      </w:r>
      <w:r w:rsidRPr="00C93050">
        <w:rPr>
          <w:rFonts w:ascii="Times New Roman" w:hAnsi="Times New Roman" w:cs="Times New Roman"/>
          <w:sz w:val="24"/>
          <w:szCs w:val="24"/>
        </w:rPr>
        <w:t>quaculture disease, </w:t>
      </w:r>
      <w:r w:rsidRPr="00C93050">
        <w:rPr>
          <w:rFonts w:ascii="Times New Roman" w:hAnsi="Times New Roman" w:cs="Times New Roman"/>
          <w:i/>
          <w:iCs/>
          <w:sz w:val="24"/>
          <w:szCs w:val="24"/>
        </w:rPr>
        <w:t>Curcuma longa</w:t>
      </w:r>
      <w:r w:rsidRPr="00C93050">
        <w:rPr>
          <w:rFonts w:ascii="Times New Roman" w:hAnsi="Times New Roman" w:cs="Times New Roman"/>
          <w:sz w:val="24"/>
          <w:szCs w:val="24"/>
        </w:rPr>
        <w:t xml:space="preserve">, </w:t>
      </w:r>
      <w:r w:rsidR="009B7A3E" w:rsidRPr="00C93050">
        <w:rPr>
          <w:rFonts w:ascii="Times New Roman" w:hAnsi="Times New Roman" w:cs="Times New Roman"/>
          <w:sz w:val="24"/>
          <w:szCs w:val="24"/>
        </w:rPr>
        <w:t>a</w:t>
      </w:r>
      <w:r w:rsidRPr="00C93050">
        <w:rPr>
          <w:rFonts w:ascii="Times New Roman" w:hAnsi="Times New Roman" w:cs="Times New Roman"/>
          <w:sz w:val="24"/>
          <w:szCs w:val="24"/>
        </w:rPr>
        <w:t>ntibacterial activity</w:t>
      </w:r>
      <w:r w:rsidR="00C5696F" w:rsidRPr="00C93050">
        <w:rPr>
          <w:rFonts w:ascii="Times New Roman" w:hAnsi="Times New Roman" w:cs="Times New Roman"/>
          <w:sz w:val="24"/>
          <w:szCs w:val="24"/>
        </w:rPr>
        <w:t>.</w:t>
      </w:r>
    </w:p>
    <w:p w14:paraId="6605341A" w14:textId="783A6469" w:rsidR="00E2450C" w:rsidRPr="00C93050" w:rsidRDefault="00C93050" w:rsidP="00E2450C">
      <w:pPr>
        <w:jc w:val="both"/>
        <w:rPr>
          <w:rFonts w:ascii="Times New Roman" w:hAnsi="Times New Roman" w:cs="Times New Roman"/>
          <w:sz w:val="24"/>
          <w:szCs w:val="24"/>
        </w:rPr>
      </w:pPr>
      <w:r w:rsidRPr="00C93050">
        <w:rPr>
          <w:rFonts w:ascii="Times New Roman" w:hAnsi="Times New Roman" w:cs="Times New Roman"/>
          <w:b/>
          <w:bCs/>
          <w:sz w:val="24"/>
          <w:szCs w:val="24"/>
        </w:rPr>
        <w:t xml:space="preserve">1. </w:t>
      </w:r>
      <w:r w:rsidR="00C7597C" w:rsidRPr="00C93050">
        <w:rPr>
          <w:rFonts w:ascii="Times New Roman" w:hAnsi="Times New Roman" w:cs="Times New Roman"/>
          <w:b/>
          <w:bCs/>
          <w:sz w:val="24"/>
          <w:szCs w:val="24"/>
        </w:rPr>
        <w:t>Introduction</w:t>
      </w:r>
      <w:bookmarkStart w:id="2" w:name="_Hlk209038639"/>
    </w:p>
    <w:p w14:paraId="5A8BE2BA" w14:textId="632037B0" w:rsidR="006B196F" w:rsidRPr="00C93050" w:rsidRDefault="006B196F" w:rsidP="00E2450C">
      <w:pPr>
        <w:ind w:firstLine="720"/>
        <w:jc w:val="both"/>
        <w:rPr>
          <w:rFonts w:ascii="Times New Roman" w:hAnsi="Times New Roman" w:cs="Times New Roman"/>
          <w:b/>
          <w:bCs/>
          <w:sz w:val="24"/>
          <w:szCs w:val="24"/>
        </w:rPr>
      </w:pPr>
      <w:r w:rsidRPr="00C93050">
        <w:rPr>
          <w:rFonts w:ascii="Times New Roman" w:hAnsi="Times New Roman" w:cs="Times New Roman"/>
          <w:sz w:val="24"/>
          <w:szCs w:val="24"/>
        </w:rPr>
        <w:t>Aquaculture is one of the fastest growing food sectors in the world. In India</w:t>
      </w:r>
      <w:r w:rsidR="0024417C" w:rsidRPr="00C93050">
        <w:rPr>
          <w:rFonts w:ascii="Times New Roman" w:hAnsi="Times New Roman" w:cs="Times New Roman"/>
          <w:sz w:val="24"/>
          <w:szCs w:val="24"/>
        </w:rPr>
        <w:t xml:space="preserve"> </w:t>
      </w:r>
      <w:r w:rsidR="0024417C" w:rsidRPr="00C93050">
        <w:rPr>
          <w:rFonts w:ascii="Times New Roman" w:hAnsi="Times New Roman" w:cs="Times New Roman"/>
          <w:b/>
          <w:bCs/>
          <w:sz w:val="24"/>
          <w:szCs w:val="24"/>
        </w:rPr>
        <w:t>[19]</w:t>
      </w:r>
      <w:r w:rsidRPr="00C93050">
        <w:rPr>
          <w:rFonts w:ascii="Times New Roman" w:hAnsi="Times New Roman" w:cs="Times New Roman"/>
          <w:b/>
          <w:bCs/>
          <w:sz w:val="24"/>
          <w:szCs w:val="24"/>
        </w:rPr>
        <w:t>,</w:t>
      </w:r>
      <w:r w:rsidRPr="00C93050">
        <w:rPr>
          <w:rFonts w:ascii="Times New Roman" w:hAnsi="Times New Roman" w:cs="Times New Roman"/>
          <w:sz w:val="24"/>
          <w:szCs w:val="24"/>
        </w:rPr>
        <w:t xml:space="preserve"> it plays a double role. On one hand, it provides a cheap source of animal protein; on the other, it supports the livelihood of millions of small farmers. The Indian major carps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i/>
          <w:iCs/>
          <w:sz w:val="24"/>
          <w:szCs w:val="24"/>
        </w:rPr>
        <w:t xml:space="preserve">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sz w:val="24"/>
          <w:szCs w:val="24"/>
        </w:rPr>
        <w:t>, </w:t>
      </w:r>
      <w:proofErr w:type="spellStart"/>
      <w:r w:rsidRPr="00C93050">
        <w:rPr>
          <w:rFonts w:ascii="Times New Roman" w:hAnsi="Times New Roman" w:cs="Times New Roman"/>
          <w:i/>
          <w:iCs/>
          <w:sz w:val="24"/>
          <w:szCs w:val="24"/>
        </w:rPr>
        <w:t>Labeo</w:t>
      </w:r>
      <w:proofErr w:type="spellEnd"/>
      <w:r w:rsidRPr="00C93050">
        <w:rPr>
          <w:rFonts w:ascii="Times New Roman" w:hAnsi="Times New Roman" w:cs="Times New Roman"/>
          <w:i/>
          <w:iCs/>
          <w:sz w:val="24"/>
          <w:szCs w:val="24"/>
        </w:rPr>
        <w:t xml:space="preserve"> </w:t>
      </w:r>
      <w:proofErr w:type="spellStart"/>
      <w:r w:rsidRPr="00C93050">
        <w:rPr>
          <w:rFonts w:ascii="Times New Roman" w:hAnsi="Times New Roman" w:cs="Times New Roman"/>
          <w:i/>
          <w:iCs/>
          <w:sz w:val="24"/>
          <w:szCs w:val="24"/>
        </w:rPr>
        <w:t>rohita</w:t>
      </w:r>
      <w:proofErr w:type="spellEnd"/>
      <w:r w:rsidRPr="00C93050">
        <w:rPr>
          <w:rFonts w:ascii="Times New Roman" w:hAnsi="Times New Roman" w:cs="Times New Roman"/>
          <w:sz w:val="24"/>
          <w:szCs w:val="24"/>
        </w:rPr>
        <w:t>, and </w:t>
      </w:r>
      <w:proofErr w:type="spellStart"/>
      <w:r w:rsidRPr="00C93050">
        <w:rPr>
          <w:rFonts w:ascii="Times New Roman" w:hAnsi="Times New Roman" w:cs="Times New Roman"/>
          <w:i/>
          <w:iCs/>
          <w:sz w:val="24"/>
          <w:szCs w:val="24"/>
        </w:rPr>
        <w:t>Cirrhinus</w:t>
      </w:r>
      <w:proofErr w:type="spellEnd"/>
      <w:r w:rsidRPr="00C93050">
        <w:rPr>
          <w:rFonts w:ascii="Times New Roman" w:hAnsi="Times New Roman" w:cs="Times New Roman"/>
          <w:i/>
          <w:iCs/>
          <w:sz w:val="24"/>
          <w:szCs w:val="24"/>
        </w:rPr>
        <w:t xml:space="preserve"> </w:t>
      </w:r>
      <w:proofErr w:type="spellStart"/>
      <w:r w:rsidRPr="00C93050">
        <w:rPr>
          <w:rFonts w:ascii="Times New Roman" w:hAnsi="Times New Roman" w:cs="Times New Roman"/>
          <w:i/>
          <w:iCs/>
          <w:sz w:val="24"/>
          <w:szCs w:val="24"/>
        </w:rPr>
        <w:t>mrigala</w:t>
      </w:r>
      <w:proofErr w:type="spellEnd"/>
      <w:r w:rsidRPr="00C93050">
        <w:rPr>
          <w:rFonts w:ascii="Times New Roman" w:hAnsi="Times New Roman" w:cs="Times New Roman"/>
          <w:sz w:val="24"/>
          <w:szCs w:val="24"/>
        </w:rPr>
        <w:t>, are the most often cultivated freshwater fish because of their quick growth and high demand from consumers. As farming has become more intensive in recent decades, disease problems have become more common. High stocking densities and poor management are the main causes of these epidemics, which cause large financial losses [6; 34].</w:t>
      </w:r>
    </w:p>
    <w:p w14:paraId="4385EBD6" w14:textId="77777777" w:rsidR="006B196F" w:rsidRPr="00C93050" w:rsidRDefault="006B196F"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In rural India, fish culture is usually practiced in unmanaged village ponds. These ponds have no proper biosecurity and depend only on natural productivity. Farmers rarely exchange water, leading to poor quality with high pH, ammonia, and biological oxygen demand (BOD), and low dissolved oxygen (DO) [8]. Such conditions put the fish under stress, lower their immunity, and make them more vulnerable to pathogens. Human and animal waste also enters with rainwater, bringing enteric bacteria that easily infect the fish [26].</w:t>
      </w:r>
    </w:p>
    <w:p w14:paraId="03B54AA9" w14:textId="2DD7493D" w:rsidR="006B196F" w:rsidRPr="00C93050" w:rsidRDefault="006B196F"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Members of the family Enterobacteriaceae are common in sewage and aquatic environments. The </w:t>
      </w:r>
      <w:r w:rsidRPr="00C93050">
        <w:rPr>
          <w:rFonts w:ascii="Times New Roman" w:hAnsi="Times New Roman" w:cs="Times New Roman"/>
          <w:i/>
          <w:iCs/>
          <w:sz w:val="24"/>
          <w:szCs w:val="24"/>
        </w:rPr>
        <w:t>Enterobacter cloacae</w:t>
      </w:r>
      <w:r w:rsidRPr="00C93050">
        <w:rPr>
          <w:rFonts w:ascii="Times New Roman" w:hAnsi="Times New Roman" w:cs="Times New Roman"/>
          <w:sz w:val="24"/>
          <w:szCs w:val="24"/>
        </w:rPr>
        <w:t> complex (ECC), earlier thought to be harmless, has gained importance because some species like </w:t>
      </w:r>
      <w:r w:rsidRPr="00C93050">
        <w:rPr>
          <w:rFonts w:ascii="Times New Roman" w:hAnsi="Times New Roman" w:cs="Times New Roman"/>
          <w:i/>
          <w:iCs/>
          <w:sz w:val="24"/>
          <w:szCs w:val="24"/>
        </w:rPr>
        <w:t xml:space="preserve">Enterobacter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xml:space="preserve"> are now reported as </w:t>
      </w:r>
      <w:r w:rsidRPr="00C93050">
        <w:rPr>
          <w:rFonts w:ascii="Times New Roman" w:hAnsi="Times New Roman" w:cs="Times New Roman"/>
          <w:sz w:val="24"/>
          <w:szCs w:val="24"/>
        </w:rPr>
        <w:lastRenderedPageBreak/>
        <w:t>opportunistic pathogens in humans, animals, and plants [21; 25]. Their occurrence in diseased fish suggests they may also be a problem in aquaculture. In addition, </w:t>
      </w:r>
      <w:r w:rsidRPr="00C93050">
        <w:rPr>
          <w:rFonts w:ascii="Times New Roman" w:hAnsi="Times New Roman" w:cs="Times New Roman"/>
          <w:i/>
          <w:iCs/>
          <w:sz w:val="24"/>
          <w:szCs w:val="24"/>
        </w:rPr>
        <w:t xml:space="preserve">E.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strains often carry antimicrobial resistance (AMR) genes, which is a concern for fish farmers as well as public health, linking the issue to the One Health concept [3</w:t>
      </w:r>
      <w:r w:rsidR="0024417C" w:rsidRPr="00C93050">
        <w:rPr>
          <w:rFonts w:ascii="Times New Roman" w:hAnsi="Times New Roman" w:cs="Times New Roman"/>
          <w:sz w:val="24"/>
          <w:szCs w:val="24"/>
        </w:rPr>
        <w:t>7</w:t>
      </w:r>
      <w:r w:rsidRPr="00C93050">
        <w:rPr>
          <w:rFonts w:ascii="Times New Roman" w:hAnsi="Times New Roman" w:cs="Times New Roman"/>
          <w:sz w:val="24"/>
          <w:szCs w:val="24"/>
        </w:rPr>
        <w:t>; 24</w:t>
      </w:r>
      <w:r w:rsidR="000650F7" w:rsidRPr="00C93050">
        <w:rPr>
          <w:rFonts w:ascii="Times New Roman" w:hAnsi="Times New Roman" w:cs="Times New Roman"/>
          <w:sz w:val="24"/>
          <w:szCs w:val="24"/>
        </w:rPr>
        <w:t xml:space="preserve">; </w:t>
      </w:r>
      <w:r w:rsidR="00EF5266" w:rsidRPr="00C93050">
        <w:rPr>
          <w:rFonts w:ascii="Times New Roman" w:hAnsi="Times New Roman" w:cs="Times New Roman"/>
          <w:sz w:val="24"/>
          <w:szCs w:val="24"/>
        </w:rPr>
        <w:t>29</w:t>
      </w:r>
      <w:r w:rsidRPr="00C93050">
        <w:rPr>
          <w:rFonts w:ascii="Times New Roman" w:hAnsi="Times New Roman" w:cs="Times New Roman"/>
          <w:sz w:val="24"/>
          <w:szCs w:val="24"/>
        </w:rPr>
        <w:t>]</w:t>
      </w:r>
      <w:r w:rsidRPr="00C93050">
        <w:rPr>
          <w:rFonts w:ascii="Times New Roman" w:hAnsi="Times New Roman" w:cs="Times New Roman"/>
          <w:b/>
          <w:bCs/>
          <w:sz w:val="24"/>
          <w:szCs w:val="24"/>
        </w:rPr>
        <w:t>.</w:t>
      </w:r>
      <w:r w:rsidRPr="00C93050">
        <w:rPr>
          <w:rFonts w:ascii="Times New Roman" w:hAnsi="Times New Roman" w:cs="Times New Roman"/>
          <w:sz w:val="24"/>
          <w:szCs w:val="24"/>
        </w:rPr>
        <w:t xml:space="preserve"> Still, there are very few reports of </w:t>
      </w:r>
      <w:r w:rsidRPr="00C93050">
        <w:rPr>
          <w:rFonts w:ascii="Times New Roman" w:hAnsi="Times New Roman" w:cs="Times New Roman"/>
          <w:i/>
          <w:iCs/>
          <w:sz w:val="24"/>
          <w:szCs w:val="24"/>
        </w:rPr>
        <w:t xml:space="preserve">E.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as a pathogen in Indian major carps.</w:t>
      </w:r>
    </w:p>
    <w:p w14:paraId="5CFDE7AC" w14:textId="35673A7E" w:rsidR="006B196F" w:rsidRPr="00C93050" w:rsidRDefault="006B196F"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The use of antibiotics in fish farming is common, but their misuse has created serious challenges</w:t>
      </w:r>
      <w:r w:rsidR="00EF5266" w:rsidRPr="00C93050">
        <w:rPr>
          <w:rFonts w:ascii="Times New Roman" w:hAnsi="Times New Roman" w:cs="Times New Roman"/>
          <w:sz w:val="24"/>
          <w:szCs w:val="24"/>
        </w:rPr>
        <w:t xml:space="preserve"> [32]</w:t>
      </w:r>
      <w:r w:rsidRPr="00C93050">
        <w:rPr>
          <w:rFonts w:ascii="Times New Roman" w:hAnsi="Times New Roman" w:cs="Times New Roman"/>
          <w:sz w:val="24"/>
          <w:szCs w:val="24"/>
        </w:rPr>
        <w:t>. Drug resistance in bacteria, drug residues in fish tissue, and contamination of ponds are now widely reported</w:t>
      </w:r>
      <w:r w:rsidRPr="00C93050">
        <w:rPr>
          <w:rFonts w:ascii="Times New Roman" w:hAnsi="Times New Roman" w:cs="Times New Roman"/>
          <w:b/>
          <w:bCs/>
          <w:sz w:val="24"/>
          <w:szCs w:val="24"/>
        </w:rPr>
        <w:t xml:space="preserve"> </w:t>
      </w:r>
      <w:r w:rsidRPr="00C93050">
        <w:rPr>
          <w:rFonts w:ascii="Times New Roman" w:hAnsi="Times New Roman" w:cs="Times New Roman"/>
          <w:sz w:val="24"/>
          <w:szCs w:val="24"/>
        </w:rPr>
        <w:t>[</w:t>
      </w:r>
      <w:r w:rsidR="0024417C" w:rsidRPr="00C93050">
        <w:rPr>
          <w:rFonts w:ascii="Times New Roman" w:hAnsi="Times New Roman" w:cs="Times New Roman"/>
          <w:sz w:val="24"/>
          <w:szCs w:val="24"/>
        </w:rPr>
        <w:t>11; 12</w:t>
      </w:r>
      <w:r w:rsidR="00EF5266" w:rsidRPr="00C93050">
        <w:rPr>
          <w:rFonts w:ascii="Times New Roman" w:hAnsi="Times New Roman" w:cs="Times New Roman"/>
          <w:sz w:val="24"/>
          <w:szCs w:val="24"/>
        </w:rPr>
        <w:t>; 16</w:t>
      </w:r>
      <w:r w:rsidRPr="00C93050">
        <w:rPr>
          <w:rFonts w:ascii="Times New Roman" w:hAnsi="Times New Roman" w:cs="Times New Roman"/>
          <w:sz w:val="24"/>
          <w:szCs w:val="24"/>
        </w:rPr>
        <w:t>].</w:t>
      </w:r>
      <w:r w:rsidRPr="00C93050">
        <w:rPr>
          <w:rFonts w:ascii="Times New Roman" w:hAnsi="Times New Roman" w:cs="Times New Roman"/>
          <w:b/>
          <w:bCs/>
          <w:sz w:val="24"/>
          <w:szCs w:val="24"/>
        </w:rPr>
        <w:t xml:space="preserve"> </w:t>
      </w:r>
      <w:r w:rsidRPr="00C93050">
        <w:rPr>
          <w:rFonts w:ascii="Times New Roman" w:hAnsi="Times New Roman" w:cs="Times New Roman"/>
          <w:sz w:val="24"/>
          <w:szCs w:val="24"/>
        </w:rPr>
        <w:t>Among the various option, plant-based bioactive compounds are becoming more popular among the various options since they are natural, biodegradable, target a range of bacteria, and are less likely to induce resistance [30; 36].</w:t>
      </w:r>
    </w:p>
    <w:p w14:paraId="13AD86C1" w14:textId="30B8FF32" w:rsidR="006B196F" w:rsidRPr="00C93050" w:rsidRDefault="006B196F"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Turmeric (</w:t>
      </w:r>
      <w:r w:rsidRPr="00C93050">
        <w:rPr>
          <w:rFonts w:ascii="Times New Roman" w:hAnsi="Times New Roman" w:cs="Times New Roman"/>
          <w:i/>
          <w:iCs/>
          <w:sz w:val="24"/>
          <w:szCs w:val="24"/>
        </w:rPr>
        <w:t>Curcuma longa</w:t>
      </w:r>
      <w:r w:rsidRPr="00C93050">
        <w:rPr>
          <w:rFonts w:ascii="Times New Roman" w:hAnsi="Times New Roman" w:cs="Times New Roman"/>
          <w:sz w:val="24"/>
          <w:szCs w:val="24"/>
        </w:rPr>
        <w:t xml:space="preserve"> L.), a spice that is frequently used in Indian homes and traditional medicine, contains a lot of curcumin. It has been reported to alter bacterial </w:t>
      </w:r>
      <w:proofErr w:type="spellStart"/>
      <w:r w:rsidRPr="00C93050">
        <w:rPr>
          <w:rFonts w:ascii="Times New Roman" w:hAnsi="Times New Roman" w:cs="Times New Roman"/>
          <w:sz w:val="24"/>
          <w:szCs w:val="24"/>
        </w:rPr>
        <w:t>signaling</w:t>
      </w:r>
      <w:proofErr w:type="spellEnd"/>
      <w:r w:rsidRPr="00C93050">
        <w:rPr>
          <w:rFonts w:ascii="Times New Roman" w:hAnsi="Times New Roman" w:cs="Times New Roman"/>
          <w:sz w:val="24"/>
          <w:szCs w:val="24"/>
        </w:rPr>
        <w:t>, damage their membranes, or inhibit nucleic acid synthesis [20; 35; 1]. Extracts from turmeric have been found to be effective against </w:t>
      </w:r>
      <w:r w:rsidRPr="00C93050">
        <w:rPr>
          <w:rFonts w:ascii="Times New Roman" w:hAnsi="Times New Roman" w:cs="Times New Roman"/>
          <w:i/>
          <w:iCs/>
          <w:sz w:val="24"/>
          <w:szCs w:val="24"/>
        </w:rPr>
        <w:t>Vibrio</w:t>
      </w:r>
      <w:r w:rsidRPr="00C93050">
        <w:rPr>
          <w:rFonts w:ascii="Times New Roman" w:hAnsi="Times New Roman" w:cs="Times New Roman"/>
          <w:sz w:val="24"/>
          <w:szCs w:val="24"/>
        </w:rPr>
        <w:t> spp. and </w:t>
      </w:r>
      <w:r w:rsidRPr="00C93050">
        <w:rPr>
          <w:rFonts w:ascii="Times New Roman" w:hAnsi="Times New Roman" w:cs="Times New Roman"/>
          <w:i/>
          <w:iCs/>
          <w:sz w:val="24"/>
          <w:szCs w:val="24"/>
        </w:rPr>
        <w:t xml:space="preserve">Aeromonas </w:t>
      </w:r>
      <w:proofErr w:type="spellStart"/>
      <w:r w:rsidRPr="00C93050">
        <w:rPr>
          <w:rFonts w:ascii="Times New Roman" w:hAnsi="Times New Roman" w:cs="Times New Roman"/>
          <w:i/>
          <w:iCs/>
          <w:sz w:val="24"/>
          <w:szCs w:val="24"/>
        </w:rPr>
        <w:t>hydrophila</w:t>
      </w:r>
      <w:proofErr w:type="spellEnd"/>
      <w:r w:rsidRPr="00C93050">
        <w:rPr>
          <w:rFonts w:ascii="Times New Roman" w:hAnsi="Times New Roman" w:cs="Times New Roman"/>
          <w:sz w:val="24"/>
          <w:szCs w:val="24"/>
        </w:rPr>
        <w:t xml:space="preserve">, two significant fish </w:t>
      </w:r>
      <w:r w:rsidR="00A06CEC" w:rsidRPr="00C93050">
        <w:rPr>
          <w:rFonts w:ascii="Times New Roman" w:hAnsi="Times New Roman" w:cs="Times New Roman"/>
          <w:sz w:val="24"/>
          <w:szCs w:val="24"/>
        </w:rPr>
        <w:t>pathogens</w:t>
      </w:r>
      <w:r w:rsidRPr="00C93050">
        <w:rPr>
          <w:rFonts w:ascii="Times New Roman" w:hAnsi="Times New Roman" w:cs="Times New Roman"/>
          <w:sz w:val="24"/>
          <w:szCs w:val="24"/>
        </w:rPr>
        <w:t>. [15; 23]. But information on its activity against </w:t>
      </w:r>
      <w:r w:rsidRPr="00C93050">
        <w:rPr>
          <w:rFonts w:ascii="Times New Roman" w:hAnsi="Times New Roman" w:cs="Times New Roman"/>
          <w:i/>
          <w:iCs/>
          <w:sz w:val="24"/>
          <w:szCs w:val="24"/>
        </w:rPr>
        <w:t xml:space="preserve">E.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from sewage-impacted ponds is missing.</w:t>
      </w:r>
    </w:p>
    <w:p w14:paraId="031768B8" w14:textId="77777777" w:rsidR="006B196F" w:rsidRPr="00C93050" w:rsidRDefault="006B196F"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Thus, the objectives of this study were: (</w:t>
      </w:r>
      <w:proofErr w:type="spellStart"/>
      <w:r w:rsidRPr="00C93050">
        <w:rPr>
          <w:rFonts w:ascii="Times New Roman" w:hAnsi="Times New Roman" w:cs="Times New Roman"/>
          <w:sz w:val="24"/>
          <w:szCs w:val="24"/>
        </w:rPr>
        <w:t>i</w:t>
      </w:r>
      <w:proofErr w:type="spellEnd"/>
      <w:r w:rsidRPr="00C93050">
        <w:rPr>
          <w:rFonts w:ascii="Times New Roman" w:hAnsi="Times New Roman" w:cs="Times New Roman"/>
          <w:sz w:val="24"/>
          <w:szCs w:val="24"/>
        </w:rPr>
        <w:t>) to isolate and identify </w:t>
      </w:r>
      <w:r w:rsidRPr="00C93050">
        <w:rPr>
          <w:rFonts w:ascii="Times New Roman" w:hAnsi="Times New Roman" w:cs="Times New Roman"/>
          <w:i/>
          <w:iCs/>
          <w:sz w:val="24"/>
          <w:szCs w:val="24"/>
        </w:rPr>
        <w:t xml:space="preserve">Enterobacter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from infected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i/>
          <w:iCs/>
          <w:sz w:val="24"/>
          <w:szCs w:val="24"/>
        </w:rPr>
        <w:t xml:space="preserve">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sz w:val="24"/>
          <w:szCs w:val="24"/>
        </w:rPr>
        <w:t> raised in an unmanaged village pond, and (ii) to determine the </w:t>
      </w:r>
      <w:r w:rsidRPr="00C93050">
        <w:rPr>
          <w:rFonts w:ascii="Times New Roman" w:hAnsi="Times New Roman" w:cs="Times New Roman"/>
          <w:i/>
          <w:iCs/>
          <w:sz w:val="24"/>
          <w:szCs w:val="24"/>
        </w:rPr>
        <w:t>in vitro</w:t>
      </w:r>
      <w:r w:rsidRPr="00C93050">
        <w:rPr>
          <w:rFonts w:ascii="Times New Roman" w:hAnsi="Times New Roman" w:cs="Times New Roman"/>
          <w:sz w:val="24"/>
          <w:szCs w:val="24"/>
        </w:rPr>
        <w:t> antibacterial activity of an aqueous extract of </w:t>
      </w:r>
      <w:r w:rsidRPr="00C93050">
        <w:rPr>
          <w:rFonts w:ascii="Times New Roman" w:hAnsi="Times New Roman" w:cs="Times New Roman"/>
          <w:i/>
          <w:iCs/>
          <w:sz w:val="24"/>
          <w:szCs w:val="24"/>
        </w:rPr>
        <w:t>Curcuma longa</w:t>
      </w:r>
      <w:r w:rsidRPr="00C93050">
        <w:rPr>
          <w:rFonts w:ascii="Times New Roman" w:hAnsi="Times New Roman" w:cs="Times New Roman"/>
          <w:sz w:val="24"/>
          <w:szCs w:val="24"/>
        </w:rPr>
        <w:t> against this pathogen.</w:t>
      </w:r>
    </w:p>
    <w:p w14:paraId="7F70BA10" w14:textId="6EBDF892" w:rsidR="003C5BF4" w:rsidRPr="00C93050" w:rsidRDefault="003C5BF4" w:rsidP="003C5BF4">
      <w:pPr>
        <w:jc w:val="both"/>
        <w:rPr>
          <w:rFonts w:ascii="Times New Roman" w:hAnsi="Times New Roman" w:cs="Times New Roman"/>
          <w:b/>
          <w:bCs/>
          <w:sz w:val="24"/>
          <w:szCs w:val="24"/>
        </w:rPr>
      </w:pPr>
      <w:r w:rsidRPr="00C93050">
        <w:rPr>
          <w:rFonts w:ascii="Times New Roman" w:hAnsi="Times New Roman" w:cs="Times New Roman"/>
          <w:b/>
          <w:bCs/>
          <w:sz w:val="24"/>
          <w:szCs w:val="24"/>
        </w:rPr>
        <w:t>2. Material &amp; Methods</w:t>
      </w:r>
    </w:p>
    <w:p w14:paraId="4627C341" w14:textId="3DA78CD9" w:rsidR="004E703E" w:rsidRPr="00C93050" w:rsidRDefault="004E703E" w:rsidP="003C5BF4">
      <w:pPr>
        <w:jc w:val="both"/>
        <w:rPr>
          <w:rFonts w:ascii="Times New Roman" w:hAnsi="Times New Roman" w:cs="Times New Roman"/>
          <w:b/>
          <w:bCs/>
          <w:sz w:val="24"/>
          <w:szCs w:val="24"/>
        </w:rPr>
      </w:pPr>
      <w:bookmarkStart w:id="3" w:name="_Hlk209178904"/>
      <w:r w:rsidRPr="00C93050">
        <w:rPr>
          <w:rFonts w:ascii="Times New Roman" w:hAnsi="Times New Roman" w:cs="Times New Roman"/>
          <w:b/>
          <w:bCs/>
          <w:sz w:val="24"/>
          <w:szCs w:val="24"/>
        </w:rPr>
        <w:t>2.1 Survey site and sample collection</w:t>
      </w:r>
    </w:p>
    <w:p w14:paraId="62D5FDE6" w14:textId="419A3ED1" w:rsidR="004E703E" w:rsidRPr="00C93050" w:rsidRDefault="004E703E" w:rsidP="00E2450C">
      <w:pPr>
        <w:ind w:firstLine="720"/>
        <w:jc w:val="both"/>
        <w:rPr>
          <w:rFonts w:ascii="Times New Roman" w:hAnsi="Times New Roman" w:cs="Times New Roman"/>
          <w:i/>
          <w:iCs/>
          <w:sz w:val="24"/>
          <w:szCs w:val="24"/>
        </w:rPr>
      </w:pP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i/>
          <w:iCs/>
          <w:sz w:val="24"/>
          <w:szCs w:val="24"/>
        </w:rPr>
        <w:t xml:space="preserve">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i/>
          <w:iCs/>
          <w:sz w:val="24"/>
          <w:szCs w:val="24"/>
        </w:rPr>
        <w:t xml:space="preserve"> </w:t>
      </w:r>
      <w:r w:rsidRPr="00C93050">
        <w:rPr>
          <w:rFonts w:ascii="Times New Roman" w:hAnsi="Times New Roman" w:cs="Times New Roman"/>
          <w:sz w:val="24"/>
          <w:szCs w:val="24"/>
        </w:rPr>
        <w:t xml:space="preserve">specimens exhibiting clinical signs of disease were collected from a village pond with no active management located in </w:t>
      </w:r>
      <w:proofErr w:type="spellStart"/>
      <w:r w:rsidRPr="00C93050">
        <w:rPr>
          <w:rFonts w:ascii="Times New Roman" w:hAnsi="Times New Roman" w:cs="Times New Roman"/>
          <w:sz w:val="24"/>
          <w:szCs w:val="24"/>
        </w:rPr>
        <w:t>Ladwa</w:t>
      </w:r>
      <w:proofErr w:type="spellEnd"/>
      <w:r w:rsidRPr="00C93050">
        <w:rPr>
          <w:rFonts w:ascii="Times New Roman" w:hAnsi="Times New Roman" w:cs="Times New Roman"/>
          <w:sz w:val="24"/>
          <w:szCs w:val="24"/>
        </w:rPr>
        <w:t>, Hisar</w:t>
      </w:r>
      <w:r w:rsidR="0061526B">
        <w:rPr>
          <w:rFonts w:ascii="Times New Roman" w:hAnsi="Times New Roman" w:cs="Times New Roman"/>
          <w:sz w:val="24"/>
          <w:szCs w:val="24"/>
        </w:rPr>
        <w:t xml:space="preserve"> (</w:t>
      </w:r>
      <w:r w:rsidR="0061526B" w:rsidRPr="0061526B">
        <w:rPr>
          <w:rFonts w:ascii="Times New Roman" w:hAnsi="Times New Roman" w:cs="Times New Roman"/>
          <w:sz w:val="24"/>
          <w:szCs w:val="24"/>
        </w:rPr>
        <w:t>29°04'05.2"N 75°48'01.8"E</w:t>
      </w:r>
      <w:r w:rsidR="0061526B">
        <w:rPr>
          <w:rFonts w:ascii="Times New Roman" w:hAnsi="Times New Roman" w:cs="Times New Roman"/>
          <w:sz w:val="24"/>
          <w:szCs w:val="24"/>
        </w:rPr>
        <w:t>).</w:t>
      </w:r>
      <w:r w:rsidRPr="00C93050">
        <w:rPr>
          <w:rFonts w:ascii="Times New Roman" w:hAnsi="Times New Roman" w:cs="Times New Roman"/>
          <w:sz w:val="24"/>
          <w:szCs w:val="24"/>
        </w:rPr>
        <w:t xml:space="preserve"> The pond (approximate area </w:t>
      </w:r>
      <w:r w:rsidR="009639D9">
        <w:rPr>
          <w:rFonts w:ascii="Times New Roman" w:hAnsi="Times New Roman" w:cs="Times New Roman"/>
          <w:sz w:val="24"/>
          <w:szCs w:val="24"/>
        </w:rPr>
        <w:t>2-hectare</w:t>
      </w:r>
      <w:r w:rsidRPr="00C93050">
        <w:rPr>
          <w:rFonts w:ascii="Times New Roman" w:hAnsi="Times New Roman" w:cs="Times New Roman"/>
          <w:sz w:val="24"/>
          <w:szCs w:val="24"/>
        </w:rPr>
        <w:t xml:space="preserve">, average depth ~1.5 m) was stocked with Indian major carp fingerlings at a density of ~12,000 per hectare. The pond received no scientific management; operators did not provide supplemental feed, control water quality, or perform water exchanges except through rainfall. For this study, diseased </w:t>
      </w:r>
      <w:proofErr w:type="spellStart"/>
      <w:r w:rsidRPr="00C93050">
        <w:rPr>
          <w:rFonts w:ascii="Times New Roman" w:hAnsi="Times New Roman" w:cs="Times New Roman"/>
          <w:sz w:val="24"/>
          <w:szCs w:val="24"/>
        </w:rPr>
        <w:t>catla</w:t>
      </w:r>
      <w:proofErr w:type="spellEnd"/>
      <w:r w:rsidRPr="00C93050">
        <w:rPr>
          <w:rFonts w:ascii="Times New Roman" w:hAnsi="Times New Roman" w:cs="Times New Roman"/>
          <w:sz w:val="24"/>
          <w:szCs w:val="24"/>
        </w:rPr>
        <w:t xml:space="preserve"> were collected, packed in oxygen-filled polythene bags, and transported to the Aquatic Animal Health Management Laboratory, College of Fisheries Sciences (COFS), Hisar, for examination. Fish collection and handling procedures were approved by the Institutional Animal Ethics Committee of COFS, Hisar.</w:t>
      </w:r>
    </w:p>
    <w:p w14:paraId="147EB32B" w14:textId="5FBFF990" w:rsidR="003C5BF4" w:rsidRPr="00C93050" w:rsidRDefault="003C5BF4" w:rsidP="003C5BF4">
      <w:pPr>
        <w:jc w:val="both"/>
        <w:rPr>
          <w:rFonts w:ascii="Times New Roman" w:hAnsi="Times New Roman" w:cs="Times New Roman"/>
          <w:b/>
          <w:bCs/>
          <w:sz w:val="24"/>
          <w:szCs w:val="24"/>
        </w:rPr>
      </w:pPr>
      <w:r w:rsidRPr="00C93050">
        <w:rPr>
          <w:rFonts w:ascii="Times New Roman" w:hAnsi="Times New Roman" w:cs="Times New Roman"/>
          <w:b/>
          <w:bCs/>
          <w:sz w:val="24"/>
          <w:szCs w:val="24"/>
        </w:rPr>
        <w:t>2.2 Isolation of bacterial isolate</w:t>
      </w:r>
    </w:p>
    <w:p w14:paraId="4F920849" w14:textId="44FC7E45" w:rsidR="002D145C" w:rsidRPr="00C93050" w:rsidRDefault="003247C4"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 xml:space="preserve">In the laboratory, the diseased fish were first euthanized as per ethical guidelines. </w:t>
      </w:r>
      <w:r w:rsidR="007D5C27" w:rsidRPr="007D5C27">
        <w:rPr>
          <w:rFonts w:ascii="Times New Roman" w:hAnsi="Times New Roman" w:cs="Times New Roman"/>
          <w:sz w:val="24"/>
          <w:szCs w:val="24"/>
        </w:rPr>
        <w:t>Approximately 1g of gill tissue was aseptically collected from each fis</w:t>
      </w:r>
      <w:r w:rsidRPr="00C93050">
        <w:rPr>
          <w:rFonts w:ascii="Times New Roman" w:hAnsi="Times New Roman" w:cs="Times New Roman"/>
          <w:sz w:val="24"/>
          <w:szCs w:val="24"/>
        </w:rPr>
        <w:t xml:space="preserve">h. This was homogenized in 9 mL of sterile phosphate-buffered saline (PBS) with the help of a tissue homogenizer. Serial dilutions (10-fold) were made, and 100 µL from each dilution was spread on Tryptic Soy Agar (TSA; </w:t>
      </w:r>
      <w:proofErr w:type="spellStart"/>
      <w:r w:rsidRPr="00C93050">
        <w:rPr>
          <w:rFonts w:ascii="Times New Roman" w:hAnsi="Times New Roman" w:cs="Times New Roman"/>
          <w:sz w:val="24"/>
          <w:szCs w:val="24"/>
        </w:rPr>
        <w:t>HiMedia</w:t>
      </w:r>
      <w:proofErr w:type="spellEnd"/>
      <w:r w:rsidRPr="00C93050">
        <w:rPr>
          <w:rFonts w:ascii="Times New Roman" w:hAnsi="Times New Roman" w:cs="Times New Roman"/>
          <w:sz w:val="24"/>
          <w:szCs w:val="24"/>
        </w:rPr>
        <w:t xml:space="preserve">, India) plates. All steps were carried out in triplicate under aseptic conditions inside a biosafety cabinet. </w:t>
      </w:r>
      <w:r w:rsidR="002D145C" w:rsidRPr="00C93050">
        <w:rPr>
          <w:rFonts w:ascii="Times New Roman" w:hAnsi="Times New Roman" w:cs="Times New Roman"/>
          <w:sz w:val="24"/>
          <w:szCs w:val="24"/>
        </w:rPr>
        <w:t xml:space="preserve">The inoculated plates were incubated at 30 </w:t>
      </w:r>
      <w:r w:rsidR="009B748C" w:rsidRPr="00C93050">
        <w:rPr>
          <w:rFonts w:ascii="Times New Roman" w:hAnsi="Times New Roman" w:cs="Times New Roman"/>
          <w:sz w:val="24"/>
          <w:szCs w:val="24"/>
        </w:rPr>
        <w:t>± 2</w:t>
      </w:r>
      <w:r w:rsidR="002D145C" w:rsidRPr="00C93050">
        <w:rPr>
          <w:rFonts w:ascii="Times New Roman" w:hAnsi="Times New Roman" w:cs="Times New Roman"/>
          <w:sz w:val="24"/>
          <w:szCs w:val="24"/>
        </w:rPr>
        <w:t xml:space="preserve">°C for 24–48 h. After incubation, morphologically distinct colonies were picked and streaked onto fresh Nutrient Agar (NA; </w:t>
      </w:r>
      <w:proofErr w:type="spellStart"/>
      <w:r w:rsidR="002D145C" w:rsidRPr="00C93050">
        <w:rPr>
          <w:rFonts w:ascii="Times New Roman" w:hAnsi="Times New Roman" w:cs="Times New Roman"/>
          <w:sz w:val="24"/>
          <w:szCs w:val="24"/>
        </w:rPr>
        <w:t>HiMedia</w:t>
      </w:r>
      <w:proofErr w:type="spellEnd"/>
      <w:r w:rsidR="002D145C" w:rsidRPr="00C93050">
        <w:rPr>
          <w:rFonts w:ascii="Times New Roman" w:hAnsi="Times New Roman" w:cs="Times New Roman"/>
          <w:sz w:val="24"/>
          <w:szCs w:val="24"/>
        </w:rPr>
        <w:t xml:space="preserve">, India) plates to obtain pure isolates, which were further incubated at 30 </w:t>
      </w:r>
      <w:r w:rsidR="00F70B8D" w:rsidRPr="00C93050">
        <w:rPr>
          <w:rFonts w:ascii="Times New Roman" w:hAnsi="Times New Roman" w:cs="Times New Roman"/>
          <w:sz w:val="24"/>
          <w:szCs w:val="24"/>
        </w:rPr>
        <w:t>± 2</w:t>
      </w:r>
      <w:r w:rsidR="002D145C" w:rsidRPr="00C93050">
        <w:rPr>
          <w:rFonts w:ascii="Times New Roman" w:hAnsi="Times New Roman" w:cs="Times New Roman"/>
          <w:sz w:val="24"/>
          <w:szCs w:val="24"/>
        </w:rPr>
        <w:t>°C for 24 h. Pure cultures were preserved on NA slants at 4 °C for short-term use and stored in 20% glycerol stocks at −80 °C for long-term preservation.</w:t>
      </w:r>
    </w:p>
    <w:p w14:paraId="78D97918" w14:textId="77777777" w:rsidR="003C5BF4" w:rsidRPr="00C93050" w:rsidRDefault="003C5BF4" w:rsidP="003C5BF4">
      <w:pPr>
        <w:jc w:val="both"/>
        <w:rPr>
          <w:rFonts w:ascii="Times New Roman" w:hAnsi="Times New Roman" w:cs="Times New Roman"/>
          <w:b/>
          <w:sz w:val="24"/>
          <w:szCs w:val="24"/>
        </w:rPr>
      </w:pPr>
      <w:r w:rsidRPr="00C93050">
        <w:rPr>
          <w:rFonts w:ascii="Times New Roman" w:hAnsi="Times New Roman" w:cs="Times New Roman"/>
          <w:b/>
          <w:sz w:val="24"/>
          <w:szCs w:val="24"/>
        </w:rPr>
        <w:t xml:space="preserve">2.3 Morphological and Biochemical Characterization </w:t>
      </w:r>
    </w:p>
    <w:p w14:paraId="2AE12F1B" w14:textId="40026DA5" w:rsidR="00E2450C" w:rsidRPr="00C93050" w:rsidRDefault="003C5BF4" w:rsidP="00C93050">
      <w:pPr>
        <w:ind w:firstLine="720"/>
        <w:jc w:val="both"/>
        <w:rPr>
          <w:rFonts w:ascii="Times New Roman" w:hAnsi="Times New Roman" w:cs="Times New Roman"/>
          <w:sz w:val="24"/>
          <w:szCs w:val="24"/>
        </w:rPr>
      </w:pPr>
      <w:r w:rsidRPr="00C93050">
        <w:rPr>
          <w:rFonts w:ascii="Times New Roman" w:hAnsi="Times New Roman" w:cs="Times New Roman"/>
          <w:sz w:val="24"/>
          <w:szCs w:val="24"/>
        </w:rPr>
        <w:lastRenderedPageBreak/>
        <w:t xml:space="preserve">Pure bacterial isolates were examined for colony characteristics (e.g., colour, shape, elevation, margin, and texture). Gram staining was performed as a primary step. Standard biochemical tests were conducted, including catalase, oxidase, KOH solubility, urease, Simmons citrate, motility, methyl red, indole, H₂S production, lysine decarboxylase, and carbohydrate fermentation (glucose, lactose), following Bergey’s Manual of Determinative Bacteriology </w:t>
      </w:r>
      <w:r w:rsidR="006B196F" w:rsidRPr="00C93050">
        <w:rPr>
          <w:rFonts w:ascii="Times New Roman" w:hAnsi="Times New Roman" w:cs="Times New Roman"/>
          <w:sz w:val="24"/>
          <w:szCs w:val="24"/>
        </w:rPr>
        <w:t>[22]</w:t>
      </w:r>
      <w:r w:rsidR="006B196F" w:rsidRPr="00C93050">
        <w:rPr>
          <w:rFonts w:ascii="Times New Roman" w:hAnsi="Times New Roman" w:cs="Times New Roman"/>
          <w:b/>
          <w:sz w:val="24"/>
          <w:szCs w:val="24"/>
        </w:rPr>
        <w:t>.</w:t>
      </w:r>
    </w:p>
    <w:p w14:paraId="68DC12CE" w14:textId="70ACA920" w:rsidR="009A52A4" w:rsidRPr="00C93050" w:rsidRDefault="003C5BF4" w:rsidP="00AA249D">
      <w:pPr>
        <w:jc w:val="both"/>
        <w:rPr>
          <w:rFonts w:ascii="Times New Roman" w:hAnsi="Times New Roman" w:cs="Times New Roman"/>
          <w:b/>
          <w:sz w:val="24"/>
          <w:szCs w:val="24"/>
        </w:rPr>
      </w:pPr>
      <w:r w:rsidRPr="00C93050">
        <w:rPr>
          <w:rFonts w:ascii="Times New Roman" w:hAnsi="Times New Roman" w:cs="Times New Roman"/>
          <w:b/>
          <w:sz w:val="24"/>
          <w:szCs w:val="24"/>
        </w:rPr>
        <w:t>2.</w:t>
      </w:r>
      <w:r w:rsidR="009F4A10" w:rsidRPr="00C93050">
        <w:rPr>
          <w:rFonts w:ascii="Times New Roman" w:hAnsi="Times New Roman" w:cs="Times New Roman"/>
          <w:b/>
          <w:sz w:val="24"/>
          <w:szCs w:val="24"/>
        </w:rPr>
        <w:t>4</w:t>
      </w:r>
      <w:r w:rsidRPr="00C93050">
        <w:rPr>
          <w:rFonts w:ascii="Times New Roman" w:hAnsi="Times New Roman" w:cs="Times New Roman"/>
          <w:b/>
          <w:sz w:val="24"/>
          <w:szCs w:val="24"/>
        </w:rPr>
        <w:t xml:space="preserve"> Molecular characteristics of bacterial isolate</w:t>
      </w:r>
      <w:r w:rsidR="00BC2805" w:rsidRPr="00C93050">
        <w:rPr>
          <w:rFonts w:ascii="Times New Roman" w:hAnsi="Times New Roman" w:cs="Times New Roman"/>
          <w:b/>
          <w:sz w:val="24"/>
          <w:szCs w:val="24"/>
        </w:rPr>
        <w:t xml:space="preserve"> </w:t>
      </w:r>
    </w:p>
    <w:p w14:paraId="529EE4F4" w14:textId="51933122" w:rsidR="00D7487F" w:rsidRPr="00C93050" w:rsidRDefault="00AA249D" w:rsidP="00E2450C">
      <w:pPr>
        <w:ind w:firstLine="720"/>
        <w:jc w:val="both"/>
        <w:rPr>
          <w:rFonts w:ascii="Times New Roman" w:hAnsi="Times New Roman" w:cs="Times New Roman"/>
          <w:bCs/>
          <w:sz w:val="24"/>
          <w:szCs w:val="24"/>
        </w:rPr>
      </w:pPr>
      <w:r w:rsidRPr="00C93050">
        <w:rPr>
          <w:rFonts w:ascii="Times New Roman" w:hAnsi="Times New Roman" w:cs="Times New Roman"/>
          <w:bCs/>
          <w:sz w:val="24"/>
          <w:szCs w:val="24"/>
        </w:rPr>
        <w:t xml:space="preserve">Genomic DNA was extracted from a 24-hour-old pure culture using the </w:t>
      </w:r>
      <w:proofErr w:type="spellStart"/>
      <w:r w:rsidRPr="00C93050">
        <w:rPr>
          <w:rFonts w:ascii="Times New Roman" w:hAnsi="Times New Roman" w:cs="Times New Roman"/>
          <w:bCs/>
          <w:sz w:val="24"/>
          <w:szCs w:val="24"/>
        </w:rPr>
        <w:t>HiPurA</w:t>
      </w:r>
      <w:proofErr w:type="spellEnd"/>
      <w:r w:rsidRPr="00C93050">
        <w:rPr>
          <w:rFonts w:ascii="Times New Roman" w:hAnsi="Times New Roman" w:cs="Times New Roman"/>
          <w:bCs/>
          <w:sz w:val="24"/>
          <w:szCs w:val="24"/>
        </w:rPr>
        <w:t xml:space="preserve">® Bacterial Genomic DNA Purification Kit (MB505, </w:t>
      </w:r>
      <w:proofErr w:type="spellStart"/>
      <w:r w:rsidRPr="00C93050">
        <w:rPr>
          <w:rFonts w:ascii="Times New Roman" w:hAnsi="Times New Roman" w:cs="Times New Roman"/>
          <w:bCs/>
          <w:sz w:val="24"/>
          <w:szCs w:val="24"/>
        </w:rPr>
        <w:t>HiMedia</w:t>
      </w:r>
      <w:proofErr w:type="spellEnd"/>
      <w:r w:rsidRPr="00C93050">
        <w:rPr>
          <w:rFonts w:ascii="Times New Roman" w:hAnsi="Times New Roman" w:cs="Times New Roman"/>
          <w:bCs/>
          <w:sz w:val="24"/>
          <w:szCs w:val="24"/>
        </w:rPr>
        <w:t xml:space="preserve">) following the manufacturer’s instructions. </w:t>
      </w:r>
      <w:r w:rsidR="000C5546" w:rsidRPr="00C93050">
        <w:rPr>
          <w:rFonts w:ascii="Times New Roman" w:hAnsi="Times New Roman" w:cs="Times New Roman"/>
          <w:bCs/>
          <w:sz w:val="24"/>
          <w:szCs w:val="24"/>
        </w:rPr>
        <w:t xml:space="preserve">The 16S rRNA gene was amplified with the </w:t>
      </w:r>
      <w:proofErr w:type="spellStart"/>
      <w:r w:rsidR="000C5546" w:rsidRPr="00C93050">
        <w:rPr>
          <w:rFonts w:ascii="Times New Roman" w:hAnsi="Times New Roman" w:cs="Times New Roman"/>
          <w:bCs/>
          <w:sz w:val="24"/>
          <w:szCs w:val="24"/>
        </w:rPr>
        <w:t>HiMedia</w:t>
      </w:r>
      <w:proofErr w:type="spellEnd"/>
      <w:r w:rsidR="000C5546" w:rsidRPr="00C93050">
        <w:rPr>
          <w:rFonts w:ascii="Times New Roman" w:hAnsi="Times New Roman" w:cs="Times New Roman"/>
          <w:bCs/>
          <w:sz w:val="24"/>
          <w:szCs w:val="24"/>
        </w:rPr>
        <w:t xml:space="preserve"> Hi-PCR® 16S rRNA Semi-Q PCR Kit. Two universal primers were used: 27F (5′-CCA GAG TTT GAT CMT GGC TCA G-3′) and 1492R (5′-TAC GGY TAC CTT GTT ACG ACT T-3′). PCR cycling conditions included an initial denaturation at 94 °C for 5 min, followed by 30 cycles of denaturation at 95 °C for 30 s, annealing at 60 °C for 30 s, and extension at 72 °C for 45 s. A final extension step was run at 72 °C for 5 min. Amplicons were cleaned with </w:t>
      </w:r>
      <w:proofErr w:type="spellStart"/>
      <w:r w:rsidR="000C5546" w:rsidRPr="00C93050">
        <w:rPr>
          <w:rFonts w:ascii="Times New Roman" w:hAnsi="Times New Roman" w:cs="Times New Roman"/>
          <w:bCs/>
          <w:sz w:val="24"/>
          <w:szCs w:val="24"/>
        </w:rPr>
        <w:t>HiPurA</w:t>
      </w:r>
      <w:proofErr w:type="spellEnd"/>
      <w:r w:rsidR="000C5546" w:rsidRPr="00C93050">
        <w:rPr>
          <w:rFonts w:ascii="Times New Roman" w:hAnsi="Times New Roman" w:cs="Times New Roman"/>
          <w:bCs/>
          <w:sz w:val="24"/>
          <w:szCs w:val="24"/>
        </w:rPr>
        <w:t>® Mag Beads (</w:t>
      </w:r>
      <w:proofErr w:type="spellStart"/>
      <w:r w:rsidR="000C5546" w:rsidRPr="00C93050">
        <w:rPr>
          <w:rFonts w:ascii="Times New Roman" w:hAnsi="Times New Roman" w:cs="Times New Roman"/>
          <w:bCs/>
          <w:sz w:val="24"/>
          <w:szCs w:val="24"/>
        </w:rPr>
        <w:t>HiMedia</w:t>
      </w:r>
      <w:proofErr w:type="spellEnd"/>
      <w:r w:rsidR="000C5546" w:rsidRPr="00C93050">
        <w:rPr>
          <w:rFonts w:ascii="Times New Roman" w:hAnsi="Times New Roman" w:cs="Times New Roman"/>
          <w:bCs/>
          <w:sz w:val="24"/>
          <w:szCs w:val="24"/>
        </w:rPr>
        <w:t xml:space="preserve">) following the supplier’s instructions. The purified products were checked on a 1.5% agarose gel stained with ethidium bromide. PCR products were then subjected to Sanger sequencing </w:t>
      </w:r>
      <w:r w:rsidR="006B196F" w:rsidRPr="00C93050">
        <w:rPr>
          <w:rFonts w:ascii="Times New Roman" w:hAnsi="Times New Roman" w:cs="Times New Roman"/>
          <w:bCs/>
          <w:sz w:val="24"/>
          <w:szCs w:val="24"/>
        </w:rPr>
        <w:t>[2]</w:t>
      </w:r>
      <w:r w:rsidR="000C5546" w:rsidRPr="00C93050">
        <w:rPr>
          <w:rFonts w:ascii="Times New Roman" w:hAnsi="Times New Roman" w:cs="Times New Roman"/>
          <w:bCs/>
          <w:sz w:val="24"/>
          <w:szCs w:val="24"/>
        </w:rPr>
        <w:t xml:space="preserve">, </w:t>
      </w:r>
      <w:r w:rsidRPr="00C93050">
        <w:rPr>
          <w:rFonts w:ascii="Times New Roman" w:hAnsi="Times New Roman" w:cs="Times New Roman"/>
          <w:bCs/>
          <w:sz w:val="24"/>
          <w:szCs w:val="24"/>
        </w:rPr>
        <w:t>and sequences were compared with NCBI’s 16S rRNA database using BLAST</w:t>
      </w:r>
      <w:r w:rsidR="00291B75" w:rsidRPr="00C93050">
        <w:rPr>
          <w:rFonts w:ascii="Times New Roman" w:hAnsi="Times New Roman" w:cs="Times New Roman"/>
          <w:bCs/>
          <w:sz w:val="24"/>
          <w:szCs w:val="24"/>
        </w:rPr>
        <w:t xml:space="preserve">. </w:t>
      </w:r>
      <w:r w:rsidRPr="00C93050">
        <w:rPr>
          <w:rFonts w:ascii="Times New Roman" w:hAnsi="Times New Roman" w:cs="Times New Roman"/>
          <w:bCs/>
          <w:sz w:val="24"/>
          <w:szCs w:val="24"/>
        </w:rPr>
        <w:t xml:space="preserve">Phylogenetic analysis was conducted using MEGA 12 software. </w:t>
      </w:r>
      <w:proofErr w:type="spellStart"/>
      <w:r w:rsidRPr="00C93050">
        <w:rPr>
          <w:rFonts w:ascii="Times New Roman" w:hAnsi="Times New Roman" w:cs="Times New Roman"/>
          <w:bCs/>
          <w:sz w:val="24"/>
          <w:szCs w:val="24"/>
        </w:rPr>
        <w:t>Neighbor</w:t>
      </w:r>
      <w:proofErr w:type="spellEnd"/>
      <w:r w:rsidRPr="00C93050">
        <w:rPr>
          <w:rFonts w:ascii="Times New Roman" w:hAnsi="Times New Roman" w:cs="Times New Roman"/>
          <w:bCs/>
          <w:sz w:val="24"/>
          <w:szCs w:val="24"/>
        </w:rPr>
        <w:t xml:space="preserve">-Joining trees were constructed </w:t>
      </w:r>
      <w:r w:rsidR="006B196F" w:rsidRPr="00C93050">
        <w:rPr>
          <w:rFonts w:ascii="Times New Roman" w:hAnsi="Times New Roman" w:cs="Times New Roman"/>
          <w:bCs/>
          <w:sz w:val="24"/>
          <w:szCs w:val="24"/>
        </w:rPr>
        <w:t>[33]</w:t>
      </w:r>
      <w:r w:rsidRPr="00C93050">
        <w:rPr>
          <w:rFonts w:ascii="Times New Roman" w:hAnsi="Times New Roman" w:cs="Times New Roman"/>
          <w:bCs/>
          <w:sz w:val="24"/>
          <w:szCs w:val="24"/>
        </w:rPr>
        <w:t xml:space="preserve"> and validated with 1,000 bootstrap replications. Reference sequences were retrieved from NCBI GenBank using accession numbers.</w:t>
      </w:r>
    </w:p>
    <w:p w14:paraId="55BF88FD" w14:textId="3875D500" w:rsidR="00CE483C" w:rsidRPr="00C93050" w:rsidRDefault="003C5BF4" w:rsidP="003C5BF4">
      <w:pPr>
        <w:jc w:val="both"/>
        <w:rPr>
          <w:rFonts w:ascii="Times New Roman" w:hAnsi="Times New Roman" w:cs="Times New Roman"/>
          <w:sz w:val="24"/>
          <w:szCs w:val="24"/>
        </w:rPr>
      </w:pPr>
      <w:r w:rsidRPr="00C93050">
        <w:rPr>
          <w:rFonts w:ascii="Times New Roman" w:hAnsi="Times New Roman" w:cs="Times New Roman"/>
          <w:b/>
          <w:sz w:val="24"/>
          <w:szCs w:val="24"/>
        </w:rPr>
        <w:t>2.</w:t>
      </w:r>
      <w:r w:rsidR="009F4A10" w:rsidRPr="00C93050">
        <w:rPr>
          <w:rFonts w:ascii="Times New Roman" w:hAnsi="Times New Roman" w:cs="Times New Roman"/>
          <w:b/>
          <w:sz w:val="24"/>
          <w:szCs w:val="24"/>
        </w:rPr>
        <w:t xml:space="preserve">5 </w:t>
      </w:r>
      <w:r w:rsidRPr="00C93050">
        <w:rPr>
          <w:rFonts w:ascii="Times New Roman" w:hAnsi="Times New Roman" w:cs="Times New Roman"/>
          <w:b/>
          <w:sz w:val="24"/>
          <w:szCs w:val="24"/>
        </w:rPr>
        <w:t xml:space="preserve">Analysis of water quality of the </w:t>
      </w:r>
      <w:r w:rsidR="00CE483C" w:rsidRPr="00C93050">
        <w:rPr>
          <w:rFonts w:ascii="Times New Roman" w:hAnsi="Times New Roman" w:cs="Times New Roman"/>
          <w:b/>
          <w:bCs/>
          <w:sz w:val="24"/>
          <w:szCs w:val="24"/>
          <w:lang w:val="en-US"/>
        </w:rPr>
        <w:t xml:space="preserve">unmanaged </w:t>
      </w:r>
      <w:r w:rsidR="00CE483C" w:rsidRPr="00C93050">
        <w:rPr>
          <w:rFonts w:ascii="Times New Roman" w:hAnsi="Times New Roman" w:cs="Times New Roman"/>
          <w:b/>
          <w:bCs/>
          <w:sz w:val="24"/>
          <w:szCs w:val="24"/>
        </w:rPr>
        <w:t>village</w:t>
      </w:r>
      <w:r w:rsidR="00CE483C" w:rsidRPr="00C93050">
        <w:rPr>
          <w:rFonts w:ascii="Times New Roman" w:hAnsi="Times New Roman" w:cs="Times New Roman"/>
          <w:b/>
          <w:bCs/>
          <w:sz w:val="24"/>
          <w:szCs w:val="24"/>
          <w:lang w:val="en-US"/>
        </w:rPr>
        <w:t xml:space="preserve"> pond</w:t>
      </w:r>
      <w:r w:rsidR="00CE483C" w:rsidRPr="00C93050">
        <w:rPr>
          <w:rFonts w:ascii="Times New Roman" w:hAnsi="Times New Roman" w:cs="Times New Roman"/>
          <w:sz w:val="24"/>
          <w:szCs w:val="24"/>
        </w:rPr>
        <w:t xml:space="preserve"> </w:t>
      </w:r>
    </w:p>
    <w:p w14:paraId="3DC0247A" w14:textId="4BEB4277" w:rsidR="003C5BF4" w:rsidRPr="00C93050" w:rsidRDefault="003C5BF4"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 xml:space="preserve">The water parameters including pH, dissolved oxygen (DO), biological oxygen demand (BOD), total dissolved solids (TDS), salinity, electrical conductivity (EC), alkalinity and total hardness were estimated following standard methods described </w:t>
      </w:r>
      <w:r w:rsidRPr="00C81B38">
        <w:rPr>
          <w:rFonts w:ascii="Times New Roman" w:hAnsi="Times New Roman" w:cs="Times New Roman"/>
          <w:sz w:val="24"/>
          <w:szCs w:val="24"/>
        </w:rPr>
        <w:t>by AP</w:t>
      </w:r>
      <w:r w:rsidR="00736B6E" w:rsidRPr="00C81B38">
        <w:rPr>
          <w:rFonts w:ascii="Times New Roman" w:hAnsi="Times New Roman" w:cs="Times New Roman"/>
          <w:sz w:val="24"/>
          <w:szCs w:val="24"/>
        </w:rPr>
        <w:t>HA</w:t>
      </w:r>
      <w:r w:rsidR="006B196F" w:rsidRPr="00C81B38">
        <w:rPr>
          <w:rFonts w:ascii="Times New Roman" w:hAnsi="Times New Roman" w:cs="Times New Roman"/>
          <w:sz w:val="24"/>
          <w:szCs w:val="24"/>
        </w:rPr>
        <w:t xml:space="preserve"> [3]</w:t>
      </w:r>
      <w:r w:rsidRPr="00C81B38">
        <w:rPr>
          <w:rFonts w:ascii="Times New Roman" w:hAnsi="Times New Roman" w:cs="Times New Roman"/>
          <w:b/>
          <w:bCs/>
          <w:sz w:val="24"/>
          <w:szCs w:val="24"/>
        </w:rPr>
        <w:t>.</w:t>
      </w:r>
      <w:r w:rsidRPr="00C93050">
        <w:rPr>
          <w:rFonts w:ascii="Times New Roman" w:hAnsi="Times New Roman" w:cs="Times New Roman"/>
          <w:sz w:val="24"/>
          <w:szCs w:val="24"/>
        </w:rPr>
        <w:t xml:space="preserve"> All measurements were performed in triplicate.</w:t>
      </w:r>
    </w:p>
    <w:p w14:paraId="4D455A58" w14:textId="54BFACC3" w:rsidR="00CD1A3E" w:rsidRPr="00C93050" w:rsidRDefault="009F4A10" w:rsidP="00CD1A3E">
      <w:pPr>
        <w:pStyle w:val="NormalWeb"/>
        <w:spacing w:before="0" w:beforeAutospacing="0" w:after="0" w:afterAutospacing="0" w:line="360" w:lineRule="auto"/>
        <w:jc w:val="both"/>
        <w:rPr>
          <w:rStyle w:val="Strong"/>
          <w:rFonts w:eastAsiaTheme="majorEastAsia"/>
          <w:b w:val="0"/>
          <w:bCs w:val="0"/>
          <w:color w:val="000000" w:themeColor="text1"/>
        </w:rPr>
      </w:pPr>
      <w:r w:rsidRPr="00C93050">
        <w:rPr>
          <w:rStyle w:val="Strong"/>
          <w:rFonts w:eastAsiaTheme="majorEastAsia"/>
          <w:i/>
          <w:iCs/>
          <w:color w:val="000000" w:themeColor="text1"/>
        </w:rPr>
        <w:t xml:space="preserve">2.6 </w:t>
      </w:r>
      <w:r w:rsidR="00CD1A3E" w:rsidRPr="00C93050">
        <w:rPr>
          <w:rStyle w:val="Strong"/>
          <w:rFonts w:eastAsiaTheme="majorEastAsia"/>
          <w:i/>
          <w:iCs/>
          <w:color w:val="000000" w:themeColor="text1"/>
        </w:rPr>
        <w:t>Curcuma longa</w:t>
      </w:r>
      <w:r w:rsidR="00CD1A3E" w:rsidRPr="00C93050">
        <w:rPr>
          <w:rStyle w:val="Strong"/>
          <w:rFonts w:eastAsiaTheme="majorEastAsia"/>
          <w:color w:val="000000" w:themeColor="text1"/>
        </w:rPr>
        <w:t xml:space="preserve"> aqueous extract preparation</w:t>
      </w:r>
    </w:p>
    <w:p w14:paraId="37455855" w14:textId="77777777" w:rsidR="00430F00" w:rsidRPr="00C93050" w:rsidRDefault="00430F00" w:rsidP="00E2450C">
      <w:pPr>
        <w:spacing w:before="240"/>
        <w:ind w:firstLine="720"/>
        <w:jc w:val="both"/>
        <w:rPr>
          <w:rFonts w:ascii="Times New Roman" w:eastAsiaTheme="majorEastAsia" w:hAnsi="Times New Roman" w:cs="Times New Roman"/>
          <w:i/>
          <w:iCs/>
          <w:kern w:val="0"/>
          <w:sz w:val="24"/>
          <w:szCs w:val="24"/>
          <w:lang w:eastAsia="en-IN" w:bidi="hi-IN"/>
          <w14:ligatures w14:val="none"/>
        </w:rPr>
      </w:pPr>
      <w:r w:rsidRPr="00C93050">
        <w:rPr>
          <w:rFonts w:ascii="Times New Roman" w:eastAsiaTheme="majorEastAsia" w:hAnsi="Times New Roman" w:cs="Times New Roman"/>
          <w:i/>
          <w:iCs/>
          <w:kern w:val="0"/>
          <w:sz w:val="24"/>
          <w:szCs w:val="24"/>
          <w:lang w:eastAsia="en-IN" w:bidi="hi-IN"/>
          <w14:ligatures w14:val="none"/>
        </w:rPr>
        <w:t xml:space="preserve">Curcuma longa </w:t>
      </w:r>
      <w:r w:rsidRPr="00C93050">
        <w:rPr>
          <w:rFonts w:ascii="Times New Roman" w:eastAsiaTheme="majorEastAsia" w:hAnsi="Times New Roman" w:cs="Times New Roman"/>
          <w:kern w:val="0"/>
          <w:sz w:val="24"/>
          <w:szCs w:val="24"/>
          <w:lang w:eastAsia="en-IN" w:bidi="hi-IN"/>
          <w14:ligatures w14:val="none"/>
        </w:rPr>
        <w:t>(turmeric) rhizomes were procured from the Medicinal, Aromatic and Potential Crops Section, Department of Genetics and Plant Breeding, CCSHAU, Hisar. The rhizomes were thoroughly washed with water, shade-dried, and ground using an electric mixer-grinder. Ten grams of turmeric powder were mixed with 100 ml of distilled water in a conical flask and incubated in an orbital shaking incubator at 120 rpm for 48 hours. The mixture was filtered through Whatman No.1 filter paper and centrifuged at 2500 × g for 10 minutes. The supernatant (aqueous extract) was collected and stored in an amber bottle at 4 °C until further use. Subsequently, the extract was concentrated using a rotary evaporator (Buchi R-300) and stored at −20 °C until further use.</w:t>
      </w:r>
    </w:p>
    <w:p w14:paraId="12830775" w14:textId="648401C9" w:rsidR="004958FE" w:rsidRPr="00C93050" w:rsidRDefault="009F4A10" w:rsidP="00C207EE">
      <w:pPr>
        <w:spacing w:before="240"/>
        <w:jc w:val="both"/>
        <w:rPr>
          <w:rFonts w:ascii="Times New Roman" w:hAnsi="Times New Roman" w:cs="Times New Roman"/>
          <w:b/>
          <w:bCs/>
          <w:sz w:val="24"/>
          <w:szCs w:val="24"/>
        </w:rPr>
      </w:pPr>
      <w:r w:rsidRPr="00C93050">
        <w:rPr>
          <w:rFonts w:ascii="Times New Roman" w:hAnsi="Times New Roman" w:cs="Times New Roman"/>
          <w:b/>
          <w:bCs/>
          <w:sz w:val="24"/>
          <w:szCs w:val="24"/>
        </w:rPr>
        <w:t>2.7</w:t>
      </w:r>
      <w:r w:rsidR="00CD1A3E" w:rsidRPr="00C93050">
        <w:rPr>
          <w:rFonts w:ascii="Times New Roman" w:hAnsi="Times New Roman" w:cs="Times New Roman"/>
          <w:b/>
          <w:bCs/>
          <w:sz w:val="24"/>
          <w:szCs w:val="24"/>
        </w:rPr>
        <w:t xml:space="preserve"> Preparation of Bacterial Inoculum</w:t>
      </w:r>
    </w:p>
    <w:p w14:paraId="52BD703A" w14:textId="37D25B82" w:rsidR="00C207EE" w:rsidRPr="00C93050" w:rsidRDefault="00C207EE" w:rsidP="00E2450C">
      <w:pPr>
        <w:spacing w:before="240"/>
        <w:ind w:firstLine="720"/>
        <w:jc w:val="both"/>
        <w:rPr>
          <w:rFonts w:ascii="Times New Roman" w:hAnsi="Times New Roman" w:cs="Times New Roman"/>
          <w:b/>
          <w:bCs/>
          <w:sz w:val="24"/>
          <w:szCs w:val="24"/>
        </w:rPr>
      </w:pPr>
      <w:r w:rsidRPr="00C93050">
        <w:rPr>
          <w:rFonts w:ascii="Times New Roman" w:hAnsi="Times New Roman" w:cs="Times New Roman"/>
          <w:sz w:val="24"/>
          <w:szCs w:val="24"/>
        </w:rPr>
        <w:t>A single colony of each bacterial isolate was inoculated into 5 mL of Mueller-Hinton Broth (MHB) and incubated at 28–37°C for 16–18 h. Following incubation, the turbidity of the bacterial suspension was adjusted with sterile MHB to match the 0.5 McFarland standard, corresponding to approximately 1–2×10^8 CFU/</w:t>
      </w:r>
      <w:proofErr w:type="spellStart"/>
      <w:r w:rsidRPr="00C93050">
        <w:rPr>
          <w:rFonts w:ascii="Times New Roman" w:hAnsi="Times New Roman" w:cs="Times New Roman"/>
          <w:sz w:val="24"/>
          <w:szCs w:val="24"/>
        </w:rPr>
        <w:t>mL.</w:t>
      </w:r>
      <w:proofErr w:type="spellEnd"/>
      <w:r w:rsidRPr="00C93050">
        <w:rPr>
          <w:rFonts w:ascii="Times New Roman" w:hAnsi="Times New Roman" w:cs="Times New Roman"/>
          <w:sz w:val="24"/>
          <w:szCs w:val="24"/>
        </w:rPr>
        <w:t xml:space="preserve"> This standardized suspension was </w:t>
      </w:r>
      <w:r w:rsidRPr="00C93050">
        <w:rPr>
          <w:rFonts w:ascii="Times New Roman" w:hAnsi="Times New Roman" w:cs="Times New Roman"/>
          <w:sz w:val="24"/>
          <w:szCs w:val="24"/>
        </w:rPr>
        <w:lastRenderedPageBreak/>
        <w:t>subsequently diluted with sterile MHB to achieve a working inoculum concentration of approximately 5×10^5 CFU/mL for use in the assay.</w:t>
      </w:r>
    </w:p>
    <w:p w14:paraId="48873969" w14:textId="77777777" w:rsidR="00C207EE" w:rsidRPr="00C93050" w:rsidRDefault="00C207EE" w:rsidP="00C207EE">
      <w:pPr>
        <w:spacing w:before="240"/>
        <w:jc w:val="both"/>
        <w:rPr>
          <w:rFonts w:ascii="Times New Roman" w:hAnsi="Times New Roman" w:cs="Times New Roman"/>
          <w:b/>
          <w:bCs/>
          <w:sz w:val="24"/>
          <w:szCs w:val="24"/>
        </w:rPr>
      </w:pPr>
      <w:r w:rsidRPr="00C93050">
        <w:rPr>
          <w:rFonts w:ascii="Times New Roman" w:hAnsi="Times New Roman" w:cs="Times New Roman"/>
          <w:b/>
          <w:bCs/>
          <w:sz w:val="24"/>
          <w:szCs w:val="24"/>
        </w:rPr>
        <w:t>2.8. Determination of Minimum Inhibitory Concentration (MIC)</w:t>
      </w:r>
    </w:p>
    <w:p w14:paraId="20353B37" w14:textId="1DFE2460" w:rsidR="0062175D" w:rsidRPr="00C93050" w:rsidRDefault="0062175D"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The minimum inhibitory concentration (MIC) of the turmeric (</w:t>
      </w:r>
      <w:r w:rsidRPr="00C93050">
        <w:rPr>
          <w:rFonts w:ascii="Times New Roman" w:hAnsi="Times New Roman" w:cs="Times New Roman"/>
          <w:i/>
          <w:iCs/>
          <w:sz w:val="24"/>
          <w:szCs w:val="24"/>
        </w:rPr>
        <w:t>Curcuma longa</w:t>
      </w:r>
      <w:r w:rsidRPr="00C93050">
        <w:rPr>
          <w:rFonts w:ascii="Times New Roman" w:hAnsi="Times New Roman" w:cs="Times New Roman"/>
          <w:sz w:val="24"/>
          <w:szCs w:val="24"/>
        </w:rPr>
        <w:t xml:space="preserve">) extract was determined using the broth microdilution method, following the Clinical and Laboratory Standards Institute (CLSI) guidelines </w:t>
      </w:r>
      <w:r w:rsidR="006B196F" w:rsidRPr="00C93050">
        <w:rPr>
          <w:rFonts w:ascii="Times New Roman" w:hAnsi="Times New Roman" w:cs="Times New Roman"/>
          <w:sz w:val="24"/>
          <w:szCs w:val="24"/>
        </w:rPr>
        <w:t>[14; 13]</w:t>
      </w:r>
      <w:r w:rsidRPr="00C93050">
        <w:rPr>
          <w:rFonts w:ascii="Times New Roman" w:hAnsi="Times New Roman" w:cs="Times New Roman"/>
          <w:sz w:val="24"/>
          <w:szCs w:val="24"/>
        </w:rPr>
        <w:t>. Two-fold serial dilutions of the extract were prepared in Mueller</w:t>
      </w:r>
      <w:r w:rsidR="009417C4">
        <w:rPr>
          <w:rFonts w:ascii="Times New Roman" w:hAnsi="Times New Roman" w:cs="Times New Roman"/>
          <w:sz w:val="24"/>
          <w:szCs w:val="24"/>
        </w:rPr>
        <w:t>-</w:t>
      </w:r>
      <w:r w:rsidRPr="00C93050">
        <w:rPr>
          <w:rFonts w:ascii="Times New Roman" w:hAnsi="Times New Roman" w:cs="Times New Roman"/>
          <w:sz w:val="24"/>
          <w:szCs w:val="24"/>
        </w:rPr>
        <w:t>Hinton Broth (MHB) in sterile 96-well flat-bottom microtiter plates, resulting in final concentrations ranging from 20.0 to 0.039 mg/mL after inoculation. Each well contained 100 µL of extract solution and 100 µL of bacterial suspension (~5 × 10⁵ CFU/mL), yielding a total volume of 200 µL. Appropriate controls were included: (</w:t>
      </w:r>
      <w:proofErr w:type="spellStart"/>
      <w:r w:rsidRPr="00C93050">
        <w:rPr>
          <w:rFonts w:ascii="Times New Roman" w:hAnsi="Times New Roman" w:cs="Times New Roman"/>
          <w:sz w:val="24"/>
          <w:szCs w:val="24"/>
        </w:rPr>
        <w:t>i</w:t>
      </w:r>
      <w:proofErr w:type="spellEnd"/>
      <w:r w:rsidRPr="00C93050">
        <w:rPr>
          <w:rFonts w:ascii="Times New Roman" w:hAnsi="Times New Roman" w:cs="Times New Roman"/>
          <w:sz w:val="24"/>
          <w:szCs w:val="24"/>
        </w:rPr>
        <w:t xml:space="preserve">) positive growth control, containing MHB and bacterial inoculum without extract; (ii) negative sterility control, containing only sterile MHB; and (iii) extract background control, consisting of extract dilutions in MHB without bacteria to account for inherent </w:t>
      </w:r>
      <w:proofErr w:type="spellStart"/>
      <w:r w:rsidRPr="00C93050">
        <w:rPr>
          <w:rFonts w:ascii="Times New Roman" w:hAnsi="Times New Roman" w:cs="Times New Roman"/>
          <w:sz w:val="24"/>
          <w:szCs w:val="24"/>
        </w:rPr>
        <w:t>color</w:t>
      </w:r>
      <w:proofErr w:type="spellEnd"/>
      <w:r w:rsidRPr="00C93050">
        <w:rPr>
          <w:rFonts w:ascii="Times New Roman" w:hAnsi="Times New Roman" w:cs="Times New Roman"/>
          <w:sz w:val="24"/>
          <w:szCs w:val="24"/>
        </w:rPr>
        <w:t xml:space="preserve"> or turbidity. Plates were incubated at </w:t>
      </w:r>
      <w:r w:rsidR="00621E1F" w:rsidRPr="00C93050">
        <w:rPr>
          <w:rFonts w:ascii="Times New Roman" w:hAnsi="Times New Roman" w:cs="Times New Roman"/>
          <w:sz w:val="24"/>
          <w:szCs w:val="24"/>
        </w:rPr>
        <w:t>3</w:t>
      </w:r>
      <w:r w:rsidR="009B748C">
        <w:rPr>
          <w:rFonts w:ascii="Times New Roman" w:hAnsi="Times New Roman" w:cs="Times New Roman"/>
          <w:sz w:val="24"/>
          <w:szCs w:val="24"/>
        </w:rPr>
        <w:t>0</w:t>
      </w:r>
      <w:r w:rsidRPr="00C93050">
        <w:rPr>
          <w:rFonts w:ascii="Times New Roman" w:hAnsi="Times New Roman" w:cs="Times New Roman"/>
          <w:sz w:val="24"/>
          <w:szCs w:val="24"/>
        </w:rPr>
        <w:t>± 2 °C for 24 h. Bacterial growth was assessed by measuring the optical density at 600 nm (OD₆₀₀) using a microplate reader. OD values from treatment wells were corrected by subtracting the OD of their respective extract background controls. The MIC was defined as the lowest extract concentration that completely inhibited visible bacterial growth in all replicates. Growth inhibition (%) was calculated using the formula:</w:t>
      </w:r>
    </w:p>
    <w:p w14:paraId="2E565E7C" w14:textId="77777777" w:rsidR="00F8545F" w:rsidRPr="00C93050" w:rsidRDefault="00F8545F" w:rsidP="00F8545F">
      <w:pPr>
        <w:spacing w:after="0"/>
        <w:jc w:val="both"/>
        <w:rPr>
          <w:rFonts w:ascii="Times New Roman" w:eastAsiaTheme="minorEastAsia" w:hAnsi="Times New Roman" w:cs="Times New Roman"/>
          <w:sz w:val="24"/>
          <w:szCs w:val="24"/>
        </w:rPr>
      </w:pPr>
      <w:bookmarkStart w:id="4" w:name="_Hlk209178973"/>
      <w:bookmarkEnd w:id="3"/>
      <w:r w:rsidRPr="00C93050">
        <w:rPr>
          <w:rFonts w:ascii="Times New Roman" w:hAnsi="Times New Roman" w:cs="Times New Roman"/>
          <w:sz w:val="24"/>
          <w:szCs w:val="24"/>
        </w:rPr>
        <w:t xml:space="preserve">Growth Inhibition (%) = </w:t>
      </w:r>
      <m:oMath>
        <m:f>
          <m:fPr>
            <m:ctrlPr>
              <w:rPr>
                <w:rFonts w:ascii="Cambria Math" w:hAnsi="Cambria Math" w:cs="Times New Roman"/>
                <w:sz w:val="24"/>
                <w:szCs w:val="24"/>
              </w:rPr>
            </m:ctrlPr>
          </m:fPr>
          <m:num>
            <m:r>
              <w:rPr>
                <w:rFonts w:ascii="Cambria Math" w:hAnsi="Cambria Math" w:cs="Times New Roman"/>
                <w:sz w:val="24"/>
                <w:szCs w:val="24"/>
              </w:rPr>
              <m:t>O</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pos-corr</m:t>
                </m:r>
              </m:sub>
            </m:sSub>
            <m:r>
              <w:rPr>
                <w:rFonts w:ascii="Cambria Math" w:hAnsi="Cambria Math" w:cs="Times New Roman"/>
                <w:sz w:val="24"/>
                <w:szCs w:val="24"/>
              </w:rPr>
              <m:t>-O</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treat-corr</m:t>
                </m:r>
              </m:sub>
            </m:sSub>
            <m:ctrlPr>
              <w:rPr>
                <w:rFonts w:ascii="Cambria Math" w:hAnsi="Cambria Math" w:cs="Times New Roman"/>
                <w:i/>
                <w:sz w:val="24"/>
                <w:szCs w:val="24"/>
              </w:rPr>
            </m:ctrlPr>
          </m:num>
          <m:den>
            <m:r>
              <w:rPr>
                <w:rFonts w:ascii="Cambria Math" w:hAnsi="Cambria Math" w:cs="Times New Roman"/>
                <w:sz w:val="24"/>
                <w:szCs w:val="24"/>
              </w:rPr>
              <m:t>O</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pos-corr</m:t>
                </m:r>
              </m:sub>
            </m:sSub>
            <m:ctrlPr>
              <w:rPr>
                <w:rFonts w:ascii="Cambria Math" w:hAnsi="Cambria Math" w:cs="Times New Roman"/>
                <w:i/>
                <w:sz w:val="24"/>
                <w:szCs w:val="24"/>
              </w:rPr>
            </m:ctrlPr>
          </m:den>
        </m:f>
        <m:r>
          <m:rPr>
            <m:sty m:val="p"/>
          </m:rPr>
          <w:rPr>
            <w:rFonts w:ascii="Cambria Math" w:hAnsi="Cambria Math" w:cs="Times New Roman"/>
            <w:sz w:val="24"/>
            <w:szCs w:val="24"/>
          </w:rPr>
          <m:t>×</m:t>
        </m:r>
        <m:r>
          <w:rPr>
            <w:rFonts w:ascii="Cambria Math" w:hAnsi="Cambria Math" w:cs="Times New Roman"/>
            <w:sz w:val="24"/>
            <w:szCs w:val="24"/>
          </w:rPr>
          <m:t>100</m:t>
        </m:r>
      </m:oMath>
    </w:p>
    <w:p w14:paraId="2A66E855" w14:textId="09778D38" w:rsidR="0062175D" w:rsidRPr="00C93050" w:rsidRDefault="00F8545F" w:rsidP="00461512">
      <w:pPr>
        <w:spacing w:after="0"/>
        <w:jc w:val="both"/>
        <w:rPr>
          <w:rFonts w:ascii="Times New Roman" w:hAnsi="Times New Roman" w:cs="Times New Roman"/>
          <w:sz w:val="24"/>
          <w:szCs w:val="24"/>
        </w:rPr>
      </w:pPr>
      <w:r w:rsidRPr="00C93050">
        <w:rPr>
          <w:rFonts w:ascii="Times New Roman" w:hAnsi="Times New Roman" w:cs="Times New Roman"/>
          <w:sz w:val="24"/>
          <w:szCs w:val="24"/>
        </w:rPr>
        <w:t xml:space="preserve">where </w:t>
      </w:r>
      <w:proofErr w:type="spellStart"/>
      <w:r w:rsidRPr="00C93050">
        <w:rPr>
          <w:rFonts w:ascii="Times New Roman" w:hAnsi="Times New Roman" w:cs="Times New Roman"/>
          <w:sz w:val="24"/>
          <w:szCs w:val="24"/>
        </w:rPr>
        <w:t>OD_pos-corr</w:t>
      </w:r>
      <w:proofErr w:type="spellEnd"/>
      <w:r w:rsidRPr="00C93050">
        <w:rPr>
          <w:rFonts w:ascii="Times New Roman" w:hAnsi="Times New Roman" w:cs="Times New Roman"/>
          <w:sz w:val="24"/>
          <w:szCs w:val="24"/>
        </w:rPr>
        <w:t xml:space="preserve"> = (</w:t>
      </w:r>
      <w:proofErr w:type="spellStart"/>
      <w:r w:rsidRPr="00C93050">
        <w:rPr>
          <w:rFonts w:ascii="Times New Roman" w:hAnsi="Times New Roman" w:cs="Times New Roman"/>
          <w:sz w:val="24"/>
          <w:szCs w:val="24"/>
        </w:rPr>
        <w:t>OD_positive</w:t>
      </w:r>
      <w:proofErr w:type="spellEnd"/>
      <w:r w:rsidRPr="00C93050">
        <w:rPr>
          <w:rFonts w:ascii="Times New Roman" w:hAnsi="Times New Roman" w:cs="Times New Roman"/>
          <w:sz w:val="24"/>
          <w:szCs w:val="24"/>
        </w:rPr>
        <w:t xml:space="preserve"> control − </w:t>
      </w:r>
      <w:proofErr w:type="spellStart"/>
      <w:r w:rsidRPr="00C93050">
        <w:rPr>
          <w:rFonts w:ascii="Times New Roman" w:hAnsi="Times New Roman" w:cs="Times New Roman"/>
          <w:sz w:val="24"/>
          <w:szCs w:val="24"/>
        </w:rPr>
        <w:t>OD_negative</w:t>
      </w:r>
      <w:proofErr w:type="spellEnd"/>
      <w:r w:rsidRPr="00C93050">
        <w:rPr>
          <w:rFonts w:ascii="Times New Roman" w:hAnsi="Times New Roman" w:cs="Times New Roman"/>
          <w:sz w:val="24"/>
          <w:szCs w:val="24"/>
        </w:rPr>
        <w:t xml:space="preserve"> control) and </w:t>
      </w:r>
      <w:proofErr w:type="spellStart"/>
      <w:r w:rsidRPr="00C93050">
        <w:rPr>
          <w:rFonts w:ascii="Times New Roman" w:hAnsi="Times New Roman" w:cs="Times New Roman"/>
          <w:sz w:val="24"/>
          <w:szCs w:val="24"/>
        </w:rPr>
        <w:t>OD_treat-corr</w:t>
      </w:r>
      <w:proofErr w:type="spellEnd"/>
      <w:r w:rsidRPr="00C93050">
        <w:rPr>
          <w:rFonts w:ascii="Times New Roman" w:hAnsi="Times New Roman" w:cs="Times New Roman"/>
          <w:sz w:val="24"/>
          <w:szCs w:val="24"/>
        </w:rPr>
        <w:t xml:space="preserve"> = (</w:t>
      </w:r>
      <w:proofErr w:type="spellStart"/>
      <w:r w:rsidRPr="00C93050">
        <w:rPr>
          <w:rFonts w:ascii="Times New Roman" w:hAnsi="Times New Roman" w:cs="Times New Roman"/>
          <w:sz w:val="24"/>
          <w:szCs w:val="24"/>
        </w:rPr>
        <w:t>OD_treatment</w:t>
      </w:r>
      <w:proofErr w:type="spellEnd"/>
      <w:r w:rsidRPr="00C93050">
        <w:rPr>
          <w:rFonts w:ascii="Times New Roman" w:hAnsi="Times New Roman" w:cs="Times New Roman"/>
          <w:sz w:val="24"/>
          <w:szCs w:val="24"/>
        </w:rPr>
        <w:t xml:space="preserve"> − </w:t>
      </w:r>
      <w:proofErr w:type="spellStart"/>
      <w:r w:rsidRPr="00C93050">
        <w:rPr>
          <w:rFonts w:ascii="Times New Roman" w:hAnsi="Times New Roman" w:cs="Times New Roman"/>
          <w:sz w:val="24"/>
          <w:szCs w:val="24"/>
        </w:rPr>
        <w:t>OD_extract</w:t>
      </w:r>
      <w:proofErr w:type="spellEnd"/>
      <w:r w:rsidRPr="00C93050">
        <w:rPr>
          <w:rFonts w:ascii="Times New Roman" w:hAnsi="Times New Roman" w:cs="Times New Roman"/>
          <w:sz w:val="24"/>
          <w:szCs w:val="24"/>
        </w:rPr>
        <w:t xml:space="preserve"> control).</w:t>
      </w:r>
    </w:p>
    <w:p w14:paraId="7F5B0537" w14:textId="77777777" w:rsidR="00D75470" w:rsidRPr="00C93050" w:rsidRDefault="00D75470" w:rsidP="00D75470">
      <w:pPr>
        <w:spacing w:after="0"/>
        <w:jc w:val="both"/>
        <w:rPr>
          <w:rFonts w:ascii="Times New Roman" w:hAnsi="Times New Roman" w:cs="Times New Roman"/>
          <w:sz w:val="24"/>
          <w:szCs w:val="24"/>
        </w:rPr>
      </w:pPr>
    </w:p>
    <w:p w14:paraId="31AC27FE" w14:textId="7CEE813C" w:rsidR="00CD1A3E" w:rsidRPr="00C93050" w:rsidRDefault="009F4A10" w:rsidP="00CD1A3E">
      <w:pPr>
        <w:jc w:val="both"/>
        <w:rPr>
          <w:rFonts w:ascii="Times New Roman" w:hAnsi="Times New Roman" w:cs="Times New Roman"/>
          <w:b/>
          <w:bCs/>
          <w:sz w:val="24"/>
          <w:szCs w:val="24"/>
        </w:rPr>
      </w:pPr>
      <w:r w:rsidRPr="00C93050">
        <w:rPr>
          <w:rFonts w:ascii="Times New Roman" w:hAnsi="Times New Roman" w:cs="Times New Roman"/>
          <w:b/>
          <w:bCs/>
          <w:sz w:val="24"/>
          <w:szCs w:val="24"/>
        </w:rPr>
        <w:t>2.9</w:t>
      </w:r>
      <w:r w:rsidR="00CD1A3E" w:rsidRPr="00C93050">
        <w:rPr>
          <w:rFonts w:ascii="Times New Roman" w:hAnsi="Times New Roman" w:cs="Times New Roman"/>
          <w:b/>
          <w:bCs/>
          <w:sz w:val="24"/>
          <w:szCs w:val="24"/>
        </w:rPr>
        <w:t xml:space="preserve"> Minimum Bactericidal Concentration (MBC) Assay</w:t>
      </w:r>
    </w:p>
    <w:p w14:paraId="7F1259AA" w14:textId="0413FC32" w:rsidR="000F532D" w:rsidRPr="00C93050" w:rsidRDefault="00137AE9"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Wells showing no visible growth in the MIC assay were sampled for MBC determination. A 10 µL aliquot from each well was aseptically streaked onto Mueller</w:t>
      </w:r>
      <w:r w:rsidR="009417C4">
        <w:rPr>
          <w:rFonts w:ascii="Times New Roman" w:hAnsi="Times New Roman" w:cs="Times New Roman"/>
          <w:sz w:val="24"/>
          <w:szCs w:val="24"/>
        </w:rPr>
        <w:t>-</w:t>
      </w:r>
      <w:r w:rsidRPr="00C93050">
        <w:rPr>
          <w:rFonts w:ascii="Times New Roman" w:hAnsi="Times New Roman" w:cs="Times New Roman"/>
          <w:sz w:val="24"/>
          <w:szCs w:val="24"/>
        </w:rPr>
        <w:t xml:space="preserve">Hinton Agar (MHA) plates and incubated at </w:t>
      </w:r>
      <w:r w:rsidR="009B748C">
        <w:rPr>
          <w:rFonts w:ascii="Times New Roman" w:hAnsi="Times New Roman" w:cs="Times New Roman"/>
          <w:sz w:val="24"/>
          <w:szCs w:val="24"/>
        </w:rPr>
        <w:t xml:space="preserve">30 </w:t>
      </w:r>
      <w:r w:rsidR="009B748C" w:rsidRPr="00C93050">
        <w:rPr>
          <w:rFonts w:ascii="Times New Roman" w:hAnsi="Times New Roman" w:cs="Times New Roman"/>
          <w:sz w:val="24"/>
          <w:szCs w:val="24"/>
        </w:rPr>
        <w:t>± 2</w:t>
      </w:r>
      <w:r w:rsidRPr="00C93050">
        <w:rPr>
          <w:rFonts w:ascii="Times New Roman" w:hAnsi="Times New Roman" w:cs="Times New Roman"/>
          <w:sz w:val="24"/>
          <w:szCs w:val="24"/>
        </w:rPr>
        <w:t xml:space="preserve"> °C for 24 h. MBC was defined as the lowest extract concentration that resulted in no bacterial colony formation (0 CFU in all replicates).</w:t>
      </w:r>
      <w:r w:rsidR="0095544F" w:rsidRPr="00C93050">
        <w:rPr>
          <w:rFonts w:ascii="Times New Roman" w:hAnsi="Times New Roman" w:cs="Times New Roman"/>
          <w:sz w:val="24"/>
          <w:szCs w:val="24"/>
        </w:rPr>
        <w:t xml:space="preserve"> The MBC/MIC ratio was calculated to distinguish between bactericidal and bacteriostatic effects, where a ratio ≤ 4 indicates bactericidal activity and &gt; 4 indicates bacteriostatic activity</w:t>
      </w:r>
      <w:r w:rsidR="00C3697B" w:rsidRPr="00C93050">
        <w:rPr>
          <w:rFonts w:ascii="Times New Roman" w:hAnsi="Times New Roman" w:cs="Times New Roman"/>
          <w:sz w:val="24"/>
          <w:szCs w:val="24"/>
        </w:rPr>
        <w:t xml:space="preserve"> </w:t>
      </w:r>
      <w:r w:rsidR="006B196F" w:rsidRPr="00C93050">
        <w:rPr>
          <w:rFonts w:ascii="Times New Roman" w:hAnsi="Times New Roman" w:cs="Times New Roman"/>
          <w:sz w:val="24"/>
          <w:szCs w:val="24"/>
        </w:rPr>
        <w:t>[27]</w:t>
      </w:r>
      <w:r w:rsidR="00C3697B" w:rsidRPr="00C93050">
        <w:rPr>
          <w:rFonts w:ascii="Times New Roman" w:hAnsi="Times New Roman" w:cs="Times New Roman"/>
          <w:sz w:val="24"/>
          <w:szCs w:val="24"/>
        </w:rPr>
        <w:t>.</w:t>
      </w:r>
    </w:p>
    <w:bookmarkEnd w:id="2"/>
    <w:bookmarkEnd w:id="4"/>
    <w:p w14:paraId="6BFAFB34" w14:textId="77777777" w:rsidR="00C93050" w:rsidRDefault="00C93050">
      <w:pPr>
        <w:rPr>
          <w:rFonts w:ascii="Times New Roman" w:hAnsi="Times New Roman" w:cs="Times New Roman"/>
          <w:b/>
          <w:bCs/>
          <w:sz w:val="24"/>
          <w:szCs w:val="24"/>
        </w:rPr>
      </w:pPr>
      <w:r>
        <w:rPr>
          <w:rFonts w:ascii="Times New Roman" w:hAnsi="Times New Roman" w:cs="Times New Roman"/>
          <w:b/>
          <w:bCs/>
          <w:sz w:val="24"/>
          <w:szCs w:val="24"/>
        </w:rPr>
        <w:br w:type="page"/>
      </w:r>
    </w:p>
    <w:p w14:paraId="126A8833" w14:textId="3835333A" w:rsidR="00101856" w:rsidRPr="00C93050" w:rsidRDefault="00101856" w:rsidP="00101856">
      <w:pPr>
        <w:jc w:val="both"/>
        <w:rPr>
          <w:rFonts w:ascii="Times New Roman" w:hAnsi="Times New Roman" w:cs="Times New Roman"/>
          <w:b/>
          <w:bCs/>
          <w:sz w:val="24"/>
          <w:szCs w:val="24"/>
        </w:rPr>
      </w:pPr>
      <w:r w:rsidRPr="00C93050">
        <w:rPr>
          <w:rFonts w:ascii="Times New Roman" w:hAnsi="Times New Roman" w:cs="Times New Roman"/>
          <w:b/>
          <w:bCs/>
          <w:sz w:val="24"/>
          <w:szCs w:val="24"/>
        </w:rPr>
        <w:lastRenderedPageBreak/>
        <w:t>3. Results and Discussion</w:t>
      </w:r>
    </w:p>
    <w:p w14:paraId="1BF7BDC2" w14:textId="22BAAEC8" w:rsidR="00101856" w:rsidRPr="00C93050" w:rsidRDefault="00101856" w:rsidP="00101856">
      <w:pPr>
        <w:jc w:val="both"/>
        <w:rPr>
          <w:rFonts w:ascii="Times New Roman" w:hAnsi="Times New Roman" w:cs="Times New Roman"/>
          <w:b/>
          <w:bCs/>
          <w:sz w:val="24"/>
          <w:szCs w:val="24"/>
        </w:rPr>
      </w:pPr>
      <w:r w:rsidRPr="00C93050">
        <w:rPr>
          <w:rFonts w:ascii="Times New Roman" w:hAnsi="Times New Roman" w:cs="Times New Roman"/>
          <w:b/>
          <w:bCs/>
          <w:sz w:val="24"/>
          <w:szCs w:val="24"/>
        </w:rPr>
        <w:t xml:space="preserve">3.1 Clinical </w:t>
      </w:r>
      <w:r w:rsidR="00B140AE" w:rsidRPr="00C93050">
        <w:rPr>
          <w:rFonts w:ascii="Times New Roman" w:hAnsi="Times New Roman" w:cs="Times New Roman"/>
          <w:b/>
          <w:bCs/>
          <w:sz w:val="24"/>
          <w:szCs w:val="24"/>
        </w:rPr>
        <w:t>s</w:t>
      </w:r>
      <w:r w:rsidRPr="00C93050">
        <w:rPr>
          <w:rFonts w:ascii="Times New Roman" w:hAnsi="Times New Roman" w:cs="Times New Roman"/>
          <w:b/>
          <w:bCs/>
          <w:sz w:val="24"/>
          <w:szCs w:val="24"/>
        </w:rPr>
        <w:t xml:space="preserve">igns and </w:t>
      </w:r>
      <w:r w:rsidR="00B140AE" w:rsidRPr="00C93050">
        <w:rPr>
          <w:rFonts w:ascii="Times New Roman" w:hAnsi="Times New Roman" w:cs="Times New Roman"/>
          <w:b/>
          <w:bCs/>
          <w:sz w:val="24"/>
          <w:szCs w:val="24"/>
        </w:rPr>
        <w:t>g</w:t>
      </w:r>
      <w:r w:rsidRPr="00C93050">
        <w:rPr>
          <w:rFonts w:ascii="Times New Roman" w:hAnsi="Times New Roman" w:cs="Times New Roman"/>
          <w:b/>
          <w:bCs/>
          <w:sz w:val="24"/>
          <w:szCs w:val="24"/>
        </w:rPr>
        <w:t xml:space="preserve">ross </w:t>
      </w:r>
      <w:r w:rsidR="00B140AE" w:rsidRPr="00C93050">
        <w:rPr>
          <w:rFonts w:ascii="Times New Roman" w:hAnsi="Times New Roman" w:cs="Times New Roman"/>
          <w:b/>
          <w:bCs/>
          <w:sz w:val="24"/>
          <w:szCs w:val="24"/>
        </w:rPr>
        <w:t>p</w:t>
      </w:r>
      <w:r w:rsidRPr="00C93050">
        <w:rPr>
          <w:rFonts w:ascii="Times New Roman" w:hAnsi="Times New Roman" w:cs="Times New Roman"/>
          <w:b/>
          <w:bCs/>
          <w:sz w:val="24"/>
          <w:szCs w:val="24"/>
        </w:rPr>
        <w:t>athology</w:t>
      </w:r>
    </w:p>
    <w:p w14:paraId="78B0628D" w14:textId="7F0E2EB1" w:rsidR="004E703E" w:rsidRPr="00C93050" w:rsidRDefault="004E703E"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 xml:space="preserve">The diseased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i/>
          <w:iCs/>
          <w:sz w:val="24"/>
          <w:szCs w:val="24"/>
        </w:rPr>
        <w:t xml:space="preserve">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sz w:val="24"/>
          <w:szCs w:val="24"/>
        </w:rPr>
        <w:t xml:space="preserve"> exhibited lethargy, loss of appetite, and reduced swimming activity. Gross examination revealed pale, </w:t>
      </w:r>
      <w:proofErr w:type="spellStart"/>
      <w:r w:rsidRPr="00C93050">
        <w:rPr>
          <w:rFonts w:ascii="Times New Roman" w:hAnsi="Times New Roman" w:cs="Times New Roman"/>
          <w:sz w:val="24"/>
          <w:szCs w:val="24"/>
        </w:rPr>
        <w:t>anemic</w:t>
      </w:r>
      <w:proofErr w:type="spellEnd"/>
      <w:r w:rsidRPr="00C93050">
        <w:rPr>
          <w:rFonts w:ascii="Times New Roman" w:hAnsi="Times New Roman" w:cs="Times New Roman"/>
          <w:sz w:val="24"/>
          <w:szCs w:val="24"/>
        </w:rPr>
        <w:t xml:space="preserve"> gills with </w:t>
      </w:r>
      <w:proofErr w:type="spellStart"/>
      <w:r w:rsidRPr="00C93050">
        <w:rPr>
          <w:rFonts w:ascii="Times New Roman" w:hAnsi="Times New Roman" w:cs="Times New Roman"/>
          <w:sz w:val="24"/>
          <w:szCs w:val="24"/>
        </w:rPr>
        <w:t>hemorrhagic</w:t>
      </w:r>
      <w:proofErr w:type="spellEnd"/>
      <w:r w:rsidRPr="00C93050">
        <w:rPr>
          <w:rFonts w:ascii="Times New Roman" w:hAnsi="Times New Roman" w:cs="Times New Roman"/>
          <w:sz w:val="24"/>
          <w:szCs w:val="24"/>
        </w:rPr>
        <w:t xml:space="preserve"> patches on the lamellae and excessive mucus secretion. These observations are consistent with earlier reports of bacterial gill infections in carps, where opportunistic pathogens colonize stressed hosts </w:t>
      </w:r>
      <w:r w:rsidR="006B196F" w:rsidRPr="00C93050">
        <w:rPr>
          <w:rFonts w:ascii="Times New Roman" w:hAnsi="Times New Roman" w:cs="Times New Roman"/>
          <w:b/>
          <w:bCs/>
          <w:sz w:val="24"/>
          <w:szCs w:val="24"/>
        </w:rPr>
        <w:t>[5</w:t>
      </w:r>
      <w:r w:rsidR="0024417C" w:rsidRPr="00C93050">
        <w:rPr>
          <w:rFonts w:ascii="Times New Roman" w:hAnsi="Times New Roman" w:cs="Times New Roman"/>
          <w:b/>
          <w:bCs/>
          <w:sz w:val="24"/>
          <w:szCs w:val="24"/>
        </w:rPr>
        <w:t>; 31</w:t>
      </w:r>
      <w:r w:rsidR="006B196F" w:rsidRPr="00C93050">
        <w:rPr>
          <w:rFonts w:ascii="Times New Roman" w:hAnsi="Times New Roman" w:cs="Times New Roman"/>
          <w:b/>
          <w:bCs/>
          <w:sz w:val="24"/>
          <w:szCs w:val="24"/>
        </w:rPr>
        <w:t>]</w:t>
      </w:r>
      <w:r w:rsidRPr="00C93050">
        <w:rPr>
          <w:rFonts w:ascii="Times New Roman" w:hAnsi="Times New Roman" w:cs="Times New Roman"/>
          <w:sz w:val="24"/>
          <w:szCs w:val="24"/>
        </w:rPr>
        <w:t xml:space="preserve">. The timing of disease onset during November, a period of seasonal fluctuation in North India, corresponds with potential stressors like changing water temperature and deteriorating water quality, which are known to predispose fish to opportunistic infections </w:t>
      </w:r>
      <w:r w:rsidR="006B196F" w:rsidRPr="00C93050">
        <w:rPr>
          <w:rFonts w:ascii="Times New Roman" w:hAnsi="Times New Roman" w:cs="Times New Roman"/>
          <w:sz w:val="24"/>
          <w:szCs w:val="24"/>
        </w:rPr>
        <w:t>[4; 8]</w:t>
      </w:r>
    </w:p>
    <w:p w14:paraId="0D99A1F1" w14:textId="5D6EA4AD" w:rsidR="00101856" w:rsidRPr="00C93050" w:rsidRDefault="00101856" w:rsidP="00101856">
      <w:pPr>
        <w:jc w:val="both"/>
        <w:rPr>
          <w:rFonts w:ascii="Times New Roman" w:hAnsi="Times New Roman" w:cs="Times New Roman"/>
          <w:b/>
          <w:bCs/>
          <w:sz w:val="24"/>
          <w:szCs w:val="24"/>
        </w:rPr>
      </w:pPr>
      <w:r w:rsidRPr="00C93050">
        <w:rPr>
          <w:rFonts w:ascii="Times New Roman" w:hAnsi="Times New Roman" w:cs="Times New Roman"/>
          <w:b/>
          <w:bCs/>
          <w:sz w:val="24"/>
          <w:szCs w:val="24"/>
        </w:rPr>
        <w:t>3.2 Water Quality of the Unmanaged Village Pond</w:t>
      </w:r>
    </w:p>
    <w:p w14:paraId="5574D312" w14:textId="5EAE4D05" w:rsidR="00E2450C" w:rsidRPr="00C93050" w:rsidRDefault="00101856" w:rsidP="00C93050">
      <w:pPr>
        <w:ind w:firstLine="720"/>
        <w:jc w:val="both"/>
        <w:rPr>
          <w:rFonts w:ascii="Times New Roman" w:hAnsi="Times New Roman" w:cs="Times New Roman"/>
          <w:sz w:val="24"/>
          <w:szCs w:val="24"/>
        </w:rPr>
      </w:pPr>
      <w:r w:rsidRPr="00C93050">
        <w:rPr>
          <w:rFonts w:ascii="Times New Roman" w:hAnsi="Times New Roman" w:cs="Times New Roman"/>
          <w:sz w:val="24"/>
          <w:szCs w:val="24"/>
        </w:rPr>
        <w:t xml:space="preserve">The pond water analysis revealed </w:t>
      </w:r>
      <w:proofErr w:type="spellStart"/>
      <w:r w:rsidRPr="00C93050">
        <w:rPr>
          <w:rFonts w:ascii="Times New Roman" w:hAnsi="Times New Roman" w:cs="Times New Roman"/>
          <w:sz w:val="24"/>
          <w:szCs w:val="24"/>
        </w:rPr>
        <w:t>unfavorable</w:t>
      </w:r>
      <w:proofErr w:type="spellEnd"/>
      <w:r w:rsidRPr="00C93050">
        <w:rPr>
          <w:rFonts w:ascii="Times New Roman" w:hAnsi="Times New Roman" w:cs="Times New Roman"/>
          <w:sz w:val="24"/>
          <w:szCs w:val="24"/>
        </w:rPr>
        <w:t xml:space="preserve"> conditions for carp culture: pH (9.2 ± 0.2), dissolved oxygen (4.9 ± 0.3 mg/L), ammonia (0.5 ± 0.2 mg/L), total hardness (352 ± 4 mg/L), and alkalinity (295 ± 4 mg/L) (Table 1). Optimal ranges for carp generally include neutral to slightly alkaline pH (7.0–8.5), dissolved oxygen above 5.0 mg/L, and ammonia below 0.02–0.05 mg/L. </w:t>
      </w:r>
      <w:r w:rsidR="004E703E" w:rsidRPr="00C93050">
        <w:rPr>
          <w:rFonts w:ascii="Times New Roman" w:hAnsi="Times New Roman" w:cs="Times New Roman"/>
          <w:sz w:val="24"/>
          <w:szCs w:val="24"/>
        </w:rPr>
        <w:t>Elevated pH not only causes physiological stress but also increases the proportion of toxic unionized ammonia (NH₃), which irritates gill epitheli</w:t>
      </w:r>
      <w:r w:rsidR="006B196F" w:rsidRPr="00C93050">
        <w:rPr>
          <w:rFonts w:ascii="Times New Roman" w:hAnsi="Times New Roman" w:cs="Times New Roman"/>
          <w:sz w:val="24"/>
          <w:szCs w:val="24"/>
        </w:rPr>
        <w:t>a [17]</w:t>
      </w:r>
      <w:r w:rsidR="004E703E" w:rsidRPr="00C93050">
        <w:rPr>
          <w:rFonts w:ascii="Times New Roman" w:hAnsi="Times New Roman" w:cs="Times New Roman"/>
          <w:sz w:val="24"/>
          <w:szCs w:val="24"/>
        </w:rPr>
        <w:t xml:space="preserve">. </w:t>
      </w:r>
      <w:r w:rsidR="00DD40BF" w:rsidRPr="00C93050">
        <w:rPr>
          <w:rFonts w:ascii="Times New Roman" w:hAnsi="Times New Roman" w:cs="Times New Roman"/>
          <w:sz w:val="24"/>
          <w:szCs w:val="24"/>
        </w:rPr>
        <w:t>At the observed pH of 9.2 and temperature of 29°C, a significant portion of the measured total ammonia exists as toxic NH₃, creating severe physiological stress.</w:t>
      </w:r>
      <w:r w:rsidR="00DD40BF" w:rsidRPr="00C93050">
        <w:rPr>
          <w:rFonts w:ascii="Times New Roman" w:hAnsi="Times New Roman" w:cs="Times New Roman"/>
          <w:b/>
          <w:bCs/>
          <w:sz w:val="24"/>
          <w:szCs w:val="24"/>
        </w:rPr>
        <w:t xml:space="preserve"> </w:t>
      </w:r>
      <w:r w:rsidR="004E703E" w:rsidRPr="00C93050">
        <w:rPr>
          <w:rFonts w:ascii="Times New Roman" w:hAnsi="Times New Roman" w:cs="Times New Roman"/>
          <w:sz w:val="24"/>
          <w:szCs w:val="24"/>
        </w:rPr>
        <w:t>High total hardness and alkalinity further impose ionic imbalance, while suboptimal dissolved oxygen reduces respiratory efficiency</w:t>
      </w:r>
      <w:r w:rsidRPr="00C93050">
        <w:rPr>
          <w:rFonts w:ascii="Times New Roman" w:hAnsi="Times New Roman" w:cs="Times New Roman"/>
          <w:sz w:val="24"/>
          <w:szCs w:val="24"/>
        </w:rPr>
        <w:t xml:space="preserve">. Additionally, limited water exchange and high stocking density (~12,000 fingerlings/ha) likely compounded these stressors. Chronic exposure to such conditions weakens immune competence, predisposing fish to opportunistic infections. The gill damage observed in affected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i/>
          <w:iCs/>
          <w:sz w:val="24"/>
          <w:szCs w:val="24"/>
        </w:rPr>
        <w:t xml:space="preserve">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sz w:val="24"/>
          <w:szCs w:val="24"/>
        </w:rPr>
        <w:t xml:space="preserve"> can therefore be interpreted as a combined outcome of direct environmental stress and subsequent microbial colonization. Similar associations between poor water quality (high pH, low DO) and increased disease susceptibility in carps have been reported previously </w:t>
      </w:r>
      <w:r w:rsidR="006B196F" w:rsidRPr="00C93050">
        <w:rPr>
          <w:rFonts w:ascii="Times New Roman" w:hAnsi="Times New Roman" w:cs="Times New Roman"/>
          <w:sz w:val="24"/>
          <w:szCs w:val="24"/>
        </w:rPr>
        <w:t>[7]</w:t>
      </w:r>
      <w:r w:rsidRPr="00C93050">
        <w:rPr>
          <w:rFonts w:ascii="Times New Roman" w:hAnsi="Times New Roman" w:cs="Times New Roman"/>
          <w:sz w:val="24"/>
          <w:szCs w:val="24"/>
        </w:rPr>
        <w:t xml:space="preserve">. </w:t>
      </w:r>
    </w:p>
    <w:p w14:paraId="4C1642D9" w14:textId="6625DBF9" w:rsidR="003978AE" w:rsidRPr="00C93050" w:rsidRDefault="003978AE" w:rsidP="00C93050">
      <w:pPr>
        <w:jc w:val="both"/>
        <w:rPr>
          <w:rFonts w:ascii="Times New Roman" w:hAnsi="Times New Roman" w:cs="Times New Roman"/>
          <w:b/>
          <w:bCs/>
          <w:sz w:val="24"/>
          <w:szCs w:val="24"/>
        </w:rPr>
      </w:pPr>
      <w:r w:rsidRPr="00C93050">
        <w:rPr>
          <w:rFonts w:ascii="Times New Roman" w:hAnsi="Times New Roman" w:cs="Times New Roman"/>
          <w:b/>
          <w:bCs/>
          <w:sz w:val="24"/>
          <w:szCs w:val="24"/>
        </w:rPr>
        <w:t xml:space="preserve">Table 1. </w:t>
      </w:r>
      <w:r w:rsidRPr="00C93050">
        <w:rPr>
          <w:rFonts w:ascii="Times New Roman" w:hAnsi="Times New Roman" w:cs="Times New Roman"/>
          <w:sz w:val="24"/>
          <w:szCs w:val="24"/>
        </w:rPr>
        <w:t xml:space="preserve">Water quality parameters of the </w:t>
      </w:r>
      <w:r w:rsidRPr="00C93050">
        <w:rPr>
          <w:rFonts w:ascii="Times New Roman" w:hAnsi="Times New Roman" w:cs="Times New Roman"/>
          <w:sz w:val="24"/>
          <w:szCs w:val="24"/>
          <w:lang w:val="en-US"/>
        </w:rPr>
        <w:t xml:space="preserve">unmanaged </w:t>
      </w:r>
      <w:r w:rsidRPr="00C93050">
        <w:rPr>
          <w:rFonts w:ascii="Times New Roman" w:hAnsi="Times New Roman" w:cs="Times New Roman"/>
          <w:sz w:val="24"/>
          <w:szCs w:val="24"/>
        </w:rPr>
        <w:t>village</w:t>
      </w:r>
      <w:r w:rsidRPr="00C93050">
        <w:rPr>
          <w:rFonts w:ascii="Times New Roman" w:hAnsi="Times New Roman" w:cs="Times New Roman"/>
          <w:sz w:val="24"/>
          <w:szCs w:val="24"/>
          <w:lang w:val="en-US"/>
        </w:rPr>
        <w:t xml:space="preserve"> pond </w:t>
      </w:r>
      <w:r w:rsidRPr="00C93050">
        <w:rPr>
          <w:rFonts w:ascii="Times New Roman" w:hAnsi="Times New Roman" w:cs="Times New Roman"/>
          <w:i/>
          <w:iCs/>
          <w:sz w:val="24"/>
          <w:szCs w:val="24"/>
        </w:rPr>
        <w:t>(observed mean ± SD).</w:t>
      </w:r>
    </w:p>
    <w:tbl>
      <w:tblPr>
        <w:tblStyle w:val="TableGrid"/>
        <w:tblW w:w="8524" w:type="dxa"/>
        <w:tblLook w:val="04A0" w:firstRow="1" w:lastRow="0" w:firstColumn="1" w:lastColumn="0" w:noHBand="0" w:noVBand="1"/>
      </w:tblPr>
      <w:tblGrid>
        <w:gridCol w:w="4262"/>
        <w:gridCol w:w="4262"/>
      </w:tblGrid>
      <w:tr w:rsidR="003978AE" w:rsidRPr="00C93050" w14:paraId="6FCB4506" w14:textId="77777777" w:rsidTr="00907901">
        <w:trPr>
          <w:trHeight w:val="299"/>
        </w:trPr>
        <w:tc>
          <w:tcPr>
            <w:tcW w:w="4262" w:type="dxa"/>
          </w:tcPr>
          <w:p w14:paraId="0D0F53CE"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b/>
                <w:bCs/>
                <w:sz w:val="24"/>
                <w:szCs w:val="24"/>
              </w:rPr>
              <w:t>Parameter</w:t>
            </w:r>
          </w:p>
        </w:tc>
        <w:tc>
          <w:tcPr>
            <w:tcW w:w="4262" w:type="dxa"/>
          </w:tcPr>
          <w:p w14:paraId="200EB891" w14:textId="58596FE3"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b/>
                <w:bCs/>
                <w:sz w:val="24"/>
                <w:szCs w:val="24"/>
              </w:rPr>
              <w:t>Observed value</w:t>
            </w:r>
          </w:p>
        </w:tc>
      </w:tr>
      <w:tr w:rsidR="003978AE" w:rsidRPr="00C93050" w14:paraId="48A33F31" w14:textId="77777777" w:rsidTr="00907901">
        <w:trPr>
          <w:trHeight w:val="299"/>
        </w:trPr>
        <w:tc>
          <w:tcPr>
            <w:tcW w:w="4262" w:type="dxa"/>
          </w:tcPr>
          <w:p w14:paraId="6423F9C7"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Temperature (°C)</w:t>
            </w:r>
          </w:p>
        </w:tc>
        <w:tc>
          <w:tcPr>
            <w:tcW w:w="4262" w:type="dxa"/>
          </w:tcPr>
          <w:p w14:paraId="53323836"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29 ± 0.2</w:t>
            </w:r>
          </w:p>
        </w:tc>
      </w:tr>
      <w:tr w:rsidR="003978AE" w:rsidRPr="00C93050" w14:paraId="1659271C" w14:textId="77777777" w:rsidTr="00907901">
        <w:trPr>
          <w:trHeight w:val="312"/>
        </w:trPr>
        <w:tc>
          <w:tcPr>
            <w:tcW w:w="4262" w:type="dxa"/>
          </w:tcPr>
          <w:p w14:paraId="39BC10E5"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pH</w:t>
            </w:r>
          </w:p>
        </w:tc>
        <w:tc>
          <w:tcPr>
            <w:tcW w:w="4262" w:type="dxa"/>
          </w:tcPr>
          <w:p w14:paraId="7EE0EFB6"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9.2 ± 0.2</w:t>
            </w:r>
          </w:p>
        </w:tc>
      </w:tr>
      <w:tr w:rsidR="003978AE" w:rsidRPr="00C93050" w14:paraId="6568D98D" w14:textId="77777777" w:rsidTr="00907901">
        <w:trPr>
          <w:trHeight w:val="299"/>
        </w:trPr>
        <w:tc>
          <w:tcPr>
            <w:tcW w:w="4262" w:type="dxa"/>
          </w:tcPr>
          <w:p w14:paraId="753E18BD"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DO (mg/L)</w:t>
            </w:r>
          </w:p>
        </w:tc>
        <w:tc>
          <w:tcPr>
            <w:tcW w:w="4262" w:type="dxa"/>
          </w:tcPr>
          <w:p w14:paraId="6A47F402"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 xml:space="preserve">4.9 ± 0.3 </w:t>
            </w:r>
          </w:p>
        </w:tc>
      </w:tr>
      <w:tr w:rsidR="003978AE" w:rsidRPr="00C93050" w14:paraId="049C20FE" w14:textId="77777777" w:rsidTr="00907901">
        <w:trPr>
          <w:trHeight w:val="299"/>
        </w:trPr>
        <w:tc>
          <w:tcPr>
            <w:tcW w:w="4262" w:type="dxa"/>
          </w:tcPr>
          <w:p w14:paraId="026ED47D"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Ammonia (mg/L)</w:t>
            </w:r>
          </w:p>
        </w:tc>
        <w:tc>
          <w:tcPr>
            <w:tcW w:w="4262" w:type="dxa"/>
          </w:tcPr>
          <w:p w14:paraId="70DA5FDA"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 xml:space="preserve">0.5 ± 0.2 </w:t>
            </w:r>
          </w:p>
        </w:tc>
      </w:tr>
      <w:tr w:rsidR="003978AE" w:rsidRPr="00C93050" w14:paraId="55E725C5" w14:textId="77777777" w:rsidTr="00907901">
        <w:trPr>
          <w:trHeight w:val="299"/>
        </w:trPr>
        <w:tc>
          <w:tcPr>
            <w:tcW w:w="4262" w:type="dxa"/>
          </w:tcPr>
          <w:p w14:paraId="74AA5EF3"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Total hardness (mg/L)</w:t>
            </w:r>
          </w:p>
        </w:tc>
        <w:tc>
          <w:tcPr>
            <w:tcW w:w="4262" w:type="dxa"/>
          </w:tcPr>
          <w:p w14:paraId="470996B3"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 xml:space="preserve">352 ± 4 </w:t>
            </w:r>
          </w:p>
        </w:tc>
      </w:tr>
      <w:tr w:rsidR="003978AE" w:rsidRPr="00C93050" w14:paraId="79E33425" w14:textId="77777777" w:rsidTr="00907901">
        <w:trPr>
          <w:trHeight w:val="299"/>
        </w:trPr>
        <w:tc>
          <w:tcPr>
            <w:tcW w:w="4262" w:type="dxa"/>
          </w:tcPr>
          <w:p w14:paraId="1FA0E11E"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Alkalinity (mg/L)</w:t>
            </w:r>
          </w:p>
        </w:tc>
        <w:tc>
          <w:tcPr>
            <w:tcW w:w="4262" w:type="dxa"/>
          </w:tcPr>
          <w:p w14:paraId="79E8FA9C"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 xml:space="preserve">295 ± 4 </w:t>
            </w:r>
          </w:p>
        </w:tc>
      </w:tr>
      <w:tr w:rsidR="003978AE" w:rsidRPr="00C93050" w14:paraId="5E106D4B" w14:textId="77777777" w:rsidTr="00907901">
        <w:trPr>
          <w:trHeight w:val="312"/>
        </w:trPr>
        <w:tc>
          <w:tcPr>
            <w:tcW w:w="4262" w:type="dxa"/>
          </w:tcPr>
          <w:p w14:paraId="1C546ADA"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TDS (mg/L)</w:t>
            </w:r>
          </w:p>
        </w:tc>
        <w:tc>
          <w:tcPr>
            <w:tcW w:w="4262" w:type="dxa"/>
          </w:tcPr>
          <w:p w14:paraId="6D93E6F6"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370 ± 3</w:t>
            </w:r>
          </w:p>
        </w:tc>
      </w:tr>
      <w:tr w:rsidR="003978AE" w:rsidRPr="00C93050" w14:paraId="2A476DE6" w14:textId="77777777" w:rsidTr="00907901">
        <w:trPr>
          <w:trHeight w:val="299"/>
        </w:trPr>
        <w:tc>
          <w:tcPr>
            <w:tcW w:w="4262" w:type="dxa"/>
          </w:tcPr>
          <w:p w14:paraId="373DAEE3"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Salinity (ppt)</w:t>
            </w:r>
          </w:p>
        </w:tc>
        <w:tc>
          <w:tcPr>
            <w:tcW w:w="4262" w:type="dxa"/>
          </w:tcPr>
          <w:p w14:paraId="546B0FBB"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0.7 ± 0.3</w:t>
            </w:r>
          </w:p>
        </w:tc>
      </w:tr>
      <w:tr w:rsidR="003978AE" w:rsidRPr="00C93050" w14:paraId="0D57F2DF" w14:textId="77777777" w:rsidTr="00907901">
        <w:trPr>
          <w:trHeight w:val="299"/>
        </w:trPr>
        <w:tc>
          <w:tcPr>
            <w:tcW w:w="4262" w:type="dxa"/>
          </w:tcPr>
          <w:p w14:paraId="114FD8CA"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BOD (mg/L)</w:t>
            </w:r>
          </w:p>
        </w:tc>
        <w:tc>
          <w:tcPr>
            <w:tcW w:w="4262" w:type="dxa"/>
          </w:tcPr>
          <w:p w14:paraId="3F3C74C1"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2.8 ± 0.4</w:t>
            </w:r>
          </w:p>
        </w:tc>
      </w:tr>
      <w:tr w:rsidR="003978AE" w:rsidRPr="00C93050" w14:paraId="1440B580" w14:textId="77777777" w:rsidTr="00907901">
        <w:trPr>
          <w:trHeight w:val="299"/>
        </w:trPr>
        <w:tc>
          <w:tcPr>
            <w:tcW w:w="4262" w:type="dxa"/>
          </w:tcPr>
          <w:p w14:paraId="020D17ED"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 xml:space="preserve">Electrical conductivity </w:t>
            </w:r>
            <w:r w:rsidRPr="00C93050">
              <w:rPr>
                <w:rFonts w:ascii="Times New Roman" w:eastAsia="Times New Roman" w:hAnsi="Times New Roman" w:cs="Times New Roman"/>
                <w:color w:val="000000"/>
                <w:sz w:val="24"/>
                <w:szCs w:val="24"/>
                <w:lang w:eastAsia="en-IN"/>
              </w:rPr>
              <w:t>(</w:t>
            </w:r>
            <w:bookmarkStart w:id="5" w:name="_Hlk170427107"/>
            <w:r w:rsidRPr="00C93050">
              <w:rPr>
                <w:rFonts w:ascii="Times New Roman" w:eastAsia="Times New Roman" w:hAnsi="Times New Roman" w:cs="Times New Roman"/>
                <w:color w:val="000000"/>
                <w:sz w:val="24"/>
                <w:szCs w:val="24"/>
                <w:lang w:eastAsia="en-IN"/>
              </w:rPr>
              <w:t>µS/cm</w:t>
            </w:r>
            <w:bookmarkEnd w:id="5"/>
            <w:r w:rsidRPr="00C93050">
              <w:rPr>
                <w:rFonts w:ascii="Times New Roman" w:eastAsia="Times New Roman" w:hAnsi="Times New Roman" w:cs="Times New Roman"/>
                <w:color w:val="000000"/>
                <w:sz w:val="24"/>
                <w:szCs w:val="24"/>
                <w:lang w:eastAsia="en-IN"/>
              </w:rPr>
              <w:t>)</w:t>
            </w:r>
          </w:p>
        </w:tc>
        <w:tc>
          <w:tcPr>
            <w:tcW w:w="4262" w:type="dxa"/>
          </w:tcPr>
          <w:p w14:paraId="4B5B9A71"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741± 5</w:t>
            </w:r>
          </w:p>
        </w:tc>
      </w:tr>
    </w:tbl>
    <w:p w14:paraId="75A6D5A7" w14:textId="77777777" w:rsidR="003978AE" w:rsidRPr="00C93050" w:rsidRDefault="003978AE" w:rsidP="00101856">
      <w:pPr>
        <w:jc w:val="both"/>
        <w:rPr>
          <w:rFonts w:ascii="Times New Roman" w:hAnsi="Times New Roman" w:cs="Times New Roman"/>
          <w:b/>
          <w:bCs/>
          <w:sz w:val="24"/>
          <w:szCs w:val="24"/>
        </w:rPr>
      </w:pPr>
    </w:p>
    <w:p w14:paraId="6C0A2E01" w14:textId="77777777" w:rsidR="00C93050" w:rsidRDefault="00C93050">
      <w:pPr>
        <w:rPr>
          <w:rFonts w:ascii="Times New Roman" w:hAnsi="Times New Roman" w:cs="Times New Roman"/>
          <w:b/>
          <w:bCs/>
          <w:sz w:val="24"/>
          <w:szCs w:val="24"/>
        </w:rPr>
      </w:pPr>
      <w:r>
        <w:rPr>
          <w:rFonts w:ascii="Times New Roman" w:hAnsi="Times New Roman" w:cs="Times New Roman"/>
          <w:b/>
          <w:bCs/>
          <w:sz w:val="24"/>
          <w:szCs w:val="24"/>
        </w:rPr>
        <w:br w:type="page"/>
      </w:r>
    </w:p>
    <w:p w14:paraId="786B9ABC" w14:textId="5FCD8F95" w:rsidR="00101856" w:rsidRPr="00C93050" w:rsidRDefault="00101856" w:rsidP="00101856">
      <w:pPr>
        <w:jc w:val="both"/>
        <w:rPr>
          <w:rFonts w:ascii="Times New Roman" w:hAnsi="Times New Roman" w:cs="Times New Roman"/>
          <w:b/>
          <w:bCs/>
          <w:sz w:val="24"/>
          <w:szCs w:val="24"/>
        </w:rPr>
      </w:pPr>
      <w:r w:rsidRPr="00C93050">
        <w:rPr>
          <w:rFonts w:ascii="Times New Roman" w:hAnsi="Times New Roman" w:cs="Times New Roman"/>
          <w:b/>
          <w:bCs/>
          <w:sz w:val="24"/>
          <w:szCs w:val="24"/>
        </w:rPr>
        <w:lastRenderedPageBreak/>
        <w:t>3.3 Morphological and Biochemical Characterization of the Isolate</w:t>
      </w:r>
    </w:p>
    <w:p w14:paraId="531C13B5" w14:textId="20567DA2" w:rsidR="00101856" w:rsidRPr="00C93050" w:rsidRDefault="00101856"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 xml:space="preserve">On nutrient agar, the isolate produced circular, cream-colored, opaque colonies (1–2 mm in diameter) with smooth texture, entire margins, and convex elevation. Gram staining revealed Gram-negative, rod-shaped, motile bacteria. The biochemical profile (Table 2) was characterized by positive reactions for catalase, Voges–Proskauer, citrate utilization, nitrate reduction, ornithine decarboxylase, arginine </w:t>
      </w:r>
      <w:proofErr w:type="spellStart"/>
      <w:r w:rsidRPr="00C93050">
        <w:rPr>
          <w:rFonts w:ascii="Times New Roman" w:hAnsi="Times New Roman" w:cs="Times New Roman"/>
          <w:sz w:val="24"/>
          <w:szCs w:val="24"/>
        </w:rPr>
        <w:t>dihydrolase</w:t>
      </w:r>
      <w:proofErr w:type="spellEnd"/>
      <w:r w:rsidRPr="00C93050">
        <w:rPr>
          <w:rFonts w:ascii="Times New Roman" w:hAnsi="Times New Roman" w:cs="Times New Roman"/>
          <w:sz w:val="24"/>
          <w:szCs w:val="24"/>
        </w:rPr>
        <w:t xml:space="preserve">, and carbohydrate fermentations (glucose with gas, sucrose, d-mannitol, d-sorbitol, d-xylose, and myo-inositol). Negative reactions were obtained for oxidase, indole, methyl red, urease, H₂S production, lysine decarboxylase, and malonate utilization. The colonial and Gram-stain features were consistent with members of the Enterobacteriaceae family. Within this group, the combination of VP positivity, citrate utilization, and oxidase negativity is characteristic of many </w:t>
      </w:r>
      <w:r w:rsidRPr="00C93050">
        <w:rPr>
          <w:rFonts w:ascii="Times New Roman" w:hAnsi="Times New Roman" w:cs="Times New Roman"/>
          <w:i/>
          <w:iCs/>
          <w:sz w:val="24"/>
          <w:szCs w:val="24"/>
        </w:rPr>
        <w:t>Enterobacter</w:t>
      </w:r>
      <w:r w:rsidRPr="00C93050">
        <w:rPr>
          <w:rFonts w:ascii="Times New Roman" w:hAnsi="Times New Roman" w:cs="Times New Roman"/>
          <w:sz w:val="24"/>
          <w:szCs w:val="24"/>
        </w:rPr>
        <w:t xml:space="preserve"> species. Importantly, the ability to utilize myo-inositol has been highlighted as a useful differential trait within Enterobacteriaceae and may help distinguish the isolate from related genera such as </w:t>
      </w:r>
      <w:proofErr w:type="spellStart"/>
      <w:r w:rsidRPr="00C93050">
        <w:rPr>
          <w:rFonts w:ascii="Times New Roman" w:hAnsi="Times New Roman" w:cs="Times New Roman"/>
          <w:i/>
          <w:iCs/>
          <w:sz w:val="24"/>
          <w:szCs w:val="24"/>
        </w:rPr>
        <w:t>Pantoea</w:t>
      </w:r>
      <w:proofErr w:type="spellEnd"/>
      <w:r w:rsidRPr="00C93050">
        <w:rPr>
          <w:rFonts w:ascii="Times New Roman" w:hAnsi="Times New Roman" w:cs="Times New Roman"/>
          <w:sz w:val="24"/>
          <w:szCs w:val="24"/>
        </w:rPr>
        <w:t xml:space="preserve">. Nevertheless, as emphasized in Bergey’s Manual of Determinative Bacteriology </w:t>
      </w:r>
      <w:r w:rsidR="006B196F" w:rsidRPr="00C93050">
        <w:rPr>
          <w:rFonts w:ascii="Times New Roman" w:hAnsi="Times New Roman" w:cs="Times New Roman"/>
          <w:sz w:val="24"/>
          <w:szCs w:val="24"/>
        </w:rPr>
        <w:t>[22]</w:t>
      </w:r>
      <w:r w:rsidRPr="00C93050">
        <w:rPr>
          <w:rFonts w:ascii="Times New Roman" w:hAnsi="Times New Roman" w:cs="Times New Roman"/>
          <w:sz w:val="24"/>
          <w:szCs w:val="24"/>
        </w:rPr>
        <w:t xml:space="preserve">, biochemical tests alone do not provide sufficient resolution for species-level identification within the </w:t>
      </w:r>
      <w:r w:rsidRPr="00C93050">
        <w:rPr>
          <w:rFonts w:ascii="Times New Roman" w:hAnsi="Times New Roman" w:cs="Times New Roman"/>
          <w:i/>
          <w:iCs/>
          <w:sz w:val="24"/>
          <w:szCs w:val="24"/>
        </w:rPr>
        <w:t>Enterobacter cloacae</w:t>
      </w:r>
      <w:r w:rsidRPr="00C93050">
        <w:rPr>
          <w:rFonts w:ascii="Times New Roman" w:hAnsi="Times New Roman" w:cs="Times New Roman"/>
          <w:sz w:val="24"/>
          <w:szCs w:val="24"/>
        </w:rPr>
        <w:t xml:space="preserve"> complex. Therefore, the biochemical findings were considered supportive evidence and were complemented with molecular characterization for accurate taxonomic assignment.</w:t>
      </w:r>
    </w:p>
    <w:p w14:paraId="20923713" w14:textId="77777777" w:rsidR="00101856" w:rsidRPr="00C93050" w:rsidRDefault="00101856" w:rsidP="00101856">
      <w:pPr>
        <w:jc w:val="both"/>
        <w:rPr>
          <w:rFonts w:ascii="Times New Roman" w:hAnsi="Times New Roman" w:cs="Times New Roman"/>
          <w:b/>
          <w:bCs/>
          <w:sz w:val="24"/>
          <w:szCs w:val="24"/>
          <w:lang w:val="en-US"/>
        </w:rPr>
      </w:pPr>
      <w:r w:rsidRPr="00C93050">
        <w:rPr>
          <w:rFonts w:ascii="Times New Roman" w:hAnsi="Times New Roman" w:cs="Times New Roman"/>
          <w:b/>
          <w:bCs/>
          <w:sz w:val="24"/>
          <w:szCs w:val="24"/>
        </w:rPr>
        <w:t xml:space="preserve">Table 2. </w:t>
      </w:r>
      <w:r w:rsidRPr="00C93050">
        <w:rPr>
          <w:rFonts w:ascii="Times New Roman" w:hAnsi="Times New Roman" w:cs="Times New Roman"/>
          <w:sz w:val="24"/>
          <w:szCs w:val="24"/>
        </w:rPr>
        <w:t xml:space="preserve">Biochemical characteristics of </w:t>
      </w:r>
      <w:r w:rsidRPr="00C93050">
        <w:rPr>
          <w:rFonts w:ascii="Times New Roman" w:hAnsi="Times New Roman" w:cs="Times New Roman"/>
          <w:sz w:val="24"/>
          <w:szCs w:val="24"/>
          <w:lang w:val="en-US"/>
        </w:rPr>
        <w:t>bacterial isolate</w:t>
      </w:r>
      <w:r w:rsidRPr="00C93050">
        <w:rPr>
          <w:rFonts w:ascii="Times New Roman" w:hAnsi="Times New Roman" w:cs="Times New Roman"/>
          <w:b/>
          <w:bCs/>
          <w:i/>
          <w:iCs/>
          <w:sz w:val="24"/>
          <w:szCs w:val="24"/>
          <w:lang w:val="en-US"/>
        </w:rPr>
        <w:t xml:space="preserve"> </w:t>
      </w:r>
    </w:p>
    <w:tbl>
      <w:tblPr>
        <w:tblStyle w:val="TableGrid"/>
        <w:tblW w:w="0" w:type="auto"/>
        <w:jc w:val="center"/>
        <w:tblLook w:val="04A0" w:firstRow="1" w:lastRow="0" w:firstColumn="1" w:lastColumn="0" w:noHBand="0" w:noVBand="1"/>
      </w:tblPr>
      <w:tblGrid>
        <w:gridCol w:w="1529"/>
        <w:gridCol w:w="3539"/>
        <w:gridCol w:w="3811"/>
      </w:tblGrid>
      <w:tr w:rsidR="00101856" w:rsidRPr="00C93050" w14:paraId="5C2A4C38" w14:textId="77777777" w:rsidTr="00907901">
        <w:trPr>
          <w:trHeight w:val="257"/>
          <w:jc w:val="center"/>
        </w:trPr>
        <w:tc>
          <w:tcPr>
            <w:tcW w:w="1529" w:type="dxa"/>
          </w:tcPr>
          <w:p w14:paraId="2457A068" w14:textId="77777777" w:rsidR="00101856" w:rsidRPr="00C93050" w:rsidRDefault="00101856" w:rsidP="00907901">
            <w:pPr>
              <w:jc w:val="both"/>
              <w:rPr>
                <w:rFonts w:ascii="Times New Roman" w:hAnsi="Times New Roman" w:cs="Times New Roman"/>
                <w:b/>
                <w:bCs/>
                <w:sz w:val="24"/>
                <w:szCs w:val="24"/>
              </w:rPr>
            </w:pPr>
            <w:r w:rsidRPr="00C93050">
              <w:rPr>
                <w:rFonts w:ascii="Times New Roman" w:hAnsi="Times New Roman" w:cs="Times New Roman"/>
                <w:b/>
                <w:bCs/>
                <w:sz w:val="24"/>
                <w:szCs w:val="24"/>
              </w:rPr>
              <w:t>Sr no</w:t>
            </w:r>
          </w:p>
        </w:tc>
        <w:tc>
          <w:tcPr>
            <w:tcW w:w="3539" w:type="dxa"/>
          </w:tcPr>
          <w:p w14:paraId="50B17AB7" w14:textId="77777777" w:rsidR="00101856" w:rsidRPr="00C93050" w:rsidRDefault="00101856" w:rsidP="00907901">
            <w:pPr>
              <w:jc w:val="both"/>
              <w:rPr>
                <w:rFonts w:ascii="Times New Roman" w:hAnsi="Times New Roman" w:cs="Times New Roman"/>
                <w:b/>
                <w:bCs/>
                <w:sz w:val="24"/>
                <w:szCs w:val="24"/>
              </w:rPr>
            </w:pPr>
            <w:r w:rsidRPr="00C93050">
              <w:rPr>
                <w:rFonts w:ascii="Times New Roman" w:hAnsi="Times New Roman" w:cs="Times New Roman"/>
                <w:b/>
                <w:bCs/>
                <w:sz w:val="24"/>
                <w:szCs w:val="24"/>
              </w:rPr>
              <w:t xml:space="preserve">Characteristics </w:t>
            </w:r>
          </w:p>
        </w:tc>
        <w:tc>
          <w:tcPr>
            <w:tcW w:w="3811" w:type="dxa"/>
          </w:tcPr>
          <w:p w14:paraId="43BD9C84" w14:textId="77777777" w:rsidR="00101856" w:rsidRPr="00C93050" w:rsidRDefault="00101856" w:rsidP="00907901">
            <w:pPr>
              <w:jc w:val="both"/>
              <w:rPr>
                <w:rFonts w:ascii="Times New Roman" w:hAnsi="Times New Roman" w:cs="Times New Roman"/>
                <w:b/>
                <w:bCs/>
                <w:sz w:val="24"/>
                <w:szCs w:val="24"/>
              </w:rPr>
            </w:pPr>
            <w:r w:rsidRPr="00C93050">
              <w:rPr>
                <w:rFonts w:ascii="Times New Roman" w:hAnsi="Times New Roman" w:cs="Times New Roman"/>
                <w:b/>
                <w:bCs/>
                <w:sz w:val="24"/>
                <w:szCs w:val="24"/>
              </w:rPr>
              <w:t>Reaction</w:t>
            </w:r>
          </w:p>
        </w:tc>
      </w:tr>
      <w:tr w:rsidR="00101856" w:rsidRPr="00C93050" w14:paraId="7FD8D3AD" w14:textId="77777777" w:rsidTr="00907901">
        <w:trPr>
          <w:trHeight w:val="257"/>
          <w:jc w:val="center"/>
        </w:trPr>
        <w:tc>
          <w:tcPr>
            <w:tcW w:w="1529" w:type="dxa"/>
          </w:tcPr>
          <w:p w14:paraId="5DBAD922"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w:t>
            </w:r>
          </w:p>
        </w:tc>
        <w:tc>
          <w:tcPr>
            <w:tcW w:w="3539" w:type="dxa"/>
          </w:tcPr>
          <w:p w14:paraId="6428D08E"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Gram stain</w:t>
            </w:r>
          </w:p>
        </w:tc>
        <w:tc>
          <w:tcPr>
            <w:tcW w:w="3811" w:type="dxa"/>
          </w:tcPr>
          <w:p w14:paraId="0CD5C44F"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 (Gram-negative rod)</w:t>
            </w:r>
          </w:p>
        </w:tc>
      </w:tr>
      <w:tr w:rsidR="00101856" w:rsidRPr="00C93050" w14:paraId="2583893B" w14:textId="77777777" w:rsidTr="00907901">
        <w:trPr>
          <w:trHeight w:val="257"/>
          <w:jc w:val="center"/>
        </w:trPr>
        <w:tc>
          <w:tcPr>
            <w:tcW w:w="1529" w:type="dxa"/>
          </w:tcPr>
          <w:p w14:paraId="3C3D90E7"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2</w:t>
            </w:r>
          </w:p>
        </w:tc>
        <w:tc>
          <w:tcPr>
            <w:tcW w:w="3539" w:type="dxa"/>
          </w:tcPr>
          <w:p w14:paraId="20ECCDE7"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Motility</w:t>
            </w:r>
          </w:p>
        </w:tc>
        <w:tc>
          <w:tcPr>
            <w:tcW w:w="3811" w:type="dxa"/>
          </w:tcPr>
          <w:p w14:paraId="37A3E48B"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11AFB6DC" w14:textId="77777777" w:rsidTr="00907901">
        <w:trPr>
          <w:trHeight w:val="257"/>
          <w:jc w:val="center"/>
        </w:trPr>
        <w:tc>
          <w:tcPr>
            <w:tcW w:w="1529" w:type="dxa"/>
          </w:tcPr>
          <w:p w14:paraId="42346304"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3</w:t>
            </w:r>
          </w:p>
        </w:tc>
        <w:tc>
          <w:tcPr>
            <w:tcW w:w="3539" w:type="dxa"/>
          </w:tcPr>
          <w:p w14:paraId="6EC76E56"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Catalase</w:t>
            </w:r>
          </w:p>
        </w:tc>
        <w:tc>
          <w:tcPr>
            <w:tcW w:w="3811" w:type="dxa"/>
          </w:tcPr>
          <w:p w14:paraId="73E0C9EE"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7A4D321C" w14:textId="77777777" w:rsidTr="00907901">
        <w:trPr>
          <w:trHeight w:val="245"/>
          <w:jc w:val="center"/>
        </w:trPr>
        <w:tc>
          <w:tcPr>
            <w:tcW w:w="1529" w:type="dxa"/>
          </w:tcPr>
          <w:p w14:paraId="1D06D217"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4</w:t>
            </w:r>
          </w:p>
        </w:tc>
        <w:tc>
          <w:tcPr>
            <w:tcW w:w="3539" w:type="dxa"/>
          </w:tcPr>
          <w:p w14:paraId="29B690BA"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Oxidase</w:t>
            </w:r>
          </w:p>
        </w:tc>
        <w:tc>
          <w:tcPr>
            <w:tcW w:w="3811" w:type="dxa"/>
          </w:tcPr>
          <w:p w14:paraId="5BDAF746"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4E08D19D" w14:textId="77777777" w:rsidTr="00907901">
        <w:trPr>
          <w:trHeight w:val="257"/>
          <w:jc w:val="center"/>
        </w:trPr>
        <w:tc>
          <w:tcPr>
            <w:tcW w:w="1529" w:type="dxa"/>
          </w:tcPr>
          <w:p w14:paraId="7E885BC5"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5</w:t>
            </w:r>
          </w:p>
        </w:tc>
        <w:tc>
          <w:tcPr>
            <w:tcW w:w="3539" w:type="dxa"/>
          </w:tcPr>
          <w:p w14:paraId="5035A1A8"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Indole</w:t>
            </w:r>
          </w:p>
        </w:tc>
        <w:tc>
          <w:tcPr>
            <w:tcW w:w="3811" w:type="dxa"/>
          </w:tcPr>
          <w:p w14:paraId="34878512"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4A9EFCF5" w14:textId="77777777" w:rsidTr="00907901">
        <w:trPr>
          <w:trHeight w:val="257"/>
          <w:jc w:val="center"/>
        </w:trPr>
        <w:tc>
          <w:tcPr>
            <w:tcW w:w="1529" w:type="dxa"/>
          </w:tcPr>
          <w:p w14:paraId="435E5837"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6</w:t>
            </w:r>
          </w:p>
        </w:tc>
        <w:tc>
          <w:tcPr>
            <w:tcW w:w="3539" w:type="dxa"/>
          </w:tcPr>
          <w:p w14:paraId="156B0A34"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Methyl Red (MR)</w:t>
            </w:r>
          </w:p>
        </w:tc>
        <w:tc>
          <w:tcPr>
            <w:tcW w:w="3811" w:type="dxa"/>
          </w:tcPr>
          <w:p w14:paraId="467326A9"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4127E82B" w14:textId="77777777" w:rsidTr="00907901">
        <w:trPr>
          <w:trHeight w:val="257"/>
          <w:jc w:val="center"/>
        </w:trPr>
        <w:tc>
          <w:tcPr>
            <w:tcW w:w="1529" w:type="dxa"/>
          </w:tcPr>
          <w:p w14:paraId="505B1B7E"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7</w:t>
            </w:r>
          </w:p>
        </w:tc>
        <w:tc>
          <w:tcPr>
            <w:tcW w:w="3539" w:type="dxa"/>
          </w:tcPr>
          <w:p w14:paraId="523A9E78"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Voges–Proskauer (VP)</w:t>
            </w:r>
          </w:p>
        </w:tc>
        <w:tc>
          <w:tcPr>
            <w:tcW w:w="3811" w:type="dxa"/>
          </w:tcPr>
          <w:p w14:paraId="2DDE3870"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4C360A82" w14:textId="77777777" w:rsidTr="00907901">
        <w:trPr>
          <w:trHeight w:val="257"/>
          <w:jc w:val="center"/>
        </w:trPr>
        <w:tc>
          <w:tcPr>
            <w:tcW w:w="1529" w:type="dxa"/>
          </w:tcPr>
          <w:p w14:paraId="33029E67"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8</w:t>
            </w:r>
          </w:p>
        </w:tc>
        <w:tc>
          <w:tcPr>
            <w:tcW w:w="3539" w:type="dxa"/>
          </w:tcPr>
          <w:p w14:paraId="068394A9"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Citrate utilization</w:t>
            </w:r>
          </w:p>
        </w:tc>
        <w:tc>
          <w:tcPr>
            <w:tcW w:w="3811" w:type="dxa"/>
          </w:tcPr>
          <w:p w14:paraId="00EAD690"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2CAD9822" w14:textId="77777777" w:rsidTr="00907901">
        <w:trPr>
          <w:trHeight w:val="257"/>
          <w:jc w:val="center"/>
        </w:trPr>
        <w:tc>
          <w:tcPr>
            <w:tcW w:w="1529" w:type="dxa"/>
          </w:tcPr>
          <w:p w14:paraId="503DFFE8"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9</w:t>
            </w:r>
          </w:p>
        </w:tc>
        <w:tc>
          <w:tcPr>
            <w:tcW w:w="3539" w:type="dxa"/>
          </w:tcPr>
          <w:p w14:paraId="758F550C"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Urease</w:t>
            </w:r>
          </w:p>
        </w:tc>
        <w:tc>
          <w:tcPr>
            <w:tcW w:w="3811" w:type="dxa"/>
          </w:tcPr>
          <w:p w14:paraId="16BEB189"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78643D5B" w14:textId="77777777" w:rsidTr="00907901">
        <w:trPr>
          <w:trHeight w:val="257"/>
          <w:jc w:val="center"/>
        </w:trPr>
        <w:tc>
          <w:tcPr>
            <w:tcW w:w="1529" w:type="dxa"/>
          </w:tcPr>
          <w:p w14:paraId="1AB20F25"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10</w:t>
            </w:r>
          </w:p>
        </w:tc>
        <w:tc>
          <w:tcPr>
            <w:tcW w:w="3539" w:type="dxa"/>
          </w:tcPr>
          <w:p w14:paraId="3BFBBA29"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H₂S production</w:t>
            </w:r>
          </w:p>
        </w:tc>
        <w:tc>
          <w:tcPr>
            <w:tcW w:w="3811" w:type="dxa"/>
          </w:tcPr>
          <w:p w14:paraId="432187D1"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7A84BD1D" w14:textId="77777777" w:rsidTr="00907901">
        <w:trPr>
          <w:trHeight w:val="257"/>
          <w:jc w:val="center"/>
        </w:trPr>
        <w:tc>
          <w:tcPr>
            <w:tcW w:w="1529" w:type="dxa"/>
          </w:tcPr>
          <w:p w14:paraId="3892C37F"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11</w:t>
            </w:r>
          </w:p>
        </w:tc>
        <w:tc>
          <w:tcPr>
            <w:tcW w:w="3539" w:type="dxa"/>
          </w:tcPr>
          <w:p w14:paraId="7162A74A"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Nitrate reduction</w:t>
            </w:r>
          </w:p>
        </w:tc>
        <w:tc>
          <w:tcPr>
            <w:tcW w:w="3811" w:type="dxa"/>
          </w:tcPr>
          <w:p w14:paraId="70B8BF03"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4E577D0A" w14:textId="77777777" w:rsidTr="00907901">
        <w:trPr>
          <w:trHeight w:val="257"/>
          <w:jc w:val="center"/>
        </w:trPr>
        <w:tc>
          <w:tcPr>
            <w:tcW w:w="1529" w:type="dxa"/>
          </w:tcPr>
          <w:p w14:paraId="5157F872"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12</w:t>
            </w:r>
          </w:p>
        </w:tc>
        <w:tc>
          <w:tcPr>
            <w:tcW w:w="3539" w:type="dxa"/>
          </w:tcPr>
          <w:p w14:paraId="36E31172"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Lysine decarboxylase</w:t>
            </w:r>
          </w:p>
        </w:tc>
        <w:tc>
          <w:tcPr>
            <w:tcW w:w="3811" w:type="dxa"/>
          </w:tcPr>
          <w:p w14:paraId="402108B2"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71AEA2BF" w14:textId="77777777" w:rsidTr="00907901">
        <w:trPr>
          <w:trHeight w:val="257"/>
          <w:jc w:val="center"/>
        </w:trPr>
        <w:tc>
          <w:tcPr>
            <w:tcW w:w="1529" w:type="dxa"/>
          </w:tcPr>
          <w:p w14:paraId="0D64C373"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13</w:t>
            </w:r>
          </w:p>
        </w:tc>
        <w:tc>
          <w:tcPr>
            <w:tcW w:w="3539" w:type="dxa"/>
          </w:tcPr>
          <w:p w14:paraId="6DAACBF2"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Ornithine decarboxylase</w:t>
            </w:r>
          </w:p>
        </w:tc>
        <w:tc>
          <w:tcPr>
            <w:tcW w:w="3811" w:type="dxa"/>
          </w:tcPr>
          <w:p w14:paraId="4C5EF375"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6251C2D9" w14:textId="77777777" w:rsidTr="00907901">
        <w:trPr>
          <w:trHeight w:val="257"/>
          <w:jc w:val="center"/>
        </w:trPr>
        <w:tc>
          <w:tcPr>
            <w:tcW w:w="1529" w:type="dxa"/>
          </w:tcPr>
          <w:p w14:paraId="53A67205"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14</w:t>
            </w:r>
          </w:p>
        </w:tc>
        <w:tc>
          <w:tcPr>
            <w:tcW w:w="3539" w:type="dxa"/>
          </w:tcPr>
          <w:p w14:paraId="337114BD"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 xml:space="preserve">Arginine </w:t>
            </w:r>
            <w:proofErr w:type="spellStart"/>
            <w:r w:rsidRPr="00C93050">
              <w:rPr>
                <w:rFonts w:ascii="Times New Roman" w:hAnsi="Times New Roman" w:cs="Times New Roman"/>
                <w:sz w:val="24"/>
                <w:szCs w:val="24"/>
              </w:rPr>
              <w:t>Dihydrolase</w:t>
            </w:r>
            <w:proofErr w:type="spellEnd"/>
          </w:p>
        </w:tc>
        <w:tc>
          <w:tcPr>
            <w:tcW w:w="3811" w:type="dxa"/>
          </w:tcPr>
          <w:p w14:paraId="14357838"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699AE6BD" w14:textId="77777777" w:rsidTr="00907901">
        <w:trPr>
          <w:trHeight w:val="257"/>
          <w:jc w:val="center"/>
        </w:trPr>
        <w:tc>
          <w:tcPr>
            <w:tcW w:w="1529" w:type="dxa"/>
          </w:tcPr>
          <w:p w14:paraId="75ACFC1C"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15</w:t>
            </w:r>
          </w:p>
        </w:tc>
        <w:tc>
          <w:tcPr>
            <w:tcW w:w="3539" w:type="dxa"/>
          </w:tcPr>
          <w:p w14:paraId="0850B2FD"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Malonate utilization</w:t>
            </w:r>
          </w:p>
        </w:tc>
        <w:tc>
          <w:tcPr>
            <w:tcW w:w="3811" w:type="dxa"/>
          </w:tcPr>
          <w:p w14:paraId="1AEF4E48"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3257CB20" w14:textId="77777777" w:rsidTr="00907901">
        <w:trPr>
          <w:trHeight w:val="257"/>
          <w:jc w:val="center"/>
        </w:trPr>
        <w:tc>
          <w:tcPr>
            <w:tcW w:w="1529" w:type="dxa"/>
          </w:tcPr>
          <w:p w14:paraId="7692BE8B"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16</w:t>
            </w:r>
          </w:p>
        </w:tc>
        <w:tc>
          <w:tcPr>
            <w:tcW w:w="3539" w:type="dxa"/>
          </w:tcPr>
          <w:p w14:paraId="76A4CB2F"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Glucose fermentation</w:t>
            </w:r>
          </w:p>
        </w:tc>
        <w:tc>
          <w:tcPr>
            <w:tcW w:w="3811" w:type="dxa"/>
          </w:tcPr>
          <w:p w14:paraId="2B13D179"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 (acid + gas)</w:t>
            </w:r>
          </w:p>
        </w:tc>
      </w:tr>
      <w:tr w:rsidR="00101856" w:rsidRPr="00C93050" w14:paraId="77792AFD" w14:textId="77777777" w:rsidTr="00907901">
        <w:trPr>
          <w:trHeight w:val="257"/>
          <w:jc w:val="center"/>
        </w:trPr>
        <w:tc>
          <w:tcPr>
            <w:tcW w:w="1529" w:type="dxa"/>
          </w:tcPr>
          <w:p w14:paraId="6D185EFE"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17</w:t>
            </w:r>
          </w:p>
        </w:tc>
        <w:tc>
          <w:tcPr>
            <w:tcW w:w="3539" w:type="dxa"/>
          </w:tcPr>
          <w:p w14:paraId="5B012457"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Sucrose fermentation</w:t>
            </w:r>
          </w:p>
        </w:tc>
        <w:tc>
          <w:tcPr>
            <w:tcW w:w="3811" w:type="dxa"/>
          </w:tcPr>
          <w:p w14:paraId="55DC175D"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6DA86172" w14:textId="77777777" w:rsidTr="00907901">
        <w:trPr>
          <w:trHeight w:val="257"/>
          <w:jc w:val="center"/>
        </w:trPr>
        <w:tc>
          <w:tcPr>
            <w:tcW w:w="1529" w:type="dxa"/>
          </w:tcPr>
          <w:p w14:paraId="7E7334CD"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18</w:t>
            </w:r>
          </w:p>
        </w:tc>
        <w:tc>
          <w:tcPr>
            <w:tcW w:w="3539" w:type="dxa"/>
          </w:tcPr>
          <w:p w14:paraId="24BD9748"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d-Mannitol</w:t>
            </w:r>
          </w:p>
        </w:tc>
        <w:tc>
          <w:tcPr>
            <w:tcW w:w="3811" w:type="dxa"/>
          </w:tcPr>
          <w:p w14:paraId="186173E9"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2C5E66B0" w14:textId="77777777" w:rsidTr="00907901">
        <w:trPr>
          <w:trHeight w:val="257"/>
          <w:jc w:val="center"/>
        </w:trPr>
        <w:tc>
          <w:tcPr>
            <w:tcW w:w="1529" w:type="dxa"/>
          </w:tcPr>
          <w:p w14:paraId="6FAF4E45"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19</w:t>
            </w:r>
          </w:p>
        </w:tc>
        <w:tc>
          <w:tcPr>
            <w:tcW w:w="3539" w:type="dxa"/>
          </w:tcPr>
          <w:p w14:paraId="335A90A6"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d-Sorbitol</w:t>
            </w:r>
          </w:p>
        </w:tc>
        <w:tc>
          <w:tcPr>
            <w:tcW w:w="3811" w:type="dxa"/>
          </w:tcPr>
          <w:p w14:paraId="346BF337"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7CBE8BF6" w14:textId="77777777" w:rsidTr="00907901">
        <w:trPr>
          <w:trHeight w:val="257"/>
          <w:jc w:val="center"/>
        </w:trPr>
        <w:tc>
          <w:tcPr>
            <w:tcW w:w="1529" w:type="dxa"/>
          </w:tcPr>
          <w:p w14:paraId="3C964262"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20</w:t>
            </w:r>
          </w:p>
        </w:tc>
        <w:tc>
          <w:tcPr>
            <w:tcW w:w="3539" w:type="dxa"/>
          </w:tcPr>
          <w:p w14:paraId="6B7D7846"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d-Xylose</w:t>
            </w:r>
          </w:p>
        </w:tc>
        <w:tc>
          <w:tcPr>
            <w:tcW w:w="3811" w:type="dxa"/>
          </w:tcPr>
          <w:p w14:paraId="477C0AFE"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5F22AEA2" w14:textId="77777777" w:rsidTr="00907901">
        <w:trPr>
          <w:trHeight w:val="257"/>
          <w:jc w:val="center"/>
        </w:trPr>
        <w:tc>
          <w:tcPr>
            <w:tcW w:w="1529" w:type="dxa"/>
          </w:tcPr>
          <w:p w14:paraId="350C4677"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21</w:t>
            </w:r>
          </w:p>
        </w:tc>
        <w:tc>
          <w:tcPr>
            <w:tcW w:w="3539" w:type="dxa"/>
          </w:tcPr>
          <w:p w14:paraId="32F824DD"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Myo-inositol utilization</w:t>
            </w:r>
          </w:p>
        </w:tc>
        <w:tc>
          <w:tcPr>
            <w:tcW w:w="3811" w:type="dxa"/>
          </w:tcPr>
          <w:p w14:paraId="74AAFFC2"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5A12A4" w:rsidRPr="00C93050" w14:paraId="51AE167A" w14:textId="77777777" w:rsidTr="002361AE">
        <w:trPr>
          <w:trHeight w:val="257"/>
          <w:jc w:val="center"/>
        </w:trPr>
        <w:tc>
          <w:tcPr>
            <w:tcW w:w="8879" w:type="dxa"/>
            <w:gridSpan w:val="3"/>
          </w:tcPr>
          <w:p w14:paraId="16BC0F8C" w14:textId="77777777" w:rsidR="005A12A4" w:rsidRPr="00C93050" w:rsidRDefault="005A12A4" w:rsidP="005A12A4">
            <w:pPr>
              <w:jc w:val="both"/>
              <w:rPr>
                <w:rFonts w:ascii="Times New Roman" w:hAnsi="Times New Roman" w:cs="Times New Roman"/>
                <w:b/>
                <w:bCs/>
                <w:sz w:val="24"/>
                <w:szCs w:val="24"/>
              </w:rPr>
            </w:pPr>
            <w:r w:rsidRPr="00C93050">
              <w:rPr>
                <w:rFonts w:ascii="Times New Roman" w:hAnsi="Times New Roman" w:cs="Times New Roman"/>
                <w:sz w:val="24"/>
                <w:szCs w:val="24"/>
              </w:rPr>
              <w:t>+Present, - Absent</w:t>
            </w:r>
          </w:p>
          <w:p w14:paraId="629D901A" w14:textId="77777777" w:rsidR="005A12A4" w:rsidRPr="00C93050" w:rsidRDefault="005A12A4" w:rsidP="00907901">
            <w:pPr>
              <w:jc w:val="both"/>
              <w:rPr>
                <w:rFonts w:ascii="Times New Roman" w:hAnsi="Times New Roman" w:cs="Times New Roman"/>
                <w:sz w:val="24"/>
                <w:szCs w:val="24"/>
              </w:rPr>
            </w:pPr>
          </w:p>
        </w:tc>
      </w:tr>
    </w:tbl>
    <w:p w14:paraId="58E48667" w14:textId="77777777" w:rsidR="005A12A4" w:rsidRPr="00C93050" w:rsidRDefault="005A12A4" w:rsidP="00101856">
      <w:pPr>
        <w:jc w:val="both"/>
        <w:rPr>
          <w:rFonts w:ascii="Times New Roman" w:hAnsi="Times New Roman" w:cs="Times New Roman"/>
          <w:b/>
          <w:bCs/>
          <w:sz w:val="24"/>
          <w:szCs w:val="24"/>
        </w:rPr>
      </w:pPr>
    </w:p>
    <w:p w14:paraId="666823B9" w14:textId="77777777" w:rsidR="00C93050" w:rsidRDefault="00C93050" w:rsidP="00101856">
      <w:pPr>
        <w:jc w:val="both"/>
        <w:rPr>
          <w:rFonts w:ascii="Times New Roman" w:hAnsi="Times New Roman" w:cs="Times New Roman"/>
          <w:b/>
          <w:bCs/>
          <w:sz w:val="24"/>
          <w:szCs w:val="24"/>
        </w:rPr>
      </w:pPr>
    </w:p>
    <w:p w14:paraId="13544EFE" w14:textId="09038092" w:rsidR="00101856" w:rsidRPr="00C93050" w:rsidRDefault="00101856" w:rsidP="00101856">
      <w:pPr>
        <w:jc w:val="both"/>
        <w:rPr>
          <w:rFonts w:ascii="Times New Roman" w:hAnsi="Times New Roman" w:cs="Times New Roman"/>
          <w:b/>
          <w:bCs/>
          <w:sz w:val="24"/>
          <w:szCs w:val="24"/>
        </w:rPr>
      </w:pPr>
      <w:r w:rsidRPr="00C93050">
        <w:rPr>
          <w:rFonts w:ascii="Times New Roman" w:hAnsi="Times New Roman" w:cs="Times New Roman"/>
          <w:b/>
          <w:bCs/>
          <w:sz w:val="24"/>
          <w:szCs w:val="24"/>
        </w:rPr>
        <w:lastRenderedPageBreak/>
        <w:t>.4 Molecular Identification and Phylogenetic Analysis</w:t>
      </w:r>
    </w:p>
    <w:p w14:paraId="69041451" w14:textId="77777777" w:rsidR="00C93050" w:rsidRDefault="005A12A4" w:rsidP="00E2450C">
      <w:pPr>
        <w:ind w:firstLine="720"/>
        <w:jc w:val="both"/>
        <w:rPr>
          <w:rFonts w:ascii="Times New Roman" w:hAnsi="Times New Roman" w:cs="Times New Roman"/>
          <w:bCs/>
          <w:sz w:val="24"/>
          <w:szCs w:val="24"/>
        </w:rPr>
      </w:pPr>
      <w:r w:rsidRPr="00C93050">
        <w:rPr>
          <w:rFonts w:ascii="Times New Roman" w:hAnsi="Times New Roman" w:cs="Times New Roman"/>
          <w:bCs/>
          <w:sz w:val="24"/>
          <w:szCs w:val="24"/>
        </w:rPr>
        <w:t>Following morphological and biochemical characterization, the bacterial isolate was identified through 16S rRNA gene sequencing. Genomic DNA extraction yielded high-purity DNA (50.6 ng/µl, A260/280 ≈ 1.91). Amplification of the 16S rRNA gene produced a product of approximately 1500 bp. The resulting sequence was trimmed to remove low-quality terminal bases, ensuring high fidelity for phylogenetic analysis. A high-quality 1450 bp fragment was submitted to GenBank under accession number PP989393.</w:t>
      </w:r>
      <w:r w:rsidR="005E751A" w:rsidRPr="00C93050">
        <w:rPr>
          <w:rFonts w:ascii="Times New Roman" w:hAnsi="Times New Roman" w:cs="Times New Roman"/>
          <w:bCs/>
          <w:sz w:val="24"/>
          <w:szCs w:val="24"/>
        </w:rPr>
        <w:t xml:space="preserve"> </w:t>
      </w:r>
      <w:r w:rsidRPr="00C93050">
        <w:rPr>
          <w:rFonts w:ascii="Times New Roman" w:hAnsi="Times New Roman" w:cs="Times New Roman"/>
          <w:bCs/>
          <w:sz w:val="24"/>
          <w:szCs w:val="24"/>
        </w:rPr>
        <w:t>BLASTN analysis of this sequence revealed 100% identity and 100% query coverage with </w:t>
      </w:r>
      <w:r w:rsidRPr="00C93050">
        <w:rPr>
          <w:rFonts w:ascii="Times New Roman" w:hAnsi="Times New Roman" w:cs="Times New Roman"/>
          <w:bCs/>
          <w:i/>
          <w:iCs/>
          <w:sz w:val="24"/>
          <w:szCs w:val="24"/>
        </w:rPr>
        <w:t xml:space="preserve">Enterobacter </w:t>
      </w:r>
      <w:proofErr w:type="spellStart"/>
      <w:r w:rsidRPr="00C93050">
        <w:rPr>
          <w:rFonts w:ascii="Times New Roman" w:hAnsi="Times New Roman" w:cs="Times New Roman"/>
          <w:bCs/>
          <w:i/>
          <w:iCs/>
          <w:sz w:val="24"/>
          <w:szCs w:val="24"/>
        </w:rPr>
        <w:t>ludwigii</w:t>
      </w:r>
      <w:proofErr w:type="spellEnd"/>
      <w:r w:rsidRPr="00C93050">
        <w:rPr>
          <w:rFonts w:ascii="Times New Roman" w:hAnsi="Times New Roman" w:cs="Times New Roman"/>
          <w:bCs/>
          <w:sz w:val="24"/>
          <w:szCs w:val="24"/>
        </w:rPr>
        <w:t>.</w:t>
      </w:r>
      <w:r w:rsidR="00DD40BF" w:rsidRPr="00C93050">
        <w:rPr>
          <w:rFonts w:ascii="Times New Roman" w:hAnsi="Times New Roman" w:cs="Times New Roman"/>
          <w:bCs/>
          <w:sz w:val="24"/>
          <w:szCs w:val="24"/>
        </w:rPr>
        <w:t xml:space="preserve"> </w:t>
      </w:r>
      <w:r w:rsidR="00DD40BF" w:rsidRPr="00C93050">
        <w:rPr>
          <w:rFonts w:ascii="Times New Roman" w:hAnsi="Times New Roman" w:cs="Times New Roman"/>
          <w:sz w:val="24"/>
          <w:szCs w:val="24"/>
        </w:rPr>
        <w:t>However, given the high sequence similarity of the 16S rRNA gene among members of the </w:t>
      </w:r>
      <w:r w:rsidR="00DD40BF" w:rsidRPr="00C93050">
        <w:rPr>
          <w:rFonts w:ascii="Times New Roman" w:hAnsi="Times New Roman" w:cs="Times New Roman"/>
          <w:i/>
          <w:iCs/>
          <w:sz w:val="24"/>
          <w:szCs w:val="24"/>
        </w:rPr>
        <w:t>Enterobacter cloacae</w:t>
      </w:r>
      <w:r w:rsidR="00DD40BF" w:rsidRPr="00C93050">
        <w:rPr>
          <w:rFonts w:ascii="Times New Roman" w:hAnsi="Times New Roman" w:cs="Times New Roman"/>
          <w:sz w:val="24"/>
          <w:szCs w:val="24"/>
        </w:rPr>
        <w:t> complex (ECC), definitive species identification requires complementary analysis</w:t>
      </w:r>
      <w:r w:rsidR="00E559A2" w:rsidRPr="00C93050">
        <w:rPr>
          <w:rFonts w:ascii="Times New Roman" w:hAnsi="Times New Roman" w:cs="Times New Roman"/>
          <w:sz w:val="24"/>
          <w:szCs w:val="24"/>
        </w:rPr>
        <w:t xml:space="preserve"> (e.g., </w:t>
      </w:r>
      <w:proofErr w:type="spellStart"/>
      <w:r w:rsidR="00E559A2" w:rsidRPr="00C93050">
        <w:rPr>
          <w:rFonts w:ascii="Times New Roman" w:hAnsi="Times New Roman" w:cs="Times New Roman"/>
          <w:i/>
          <w:iCs/>
          <w:sz w:val="24"/>
          <w:szCs w:val="24"/>
        </w:rPr>
        <w:t>gyrB</w:t>
      </w:r>
      <w:proofErr w:type="spellEnd"/>
      <w:r w:rsidR="00E559A2" w:rsidRPr="00C93050">
        <w:rPr>
          <w:rFonts w:ascii="Times New Roman" w:hAnsi="Times New Roman" w:cs="Times New Roman"/>
          <w:sz w:val="24"/>
          <w:szCs w:val="24"/>
        </w:rPr>
        <w:t> sequencing) is required for definitive identification</w:t>
      </w:r>
      <w:r w:rsidR="00DD40BF" w:rsidRPr="00C93050">
        <w:rPr>
          <w:rFonts w:ascii="Times New Roman" w:hAnsi="Times New Roman" w:cs="Times New Roman"/>
          <w:sz w:val="24"/>
          <w:szCs w:val="24"/>
        </w:rPr>
        <w:t>. The biochemical profile (Table 2), particularly the positive myo-inositol utilization, is consistent with the phenotypic description of </w:t>
      </w:r>
      <w:r w:rsidR="00DD40BF" w:rsidRPr="00C93050">
        <w:rPr>
          <w:rFonts w:ascii="Times New Roman" w:hAnsi="Times New Roman" w:cs="Times New Roman"/>
          <w:i/>
          <w:iCs/>
          <w:sz w:val="24"/>
          <w:szCs w:val="24"/>
        </w:rPr>
        <w:t xml:space="preserve">E. </w:t>
      </w:r>
      <w:proofErr w:type="spellStart"/>
      <w:r w:rsidR="00DD40BF" w:rsidRPr="00C93050">
        <w:rPr>
          <w:rFonts w:ascii="Times New Roman" w:hAnsi="Times New Roman" w:cs="Times New Roman"/>
          <w:i/>
          <w:iCs/>
          <w:sz w:val="24"/>
          <w:szCs w:val="24"/>
        </w:rPr>
        <w:t>ludwigii</w:t>
      </w:r>
      <w:proofErr w:type="spellEnd"/>
      <w:r w:rsidR="00DD40BF" w:rsidRPr="00C93050">
        <w:rPr>
          <w:rFonts w:ascii="Times New Roman" w:hAnsi="Times New Roman" w:cs="Times New Roman"/>
          <w:sz w:val="24"/>
          <w:szCs w:val="24"/>
        </w:rPr>
        <w:t> </w:t>
      </w:r>
      <w:r w:rsidR="006B196F" w:rsidRPr="00C93050">
        <w:rPr>
          <w:rFonts w:ascii="Times New Roman" w:hAnsi="Times New Roman" w:cs="Times New Roman"/>
          <w:sz w:val="24"/>
          <w:szCs w:val="24"/>
        </w:rPr>
        <w:t>[21]</w:t>
      </w:r>
      <w:r w:rsidR="00DD40BF" w:rsidRPr="00C93050">
        <w:rPr>
          <w:rFonts w:ascii="Times New Roman" w:hAnsi="Times New Roman" w:cs="Times New Roman"/>
          <w:sz w:val="24"/>
          <w:szCs w:val="24"/>
        </w:rPr>
        <w:t>. Therefore, the isolate is preliminarily identified as </w:t>
      </w:r>
      <w:r w:rsidR="00DD40BF" w:rsidRPr="00C93050">
        <w:rPr>
          <w:rFonts w:ascii="Times New Roman" w:hAnsi="Times New Roman" w:cs="Times New Roman"/>
          <w:i/>
          <w:iCs/>
          <w:sz w:val="24"/>
          <w:szCs w:val="24"/>
        </w:rPr>
        <w:t xml:space="preserve">Enterobacter </w:t>
      </w:r>
      <w:proofErr w:type="spellStart"/>
      <w:r w:rsidR="00DD40BF" w:rsidRPr="00C93050">
        <w:rPr>
          <w:rFonts w:ascii="Times New Roman" w:hAnsi="Times New Roman" w:cs="Times New Roman"/>
          <w:i/>
          <w:iCs/>
          <w:sz w:val="24"/>
          <w:szCs w:val="24"/>
        </w:rPr>
        <w:t>ludwigii</w:t>
      </w:r>
      <w:proofErr w:type="spellEnd"/>
      <w:r w:rsidR="00DD40BF" w:rsidRPr="00C93050">
        <w:rPr>
          <w:rFonts w:ascii="Times New Roman" w:hAnsi="Times New Roman" w:cs="Times New Roman"/>
          <w:sz w:val="24"/>
          <w:szCs w:val="24"/>
        </w:rPr>
        <w:t> and designated as strain HAUAAHM_EL1</w:t>
      </w:r>
      <w:r w:rsidR="00291B75" w:rsidRPr="00C93050">
        <w:rPr>
          <w:rFonts w:ascii="Times New Roman" w:hAnsi="Times New Roman" w:cs="Times New Roman"/>
          <w:sz w:val="24"/>
          <w:szCs w:val="24"/>
        </w:rPr>
        <w:t xml:space="preserve"> (</w:t>
      </w:r>
      <w:r w:rsidR="00291B75" w:rsidRPr="00C93050">
        <w:rPr>
          <w:rFonts w:ascii="Times New Roman" w:hAnsi="Times New Roman" w:cs="Times New Roman"/>
          <w:bCs/>
          <w:sz w:val="24"/>
          <w:szCs w:val="24"/>
        </w:rPr>
        <w:t>PP989393)</w:t>
      </w:r>
      <w:r w:rsidR="00DD40BF" w:rsidRPr="00C93050">
        <w:rPr>
          <w:rFonts w:ascii="Times New Roman" w:hAnsi="Times New Roman" w:cs="Times New Roman"/>
          <w:b/>
          <w:bCs/>
          <w:sz w:val="24"/>
          <w:szCs w:val="24"/>
        </w:rPr>
        <w:t>.</w:t>
      </w:r>
      <w:r w:rsidRPr="00C93050">
        <w:rPr>
          <w:rFonts w:ascii="Times New Roman" w:hAnsi="Times New Roman" w:cs="Times New Roman"/>
          <w:bCs/>
          <w:sz w:val="24"/>
          <w:szCs w:val="24"/>
        </w:rPr>
        <w:t xml:space="preserve"> </w:t>
      </w:r>
    </w:p>
    <w:p w14:paraId="337A732E" w14:textId="5C1F833E" w:rsidR="005A12A4" w:rsidRPr="00C93050" w:rsidRDefault="005A12A4" w:rsidP="00E2450C">
      <w:pPr>
        <w:ind w:firstLine="720"/>
        <w:jc w:val="both"/>
        <w:rPr>
          <w:rFonts w:ascii="Times New Roman" w:hAnsi="Times New Roman" w:cs="Times New Roman"/>
          <w:bCs/>
          <w:sz w:val="24"/>
          <w:szCs w:val="24"/>
        </w:rPr>
      </w:pPr>
      <w:r w:rsidRPr="00C93050">
        <w:rPr>
          <w:rFonts w:ascii="Times New Roman" w:hAnsi="Times New Roman" w:cs="Times New Roman"/>
          <w:bCs/>
          <w:sz w:val="24"/>
          <w:szCs w:val="24"/>
        </w:rPr>
        <w:t xml:space="preserve">Phylogenetic reconstruction using the </w:t>
      </w:r>
      <w:proofErr w:type="spellStart"/>
      <w:r w:rsidRPr="00C93050">
        <w:rPr>
          <w:rFonts w:ascii="Times New Roman" w:hAnsi="Times New Roman" w:cs="Times New Roman"/>
          <w:bCs/>
          <w:sz w:val="24"/>
          <w:szCs w:val="24"/>
        </w:rPr>
        <w:t>Neighbor</w:t>
      </w:r>
      <w:proofErr w:type="spellEnd"/>
      <w:r w:rsidRPr="00C93050">
        <w:rPr>
          <w:rFonts w:ascii="Times New Roman" w:hAnsi="Times New Roman" w:cs="Times New Roman"/>
          <w:bCs/>
          <w:sz w:val="24"/>
          <w:szCs w:val="24"/>
        </w:rPr>
        <w:t>-Joining method (1,000 bootstrap replicates) confirmed the isolate's position within the </w:t>
      </w:r>
      <w:r w:rsidRPr="00C93050">
        <w:rPr>
          <w:rFonts w:ascii="Times New Roman" w:hAnsi="Times New Roman" w:cs="Times New Roman"/>
          <w:bCs/>
          <w:i/>
          <w:iCs/>
          <w:sz w:val="24"/>
          <w:szCs w:val="24"/>
        </w:rPr>
        <w:t xml:space="preserve">E. </w:t>
      </w:r>
      <w:proofErr w:type="spellStart"/>
      <w:r w:rsidRPr="00C93050">
        <w:rPr>
          <w:rFonts w:ascii="Times New Roman" w:hAnsi="Times New Roman" w:cs="Times New Roman"/>
          <w:bCs/>
          <w:i/>
          <w:iCs/>
          <w:sz w:val="24"/>
          <w:szCs w:val="24"/>
        </w:rPr>
        <w:t>ludwigii</w:t>
      </w:r>
      <w:proofErr w:type="spellEnd"/>
      <w:r w:rsidRPr="00C93050">
        <w:rPr>
          <w:rFonts w:ascii="Times New Roman" w:hAnsi="Times New Roman" w:cs="Times New Roman"/>
          <w:bCs/>
          <w:sz w:val="24"/>
          <w:szCs w:val="24"/>
        </w:rPr>
        <w:t xml:space="preserve"> clade, showing strong bootstrap support (≥88%) for major nodes (Figure </w:t>
      </w:r>
      <w:r w:rsidR="0025271F">
        <w:rPr>
          <w:rFonts w:ascii="Times New Roman" w:hAnsi="Times New Roman" w:cs="Times New Roman"/>
          <w:bCs/>
          <w:sz w:val="24"/>
          <w:szCs w:val="24"/>
        </w:rPr>
        <w:t>1</w:t>
      </w:r>
      <w:r w:rsidRPr="00C93050">
        <w:rPr>
          <w:rFonts w:ascii="Times New Roman" w:hAnsi="Times New Roman" w:cs="Times New Roman"/>
          <w:bCs/>
          <w:sz w:val="24"/>
          <w:szCs w:val="24"/>
        </w:rPr>
        <w:t>). </w:t>
      </w:r>
      <w:r w:rsidRPr="00C93050">
        <w:rPr>
          <w:rFonts w:ascii="Times New Roman" w:hAnsi="Times New Roman" w:cs="Times New Roman"/>
          <w:bCs/>
          <w:i/>
          <w:iCs/>
          <w:sz w:val="24"/>
          <w:szCs w:val="24"/>
        </w:rPr>
        <w:t>Escherichia coli</w:t>
      </w:r>
      <w:r w:rsidRPr="00C93050">
        <w:rPr>
          <w:rFonts w:ascii="Times New Roman" w:hAnsi="Times New Roman" w:cs="Times New Roman"/>
          <w:bCs/>
          <w:sz w:val="24"/>
          <w:szCs w:val="24"/>
        </w:rPr>
        <w:t> (X80724) was used as an outgroup.</w:t>
      </w:r>
      <w:r w:rsidR="005E751A" w:rsidRPr="00C93050">
        <w:rPr>
          <w:rFonts w:ascii="Times New Roman" w:hAnsi="Times New Roman" w:cs="Times New Roman"/>
          <w:bCs/>
          <w:sz w:val="24"/>
          <w:szCs w:val="24"/>
        </w:rPr>
        <w:t xml:space="preserve"> </w:t>
      </w:r>
      <w:r w:rsidRPr="00C93050">
        <w:rPr>
          <w:rFonts w:ascii="Times New Roman" w:hAnsi="Times New Roman" w:cs="Times New Roman"/>
          <w:bCs/>
          <w:sz w:val="24"/>
          <w:szCs w:val="24"/>
        </w:rPr>
        <w:t>While these results strongly suggest the isolate belongs to </w:t>
      </w:r>
      <w:r w:rsidRPr="00C93050">
        <w:rPr>
          <w:rFonts w:ascii="Times New Roman" w:hAnsi="Times New Roman" w:cs="Times New Roman"/>
          <w:bCs/>
          <w:i/>
          <w:iCs/>
          <w:sz w:val="24"/>
          <w:szCs w:val="24"/>
        </w:rPr>
        <w:t xml:space="preserve">E. </w:t>
      </w:r>
      <w:proofErr w:type="spellStart"/>
      <w:r w:rsidRPr="00C93050">
        <w:rPr>
          <w:rFonts w:ascii="Times New Roman" w:hAnsi="Times New Roman" w:cs="Times New Roman"/>
          <w:bCs/>
          <w:i/>
          <w:iCs/>
          <w:sz w:val="24"/>
          <w:szCs w:val="24"/>
        </w:rPr>
        <w:t>ludwigii</w:t>
      </w:r>
      <w:proofErr w:type="spellEnd"/>
      <w:r w:rsidRPr="00C93050">
        <w:rPr>
          <w:rFonts w:ascii="Times New Roman" w:hAnsi="Times New Roman" w:cs="Times New Roman"/>
          <w:bCs/>
          <w:sz w:val="24"/>
          <w:szCs w:val="24"/>
        </w:rPr>
        <w:t>, it is important to note that members of the </w:t>
      </w:r>
      <w:r w:rsidRPr="00C93050">
        <w:rPr>
          <w:rFonts w:ascii="Times New Roman" w:hAnsi="Times New Roman" w:cs="Times New Roman"/>
          <w:bCs/>
          <w:i/>
          <w:iCs/>
          <w:sz w:val="24"/>
          <w:szCs w:val="24"/>
        </w:rPr>
        <w:t>Enterobacter cloacae</w:t>
      </w:r>
      <w:r w:rsidRPr="00C93050">
        <w:rPr>
          <w:rFonts w:ascii="Times New Roman" w:hAnsi="Times New Roman" w:cs="Times New Roman"/>
          <w:bCs/>
          <w:sz w:val="24"/>
          <w:szCs w:val="24"/>
        </w:rPr>
        <w:t> complex (including </w:t>
      </w:r>
      <w:r w:rsidRPr="00C93050">
        <w:rPr>
          <w:rFonts w:ascii="Times New Roman" w:hAnsi="Times New Roman" w:cs="Times New Roman"/>
          <w:bCs/>
          <w:i/>
          <w:iCs/>
          <w:sz w:val="24"/>
          <w:szCs w:val="24"/>
        </w:rPr>
        <w:t>E. cloacae</w:t>
      </w:r>
      <w:r w:rsidRPr="00C93050">
        <w:rPr>
          <w:rFonts w:ascii="Times New Roman" w:hAnsi="Times New Roman" w:cs="Times New Roman"/>
          <w:bCs/>
          <w:sz w:val="24"/>
          <w:szCs w:val="24"/>
        </w:rPr>
        <w:t>, </w:t>
      </w:r>
      <w:r w:rsidRPr="00C93050">
        <w:rPr>
          <w:rFonts w:ascii="Times New Roman" w:hAnsi="Times New Roman" w:cs="Times New Roman"/>
          <w:bCs/>
          <w:i/>
          <w:iCs/>
          <w:sz w:val="24"/>
          <w:szCs w:val="24"/>
        </w:rPr>
        <w:t xml:space="preserve">E. </w:t>
      </w:r>
      <w:proofErr w:type="spellStart"/>
      <w:r w:rsidRPr="00C93050">
        <w:rPr>
          <w:rFonts w:ascii="Times New Roman" w:hAnsi="Times New Roman" w:cs="Times New Roman"/>
          <w:bCs/>
          <w:i/>
          <w:iCs/>
          <w:sz w:val="24"/>
          <w:szCs w:val="24"/>
        </w:rPr>
        <w:t>ludwigii</w:t>
      </w:r>
      <w:proofErr w:type="spellEnd"/>
      <w:r w:rsidRPr="00C93050">
        <w:rPr>
          <w:rFonts w:ascii="Times New Roman" w:hAnsi="Times New Roman" w:cs="Times New Roman"/>
          <w:bCs/>
          <w:sz w:val="24"/>
          <w:szCs w:val="24"/>
        </w:rPr>
        <w:t xml:space="preserve">, and related taxa) exhibit highly conserved 16S rRNA sequences with minimal divergence </w:t>
      </w:r>
      <w:r w:rsidR="006B196F" w:rsidRPr="00C93050">
        <w:rPr>
          <w:rFonts w:ascii="Times New Roman" w:hAnsi="Times New Roman" w:cs="Times New Roman"/>
          <w:bCs/>
          <w:sz w:val="24"/>
          <w:szCs w:val="24"/>
        </w:rPr>
        <w:t>[9]</w:t>
      </w:r>
      <w:r w:rsidRPr="00C93050">
        <w:rPr>
          <w:rFonts w:ascii="Times New Roman" w:hAnsi="Times New Roman" w:cs="Times New Roman"/>
          <w:bCs/>
          <w:sz w:val="24"/>
          <w:szCs w:val="24"/>
        </w:rPr>
        <w:t>. Therefore, while consistent with </w:t>
      </w:r>
      <w:r w:rsidRPr="00C93050">
        <w:rPr>
          <w:rFonts w:ascii="Times New Roman" w:hAnsi="Times New Roman" w:cs="Times New Roman"/>
          <w:bCs/>
          <w:i/>
          <w:iCs/>
          <w:sz w:val="24"/>
          <w:szCs w:val="24"/>
        </w:rPr>
        <w:t xml:space="preserve">E. </w:t>
      </w:r>
      <w:proofErr w:type="spellStart"/>
      <w:r w:rsidRPr="00C93050">
        <w:rPr>
          <w:rFonts w:ascii="Times New Roman" w:hAnsi="Times New Roman" w:cs="Times New Roman"/>
          <w:bCs/>
          <w:i/>
          <w:iCs/>
          <w:sz w:val="24"/>
          <w:szCs w:val="24"/>
        </w:rPr>
        <w:t>ludwigii</w:t>
      </w:r>
      <w:proofErr w:type="spellEnd"/>
      <w:r w:rsidRPr="00C93050">
        <w:rPr>
          <w:rFonts w:ascii="Times New Roman" w:hAnsi="Times New Roman" w:cs="Times New Roman"/>
          <w:bCs/>
          <w:sz w:val="24"/>
          <w:szCs w:val="24"/>
        </w:rPr>
        <w:t xml:space="preserve">, definitive taxonomic resolution within this complex would require higher-resolution methods such as </w:t>
      </w:r>
      <w:proofErr w:type="spellStart"/>
      <w:r w:rsidRPr="00C93050">
        <w:rPr>
          <w:rFonts w:ascii="Times New Roman" w:hAnsi="Times New Roman" w:cs="Times New Roman"/>
          <w:bCs/>
          <w:sz w:val="24"/>
          <w:szCs w:val="24"/>
        </w:rPr>
        <w:t>multilocus</w:t>
      </w:r>
      <w:proofErr w:type="spellEnd"/>
      <w:r w:rsidRPr="00C93050">
        <w:rPr>
          <w:rFonts w:ascii="Times New Roman" w:hAnsi="Times New Roman" w:cs="Times New Roman"/>
          <w:bCs/>
          <w:sz w:val="24"/>
          <w:szCs w:val="24"/>
        </w:rPr>
        <w:t xml:space="preserve"> sequence analysis (e.g., </w:t>
      </w:r>
      <w:proofErr w:type="spellStart"/>
      <w:r w:rsidRPr="00C93050">
        <w:rPr>
          <w:rFonts w:ascii="Times New Roman" w:hAnsi="Times New Roman" w:cs="Times New Roman"/>
          <w:bCs/>
          <w:i/>
          <w:iCs/>
          <w:sz w:val="24"/>
          <w:szCs w:val="24"/>
        </w:rPr>
        <w:t>gyrB</w:t>
      </w:r>
      <w:proofErr w:type="spellEnd"/>
      <w:r w:rsidRPr="00C93050">
        <w:rPr>
          <w:rFonts w:ascii="Times New Roman" w:hAnsi="Times New Roman" w:cs="Times New Roman"/>
          <w:bCs/>
          <w:sz w:val="24"/>
          <w:szCs w:val="24"/>
        </w:rPr>
        <w:t>, </w:t>
      </w:r>
      <w:proofErr w:type="spellStart"/>
      <w:r w:rsidRPr="00C93050">
        <w:rPr>
          <w:rFonts w:ascii="Times New Roman" w:hAnsi="Times New Roman" w:cs="Times New Roman"/>
          <w:bCs/>
          <w:i/>
          <w:iCs/>
          <w:sz w:val="24"/>
          <w:szCs w:val="24"/>
        </w:rPr>
        <w:t>rpoB</w:t>
      </w:r>
      <w:proofErr w:type="spellEnd"/>
      <w:r w:rsidRPr="00C93050">
        <w:rPr>
          <w:rFonts w:ascii="Times New Roman" w:hAnsi="Times New Roman" w:cs="Times New Roman"/>
          <w:bCs/>
          <w:sz w:val="24"/>
          <w:szCs w:val="24"/>
        </w:rPr>
        <w:t>, </w:t>
      </w:r>
      <w:proofErr w:type="spellStart"/>
      <w:r w:rsidRPr="00C93050">
        <w:rPr>
          <w:rFonts w:ascii="Times New Roman" w:hAnsi="Times New Roman" w:cs="Times New Roman"/>
          <w:bCs/>
          <w:i/>
          <w:iCs/>
          <w:sz w:val="24"/>
          <w:szCs w:val="24"/>
        </w:rPr>
        <w:t>infB</w:t>
      </w:r>
      <w:proofErr w:type="spellEnd"/>
      <w:r w:rsidRPr="00C93050">
        <w:rPr>
          <w:rFonts w:ascii="Times New Roman" w:hAnsi="Times New Roman" w:cs="Times New Roman"/>
          <w:bCs/>
          <w:sz w:val="24"/>
          <w:szCs w:val="24"/>
        </w:rPr>
        <w:t>), whole-genome sequencing with average nucleotide identity (ANI) analysis, or MALDI-TOF mass spectrometry.</w:t>
      </w:r>
      <w:r w:rsidR="005E751A" w:rsidRPr="00C93050">
        <w:rPr>
          <w:rFonts w:ascii="Times New Roman" w:hAnsi="Times New Roman" w:cs="Times New Roman"/>
          <w:bCs/>
          <w:sz w:val="24"/>
          <w:szCs w:val="24"/>
        </w:rPr>
        <w:t xml:space="preserve"> </w:t>
      </w:r>
      <w:r w:rsidRPr="00C93050">
        <w:rPr>
          <w:rFonts w:ascii="Times New Roman" w:hAnsi="Times New Roman" w:cs="Times New Roman"/>
          <w:bCs/>
          <w:sz w:val="24"/>
          <w:szCs w:val="24"/>
        </w:rPr>
        <w:t>Ecologically, </w:t>
      </w:r>
      <w:r w:rsidRPr="00C93050">
        <w:rPr>
          <w:rFonts w:ascii="Times New Roman" w:hAnsi="Times New Roman" w:cs="Times New Roman"/>
          <w:bCs/>
          <w:i/>
          <w:iCs/>
          <w:sz w:val="24"/>
          <w:szCs w:val="24"/>
        </w:rPr>
        <w:t>Enterobacter</w:t>
      </w:r>
      <w:r w:rsidRPr="00C93050">
        <w:rPr>
          <w:rFonts w:ascii="Times New Roman" w:hAnsi="Times New Roman" w:cs="Times New Roman"/>
          <w:bCs/>
          <w:sz w:val="24"/>
          <w:szCs w:val="24"/>
        </w:rPr>
        <w:t> species are ubiquitous in water and soil environments and typically act as opportunistic pathogens. The isolation of this bacterium from the gill tissue of stressed </w:t>
      </w:r>
      <w:proofErr w:type="spellStart"/>
      <w:r w:rsidRPr="00C93050">
        <w:rPr>
          <w:rFonts w:ascii="Times New Roman" w:hAnsi="Times New Roman" w:cs="Times New Roman"/>
          <w:bCs/>
          <w:i/>
          <w:iCs/>
          <w:sz w:val="24"/>
          <w:szCs w:val="24"/>
        </w:rPr>
        <w:t>Catla</w:t>
      </w:r>
      <w:proofErr w:type="spellEnd"/>
      <w:r w:rsidRPr="00C93050">
        <w:rPr>
          <w:rFonts w:ascii="Times New Roman" w:hAnsi="Times New Roman" w:cs="Times New Roman"/>
          <w:bCs/>
          <w:i/>
          <w:iCs/>
          <w:sz w:val="24"/>
          <w:szCs w:val="24"/>
        </w:rPr>
        <w:t xml:space="preserve"> </w:t>
      </w:r>
      <w:proofErr w:type="spellStart"/>
      <w:r w:rsidRPr="00C93050">
        <w:rPr>
          <w:rFonts w:ascii="Times New Roman" w:hAnsi="Times New Roman" w:cs="Times New Roman"/>
          <w:bCs/>
          <w:i/>
          <w:iCs/>
          <w:sz w:val="24"/>
          <w:szCs w:val="24"/>
        </w:rPr>
        <w:t>catla</w:t>
      </w:r>
      <w:proofErr w:type="spellEnd"/>
      <w:r w:rsidRPr="00C93050">
        <w:rPr>
          <w:rFonts w:ascii="Times New Roman" w:hAnsi="Times New Roman" w:cs="Times New Roman"/>
          <w:bCs/>
          <w:sz w:val="24"/>
          <w:szCs w:val="24"/>
        </w:rPr>
        <w:t> in a poorly managed pond indicates an opportunistic infection, likely facilitated by environmental stressors such as suboptimal water quality and high stocking density. This finding aligns with previous reports of opportunistic enterobacterial infections in aquaculture systems under stress conditions.</w:t>
      </w:r>
    </w:p>
    <w:p w14:paraId="7F94306C" w14:textId="77777777" w:rsidR="00101856" w:rsidRPr="00C93050" w:rsidRDefault="00101856" w:rsidP="00101856">
      <w:pPr>
        <w:jc w:val="both"/>
        <w:rPr>
          <w:rFonts w:ascii="Times New Roman" w:hAnsi="Times New Roman" w:cs="Times New Roman"/>
          <w:noProof/>
          <w:sz w:val="24"/>
          <w:szCs w:val="24"/>
        </w:rPr>
      </w:pPr>
      <w:r w:rsidRPr="00C93050">
        <w:rPr>
          <w:rFonts w:ascii="Times New Roman" w:hAnsi="Times New Roman" w:cs="Times New Roman"/>
          <w:noProof/>
          <w:sz w:val="24"/>
          <w:szCs w:val="24"/>
        </w:rPr>
        <w:drawing>
          <wp:inline distT="0" distB="0" distL="0" distR="0" wp14:anchorId="2AE32FCD" wp14:editId="68AD8F48">
            <wp:extent cx="5731510" cy="1935803"/>
            <wp:effectExtent l="19050" t="19050" r="21590" b="26670"/>
            <wp:docPr id="14909790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8922" cy="1938306"/>
                    </a:xfrm>
                    <a:prstGeom prst="rect">
                      <a:avLst/>
                    </a:prstGeom>
                    <a:noFill/>
                    <a:ln>
                      <a:solidFill>
                        <a:schemeClr val="tx1"/>
                      </a:solidFill>
                    </a:ln>
                  </pic:spPr>
                </pic:pic>
              </a:graphicData>
            </a:graphic>
          </wp:inline>
        </w:drawing>
      </w:r>
    </w:p>
    <w:p w14:paraId="731294CB" w14:textId="2F97CB1C" w:rsidR="00101856" w:rsidRPr="00C93050" w:rsidRDefault="00101856" w:rsidP="00101856">
      <w:pPr>
        <w:jc w:val="center"/>
        <w:rPr>
          <w:rFonts w:ascii="Times New Roman" w:hAnsi="Times New Roman" w:cs="Times New Roman"/>
          <w:bCs/>
          <w:noProof/>
          <w:sz w:val="24"/>
          <w:szCs w:val="24"/>
        </w:rPr>
      </w:pPr>
      <w:r w:rsidRPr="00C93050">
        <w:rPr>
          <w:rFonts w:ascii="Times New Roman" w:hAnsi="Times New Roman" w:cs="Times New Roman"/>
          <w:b/>
          <w:bCs/>
          <w:noProof/>
          <w:sz w:val="24"/>
          <w:szCs w:val="24"/>
        </w:rPr>
        <w:t xml:space="preserve">Figure </w:t>
      </w:r>
      <w:r w:rsidR="0025271F">
        <w:rPr>
          <w:rFonts w:ascii="Times New Roman" w:hAnsi="Times New Roman" w:cs="Times New Roman"/>
          <w:b/>
          <w:bCs/>
          <w:noProof/>
          <w:sz w:val="24"/>
          <w:szCs w:val="24"/>
        </w:rPr>
        <w:t>1</w:t>
      </w:r>
      <w:r w:rsidRPr="00C93050">
        <w:rPr>
          <w:rFonts w:ascii="Times New Roman" w:hAnsi="Times New Roman" w:cs="Times New Roman"/>
          <w:b/>
          <w:bCs/>
          <w:noProof/>
          <w:sz w:val="24"/>
          <w:szCs w:val="24"/>
        </w:rPr>
        <w:t>.</w:t>
      </w:r>
      <w:r w:rsidRPr="00C93050">
        <w:rPr>
          <w:rFonts w:ascii="Times New Roman" w:hAnsi="Times New Roman" w:cs="Times New Roman"/>
          <w:bCs/>
          <w:noProof/>
          <w:sz w:val="24"/>
          <w:szCs w:val="24"/>
        </w:rPr>
        <w:t xml:space="preserve"> Neighbor-Joining phylogenetic tree of the isolate (PP989393</w:t>
      </w:r>
      <w:r w:rsidR="005A12A4" w:rsidRPr="00C93050">
        <w:rPr>
          <w:rFonts w:ascii="Times New Roman" w:hAnsi="Times New Roman" w:cs="Times New Roman"/>
          <w:bCs/>
          <w:noProof/>
          <w:sz w:val="24"/>
          <w:szCs w:val="24"/>
        </w:rPr>
        <w:t xml:space="preserve"> </w:t>
      </w:r>
      <w:r w:rsidR="005A12A4" w:rsidRPr="00C93050">
        <w:rPr>
          <w:rFonts w:ascii="Times New Roman" w:hAnsi="Times New Roman" w:cs="Times New Roman"/>
          <w:bCs/>
          <w:i/>
          <w:iCs/>
          <w:noProof/>
          <w:sz w:val="24"/>
          <w:szCs w:val="24"/>
        </w:rPr>
        <w:t>Enterobacter ludwigii</w:t>
      </w:r>
      <w:r w:rsidRPr="00C93050">
        <w:rPr>
          <w:rFonts w:ascii="Times New Roman" w:hAnsi="Times New Roman" w:cs="Times New Roman"/>
          <w:bCs/>
          <w:noProof/>
          <w:sz w:val="24"/>
          <w:szCs w:val="24"/>
        </w:rPr>
        <w:t>) with related strains. Bootstrap values (1000 replicates) are shown</w:t>
      </w:r>
      <w:r w:rsidR="005A12A4" w:rsidRPr="00C93050">
        <w:rPr>
          <w:rFonts w:ascii="Times New Roman" w:hAnsi="Times New Roman" w:cs="Times New Roman"/>
          <w:bCs/>
          <w:noProof/>
          <w:sz w:val="24"/>
          <w:szCs w:val="24"/>
        </w:rPr>
        <w:t xml:space="preserve"> at branch nodes</w:t>
      </w:r>
      <w:r w:rsidRPr="00C93050">
        <w:rPr>
          <w:rFonts w:ascii="Times New Roman" w:hAnsi="Times New Roman" w:cs="Times New Roman"/>
          <w:bCs/>
          <w:noProof/>
          <w:sz w:val="24"/>
          <w:szCs w:val="24"/>
        </w:rPr>
        <w:t xml:space="preserve">. </w:t>
      </w:r>
      <w:r w:rsidRPr="00C93050">
        <w:rPr>
          <w:rFonts w:ascii="Times New Roman" w:hAnsi="Times New Roman" w:cs="Times New Roman"/>
          <w:bCs/>
          <w:i/>
          <w:iCs/>
          <w:noProof/>
          <w:sz w:val="24"/>
          <w:szCs w:val="24"/>
        </w:rPr>
        <w:t>E. coli</w:t>
      </w:r>
      <w:r w:rsidRPr="00C93050">
        <w:rPr>
          <w:rFonts w:ascii="Times New Roman" w:hAnsi="Times New Roman" w:cs="Times New Roman"/>
          <w:bCs/>
          <w:noProof/>
          <w:sz w:val="24"/>
          <w:szCs w:val="24"/>
        </w:rPr>
        <w:t xml:space="preserve"> (X80724) served as the outgroup. Scale bar = 0.01 substitutions per site.</w:t>
      </w:r>
    </w:p>
    <w:p w14:paraId="0F98F25F" w14:textId="77777777" w:rsidR="00C93050" w:rsidRDefault="00C93050" w:rsidP="00101856">
      <w:pPr>
        <w:rPr>
          <w:rFonts w:ascii="Times New Roman" w:hAnsi="Times New Roman" w:cs="Times New Roman"/>
          <w:b/>
          <w:bCs/>
          <w:sz w:val="24"/>
          <w:szCs w:val="24"/>
        </w:rPr>
      </w:pPr>
    </w:p>
    <w:p w14:paraId="58185652" w14:textId="5C8C5B57" w:rsidR="00101856" w:rsidRPr="00C93050" w:rsidRDefault="00101856" w:rsidP="00101856">
      <w:pPr>
        <w:rPr>
          <w:rFonts w:ascii="Times New Roman" w:hAnsi="Times New Roman" w:cs="Times New Roman"/>
          <w:b/>
          <w:bCs/>
          <w:i/>
          <w:iCs/>
          <w:sz w:val="24"/>
          <w:szCs w:val="24"/>
        </w:rPr>
      </w:pPr>
      <w:r w:rsidRPr="00C93050">
        <w:rPr>
          <w:rFonts w:ascii="Times New Roman" w:hAnsi="Times New Roman" w:cs="Times New Roman"/>
          <w:b/>
          <w:bCs/>
          <w:sz w:val="24"/>
          <w:szCs w:val="24"/>
        </w:rPr>
        <w:lastRenderedPageBreak/>
        <w:t xml:space="preserve">3.6 Antibacterial effect of </w:t>
      </w:r>
      <w:r w:rsidRPr="00C93050">
        <w:rPr>
          <w:rFonts w:ascii="Times New Roman" w:hAnsi="Times New Roman" w:cs="Times New Roman"/>
          <w:b/>
          <w:bCs/>
          <w:i/>
          <w:iCs/>
          <w:sz w:val="24"/>
          <w:szCs w:val="24"/>
        </w:rPr>
        <w:t>Curcuma longa</w:t>
      </w:r>
      <w:r w:rsidRPr="00C93050">
        <w:rPr>
          <w:rFonts w:ascii="Times New Roman" w:hAnsi="Times New Roman" w:cs="Times New Roman"/>
          <w:b/>
          <w:bCs/>
          <w:sz w:val="24"/>
          <w:szCs w:val="24"/>
        </w:rPr>
        <w:t xml:space="preserve"> extract against </w:t>
      </w:r>
      <w:r w:rsidRPr="00C93050">
        <w:rPr>
          <w:rFonts w:ascii="Times New Roman" w:hAnsi="Times New Roman" w:cs="Times New Roman"/>
          <w:b/>
          <w:bCs/>
          <w:i/>
          <w:iCs/>
          <w:sz w:val="24"/>
          <w:szCs w:val="24"/>
        </w:rPr>
        <w:t xml:space="preserve">Enterobacter </w:t>
      </w:r>
      <w:proofErr w:type="spellStart"/>
      <w:r w:rsidRPr="00C93050">
        <w:rPr>
          <w:rFonts w:ascii="Times New Roman" w:hAnsi="Times New Roman" w:cs="Times New Roman"/>
          <w:b/>
          <w:bCs/>
          <w:i/>
          <w:iCs/>
          <w:sz w:val="24"/>
          <w:szCs w:val="24"/>
        </w:rPr>
        <w:t>ludwigii</w:t>
      </w:r>
      <w:proofErr w:type="spellEnd"/>
    </w:p>
    <w:p w14:paraId="43437C15" w14:textId="5117B898" w:rsidR="00E2450C" w:rsidRPr="00C93050" w:rsidRDefault="00A1147B"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The aqueous extract of </w:t>
      </w:r>
      <w:r w:rsidRPr="00C93050">
        <w:rPr>
          <w:rFonts w:ascii="Times New Roman" w:hAnsi="Times New Roman" w:cs="Times New Roman"/>
          <w:i/>
          <w:iCs/>
          <w:sz w:val="24"/>
          <w:szCs w:val="24"/>
        </w:rPr>
        <w:t>Curcuma longa</w:t>
      </w:r>
      <w:r w:rsidRPr="00C93050">
        <w:rPr>
          <w:rFonts w:ascii="Times New Roman" w:hAnsi="Times New Roman" w:cs="Times New Roman"/>
          <w:sz w:val="24"/>
          <w:szCs w:val="24"/>
        </w:rPr>
        <w:t> exhibited significant, dose-dependent antibacterial activity against </w:t>
      </w:r>
      <w:r w:rsidRPr="00C93050">
        <w:rPr>
          <w:rFonts w:ascii="Times New Roman" w:hAnsi="Times New Roman" w:cs="Times New Roman"/>
          <w:i/>
          <w:iCs/>
          <w:sz w:val="24"/>
          <w:szCs w:val="24"/>
        </w:rPr>
        <w:t xml:space="preserve">E.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xml:space="preserve"> (Figure </w:t>
      </w:r>
      <w:r w:rsidR="0025271F">
        <w:rPr>
          <w:rFonts w:ascii="Times New Roman" w:hAnsi="Times New Roman" w:cs="Times New Roman"/>
          <w:sz w:val="24"/>
          <w:szCs w:val="24"/>
        </w:rPr>
        <w:t>2</w:t>
      </w:r>
      <w:r w:rsidRPr="00C93050">
        <w:rPr>
          <w:rFonts w:ascii="Times New Roman" w:hAnsi="Times New Roman" w:cs="Times New Roman"/>
          <w:sz w:val="24"/>
          <w:szCs w:val="24"/>
        </w:rPr>
        <w:t>). The minimum inhibitory concentration (MIC), defined as the lowest concentration that completely inhibited visible growth, was determined to be 2.5 mg/</w:t>
      </w:r>
      <w:proofErr w:type="spellStart"/>
      <w:r w:rsidRPr="00C93050">
        <w:rPr>
          <w:rFonts w:ascii="Times New Roman" w:hAnsi="Times New Roman" w:cs="Times New Roman"/>
          <w:sz w:val="24"/>
          <w:szCs w:val="24"/>
        </w:rPr>
        <w:t>mL.</w:t>
      </w:r>
      <w:proofErr w:type="spellEnd"/>
      <w:r w:rsidRPr="00C93050">
        <w:rPr>
          <w:rFonts w:ascii="Times New Roman" w:hAnsi="Times New Roman" w:cs="Times New Roman"/>
          <w:sz w:val="24"/>
          <w:szCs w:val="24"/>
        </w:rPr>
        <w:t xml:space="preserve"> The minimum bactericidal concentration (MBC), defined as the lowest concentration that resulted in no colony formation upon sub-culturing, was 10 mg/mL (Table 3). The resulting MBC/MIC ratio of 4 is indicative of a bactericidal effect against the isolate, according to established pharmacological criteria </w:t>
      </w:r>
      <w:r w:rsidR="006B196F" w:rsidRPr="00C93050">
        <w:rPr>
          <w:rFonts w:ascii="Times New Roman" w:hAnsi="Times New Roman" w:cs="Times New Roman"/>
          <w:sz w:val="24"/>
          <w:szCs w:val="24"/>
        </w:rPr>
        <w:t>[27]</w:t>
      </w:r>
      <w:r w:rsidRPr="00C93050">
        <w:rPr>
          <w:rFonts w:ascii="Times New Roman" w:hAnsi="Times New Roman" w:cs="Times New Roman"/>
          <w:sz w:val="24"/>
          <w:szCs w:val="24"/>
        </w:rPr>
        <w:t xml:space="preserve">. This means the extract does not merely inhibit growth but kills the bacterial cells at concentrations close to the MIC. As illustrated in Figure </w:t>
      </w:r>
      <w:r w:rsidR="002F02E4">
        <w:rPr>
          <w:rFonts w:ascii="Times New Roman" w:hAnsi="Times New Roman" w:cs="Times New Roman"/>
          <w:sz w:val="24"/>
          <w:szCs w:val="24"/>
        </w:rPr>
        <w:t>2</w:t>
      </w:r>
      <w:r w:rsidRPr="00C93050">
        <w:rPr>
          <w:rFonts w:ascii="Times New Roman" w:hAnsi="Times New Roman" w:cs="Times New Roman"/>
          <w:sz w:val="24"/>
          <w:szCs w:val="24"/>
        </w:rPr>
        <w:t>a, bacterial growth (OD₆₀₀) decreased progressively with increasing extract concentration. Complete growth inhibition was achieved at concentrations ≥ 2.5 mg/</w:t>
      </w:r>
      <w:proofErr w:type="spellStart"/>
      <w:r w:rsidRPr="00C93050">
        <w:rPr>
          <w:rFonts w:ascii="Times New Roman" w:hAnsi="Times New Roman" w:cs="Times New Roman"/>
          <w:sz w:val="24"/>
          <w:szCs w:val="24"/>
        </w:rPr>
        <w:t>mL.</w:t>
      </w:r>
      <w:proofErr w:type="spellEnd"/>
      <w:r w:rsidRPr="00C93050">
        <w:rPr>
          <w:rFonts w:ascii="Times New Roman" w:hAnsi="Times New Roman" w:cs="Times New Roman"/>
          <w:sz w:val="24"/>
          <w:szCs w:val="24"/>
        </w:rPr>
        <w:t xml:space="preserve"> Figure </w:t>
      </w:r>
      <w:r w:rsidR="002F02E4">
        <w:rPr>
          <w:rFonts w:ascii="Times New Roman" w:hAnsi="Times New Roman" w:cs="Times New Roman"/>
          <w:sz w:val="24"/>
          <w:szCs w:val="24"/>
        </w:rPr>
        <w:t>2</w:t>
      </w:r>
      <w:r w:rsidRPr="00C93050">
        <w:rPr>
          <w:rFonts w:ascii="Times New Roman" w:hAnsi="Times New Roman" w:cs="Times New Roman"/>
          <w:sz w:val="24"/>
          <w:szCs w:val="24"/>
        </w:rPr>
        <w:t xml:space="preserve">b quantifies the percentage growth inhibition, demonstrating a sharp, dose-responsive effect. </w:t>
      </w:r>
    </w:p>
    <w:p w14:paraId="028E2AA2" w14:textId="5246A814" w:rsidR="00A1147B" w:rsidRPr="00C93050" w:rsidRDefault="00A1147B" w:rsidP="00C93050">
      <w:pPr>
        <w:ind w:firstLine="720"/>
        <w:jc w:val="both"/>
        <w:rPr>
          <w:rFonts w:ascii="Times New Roman" w:hAnsi="Times New Roman" w:cs="Times New Roman"/>
          <w:sz w:val="24"/>
          <w:szCs w:val="24"/>
        </w:rPr>
      </w:pPr>
      <w:r w:rsidRPr="00C93050">
        <w:rPr>
          <w:rFonts w:ascii="Times New Roman" w:hAnsi="Times New Roman" w:cs="Times New Roman"/>
          <w:sz w:val="24"/>
          <w:szCs w:val="24"/>
        </w:rPr>
        <w:t xml:space="preserve">Sub-inhibitory concentrations (1.25 mg/mL to 0.039 mg/mL) resulted in partial inhibition, decreasing from approximately 74% to 8%. It is crucial to note that the observed activity is attributable to water-soluble constituents of turmeric (e.g., </w:t>
      </w:r>
      <w:proofErr w:type="spellStart"/>
      <w:r w:rsidRPr="00C93050">
        <w:rPr>
          <w:rFonts w:ascii="Times New Roman" w:hAnsi="Times New Roman" w:cs="Times New Roman"/>
          <w:sz w:val="24"/>
          <w:szCs w:val="24"/>
        </w:rPr>
        <w:t>turmerin</w:t>
      </w:r>
      <w:proofErr w:type="spellEnd"/>
      <w:r w:rsidRPr="00C93050">
        <w:rPr>
          <w:rFonts w:ascii="Times New Roman" w:hAnsi="Times New Roman" w:cs="Times New Roman"/>
          <w:sz w:val="24"/>
          <w:szCs w:val="24"/>
        </w:rPr>
        <w:t xml:space="preserve"> proteins, phenolic compounds, polysaccharides), as the primary antimicrobial agent, curcumin, is highly hydrophobic and has negligible solubility in aqueous extracts </w:t>
      </w:r>
      <w:r w:rsidR="006B196F" w:rsidRPr="00C93050">
        <w:rPr>
          <w:rFonts w:ascii="Times New Roman" w:hAnsi="Times New Roman" w:cs="Times New Roman"/>
          <w:sz w:val="24"/>
          <w:szCs w:val="24"/>
        </w:rPr>
        <w:t>[28; 1]</w:t>
      </w:r>
      <w:r w:rsidRPr="00C93050">
        <w:rPr>
          <w:rFonts w:ascii="Times New Roman" w:hAnsi="Times New Roman" w:cs="Times New Roman"/>
          <w:sz w:val="24"/>
          <w:szCs w:val="24"/>
        </w:rPr>
        <w:t xml:space="preserve">. This finding is consistent with other studies reporting the efficacy of aqueous turmeric extracts against various bacterial pathogens, including those affecting aquaculture </w:t>
      </w:r>
      <w:r w:rsidR="006B196F" w:rsidRPr="00C93050">
        <w:rPr>
          <w:rFonts w:ascii="Times New Roman" w:hAnsi="Times New Roman" w:cs="Times New Roman"/>
          <w:sz w:val="24"/>
          <w:szCs w:val="24"/>
        </w:rPr>
        <w:t>[15; 23]</w:t>
      </w:r>
      <w:r w:rsidRPr="00C93050">
        <w:rPr>
          <w:rFonts w:ascii="Times New Roman" w:hAnsi="Times New Roman" w:cs="Times New Roman"/>
          <w:sz w:val="24"/>
          <w:szCs w:val="24"/>
        </w:rPr>
        <w:t>. The positive (bacterial growth) and negative (sterility) controls performed as expected, validating the reliability of the assay conditions.</w:t>
      </w:r>
    </w:p>
    <w:p w14:paraId="3BFDE7AC" w14:textId="77777777" w:rsidR="00101856" w:rsidRPr="00C93050" w:rsidRDefault="00101856" w:rsidP="00101856">
      <w:pPr>
        <w:jc w:val="both"/>
        <w:rPr>
          <w:rFonts w:ascii="Times New Roman" w:hAnsi="Times New Roman" w:cs="Times New Roman"/>
          <w:sz w:val="24"/>
          <w:szCs w:val="24"/>
        </w:rPr>
      </w:pPr>
      <w:r w:rsidRPr="00C93050">
        <w:rPr>
          <w:rFonts w:ascii="Times New Roman" w:hAnsi="Times New Roman" w:cs="Times New Roman"/>
          <w:noProof/>
          <w:sz w:val="24"/>
          <w:szCs w:val="24"/>
        </w:rPr>
        <w:drawing>
          <wp:inline distT="0" distB="0" distL="0" distR="0" wp14:anchorId="2E54B7E0" wp14:editId="54C04E36">
            <wp:extent cx="2959735" cy="2859437"/>
            <wp:effectExtent l="0" t="0" r="12065" b="17145"/>
            <wp:docPr id="2062812966" name="Chart 1">
              <a:extLst xmlns:a="http://schemas.openxmlformats.org/drawingml/2006/main">
                <a:ext uri="{FF2B5EF4-FFF2-40B4-BE49-F238E27FC236}">
                  <a16:creationId xmlns:a16="http://schemas.microsoft.com/office/drawing/2014/main" id="{8C37A896-10FA-8013-88C0-2813360672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C93050">
        <w:rPr>
          <w:rFonts w:ascii="Times New Roman" w:hAnsi="Times New Roman" w:cs="Times New Roman"/>
          <w:noProof/>
          <w:sz w:val="24"/>
          <w:szCs w:val="24"/>
        </w:rPr>
        <w:t xml:space="preserve"> </w:t>
      </w:r>
      <w:r w:rsidRPr="00C93050">
        <w:rPr>
          <w:rFonts w:ascii="Times New Roman" w:hAnsi="Times New Roman" w:cs="Times New Roman"/>
          <w:noProof/>
          <w:sz w:val="24"/>
          <w:szCs w:val="24"/>
        </w:rPr>
        <w:drawing>
          <wp:inline distT="0" distB="0" distL="0" distR="0" wp14:anchorId="502B436A" wp14:editId="5C214A62">
            <wp:extent cx="2696705" cy="2853055"/>
            <wp:effectExtent l="0" t="0" r="8890" b="4445"/>
            <wp:docPr id="1211434597" name="Chart 1">
              <a:extLst xmlns:a="http://schemas.openxmlformats.org/drawingml/2006/main">
                <a:ext uri="{FF2B5EF4-FFF2-40B4-BE49-F238E27FC236}">
                  <a16:creationId xmlns:a16="http://schemas.microsoft.com/office/drawing/2014/main" id="{90866F0E-FD14-B280-3EBE-5B0A7983D7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AF056A" w14:textId="589F7267" w:rsidR="00A1147B" w:rsidRPr="00C93050" w:rsidRDefault="00A1147B" w:rsidP="00101856">
      <w:pPr>
        <w:jc w:val="both"/>
        <w:rPr>
          <w:rFonts w:ascii="Times New Roman" w:hAnsi="Times New Roman" w:cs="Times New Roman"/>
          <w:sz w:val="24"/>
          <w:szCs w:val="24"/>
        </w:rPr>
      </w:pPr>
      <w:r w:rsidRPr="00C93050">
        <w:rPr>
          <w:rFonts w:ascii="Times New Roman" w:hAnsi="Times New Roman" w:cs="Times New Roman"/>
          <w:b/>
          <w:bCs/>
          <w:sz w:val="24"/>
          <w:szCs w:val="24"/>
        </w:rPr>
        <w:t xml:space="preserve">Figure </w:t>
      </w:r>
      <w:r w:rsidR="0025271F">
        <w:rPr>
          <w:rFonts w:ascii="Times New Roman" w:hAnsi="Times New Roman" w:cs="Times New Roman"/>
          <w:b/>
          <w:bCs/>
          <w:sz w:val="24"/>
          <w:szCs w:val="24"/>
        </w:rPr>
        <w:t>2</w:t>
      </w:r>
      <w:r w:rsidRPr="00C93050">
        <w:rPr>
          <w:rFonts w:ascii="Times New Roman" w:hAnsi="Times New Roman" w:cs="Times New Roman"/>
          <w:b/>
          <w:bCs/>
          <w:sz w:val="24"/>
          <w:szCs w:val="24"/>
        </w:rPr>
        <w:t xml:space="preserve">. </w:t>
      </w:r>
      <w:r w:rsidRPr="00C93050">
        <w:rPr>
          <w:rFonts w:ascii="Times New Roman" w:hAnsi="Times New Roman" w:cs="Times New Roman"/>
          <w:sz w:val="24"/>
          <w:szCs w:val="24"/>
        </w:rPr>
        <w:t>Antibacterial effect of </w:t>
      </w:r>
      <w:r w:rsidRPr="00C93050">
        <w:rPr>
          <w:rFonts w:ascii="Times New Roman" w:hAnsi="Times New Roman" w:cs="Times New Roman"/>
          <w:i/>
          <w:iCs/>
          <w:sz w:val="24"/>
          <w:szCs w:val="24"/>
        </w:rPr>
        <w:t>Curcuma longa</w:t>
      </w:r>
      <w:r w:rsidRPr="00C93050">
        <w:rPr>
          <w:rFonts w:ascii="Times New Roman" w:hAnsi="Times New Roman" w:cs="Times New Roman"/>
          <w:sz w:val="24"/>
          <w:szCs w:val="24"/>
        </w:rPr>
        <w:t> aqueous extract on </w:t>
      </w:r>
      <w:r w:rsidRPr="00C93050">
        <w:rPr>
          <w:rFonts w:ascii="Times New Roman" w:hAnsi="Times New Roman" w:cs="Times New Roman"/>
          <w:i/>
          <w:iCs/>
          <w:sz w:val="24"/>
          <w:szCs w:val="24"/>
        </w:rPr>
        <w:t xml:space="preserve">Enterobacter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w:t>
      </w:r>
      <w:r w:rsidRPr="00C93050">
        <w:rPr>
          <w:rFonts w:ascii="Times New Roman" w:hAnsi="Times New Roman" w:cs="Times New Roman"/>
          <w:sz w:val="24"/>
          <w:szCs w:val="24"/>
        </w:rPr>
        <w:br/>
      </w:r>
      <w:r w:rsidRPr="00C93050">
        <w:rPr>
          <w:rFonts w:ascii="Times New Roman" w:hAnsi="Times New Roman" w:cs="Times New Roman"/>
          <w:b/>
          <w:bCs/>
          <w:sz w:val="24"/>
          <w:szCs w:val="24"/>
        </w:rPr>
        <w:t>(a)</w:t>
      </w:r>
      <w:r w:rsidRPr="00C93050">
        <w:rPr>
          <w:rFonts w:ascii="Times New Roman" w:hAnsi="Times New Roman" w:cs="Times New Roman"/>
          <w:sz w:val="24"/>
          <w:szCs w:val="24"/>
        </w:rPr>
        <w:t> Bacterial growth, measured by optical density at 600 nm (OD₆₀₀, mean ± SD), at different extract concentrations. The dashed line represents the threshold for complete inhibition.</w:t>
      </w:r>
      <w:r w:rsidRPr="00C93050">
        <w:rPr>
          <w:rFonts w:ascii="Times New Roman" w:hAnsi="Times New Roman" w:cs="Times New Roman"/>
          <w:sz w:val="24"/>
          <w:szCs w:val="24"/>
        </w:rPr>
        <w:br/>
      </w:r>
      <w:r w:rsidRPr="00C93050">
        <w:rPr>
          <w:rFonts w:ascii="Times New Roman" w:hAnsi="Times New Roman" w:cs="Times New Roman"/>
          <w:b/>
          <w:bCs/>
          <w:sz w:val="24"/>
          <w:szCs w:val="24"/>
        </w:rPr>
        <w:t>(b)</w:t>
      </w:r>
      <w:r w:rsidRPr="00C93050">
        <w:rPr>
          <w:rFonts w:ascii="Times New Roman" w:hAnsi="Times New Roman" w:cs="Times New Roman"/>
          <w:sz w:val="24"/>
          <w:szCs w:val="24"/>
        </w:rPr>
        <w:t> Percentage growth inhibition (mean ± SD) calculated from the corrected OD values. Error bars represent standard deviations from triplicate experiments.</w:t>
      </w:r>
    </w:p>
    <w:p w14:paraId="64822660" w14:textId="77777777" w:rsidR="00C93050" w:rsidRDefault="00C93050" w:rsidP="00101856">
      <w:pPr>
        <w:jc w:val="both"/>
        <w:rPr>
          <w:rFonts w:ascii="Times New Roman" w:hAnsi="Times New Roman" w:cs="Times New Roman"/>
          <w:b/>
          <w:bCs/>
          <w:sz w:val="24"/>
          <w:szCs w:val="24"/>
        </w:rPr>
      </w:pPr>
    </w:p>
    <w:p w14:paraId="0B0760BA" w14:textId="77777777" w:rsidR="00C93050" w:rsidRPr="00C93050" w:rsidRDefault="00C93050" w:rsidP="00C93050">
      <w:pPr>
        <w:jc w:val="both"/>
        <w:rPr>
          <w:rFonts w:ascii="Times New Roman" w:hAnsi="Times New Roman" w:cs="Times New Roman"/>
          <w:b/>
          <w:bCs/>
          <w:sz w:val="24"/>
          <w:szCs w:val="24"/>
        </w:rPr>
      </w:pPr>
      <w:r w:rsidRPr="00C93050">
        <w:rPr>
          <w:rFonts w:ascii="Times New Roman" w:hAnsi="Times New Roman" w:cs="Times New Roman"/>
          <w:b/>
          <w:bCs/>
          <w:sz w:val="24"/>
          <w:szCs w:val="24"/>
        </w:rPr>
        <w:lastRenderedPageBreak/>
        <w:t xml:space="preserve">Table 3. </w:t>
      </w:r>
      <w:r w:rsidRPr="00C93050">
        <w:rPr>
          <w:rFonts w:ascii="Times New Roman" w:hAnsi="Times New Roman" w:cs="Times New Roman"/>
          <w:sz w:val="24"/>
          <w:szCs w:val="24"/>
        </w:rPr>
        <w:t xml:space="preserve">MIC, MBC, and MBC/MIC ratio of </w:t>
      </w:r>
      <w:r w:rsidRPr="00C93050">
        <w:rPr>
          <w:rFonts w:ascii="Times New Roman" w:hAnsi="Times New Roman" w:cs="Times New Roman"/>
          <w:i/>
          <w:iCs/>
          <w:sz w:val="24"/>
          <w:szCs w:val="24"/>
        </w:rPr>
        <w:t>Curcuma longa</w:t>
      </w:r>
      <w:r w:rsidRPr="00C93050">
        <w:rPr>
          <w:rFonts w:ascii="Times New Roman" w:hAnsi="Times New Roman" w:cs="Times New Roman"/>
          <w:sz w:val="24"/>
          <w:szCs w:val="24"/>
        </w:rPr>
        <w:t xml:space="preserve"> aqueous extract against </w:t>
      </w:r>
      <w:r w:rsidRPr="00C93050">
        <w:rPr>
          <w:rFonts w:ascii="Times New Roman" w:hAnsi="Times New Roman" w:cs="Times New Roman"/>
          <w:i/>
          <w:iCs/>
          <w:sz w:val="24"/>
          <w:szCs w:val="24"/>
        </w:rPr>
        <w:t xml:space="preserve">E. </w:t>
      </w:r>
      <w:proofErr w:type="spellStart"/>
      <w:r w:rsidRPr="00C93050">
        <w:rPr>
          <w:rFonts w:ascii="Times New Roman" w:hAnsi="Times New Roman" w:cs="Times New Roman"/>
          <w:i/>
          <w:iCs/>
          <w:sz w:val="24"/>
          <w:szCs w:val="24"/>
        </w:rPr>
        <w:t>ludwigii</w:t>
      </w:r>
      <w:proofErr w:type="spellEnd"/>
    </w:p>
    <w:tbl>
      <w:tblPr>
        <w:tblStyle w:val="TableGrid"/>
        <w:tblW w:w="0" w:type="auto"/>
        <w:tblLook w:val="04A0" w:firstRow="1" w:lastRow="0" w:firstColumn="1" w:lastColumn="0" w:noHBand="0" w:noVBand="1"/>
      </w:tblPr>
      <w:tblGrid>
        <w:gridCol w:w="1803"/>
        <w:gridCol w:w="1736"/>
        <w:gridCol w:w="1870"/>
        <w:gridCol w:w="1803"/>
        <w:gridCol w:w="1804"/>
      </w:tblGrid>
      <w:tr w:rsidR="00C93050" w:rsidRPr="00C93050" w14:paraId="4EDD8F40" w14:textId="77777777" w:rsidTr="00976ABC">
        <w:tc>
          <w:tcPr>
            <w:tcW w:w="1803" w:type="dxa"/>
          </w:tcPr>
          <w:p w14:paraId="351683C2" w14:textId="77777777" w:rsidR="00C93050" w:rsidRPr="00C93050" w:rsidRDefault="00C93050" w:rsidP="00976ABC">
            <w:pPr>
              <w:jc w:val="both"/>
              <w:rPr>
                <w:rFonts w:ascii="Times New Roman" w:hAnsi="Times New Roman" w:cs="Times New Roman"/>
                <w:b/>
                <w:bCs/>
                <w:sz w:val="24"/>
                <w:szCs w:val="24"/>
              </w:rPr>
            </w:pPr>
            <w:r w:rsidRPr="00C93050">
              <w:rPr>
                <w:rFonts w:ascii="Times New Roman" w:hAnsi="Times New Roman" w:cs="Times New Roman"/>
                <w:b/>
                <w:bCs/>
                <w:sz w:val="24"/>
                <w:szCs w:val="24"/>
              </w:rPr>
              <w:t>Extract tested</w:t>
            </w:r>
          </w:p>
        </w:tc>
        <w:tc>
          <w:tcPr>
            <w:tcW w:w="1736" w:type="dxa"/>
          </w:tcPr>
          <w:p w14:paraId="3BC96831" w14:textId="77777777" w:rsidR="00C93050" w:rsidRPr="00C93050" w:rsidRDefault="00C93050" w:rsidP="00976ABC">
            <w:pPr>
              <w:jc w:val="both"/>
              <w:rPr>
                <w:rFonts w:ascii="Times New Roman" w:hAnsi="Times New Roman" w:cs="Times New Roman"/>
                <w:b/>
                <w:bCs/>
                <w:sz w:val="24"/>
                <w:szCs w:val="24"/>
              </w:rPr>
            </w:pPr>
            <w:r w:rsidRPr="00C93050">
              <w:rPr>
                <w:rFonts w:ascii="Times New Roman" w:hAnsi="Times New Roman" w:cs="Times New Roman"/>
                <w:b/>
                <w:bCs/>
                <w:sz w:val="24"/>
                <w:szCs w:val="24"/>
              </w:rPr>
              <w:t>MIC (mg/mL)</w:t>
            </w:r>
          </w:p>
        </w:tc>
        <w:tc>
          <w:tcPr>
            <w:tcW w:w="1870" w:type="dxa"/>
          </w:tcPr>
          <w:p w14:paraId="38AEFAEA" w14:textId="77777777" w:rsidR="00C93050" w:rsidRPr="00C93050" w:rsidRDefault="00C93050" w:rsidP="00976ABC">
            <w:pPr>
              <w:jc w:val="both"/>
              <w:rPr>
                <w:rFonts w:ascii="Times New Roman" w:hAnsi="Times New Roman" w:cs="Times New Roman"/>
                <w:b/>
                <w:bCs/>
                <w:sz w:val="24"/>
                <w:szCs w:val="24"/>
              </w:rPr>
            </w:pPr>
            <w:r w:rsidRPr="00C93050">
              <w:rPr>
                <w:rFonts w:ascii="Times New Roman" w:hAnsi="Times New Roman" w:cs="Times New Roman"/>
                <w:b/>
                <w:bCs/>
                <w:sz w:val="24"/>
                <w:szCs w:val="24"/>
              </w:rPr>
              <w:t>MBC (mg/mL)</w:t>
            </w:r>
          </w:p>
        </w:tc>
        <w:tc>
          <w:tcPr>
            <w:tcW w:w="1803" w:type="dxa"/>
          </w:tcPr>
          <w:p w14:paraId="2BDCB80E" w14:textId="77777777" w:rsidR="00C93050" w:rsidRPr="00C93050" w:rsidRDefault="00C93050" w:rsidP="00976ABC">
            <w:pPr>
              <w:jc w:val="both"/>
              <w:rPr>
                <w:rFonts w:ascii="Times New Roman" w:hAnsi="Times New Roman" w:cs="Times New Roman"/>
                <w:b/>
                <w:bCs/>
                <w:sz w:val="24"/>
                <w:szCs w:val="24"/>
              </w:rPr>
            </w:pPr>
            <w:r w:rsidRPr="00C93050">
              <w:rPr>
                <w:rFonts w:ascii="Times New Roman" w:hAnsi="Times New Roman" w:cs="Times New Roman"/>
                <w:b/>
                <w:bCs/>
                <w:sz w:val="24"/>
                <w:szCs w:val="24"/>
              </w:rPr>
              <w:t>MBC/MIC ratio</w:t>
            </w:r>
          </w:p>
        </w:tc>
        <w:tc>
          <w:tcPr>
            <w:tcW w:w="1804" w:type="dxa"/>
          </w:tcPr>
          <w:p w14:paraId="4D8DAAC8" w14:textId="77777777" w:rsidR="00C93050" w:rsidRPr="00C93050" w:rsidRDefault="00C93050" w:rsidP="00976ABC">
            <w:pPr>
              <w:jc w:val="both"/>
              <w:rPr>
                <w:rFonts w:ascii="Times New Roman" w:hAnsi="Times New Roman" w:cs="Times New Roman"/>
                <w:b/>
                <w:bCs/>
                <w:sz w:val="24"/>
                <w:szCs w:val="24"/>
              </w:rPr>
            </w:pPr>
            <w:r w:rsidRPr="00C93050">
              <w:rPr>
                <w:rFonts w:ascii="Times New Roman" w:hAnsi="Times New Roman" w:cs="Times New Roman"/>
                <w:b/>
                <w:bCs/>
                <w:sz w:val="24"/>
                <w:szCs w:val="24"/>
              </w:rPr>
              <w:t>Effect type</w:t>
            </w:r>
          </w:p>
        </w:tc>
      </w:tr>
      <w:tr w:rsidR="00C93050" w:rsidRPr="00C93050" w14:paraId="76FBE17C" w14:textId="77777777" w:rsidTr="00976ABC">
        <w:tc>
          <w:tcPr>
            <w:tcW w:w="1803" w:type="dxa"/>
          </w:tcPr>
          <w:p w14:paraId="24CD66DD" w14:textId="77777777" w:rsidR="00C93050" w:rsidRPr="00C93050" w:rsidRDefault="00C93050" w:rsidP="00976ABC">
            <w:pPr>
              <w:jc w:val="both"/>
              <w:rPr>
                <w:rFonts w:ascii="Times New Roman" w:hAnsi="Times New Roman" w:cs="Times New Roman"/>
                <w:b/>
                <w:bCs/>
                <w:sz w:val="24"/>
                <w:szCs w:val="24"/>
              </w:rPr>
            </w:pPr>
            <w:r w:rsidRPr="00C93050">
              <w:rPr>
                <w:rFonts w:ascii="Times New Roman" w:hAnsi="Times New Roman" w:cs="Times New Roman"/>
                <w:i/>
                <w:iCs/>
                <w:sz w:val="24"/>
                <w:szCs w:val="24"/>
              </w:rPr>
              <w:t>Curcuma longa</w:t>
            </w:r>
            <w:r w:rsidRPr="00C93050">
              <w:rPr>
                <w:rFonts w:ascii="Times New Roman" w:hAnsi="Times New Roman" w:cs="Times New Roman"/>
                <w:sz w:val="24"/>
                <w:szCs w:val="24"/>
              </w:rPr>
              <w:t xml:space="preserve"> (aqueous)</w:t>
            </w:r>
          </w:p>
        </w:tc>
        <w:tc>
          <w:tcPr>
            <w:tcW w:w="1736" w:type="dxa"/>
          </w:tcPr>
          <w:p w14:paraId="76EFF33D" w14:textId="77777777" w:rsidR="00C93050" w:rsidRPr="00C93050" w:rsidRDefault="00C93050" w:rsidP="00976ABC">
            <w:pPr>
              <w:jc w:val="both"/>
              <w:rPr>
                <w:rFonts w:ascii="Times New Roman" w:hAnsi="Times New Roman" w:cs="Times New Roman"/>
                <w:b/>
                <w:bCs/>
                <w:sz w:val="24"/>
                <w:szCs w:val="24"/>
              </w:rPr>
            </w:pPr>
            <w:r w:rsidRPr="00C93050">
              <w:rPr>
                <w:rFonts w:ascii="Times New Roman" w:hAnsi="Times New Roman" w:cs="Times New Roman"/>
                <w:sz w:val="24"/>
                <w:szCs w:val="24"/>
              </w:rPr>
              <w:t>2.5</w:t>
            </w:r>
          </w:p>
        </w:tc>
        <w:tc>
          <w:tcPr>
            <w:tcW w:w="1870" w:type="dxa"/>
          </w:tcPr>
          <w:p w14:paraId="6E536BE2" w14:textId="77777777" w:rsidR="00C93050" w:rsidRPr="00C93050" w:rsidRDefault="00C93050" w:rsidP="00976ABC">
            <w:pPr>
              <w:jc w:val="both"/>
              <w:rPr>
                <w:rFonts w:ascii="Times New Roman" w:hAnsi="Times New Roman" w:cs="Times New Roman"/>
                <w:b/>
                <w:bCs/>
                <w:sz w:val="24"/>
                <w:szCs w:val="24"/>
              </w:rPr>
            </w:pPr>
            <w:r w:rsidRPr="00C93050">
              <w:rPr>
                <w:rFonts w:ascii="Times New Roman" w:hAnsi="Times New Roman" w:cs="Times New Roman"/>
                <w:sz w:val="24"/>
                <w:szCs w:val="24"/>
              </w:rPr>
              <w:t>10</w:t>
            </w:r>
          </w:p>
        </w:tc>
        <w:tc>
          <w:tcPr>
            <w:tcW w:w="1803" w:type="dxa"/>
          </w:tcPr>
          <w:p w14:paraId="115EBFB4" w14:textId="77777777" w:rsidR="00C93050" w:rsidRPr="00C93050" w:rsidRDefault="00C93050" w:rsidP="00976ABC">
            <w:pPr>
              <w:jc w:val="both"/>
              <w:rPr>
                <w:rFonts w:ascii="Times New Roman" w:hAnsi="Times New Roman" w:cs="Times New Roman"/>
                <w:b/>
                <w:bCs/>
                <w:sz w:val="24"/>
                <w:szCs w:val="24"/>
              </w:rPr>
            </w:pPr>
            <w:r w:rsidRPr="00C93050">
              <w:rPr>
                <w:rFonts w:ascii="Times New Roman" w:hAnsi="Times New Roman" w:cs="Times New Roman"/>
                <w:sz w:val="24"/>
                <w:szCs w:val="24"/>
              </w:rPr>
              <w:t>4</w:t>
            </w:r>
          </w:p>
        </w:tc>
        <w:tc>
          <w:tcPr>
            <w:tcW w:w="1804" w:type="dxa"/>
          </w:tcPr>
          <w:p w14:paraId="7AED26F1" w14:textId="77777777" w:rsidR="00C93050" w:rsidRPr="00C93050" w:rsidRDefault="00C93050" w:rsidP="00976ABC">
            <w:pPr>
              <w:jc w:val="both"/>
              <w:rPr>
                <w:rFonts w:ascii="Times New Roman" w:hAnsi="Times New Roman" w:cs="Times New Roman"/>
                <w:b/>
                <w:bCs/>
                <w:sz w:val="24"/>
                <w:szCs w:val="24"/>
              </w:rPr>
            </w:pPr>
            <w:r w:rsidRPr="00C93050">
              <w:rPr>
                <w:rFonts w:ascii="Times New Roman" w:hAnsi="Times New Roman" w:cs="Times New Roman"/>
                <w:sz w:val="24"/>
                <w:szCs w:val="24"/>
              </w:rPr>
              <w:t>Bactericidal</w:t>
            </w:r>
          </w:p>
        </w:tc>
      </w:tr>
    </w:tbl>
    <w:p w14:paraId="5E3AA636" w14:textId="77777777" w:rsidR="00C93050" w:rsidRDefault="00C93050" w:rsidP="00101856">
      <w:pPr>
        <w:jc w:val="both"/>
        <w:rPr>
          <w:rFonts w:ascii="Times New Roman" w:hAnsi="Times New Roman" w:cs="Times New Roman"/>
          <w:b/>
          <w:bCs/>
          <w:sz w:val="24"/>
          <w:szCs w:val="24"/>
        </w:rPr>
      </w:pPr>
    </w:p>
    <w:p w14:paraId="31BA29BD" w14:textId="70072C47" w:rsidR="0033126B" w:rsidRPr="00C93050" w:rsidRDefault="0033126B" w:rsidP="00101856">
      <w:pPr>
        <w:jc w:val="both"/>
        <w:rPr>
          <w:rFonts w:ascii="Times New Roman" w:hAnsi="Times New Roman" w:cs="Times New Roman"/>
          <w:b/>
          <w:bCs/>
          <w:sz w:val="24"/>
          <w:szCs w:val="24"/>
        </w:rPr>
      </w:pPr>
      <w:r w:rsidRPr="00C93050">
        <w:rPr>
          <w:rFonts w:ascii="Times New Roman" w:hAnsi="Times New Roman" w:cs="Times New Roman"/>
          <w:b/>
          <w:bCs/>
          <w:sz w:val="24"/>
          <w:szCs w:val="24"/>
        </w:rPr>
        <w:t>3.6 Overall Interpretation</w:t>
      </w:r>
    </w:p>
    <w:p w14:paraId="3C7F7DC9" w14:textId="6C37678D" w:rsidR="0033126B" w:rsidRPr="00C93050" w:rsidRDefault="0033126B"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The present study highlights a classic multi-factorial disease scenario in aquaculture. Environmental stress resulting from poor water quality likely served as the primary immunosuppressive factor predisposing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i/>
          <w:iCs/>
          <w:sz w:val="24"/>
          <w:szCs w:val="24"/>
        </w:rPr>
        <w:t xml:space="preserve">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sz w:val="24"/>
          <w:szCs w:val="24"/>
        </w:rPr>
        <w:t> to opportunistic infection by </w:t>
      </w:r>
      <w:r w:rsidRPr="00C93050">
        <w:rPr>
          <w:rFonts w:ascii="Times New Roman" w:hAnsi="Times New Roman" w:cs="Times New Roman"/>
          <w:i/>
          <w:iCs/>
          <w:sz w:val="24"/>
          <w:szCs w:val="24"/>
        </w:rPr>
        <w:t xml:space="preserve">E.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This bacterium, a member of the </w:t>
      </w:r>
      <w:r w:rsidRPr="00C93050">
        <w:rPr>
          <w:rFonts w:ascii="Times New Roman" w:hAnsi="Times New Roman" w:cs="Times New Roman"/>
          <w:i/>
          <w:iCs/>
          <w:sz w:val="24"/>
          <w:szCs w:val="24"/>
        </w:rPr>
        <w:t>E. cloacae</w:t>
      </w:r>
      <w:r w:rsidRPr="00C93050">
        <w:rPr>
          <w:rFonts w:ascii="Times New Roman" w:hAnsi="Times New Roman" w:cs="Times New Roman"/>
          <w:sz w:val="24"/>
          <w:szCs w:val="24"/>
        </w:rPr>
        <w:t xml:space="preserve"> complex, is recognized as an emerging opportunistic pathogen in both aquatic and human medicine </w:t>
      </w:r>
      <w:r w:rsidR="006B196F" w:rsidRPr="00C93050">
        <w:rPr>
          <w:rFonts w:ascii="Times New Roman" w:hAnsi="Times New Roman" w:cs="Times New Roman"/>
          <w:sz w:val="24"/>
          <w:szCs w:val="24"/>
        </w:rPr>
        <w:t>[25; 3</w:t>
      </w:r>
      <w:r w:rsidR="0024417C" w:rsidRPr="00C93050">
        <w:rPr>
          <w:rFonts w:ascii="Times New Roman" w:hAnsi="Times New Roman" w:cs="Times New Roman"/>
          <w:sz w:val="24"/>
          <w:szCs w:val="24"/>
        </w:rPr>
        <w:t>7</w:t>
      </w:r>
      <w:r w:rsidR="00E066CE" w:rsidRPr="00C93050">
        <w:rPr>
          <w:rFonts w:ascii="Times New Roman" w:hAnsi="Times New Roman" w:cs="Times New Roman"/>
          <w:sz w:val="24"/>
          <w:szCs w:val="24"/>
        </w:rPr>
        <w:t>; 38</w:t>
      </w:r>
      <w:r w:rsidR="006B196F" w:rsidRPr="00C93050">
        <w:rPr>
          <w:rFonts w:ascii="Times New Roman" w:hAnsi="Times New Roman" w:cs="Times New Roman"/>
          <w:sz w:val="24"/>
          <w:szCs w:val="24"/>
        </w:rPr>
        <w:t>]</w:t>
      </w:r>
      <w:r w:rsidRPr="00C93050">
        <w:rPr>
          <w:rFonts w:ascii="Times New Roman" w:hAnsi="Times New Roman" w:cs="Times New Roman"/>
          <w:sz w:val="24"/>
          <w:szCs w:val="24"/>
        </w:rPr>
        <w:t>, with its biochemical profile, including the ability to utilize </w:t>
      </w:r>
      <w:r w:rsidRPr="00C93050">
        <w:rPr>
          <w:rFonts w:ascii="Times New Roman" w:hAnsi="Times New Roman" w:cs="Times New Roman"/>
          <w:i/>
          <w:iCs/>
          <w:sz w:val="24"/>
          <w:szCs w:val="24"/>
        </w:rPr>
        <w:t>myo</w:t>
      </w:r>
      <w:r w:rsidRPr="00C93050">
        <w:rPr>
          <w:rFonts w:ascii="Times New Roman" w:hAnsi="Times New Roman" w:cs="Times New Roman"/>
          <w:sz w:val="24"/>
          <w:szCs w:val="24"/>
        </w:rPr>
        <w:t>-inositol, supporting this</w:t>
      </w:r>
      <w:r w:rsidR="00DD40BF" w:rsidRPr="00C93050">
        <w:rPr>
          <w:rFonts w:ascii="Times New Roman" w:hAnsi="Times New Roman" w:cs="Times New Roman"/>
          <w:sz w:val="24"/>
          <w:szCs w:val="24"/>
        </w:rPr>
        <w:t xml:space="preserve"> preliminary</w:t>
      </w:r>
      <w:r w:rsidRPr="00C93050">
        <w:rPr>
          <w:rFonts w:ascii="Times New Roman" w:hAnsi="Times New Roman" w:cs="Times New Roman"/>
          <w:sz w:val="24"/>
          <w:szCs w:val="24"/>
        </w:rPr>
        <w:t xml:space="preserve"> identification. </w:t>
      </w:r>
      <w:r w:rsidRPr="00C93050">
        <w:rPr>
          <w:rFonts w:ascii="Times New Roman" w:hAnsi="Times New Roman" w:cs="Times New Roman"/>
          <w:i/>
          <w:iCs/>
          <w:sz w:val="24"/>
          <w:szCs w:val="24"/>
        </w:rPr>
        <w:t>In vitro</w:t>
      </w:r>
      <w:r w:rsidRPr="00C93050">
        <w:rPr>
          <w:rFonts w:ascii="Times New Roman" w:hAnsi="Times New Roman" w:cs="Times New Roman"/>
          <w:sz w:val="24"/>
          <w:szCs w:val="24"/>
        </w:rPr>
        <w:t> antibacterial assays demonstrated that the aqueous extract of </w:t>
      </w:r>
      <w:r w:rsidRPr="00C93050">
        <w:rPr>
          <w:rFonts w:ascii="Times New Roman" w:hAnsi="Times New Roman" w:cs="Times New Roman"/>
          <w:i/>
          <w:iCs/>
          <w:sz w:val="24"/>
          <w:szCs w:val="24"/>
        </w:rPr>
        <w:t>C. longa</w:t>
      </w:r>
      <w:r w:rsidRPr="00C93050">
        <w:rPr>
          <w:rFonts w:ascii="Times New Roman" w:hAnsi="Times New Roman" w:cs="Times New Roman"/>
          <w:sz w:val="24"/>
          <w:szCs w:val="24"/>
        </w:rPr>
        <w:t> significantly inhibited </w:t>
      </w:r>
      <w:r w:rsidRPr="00C93050">
        <w:rPr>
          <w:rFonts w:ascii="Times New Roman" w:hAnsi="Times New Roman" w:cs="Times New Roman"/>
          <w:i/>
          <w:iCs/>
          <w:sz w:val="24"/>
          <w:szCs w:val="24"/>
        </w:rPr>
        <w:t xml:space="preserve">E.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exhibiting bactericidal activity at 10 mg/</w:t>
      </w:r>
      <w:proofErr w:type="spellStart"/>
      <w:r w:rsidRPr="00C93050">
        <w:rPr>
          <w:rFonts w:ascii="Times New Roman" w:hAnsi="Times New Roman" w:cs="Times New Roman"/>
          <w:sz w:val="24"/>
          <w:szCs w:val="24"/>
        </w:rPr>
        <w:t>mL.</w:t>
      </w:r>
      <w:proofErr w:type="spellEnd"/>
      <w:r w:rsidRPr="00C93050">
        <w:rPr>
          <w:rFonts w:ascii="Times New Roman" w:hAnsi="Times New Roman" w:cs="Times New Roman"/>
          <w:sz w:val="24"/>
          <w:szCs w:val="24"/>
        </w:rPr>
        <w:t xml:space="preserve"> This finding is particularly relevant to aquaculture, where plant-based therapeutics are increasingly investigated as eco-friendly alternatives to synthetic antibiotics to mitigate antimicrobial resistance (AMR) risks </w:t>
      </w:r>
      <w:r w:rsidR="0083314C" w:rsidRPr="00C93050">
        <w:rPr>
          <w:rFonts w:ascii="Times New Roman" w:hAnsi="Times New Roman" w:cs="Times New Roman"/>
          <w:sz w:val="24"/>
          <w:szCs w:val="24"/>
        </w:rPr>
        <w:t>[30; 36]</w:t>
      </w:r>
      <w:r w:rsidRPr="00C93050">
        <w:rPr>
          <w:rFonts w:ascii="Times New Roman" w:hAnsi="Times New Roman" w:cs="Times New Roman"/>
          <w:sz w:val="24"/>
          <w:szCs w:val="24"/>
        </w:rPr>
        <w:t>. However, it is crucial to emphasize that these promising </w:t>
      </w:r>
      <w:r w:rsidRPr="00C93050">
        <w:rPr>
          <w:rFonts w:ascii="Times New Roman" w:hAnsi="Times New Roman" w:cs="Times New Roman"/>
          <w:i/>
          <w:iCs/>
          <w:sz w:val="24"/>
          <w:szCs w:val="24"/>
        </w:rPr>
        <w:t>in vitro</w:t>
      </w:r>
      <w:r w:rsidRPr="00C93050">
        <w:rPr>
          <w:rFonts w:ascii="Times New Roman" w:hAnsi="Times New Roman" w:cs="Times New Roman"/>
          <w:sz w:val="24"/>
          <w:szCs w:val="24"/>
        </w:rPr>
        <w:t> results represent merely a preliminary investigative step. Conclusive recommendations for field application require rigorous </w:t>
      </w:r>
      <w:r w:rsidRPr="00C93050">
        <w:rPr>
          <w:rFonts w:ascii="Times New Roman" w:hAnsi="Times New Roman" w:cs="Times New Roman"/>
          <w:i/>
          <w:iCs/>
          <w:sz w:val="24"/>
          <w:szCs w:val="24"/>
        </w:rPr>
        <w:t>in vivo</w:t>
      </w:r>
      <w:r w:rsidRPr="00C93050">
        <w:rPr>
          <w:rFonts w:ascii="Times New Roman" w:hAnsi="Times New Roman" w:cs="Times New Roman"/>
          <w:sz w:val="24"/>
          <w:szCs w:val="24"/>
        </w:rPr>
        <w:t> validation in fish models to determine effective therapeutic doses, appropriate delivery methods, and comprehensive safety and efficacy profiles within complex pond environments </w:t>
      </w:r>
      <w:r w:rsidR="0083314C" w:rsidRPr="00C93050">
        <w:rPr>
          <w:rFonts w:ascii="Times New Roman" w:hAnsi="Times New Roman" w:cs="Times New Roman"/>
          <w:sz w:val="24"/>
          <w:szCs w:val="24"/>
        </w:rPr>
        <w:t>[10]</w:t>
      </w:r>
      <w:r w:rsidRPr="00C93050">
        <w:rPr>
          <w:rFonts w:ascii="Times New Roman" w:hAnsi="Times New Roman" w:cs="Times New Roman"/>
          <w:sz w:val="24"/>
          <w:szCs w:val="24"/>
        </w:rPr>
        <w:t>.</w:t>
      </w:r>
    </w:p>
    <w:p w14:paraId="020959B2" w14:textId="77777777" w:rsidR="0033126B" w:rsidRPr="00C93050" w:rsidRDefault="0033126B" w:rsidP="0033126B">
      <w:pPr>
        <w:jc w:val="both"/>
        <w:rPr>
          <w:rFonts w:ascii="Times New Roman" w:hAnsi="Times New Roman" w:cs="Times New Roman"/>
          <w:b/>
          <w:bCs/>
          <w:sz w:val="24"/>
          <w:szCs w:val="24"/>
        </w:rPr>
      </w:pPr>
      <w:r w:rsidRPr="00C93050">
        <w:rPr>
          <w:rFonts w:ascii="Times New Roman" w:hAnsi="Times New Roman" w:cs="Times New Roman"/>
          <w:b/>
          <w:bCs/>
          <w:sz w:val="24"/>
          <w:szCs w:val="24"/>
        </w:rPr>
        <w:t>4. Conclusion</w:t>
      </w:r>
    </w:p>
    <w:p w14:paraId="379AB887" w14:textId="0985A0F6" w:rsidR="0033126B" w:rsidRPr="00C93050" w:rsidRDefault="002519BF" w:rsidP="00E2450C">
      <w:pPr>
        <w:ind w:firstLine="720"/>
        <w:jc w:val="both"/>
        <w:rPr>
          <w:rFonts w:ascii="Times New Roman" w:hAnsi="Times New Roman" w:cs="Times New Roman"/>
          <w:sz w:val="24"/>
          <w:szCs w:val="24"/>
        </w:rPr>
      </w:pPr>
      <w:r w:rsidRPr="002519BF">
        <w:rPr>
          <w:rFonts w:ascii="Times New Roman" w:hAnsi="Times New Roman" w:cs="Times New Roman"/>
          <w:sz w:val="24"/>
          <w:szCs w:val="24"/>
        </w:rPr>
        <w:t xml:space="preserve">This study preliminarily reports the occurrence of </w:t>
      </w:r>
      <w:r w:rsidRPr="002519BF">
        <w:rPr>
          <w:rFonts w:ascii="Times New Roman" w:hAnsi="Times New Roman" w:cs="Times New Roman"/>
          <w:i/>
          <w:iCs/>
          <w:sz w:val="24"/>
          <w:szCs w:val="24"/>
        </w:rPr>
        <w:t xml:space="preserve">E. </w:t>
      </w:r>
      <w:proofErr w:type="spellStart"/>
      <w:r w:rsidRPr="002519BF">
        <w:rPr>
          <w:rFonts w:ascii="Times New Roman" w:hAnsi="Times New Roman" w:cs="Times New Roman"/>
          <w:i/>
          <w:iCs/>
          <w:sz w:val="24"/>
          <w:szCs w:val="24"/>
        </w:rPr>
        <w:t>ludwigii</w:t>
      </w:r>
      <w:proofErr w:type="spellEnd"/>
      <w:r w:rsidRPr="002519BF">
        <w:rPr>
          <w:rFonts w:ascii="Times New Roman" w:hAnsi="Times New Roman" w:cs="Times New Roman"/>
          <w:sz w:val="24"/>
          <w:szCs w:val="24"/>
        </w:rPr>
        <w:t xml:space="preserve"> in </w:t>
      </w:r>
      <w:proofErr w:type="spellStart"/>
      <w:r w:rsidRPr="002519BF">
        <w:rPr>
          <w:rFonts w:ascii="Times New Roman" w:hAnsi="Times New Roman" w:cs="Times New Roman"/>
          <w:i/>
          <w:iCs/>
          <w:sz w:val="24"/>
          <w:szCs w:val="24"/>
        </w:rPr>
        <w:t>Catla</w:t>
      </w:r>
      <w:proofErr w:type="spellEnd"/>
      <w:r w:rsidRPr="002519BF">
        <w:rPr>
          <w:rFonts w:ascii="Times New Roman" w:hAnsi="Times New Roman" w:cs="Times New Roman"/>
          <w:i/>
          <w:iCs/>
          <w:sz w:val="24"/>
          <w:szCs w:val="24"/>
        </w:rPr>
        <w:t xml:space="preserve"> </w:t>
      </w:r>
      <w:proofErr w:type="spellStart"/>
      <w:r w:rsidRPr="002519BF">
        <w:rPr>
          <w:rFonts w:ascii="Times New Roman" w:hAnsi="Times New Roman" w:cs="Times New Roman"/>
          <w:i/>
          <w:iCs/>
          <w:sz w:val="24"/>
          <w:szCs w:val="24"/>
        </w:rPr>
        <w:t>catla</w:t>
      </w:r>
      <w:proofErr w:type="spellEnd"/>
      <w:r w:rsidRPr="002519BF">
        <w:rPr>
          <w:rFonts w:ascii="Times New Roman" w:hAnsi="Times New Roman" w:cs="Times New Roman"/>
          <w:sz w:val="24"/>
          <w:szCs w:val="24"/>
        </w:rPr>
        <w:t xml:space="preserve"> from unmanaged village ponds in India, based on 16S rRNA gene sequencing and biochemical profiling</w:t>
      </w:r>
      <w:r w:rsidR="0033126B" w:rsidRPr="00C93050">
        <w:rPr>
          <w:rFonts w:ascii="Times New Roman" w:hAnsi="Times New Roman" w:cs="Times New Roman"/>
          <w:sz w:val="24"/>
          <w:szCs w:val="24"/>
        </w:rPr>
        <w:t>. Suboptimal water quality parameters</w:t>
      </w:r>
      <w:r w:rsidR="00DD40BF" w:rsidRPr="00C93050">
        <w:rPr>
          <w:rFonts w:ascii="Times New Roman" w:hAnsi="Times New Roman" w:cs="Times New Roman"/>
          <w:sz w:val="24"/>
          <w:szCs w:val="24"/>
        </w:rPr>
        <w:t xml:space="preserve"> </w:t>
      </w:r>
      <w:r w:rsidR="0033126B" w:rsidRPr="00C93050">
        <w:rPr>
          <w:rFonts w:ascii="Times New Roman" w:hAnsi="Times New Roman" w:cs="Times New Roman"/>
          <w:sz w:val="24"/>
          <w:szCs w:val="24"/>
        </w:rPr>
        <w:t>specifically elevated pH, reduced dissolved oxygen, and increased ammonia and hardness</w:t>
      </w:r>
      <w:r w:rsidR="00DD40BF" w:rsidRPr="00C93050">
        <w:rPr>
          <w:rFonts w:ascii="Times New Roman" w:hAnsi="Times New Roman" w:cs="Times New Roman"/>
          <w:sz w:val="24"/>
          <w:szCs w:val="24"/>
        </w:rPr>
        <w:t xml:space="preserve"> </w:t>
      </w:r>
      <w:r w:rsidR="0033126B" w:rsidRPr="00C93050">
        <w:rPr>
          <w:rFonts w:ascii="Times New Roman" w:hAnsi="Times New Roman" w:cs="Times New Roman"/>
          <w:sz w:val="24"/>
          <w:szCs w:val="24"/>
        </w:rPr>
        <w:t xml:space="preserve">created chronic stress conditions that likely predisposed the fish to opportunistic infection. Molecular and biochemical characterization </w:t>
      </w:r>
      <w:r w:rsidR="00DD40BF" w:rsidRPr="00C93050">
        <w:rPr>
          <w:rFonts w:ascii="Times New Roman" w:hAnsi="Times New Roman" w:cs="Times New Roman"/>
          <w:sz w:val="24"/>
          <w:szCs w:val="24"/>
        </w:rPr>
        <w:t>supported</w:t>
      </w:r>
      <w:r w:rsidR="00AC2985" w:rsidRPr="00C93050">
        <w:rPr>
          <w:rFonts w:ascii="Times New Roman" w:hAnsi="Times New Roman" w:cs="Times New Roman"/>
          <w:sz w:val="24"/>
          <w:szCs w:val="24"/>
        </w:rPr>
        <w:t xml:space="preserve"> and</w:t>
      </w:r>
      <w:r w:rsidR="00DD40BF" w:rsidRPr="00C93050">
        <w:rPr>
          <w:rFonts w:ascii="Times New Roman" w:hAnsi="Times New Roman" w:cs="Times New Roman"/>
          <w:sz w:val="24"/>
          <w:szCs w:val="24"/>
        </w:rPr>
        <w:t xml:space="preserve"> </w:t>
      </w:r>
      <w:r w:rsidR="0033126B" w:rsidRPr="00C93050">
        <w:rPr>
          <w:rFonts w:ascii="Times New Roman" w:hAnsi="Times New Roman" w:cs="Times New Roman"/>
          <w:sz w:val="24"/>
          <w:szCs w:val="24"/>
        </w:rPr>
        <w:t xml:space="preserve">confirmed the isolate's identity. </w:t>
      </w:r>
      <w:r w:rsidR="00DD40BF" w:rsidRPr="00C93050">
        <w:rPr>
          <w:rFonts w:ascii="Times New Roman" w:hAnsi="Times New Roman" w:cs="Times New Roman"/>
          <w:sz w:val="24"/>
          <w:szCs w:val="24"/>
        </w:rPr>
        <w:t xml:space="preserve">It is important to note that definitive identification within the ECC would require higher-resolution methods like </w:t>
      </w:r>
      <w:proofErr w:type="spellStart"/>
      <w:r w:rsidR="00DD40BF" w:rsidRPr="00C93050">
        <w:rPr>
          <w:rFonts w:ascii="Times New Roman" w:hAnsi="Times New Roman" w:cs="Times New Roman"/>
          <w:sz w:val="24"/>
          <w:szCs w:val="24"/>
        </w:rPr>
        <w:t>multilocus</w:t>
      </w:r>
      <w:proofErr w:type="spellEnd"/>
      <w:r w:rsidR="00DD40BF" w:rsidRPr="00C93050">
        <w:rPr>
          <w:rFonts w:ascii="Times New Roman" w:hAnsi="Times New Roman" w:cs="Times New Roman"/>
          <w:sz w:val="24"/>
          <w:szCs w:val="24"/>
        </w:rPr>
        <w:t xml:space="preserve"> sequence analysis.</w:t>
      </w:r>
      <w:r w:rsidR="00DD40BF" w:rsidRPr="00C93050">
        <w:rPr>
          <w:rFonts w:ascii="Times New Roman" w:hAnsi="Times New Roman" w:cs="Times New Roman"/>
          <w:b/>
          <w:bCs/>
          <w:sz w:val="24"/>
          <w:szCs w:val="24"/>
        </w:rPr>
        <w:t xml:space="preserve"> </w:t>
      </w:r>
      <w:r w:rsidR="0033126B" w:rsidRPr="00C93050">
        <w:rPr>
          <w:rFonts w:ascii="Times New Roman" w:hAnsi="Times New Roman" w:cs="Times New Roman"/>
          <w:sz w:val="24"/>
          <w:szCs w:val="24"/>
        </w:rPr>
        <w:t>A significant finding was the demonstrated </w:t>
      </w:r>
      <w:r w:rsidR="0033126B" w:rsidRPr="00C93050">
        <w:rPr>
          <w:rFonts w:ascii="Times New Roman" w:hAnsi="Times New Roman" w:cs="Times New Roman"/>
          <w:i/>
          <w:iCs/>
          <w:sz w:val="24"/>
          <w:szCs w:val="24"/>
        </w:rPr>
        <w:t>in vitro</w:t>
      </w:r>
      <w:r w:rsidR="0033126B" w:rsidRPr="00C93050">
        <w:rPr>
          <w:rFonts w:ascii="Times New Roman" w:hAnsi="Times New Roman" w:cs="Times New Roman"/>
          <w:sz w:val="24"/>
          <w:szCs w:val="24"/>
        </w:rPr>
        <w:t> bactericidal activity of aqueous </w:t>
      </w:r>
      <w:r w:rsidR="0033126B" w:rsidRPr="00C93050">
        <w:rPr>
          <w:rFonts w:ascii="Times New Roman" w:hAnsi="Times New Roman" w:cs="Times New Roman"/>
          <w:i/>
          <w:iCs/>
          <w:sz w:val="24"/>
          <w:szCs w:val="24"/>
        </w:rPr>
        <w:t>Curcuma longa</w:t>
      </w:r>
      <w:r w:rsidR="0033126B" w:rsidRPr="00C93050">
        <w:rPr>
          <w:rFonts w:ascii="Times New Roman" w:hAnsi="Times New Roman" w:cs="Times New Roman"/>
          <w:sz w:val="24"/>
          <w:szCs w:val="24"/>
        </w:rPr>
        <w:t> extract against the </w:t>
      </w:r>
      <w:r w:rsidR="0033126B" w:rsidRPr="00C93050">
        <w:rPr>
          <w:rFonts w:ascii="Times New Roman" w:hAnsi="Times New Roman" w:cs="Times New Roman"/>
          <w:i/>
          <w:iCs/>
          <w:sz w:val="24"/>
          <w:szCs w:val="24"/>
        </w:rPr>
        <w:t xml:space="preserve">E. </w:t>
      </w:r>
      <w:proofErr w:type="spellStart"/>
      <w:r w:rsidR="0033126B" w:rsidRPr="00C93050">
        <w:rPr>
          <w:rFonts w:ascii="Times New Roman" w:hAnsi="Times New Roman" w:cs="Times New Roman"/>
          <w:i/>
          <w:iCs/>
          <w:sz w:val="24"/>
          <w:szCs w:val="24"/>
        </w:rPr>
        <w:t>ludwigii</w:t>
      </w:r>
      <w:proofErr w:type="spellEnd"/>
      <w:r w:rsidR="0033126B" w:rsidRPr="00C93050">
        <w:rPr>
          <w:rFonts w:ascii="Times New Roman" w:hAnsi="Times New Roman" w:cs="Times New Roman"/>
          <w:sz w:val="24"/>
          <w:szCs w:val="24"/>
        </w:rPr>
        <w:t> isolate (MIC = 2.5 mg/mL, MBC = 10 mg/mL). These results underscore a dual strategic approach to sustainable aquaculture health management: first, emphasizing the fundamental importance of proactive water quality management to prevent disease outbreaks; and second, exploring the potential of plant-based compounds as complementary therapeutic agents.</w:t>
      </w:r>
    </w:p>
    <w:p w14:paraId="45A5F5CC" w14:textId="77777777" w:rsidR="0033126B" w:rsidRPr="00C93050" w:rsidRDefault="0033126B" w:rsidP="0033126B">
      <w:pPr>
        <w:jc w:val="both"/>
        <w:rPr>
          <w:rFonts w:ascii="Times New Roman" w:hAnsi="Times New Roman" w:cs="Times New Roman"/>
          <w:sz w:val="24"/>
          <w:szCs w:val="24"/>
        </w:rPr>
      </w:pPr>
      <w:r w:rsidRPr="00C93050">
        <w:rPr>
          <w:rFonts w:ascii="Times New Roman" w:hAnsi="Times New Roman" w:cs="Times New Roman"/>
          <w:sz w:val="24"/>
          <w:szCs w:val="24"/>
        </w:rPr>
        <w:t>Future research should focus on translating </w:t>
      </w:r>
      <w:r w:rsidRPr="00C93050">
        <w:rPr>
          <w:rFonts w:ascii="Times New Roman" w:hAnsi="Times New Roman" w:cs="Times New Roman"/>
          <w:i/>
          <w:iCs/>
          <w:sz w:val="24"/>
          <w:szCs w:val="24"/>
        </w:rPr>
        <w:t>in vitro</w:t>
      </w:r>
      <w:r w:rsidRPr="00C93050">
        <w:rPr>
          <w:rFonts w:ascii="Times New Roman" w:hAnsi="Times New Roman" w:cs="Times New Roman"/>
          <w:sz w:val="24"/>
          <w:szCs w:val="24"/>
        </w:rPr>
        <w:t> findings into practical applications through:</w:t>
      </w:r>
    </w:p>
    <w:p w14:paraId="0AD37C63" w14:textId="77777777" w:rsidR="0033126B" w:rsidRPr="00C93050" w:rsidRDefault="0033126B" w:rsidP="0033126B">
      <w:pPr>
        <w:numPr>
          <w:ilvl w:val="0"/>
          <w:numId w:val="20"/>
        </w:numPr>
        <w:jc w:val="both"/>
        <w:rPr>
          <w:rFonts w:ascii="Times New Roman" w:hAnsi="Times New Roman" w:cs="Times New Roman"/>
          <w:sz w:val="24"/>
          <w:szCs w:val="24"/>
        </w:rPr>
      </w:pPr>
      <w:r w:rsidRPr="00C93050">
        <w:rPr>
          <w:rFonts w:ascii="Times New Roman" w:hAnsi="Times New Roman" w:cs="Times New Roman"/>
          <w:i/>
          <w:iCs/>
          <w:sz w:val="24"/>
          <w:szCs w:val="24"/>
        </w:rPr>
        <w:t>In vivo</w:t>
      </w:r>
      <w:r w:rsidRPr="00C93050">
        <w:rPr>
          <w:rFonts w:ascii="Times New Roman" w:hAnsi="Times New Roman" w:cs="Times New Roman"/>
          <w:sz w:val="24"/>
          <w:szCs w:val="24"/>
        </w:rPr>
        <w:t> efficacy and safety trials to validate the extract's therapeutic potential in live fish</w:t>
      </w:r>
    </w:p>
    <w:p w14:paraId="6E579D4E" w14:textId="77777777" w:rsidR="0033126B" w:rsidRPr="00C93050" w:rsidRDefault="0033126B" w:rsidP="0033126B">
      <w:pPr>
        <w:numPr>
          <w:ilvl w:val="0"/>
          <w:numId w:val="20"/>
        </w:numPr>
        <w:jc w:val="both"/>
        <w:rPr>
          <w:rFonts w:ascii="Times New Roman" w:hAnsi="Times New Roman" w:cs="Times New Roman"/>
          <w:sz w:val="24"/>
          <w:szCs w:val="24"/>
        </w:rPr>
      </w:pPr>
      <w:r w:rsidRPr="00C93050">
        <w:rPr>
          <w:rFonts w:ascii="Times New Roman" w:hAnsi="Times New Roman" w:cs="Times New Roman"/>
          <w:sz w:val="24"/>
          <w:szCs w:val="24"/>
        </w:rPr>
        <w:t>Genomic-level characterization of the isolate to elucidate its virulence mechanisms and pathogenicity</w:t>
      </w:r>
    </w:p>
    <w:p w14:paraId="323AB425" w14:textId="77777777" w:rsidR="0033126B" w:rsidRPr="00C93050" w:rsidRDefault="0033126B" w:rsidP="0033126B">
      <w:pPr>
        <w:numPr>
          <w:ilvl w:val="0"/>
          <w:numId w:val="20"/>
        </w:numPr>
        <w:jc w:val="both"/>
        <w:rPr>
          <w:rFonts w:ascii="Times New Roman" w:hAnsi="Times New Roman" w:cs="Times New Roman"/>
          <w:b/>
          <w:bCs/>
          <w:sz w:val="24"/>
          <w:szCs w:val="24"/>
        </w:rPr>
      </w:pPr>
      <w:r w:rsidRPr="00C93050">
        <w:rPr>
          <w:rFonts w:ascii="Times New Roman" w:hAnsi="Times New Roman" w:cs="Times New Roman"/>
          <w:sz w:val="24"/>
          <w:szCs w:val="24"/>
        </w:rPr>
        <w:lastRenderedPageBreak/>
        <w:t>Development of effective delivery methods for plant-based therapeutics in pond environments</w:t>
      </w:r>
    </w:p>
    <w:p w14:paraId="111DBE32" w14:textId="77777777" w:rsidR="0033126B" w:rsidRPr="00C93050" w:rsidRDefault="0033126B" w:rsidP="00C93050">
      <w:pPr>
        <w:ind w:firstLine="360"/>
        <w:jc w:val="both"/>
        <w:rPr>
          <w:rFonts w:ascii="Times New Roman" w:hAnsi="Times New Roman" w:cs="Times New Roman"/>
          <w:sz w:val="24"/>
          <w:szCs w:val="24"/>
        </w:rPr>
      </w:pPr>
      <w:r w:rsidRPr="00C93050">
        <w:rPr>
          <w:rFonts w:ascii="Times New Roman" w:hAnsi="Times New Roman" w:cs="Times New Roman"/>
          <w:sz w:val="24"/>
          <w:szCs w:val="24"/>
        </w:rPr>
        <w:t>While plant extracts represent promising alternatives to conventional antibiotics, their successful implementation must be grounded in robust scientific validation to ensure both efficacy and safety before any field application can be recommended.</w:t>
      </w:r>
    </w:p>
    <w:p w14:paraId="6E13663D" w14:textId="77777777" w:rsidR="00C93050" w:rsidRDefault="00C93050">
      <w:pPr>
        <w:rPr>
          <w:rFonts w:ascii="Times New Roman" w:hAnsi="Times New Roman" w:cs="Times New Roman"/>
          <w:b/>
          <w:bCs/>
          <w:sz w:val="24"/>
          <w:szCs w:val="24"/>
        </w:rPr>
      </w:pPr>
      <w:r>
        <w:rPr>
          <w:rFonts w:ascii="Times New Roman" w:hAnsi="Times New Roman" w:cs="Times New Roman"/>
          <w:b/>
          <w:bCs/>
          <w:sz w:val="24"/>
          <w:szCs w:val="24"/>
        </w:rPr>
        <w:br w:type="page"/>
      </w:r>
    </w:p>
    <w:p w14:paraId="772BF186" w14:textId="65043934"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b/>
          <w:bCs/>
          <w:sz w:val="24"/>
          <w:szCs w:val="24"/>
        </w:rPr>
        <w:lastRenderedPageBreak/>
        <w:t>References</w:t>
      </w:r>
      <w:r w:rsidRPr="00C93050">
        <w:rPr>
          <w:rFonts w:ascii="Times New Roman" w:hAnsi="Times New Roman" w:cs="Times New Roman"/>
          <w:sz w:val="24"/>
          <w:szCs w:val="24"/>
        </w:rPr>
        <w:br/>
        <w:t xml:space="preserve">[1] </w:t>
      </w:r>
      <w:r w:rsidR="005D4080" w:rsidRPr="00C93050">
        <w:rPr>
          <w:rFonts w:ascii="Times New Roman" w:hAnsi="Times New Roman" w:cs="Times New Roman"/>
          <w:sz w:val="24"/>
          <w:szCs w:val="24"/>
        </w:rPr>
        <w:t xml:space="preserve">Adamczak, A., </w:t>
      </w:r>
      <w:proofErr w:type="spellStart"/>
      <w:r w:rsidR="005D4080" w:rsidRPr="00C93050">
        <w:rPr>
          <w:rFonts w:ascii="Times New Roman" w:hAnsi="Times New Roman" w:cs="Times New Roman"/>
          <w:sz w:val="24"/>
          <w:szCs w:val="24"/>
        </w:rPr>
        <w:t>Ożarowski</w:t>
      </w:r>
      <w:proofErr w:type="spellEnd"/>
      <w:r w:rsidR="005D4080" w:rsidRPr="00C93050">
        <w:rPr>
          <w:rFonts w:ascii="Times New Roman" w:hAnsi="Times New Roman" w:cs="Times New Roman"/>
          <w:sz w:val="24"/>
          <w:szCs w:val="24"/>
        </w:rPr>
        <w:t xml:space="preserve">, M., &amp; </w:t>
      </w:r>
      <w:proofErr w:type="spellStart"/>
      <w:r w:rsidR="005D4080" w:rsidRPr="00C93050">
        <w:rPr>
          <w:rFonts w:ascii="Times New Roman" w:hAnsi="Times New Roman" w:cs="Times New Roman"/>
          <w:sz w:val="24"/>
          <w:szCs w:val="24"/>
        </w:rPr>
        <w:t>Karpiński</w:t>
      </w:r>
      <w:proofErr w:type="spellEnd"/>
      <w:r w:rsidR="005D4080" w:rsidRPr="00C93050">
        <w:rPr>
          <w:rFonts w:ascii="Times New Roman" w:hAnsi="Times New Roman" w:cs="Times New Roman"/>
          <w:sz w:val="24"/>
          <w:szCs w:val="24"/>
        </w:rPr>
        <w:t>, T. M. (2020). Curcumin, a natural antimicrobial agent with strain-specific activity. </w:t>
      </w:r>
      <w:r w:rsidR="005D4080" w:rsidRPr="00C93050">
        <w:rPr>
          <w:rFonts w:ascii="Times New Roman" w:hAnsi="Times New Roman" w:cs="Times New Roman"/>
          <w:i/>
          <w:iCs/>
          <w:sz w:val="24"/>
          <w:szCs w:val="24"/>
        </w:rPr>
        <w:t>Pharmaceuticals</w:t>
      </w:r>
      <w:r w:rsidR="005D4080" w:rsidRPr="00C93050">
        <w:rPr>
          <w:rFonts w:ascii="Times New Roman" w:hAnsi="Times New Roman" w:cs="Times New Roman"/>
          <w:sz w:val="24"/>
          <w:szCs w:val="24"/>
        </w:rPr>
        <w:t>, </w:t>
      </w:r>
      <w:r w:rsidR="005D4080" w:rsidRPr="00C93050">
        <w:rPr>
          <w:rFonts w:ascii="Times New Roman" w:hAnsi="Times New Roman" w:cs="Times New Roman"/>
          <w:i/>
          <w:iCs/>
          <w:sz w:val="24"/>
          <w:szCs w:val="24"/>
        </w:rPr>
        <w:t>13</w:t>
      </w:r>
      <w:r w:rsidR="005D4080" w:rsidRPr="00C93050">
        <w:rPr>
          <w:rFonts w:ascii="Times New Roman" w:hAnsi="Times New Roman" w:cs="Times New Roman"/>
          <w:sz w:val="24"/>
          <w:szCs w:val="24"/>
        </w:rPr>
        <w:t>(7), 153</w:t>
      </w:r>
      <w:r w:rsidRPr="00C93050">
        <w:rPr>
          <w:rFonts w:ascii="Times New Roman" w:hAnsi="Times New Roman" w:cs="Times New Roman"/>
          <w:sz w:val="24"/>
          <w:szCs w:val="24"/>
        </w:rPr>
        <w:t>. </w:t>
      </w:r>
      <w:r w:rsidR="005D4080" w:rsidRPr="00C93050">
        <w:rPr>
          <w:rFonts w:ascii="Times New Roman" w:hAnsi="Times New Roman" w:cs="Times New Roman"/>
          <w:sz w:val="24"/>
          <w:szCs w:val="24"/>
        </w:rPr>
        <w:t xml:space="preserve"> </w:t>
      </w:r>
    </w:p>
    <w:p w14:paraId="3BFC6B8A" w14:textId="77777777" w:rsidR="005D4080"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lang w:val="pt-BR"/>
        </w:rPr>
        <w:t xml:space="preserve">[2] </w:t>
      </w:r>
      <w:r w:rsidR="005D4080" w:rsidRPr="00C93050">
        <w:rPr>
          <w:rFonts w:ascii="Times New Roman" w:hAnsi="Times New Roman" w:cs="Times New Roman"/>
          <w:sz w:val="24"/>
          <w:szCs w:val="24"/>
          <w:lang w:val="pt-BR"/>
        </w:rPr>
        <w:t xml:space="preserve">Furutani, S., Furutani, N., Kawai, Y., Nakayama, A., &amp; Nagai, H. (2022). </w:t>
      </w:r>
      <w:r w:rsidR="005D4080" w:rsidRPr="00C93050">
        <w:rPr>
          <w:rFonts w:ascii="Times New Roman" w:hAnsi="Times New Roman" w:cs="Times New Roman"/>
          <w:sz w:val="24"/>
          <w:szCs w:val="24"/>
        </w:rPr>
        <w:t>Rapid DNA sequencing technology based on the sanger method for bacterial identification. </w:t>
      </w:r>
      <w:r w:rsidR="005D4080" w:rsidRPr="00C93050">
        <w:rPr>
          <w:rFonts w:ascii="Times New Roman" w:hAnsi="Times New Roman" w:cs="Times New Roman"/>
          <w:i/>
          <w:iCs/>
          <w:sz w:val="24"/>
          <w:szCs w:val="24"/>
        </w:rPr>
        <w:t>Sensors</w:t>
      </w:r>
      <w:r w:rsidR="005D4080" w:rsidRPr="00C93050">
        <w:rPr>
          <w:rFonts w:ascii="Times New Roman" w:hAnsi="Times New Roman" w:cs="Times New Roman"/>
          <w:sz w:val="24"/>
          <w:szCs w:val="24"/>
        </w:rPr>
        <w:t>, </w:t>
      </w:r>
      <w:r w:rsidR="005D4080" w:rsidRPr="00C93050">
        <w:rPr>
          <w:rFonts w:ascii="Times New Roman" w:hAnsi="Times New Roman" w:cs="Times New Roman"/>
          <w:i/>
          <w:iCs/>
          <w:sz w:val="24"/>
          <w:szCs w:val="24"/>
        </w:rPr>
        <w:t>22</w:t>
      </w:r>
      <w:r w:rsidR="005D4080" w:rsidRPr="00C93050">
        <w:rPr>
          <w:rFonts w:ascii="Times New Roman" w:hAnsi="Times New Roman" w:cs="Times New Roman"/>
          <w:sz w:val="24"/>
          <w:szCs w:val="24"/>
        </w:rPr>
        <w:t xml:space="preserve">(6), 2130. </w:t>
      </w:r>
    </w:p>
    <w:p w14:paraId="7285AB96" w14:textId="1797F771"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[3] APHA (American Public Health Association). (2017). </w:t>
      </w:r>
      <w:r w:rsidRPr="00C93050">
        <w:rPr>
          <w:rFonts w:ascii="Times New Roman" w:hAnsi="Times New Roman" w:cs="Times New Roman"/>
          <w:i/>
          <w:iCs/>
          <w:sz w:val="24"/>
          <w:szCs w:val="24"/>
        </w:rPr>
        <w:t>Standard Methods for the Examination of Water and Wastewater</w:t>
      </w:r>
      <w:r w:rsidRPr="00C93050">
        <w:rPr>
          <w:rFonts w:ascii="Times New Roman" w:hAnsi="Times New Roman" w:cs="Times New Roman"/>
          <w:sz w:val="24"/>
          <w:szCs w:val="24"/>
        </w:rPr>
        <w:t> (23rd ed.). American Public Health Association.</w:t>
      </w:r>
      <w:r w:rsidR="002F5AC2" w:rsidRPr="00C93050">
        <w:rPr>
          <w:rFonts w:ascii="Times New Roman" w:hAnsi="Times New Roman" w:cs="Times New Roman"/>
          <w:sz w:val="24"/>
          <w:szCs w:val="24"/>
        </w:rPr>
        <w:t xml:space="preserve"> </w:t>
      </w:r>
    </w:p>
    <w:p w14:paraId="3CDEF5E2" w14:textId="6C5E2386"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[4] Ashley, P. J. (2007). Fish welfare: current issues in aquaculture. </w:t>
      </w:r>
      <w:r w:rsidRPr="00C93050">
        <w:rPr>
          <w:rFonts w:ascii="Times New Roman" w:hAnsi="Times New Roman" w:cs="Times New Roman"/>
          <w:i/>
          <w:iCs/>
          <w:sz w:val="24"/>
          <w:szCs w:val="24"/>
        </w:rPr>
        <w:t>Applied animal behaviour science, 104</w:t>
      </w:r>
      <w:r w:rsidRPr="00C93050">
        <w:rPr>
          <w:rFonts w:ascii="Times New Roman" w:hAnsi="Times New Roman" w:cs="Times New Roman"/>
          <w:sz w:val="24"/>
          <w:szCs w:val="24"/>
        </w:rPr>
        <w:t>(3-4), 199-235. </w:t>
      </w:r>
      <w:hyperlink r:id="rId10" w:tgtFrame="_blank" w:history="1">
        <w:r w:rsidRPr="00C93050">
          <w:rPr>
            <w:rStyle w:val="Hyperlink"/>
            <w:rFonts w:ascii="Times New Roman" w:hAnsi="Times New Roman" w:cs="Times New Roman"/>
            <w:sz w:val="24"/>
            <w:szCs w:val="24"/>
          </w:rPr>
          <w:t>https://doi.org/10.1016/j.applanim.2006.09.001</w:t>
        </w:r>
      </w:hyperlink>
    </w:p>
    <w:p w14:paraId="566B8E3E" w14:textId="72E456B3"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[5] Austin, B., &amp; Austin, D. A. (2016). </w:t>
      </w:r>
      <w:r w:rsidRPr="00C93050">
        <w:rPr>
          <w:rFonts w:ascii="Times New Roman" w:hAnsi="Times New Roman" w:cs="Times New Roman"/>
          <w:i/>
          <w:iCs/>
          <w:sz w:val="24"/>
          <w:szCs w:val="24"/>
        </w:rPr>
        <w:t>Bacterial Fish Pathogens: Disease of Farmed and Wild Fish</w:t>
      </w:r>
      <w:r w:rsidRPr="00C93050">
        <w:rPr>
          <w:rFonts w:ascii="Times New Roman" w:hAnsi="Times New Roman" w:cs="Times New Roman"/>
          <w:sz w:val="24"/>
          <w:szCs w:val="24"/>
        </w:rPr>
        <w:t> (6th ed.). Springer.</w:t>
      </w:r>
    </w:p>
    <w:p w14:paraId="08FE387E" w14:textId="2F7C80F2"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 xml:space="preserve">[6] </w:t>
      </w:r>
      <w:proofErr w:type="spellStart"/>
      <w:r w:rsidRPr="00C93050">
        <w:rPr>
          <w:rFonts w:ascii="Times New Roman" w:hAnsi="Times New Roman" w:cs="Times New Roman"/>
          <w:sz w:val="24"/>
          <w:szCs w:val="24"/>
        </w:rPr>
        <w:t>Bondad-Reantaso</w:t>
      </w:r>
      <w:proofErr w:type="spellEnd"/>
      <w:r w:rsidRPr="00C93050">
        <w:rPr>
          <w:rFonts w:ascii="Times New Roman" w:hAnsi="Times New Roman" w:cs="Times New Roman"/>
          <w:sz w:val="24"/>
          <w:szCs w:val="24"/>
        </w:rPr>
        <w:t xml:space="preserve">, M. G., Subasinghe, R. P., Arthur, J. R., Ogawa, K., </w:t>
      </w:r>
      <w:proofErr w:type="spellStart"/>
      <w:r w:rsidRPr="00C93050">
        <w:rPr>
          <w:rFonts w:ascii="Times New Roman" w:hAnsi="Times New Roman" w:cs="Times New Roman"/>
          <w:sz w:val="24"/>
          <w:szCs w:val="24"/>
        </w:rPr>
        <w:t>Chinabut</w:t>
      </w:r>
      <w:proofErr w:type="spellEnd"/>
      <w:r w:rsidRPr="00C93050">
        <w:rPr>
          <w:rFonts w:ascii="Times New Roman" w:hAnsi="Times New Roman" w:cs="Times New Roman"/>
          <w:sz w:val="24"/>
          <w:szCs w:val="24"/>
        </w:rPr>
        <w:t>, S., Adlard, R., ... &amp; Shariff, M. (2005). Disease and health management in Asian aquaculture. </w:t>
      </w:r>
      <w:r w:rsidRPr="00C93050">
        <w:rPr>
          <w:rFonts w:ascii="Times New Roman" w:hAnsi="Times New Roman" w:cs="Times New Roman"/>
          <w:i/>
          <w:iCs/>
          <w:sz w:val="24"/>
          <w:szCs w:val="24"/>
        </w:rPr>
        <w:t>Veterinary parasitology, 132</w:t>
      </w:r>
      <w:r w:rsidRPr="00C93050">
        <w:rPr>
          <w:rFonts w:ascii="Times New Roman" w:hAnsi="Times New Roman" w:cs="Times New Roman"/>
          <w:sz w:val="24"/>
          <w:szCs w:val="24"/>
        </w:rPr>
        <w:t>(3-4), 249-272. </w:t>
      </w:r>
      <w:hyperlink r:id="rId11" w:tgtFrame="_blank" w:history="1">
        <w:r w:rsidRPr="00C93050">
          <w:rPr>
            <w:rStyle w:val="Hyperlink"/>
            <w:rFonts w:ascii="Times New Roman" w:hAnsi="Times New Roman" w:cs="Times New Roman"/>
            <w:sz w:val="24"/>
            <w:szCs w:val="24"/>
          </w:rPr>
          <w:t>https://doi.org/10.1016/j.vetpar.2005.07.005</w:t>
        </w:r>
      </w:hyperlink>
      <w:r w:rsidRPr="00C93050">
        <w:rPr>
          <w:rFonts w:ascii="Times New Roman" w:hAnsi="Times New Roman" w:cs="Times New Roman"/>
          <w:sz w:val="24"/>
          <w:szCs w:val="24"/>
        </w:rPr>
        <w:t xml:space="preserve"> </w:t>
      </w:r>
    </w:p>
    <w:p w14:paraId="54F7D8AA" w14:textId="77777777" w:rsidR="00714376"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[7] Boyd, C. E. (2015). </w:t>
      </w:r>
      <w:r w:rsidRPr="00C93050">
        <w:rPr>
          <w:rFonts w:ascii="Times New Roman" w:hAnsi="Times New Roman" w:cs="Times New Roman"/>
          <w:i/>
          <w:iCs/>
          <w:sz w:val="24"/>
          <w:szCs w:val="24"/>
        </w:rPr>
        <w:t>Water Quality: An Introduction</w:t>
      </w:r>
      <w:r w:rsidRPr="00C93050">
        <w:rPr>
          <w:rFonts w:ascii="Times New Roman" w:hAnsi="Times New Roman" w:cs="Times New Roman"/>
          <w:sz w:val="24"/>
          <w:szCs w:val="24"/>
        </w:rPr>
        <w:t> (2nd ed.). Springer.</w:t>
      </w:r>
    </w:p>
    <w:p w14:paraId="67AE358E" w14:textId="6E0BC7AB"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[8] Boyd, C. E., &amp; Tucker, C. S. (2012). </w:t>
      </w:r>
      <w:r w:rsidRPr="00C93050">
        <w:rPr>
          <w:rFonts w:ascii="Times New Roman" w:hAnsi="Times New Roman" w:cs="Times New Roman"/>
          <w:i/>
          <w:iCs/>
          <w:sz w:val="24"/>
          <w:szCs w:val="24"/>
        </w:rPr>
        <w:t>Pond aquaculture water quality management</w:t>
      </w:r>
      <w:r w:rsidRPr="00C93050">
        <w:rPr>
          <w:rFonts w:ascii="Times New Roman" w:hAnsi="Times New Roman" w:cs="Times New Roman"/>
          <w:sz w:val="24"/>
          <w:szCs w:val="24"/>
        </w:rPr>
        <w:t>. Springer Science &amp; Business Media.</w:t>
      </w:r>
    </w:p>
    <w:p w14:paraId="2EFF0189" w14:textId="05832C71"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 xml:space="preserve">[9] </w:t>
      </w:r>
      <w:r w:rsidR="0024417C" w:rsidRPr="00C93050">
        <w:rPr>
          <w:rFonts w:ascii="Times New Roman" w:hAnsi="Times New Roman" w:cs="Times New Roman"/>
          <w:sz w:val="24"/>
          <w:szCs w:val="24"/>
        </w:rPr>
        <w:t xml:space="preserve">Brady, C., </w:t>
      </w:r>
      <w:proofErr w:type="spellStart"/>
      <w:r w:rsidR="0024417C" w:rsidRPr="00C93050">
        <w:rPr>
          <w:rFonts w:ascii="Times New Roman" w:hAnsi="Times New Roman" w:cs="Times New Roman"/>
          <w:sz w:val="24"/>
          <w:szCs w:val="24"/>
        </w:rPr>
        <w:t>Cleenwerck</w:t>
      </w:r>
      <w:proofErr w:type="spellEnd"/>
      <w:r w:rsidR="0024417C" w:rsidRPr="00C93050">
        <w:rPr>
          <w:rFonts w:ascii="Times New Roman" w:hAnsi="Times New Roman" w:cs="Times New Roman"/>
          <w:sz w:val="24"/>
          <w:szCs w:val="24"/>
        </w:rPr>
        <w:t xml:space="preserve">, I., Venter, S., Coutinho, T., &amp; De Vos, P. (2013). Taxonomic evaluation of the genus </w:t>
      </w:r>
      <w:r w:rsidR="0024417C" w:rsidRPr="00C93050">
        <w:rPr>
          <w:rFonts w:ascii="Times New Roman" w:hAnsi="Times New Roman" w:cs="Times New Roman"/>
          <w:i/>
          <w:iCs/>
          <w:sz w:val="24"/>
          <w:szCs w:val="24"/>
        </w:rPr>
        <w:t>Enterobacter</w:t>
      </w:r>
      <w:r w:rsidR="0024417C" w:rsidRPr="00C93050">
        <w:rPr>
          <w:rFonts w:ascii="Times New Roman" w:hAnsi="Times New Roman" w:cs="Times New Roman"/>
          <w:sz w:val="24"/>
          <w:szCs w:val="24"/>
        </w:rPr>
        <w:t xml:space="preserve"> based on </w:t>
      </w:r>
      <w:proofErr w:type="spellStart"/>
      <w:r w:rsidR="0024417C" w:rsidRPr="00C93050">
        <w:rPr>
          <w:rFonts w:ascii="Times New Roman" w:hAnsi="Times New Roman" w:cs="Times New Roman"/>
          <w:sz w:val="24"/>
          <w:szCs w:val="24"/>
        </w:rPr>
        <w:t>multilocus</w:t>
      </w:r>
      <w:proofErr w:type="spellEnd"/>
      <w:r w:rsidR="0024417C" w:rsidRPr="00C93050">
        <w:rPr>
          <w:rFonts w:ascii="Times New Roman" w:hAnsi="Times New Roman" w:cs="Times New Roman"/>
          <w:sz w:val="24"/>
          <w:szCs w:val="24"/>
        </w:rPr>
        <w:t xml:space="preserve"> sequence analysis (MLSA): proposal to reclassify </w:t>
      </w:r>
      <w:r w:rsidR="0024417C" w:rsidRPr="00C93050">
        <w:rPr>
          <w:rFonts w:ascii="Times New Roman" w:hAnsi="Times New Roman" w:cs="Times New Roman"/>
          <w:i/>
          <w:iCs/>
          <w:sz w:val="24"/>
          <w:szCs w:val="24"/>
        </w:rPr>
        <w:t xml:space="preserve">E. </w:t>
      </w:r>
      <w:proofErr w:type="spellStart"/>
      <w:r w:rsidR="0024417C" w:rsidRPr="00C93050">
        <w:rPr>
          <w:rFonts w:ascii="Times New Roman" w:hAnsi="Times New Roman" w:cs="Times New Roman"/>
          <w:i/>
          <w:iCs/>
          <w:sz w:val="24"/>
          <w:szCs w:val="24"/>
        </w:rPr>
        <w:t>nimipressuralis</w:t>
      </w:r>
      <w:proofErr w:type="spellEnd"/>
      <w:r w:rsidR="0024417C" w:rsidRPr="00C93050">
        <w:rPr>
          <w:rFonts w:ascii="Times New Roman" w:hAnsi="Times New Roman" w:cs="Times New Roman"/>
          <w:sz w:val="24"/>
          <w:szCs w:val="24"/>
        </w:rPr>
        <w:t xml:space="preserve"> and </w:t>
      </w:r>
      <w:r w:rsidR="0024417C" w:rsidRPr="00C93050">
        <w:rPr>
          <w:rFonts w:ascii="Times New Roman" w:hAnsi="Times New Roman" w:cs="Times New Roman"/>
          <w:i/>
          <w:iCs/>
          <w:sz w:val="24"/>
          <w:szCs w:val="24"/>
        </w:rPr>
        <w:t xml:space="preserve">E. </w:t>
      </w:r>
      <w:proofErr w:type="spellStart"/>
      <w:r w:rsidR="0024417C" w:rsidRPr="00C93050">
        <w:rPr>
          <w:rFonts w:ascii="Times New Roman" w:hAnsi="Times New Roman" w:cs="Times New Roman"/>
          <w:i/>
          <w:iCs/>
          <w:sz w:val="24"/>
          <w:szCs w:val="24"/>
        </w:rPr>
        <w:t>amnigenus</w:t>
      </w:r>
      <w:proofErr w:type="spellEnd"/>
      <w:r w:rsidR="0024417C" w:rsidRPr="00C93050">
        <w:rPr>
          <w:rFonts w:ascii="Times New Roman" w:hAnsi="Times New Roman" w:cs="Times New Roman"/>
          <w:sz w:val="24"/>
          <w:szCs w:val="24"/>
        </w:rPr>
        <w:t xml:space="preserve"> into </w:t>
      </w:r>
      <w:proofErr w:type="spellStart"/>
      <w:r w:rsidR="0024417C" w:rsidRPr="00C93050">
        <w:rPr>
          <w:rFonts w:ascii="Times New Roman" w:hAnsi="Times New Roman" w:cs="Times New Roman"/>
          <w:i/>
          <w:iCs/>
          <w:sz w:val="24"/>
          <w:szCs w:val="24"/>
        </w:rPr>
        <w:t>Lelliottia</w:t>
      </w:r>
      <w:proofErr w:type="spellEnd"/>
      <w:r w:rsidR="0024417C" w:rsidRPr="00C93050">
        <w:rPr>
          <w:rFonts w:ascii="Times New Roman" w:hAnsi="Times New Roman" w:cs="Times New Roman"/>
          <w:i/>
          <w:iCs/>
          <w:sz w:val="24"/>
          <w:szCs w:val="24"/>
        </w:rPr>
        <w:t xml:space="preserve"> </w:t>
      </w:r>
      <w:r w:rsidR="0024417C" w:rsidRPr="00C93050">
        <w:rPr>
          <w:rFonts w:ascii="Times New Roman" w:hAnsi="Times New Roman" w:cs="Times New Roman"/>
          <w:sz w:val="24"/>
          <w:szCs w:val="24"/>
        </w:rPr>
        <w:t xml:space="preserve">gen. </w:t>
      </w:r>
      <w:proofErr w:type="spellStart"/>
      <w:r w:rsidR="0024417C" w:rsidRPr="00C93050">
        <w:rPr>
          <w:rFonts w:ascii="Times New Roman" w:hAnsi="Times New Roman" w:cs="Times New Roman"/>
          <w:sz w:val="24"/>
          <w:szCs w:val="24"/>
        </w:rPr>
        <w:t>nov.</w:t>
      </w:r>
      <w:proofErr w:type="spellEnd"/>
      <w:r w:rsidR="0024417C" w:rsidRPr="00C93050">
        <w:rPr>
          <w:rFonts w:ascii="Times New Roman" w:hAnsi="Times New Roman" w:cs="Times New Roman"/>
          <w:sz w:val="24"/>
          <w:szCs w:val="24"/>
        </w:rPr>
        <w:t xml:space="preserve"> as </w:t>
      </w:r>
      <w:proofErr w:type="spellStart"/>
      <w:r w:rsidR="0024417C" w:rsidRPr="00C93050">
        <w:rPr>
          <w:rFonts w:ascii="Times New Roman" w:hAnsi="Times New Roman" w:cs="Times New Roman"/>
          <w:i/>
          <w:iCs/>
          <w:sz w:val="24"/>
          <w:szCs w:val="24"/>
        </w:rPr>
        <w:t>Lelliottia</w:t>
      </w:r>
      <w:proofErr w:type="spellEnd"/>
      <w:r w:rsidR="0024417C" w:rsidRPr="00C93050">
        <w:rPr>
          <w:rFonts w:ascii="Times New Roman" w:hAnsi="Times New Roman" w:cs="Times New Roman"/>
          <w:i/>
          <w:iCs/>
          <w:sz w:val="24"/>
          <w:szCs w:val="24"/>
        </w:rPr>
        <w:t xml:space="preserve"> </w:t>
      </w:r>
      <w:proofErr w:type="spellStart"/>
      <w:r w:rsidR="0024417C" w:rsidRPr="00C93050">
        <w:rPr>
          <w:rFonts w:ascii="Times New Roman" w:hAnsi="Times New Roman" w:cs="Times New Roman"/>
          <w:i/>
          <w:iCs/>
          <w:sz w:val="24"/>
          <w:szCs w:val="24"/>
        </w:rPr>
        <w:t>nimipressuralis</w:t>
      </w:r>
      <w:proofErr w:type="spellEnd"/>
      <w:r w:rsidR="0024417C" w:rsidRPr="00C93050">
        <w:rPr>
          <w:rFonts w:ascii="Times New Roman" w:hAnsi="Times New Roman" w:cs="Times New Roman"/>
          <w:sz w:val="24"/>
          <w:szCs w:val="24"/>
        </w:rPr>
        <w:t xml:space="preserve"> comb. </w:t>
      </w:r>
      <w:proofErr w:type="spellStart"/>
      <w:r w:rsidR="0024417C" w:rsidRPr="00C93050">
        <w:rPr>
          <w:rFonts w:ascii="Times New Roman" w:hAnsi="Times New Roman" w:cs="Times New Roman"/>
          <w:sz w:val="24"/>
          <w:szCs w:val="24"/>
        </w:rPr>
        <w:t>nov.</w:t>
      </w:r>
      <w:proofErr w:type="spellEnd"/>
      <w:r w:rsidR="0024417C" w:rsidRPr="00C93050">
        <w:rPr>
          <w:rFonts w:ascii="Times New Roman" w:hAnsi="Times New Roman" w:cs="Times New Roman"/>
          <w:sz w:val="24"/>
          <w:szCs w:val="24"/>
        </w:rPr>
        <w:t xml:space="preserve"> and </w:t>
      </w:r>
      <w:proofErr w:type="spellStart"/>
      <w:r w:rsidR="0024417C" w:rsidRPr="00C93050">
        <w:rPr>
          <w:rFonts w:ascii="Times New Roman" w:hAnsi="Times New Roman" w:cs="Times New Roman"/>
          <w:i/>
          <w:iCs/>
          <w:sz w:val="24"/>
          <w:szCs w:val="24"/>
        </w:rPr>
        <w:t>Lelliottia</w:t>
      </w:r>
      <w:proofErr w:type="spellEnd"/>
      <w:r w:rsidR="0024417C" w:rsidRPr="00C93050">
        <w:rPr>
          <w:rFonts w:ascii="Times New Roman" w:hAnsi="Times New Roman" w:cs="Times New Roman"/>
          <w:i/>
          <w:iCs/>
          <w:sz w:val="24"/>
          <w:szCs w:val="24"/>
        </w:rPr>
        <w:t xml:space="preserve"> </w:t>
      </w:r>
      <w:proofErr w:type="spellStart"/>
      <w:r w:rsidR="0024417C" w:rsidRPr="00C93050">
        <w:rPr>
          <w:rFonts w:ascii="Times New Roman" w:hAnsi="Times New Roman" w:cs="Times New Roman"/>
          <w:i/>
          <w:iCs/>
          <w:sz w:val="24"/>
          <w:szCs w:val="24"/>
        </w:rPr>
        <w:t>amnigena</w:t>
      </w:r>
      <w:proofErr w:type="spellEnd"/>
      <w:r w:rsidR="0024417C" w:rsidRPr="00C93050">
        <w:rPr>
          <w:rFonts w:ascii="Times New Roman" w:hAnsi="Times New Roman" w:cs="Times New Roman"/>
          <w:sz w:val="24"/>
          <w:szCs w:val="24"/>
        </w:rPr>
        <w:t xml:space="preserve"> comb. </w:t>
      </w:r>
      <w:proofErr w:type="spellStart"/>
      <w:r w:rsidR="0024417C" w:rsidRPr="00C93050">
        <w:rPr>
          <w:rFonts w:ascii="Times New Roman" w:hAnsi="Times New Roman" w:cs="Times New Roman"/>
          <w:sz w:val="24"/>
          <w:szCs w:val="24"/>
        </w:rPr>
        <w:t>nov.</w:t>
      </w:r>
      <w:proofErr w:type="spellEnd"/>
      <w:r w:rsidR="0024417C" w:rsidRPr="00C93050">
        <w:rPr>
          <w:rFonts w:ascii="Times New Roman" w:hAnsi="Times New Roman" w:cs="Times New Roman"/>
          <w:sz w:val="24"/>
          <w:szCs w:val="24"/>
        </w:rPr>
        <w:t xml:space="preserve">, respectively, </w:t>
      </w:r>
      <w:r w:rsidR="0024417C" w:rsidRPr="00C93050">
        <w:rPr>
          <w:rFonts w:ascii="Times New Roman" w:hAnsi="Times New Roman" w:cs="Times New Roman"/>
          <w:i/>
          <w:iCs/>
          <w:sz w:val="24"/>
          <w:szCs w:val="24"/>
        </w:rPr>
        <w:t xml:space="preserve">E. </w:t>
      </w:r>
      <w:proofErr w:type="spellStart"/>
      <w:r w:rsidR="0024417C" w:rsidRPr="00C93050">
        <w:rPr>
          <w:rFonts w:ascii="Times New Roman" w:hAnsi="Times New Roman" w:cs="Times New Roman"/>
          <w:i/>
          <w:iCs/>
          <w:sz w:val="24"/>
          <w:szCs w:val="24"/>
        </w:rPr>
        <w:t>gergoviae</w:t>
      </w:r>
      <w:proofErr w:type="spellEnd"/>
      <w:r w:rsidR="0024417C" w:rsidRPr="00C93050">
        <w:rPr>
          <w:rFonts w:ascii="Times New Roman" w:hAnsi="Times New Roman" w:cs="Times New Roman"/>
          <w:sz w:val="24"/>
          <w:szCs w:val="24"/>
        </w:rPr>
        <w:t xml:space="preserve"> and </w:t>
      </w:r>
      <w:r w:rsidR="0024417C" w:rsidRPr="00C93050">
        <w:rPr>
          <w:rFonts w:ascii="Times New Roman" w:hAnsi="Times New Roman" w:cs="Times New Roman"/>
          <w:i/>
          <w:iCs/>
          <w:sz w:val="24"/>
          <w:szCs w:val="24"/>
        </w:rPr>
        <w:t xml:space="preserve">E. </w:t>
      </w:r>
      <w:proofErr w:type="spellStart"/>
      <w:r w:rsidR="0024417C" w:rsidRPr="00C93050">
        <w:rPr>
          <w:rFonts w:ascii="Times New Roman" w:hAnsi="Times New Roman" w:cs="Times New Roman"/>
          <w:i/>
          <w:iCs/>
          <w:sz w:val="24"/>
          <w:szCs w:val="24"/>
        </w:rPr>
        <w:t>pyrinus</w:t>
      </w:r>
      <w:proofErr w:type="spellEnd"/>
      <w:r w:rsidR="0024417C" w:rsidRPr="00C93050">
        <w:rPr>
          <w:rFonts w:ascii="Times New Roman" w:hAnsi="Times New Roman" w:cs="Times New Roman"/>
          <w:sz w:val="24"/>
          <w:szCs w:val="24"/>
        </w:rPr>
        <w:t xml:space="preserve"> into </w:t>
      </w:r>
      <w:proofErr w:type="spellStart"/>
      <w:r w:rsidR="0024417C" w:rsidRPr="00C93050">
        <w:rPr>
          <w:rFonts w:ascii="Times New Roman" w:hAnsi="Times New Roman" w:cs="Times New Roman"/>
          <w:i/>
          <w:iCs/>
          <w:sz w:val="24"/>
          <w:szCs w:val="24"/>
        </w:rPr>
        <w:t>Pluralibacter</w:t>
      </w:r>
      <w:proofErr w:type="spellEnd"/>
      <w:r w:rsidR="0024417C" w:rsidRPr="00C93050">
        <w:rPr>
          <w:rFonts w:ascii="Times New Roman" w:hAnsi="Times New Roman" w:cs="Times New Roman"/>
          <w:i/>
          <w:iCs/>
          <w:sz w:val="24"/>
          <w:szCs w:val="24"/>
        </w:rPr>
        <w:t xml:space="preserve"> gen</w:t>
      </w:r>
      <w:r w:rsidR="0024417C" w:rsidRPr="00C93050">
        <w:rPr>
          <w:rFonts w:ascii="Times New Roman" w:hAnsi="Times New Roman" w:cs="Times New Roman"/>
          <w:sz w:val="24"/>
          <w:szCs w:val="24"/>
        </w:rPr>
        <w:t xml:space="preserve">. </w:t>
      </w:r>
      <w:proofErr w:type="spellStart"/>
      <w:r w:rsidR="0024417C" w:rsidRPr="00C93050">
        <w:rPr>
          <w:rFonts w:ascii="Times New Roman" w:hAnsi="Times New Roman" w:cs="Times New Roman"/>
          <w:sz w:val="24"/>
          <w:szCs w:val="24"/>
        </w:rPr>
        <w:t>nov.</w:t>
      </w:r>
      <w:proofErr w:type="spellEnd"/>
      <w:r w:rsidR="0024417C" w:rsidRPr="00C93050">
        <w:rPr>
          <w:rFonts w:ascii="Times New Roman" w:hAnsi="Times New Roman" w:cs="Times New Roman"/>
          <w:sz w:val="24"/>
          <w:szCs w:val="24"/>
        </w:rPr>
        <w:t xml:space="preserve"> as </w:t>
      </w:r>
      <w:proofErr w:type="spellStart"/>
      <w:r w:rsidR="0024417C" w:rsidRPr="00C93050">
        <w:rPr>
          <w:rFonts w:ascii="Times New Roman" w:hAnsi="Times New Roman" w:cs="Times New Roman"/>
          <w:i/>
          <w:iCs/>
          <w:sz w:val="24"/>
          <w:szCs w:val="24"/>
        </w:rPr>
        <w:t>Pluralibacter</w:t>
      </w:r>
      <w:proofErr w:type="spellEnd"/>
      <w:r w:rsidR="0024417C" w:rsidRPr="00C93050">
        <w:rPr>
          <w:rFonts w:ascii="Times New Roman" w:hAnsi="Times New Roman" w:cs="Times New Roman"/>
          <w:i/>
          <w:iCs/>
          <w:sz w:val="24"/>
          <w:szCs w:val="24"/>
        </w:rPr>
        <w:t xml:space="preserve"> </w:t>
      </w:r>
      <w:proofErr w:type="spellStart"/>
      <w:r w:rsidR="0024417C" w:rsidRPr="00C93050">
        <w:rPr>
          <w:rFonts w:ascii="Times New Roman" w:hAnsi="Times New Roman" w:cs="Times New Roman"/>
          <w:i/>
          <w:iCs/>
          <w:sz w:val="24"/>
          <w:szCs w:val="24"/>
        </w:rPr>
        <w:t>gergoviae</w:t>
      </w:r>
      <w:proofErr w:type="spellEnd"/>
      <w:r w:rsidR="0024417C" w:rsidRPr="00C93050">
        <w:rPr>
          <w:rFonts w:ascii="Times New Roman" w:hAnsi="Times New Roman" w:cs="Times New Roman"/>
          <w:sz w:val="24"/>
          <w:szCs w:val="24"/>
        </w:rPr>
        <w:t xml:space="preserve"> comb. </w:t>
      </w:r>
      <w:proofErr w:type="spellStart"/>
      <w:r w:rsidR="0024417C" w:rsidRPr="00C93050">
        <w:rPr>
          <w:rFonts w:ascii="Times New Roman" w:hAnsi="Times New Roman" w:cs="Times New Roman"/>
          <w:sz w:val="24"/>
          <w:szCs w:val="24"/>
        </w:rPr>
        <w:t>nov.</w:t>
      </w:r>
      <w:proofErr w:type="spellEnd"/>
      <w:r w:rsidR="0024417C" w:rsidRPr="00C93050">
        <w:rPr>
          <w:rFonts w:ascii="Times New Roman" w:hAnsi="Times New Roman" w:cs="Times New Roman"/>
          <w:sz w:val="24"/>
          <w:szCs w:val="24"/>
        </w:rPr>
        <w:t xml:space="preserve"> and </w:t>
      </w:r>
      <w:proofErr w:type="spellStart"/>
      <w:r w:rsidR="0024417C" w:rsidRPr="00C93050">
        <w:rPr>
          <w:rFonts w:ascii="Times New Roman" w:hAnsi="Times New Roman" w:cs="Times New Roman"/>
          <w:i/>
          <w:iCs/>
          <w:sz w:val="24"/>
          <w:szCs w:val="24"/>
        </w:rPr>
        <w:t>Pluralibacter</w:t>
      </w:r>
      <w:proofErr w:type="spellEnd"/>
      <w:r w:rsidR="0024417C" w:rsidRPr="00C93050">
        <w:rPr>
          <w:rFonts w:ascii="Times New Roman" w:hAnsi="Times New Roman" w:cs="Times New Roman"/>
          <w:i/>
          <w:iCs/>
          <w:sz w:val="24"/>
          <w:szCs w:val="24"/>
        </w:rPr>
        <w:t xml:space="preserve"> </w:t>
      </w:r>
      <w:proofErr w:type="spellStart"/>
      <w:r w:rsidR="0024417C" w:rsidRPr="00C93050">
        <w:rPr>
          <w:rFonts w:ascii="Times New Roman" w:hAnsi="Times New Roman" w:cs="Times New Roman"/>
          <w:i/>
          <w:iCs/>
          <w:sz w:val="24"/>
          <w:szCs w:val="24"/>
        </w:rPr>
        <w:t>pyrinus</w:t>
      </w:r>
      <w:proofErr w:type="spellEnd"/>
      <w:r w:rsidR="0024417C" w:rsidRPr="00C93050">
        <w:rPr>
          <w:rFonts w:ascii="Times New Roman" w:hAnsi="Times New Roman" w:cs="Times New Roman"/>
          <w:sz w:val="24"/>
          <w:szCs w:val="24"/>
        </w:rPr>
        <w:t xml:space="preserve"> comb. </w:t>
      </w:r>
      <w:proofErr w:type="spellStart"/>
      <w:r w:rsidR="0024417C" w:rsidRPr="00C93050">
        <w:rPr>
          <w:rFonts w:ascii="Times New Roman" w:hAnsi="Times New Roman" w:cs="Times New Roman"/>
          <w:sz w:val="24"/>
          <w:szCs w:val="24"/>
        </w:rPr>
        <w:t>nov.</w:t>
      </w:r>
      <w:proofErr w:type="spellEnd"/>
      <w:r w:rsidR="0024417C" w:rsidRPr="00C93050">
        <w:rPr>
          <w:rFonts w:ascii="Times New Roman" w:hAnsi="Times New Roman" w:cs="Times New Roman"/>
          <w:sz w:val="24"/>
          <w:szCs w:val="24"/>
        </w:rPr>
        <w:t xml:space="preserve">, respectively, </w:t>
      </w:r>
      <w:r w:rsidR="0024417C" w:rsidRPr="00C93050">
        <w:rPr>
          <w:rFonts w:ascii="Times New Roman" w:hAnsi="Times New Roman" w:cs="Times New Roman"/>
          <w:i/>
          <w:iCs/>
          <w:sz w:val="24"/>
          <w:szCs w:val="24"/>
        </w:rPr>
        <w:t xml:space="preserve">E. </w:t>
      </w:r>
      <w:proofErr w:type="spellStart"/>
      <w:r w:rsidR="0024417C" w:rsidRPr="00C93050">
        <w:rPr>
          <w:rFonts w:ascii="Times New Roman" w:hAnsi="Times New Roman" w:cs="Times New Roman"/>
          <w:i/>
          <w:iCs/>
          <w:sz w:val="24"/>
          <w:szCs w:val="24"/>
        </w:rPr>
        <w:t>cowanii</w:t>
      </w:r>
      <w:proofErr w:type="spellEnd"/>
      <w:r w:rsidR="0024417C" w:rsidRPr="00C93050">
        <w:rPr>
          <w:rFonts w:ascii="Times New Roman" w:hAnsi="Times New Roman" w:cs="Times New Roman"/>
          <w:sz w:val="24"/>
          <w:szCs w:val="24"/>
        </w:rPr>
        <w:t xml:space="preserve">, </w:t>
      </w:r>
      <w:r w:rsidR="0024417C" w:rsidRPr="00C93050">
        <w:rPr>
          <w:rFonts w:ascii="Times New Roman" w:hAnsi="Times New Roman" w:cs="Times New Roman"/>
          <w:i/>
          <w:iCs/>
          <w:sz w:val="24"/>
          <w:szCs w:val="24"/>
        </w:rPr>
        <w:t xml:space="preserve">E. </w:t>
      </w:r>
      <w:proofErr w:type="spellStart"/>
      <w:r w:rsidR="0024417C" w:rsidRPr="00C93050">
        <w:rPr>
          <w:rFonts w:ascii="Times New Roman" w:hAnsi="Times New Roman" w:cs="Times New Roman"/>
          <w:i/>
          <w:iCs/>
          <w:sz w:val="24"/>
          <w:szCs w:val="24"/>
        </w:rPr>
        <w:t>radicincitans</w:t>
      </w:r>
      <w:proofErr w:type="spellEnd"/>
      <w:r w:rsidR="0024417C" w:rsidRPr="00C93050">
        <w:rPr>
          <w:rFonts w:ascii="Times New Roman" w:hAnsi="Times New Roman" w:cs="Times New Roman"/>
          <w:sz w:val="24"/>
          <w:szCs w:val="24"/>
        </w:rPr>
        <w:t xml:space="preserve">, </w:t>
      </w:r>
      <w:r w:rsidR="0024417C" w:rsidRPr="00C93050">
        <w:rPr>
          <w:rFonts w:ascii="Times New Roman" w:hAnsi="Times New Roman" w:cs="Times New Roman"/>
          <w:i/>
          <w:iCs/>
          <w:sz w:val="24"/>
          <w:szCs w:val="24"/>
        </w:rPr>
        <w:t>E. oryzae</w:t>
      </w:r>
      <w:r w:rsidR="0024417C" w:rsidRPr="00C93050">
        <w:rPr>
          <w:rFonts w:ascii="Times New Roman" w:hAnsi="Times New Roman" w:cs="Times New Roman"/>
          <w:sz w:val="24"/>
          <w:szCs w:val="24"/>
        </w:rPr>
        <w:t xml:space="preserve"> and </w:t>
      </w:r>
      <w:r w:rsidR="0024417C" w:rsidRPr="00C93050">
        <w:rPr>
          <w:rFonts w:ascii="Times New Roman" w:hAnsi="Times New Roman" w:cs="Times New Roman"/>
          <w:i/>
          <w:iCs/>
          <w:sz w:val="24"/>
          <w:szCs w:val="24"/>
        </w:rPr>
        <w:t xml:space="preserve">E. </w:t>
      </w:r>
      <w:proofErr w:type="spellStart"/>
      <w:r w:rsidR="0024417C" w:rsidRPr="00C93050">
        <w:rPr>
          <w:rFonts w:ascii="Times New Roman" w:hAnsi="Times New Roman" w:cs="Times New Roman"/>
          <w:i/>
          <w:iCs/>
          <w:sz w:val="24"/>
          <w:szCs w:val="24"/>
        </w:rPr>
        <w:t>arachidis</w:t>
      </w:r>
      <w:proofErr w:type="spellEnd"/>
      <w:r w:rsidR="0024417C" w:rsidRPr="00C93050">
        <w:rPr>
          <w:rFonts w:ascii="Times New Roman" w:hAnsi="Times New Roman" w:cs="Times New Roman"/>
          <w:sz w:val="24"/>
          <w:szCs w:val="24"/>
        </w:rPr>
        <w:t xml:space="preserve"> into </w:t>
      </w:r>
      <w:proofErr w:type="spellStart"/>
      <w:r w:rsidR="0024417C" w:rsidRPr="00C93050">
        <w:rPr>
          <w:rFonts w:ascii="Times New Roman" w:hAnsi="Times New Roman" w:cs="Times New Roman"/>
          <w:i/>
          <w:iCs/>
          <w:sz w:val="24"/>
          <w:szCs w:val="24"/>
        </w:rPr>
        <w:t>Kosakonia</w:t>
      </w:r>
      <w:proofErr w:type="spellEnd"/>
      <w:r w:rsidR="0024417C" w:rsidRPr="00C93050">
        <w:rPr>
          <w:rFonts w:ascii="Times New Roman" w:hAnsi="Times New Roman" w:cs="Times New Roman"/>
          <w:i/>
          <w:iCs/>
          <w:sz w:val="24"/>
          <w:szCs w:val="24"/>
        </w:rPr>
        <w:t xml:space="preserve"> </w:t>
      </w:r>
      <w:r w:rsidR="0024417C" w:rsidRPr="00C93050">
        <w:rPr>
          <w:rFonts w:ascii="Times New Roman" w:hAnsi="Times New Roman" w:cs="Times New Roman"/>
          <w:sz w:val="24"/>
          <w:szCs w:val="24"/>
        </w:rPr>
        <w:t xml:space="preserve">gen. </w:t>
      </w:r>
      <w:proofErr w:type="spellStart"/>
      <w:r w:rsidR="0024417C" w:rsidRPr="00C93050">
        <w:rPr>
          <w:rFonts w:ascii="Times New Roman" w:hAnsi="Times New Roman" w:cs="Times New Roman"/>
          <w:sz w:val="24"/>
          <w:szCs w:val="24"/>
        </w:rPr>
        <w:t>nov.</w:t>
      </w:r>
      <w:proofErr w:type="spellEnd"/>
      <w:r w:rsidR="0024417C" w:rsidRPr="00C93050">
        <w:rPr>
          <w:rFonts w:ascii="Times New Roman" w:hAnsi="Times New Roman" w:cs="Times New Roman"/>
          <w:sz w:val="24"/>
          <w:szCs w:val="24"/>
        </w:rPr>
        <w:t xml:space="preserve"> as .... </w:t>
      </w:r>
      <w:r w:rsidR="0024417C" w:rsidRPr="00C93050">
        <w:rPr>
          <w:rFonts w:ascii="Times New Roman" w:hAnsi="Times New Roman" w:cs="Times New Roman"/>
          <w:i/>
          <w:iCs/>
          <w:sz w:val="24"/>
          <w:szCs w:val="24"/>
        </w:rPr>
        <w:t>Systematic and applied microbiology</w:t>
      </w:r>
      <w:r w:rsidR="0024417C" w:rsidRPr="00C93050">
        <w:rPr>
          <w:rFonts w:ascii="Times New Roman" w:hAnsi="Times New Roman" w:cs="Times New Roman"/>
          <w:sz w:val="24"/>
          <w:szCs w:val="24"/>
        </w:rPr>
        <w:t>, </w:t>
      </w:r>
      <w:r w:rsidR="0024417C" w:rsidRPr="00C93050">
        <w:rPr>
          <w:rFonts w:ascii="Times New Roman" w:hAnsi="Times New Roman" w:cs="Times New Roman"/>
          <w:i/>
          <w:iCs/>
          <w:sz w:val="24"/>
          <w:szCs w:val="24"/>
        </w:rPr>
        <w:t>36</w:t>
      </w:r>
      <w:r w:rsidR="0024417C" w:rsidRPr="00C93050">
        <w:rPr>
          <w:rFonts w:ascii="Times New Roman" w:hAnsi="Times New Roman" w:cs="Times New Roman"/>
          <w:sz w:val="24"/>
          <w:szCs w:val="24"/>
        </w:rPr>
        <w:t>(5), 309-319.</w:t>
      </w:r>
    </w:p>
    <w:p w14:paraId="3BC1A72C" w14:textId="77777777"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 xml:space="preserve">[10] </w:t>
      </w:r>
      <w:proofErr w:type="spellStart"/>
      <w:r w:rsidRPr="00C93050">
        <w:rPr>
          <w:rFonts w:ascii="Times New Roman" w:hAnsi="Times New Roman" w:cs="Times New Roman"/>
          <w:sz w:val="24"/>
          <w:szCs w:val="24"/>
        </w:rPr>
        <w:t>Bulfon</w:t>
      </w:r>
      <w:proofErr w:type="spellEnd"/>
      <w:r w:rsidRPr="00C93050">
        <w:rPr>
          <w:rFonts w:ascii="Times New Roman" w:hAnsi="Times New Roman" w:cs="Times New Roman"/>
          <w:sz w:val="24"/>
          <w:szCs w:val="24"/>
        </w:rPr>
        <w:t>, C., Volpatti, D., &amp; Galeotti, M. (2015). Current research on the use of plant‐derived products in farmed fish. </w:t>
      </w:r>
      <w:r w:rsidRPr="00C93050">
        <w:rPr>
          <w:rFonts w:ascii="Times New Roman" w:hAnsi="Times New Roman" w:cs="Times New Roman"/>
          <w:i/>
          <w:iCs/>
          <w:sz w:val="24"/>
          <w:szCs w:val="24"/>
        </w:rPr>
        <w:t>Aquaculture research, 46</w:t>
      </w:r>
      <w:r w:rsidRPr="00C93050">
        <w:rPr>
          <w:rFonts w:ascii="Times New Roman" w:hAnsi="Times New Roman" w:cs="Times New Roman"/>
          <w:sz w:val="24"/>
          <w:szCs w:val="24"/>
        </w:rPr>
        <w:t>(3), 513-551. </w:t>
      </w:r>
      <w:hyperlink r:id="rId12" w:tgtFrame="_blank" w:history="1">
        <w:r w:rsidRPr="00C93050">
          <w:rPr>
            <w:rStyle w:val="Hyperlink"/>
            <w:rFonts w:ascii="Times New Roman" w:hAnsi="Times New Roman" w:cs="Times New Roman"/>
            <w:sz w:val="24"/>
            <w:szCs w:val="24"/>
          </w:rPr>
          <w:t>https://doi.org/10.1111/are.12238</w:t>
        </w:r>
      </w:hyperlink>
    </w:p>
    <w:p w14:paraId="32B03456" w14:textId="53D8B5C2"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[11] Cabello, F. C. (2006). Heavy use of prophylactic antibiotics in aquaculture: a growing problem for human and animal health and for the environment. </w:t>
      </w:r>
      <w:r w:rsidRPr="00C93050">
        <w:rPr>
          <w:rFonts w:ascii="Times New Roman" w:hAnsi="Times New Roman" w:cs="Times New Roman"/>
          <w:i/>
          <w:iCs/>
          <w:sz w:val="24"/>
          <w:szCs w:val="24"/>
        </w:rPr>
        <w:t>Environmental microbiology, 8</w:t>
      </w:r>
      <w:r w:rsidRPr="00C93050">
        <w:rPr>
          <w:rFonts w:ascii="Times New Roman" w:hAnsi="Times New Roman" w:cs="Times New Roman"/>
          <w:sz w:val="24"/>
          <w:szCs w:val="24"/>
        </w:rPr>
        <w:t>(7), 1137-1144.</w:t>
      </w:r>
    </w:p>
    <w:p w14:paraId="457BC3C3" w14:textId="22ABC4F8"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[12] Caruso, G. (2016). Antibiotic resistance in fish farming environments: A global concern. </w:t>
      </w:r>
      <w:r w:rsidRPr="00C93050">
        <w:rPr>
          <w:rFonts w:ascii="Times New Roman" w:hAnsi="Times New Roman" w:cs="Times New Roman"/>
          <w:i/>
          <w:iCs/>
          <w:sz w:val="24"/>
          <w:szCs w:val="24"/>
        </w:rPr>
        <w:t>Journal of Fisheries Sciences, 10</w:t>
      </w:r>
      <w:r w:rsidRPr="00C93050">
        <w:rPr>
          <w:rFonts w:ascii="Times New Roman" w:hAnsi="Times New Roman" w:cs="Times New Roman"/>
          <w:sz w:val="24"/>
          <w:szCs w:val="24"/>
        </w:rPr>
        <w:t>(1), 9–13. </w:t>
      </w:r>
      <w:hyperlink r:id="rId13" w:tgtFrame="_blank" w:history="1">
        <w:r w:rsidRPr="00C93050">
          <w:rPr>
            <w:rStyle w:val="Hyperlink"/>
            <w:rFonts w:ascii="Times New Roman" w:hAnsi="Times New Roman" w:cs="Times New Roman"/>
            <w:sz w:val="24"/>
            <w:szCs w:val="24"/>
          </w:rPr>
          <w:t>https://doi.org/10.4172/1307-234x.1000018</w:t>
        </w:r>
      </w:hyperlink>
    </w:p>
    <w:p w14:paraId="767092D5" w14:textId="2997F416"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[13] CLSI. (1999). </w:t>
      </w:r>
      <w:r w:rsidRPr="00C93050">
        <w:rPr>
          <w:rFonts w:ascii="Times New Roman" w:hAnsi="Times New Roman" w:cs="Times New Roman"/>
          <w:i/>
          <w:iCs/>
          <w:sz w:val="24"/>
          <w:szCs w:val="24"/>
        </w:rPr>
        <w:t>Methods for Determining Bactericidal Activity of Antimicrobial Agents; Approved Guideline</w:t>
      </w:r>
      <w:r w:rsidRPr="00C93050">
        <w:rPr>
          <w:rFonts w:ascii="Times New Roman" w:hAnsi="Times New Roman" w:cs="Times New Roman"/>
          <w:sz w:val="24"/>
          <w:szCs w:val="24"/>
        </w:rPr>
        <w:t>. CLSI document M26-A. Clinical and Laboratory Standards Institute.</w:t>
      </w:r>
    </w:p>
    <w:p w14:paraId="4FCC8F33" w14:textId="5AF14F00"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[14] CLSI. (2018). </w:t>
      </w:r>
      <w:r w:rsidRPr="00C93050">
        <w:rPr>
          <w:rFonts w:ascii="Times New Roman" w:hAnsi="Times New Roman" w:cs="Times New Roman"/>
          <w:i/>
          <w:iCs/>
          <w:sz w:val="24"/>
          <w:szCs w:val="24"/>
        </w:rPr>
        <w:t>Methods for Dilution Antimicrobial Susceptibility Tests for Bacteria That Grow Aerobically; Approved Standard—Eleventh Edition</w:t>
      </w:r>
      <w:r w:rsidRPr="00C93050">
        <w:rPr>
          <w:rFonts w:ascii="Times New Roman" w:hAnsi="Times New Roman" w:cs="Times New Roman"/>
          <w:sz w:val="24"/>
          <w:szCs w:val="24"/>
        </w:rPr>
        <w:t>. CLSI document M07-A11. Clinical and Laboratory Standards Institute.</w:t>
      </w:r>
    </w:p>
    <w:p w14:paraId="3EFEE3AD" w14:textId="77777777" w:rsidR="00A3109A" w:rsidRPr="00C93050" w:rsidRDefault="0083314C" w:rsidP="007428B2">
      <w:pPr>
        <w:jc w:val="both"/>
        <w:rPr>
          <w:rFonts w:ascii="Times New Roman" w:hAnsi="Times New Roman" w:cs="Times New Roman"/>
          <w:i/>
          <w:iCs/>
          <w:sz w:val="24"/>
          <w:szCs w:val="24"/>
        </w:rPr>
      </w:pPr>
      <w:r w:rsidRPr="00C93050">
        <w:rPr>
          <w:rFonts w:ascii="Times New Roman" w:hAnsi="Times New Roman" w:cs="Times New Roman"/>
          <w:sz w:val="24"/>
          <w:szCs w:val="24"/>
        </w:rPr>
        <w:lastRenderedPageBreak/>
        <w:t xml:space="preserve">[15] </w:t>
      </w:r>
      <w:r w:rsidR="00A3109A" w:rsidRPr="00C93050">
        <w:rPr>
          <w:rFonts w:ascii="Times New Roman" w:hAnsi="Times New Roman" w:cs="Times New Roman"/>
          <w:sz w:val="24"/>
          <w:szCs w:val="24"/>
        </w:rPr>
        <w:t>Binti Abang, D. N. J. (2017). In-vitro screening of antioxidant, antibacterial and antifungal properties of herbs for aquaculture. </w:t>
      </w:r>
      <w:r w:rsidR="00A3109A" w:rsidRPr="00C93050">
        <w:rPr>
          <w:rFonts w:ascii="Times New Roman" w:hAnsi="Times New Roman" w:cs="Times New Roman"/>
          <w:i/>
          <w:iCs/>
          <w:sz w:val="24"/>
          <w:szCs w:val="24"/>
        </w:rPr>
        <w:t xml:space="preserve">International Journal of Fisheries and Aquatic Studies 2017; 5(4): 259-264 </w:t>
      </w:r>
    </w:p>
    <w:p w14:paraId="342C0394" w14:textId="004DAD52"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[16] Done, H. Y., Venkatesan, A. K., &amp; Halden, R. U. (2015). Does the recent growth of aquaculture create antibiotic resistance threats different from those associated with land animal production in agriculture? </w:t>
      </w:r>
      <w:r w:rsidRPr="00C93050">
        <w:rPr>
          <w:rFonts w:ascii="Times New Roman" w:hAnsi="Times New Roman" w:cs="Times New Roman"/>
          <w:i/>
          <w:iCs/>
          <w:sz w:val="24"/>
          <w:szCs w:val="24"/>
        </w:rPr>
        <w:t>The AAPS Journal, 17</w:t>
      </w:r>
      <w:r w:rsidRPr="00C93050">
        <w:rPr>
          <w:rFonts w:ascii="Times New Roman" w:hAnsi="Times New Roman" w:cs="Times New Roman"/>
          <w:sz w:val="24"/>
          <w:szCs w:val="24"/>
        </w:rPr>
        <w:t>(3), 513-524.</w:t>
      </w:r>
    </w:p>
    <w:p w14:paraId="7FADBFA3" w14:textId="479DD969" w:rsidR="00DA717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[17] Emerson, K., Russo, R. C., Lund, R. E., &amp; Thurston, R. V. (1975). Aqueous ammonia equilibrium calculations: effect of pH and temperature. </w:t>
      </w:r>
      <w:r w:rsidRPr="00C93050">
        <w:rPr>
          <w:rFonts w:ascii="Times New Roman" w:hAnsi="Times New Roman" w:cs="Times New Roman"/>
          <w:i/>
          <w:iCs/>
          <w:sz w:val="24"/>
          <w:szCs w:val="24"/>
        </w:rPr>
        <w:t>Journal of the Fisheries Board of Canada, 32</w:t>
      </w:r>
      <w:r w:rsidRPr="00C93050">
        <w:rPr>
          <w:rFonts w:ascii="Times New Roman" w:hAnsi="Times New Roman" w:cs="Times New Roman"/>
          <w:sz w:val="24"/>
          <w:szCs w:val="24"/>
        </w:rPr>
        <w:t>(12), 2379-2383. </w:t>
      </w:r>
      <w:hyperlink r:id="rId14" w:tgtFrame="_blank" w:history="1">
        <w:r w:rsidRPr="00C93050">
          <w:rPr>
            <w:rStyle w:val="Hyperlink"/>
            <w:rFonts w:ascii="Times New Roman" w:hAnsi="Times New Roman" w:cs="Times New Roman"/>
            <w:sz w:val="24"/>
            <w:szCs w:val="24"/>
          </w:rPr>
          <w:t>https://doi.org/10.1139/f75-274</w:t>
        </w:r>
      </w:hyperlink>
      <w:r w:rsidR="002F5AC2" w:rsidRPr="00C93050">
        <w:rPr>
          <w:rFonts w:ascii="Times New Roman" w:hAnsi="Times New Roman" w:cs="Times New Roman"/>
          <w:sz w:val="24"/>
          <w:szCs w:val="24"/>
        </w:rPr>
        <w:t xml:space="preserve"> </w:t>
      </w:r>
    </w:p>
    <w:p w14:paraId="13DA085A" w14:textId="50B637C8"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[18] European Committee for Antimicrobial Susceptibility Testing (EUCAST) of the European Society of Clinical Microbiology and Infectious Diseases (ESCMID). (2000). Terminology relating to methods for the determination of susceptibility of bacteria to antimicrobial agents. </w:t>
      </w:r>
      <w:r w:rsidRPr="00C93050">
        <w:rPr>
          <w:rFonts w:ascii="Times New Roman" w:hAnsi="Times New Roman" w:cs="Times New Roman"/>
          <w:i/>
          <w:iCs/>
          <w:sz w:val="24"/>
          <w:szCs w:val="24"/>
        </w:rPr>
        <w:t>Clinical microbiology and infection, 6</w:t>
      </w:r>
      <w:r w:rsidRPr="00C93050">
        <w:rPr>
          <w:rFonts w:ascii="Times New Roman" w:hAnsi="Times New Roman" w:cs="Times New Roman"/>
          <w:sz w:val="24"/>
          <w:szCs w:val="24"/>
        </w:rPr>
        <w:t>(9), 503-508. </w:t>
      </w:r>
      <w:hyperlink r:id="rId15" w:tgtFrame="_blank" w:history="1">
        <w:r w:rsidRPr="00C93050">
          <w:rPr>
            <w:rStyle w:val="Hyperlink"/>
            <w:rFonts w:ascii="Times New Roman" w:hAnsi="Times New Roman" w:cs="Times New Roman"/>
            <w:sz w:val="24"/>
            <w:szCs w:val="24"/>
          </w:rPr>
          <w:t>https://doi.org/10.1046/j.1469-0691.2000.00149.x</w:t>
        </w:r>
      </w:hyperlink>
      <w:r w:rsidRPr="00C93050">
        <w:rPr>
          <w:rFonts w:ascii="Times New Roman" w:hAnsi="Times New Roman" w:cs="Times New Roman"/>
          <w:sz w:val="24"/>
          <w:szCs w:val="24"/>
        </w:rPr>
        <w:t xml:space="preserve"> </w:t>
      </w:r>
    </w:p>
    <w:p w14:paraId="5AE94740" w14:textId="77777777" w:rsidR="0024417C" w:rsidRPr="00C93050" w:rsidRDefault="0083314C" w:rsidP="007428B2">
      <w:pPr>
        <w:jc w:val="both"/>
        <w:rPr>
          <w:rFonts w:ascii="Times New Roman" w:hAnsi="Times New Roman" w:cs="Times New Roman"/>
          <w:sz w:val="24"/>
          <w:szCs w:val="24"/>
          <w:lang w:val="pt-BR"/>
        </w:rPr>
      </w:pPr>
      <w:r w:rsidRPr="00C93050">
        <w:rPr>
          <w:rFonts w:ascii="Times New Roman" w:hAnsi="Times New Roman" w:cs="Times New Roman"/>
          <w:sz w:val="24"/>
          <w:szCs w:val="24"/>
        </w:rPr>
        <w:t>[19] Food and Agriculture Organization of the United Nations (FAO). (2022). </w:t>
      </w:r>
      <w:r w:rsidRPr="00C93050">
        <w:rPr>
          <w:rFonts w:ascii="Times New Roman" w:hAnsi="Times New Roman" w:cs="Times New Roman"/>
          <w:i/>
          <w:iCs/>
          <w:sz w:val="24"/>
          <w:szCs w:val="24"/>
        </w:rPr>
        <w:t>The State of World Fisheries and Aquaculture 2022. Towards Blue Transformation</w:t>
      </w:r>
      <w:r w:rsidRPr="00C93050">
        <w:rPr>
          <w:rFonts w:ascii="Times New Roman" w:hAnsi="Times New Roman" w:cs="Times New Roman"/>
          <w:sz w:val="24"/>
          <w:szCs w:val="24"/>
        </w:rPr>
        <w:t xml:space="preserve">. </w:t>
      </w:r>
      <w:r w:rsidRPr="00C93050">
        <w:rPr>
          <w:rFonts w:ascii="Times New Roman" w:hAnsi="Times New Roman" w:cs="Times New Roman"/>
          <w:sz w:val="24"/>
          <w:szCs w:val="24"/>
          <w:lang w:val="pt-BR"/>
        </w:rPr>
        <w:t>Rome. </w:t>
      </w:r>
      <w:r w:rsidRPr="00C93050">
        <w:rPr>
          <w:rFonts w:ascii="Times New Roman" w:hAnsi="Times New Roman" w:cs="Times New Roman"/>
          <w:sz w:val="24"/>
          <w:szCs w:val="24"/>
        </w:rPr>
        <w:fldChar w:fldCharType="begin"/>
      </w:r>
      <w:r w:rsidRPr="00C93050">
        <w:rPr>
          <w:rFonts w:ascii="Times New Roman" w:hAnsi="Times New Roman" w:cs="Times New Roman"/>
          <w:sz w:val="24"/>
          <w:szCs w:val="24"/>
          <w:lang w:val="pt-BR"/>
        </w:rPr>
        <w:instrText>HYPERLINK "https://doi.org/10.4060/cc0461en" \t "_blank"</w:instrText>
      </w:r>
      <w:r w:rsidRPr="00C93050">
        <w:rPr>
          <w:rFonts w:ascii="Times New Roman" w:hAnsi="Times New Roman" w:cs="Times New Roman"/>
          <w:sz w:val="24"/>
          <w:szCs w:val="24"/>
        </w:rPr>
        <w:fldChar w:fldCharType="separate"/>
      </w:r>
      <w:r w:rsidRPr="00C93050">
        <w:rPr>
          <w:rStyle w:val="Hyperlink"/>
          <w:rFonts w:ascii="Times New Roman" w:hAnsi="Times New Roman" w:cs="Times New Roman"/>
          <w:sz w:val="24"/>
          <w:szCs w:val="24"/>
          <w:lang w:val="pt-BR"/>
        </w:rPr>
        <w:t>https://doi.org/10.4060/cc0461en</w:t>
      </w:r>
      <w:r w:rsidRPr="00C93050">
        <w:rPr>
          <w:rFonts w:ascii="Times New Roman" w:hAnsi="Times New Roman" w:cs="Times New Roman"/>
          <w:sz w:val="24"/>
          <w:szCs w:val="24"/>
        </w:rPr>
        <w:fldChar w:fldCharType="end"/>
      </w:r>
    </w:p>
    <w:p w14:paraId="6BE9ADFD" w14:textId="7A84FCF5"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lang w:val="pt-BR"/>
        </w:rPr>
        <w:t xml:space="preserve">[20] Gupta, S. C., Patchva, S., &amp; Aggarwal, B. B. (2013). </w:t>
      </w:r>
      <w:r w:rsidRPr="00C93050">
        <w:rPr>
          <w:rFonts w:ascii="Times New Roman" w:hAnsi="Times New Roman" w:cs="Times New Roman"/>
          <w:sz w:val="24"/>
          <w:szCs w:val="24"/>
        </w:rPr>
        <w:t>Therapeutic roles of curcumin: Lessons learned from clinical trials. </w:t>
      </w:r>
      <w:r w:rsidRPr="00C93050">
        <w:rPr>
          <w:rFonts w:ascii="Times New Roman" w:hAnsi="Times New Roman" w:cs="Times New Roman"/>
          <w:i/>
          <w:iCs/>
          <w:sz w:val="24"/>
          <w:szCs w:val="24"/>
        </w:rPr>
        <w:t>The AAPS Journal, 15</w:t>
      </w:r>
      <w:r w:rsidRPr="00C93050">
        <w:rPr>
          <w:rFonts w:ascii="Times New Roman" w:hAnsi="Times New Roman" w:cs="Times New Roman"/>
          <w:sz w:val="24"/>
          <w:szCs w:val="24"/>
        </w:rPr>
        <w:t>(1), 195–218.</w:t>
      </w:r>
    </w:p>
    <w:p w14:paraId="15713A75" w14:textId="77777777"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 xml:space="preserve">[21] Hoffmann, H., </w:t>
      </w:r>
      <w:proofErr w:type="spellStart"/>
      <w:r w:rsidRPr="00C93050">
        <w:rPr>
          <w:rFonts w:ascii="Times New Roman" w:hAnsi="Times New Roman" w:cs="Times New Roman"/>
          <w:sz w:val="24"/>
          <w:szCs w:val="24"/>
        </w:rPr>
        <w:t>Stindl</w:t>
      </w:r>
      <w:proofErr w:type="spellEnd"/>
      <w:r w:rsidRPr="00C93050">
        <w:rPr>
          <w:rFonts w:ascii="Times New Roman" w:hAnsi="Times New Roman" w:cs="Times New Roman"/>
          <w:sz w:val="24"/>
          <w:szCs w:val="24"/>
        </w:rPr>
        <w:t xml:space="preserve">, S., Stumpf, A., Mehlen, A., </w:t>
      </w:r>
      <w:proofErr w:type="spellStart"/>
      <w:r w:rsidRPr="00C93050">
        <w:rPr>
          <w:rFonts w:ascii="Times New Roman" w:hAnsi="Times New Roman" w:cs="Times New Roman"/>
          <w:sz w:val="24"/>
          <w:szCs w:val="24"/>
        </w:rPr>
        <w:t>Monget</w:t>
      </w:r>
      <w:proofErr w:type="spellEnd"/>
      <w:r w:rsidRPr="00C93050">
        <w:rPr>
          <w:rFonts w:ascii="Times New Roman" w:hAnsi="Times New Roman" w:cs="Times New Roman"/>
          <w:sz w:val="24"/>
          <w:szCs w:val="24"/>
        </w:rPr>
        <w:t xml:space="preserve">, D., </w:t>
      </w:r>
      <w:proofErr w:type="spellStart"/>
      <w:r w:rsidRPr="00C93050">
        <w:rPr>
          <w:rFonts w:ascii="Times New Roman" w:hAnsi="Times New Roman" w:cs="Times New Roman"/>
          <w:sz w:val="24"/>
          <w:szCs w:val="24"/>
        </w:rPr>
        <w:t>Heesemann</w:t>
      </w:r>
      <w:proofErr w:type="spellEnd"/>
      <w:r w:rsidRPr="00C93050">
        <w:rPr>
          <w:rFonts w:ascii="Times New Roman" w:hAnsi="Times New Roman" w:cs="Times New Roman"/>
          <w:sz w:val="24"/>
          <w:szCs w:val="24"/>
        </w:rPr>
        <w:t xml:space="preserve">, J., ... &amp; Roggenkamp, A. (2005). Description of </w:t>
      </w:r>
      <w:r w:rsidRPr="00C93050">
        <w:rPr>
          <w:rFonts w:ascii="Times New Roman" w:hAnsi="Times New Roman" w:cs="Times New Roman"/>
          <w:i/>
          <w:iCs/>
          <w:sz w:val="24"/>
          <w:szCs w:val="24"/>
        </w:rPr>
        <w:t xml:space="preserve">Enterobacter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xml:space="preserve"> sp. </w:t>
      </w:r>
      <w:proofErr w:type="spellStart"/>
      <w:r w:rsidRPr="00C93050">
        <w:rPr>
          <w:rFonts w:ascii="Times New Roman" w:hAnsi="Times New Roman" w:cs="Times New Roman"/>
          <w:sz w:val="24"/>
          <w:szCs w:val="24"/>
        </w:rPr>
        <w:t>nov.</w:t>
      </w:r>
      <w:proofErr w:type="spellEnd"/>
      <w:r w:rsidRPr="00C93050">
        <w:rPr>
          <w:rFonts w:ascii="Times New Roman" w:hAnsi="Times New Roman" w:cs="Times New Roman"/>
          <w:sz w:val="24"/>
          <w:szCs w:val="24"/>
        </w:rPr>
        <w:t>, a novel Enterobacter species of clinical relevance. </w:t>
      </w:r>
      <w:r w:rsidRPr="00C93050">
        <w:rPr>
          <w:rFonts w:ascii="Times New Roman" w:hAnsi="Times New Roman" w:cs="Times New Roman"/>
          <w:i/>
          <w:iCs/>
          <w:sz w:val="24"/>
          <w:szCs w:val="24"/>
        </w:rPr>
        <w:t>Systematic and applied microbiology, 28</w:t>
      </w:r>
      <w:r w:rsidRPr="00C93050">
        <w:rPr>
          <w:rFonts w:ascii="Times New Roman" w:hAnsi="Times New Roman" w:cs="Times New Roman"/>
          <w:sz w:val="24"/>
          <w:szCs w:val="24"/>
        </w:rPr>
        <w:t>(3), 206-212. </w:t>
      </w:r>
      <w:hyperlink r:id="rId16" w:tgtFrame="_blank" w:history="1">
        <w:r w:rsidRPr="00C93050">
          <w:rPr>
            <w:rStyle w:val="Hyperlink"/>
            <w:rFonts w:ascii="Times New Roman" w:hAnsi="Times New Roman" w:cs="Times New Roman"/>
            <w:sz w:val="24"/>
            <w:szCs w:val="24"/>
          </w:rPr>
          <w:t>https://doi.org/10.1016/j.syapm.2004.12.009</w:t>
        </w:r>
      </w:hyperlink>
    </w:p>
    <w:p w14:paraId="323BF94C" w14:textId="254CFC21"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[22] Holt, J. G., Krieg, N. R., Sneath, P. H. A., Staley, J. T., &amp; Williams, S. T. (1994). </w:t>
      </w:r>
      <w:r w:rsidRPr="00C93050">
        <w:rPr>
          <w:rFonts w:ascii="Times New Roman" w:hAnsi="Times New Roman" w:cs="Times New Roman"/>
          <w:i/>
          <w:iCs/>
          <w:sz w:val="24"/>
          <w:szCs w:val="24"/>
        </w:rPr>
        <w:t>Bergey’s Manual of Determinative Bacteriology</w:t>
      </w:r>
      <w:r w:rsidRPr="00C93050">
        <w:rPr>
          <w:rFonts w:ascii="Times New Roman" w:hAnsi="Times New Roman" w:cs="Times New Roman"/>
          <w:sz w:val="24"/>
          <w:szCs w:val="24"/>
        </w:rPr>
        <w:t> (9th ed.). Williams &amp; Wilkins.</w:t>
      </w:r>
    </w:p>
    <w:p w14:paraId="12575DD9" w14:textId="77777777" w:rsidR="00A3109A"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 xml:space="preserve">[23] </w:t>
      </w:r>
      <w:r w:rsidR="00A3109A" w:rsidRPr="00C93050">
        <w:rPr>
          <w:rFonts w:ascii="Times New Roman" w:hAnsi="Times New Roman" w:cs="Times New Roman"/>
          <w:sz w:val="24"/>
          <w:szCs w:val="24"/>
        </w:rPr>
        <w:t xml:space="preserve">Abdel‐Tawwab, M., &amp; Abbass, F. E. (2017). Turmeric powder, </w:t>
      </w:r>
      <w:r w:rsidR="00A3109A" w:rsidRPr="00C93050">
        <w:rPr>
          <w:rFonts w:ascii="Times New Roman" w:hAnsi="Times New Roman" w:cs="Times New Roman"/>
          <w:i/>
          <w:iCs/>
          <w:sz w:val="24"/>
          <w:szCs w:val="24"/>
        </w:rPr>
        <w:t>Curcuma longa</w:t>
      </w:r>
      <w:r w:rsidR="00A3109A" w:rsidRPr="00C93050">
        <w:rPr>
          <w:rFonts w:ascii="Times New Roman" w:hAnsi="Times New Roman" w:cs="Times New Roman"/>
          <w:sz w:val="24"/>
          <w:szCs w:val="24"/>
        </w:rPr>
        <w:t xml:space="preserve"> L., in common carp, </w:t>
      </w:r>
      <w:r w:rsidR="00A3109A" w:rsidRPr="00C93050">
        <w:rPr>
          <w:rFonts w:ascii="Times New Roman" w:hAnsi="Times New Roman" w:cs="Times New Roman"/>
          <w:i/>
          <w:iCs/>
          <w:sz w:val="24"/>
          <w:szCs w:val="24"/>
        </w:rPr>
        <w:t>Cyprinus carpio</w:t>
      </w:r>
      <w:r w:rsidR="00A3109A" w:rsidRPr="00C93050">
        <w:rPr>
          <w:rFonts w:ascii="Times New Roman" w:hAnsi="Times New Roman" w:cs="Times New Roman"/>
          <w:sz w:val="24"/>
          <w:szCs w:val="24"/>
        </w:rPr>
        <w:t xml:space="preserve"> L., diets: growth performance, innate immunity, and challenge against pathogenic </w:t>
      </w:r>
      <w:r w:rsidR="00A3109A" w:rsidRPr="00C93050">
        <w:rPr>
          <w:rFonts w:ascii="Times New Roman" w:hAnsi="Times New Roman" w:cs="Times New Roman"/>
          <w:i/>
          <w:iCs/>
          <w:sz w:val="24"/>
          <w:szCs w:val="24"/>
        </w:rPr>
        <w:t xml:space="preserve">Aeromonas </w:t>
      </w:r>
      <w:proofErr w:type="spellStart"/>
      <w:r w:rsidR="00A3109A" w:rsidRPr="00C93050">
        <w:rPr>
          <w:rFonts w:ascii="Times New Roman" w:hAnsi="Times New Roman" w:cs="Times New Roman"/>
          <w:i/>
          <w:iCs/>
          <w:sz w:val="24"/>
          <w:szCs w:val="24"/>
        </w:rPr>
        <w:t>hydrophila</w:t>
      </w:r>
      <w:proofErr w:type="spellEnd"/>
      <w:r w:rsidR="00A3109A" w:rsidRPr="00C93050">
        <w:rPr>
          <w:rFonts w:ascii="Times New Roman" w:hAnsi="Times New Roman" w:cs="Times New Roman"/>
          <w:sz w:val="24"/>
          <w:szCs w:val="24"/>
        </w:rPr>
        <w:t xml:space="preserve"> infection. </w:t>
      </w:r>
      <w:r w:rsidR="00A3109A" w:rsidRPr="00C93050">
        <w:rPr>
          <w:rFonts w:ascii="Times New Roman" w:hAnsi="Times New Roman" w:cs="Times New Roman"/>
          <w:i/>
          <w:iCs/>
          <w:sz w:val="24"/>
          <w:szCs w:val="24"/>
        </w:rPr>
        <w:t>Journal of the World Aquaculture Society</w:t>
      </w:r>
      <w:r w:rsidR="00A3109A" w:rsidRPr="00C93050">
        <w:rPr>
          <w:rFonts w:ascii="Times New Roman" w:hAnsi="Times New Roman" w:cs="Times New Roman"/>
          <w:sz w:val="24"/>
          <w:szCs w:val="24"/>
        </w:rPr>
        <w:t>, </w:t>
      </w:r>
      <w:r w:rsidR="00A3109A" w:rsidRPr="00C93050">
        <w:rPr>
          <w:rFonts w:ascii="Times New Roman" w:hAnsi="Times New Roman" w:cs="Times New Roman"/>
          <w:i/>
          <w:iCs/>
          <w:sz w:val="24"/>
          <w:szCs w:val="24"/>
        </w:rPr>
        <w:t>48</w:t>
      </w:r>
      <w:r w:rsidR="00A3109A" w:rsidRPr="00C93050">
        <w:rPr>
          <w:rFonts w:ascii="Times New Roman" w:hAnsi="Times New Roman" w:cs="Times New Roman"/>
          <w:sz w:val="24"/>
          <w:szCs w:val="24"/>
        </w:rPr>
        <w:t xml:space="preserve">(2), 303-312. </w:t>
      </w:r>
    </w:p>
    <w:p w14:paraId="3784BE69" w14:textId="2CCE1461" w:rsidR="005D4080"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 xml:space="preserve">[24] </w:t>
      </w:r>
      <w:proofErr w:type="spellStart"/>
      <w:r w:rsidR="005D4080" w:rsidRPr="00C93050">
        <w:rPr>
          <w:rFonts w:ascii="Times New Roman" w:hAnsi="Times New Roman" w:cs="Times New Roman"/>
          <w:sz w:val="24"/>
          <w:szCs w:val="24"/>
        </w:rPr>
        <w:t>Manageiro</w:t>
      </w:r>
      <w:proofErr w:type="spellEnd"/>
      <w:r w:rsidR="005D4080" w:rsidRPr="00C93050">
        <w:rPr>
          <w:rFonts w:ascii="Times New Roman" w:hAnsi="Times New Roman" w:cs="Times New Roman"/>
          <w:sz w:val="24"/>
          <w:szCs w:val="24"/>
        </w:rPr>
        <w:t xml:space="preserve">, V., Salgueiro, V., Rosado, T., Bandarra, N. M., Ferreira, E., Smith, T., ... &amp; Caniça, M. (2022). Genomic analysis of a mcr-9.1-harbouring IncHI2-ST1 plasmid from </w:t>
      </w:r>
      <w:r w:rsidR="005D4080" w:rsidRPr="00C93050">
        <w:rPr>
          <w:rFonts w:ascii="Times New Roman" w:hAnsi="Times New Roman" w:cs="Times New Roman"/>
          <w:i/>
          <w:iCs/>
          <w:sz w:val="24"/>
          <w:szCs w:val="24"/>
        </w:rPr>
        <w:t xml:space="preserve">Enterobacter </w:t>
      </w:r>
      <w:proofErr w:type="spellStart"/>
      <w:r w:rsidR="005D4080" w:rsidRPr="00C93050">
        <w:rPr>
          <w:rFonts w:ascii="Times New Roman" w:hAnsi="Times New Roman" w:cs="Times New Roman"/>
          <w:i/>
          <w:iCs/>
          <w:sz w:val="24"/>
          <w:szCs w:val="24"/>
        </w:rPr>
        <w:t>ludwigii</w:t>
      </w:r>
      <w:proofErr w:type="spellEnd"/>
      <w:r w:rsidR="005D4080" w:rsidRPr="00C93050">
        <w:rPr>
          <w:rFonts w:ascii="Times New Roman" w:hAnsi="Times New Roman" w:cs="Times New Roman"/>
          <w:sz w:val="24"/>
          <w:szCs w:val="24"/>
        </w:rPr>
        <w:t xml:space="preserve"> isolated in fish farming. </w:t>
      </w:r>
      <w:r w:rsidR="005D4080" w:rsidRPr="00C93050">
        <w:rPr>
          <w:rFonts w:ascii="Times New Roman" w:hAnsi="Times New Roman" w:cs="Times New Roman"/>
          <w:i/>
          <w:iCs/>
          <w:sz w:val="24"/>
          <w:szCs w:val="24"/>
        </w:rPr>
        <w:t>Antibiotics</w:t>
      </w:r>
      <w:r w:rsidR="005D4080" w:rsidRPr="00C93050">
        <w:rPr>
          <w:rFonts w:ascii="Times New Roman" w:hAnsi="Times New Roman" w:cs="Times New Roman"/>
          <w:sz w:val="24"/>
          <w:szCs w:val="24"/>
        </w:rPr>
        <w:t>, </w:t>
      </w:r>
      <w:r w:rsidR="005D4080" w:rsidRPr="00C93050">
        <w:rPr>
          <w:rFonts w:ascii="Times New Roman" w:hAnsi="Times New Roman" w:cs="Times New Roman"/>
          <w:i/>
          <w:iCs/>
          <w:sz w:val="24"/>
          <w:szCs w:val="24"/>
        </w:rPr>
        <w:t>11</w:t>
      </w:r>
      <w:r w:rsidR="005D4080" w:rsidRPr="00C93050">
        <w:rPr>
          <w:rFonts w:ascii="Times New Roman" w:hAnsi="Times New Roman" w:cs="Times New Roman"/>
          <w:sz w:val="24"/>
          <w:szCs w:val="24"/>
        </w:rPr>
        <w:t>(9), 1232.</w:t>
      </w:r>
    </w:p>
    <w:p w14:paraId="2D6112D5" w14:textId="756825F2"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 xml:space="preserve">[25] Mezzatesta, M. L., Gona, F., &amp; Stefani, S. (2012). </w:t>
      </w:r>
      <w:r w:rsidRPr="00C93050">
        <w:rPr>
          <w:rFonts w:ascii="Times New Roman" w:hAnsi="Times New Roman" w:cs="Times New Roman"/>
          <w:i/>
          <w:iCs/>
          <w:sz w:val="24"/>
          <w:szCs w:val="24"/>
        </w:rPr>
        <w:t>Enterobacter cloacae complex</w:t>
      </w:r>
      <w:r w:rsidRPr="00C93050">
        <w:rPr>
          <w:rFonts w:ascii="Times New Roman" w:hAnsi="Times New Roman" w:cs="Times New Roman"/>
          <w:sz w:val="24"/>
          <w:szCs w:val="24"/>
        </w:rPr>
        <w:t>: Clinical impact and emerging antibiotic resistance. </w:t>
      </w:r>
      <w:r w:rsidRPr="00C93050">
        <w:rPr>
          <w:rFonts w:ascii="Times New Roman" w:hAnsi="Times New Roman" w:cs="Times New Roman"/>
          <w:i/>
          <w:iCs/>
          <w:sz w:val="24"/>
          <w:szCs w:val="24"/>
        </w:rPr>
        <w:t>Future Microbiology, 7</w:t>
      </w:r>
      <w:r w:rsidRPr="00C93050">
        <w:rPr>
          <w:rFonts w:ascii="Times New Roman" w:hAnsi="Times New Roman" w:cs="Times New Roman"/>
          <w:sz w:val="24"/>
          <w:szCs w:val="24"/>
        </w:rPr>
        <w:t>(7), 887–902. </w:t>
      </w:r>
      <w:hyperlink r:id="rId17" w:tgtFrame="_blank" w:history="1">
        <w:r w:rsidRPr="00C93050">
          <w:rPr>
            <w:rStyle w:val="Hyperlink"/>
            <w:rFonts w:ascii="Times New Roman" w:hAnsi="Times New Roman" w:cs="Times New Roman"/>
            <w:sz w:val="24"/>
            <w:szCs w:val="24"/>
          </w:rPr>
          <w:t>https://doi.org/10.2217/fmb.12.61</w:t>
        </w:r>
      </w:hyperlink>
    </w:p>
    <w:p w14:paraId="405C1AAB" w14:textId="33DC6462"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[26] Noga, E. J. (2010). </w:t>
      </w:r>
      <w:r w:rsidRPr="00C93050">
        <w:rPr>
          <w:rFonts w:ascii="Times New Roman" w:hAnsi="Times New Roman" w:cs="Times New Roman"/>
          <w:i/>
          <w:iCs/>
          <w:sz w:val="24"/>
          <w:szCs w:val="24"/>
        </w:rPr>
        <w:t>Fish Disease: Diagnosis and Treatment</w:t>
      </w:r>
      <w:r w:rsidRPr="00C93050">
        <w:rPr>
          <w:rFonts w:ascii="Times New Roman" w:hAnsi="Times New Roman" w:cs="Times New Roman"/>
          <w:sz w:val="24"/>
          <w:szCs w:val="24"/>
        </w:rPr>
        <w:t> (2nd ed.). Wiley-Blackwell.</w:t>
      </w:r>
    </w:p>
    <w:p w14:paraId="2A0BE794" w14:textId="4AEEA5D1"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[27] Pankey, G. A., &amp; Sabath, L. D. (2004). Clinical relevance of bacteriostatic versus bactericidal mechanisms of action in the treatment of Gram-positive bacterial infections. </w:t>
      </w:r>
      <w:r w:rsidRPr="00C93050">
        <w:rPr>
          <w:rFonts w:ascii="Times New Roman" w:hAnsi="Times New Roman" w:cs="Times New Roman"/>
          <w:i/>
          <w:iCs/>
          <w:sz w:val="24"/>
          <w:szCs w:val="24"/>
        </w:rPr>
        <w:t>Clinical Infectious Diseases, 38</w:t>
      </w:r>
      <w:r w:rsidRPr="00C93050">
        <w:rPr>
          <w:rFonts w:ascii="Times New Roman" w:hAnsi="Times New Roman" w:cs="Times New Roman"/>
          <w:sz w:val="24"/>
          <w:szCs w:val="24"/>
        </w:rPr>
        <w:t>(6), 864-870. </w:t>
      </w:r>
      <w:hyperlink r:id="rId18" w:tgtFrame="_blank" w:history="1">
        <w:r w:rsidRPr="00C93050">
          <w:rPr>
            <w:rStyle w:val="Hyperlink"/>
            <w:rFonts w:ascii="Times New Roman" w:hAnsi="Times New Roman" w:cs="Times New Roman"/>
            <w:sz w:val="24"/>
            <w:szCs w:val="24"/>
          </w:rPr>
          <w:t>https://doi.org/10.1086/381972</w:t>
        </w:r>
      </w:hyperlink>
    </w:p>
    <w:p w14:paraId="6EDA6201" w14:textId="2903E130"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lastRenderedPageBreak/>
        <w:t>[28] Prasad, S., Tyagi, A. K., &amp; Aggarwal, B. B. (2014). Recent developments in delivery, bioavailability, absorption and metabolism of curcumin: the golden pigment from golden spice. </w:t>
      </w:r>
      <w:r w:rsidRPr="00C93050">
        <w:rPr>
          <w:rFonts w:ascii="Times New Roman" w:hAnsi="Times New Roman" w:cs="Times New Roman"/>
          <w:i/>
          <w:iCs/>
          <w:sz w:val="24"/>
          <w:szCs w:val="24"/>
        </w:rPr>
        <w:t>Cancer research and treatment: official journal of Korean Cancer Association, 46</w:t>
      </w:r>
      <w:r w:rsidRPr="00C93050">
        <w:rPr>
          <w:rFonts w:ascii="Times New Roman" w:hAnsi="Times New Roman" w:cs="Times New Roman"/>
          <w:sz w:val="24"/>
          <w:szCs w:val="24"/>
        </w:rPr>
        <w:t>(1), 2-18.</w:t>
      </w:r>
    </w:p>
    <w:p w14:paraId="26BA34C1" w14:textId="4E6F986C"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lang w:val="pt-BR"/>
        </w:rPr>
        <w:t xml:space="preserve">[29] </w:t>
      </w:r>
      <w:r w:rsidR="006B7CA0" w:rsidRPr="00C93050">
        <w:rPr>
          <w:rFonts w:ascii="Times New Roman" w:hAnsi="Times New Roman" w:cs="Times New Roman"/>
          <w:sz w:val="24"/>
          <w:szCs w:val="24"/>
          <w:lang w:val="pt-BR"/>
        </w:rPr>
        <w:t xml:space="preserve">Preena, P. G., Dharmaratnam, A., Raj, N. S., Raja, S. A., Nair, R. R., &amp; Swaminathan, T. R. (2021). </w:t>
      </w:r>
      <w:r w:rsidR="006B7CA0" w:rsidRPr="00C93050">
        <w:rPr>
          <w:rFonts w:ascii="Times New Roman" w:hAnsi="Times New Roman" w:cs="Times New Roman"/>
          <w:sz w:val="24"/>
          <w:szCs w:val="24"/>
        </w:rPr>
        <w:t>Antibiotic-resistant Enterobacteriaceae from diseased freshwater goldfish. </w:t>
      </w:r>
      <w:r w:rsidR="006B7CA0" w:rsidRPr="00C93050">
        <w:rPr>
          <w:rFonts w:ascii="Times New Roman" w:hAnsi="Times New Roman" w:cs="Times New Roman"/>
          <w:i/>
          <w:iCs/>
          <w:sz w:val="24"/>
          <w:szCs w:val="24"/>
        </w:rPr>
        <w:t>Archives of Microbiology</w:t>
      </w:r>
      <w:r w:rsidR="006B7CA0" w:rsidRPr="00C93050">
        <w:rPr>
          <w:rFonts w:ascii="Times New Roman" w:hAnsi="Times New Roman" w:cs="Times New Roman"/>
          <w:sz w:val="24"/>
          <w:szCs w:val="24"/>
        </w:rPr>
        <w:t>, </w:t>
      </w:r>
      <w:r w:rsidR="006B7CA0" w:rsidRPr="00C93050">
        <w:rPr>
          <w:rFonts w:ascii="Times New Roman" w:hAnsi="Times New Roman" w:cs="Times New Roman"/>
          <w:i/>
          <w:iCs/>
          <w:sz w:val="24"/>
          <w:szCs w:val="24"/>
        </w:rPr>
        <w:t>203</w:t>
      </w:r>
      <w:r w:rsidR="006B7CA0" w:rsidRPr="00C93050">
        <w:rPr>
          <w:rFonts w:ascii="Times New Roman" w:hAnsi="Times New Roman" w:cs="Times New Roman"/>
          <w:sz w:val="24"/>
          <w:szCs w:val="24"/>
        </w:rPr>
        <w:t xml:space="preserve">(1), 219-231. </w:t>
      </w:r>
    </w:p>
    <w:p w14:paraId="045603F2" w14:textId="77777777"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lang w:val="pt-BR"/>
        </w:rPr>
        <w:t xml:space="preserve">[30] Reverter, M., Sarter, S., Caruso, D., Avarre, J. C., Combe, M., Pepey, E., ... </w:t>
      </w:r>
      <w:r w:rsidRPr="00C93050">
        <w:rPr>
          <w:rFonts w:ascii="Times New Roman" w:hAnsi="Times New Roman" w:cs="Times New Roman"/>
          <w:sz w:val="24"/>
          <w:szCs w:val="24"/>
        </w:rPr>
        <w:t xml:space="preserve">&amp; </w:t>
      </w:r>
      <w:proofErr w:type="spellStart"/>
      <w:r w:rsidRPr="00C93050">
        <w:rPr>
          <w:rFonts w:ascii="Times New Roman" w:hAnsi="Times New Roman" w:cs="Times New Roman"/>
          <w:sz w:val="24"/>
          <w:szCs w:val="24"/>
        </w:rPr>
        <w:t>Gozlan</w:t>
      </w:r>
      <w:proofErr w:type="spellEnd"/>
      <w:r w:rsidRPr="00C93050">
        <w:rPr>
          <w:rFonts w:ascii="Times New Roman" w:hAnsi="Times New Roman" w:cs="Times New Roman"/>
          <w:sz w:val="24"/>
          <w:szCs w:val="24"/>
        </w:rPr>
        <w:t>, R. E. (2020). Aquaculture at the crossroads of global warming and antimicrobial resistance. </w:t>
      </w:r>
      <w:r w:rsidRPr="00C93050">
        <w:rPr>
          <w:rFonts w:ascii="Times New Roman" w:hAnsi="Times New Roman" w:cs="Times New Roman"/>
          <w:i/>
          <w:iCs/>
          <w:sz w:val="24"/>
          <w:szCs w:val="24"/>
        </w:rPr>
        <w:t>Nature communications, 11</w:t>
      </w:r>
      <w:r w:rsidRPr="00C93050">
        <w:rPr>
          <w:rFonts w:ascii="Times New Roman" w:hAnsi="Times New Roman" w:cs="Times New Roman"/>
          <w:sz w:val="24"/>
          <w:szCs w:val="24"/>
        </w:rPr>
        <w:t>(1), 1870. </w:t>
      </w:r>
      <w:hyperlink r:id="rId19" w:tgtFrame="_blank" w:history="1">
        <w:r w:rsidRPr="00C93050">
          <w:rPr>
            <w:rStyle w:val="Hyperlink"/>
            <w:rFonts w:ascii="Times New Roman" w:hAnsi="Times New Roman" w:cs="Times New Roman"/>
            <w:sz w:val="24"/>
            <w:szCs w:val="24"/>
          </w:rPr>
          <w:t>https://doi.org/10.1038/s41467-020-15735-6</w:t>
        </w:r>
      </w:hyperlink>
    </w:p>
    <w:p w14:paraId="21179746" w14:textId="77777777"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[31] Roberts, R. J. (2012). Bacterial diseases of fish. In </w:t>
      </w:r>
      <w:r w:rsidRPr="00C93050">
        <w:rPr>
          <w:rFonts w:ascii="Times New Roman" w:hAnsi="Times New Roman" w:cs="Times New Roman"/>
          <w:i/>
          <w:iCs/>
          <w:sz w:val="24"/>
          <w:szCs w:val="24"/>
        </w:rPr>
        <w:t>Fish Pathology</w:t>
      </w:r>
      <w:r w:rsidRPr="00C93050">
        <w:rPr>
          <w:rFonts w:ascii="Times New Roman" w:hAnsi="Times New Roman" w:cs="Times New Roman"/>
          <w:sz w:val="24"/>
          <w:szCs w:val="24"/>
        </w:rPr>
        <w:t> (4th ed., pp. 339–382). Wiley-Blackwell.</w:t>
      </w:r>
    </w:p>
    <w:p w14:paraId="220A7ACF" w14:textId="77777777"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[32] Romero, J., Feijoo, C. G., &amp; Navarrete, P. (2012). Antibiotics in aquaculture – Use, abuse and alternatives. In C. Carvalho (Ed.), </w:t>
      </w:r>
      <w:r w:rsidRPr="00C93050">
        <w:rPr>
          <w:rFonts w:ascii="Times New Roman" w:hAnsi="Times New Roman" w:cs="Times New Roman"/>
          <w:i/>
          <w:iCs/>
          <w:sz w:val="24"/>
          <w:szCs w:val="24"/>
        </w:rPr>
        <w:t>Health and Environment in Aquaculture</w:t>
      </w:r>
      <w:r w:rsidRPr="00C93050">
        <w:rPr>
          <w:rFonts w:ascii="Times New Roman" w:hAnsi="Times New Roman" w:cs="Times New Roman"/>
          <w:sz w:val="24"/>
          <w:szCs w:val="24"/>
        </w:rPr>
        <w:t xml:space="preserve"> (pp. 159–198). </w:t>
      </w:r>
      <w:proofErr w:type="spellStart"/>
      <w:r w:rsidRPr="00C93050">
        <w:rPr>
          <w:rFonts w:ascii="Times New Roman" w:hAnsi="Times New Roman" w:cs="Times New Roman"/>
          <w:sz w:val="24"/>
          <w:szCs w:val="24"/>
        </w:rPr>
        <w:t>IntechOpen</w:t>
      </w:r>
      <w:proofErr w:type="spellEnd"/>
      <w:r w:rsidRPr="00C93050">
        <w:rPr>
          <w:rFonts w:ascii="Times New Roman" w:hAnsi="Times New Roman" w:cs="Times New Roman"/>
          <w:sz w:val="24"/>
          <w:szCs w:val="24"/>
        </w:rPr>
        <w:t>. </w:t>
      </w:r>
      <w:hyperlink r:id="rId20" w:tgtFrame="_blank" w:history="1">
        <w:r w:rsidRPr="00C93050">
          <w:rPr>
            <w:rStyle w:val="Hyperlink"/>
            <w:rFonts w:ascii="Times New Roman" w:hAnsi="Times New Roman" w:cs="Times New Roman"/>
            <w:sz w:val="24"/>
            <w:szCs w:val="24"/>
          </w:rPr>
          <w:t>https://doi.org/10.5772/28157</w:t>
        </w:r>
      </w:hyperlink>
    </w:p>
    <w:p w14:paraId="690E2A4D" w14:textId="59EADC18"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 xml:space="preserve">[33] Saitou, N., &amp; Nei, M. (1987). The </w:t>
      </w:r>
      <w:proofErr w:type="spellStart"/>
      <w:r w:rsidRPr="00C93050">
        <w:rPr>
          <w:rFonts w:ascii="Times New Roman" w:hAnsi="Times New Roman" w:cs="Times New Roman"/>
          <w:sz w:val="24"/>
          <w:szCs w:val="24"/>
        </w:rPr>
        <w:t>neighbor</w:t>
      </w:r>
      <w:proofErr w:type="spellEnd"/>
      <w:r w:rsidRPr="00C93050">
        <w:rPr>
          <w:rFonts w:ascii="Times New Roman" w:hAnsi="Times New Roman" w:cs="Times New Roman"/>
          <w:sz w:val="24"/>
          <w:szCs w:val="24"/>
        </w:rPr>
        <w:t>-joining method: a new method for reconstructing phylogenetic trees. </w:t>
      </w:r>
      <w:r w:rsidRPr="00C93050">
        <w:rPr>
          <w:rFonts w:ascii="Times New Roman" w:hAnsi="Times New Roman" w:cs="Times New Roman"/>
          <w:i/>
          <w:iCs/>
          <w:sz w:val="24"/>
          <w:szCs w:val="24"/>
        </w:rPr>
        <w:t>Molecular biology and evolution, 4</w:t>
      </w:r>
      <w:r w:rsidRPr="00C93050">
        <w:rPr>
          <w:rFonts w:ascii="Times New Roman" w:hAnsi="Times New Roman" w:cs="Times New Roman"/>
          <w:sz w:val="24"/>
          <w:szCs w:val="24"/>
        </w:rPr>
        <w:t>(4), 406-425. </w:t>
      </w:r>
      <w:hyperlink r:id="rId21" w:tgtFrame="_blank" w:history="1">
        <w:r w:rsidRPr="00C93050">
          <w:rPr>
            <w:rStyle w:val="Hyperlink"/>
            <w:rFonts w:ascii="Times New Roman" w:hAnsi="Times New Roman" w:cs="Times New Roman"/>
            <w:sz w:val="24"/>
            <w:szCs w:val="24"/>
          </w:rPr>
          <w:t>https://doi.org/10.1093/oxfordjournals.molbev.a040454</w:t>
        </w:r>
      </w:hyperlink>
    </w:p>
    <w:p w14:paraId="3E40E6C1" w14:textId="77777777"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 xml:space="preserve">[34] Stentiford, G. D., </w:t>
      </w:r>
      <w:proofErr w:type="spellStart"/>
      <w:r w:rsidRPr="00C93050">
        <w:rPr>
          <w:rFonts w:ascii="Times New Roman" w:hAnsi="Times New Roman" w:cs="Times New Roman"/>
          <w:sz w:val="24"/>
          <w:szCs w:val="24"/>
        </w:rPr>
        <w:t>Sritunyalucksana</w:t>
      </w:r>
      <w:proofErr w:type="spellEnd"/>
      <w:r w:rsidRPr="00C93050">
        <w:rPr>
          <w:rFonts w:ascii="Times New Roman" w:hAnsi="Times New Roman" w:cs="Times New Roman"/>
          <w:sz w:val="24"/>
          <w:szCs w:val="24"/>
        </w:rPr>
        <w:t xml:space="preserve">, K., Flegel, T. W., Williams, B. A., </w:t>
      </w:r>
      <w:proofErr w:type="spellStart"/>
      <w:r w:rsidRPr="00C93050">
        <w:rPr>
          <w:rFonts w:ascii="Times New Roman" w:hAnsi="Times New Roman" w:cs="Times New Roman"/>
          <w:sz w:val="24"/>
          <w:szCs w:val="24"/>
        </w:rPr>
        <w:t>Withyachumnarnkul</w:t>
      </w:r>
      <w:proofErr w:type="spellEnd"/>
      <w:r w:rsidRPr="00C93050">
        <w:rPr>
          <w:rFonts w:ascii="Times New Roman" w:hAnsi="Times New Roman" w:cs="Times New Roman"/>
          <w:sz w:val="24"/>
          <w:szCs w:val="24"/>
        </w:rPr>
        <w:t xml:space="preserve">, B., </w:t>
      </w:r>
      <w:proofErr w:type="spellStart"/>
      <w:r w:rsidRPr="00C93050">
        <w:rPr>
          <w:rFonts w:ascii="Times New Roman" w:hAnsi="Times New Roman" w:cs="Times New Roman"/>
          <w:sz w:val="24"/>
          <w:szCs w:val="24"/>
        </w:rPr>
        <w:t>Itsathitphaisarn</w:t>
      </w:r>
      <w:proofErr w:type="spellEnd"/>
      <w:r w:rsidRPr="00C93050">
        <w:rPr>
          <w:rFonts w:ascii="Times New Roman" w:hAnsi="Times New Roman" w:cs="Times New Roman"/>
          <w:sz w:val="24"/>
          <w:szCs w:val="24"/>
        </w:rPr>
        <w:t>, O., &amp; Bass, D. (2017). New paradigms to help solve the global aquaculture disease crisis. </w:t>
      </w:r>
      <w:proofErr w:type="spellStart"/>
      <w:r w:rsidRPr="00C93050">
        <w:rPr>
          <w:rFonts w:ascii="Times New Roman" w:hAnsi="Times New Roman" w:cs="Times New Roman"/>
          <w:i/>
          <w:iCs/>
          <w:sz w:val="24"/>
          <w:szCs w:val="24"/>
        </w:rPr>
        <w:t>PLoS</w:t>
      </w:r>
      <w:proofErr w:type="spellEnd"/>
      <w:r w:rsidRPr="00C93050">
        <w:rPr>
          <w:rFonts w:ascii="Times New Roman" w:hAnsi="Times New Roman" w:cs="Times New Roman"/>
          <w:i/>
          <w:iCs/>
          <w:sz w:val="24"/>
          <w:szCs w:val="24"/>
        </w:rPr>
        <w:t xml:space="preserve"> pathogens, 13</w:t>
      </w:r>
      <w:r w:rsidRPr="00C93050">
        <w:rPr>
          <w:rFonts w:ascii="Times New Roman" w:hAnsi="Times New Roman" w:cs="Times New Roman"/>
          <w:sz w:val="24"/>
          <w:szCs w:val="24"/>
        </w:rPr>
        <w:t>(2), e1006160. </w:t>
      </w:r>
      <w:hyperlink r:id="rId22" w:tgtFrame="_blank" w:history="1">
        <w:r w:rsidRPr="00C93050">
          <w:rPr>
            <w:rStyle w:val="Hyperlink"/>
            <w:rFonts w:ascii="Times New Roman" w:hAnsi="Times New Roman" w:cs="Times New Roman"/>
            <w:sz w:val="24"/>
            <w:szCs w:val="24"/>
          </w:rPr>
          <w:t>https://doi.org/10.1371/journal.ppat.1006160</w:t>
        </w:r>
      </w:hyperlink>
    </w:p>
    <w:p w14:paraId="6ED9B637" w14:textId="77777777"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[35] Tyagi, P., Singh, M., Kumari, H., Kumari, A., &amp; Mukhopadhyay, K. (2015). Bactericidal activity of curcumin I is associated with damaging of bacterial membrane. </w:t>
      </w:r>
      <w:proofErr w:type="spellStart"/>
      <w:r w:rsidRPr="00C93050">
        <w:rPr>
          <w:rFonts w:ascii="Times New Roman" w:hAnsi="Times New Roman" w:cs="Times New Roman"/>
          <w:i/>
          <w:iCs/>
          <w:sz w:val="24"/>
          <w:szCs w:val="24"/>
        </w:rPr>
        <w:t>PloS</w:t>
      </w:r>
      <w:proofErr w:type="spellEnd"/>
      <w:r w:rsidRPr="00C93050">
        <w:rPr>
          <w:rFonts w:ascii="Times New Roman" w:hAnsi="Times New Roman" w:cs="Times New Roman"/>
          <w:i/>
          <w:iCs/>
          <w:sz w:val="24"/>
          <w:szCs w:val="24"/>
        </w:rPr>
        <w:t xml:space="preserve"> one, 10</w:t>
      </w:r>
      <w:r w:rsidRPr="00C93050">
        <w:rPr>
          <w:rFonts w:ascii="Times New Roman" w:hAnsi="Times New Roman" w:cs="Times New Roman"/>
          <w:sz w:val="24"/>
          <w:szCs w:val="24"/>
        </w:rPr>
        <w:t>(3), e0121313. </w:t>
      </w:r>
      <w:hyperlink r:id="rId23" w:tgtFrame="_blank" w:history="1">
        <w:r w:rsidRPr="00C93050">
          <w:rPr>
            <w:rStyle w:val="Hyperlink"/>
            <w:rFonts w:ascii="Times New Roman" w:hAnsi="Times New Roman" w:cs="Times New Roman"/>
            <w:sz w:val="24"/>
            <w:szCs w:val="24"/>
          </w:rPr>
          <w:t>https://doi.org/10.1371/journal.pone.0121313</w:t>
        </w:r>
      </w:hyperlink>
    </w:p>
    <w:p w14:paraId="0B762482" w14:textId="77777777" w:rsidR="006B7CA0"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[36] Van Hai, N. (2015). The use of medicinal plants as immunostimulants in aquaculture: A review. </w:t>
      </w:r>
      <w:r w:rsidRPr="00C93050">
        <w:rPr>
          <w:rFonts w:ascii="Times New Roman" w:hAnsi="Times New Roman" w:cs="Times New Roman"/>
          <w:i/>
          <w:iCs/>
          <w:sz w:val="24"/>
          <w:szCs w:val="24"/>
        </w:rPr>
        <w:t>Aquaculture, 446</w:t>
      </w:r>
      <w:r w:rsidRPr="00C93050">
        <w:rPr>
          <w:rFonts w:ascii="Times New Roman" w:hAnsi="Times New Roman" w:cs="Times New Roman"/>
          <w:sz w:val="24"/>
          <w:szCs w:val="24"/>
        </w:rPr>
        <w:t>, 88-96. </w:t>
      </w:r>
      <w:hyperlink r:id="rId24" w:tgtFrame="_blank" w:history="1">
        <w:r w:rsidRPr="00C93050">
          <w:rPr>
            <w:rStyle w:val="Hyperlink"/>
            <w:rFonts w:ascii="Times New Roman" w:hAnsi="Times New Roman" w:cs="Times New Roman"/>
            <w:sz w:val="24"/>
            <w:szCs w:val="24"/>
          </w:rPr>
          <w:t>https://doi.org/10.1016/j.aquaculture.2015.03.014</w:t>
        </w:r>
      </w:hyperlink>
      <w:r w:rsidRPr="00C93050">
        <w:rPr>
          <w:rFonts w:ascii="Times New Roman" w:hAnsi="Times New Roman" w:cs="Times New Roman"/>
          <w:sz w:val="24"/>
          <w:szCs w:val="24"/>
        </w:rPr>
        <w:t xml:space="preserve"> </w:t>
      </w:r>
    </w:p>
    <w:p w14:paraId="4FE95A40" w14:textId="728009CA"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[3</w:t>
      </w:r>
      <w:r w:rsidR="0024417C" w:rsidRPr="00C93050">
        <w:rPr>
          <w:rFonts w:ascii="Times New Roman" w:hAnsi="Times New Roman" w:cs="Times New Roman"/>
          <w:sz w:val="24"/>
          <w:szCs w:val="24"/>
        </w:rPr>
        <w:t>7</w:t>
      </w:r>
      <w:r w:rsidRPr="00C93050">
        <w:rPr>
          <w:rFonts w:ascii="Times New Roman" w:hAnsi="Times New Roman" w:cs="Times New Roman"/>
          <w:sz w:val="24"/>
          <w:szCs w:val="24"/>
        </w:rPr>
        <w:t xml:space="preserve">] </w:t>
      </w:r>
      <w:r w:rsidR="00E066CE" w:rsidRPr="00C93050">
        <w:rPr>
          <w:rFonts w:ascii="Times New Roman" w:hAnsi="Times New Roman" w:cs="Times New Roman"/>
          <w:sz w:val="24"/>
          <w:szCs w:val="24"/>
        </w:rPr>
        <w:t xml:space="preserve">Schechner, V., Levytskyi, K., Shalom, O., </w:t>
      </w:r>
      <w:proofErr w:type="spellStart"/>
      <w:r w:rsidR="00E066CE" w:rsidRPr="00C93050">
        <w:rPr>
          <w:rFonts w:ascii="Times New Roman" w:hAnsi="Times New Roman" w:cs="Times New Roman"/>
          <w:sz w:val="24"/>
          <w:szCs w:val="24"/>
        </w:rPr>
        <w:t>Yalek</w:t>
      </w:r>
      <w:proofErr w:type="spellEnd"/>
      <w:r w:rsidR="00E066CE" w:rsidRPr="00C93050">
        <w:rPr>
          <w:rFonts w:ascii="Times New Roman" w:hAnsi="Times New Roman" w:cs="Times New Roman"/>
          <w:sz w:val="24"/>
          <w:szCs w:val="24"/>
        </w:rPr>
        <w:t xml:space="preserve">, A., &amp; Adler, A. (2021). A hospital-wide outbreak of IMI-17-producing </w:t>
      </w:r>
      <w:r w:rsidR="00E066CE" w:rsidRPr="00C93050">
        <w:rPr>
          <w:rFonts w:ascii="Times New Roman" w:hAnsi="Times New Roman" w:cs="Times New Roman"/>
          <w:i/>
          <w:iCs/>
          <w:sz w:val="24"/>
          <w:szCs w:val="24"/>
        </w:rPr>
        <w:t xml:space="preserve">Enterobacter </w:t>
      </w:r>
      <w:proofErr w:type="spellStart"/>
      <w:r w:rsidR="00E066CE" w:rsidRPr="00C93050">
        <w:rPr>
          <w:rFonts w:ascii="Times New Roman" w:hAnsi="Times New Roman" w:cs="Times New Roman"/>
          <w:i/>
          <w:iCs/>
          <w:sz w:val="24"/>
          <w:szCs w:val="24"/>
        </w:rPr>
        <w:t>ludwigii</w:t>
      </w:r>
      <w:proofErr w:type="spellEnd"/>
      <w:r w:rsidR="00E066CE" w:rsidRPr="00C93050">
        <w:rPr>
          <w:rFonts w:ascii="Times New Roman" w:hAnsi="Times New Roman" w:cs="Times New Roman"/>
          <w:sz w:val="24"/>
          <w:szCs w:val="24"/>
        </w:rPr>
        <w:t xml:space="preserve"> in an Israeli hospital. </w:t>
      </w:r>
      <w:r w:rsidR="00E066CE" w:rsidRPr="00C93050">
        <w:rPr>
          <w:rFonts w:ascii="Times New Roman" w:hAnsi="Times New Roman" w:cs="Times New Roman"/>
          <w:i/>
          <w:iCs/>
          <w:sz w:val="24"/>
          <w:szCs w:val="24"/>
        </w:rPr>
        <w:t>Antimicrobial Resistance &amp; Infection Control</w:t>
      </w:r>
      <w:r w:rsidR="00E066CE" w:rsidRPr="00C93050">
        <w:rPr>
          <w:rFonts w:ascii="Times New Roman" w:hAnsi="Times New Roman" w:cs="Times New Roman"/>
          <w:sz w:val="24"/>
          <w:szCs w:val="24"/>
        </w:rPr>
        <w:t>, </w:t>
      </w:r>
      <w:r w:rsidR="00E066CE" w:rsidRPr="00C93050">
        <w:rPr>
          <w:rFonts w:ascii="Times New Roman" w:hAnsi="Times New Roman" w:cs="Times New Roman"/>
          <w:i/>
          <w:iCs/>
          <w:sz w:val="24"/>
          <w:szCs w:val="24"/>
        </w:rPr>
        <w:t>10</w:t>
      </w:r>
      <w:r w:rsidR="00E066CE" w:rsidRPr="00C93050">
        <w:rPr>
          <w:rFonts w:ascii="Times New Roman" w:hAnsi="Times New Roman" w:cs="Times New Roman"/>
          <w:sz w:val="24"/>
          <w:szCs w:val="24"/>
        </w:rPr>
        <w:t>(1), 166.</w:t>
      </w:r>
    </w:p>
    <w:p w14:paraId="651ABED6" w14:textId="6A78AC38" w:rsidR="00E066CE" w:rsidRPr="00C93050" w:rsidRDefault="00E066CE" w:rsidP="007428B2">
      <w:pPr>
        <w:jc w:val="both"/>
        <w:rPr>
          <w:rFonts w:ascii="Times New Roman" w:hAnsi="Times New Roman" w:cs="Times New Roman"/>
          <w:sz w:val="24"/>
          <w:szCs w:val="24"/>
        </w:rPr>
      </w:pPr>
      <w:r w:rsidRPr="00C93050">
        <w:rPr>
          <w:rFonts w:ascii="Times New Roman" w:hAnsi="Times New Roman" w:cs="Times New Roman"/>
          <w:sz w:val="24"/>
          <w:szCs w:val="24"/>
        </w:rPr>
        <w:t xml:space="preserve">[38] Khajuria, A., Praharaj, A. K., Grover, N., &amp; Kumar, M. (2013). First report of an </w:t>
      </w:r>
      <w:r w:rsidRPr="00C93050">
        <w:rPr>
          <w:rFonts w:ascii="Times New Roman" w:hAnsi="Times New Roman" w:cs="Times New Roman"/>
          <w:i/>
          <w:iCs/>
          <w:sz w:val="24"/>
          <w:szCs w:val="24"/>
        </w:rPr>
        <w:t xml:space="preserve">Enterobacter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xml:space="preserve"> isolate </w:t>
      </w:r>
      <w:proofErr w:type="spellStart"/>
      <w:r w:rsidRPr="00C93050">
        <w:rPr>
          <w:rFonts w:ascii="Times New Roman" w:hAnsi="Times New Roman" w:cs="Times New Roman"/>
          <w:sz w:val="24"/>
          <w:szCs w:val="24"/>
        </w:rPr>
        <w:t>coharboring</w:t>
      </w:r>
      <w:proofErr w:type="spellEnd"/>
      <w:r w:rsidRPr="00C93050">
        <w:rPr>
          <w:rFonts w:ascii="Times New Roman" w:hAnsi="Times New Roman" w:cs="Times New Roman"/>
          <w:sz w:val="24"/>
          <w:szCs w:val="24"/>
        </w:rPr>
        <w:t xml:space="preserve"> NDM-1 and OXA-48 </w:t>
      </w:r>
      <w:proofErr w:type="spellStart"/>
      <w:r w:rsidRPr="00C93050">
        <w:rPr>
          <w:rFonts w:ascii="Times New Roman" w:hAnsi="Times New Roman" w:cs="Times New Roman"/>
          <w:sz w:val="24"/>
          <w:szCs w:val="24"/>
        </w:rPr>
        <w:t>carbapenemases</w:t>
      </w:r>
      <w:proofErr w:type="spellEnd"/>
      <w:r w:rsidRPr="00C93050">
        <w:rPr>
          <w:rFonts w:ascii="Times New Roman" w:hAnsi="Times New Roman" w:cs="Times New Roman"/>
          <w:sz w:val="24"/>
          <w:szCs w:val="24"/>
        </w:rPr>
        <w:t>. </w:t>
      </w:r>
      <w:r w:rsidRPr="00C93050">
        <w:rPr>
          <w:rFonts w:ascii="Times New Roman" w:hAnsi="Times New Roman" w:cs="Times New Roman"/>
          <w:i/>
          <w:iCs/>
          <w:sz w:val="24"/>
          <w:szCs w:val="24"/>
        </w:rPr>
        <w:t>Antimicrobial agents and chemotherapy</w:t>
      </w:r>
      <w:r w:rsidRPr="00C93050">
        <w:rPr>
          <w:rFonts w:ascii="Times New Roman" w:hAnsi="Times New Roman" w:cs="Times New Roman"/>
          <w:sz w:val="24"/>
          <w:szCs w:val="24"/>
        </w:rPr>
        <w:t>, </w:t>
      </w:r>
      <w:r w:rsidRPr="00C93050">
        <w:rPr>
          <w:rFonts w:ascii="Times New Roman" w:hAnsi="Times New Roman" w:cs="Times New Roman"/>
          <w:i/>
          <w:iCs/>
          <w:sz w:val="24"/>
          <w:szCs w:val="24"/>
        </w:rPr>
        <w:t>57</w:t>
      </w:r>
      <w:r w:rsidRPr="00C93050">
        <w:rPr>
          <w:rFonts w:ascii="Times New Roman" w:hAnsi="Times New Roman" w:cs="Times New Roman"/>
          <w:sz w:val="24"/>
          <w:szCs w:val="24"/>
        </w:rPr>
        <w:t>(10), 5189-5190.</w:t>
      </w:r>
    </w:p>
    <w:sectPr w:rsidR="00E066CE" w:rsidRPr="00C93050">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C17E1" w14:textId="77777777" w:rsidR="00B27B01" w:rsidRDefault="00B27B01" w:rsidP="00236BD8">
      <w:pPr>
        <w:spacing w:after="0" w:line="240" w:lineRule="auto"/>
      </w:pPr>
      <w:r>
        <w:separator/>
      </w:r>
    </w:p>
  </w:endnote>
  <w:endnote w:type="continuationSeparator" w:id="0">
    <w:p w14:paraId="541FDB9F" w14:textId="77777777" w:rsidR="00B27B01" w:rsidRDefault="00B27B01" w:rsidP="0023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F1BC7" w14:textId="77777777" w:rsidR="00236BD8" w:rsidRDefault="00236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ABB47" w14:textId="77777777" w:rsidR="00236BD8" w:rsidRDefault="00236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C07F6" w14:textId="77777777" w:rsidR="00236BD8" w:rsidRDefault="00236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23FBB" w14:textId="77777777" w:rsidR="00B27B01" w:rsidRDefault="00B27B01" w:rsidP="00236BD8">
      <w:pPr>
        <w:spacing w:after="0" w:line="240" w:lineRule="auto"/>
      </w:pPr>
      <w:r>
        <w:separator/>
      </w:r>
    </w:p>
  </w:footnote>
  <w:footnote w:type="continuationSeparator" w:id="0">
    <w:p w14:paraId="5DC035AD" w14:textId="77777777" w:rsidR="00B27B01" w:rsidRDefault="00B27B01" w:rsidP="00236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2C523" w14:textId="65F4FEB8" w:rsidR="00236BD8" w:rsidRDefault="00236BD8">
    <w:pPr>
      <w:pStyle w:val="Header"/>
    </w:pPr>
    <w:r>
      <w:rPr>
        <w:noProof/>
      </w:rPr>
      <w:pict w14:anchorId="7CE48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372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83E00" w14:textId="10B3BBB1" w:rsidR="00236BD8" w:rsidRDefault="00236BD8">
    <w:pPr>
      <w:pStyle w:val="Header"/>
    </w:pPr>
    <w:r>
      <w:rPr>
        <w:noProof/>
      </w:rPr>
      <w:pict w14:anchorId="340A7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372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41E6" w14:textId="5CBE562C" w:rsidR="00236BD8" w:rsidRDefault="00236BD8">
    <w:pPr>
      <w:pStyle w:val="Header"/>
    </w:pPr>
    <w:r>
      <w:rPr>
        <w:noProof/>
      </w:rPr>
      <w:pict w14:anchorId="40F6F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372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5885"/>
    <w:multiLevelType w:val="multilevel"/>
    <w:tmpl w:val="47A4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91AC9"/>
    <w:multiLevelType w:val="multilevel"/>
    <w:tmpl w:val="A9385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71B0B"/>
    <w:multiLevelType w:val="multilevel"/>
    <w:tmpl w:val="5E1E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E3131"/>
    <w:multiLevelType w:val="multilevel"/>
    <w:tmpl w:val="C914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D0257"/>
    <w:multiLevelType w:val="multilevel"/>
    <w:tmpl w:val="E9888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E42BF"/>
    <w:multiLevelType w:val="multilevel"/>
    <w:tmpl w:val="CB20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53D6E"/>
    <w:multiLevelType w:val="multilevel"/>
    <w:tmpl w:val="ADC8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87202"/>
    <w:multiLevelType w:val="multilevel"/>
    <w:tmpl w:val="1AEA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E0BB0"/>
    <w:multiLevelType w:val="multilevel"/>
    <w:tmpl w:val="07E06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732307"/>
    <w:multiLevelType w:val="multilevel"/>
    <w:tmpl w:val="172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1D5F77"/>
    <w:multiLevelType w:val="multilevel"/>
    <w:tmpl w:val="5BA6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F97F6D"/>
    <w:multiLevelType w:val="multilevel"/>
    <w:tmpl w:val="815E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4A4FA6"/>
    <w:multiLevelType w:val="multilevel"/>
    <w:tmpl w:val="C39CC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F0443A"/>
    <w:multiLevelType w:val="multilevel"/>
    <w:tmpl w:val="6F6298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3A82937"/>
    <w:multiLevelType w:val="multilevel"/>
    <w:tmpl w:val="9946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13E69"/>
    <w:multiLevelType w:val="multilevel"/>
    <w:tmpl w:val="E046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F95D2E"/>
    <w:multiLevelType w:val="multilevel"/>
    <w:tmpl w:val="F004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C355C5"/>
    <w:multiLevelType w:val="multilevel"/>
    <w:tmpl w:val="81A8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3C7E42"/>
    <w:multiLevelType w:val="multilevel"/>
    <w:tmpl w:val="F44A6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2C5F0C"/>
    <w:multiLevelType w:val="multilevel"/>
    <w:tmpl w:val="3CFC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CC1587"/>
    <w:multiLevelType w:val="multilevel"/>
    <w:tmpl w:val="40FA0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
  </w:num>
  <w:num w:numId="3">
    <w:abstractNumId w:val="14"/>
  </w:num>
  <w:num w:numId="4">
    <w:abstractNumId w:val="4"/>
  </w:num>
  <w:num w:numId="5">
    <w:abstractNumId w:val="10"/>
  </w:num>
  <w:num w:numId="6">
    <w:abstractNumId w:val="7"/>
  </w:num>
  <w:num w:numId="7">
    <w:abstractNumId w:val="3"/>
  </w:num>
  <w:num w:numId="8">
    <w:abstractNumId w:val="6"/>
  </w:num>
  <w:num w:numId="9">
    <w:abstractNumId w:val="18"/>
  </w:num>
  <w:num w:numId="10">
    <w:abstractNumId w:val="5"/>
  </w:num>
  <w:num w:numId="11">
    <w:abstractNumId w:val="11"/>
  </w:num>
  <w:num w:numId="12">
    <w:abstractNumId w:val="15"/>
  </w:num>
  <w:num w:numId="13">
    <w:abstractNumId w:val="19"/>
  </w:num>
  <w:num w:numId="14">
    <w:abstractNumId w:val="9"/>
  </w:num>
  <w:num w:numId="15">
    <w:abstractNumId w:val="0"/>
  </w:num>
  <w:num w:numId="16">
    <w:abstractNumId w:val="13"/>
  </w:num>
  <w:num w:numId="17">
    <w:abstractNumId w:val="16"/>
  </w:num>
  <w:num w:numId="18">
    <w:abstractNumId w:val="8"/>
  </w:num>
  <w:num w:numId="19">
    <w:abstractNumId w:val="1"/>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F4"/>
    <w:rsid w:val="000039CD"/>
    <w:rsid w:val="00007700"/>
    <w:rsid w:val="00013136"/>
    <w:rsid w:val="00035708"/>
    <w:rsid w:val="0003669C"/>
    <w:rsid w:val="00036A47"/>
    <w:rsid w:val="00040C7D"/>
    <w:rsid w:val="000527A0"/>
    <w:rsid w:val="000650F7"/>
    <w:rsid w:val="000724B5"/>
    <w:rsid w:val="0009395D"/>
    <w:rsid w:val="00095442"/>
    <w:rsid w:val="000A267D"/>
    <w:rsid w:val="000A4166"/>
    <w:rsid w:val="000A4A1E"/>
    <w:rsid w:val="000B47AA"/>
    <w:rsid w:val="000B78C3"/>
    <w:rsid w:val="000C116E"/>
    <w:rsid w:val="000C1CA5"/>
    <w:rsid w:val="000C5546"/>
    <w:rsid w:val="000D0406"/>
    <w:rsid w:val="000E0BCC"/>
    <w:rsid w:val="000E5865"/>
    <w:rsid w:val="000F532D"/>
    <w:rsid w:val="000F6355"/>
    <w:rsid w:val="000F63D2"/>
    <w:rsid w:val="001016C6"/>
    <w:rsid w:val="00101856"/>
    <w:rsid w:val="00102B46"/>
    <w:rsid w:val="00127325"/>
    <w:rsid w:val="00137AE9"/>
    <w:rsid w:val="00137CB6"/>
    <w:rsid w:val="00145F4E"/>
    <w:rsid w:val="00154F31"/>
    <w:rsid w:val="00160CD9"/>
    <w:rsid w:val="0016327E"/>
    <w:rsid w:val="001725EE"/>
    <w:rsid w:val="001912A0"/>
    <w:rsid w:val="001957CF"/>
    <w:rsid w:val="001C36E8"/>
    <w:rsid w:val="001C3BD2"/>
    <w:rsid w:val="001C7ACF"/>
    <w:rsid w:val="001E5AA2"/>
    <w:rsid w:val="001F1D12"/>
    <w:rsid w:val="00200CF5"/>
    <w:rsid w:val="00203624"/>
    <w:rsid w:val="002204A4"/>
    <w:rsid w:val="0022477D"/>
    <w:rsid w:val="00236BD8"/>
    <w:rsid w:val="0024417C"/>
    <w:rsid w:val="00246B4E"/>
    <w:rsid w:val="0024720F"/>
    <w:rsid w:val="00247A6E"/>
    <w:rsid w:val="0025155A"/>
    <w:rsid w:val="002519BF"/>
    <w:rsid w:val="0025271F"/>
    <w:rsid w:val="0026217D"/>
    <w:rsid w:val="00282C7B"/>
    <w:rsid w:val="00291B75"/>
    <w:rsid w:val="00295E01"/>
    <w:rsid w:val="002B1608"/>
    <w:rsid w:val="002C48F1"/>
    <w:rsid w:val="002D145C"/>
    <w:rsid w:val="002D505C"/>
    <w:rsid w:val="002D7EC8"/>
    <w:rsid w:val="002E64F8"/>
    <w:rsid w:val="002F02B3"/>
    <w:rsid w:val="002F02E4"/>
    <w:rsid w:val="002F4E24"/>
    <w:rsid w:val="002F5AC2"/>
    <w:rsid w:val="0030612E"/>
    <w:rsid w:val="0031173D"/>
    <w:rsid w:val="00311D81"/>
    <w:rsid w:val="003139AD"/>
    <w:rsid w:val="00322F3C"/>
    <w:rsid w:val="003247C4"/>
    <w:rsid w:val="0033126B"/>
    <w:rsid w:val="00334210"/>
    <w:rsid w:val="003454B8"/>
    <w:rsid w:val="00352468"/>
    <w:rsid w:val="003529CB"/>
    <w:rsid w:val="00354796"/>
    <w:rsid w:val="00373C1C"/>
    <w:rsid w:val="003974C6"/>
    <w:rsid w:val="003978AE"/>
    <w:rsid w:val="003B2C5E"/>
    <w:rsid w:val="003C5BF4"/>
    <w:rsid w:val="003C7282"/>
    <w:rsid w:val="003D6EDE"/>
    <w:rsid w:val="003E3A1C"/>
    <w:rsid w:val="00405FEA"/>
    <w:rsid w:val="00405FEF"/>
    <w:rsid w:val="00412B8A"/>
    <w:rsid w:val="0041772B"/>
    <w:rsid w:val="0042783C"/>
    <w:rsid w:val="00430F00"/>
    <w:rsid w:val="004406FE"/>
    <w:rsid w:val="00442DBB"/>
    <w:rsid w:val="0045614E"/>
    <w:rsid w:val="00461512"/>
    <w:rsid w:val="0046553D"/>
    <w:rsid w:val="00483337"/>
    <w:rsid w:val="004958FE"/>
    <w:rsid w:val="004D0E2F"/>
    <w:rsid w:val="004D2EB6"/>
    <w:rsid w:val="004E3F0F"/>
    <w:rsid w:val="004E48BE"/>
    <w:rsid w:val="004E703E"/>
    <w:rsid w:val="004F1856"/>
    <w:rsid w:val="004F2D94"/>
    <w:rsid w:val="004F67B8"/>
    <w:rsid w:val="005041F1"/>
    <w:rsid w:val="005042C0"/>
    <w:rsid w:val="005128DD"/>
    <w:rsid w:val="0052175B"/>
    <w:rsid w:val="00534EAC"/>
    <w:rsid w:val="00537B88"/>
    <w:rsid w:val="00542046"/>
    <w:rsid w:val="00567C70"/>
    <w:rsid w:val="00571373"/>
    <w:rsid w:val="00586326"/>
    <w:rsid w:val="005A12A4"/>
    <w:rsid w:val="005C0122"/>
    <w:rsid w:val="005C0720"/>
    <w:rsid w:val="005C2419"/>
    <w:rsid w:val="005C5B45"/>
    <w:rsid w:val="005D4080"/>
    <w:rsid w:val="005E1AEE"/>
    <w:rsid w:val="005E751A"/>
    <w:rsid w:val="006004BC"/>
    <w:rsid w:val="0060133C"/>
    <w:rsid w:val="00606B73"/>
    <w:rsid w:val="0061526B"/>
    <w:rsid w:val="0062175D"/>
    <w:rsid w:val="00621E1F"/>
    <w:rsid w:val="00641A2F"/>
    <w:rsid w:val="0065082E"/>
    <w:rsid w:val="006518BD"/>
    <w:rsid w:val="00654118"/>
    <w:rsid w:val="00681B05"/>
    <w:rsid w:val="0068360A"/>
    <w:rsid w:val="0069016C"/>
    <w:rsid w:val="00690F3E"/>
    <w:rsid w:val="006A7C67"/>
    <w:rsid w:val="006B196F"/>
    <w:rsid w:val="006B43E5"/>
    <w:rsid w:val="006B4758"/>
    <w:rsid w:val="006B5C52"/>
    <w:rsid w:val="006B7CA0"/>
    <w:rsid w:val="006C4E39"/>
    <w:rsid w:val="006C592D"/>
    <w:rsid w:val="006D00C3"/>
    <w:rsid w:val="006D36D4"/>
    <w:rsid w:val="006D3AC5"/>
    <w:rsid w:val="006D55AF"/>
    <w:rsid w:val="006F11E7"/>
    <w:rsid w:val="006F26B8"/>
    <w:rsid w:val="006F7F13"/>
    <w:rsid w:val="00702140"/>
    <w:rsid w:val="00707A8D"/>
    <w:rsid w:val="0071056D"/>
    <w:rsid w:val="00714376"/>
    <w:rsid w:val="00726731"/>
    <w:rsid w:val="0073566C"/>
    <w:rsid w:val="00736B6E"/>
    <w:rsid w:val="007428B2"/>
    <w:rsid w:val="007450FF"/>
    <w:rsid w:val="007550C9"/>
    <w:rsid w:val="00767B04"/>
    <w:rsid w:val="00786F4E"/>
    <w:rsid w:val="00793788"/>
    <w:rsid w:val="007A1573"/>
    <w:rsid w:val="007A3D8D"/>
    <w:rsid w:val="007C0EE8"/>
    <w:rsid w:val="007C540E"/>
    <w:rsid w:val="007D1A70"/>
    <w:rsid w:val="007D49CE"/>
    <w:rsid w:val="007D4A03"/>
    <w:rsid w:val="007D5C27"/>
    <w:rsid w:val="007F007A"/>
    <w:rsid w:val="00807216"/>
    <w:rsid w:val="0081053B"/>
    <w:rsid w:val="0083314C"/>
    <w:rsid w:val="00851C49"/>
    <w:rsid w:val="00864B2E"/>
    <w:rsid w:val="00883549"/>
    <w:rsid w:val="00886AAB"/>
    <w:rsid w:val="00890FAA"/>
    <w:rsid w:val="00891D0E"/>
    <w:rsid w:val="00892057"/>
    <w:rsid w:val="00892F7E"/>
    <w:rsid w:val="008A02C7"/>
    <w:rsid w:val="008A6510"/>
    <w:rsid w:val="008B1C20"/>
    <w:rsid w:val="008B58C1"/>
    <w:rsid w:val="008C16BB"/>
    <w:rsid w:val="008D6167"/>
    <w:rsid w:val="008E139E"/>
    <w:rsid w:val="008E2745"/>
    <w:rsid w:val="008E567E"/>
    <w:rsid w:val="008E66C4"/>
    <w:rsid w:val="008F4291"/>
    <w:rsid w:val="009000A2"/>
    <w:rsid w:val="0090239D"/>
    <w:rsid w:val="00903E2D"/>
    <w:rsid w:val="009047AD"/>
    <w:rsid w:val="009206CA"/>
    <w:rsid w:val="0092604F"/>
    <w:rsid w:val="00926529"/>
    <w:rsid w:val="009417C4"/>
    <w:rsid w:val="00943028"/>
    <w:rsid w:val="00947278"/>
    <w:rsid w:val="0095544F"/>
    <w:rsid w:val="009630F0"/>
    <w:rsid w:val="009639D9"/>
    <w:rsid w:val="00966835"/>
    <w:rsid w:val="00970606"/>
    <w:rsid w:val="0099381D"/>
    <w:rsid w:val="0099457A"/>
    <w:rsid w:val="009A52A4"/>
    <w:rsid w:val="009B56F8"/>
    <w:rsid w:val="009B748C"/>
    <w:rsid w:val="009B7A3E"/>
    <w:rsid w:val="009C586A"/>
    <w:rsid w:val="009E0B4D"/>
    <w:rsid w:val="009E2267"/>
    <w:rsid w:val="009E28B1"/>
    <w:rsid w:val="009F02DF"/>
    <w:rsid w:val="009F1AD7"/>
    <w:rsid w:val="009F4A10"/>
    <w:rsid w:val="00A05B69"/>
    <w:rsid w:val="00A05B9E"/>
    <w:rsid w:val="00A06CEC"/>
    <w:rsid w:val="00A1147B"/>
    <w:rsid w:val="00A11C9A"/>
    <w:rsid w:val="00A23BFA"/>
    <w:rsid w:val="00A23F7A"/>
    <w:rsid w:val="00A3109A"/>
    <w:rsid w:val="00A31930"/>
    <w:rsid w:val="00A53F0F"/>
    <w:rsid w:val="00A615E3"/>
    <w:rsid w:val="00A658F3"/>
    <w:rsid w:val="00A7470D"/>
    <w:rsid w:val="00A830C8"/>
    <w:rsid w:val="00A87568"/>
    <w:rsid w:val="00AA249D"/>
    <w:rsid w:val="00AC12F5"/>
    <w:rsid w:val="00AC2985"/>
    <w:rsid w:val="00AC2C43"/>
    <w:rsid w:val="00AC5FDD"/>
    <w:rsid w:val="00AD3B67"/>
    <w:rsid w:val="00AD40F7"/>
    <w:rsid w:val="00AE1003"/>
    <w:rsid w:val="00AF08FA"/>
    <w:rsid w:val="00B140AE"/>
    <w:rsid w:val="00B20A8B"/>
    <w:rsid w:val="00B24514"/>
    <w:rsid w:val="00B27B01"/>
    <w:rsid w:val="00B41E5B"/>
    <w:rsid w:val="00B429CF"/>
    <w:rsid w:val="00B436DC"/>
    <w:rsid w:val="00B43D1A"/>
    <w:rsid w:val="00B575CB"/>
    <w:rsid w:val="00B62BFE"/>
    <w:rsid w:val="00B94005"/>
    <w:rsid w:val="00BB2FF5"/>
    <w:rsid w:val="00BC2805"/>
    <w:rsid w:val="00BD7324"/>
    <w:rsid w:val="00BD7E16"/>
    <w:rsid w:val="00BE16BF"/>
    <w:rsid w:val="00C03448"/>
    <w:rsid w:val="00C105CE"/>
    <w:rsid w:val="00C15622"/>
    <w:rsid w:val="00C17F67"/>
    <w:rsid w:val="00C207EE"/>
    <w:rsid w:val="00C2258D"/>
    <w:rsid w:val="00C2667F"/>
    <w:rsid w:val="00C3697B"/>
    <w:rsid w:val="00C500C5"/>
    <w:rsid w:val="00C5133F"/>
    <w:rsid w:val="00C516C6"/>
    <w:rsid w:val="00C568E8"/>
    <w:rsid w:val="00C5696F"/>
    <w:rsid w:val="00C64CA7"/>
    <w:rsid w:val="00C7597C"/>
    <w:rsid w:val="00C810F1"/>
    <w:rsid w:val="00C81B38"/>
    <w:rsid w:val="00C861FC"/>
    <w:rsid w:val="00C93050"/>
    <w:rsid w:val="00C95932"/>
    <w:rsid w:val="00C95D29"/>
    <w:rsid w:val="00CB6F3A"/>
    <w:rsid w:val="00CC64C7"/>
    <w:rsid w:val="00CD1A3E"/>
    <w:rsid w:val="00CE4345"/>
    <w:rsid w:val="00CE483C"/>
    <w:rsid w:val="00CF00C0"/>
    <w:rsid w:val="00CF478A"/>
    <w:rsid w:val="00CF5364"/>
    <w:rsid w:val="00D0333C"/>
    <w:rsid w:val="00D07BB6"/>
    <w:rsid w:val="00D11EE2"/>
    <w:rsid w:val="00D1502B"/>
    <w:rsid w:val="00D20CE5"/>
    <w:rsid w:val="00D378AD"/>
    <w:rsid w:val="00D65505"/>
    <w:rsid w:val="00D6768E"/>
    <w:rsid w:val="00D7487F"/>
    <w:rsid w:val="00D74919"/>
    <w:rsid w:val="00D75470"/>
    <w:rsid w:val="00D7757A"/>
    <w:rsid w:val="00DA7172"/>
    <w:rsid w:val="00DB12B3"/>
    <w:rsid w:val="00DD40BF"/>
    <w:rsid w:val="00DD45D4"/>
    <w:rsid w:val="00DD4960"/>
    <w:rsid w:val="00DD4D6D"/>
    <w:rsid w:val="00DE7655"/>
    <w:rsid w:val="00DF03E0"/>
    <w:rsid w:val="00DF6C2C"/>
    <w:rsid w:val="00E066CE"/>
    <w:rsid w:val="00E17C85"/>
    <w:rsid w:val="00E2450C"/>
    <w:rsid w:val="00E44507"/>
    <w:rsid w:val="00E445EB"/>
    <w:rsid w:val="00E52083"/>
    <w:rsid w:val="00E54305"/>
    <w:rsid w:val="00E559A2"/>
    <w:rsid w:val="00E775A4"/>
    <w:rsid w:val="00E842CE"/>
    <w:rsid w:val="00EA48EB"/>
    <w:rsid w:val="00EA552C"/>
    <w:rsid w:val="00EB3E31"/>
    <w:rsid w:val="00EB6196"/>
    <w:rsid w:val="00EC074B"/>
    <w:rsid w:val="00EC177E"/>
    <w:rsid w:val="00EC3B35"/>
    <w:rsid w:val="00EC614E"/>
    <w:rsid w:val="00ED1416"/>
    <w:rsid w:val="00ED1696"/>
    <w:rsid w:val="00ED58E9"/>
    <w:rsid w:val="00EE5B57"/>
    <w:rsid w:val="00EF5266"/>
    <w:rsid w:val="00EF76D6"/>
    <w:rsid w:val="00F01189"/>
    <w:rsid w:val="00F06A0F"/>
    <w:rsid w:val="00F156F4"/>
    <w:rsid w:val="00F26656"/>
    <w:rsid w:val="00F51780"/>
    <w:rsid w:val="00F51CC8"/>
    <w:rsid w:val="00F61D17"/>
    <w:rsid w:val="00F64EE6"/>
    <w:rsid w:val="00F66EF8"/>
    <w:rsid w:val="00F70B8D"/>
    <w:rsid w:val="00F80F28"/>
    <w:rsid w:val="00F8545F"/>
    <w:rsid w:val="00F902CE"/>
    <w:rsid w:val="00F9132F"/>
    <w:rsid w:val="00FA643B"/>
    <w:rsid w:val="00FC43CB"/>
    <w:rsid w:val="00FC78DF"/>
    <w:rsid w:val="00FD05FD"/>
    <w:rsid w:val="00FE2019"/>
    <w:rsid w:val="00FE3012"/>
    <w:rsid w:val="00FF06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BD1EE8"/>
  <w15:chartTrackingRefBased/>
  <w15:docId w15:val="{90A07F55-FE27-48C2-B18B-C66AE726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BF4"/>
  </w:style>
  <w:style w:type="paragraph" w:styleId="Heading1">
    <w:name w:val="heading 1"/>
    <w:basedOn w:val="Normal"/>
    <w:next w:val="Normal"/>
    <w:link w:val="Heading1Char"/>
    <w:uiPriority w:val="9"/>
    <w:qFormat/>
    <w:rsid w:val="003C5B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C5B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C5B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C5B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5B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5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B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C5B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C5B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C5B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5B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5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BF4"/>
    <w:rPr>
      <w:rFonts w:eastAsiaTheme="majorEastAsia" w:cstheme="majorBidi"/>
      <w:color w:val="272727" w:themeColor="text1" w:themeTint="D8"/>
    </w:rPr>
  </w:style>
  <w:style w:type="paragraph" w:styleId="Title">
    <w:name w:val="Title"/>
    <w:basedOn w:val="Normal"/>
    <w:next w:val="Normal"/>
    <w:link w:val="TitleChar"/>
    <w:uiPriority w:val="10"/>
    <w:qFormat/>
    <w:rsid w:val="003C5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BF4"/>
    <w:pPr>
      <w:spacing w:before="160"/>
      <w:jc w:val="center"/>
    </w:pPr>
    <w:rPr>
      <w:i/>
      <w:iCs/>
      <w:color w:val="404040" w:themeColor="text1" w:themeTint="BF"/>
    </w:rPr>
  </w:style>
  <w:style w:type="character" w:customStyle="1" w:styleId="QuoteChar">
    <w:name w:val="Quote Char"/>
    <w:basedOn w:val="DefaultParagraphFont"/>
    <w:link w:val="Quote"/>
    <w:uiPriority w:val="29"/>
    <w:rsid w:val="003C5BF4"/>
    <w:rPr>
      <w:i/>
      <w:iCs/>
      <w:color w:val="404040" w:themeColor="text1" w:themeTint="BF"/>
    </w:rPr>
  </w:style>
  <w:style w:type="paragraph" w:styleId="ListParagraph">
    <w:name w:val="List Paragraph"/>
    <w:basedOn w:val="Normal"/>
    <w:uiPriority w:val="34"/>
    <w:qFormat/>
    <w:rsid w:val="003C5BF4"/>
    <w:pPr>
      <w:ind w:left="720"/>
      <w:contextualSpacing/>
    </w:pPr>
  </w:style>
  <w:style w:type="character" w:styleId="IntenseEmphasis">
    <w:name w:val="Intense Emphasis"/>
    <w:basedOn w:val="DefaultParagraphFont"/>
    <w:uiPriority w:val="21"/>
    <w:qFormat/>
    <w:rsid w:val="003C5BF4"/>
    <w:rPr>
      <w:i/>
      <w:iCs/>
      <w:color w:val="2F5496" w:themeColor="accent1" w:themeShade="BF"/>
    </w:rPr>
  </w:style>
  <w:style w:type="paragraph" w:styleId="IntenseQuote">
    <w:name w:val="Intense Quote"/>
    <w:basedOn w:val="Normal"/>
    <w:next w:val="Normal"/>
    <w:link w:val="IntenseQuoteChar"/>
    <w:uiPriority w:val="30"/>
    <w:qFormat/>
    <w:rsid w:val="003C5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5BF4"/>
    <w:rPr>
      <w:i/>
      <w:iCs/>
      <w:color w:val="2F5496" w:themeColor="accent1" w:themeShade="BF"/>
    </w:rPr>
  </w:style>
  <w:style w:type="character" w:styleId="IntenseReference">
    <w:name w:val="Intense Reference"/>
    <w:basedOn w:val="DefaultParagraphFont"/>
    <w:uiPriority w:val="32"/>
    <w:qFormat/>
    <w:rsid w:val="003C5BF4"/>
    <w:rPr>
      <w:b/>
      <w:bCs/>
      <w:smallCaps/>
      <w:color w:val="2F5496" w:themeColor="accent1" w:themeShade="BF"/>
      <w:spacing w:val="5"/>
    </w:rPr>
  </w:style>
  <w:style w:type="table" w:styleId="TableGrid">
    <w:name w:val="Table Grid"/>
    <w:basedOn w:val="TableNormal"/>
    <w:uiPriority w:val="39"/>
    <w:rsid w:val="003C5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5614E"/>
    <w:rPr>
      <w:i/>
      <w:iCs/>
    </w:rPr>
  </w:style>
  <w:style w:type="paragraph" w:styleId="NormalWeb">
    <w:name w:val="Normal (Web)"/>
    <w:basedOn w:val="Normal"/>
    <w:uiPriority w:val="99"/>
    <w:unhideWhenUsed/>
    <w:rsid w:val="00CD1A3E"/>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CD1A3E"/>
    <w:rPr>
      <w:b/>
      <w:bCs/>
    </w:rPr>
  </w:style>
  <w:style w:type="character" w:styleId="Hyperlink">
    <w:name w:val="Hyperlink"/>
    <w:basedOn w:val="DefaultParagraphFont"/>
    <w:uiPriority w:val="99"/>
    <w:unhideWhenUsed/>
    <w:rsid w:val="00EC614E"/>
    <w:rPr>
      <w:color w:val="0563C1" w:themeColor="hyperlink"/>
      <w:u w:val="single"/>
    </w:rPr>
  </w:style>
  <w:style w:type="character" w:styleId="UnresolvedMention">
    <w:name w:val="Unresolved Mention"/>
    <w:basedOn w:val="DefaultParagraphFont"/>
    <w:uiPriority w:val="99"/>
    <w:semiHidden/>
    <w:unhideWhenUsed/>
    <w:rsid w:val="00EC614E"/>
    <w:rPr>
      <w:color w:val="605E5C"/>
      <w:shd w:val="clear" w:color="auto" w:fill="E1DFDD"/>
    </w:rPr>
  </w:style>
  <w:style w:type="character" w:styleId="FollowedHyperlink">
    <w:name w:val="FollowedHyperlink"/>
    <w:basedOn w:val="DefaultParagraphFont"/>
    <w:uiPriority w:val="99"/>
    <w:semiHidden/>
    <w:unhideWhenUsed/>
    <w:rsid w:val="00137CB6"/>
    <w:rPr>
      <w:color w:val="954F72" w:themeColor="followedHyperlink"/>
      <w:u w:val="single"/>
    </w:rPr>
  </w:style>
  <w:style w:type="character" w:styleId="PlaceholderText">
    <w:name w:val="Placeholder Text"/>
    <w:basedOn w:val="DefaultParagraphFont"/>
    <w:uiPriority w:val="99"/>
    <w:semiHidden/>
    <w:rsid w:val="00D75470"/>
    <w:rPr>
      <w:color w:val="666666"/>
    </w:rPr>
  </w:style>
  <w:style w:type="paragraph" w:styleId="Header">
    <w:name w:val="header"/>
    <w:basedOn w:val="Normal"/>
    <w:link w:val="HeaderChar"/>
    <w:uiPriority w:val="99"/>
    <w:unhideWhenUsed/>
    <w:rsid w:val="00236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BD8"/>
  </w:style>
  <w:style w:type="paragraph" w:styleId="Footer">
    <w:name w:val="footer"/>
    <w:basedOn w:val="Normal"/>
    <w:link w:val="FooterChar"/>
    <w:uiPriority w:val="99"/>
    <w:unhideWhenUsed/>
    <w:rsid w:val="00236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4172/1307-234x.1000018" TargetMode="External"/><Relationship Id="rId18" Type="http://schemas.openxmlformats.org/officeDocument/2006/relationships/hyperlink" Target="https://doi.org/10.1086/381972"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93/oxfordjournals.molbev.a040454" TargetMode="External"/><Relationship Id="rId7" Type="http://schemas.openxmlformats.org/officeDocument/2006/relationships/image" Target="media/image1.png"/><Relationship Id="rId12" Type="http://schemas.openxmlformats.org/officeDocument/2006/relationships/hyperlink" Target="https://doi.org/10.1111/are.12238" TargetMode="External"/><Relationship Id="rId17" Type="http://schemas.openxmlformats.org/officeDocument/2006/relationships/hyperlink" Target="https://doi.org/10.2217/fmb.12.6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syapm.2004.12.009" TargetMode="External"/><Relationship Id="rId20" Type="http://schemas.openxmlformats.org/officeDocument/2006/relationships/hyperlink" Target="https://doi.org/10.5772/28157"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vetpar.2005.07.005" TargetMode="External"/><Relationship Id="rId24" Type="http://schemas.openxmlformats.org/officeDocument/2006/relationships/hyperlink" Target="https://doi.org/10.1016/j.aquaculture.2015.03.01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46/j.1469-0691.2000.00149.x" TargetMode="External"/><Relationship Id="rId23" Type="http://schemas.openxmlformats.org/officeDocument/2006/relationships/hyperlink" Target="https://doi.org/10.1371/journal.pone.0121313" TargetMode="External"/><Relationship Id="rId28" Type="http://schemas.openxmlformats.org/officeDocument/2006/relationships/footer" Target="footer2.xml"/><Relationship Id="rId10" Type="http://schemas.openxmlformats.org/officeDocument/2006/relationships/hyperlink" Target="https://doi.org/10.1016/j.applanim.2006.09.001" TargetMode="External"/><Relationship Id="rId19" Type="http://schemas.openxmlformats.org/officeDocument/2006/relationships/hyperlink" Target="https://doi.org/10.1038/s41467-020-15735-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139/f75-274" TargetMode="External"/><Relationship Id="rId22" Type="http://schemas.openxmlformats.org/officeDocument/2006/relationships/hyperlink" Target="https://doi.org/10.1371/journal.ppat.1006160"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isha\Downloads\MIC_MBC_Data_with_S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isha\Downloads\MIC_MBC_Data_with_S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a:t>(A). Antibacterial effect of </a:t>
            </a:r>
            <a:r>
              <a:rPr lang="en-IN" sz="1100" i="1"/>
              <a:t>Curcuma longa </a:t>
            </a:r>
            <a:r>
              <a:rPr lang="en-IN" sz="1100"/>
              <a:t>on </a:t>
            </a:r>
            <a:r>
              <a:rPr lang="en-IN" sz="1100" i="1"/>
              <a:t>E. ludwigi</a:t>
            </a:r>
            <a:endParaRPr lang="en-US" sz="1100" i="1"/>
          </a:p>
        </c:rich>
      </c:tx>
      <c:layout>
        <c:manualLayout>
          <c:xMode val="edge"/>
          <c:yMode val="edge"/>
          <c:x val="0.12114361589804493"/>
          <c:y val="1.4492753623188406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736542291793015"/>
          <c:y val="0.14583333333333334"/>
          <c:w val="0.7707105534786054"/>
          <c:h val="0.68431211723534546"/>
        </c:manualLayout>
      </c:layout>
      <c:barChart>
        <c:barDir val="col"/>
        <c:grouping val="clustered"/>
        <c:varyColors val="0"/>
        <c:ser>
          <c:idx val="0"/>
          <c:order val="0"/>
          <c:tx>
            <c:strRef>
              <c:f>MIC_MBC_Replicates!$G$15</c:f>
              <c:strCache>
                <c:ptCount val="1"/>
                <c:pt idx="0">
                  <c:v>Corrected OD Mean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40000" dist="23000" dir="5400000" rotWithShape="0">
                <a:srgbClr val="000000">
                  <a:alpha val="35000"/>
                </a:srgbClr>
              </a:outerShdw>
            </a:effectLst>
          </c:spPr>
          <c:invertIfNegative val="0"/>
          <c:errBars>
            <c:errBarType val="both"/>
            <c:errValType val="cust"/>
            <c:noEndCap val="0"/>
            <c:plus>
              <c:numRef>
                <c:f>MIC_MBC_Replicates!$N$2:$N$11</c:f>
                <c:numCache>
                  <c:formatCode>General</c:formatCode>
                  <c:ptCount val="10"/>
                  <c:pt idx="0">
                    <c:v>0.01</c:v>
                  </c:pt>
                  <c:pt idx="1">
                    <c:v>0.01</c:v>
                  </c:pt>
                  <c:pt idx="2">
                    <c:v>0.02</c:v>
                  </c:pt>
                  <c:pt idx="3">
                    <c:v>0.01</c:v>
                  </c:pt>
                  <c:pt idx="4">
                    <c:v>0.02</c:v>
                  </c:pt>
                  <c:pt idx="5">
                    <c:v>0.01</c:v>
                  </c:pt>
                  <c:pt idx="6">
                    <c:v>0.02</c:v>
                  </c:pt>
                  <c:pt idx="7">
                    <c:v>0.01</c:v>
                  </c:pt>
                  <c:pt idx="8">
                    <c:v>0.01</c:v>
                  </c:pt>
                  <c:pt idx="9">
                    <c:v>0.01</c:v>
                  </c:pt>
                </c:numCache>
              </c:numRef>
            </c:plus>
            <c:minus>
              <c:numRef>
                <c:f>MIC_MBC_Replicates!$N$2:$N$11</c:f>
                <c:numCache>
                  <c:formatCode>General</c:formatCode>
                  <c:ptCount val="10"/>
                  <c:pt idx="0">
                    <c:v>0.01</c:v>
                  </c:pt>
                  <c:pt idx="1">
                    <c:v>0.01</c:v>
                  </c:pt>
                  <c:pt idx="2">
                    <c:v>0.02</c:v>
                  </c:pt>
                  <c:pt idx="3">
                    <c:v>0.01</c:v>
                  </c:pt>
                  <c:pt idx="4">
                    <c:v>0.02</c:v>
                  </c:pt>
                  <c:pt idx="5">
                    <c:v>0.01</c:v>
                  </c:pt>
                  <c:pt idx="6">
                    <c:v>0.02</c:v>
                  </c:pt>
                  <c:pt idx="7">
                    <c:v>0.01</c:v>
                  </c:pt>
                  <c:pt idx="8">
                    <c:v>0.01</c:v>
                  </c:pt>
                  <c:pt idx="9">
                    <c:v>0.01</c:v>
                  </c:pt>
                </c:numCache>
              </c:numRef>
            </c:minus>
            <c:spPr>
              <a:noFill/>
              <a:ln w="15875">
                <a:solidFill>
                  <a:schemeClr val="tx1">
                    <a:lumMod val="65000"/>
                    <a:lumOff val="35000"/>
                  </a:schemeClr>
                </a:solidFill>
                <a:round/>
              </a:ln>
              <a:effectLst/>
            </c:spPr>
          </c:errBars>
          <c:cat>
            <c:numRef>
              <c:f>MIC_MBC_Replicates!$F$16:$F$25</c:f>
              <c:numCache>
                <c:formatCode>0.00</c:formatCode>
                <c:ptCount val="10"/>
                <c:pt idx="0">
                  <c:v>20</c:v>
                </c:pt>
                <c:pt idx="1">
                  <c:v>10</c:v>
                </c:pt>
                <c:pt idx="2">
                  <c:v>5</c:v>
                </c:pt>
                <c:pt idx="3">
                  <c:v>2.5</c:v>
                </c:pt>
                <c:pt idx="4">
                  <c:v>1.25</c:v>
                </c:pt>
                <c:pt idx="5">
                  <c:v>0.625</c:v>
                </c:pt>
                <c:pt idx="6">
                  <c:v>0.312</c:v>
                </c:pt>
                <c:pt idx="7">
                  <c:v>0.156</c:v>
                </c:pt>
                <c:pt idx="8">
                  <c:v>7.8E-2</c:v>
                </c:pt>
                <c:pt idx="9">
                  <c:v>3.9E-2</c:v>
                </c:pt>
              </c:numCache>
            </c:numRef>
          </c:cat>
          <c:val>
            <c:numRef>
              <c:f>MIC_MBC_Replicates!$G$16:$G$25</c:f>
              <c:numCache>
                <c:formatCode>0.00</c:formatCode>
                <c:ptCount val="10"/>
                <c:pt idx="0">
                  <c:v>0</c:v>
                </c:pt>
                <c:pt idx="1">
                  <c:v>0</c:v>
                </c:pt>
                <c:pt idx="2">
                  <c:v>0</c:v>
                </c:pt>
                <c:pt idx="3">
                  <c:v>-3.333333333333327E-3</c:v>
                </c:pt>
                <c:pt idx="4">
                  <c:v>0.23000000000000007</c:v>
                </c:pt>
                <c:pt idx="5">
                  <c:v>0.47</c:v>
                </c:pt>
                <c:pt idx="6">
                  <c:v>0.59666666666666668</c:v>
                </c:pt>
                <c:pt idx="7">
                  <c:v>0.69333333333333347</c:v>
                </c:pt>
                <c:pt idx="8">
                  <c:v>0.75</c:v>
                </c:pt>
                <c:pt idx="9">
                  <c:v>0.91</c:v>
                </c:pt>
              </c:numCache>
            </c:numRef>
          </c:val>
          <c:extLst>
            <c:ext xmlns:c16="http://schemas.microsoft.com/office/drawing/2014/chart" uri="{C3380CC4-5D6E-409C-BE32-E72D297353CC}">
              <c16:uniqueId val="{00000000-44EF-4432-A1F4-81E9398B5891}"/>
            </c:ext>
          </c:extLst>
        </c:ser>
        <c:dLbls>
          <c:showLegendKey val="0"/>
          <c:showVal val="0"/>
          <c:showCatName val="0"/>
          <c:showSerName val="0"/>
          <c:showPercent val="0"/>
          <c:showBubbleSize val="0"/>
        </c:dLbls>
        <c:gapWidth val="100"/>
        <c:overlap val="-24"/>
        <c:axId val="1919026256"/>
        <c:axId val="1919033936"/>
      </c:barChart>
      <c:catAx>
        <c:axId val="191902625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i="1"/>
                  <a:t>Curcuma longa </a:t>
                </a:r>
                <a:r>
                  <a:rPr lang="en-IN"/>
                  <a:t>concentration (mg/mL)</a:t>
                </a:r>
              </a:p>
            </c:rich>
          </c:tx>
          <c:layout>
            <c:manualLayout>
              <c:xMode val="edge"/>
              <c:yMode val="edge"/>
              <c:x val="0.17423316614494203"/>
              <c:y val="0.94072822842514436"/>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19033936"/>
        <c:crosses val="autoZero"/>
        <c:auto val="1"/>
        <c:lblAlgn val="ctr"/>
        <c:lblOffset val="100"/>
        <c:noMultiLvlLbl val="0"/>
      </c:catAx>
      <c:valAx>
        <c:axId val="1919033936"/>
        <c:scaling>
          <c:orientation val="minMax"/>
          <c:max val="1"/>
          <c:min val="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Corrected OD₆₀₀ (Mean ± SD)</a:t>
                </a:r>
              </a:p>
            </c:rich>
          </c:tx>
          <c:layout>
            <c:manualLayout>
              <c:xMode val="edge"/>
              <c:yMode val="edge"/>
              <c:x val="2.2222222222222223E-2"/>
              <c:y val="0.1809722222222222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19026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100"/>
              <a:t>(B). Inhibition by </a:t>
            </a:r>
            <a:r>
              <a:rPr lang="en-IN" sz="1100" i="1"/>
              <a:t>Curuma longa extract</a:t>
            </a:r>
            <a:r>
              <a:rPr lang="en-IN" sz="1100"/>
              <a:t>(%)</a:t>
            </a:r>
          </a:p>
        </c:rich>
      </c:tx>
      <c:layout>
        <c:manualLayout>
          <c:xMode val="edge"/>
          <c:yMode val="edge"/>
          <c:x val="0.13092303641036862"/>
          <c:y val="1.7805475183618961E-2"/>
        </c:manualLayout>
      </c:layout>
      <c:overlay val="0"/>
      <c:spPr>
        <a:noFill/>
        <a:ln>
          <a:noFill/>
        </a:ln>
        <a:effectLst/>
      </c:spPr>
      <c:txPr>
        <a:bodyPr rot="0" spcFirstLastPara="1" vertOverflow="ellipsis" vert="horz" wrap="square" anchor="ctr" anchorCtr="1"/>
        <a:lstStyle/>
        <a:p>
          <a:pPr algn="ctr" rtl="0">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0372522911790991"/>
          <c:y val="0.1570888048074783"/>
          <c:w val="0.76801287733522239"/>
          <c:h val="0.66237769688982506"/>
        </c:manualLayout>
      </c:layout>
      <c:barChart>
        <c:barDir val="col"/>
        <c:grouping val="clustered"/>
        <c:varyColors val="0"/>
        <c:ser>
          <c:idx val="0"/>
          <c:order val="0"/>
          <c:tx>
            <c:strRef>
              <c:f>MIC_MBC_Replicates!$G$32</c:f>
              <c:strCache>
                <c:ptCount val="1"/>
                <c:pt idx="0">
                  <c:v>Growth Inhibition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40000" dist="23000" dir="5400000" rotWithShape="0">
                <a:srgbClr val="000000">
                  <a:alpha val="35000"/>
                </a:srgbClr>
              </a:outerShdw>
            </a:effectLst>
          </c:spPr>
          <c:invertIfNegative val="0"/>
          <c:errBars>
            <c:errBarType val="both"/>
            <c:errValType val="cust"/>
            <c:noEndCap val="0"/>
            <c:plus>
              <c:numRef>
                <c:f>MIC_MBC_Replicates!$H$33:$H$42</c:f>
                <c:numCache>
                  <c:formatCode>General</c:formatCode>
                  <c:ptCount val="10"/>
                  <c:pt idx="0">
                    <c:v>0.09</c:v>
                  </c:pt>
                  <c:pt idx="1">
                    <c:v>0.05</c:v>
                  </c:pt>
                  <c:pt idx="2">
                    <c:v>0.05</c:v>
                  </c:pt>
                  <c:pt idx="3">
                    <c:v>0.15315877053156557</c:v>
                  </c:pt>
                  <c:pt idx="4">
                    <c:v>0.69</c:v>
                  </c:pt>
                  <c:pt idx="5">
                    <c:v>1.2360484009021615</c:v>
                  </c:pt>
                  <c:pt idx="6">
                    <c:v>1.4150688943610039</c:v>
                  </c:pt>
                  <c:pt idx="7">
                    <c:v>1.6652814244528813</c:v>
                  </c:pt>
                  <c:pt idx="8">
                    <c:v>0.69266006935343316</c:v>
                  </c:pt>
                  <c:pt idx="9">
                    <c:v>2.1149363116927837</c:v>
                  </c:pt>
                </c:numCache>
              </c:numRef>
            </c:plus>
            <c:minus>
              <c:numRef>
                <c:f>MIC_MBC_Replicates!$H$33:$H$42</c:f>
                <c:numCache>
                  <c:formatCode>General</c:formatCode>
                  <c:ptCount val="10"/>
                  <c:pt idx="0">
                    <c:v>0.09</c:v>
                  </c:pt>
                  <c:pt idx="1">
                    <c:v>0.05</c:v>
                  </c:pt>
                  <c:pt idx="2">
                    <c:v>0.05</c:v>
                  </c:pt>
                  <c:pt idx="3">
                    <c:v>0.15315877053156557</c:v>
                  </c:pt>
                  <c:pt idx="4">
                    <c:v>0.69</c:v>
                  </c:pt>
                  <c:pt idx="5">
                    <c:v>1.2360484009021615</c:v>
                  </c:pt>
                  <c:pt idx="6">
                    <c:v>1.4150688943610039</c:v>
                  </c:pt>
                  <c:pt idx="7">
                    <c:v>1.6652814244528813</c:v>
                  </c:pt>
                  <c:pt idx="8">
                    <c:v>0.69266006935343316</c:v>
                  </c:pt>
                  <c:pt idx="9">
                    <c:v>2.1149363116927837</c:v>
                  </c:pt>
                </c:numCache>
              </c:numRef>
            </c:minus>
            <c:spPr>
              <a:noFill/>
              <a:ln w="15875">
                <a:solidFill>
                  <a:schemeClr val="tx1">
                    <a:lumMod val="65000"/>
                    <a:lumOff val="35000"/>
                  </a:schemeClr>
                </a:solidFill>
                <a:round/>
              </a:ln>
              <a:effectLst/>
            </c:spPr>
          </c:errBars>
          <c:cat>
            <c:numRef>
              <c:f>MIC_MBC_Replicates!$F$33:$F$42</c:f>
              <c:numCache>
                <c:formatCode>0.00</c:formatCode>
                <c:ptCount val="10"/>
                <c:pt idx="0">
                  <c:v>20</c:v>
                </c:pt>
                <c:pt idx="1">
                  <c:v>10</c:v>
                </c:pt>
                <c:pt idx="2">
                  <c:v>5</c:v>
                </c:pt>
                <c:pt idx="3">
                  <c:v>2.5</c:v>
                </c:pt>
                <c:pt idx="4">
                  <c:v>1.25</c:v>
                </c:pt>
                <c:pt idx="5">
                  <c:v>0.625</c:v>
                </c:pt>
                <c:pt idx="6">
                  <c:v>0.312</c:v>
                </c:pt>
                <c:pt idx="7">
                  <c:v>0.156</c:v>
                </c:pt>
                <c:pt idx="8">
                  <c:v>7.8E-2</c:v>
                </c:pt>
                <c:pt idx="9">
                  <c:v>3.9E-2</c:v>
                </c:pt>
              </c:numCache>
            </c:numRef>
          </c:cat>
          <c:val>
            <c:numRef>
              <c:f>MIC_MBC_Replicates!$G$33:$G$42</c:f>
              <c:numCache>
                <c:formatCode>0.00</c:formatCode>
                <c:ptCount val="10"/>
                <c:pt idx="0">
                  <c:v>100</c:v>
                </c:pt>
                <c:pt idx="1">
                  <c:v>100</c:v>
                </c:pt>
                <c:pt idx="2">
                  <c:v>100</c:v>
                </c:pt>
                <c:pt idx="3">
                  <c:v>100</c:v>
                </c:pt>
                <c:pt idx="4">
                  <c:v>73.563218390804579</c:v>
                </c:pt>
                <c:pt idx="5">
                  <c:v>45.977011494252878</c:v>
                </c:pt>
                <c:pt idx="6">
                  <c:v>31.417624521072796</c:v>
                </c:pt>
                <c:pt idx="7">
                  <c:v>20.306513409961671</c:v>
                </c:pt>
                <c:pt idx="8">
                  <c:v>13.793103448275861</c:v>
                </c:pt>
                <c:pt idx="9">
                  <c:v>8.0459770114942604</c:v>
                </c:pt>
              </c:numCache>
            </c:numRef>
          </c:val>
          <c:extLst>
            <c:ext xmlns:c16="http://schemas.microsoft.com/office/drawing/2014/chart" uri="{C3380CC4-5D6E-409C-BE32-E72D297353CC}">
              <c16:uniqueId val="{00000000-5A57-41C7-A86C-425F27F4DDBE}"/>
            </c:ext>
          </c:extLst>
        </c:ser>
        <c:dLbls>
          <c:showLegendKey val="0"/>
          <c:showVal val="0"/>
          <c:showCatName val="0"/>
          <c:showSerName val="0"/>
          <c:showPercent val="0"/>
          <c:showBubbleSize val="0"/>
        </c:dLbls>
        <c:gapWidth val="100"/>
        <c:overlap val="-24"/>
        <c:axId val="1680185184"/>
        <c:axId val="1680189984"/>
      </c:barChart>
      <c:catAx>
        <c:axId val="168018518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i="1"/>
                  <a:t>Curcuma longa </a:t>
                </a:r>
                <a:r>
                  <a:rPr lang="en-IN"/>
                  <a:t>concentration (mg/mL)</a:t>
                </a:r>
              </a:p>
            </c:rich>
          </c:tx>
          <c:layout>
            <c:manualLayout>
              <c:xMode val="edge"/>
              <c:yMode val="edge"/>
              <c:x val="0.14679902529847452"/>
              <c:y val="0.9272422017801970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80189984"/>
        <c:crosses val="autoZero"/>
        <c:auto val="1"/>
        <c:lblAlgn val="ctr"/>
        <c:lblOffset val="100"/>
        <c:noMultiLvlLbl val="0"/>
      </c:catAx>
      <c:valAx>
        <c:axId val="1680189984"/>
        <c:scaling>
          <c:orientation val="minMax"/>
          <c:max val="100"/>
          <c:min val="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Growth Inhibition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80185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4656</TotalTime>
  <Pages>13</Pages>
  <Words>5231</Words>
  <Characters>29818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soni</dc:creator>
  <cp:keywords/>
  <dc:description/>
  <cp:lastModifiedBy>SDI 1180</cp:lastModifiedBy>
  <cp:revision>301</cp:revision>
  <dcterms:created xsi:type="dcterms:W3CDTF">2025-09-15T07:35:00Z</dcterms:created>
  <dcterms:modified xsi:type="dcterms:W3CDTF">2025-10-03T06:14:00Z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48c84cd8-a833-4b53-832c-42bbb9b2ec47</vt:lpwstr>
  </property>
</Properties>
</file>