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F1FF3" w14:textId="77777777" w:rsidR="0082394D" w:rsidRPr="00EA25AF" w:rsidRDefault="0082394D" w:rsidP="006A3CF7">
      <w:pPr>
        <w:pStyle w:val="Author"/>
        <w:spacing w:line="360" w:lineRule="auto"/>
        <w:jc w:val="center"/>
        <w:rPr>
          <w:rFonts w:ascii="Times New Roman" w:hAnsi="Times New Roman"/>
          <w:bCs/>
          <w:iCs/>
          <w:kern w:val="28"/>
          <w:szCs w:val="24"/>
        </w:rPr>
      </w:pPr>
      <w:r w:rsidRPr="00EA25AF">
        <w:rPr>
          <w:rFonts w:ascii="Times New Roman" w:hAnsi="Times New Roman"/>
          <w:bCs/>
          <w:iCs/>
          <w:kern w:val="28"/>
          <w:szCs w:val="24"/>
        </w:rPr>
        <w:t>Effect of different</w:t>
      </w:r>
      <w:r w:rsidR="00776DFA" w:rsidRPr="00EA25AF">
        <w:rPr>
          <w:rFonts w:ascii="Times New Roman" w:hAnsi="Times New Roman"/>
          <w:bCs/>
          <w:iCs/>
          <w:kern w:val="28"/>
          <w:szCs w:val="24"/>
        </w:rPr>
        <w:t xml:space="preserve"> Liquid Bio - fertilizers in</w:t>
      </w:r>
      <w:r w:rsidRPr="00EA25AF">
        <w:rPr>
          <w:rFonts w:ascii="Times New Roman" w:hAnsi="Times New Roman"/>
          <w:bCs/>
          <w:iCs/>
          <w:kern w:val="28"/>
          <w:szCs w:val="24"/>
        </w:rPr>
        <w:t xml:space="preserve"> comparison </w:t>
      </w:r>
      <w:r w:rsidR="00982DE1" w:rsidRPr="00EA25AF">
        <w:rPr>
          <w:rFonts w:ascii="Times New Roman" w:hAnsi="Times New Roman"/>
          <w:bCs/>
          <w:iCs/>
          <w:kern w:val="28"/>
          <w:szCs w:val="24"/>
        </w:rPr>
        <w:t>with Thiram on Seed Quality of W</w:t>
      </w:r>
      <w:r w:rsidRPr="00EA25AF">
        <w:rPr>
          <w:rFonts w:ascii="Times New Roman" w:hAnsi="Times New Roman"/>
          <w:bCs/>
          <w:iCs/>
          <w:kern w:val="28"/>
          <w:szCs w:val="24"/>
        </w:rPr>
        <w:t>heat</w:t>
      </w:r>
      <w:r w:rsidR="00982DE1" w:rsidRPr="00EA25AF">
        <w:rPr>
          <w:rFonts w:ascii="Times New Roman" w:hAnsi="Times New Roman"/>
          <w:bCs/>
          <w:iCs/>
          <w:kern w:val="28"/>
          <w:szCs w:val="24"/>
        </w:rPr>
        <w:t xml:space="preserve"> (</w:t>
      </w:r>
      <w:r w:rsidR="00982DE1" w:rsidRPr="00EA25AF">
        <w:rPr>
          <w:rFonts w:ascii="Times New Roman" w:hAnsi="Times New Roman"/>
          <w:bCs/>
          <w:i/>
          <w:kern w:val="28"/>
          <w:szCs w:val="24"/>
        </w:rPr>
        <w:t>Triticum aestivum</w:t>
      </w:r>
      <w:r w:rsidR="00982DE1" w:rsidRPr="00EA25AF">
        <w:rPr>
          <w:rFonts w:ascii="Times New Roman" w:hAnsi="Times New Roman"/>
          <w:bCs/>
          <w:iCs/>
          <w:kern w:val="28"/>
          <w:szCs w:val="24"/>
        </w:rPr>
        <w:t xml:space="preserve"> L.)</w:t>
      </w:r>
    </w:p>
    <w:p w14:paraId="1FDB5065" w14:textId="77777777" w:rsidR="000A1F86" w:rsidRPr="00EA25AF" w:rsidRDefault="000A1F86" w:rsidP="006A3CF7">
      <w:pPr>
        <w:pStyle w:val="Author"/>
        <w:spacing w:line="360" w:lineRule="auto"/>
        <w:jc w:val="center"/>
        <w:rPr>
          <w:rFonts w:ascii="Times New Roman" w:hAnsi="Times New Roman"/>
          <w:szCs w:val="24"/>
        </w:rPr>
      </w:pPr>
    </w:p>
    <w:p w14:paraId="3879A3C1" w14:textId="77777777" w:rsidR="00895B72" w:rsidRPr="00EA25AF" w:rsidRDefault="00895B72" w:rsidP="00895B72">
      <w:pPr>
        <w:jc w:val="center"/>
        <w:rPr>
          <w:rFonts w:ascii="Times New Roman" w:hAnsi="Times New Roman" w:cs="Times New Roman"/>
          <w:b/>
          <w:bCs/>
        </w:rPr>
      </w:pPr>
    </w:p>
    <w:p w14:paraId="036F9AD0" w14:textId="22F6D70B" w:rsidR="00FB3B2F" w:rsidRPr="00EA25AF" w:rsidRDefault="00FB3B2F" w:rsidP="006A3CF7">
      <w:pPr>
        <w:pStyle w:val="Author"/>
        <w:spacing w:line="360" w:lineRule="auto"/>
        <w:jc w:val="both"/>
        <w:rPr>
          <w:rFonts w:ascii="Times New Roman" w:eastAsia="Calibri" w:hAnsi="Times New Roman"/>
          <w:sz w:val="22"/>
          <w:szCs w:val="22"/>
          <w:lang w:val="en-IN"/>
        </w:rPr>
      </w:pPr>
      <w:r w:rsidRPr="00EA25AF">
        <w:rPr>
          <w:rFonts w:ascii="Times New Roman" w:eastAsia="Calibri" w:hAnsi="Times New Roman"/>
          <w:sz w:val="22"/>
          <w:szCs w:val="22"/>
          <w:lang w:val="en-IN"/>
        </w:rPr>
        <w:t>Abstract</w:t>
      </w:r>
    </w:p>
    <w:p w14:paraId="0286AD86" w14:textId="11120768" w:rsidR="00FB3B2F" w:rsidRPr="00EA25AF" w:rsidRDefault="00FB3B2F" w:rsidP="006A3CF7">
      <w:pPr>
        <w:pStyle w:val="Author"/>
        <w:spacing w:line="360" w:lineRule="auto"/>
        <w:jc w:val="both"/>
        <w:rPr>
          <w:rFonts w:ascii="Times New Roman" w:eastAsia="Calibri" w:hAnsi="Times New Roman"/>
          <w:b w:val="0"/>
          <w:bCs/>
          <w:sz w:val="22"/>
          <w:szCs w:val="22"/>
          <w:lang w:val="en-IN"/>
        </w:rPr>
      </w:pPr>
      <w:r w:rsidRPr="00EA25AF">
        <w:rPr>
          <w:rFonts w:ascii="Times New Roman" w:eastAsia="Calibri" w:hAnsi="Times New Roman"/>
          <w:b w:val="0"/>
          <w:bCs/>
          <w:sz w:val="22"/>
          <w:szCs w:val="22"/>
          <w:lang w:val="en-IN"/>
        </w:rPr>
        <w:t>This study investigates the comparative effects of different liquid biofertilizers and the chemical fungicide Thiram on seed quality parameters of wheat (Triticum aestivum L.), using variety K1317 under laboratory conditions over two years (2023–202</w:t>
      </w:r>
      <w:r w:rsidR="00F01011">
        <w:rPr>
          <w:rFonts w:ascii="Times New Roman" w:eastAsia="Calibri" w:hAnsi="Times New Roman"/>
          <w:b w:val="0"/>
          <w:bCs/>
          <w:sz w:val="22"/>
          <w:szCs w:val="22"/>
          <w:lang w:val="en-IN"/>
        </w:rPr>
        <w:t>5</w:t>
      </w:r>
      <w:r w:rsidRPr="00EA25AF">
        <w:rPr>
          <w:rFonts w:ascii="Times New Roman" w:eastAsia="Calibri" w:hAnsi="Times New Roman"/>
          <w:b w:val="0"/>
          <w:bCs/>
          <w:sz w:val="22"/>
          <w:szCs w:val="22"/>
          <w:lang w:val="en-IN"/>
        </w:rPr>
        <w:t xml:space="preserve">) at Chandra Shekhar Azad University of Agriculture and Technology, Kanpur. Ten treatment combinations, including five liquid biofertilizers (EM culture, PSB, KSB, </w:t>
      </w:r>
      <w:r w:rsidR="004C3436" w:rsidRPr="00EA25AF">
        <w:rPr>
          <w:rFonts w:ascii="Times New Roman" w:eastAsia="Calibri" w:hAnsi="Times New Roman"/>
          <w:b w:val="0"/>
          <w:bCs/>
          <w:i/>
          <w:iCs/>
          <w:sz w:val="22"/>
          <w:szCs w:val="22"/>
          <w:lang w:val="en-IN"/>
        </w:rPr>
        <w:t>Pseudomonas</w:t>
      </w:r>
      <w:r w:rsidRPr="00EA25AF">
        <w:rPr>
          <w:rFonts w:ascii="Times New Roman" w:eastAsia="Calibri" w:hAnsi="Times New Roman"/>
          <w:b w:val="0"/>
          <w:bCs/>
          <w:sz w:val="22"/>
          <w:szCs w:val="22"/>
          <w:lang w:val="en-IN"/>
        </w:rPr>
        <w:t xml:space="preserve">, </w:t>
      </w:r>
      <w:proofErr w:type="spellStart"/>
      <w:r w:rsidR="004C3436" w:rsidRPr="00EA25AF">
        <w:rPr>
          <w:rFonts w:ascii="Times New Roman" w:eastAsia="Calibri" w:hAnsi="Times New Roman"/>
          <w:b w:val="0"/>
          <w:bCs/>
          <w:i/>
          <w:iCs/>
          <w:sz w:val="22"/>
          <w:szCs w:val="22"/>
          <w:lang w:val="en-IN"/>
        </w:rPr>
        <w:t>Azospirillum</w:t>
      </w:r>
      <w:proofErr w:type="spellEnd"/>
      <w:r w:rsidRPr="00EA25AF">
        <w:rPr>
          <w:rFonts w:ascii="Times New Roman" w:eastAsia="Calibri" w:hAnsi="Times New Roman"/>
          <w:b w:val="0"/>
          <w:bCs/>
          <w:sz w:val="22"/>
          <w:szCs w:val="22"/>
          <w:lang w:val="en-IN"/>
        </w:rPr>
        <w:t xml:space="preserve">), Thiram, and an untreated control, were evaluated in a Completely Randomized Design (CRD) with three replications. Key parameters—physical seed quality, germination dynamics, seedling growth, and vigour indices—were measured and statistically </w:t>
      </w:r>
      <w:proofErr w:type="spellStart"/>
      <w:r w:rsidRPr="00EA25AF">
        <w:rPr>
          <w:rFonts w:ascii="Times New Roman" w:eastAsia="Calibri" w:hAnsi="Times New Roman"/>
          <w:b w:val="0"/>
          <w:bCs/>
          <w:sz w:val="22"/>
          <w:szCs w:val="22"/>
          <w:lang w:val="en-IN"/>
        </w:rPr>
        <w:t>analyzed</w:t>
      </w:r>
      <w:proofErr w:type="spellEnd"/>
      <w:r w:rsidRPr="00EA25AF">
        <w:rPr>
          <w:rFonts w:ascii="Times New Roman" w:eastAsia="Calibri" w:hAnsi="Times New Roman"/>
          <w:b w:val="0"/>
          <w:bCs/>
          <w:sz w:val="22"/>
          <w:szCs w:val="22"/>
          <w:lang w:val="en-IN"/>
        </w:rPr>
        <w:t xml:space="preserve"> using ANOVA at a 5% significance level and 95% confidence interval. Results revealed that seeds treated with </w:t>
      </w:r>
      <w:proofErr w:type="spellStart"/>
      <w:r w:rsidR="004C3436" w:rsidRPr="00EA25AF">
        <w:rPr>
          <w:rFonts w:ascii="Times New Roman" w:eastAsia="Calibri" w:hAnsi="Times New Roman"/>
          <w:b w:val="0"/>
          <w:bCs/>
          <w:i/>
          <w:iCs/>
          <w:sz w:val="22"/>
          <w:szCs w:val="22"/>
          <w:lang w:val="en-IN"/>
        </w:rPr>
        <w:t>Azospirillum</w:t>
      </w:r>
      <w:proofErr w:type="spellEnd"/>
      <w:r w:rsidRPr="00EA25AF">
        <w:rPr>
          <w:rFonts w:ascii="Times New Roman" w:eastAsia="Calibri" w:hAnsi="Times New Roman"/>
          <w:b w:val="0"/>
          <w:bCs/>
          <w:sz w:val="22"/>
          <w:szCs w:val="22"/>
          <w:lang w:val="en-IN"/>
        </w:rPr>
        <w:t xml:space="preserve"> + PSB (T8, 20 ml/kg seed) consistently performed best, demonstrating significant improvements in test weight, seed L/B ratio, germination rate, seedling length, seedling dry weight, and vigour indices compared to control and Thiram treatments. These findings underscore the dual benefits of liquid biofertilizer application: sustainable crop production and enhanced seed physiological quality. The study concludes that adopting liquid biofertilizer treatments, particularly </w:t>
      </w:r>
      <w:proofErr w:type="spellStart"/>
      <w:r w:rsidR="004C3436" w:rsidRPr="00EA25AF">
        <w:rPr>
          <w:rFonts w:ascii="Times New Roman" w:eastAsia="Calibri" w:hAnsi="Times New Roman"/>
          <w:b w:val="0"/>
          <w:bCs/>
          <w:i/>
          <w:iCs/>
          <w:sz w:val="22"/>
          <w:szCs w:val="22"/>
          <w:lang w:val="en-IN"/>
        </w:rPr>
        <w:t>Azospirillum</w:t>
      </w:r>
      <w:proofErr w:type="spellEnd"/>
      <w:r w:rsidRPr="00EA25AF">
        <w:rPr>
          <w:rFonts w:ascii="Times New Roman" w:eastAsia="Calibri" w:hAnsi="Times New Roman"/>
          <w:b w:val="0"/>
          <w:bCs/>
          <w:sz w:val="22"/>
          <w:szCs w:val="22"/>
          <w:lang w:val="en-IN"/>
        </w:rPr>
        <w:t> + PSB, provides an environmentally responsible pathway for producing high-</w:t>
      </w:r>
      <w:r w:rsidR="0063266A" w:rsidRPr="00EA25AF">
        <w:rPr>
          <w:rFonts w:ascii="Times New Roman" w:eastAsia="Calibri" w:hAnsi="Times New Roman"/>
          <w:b w:val="0"/>
          <w:bCs/>
          <w:sz w:val="22"/>
          <w:szCs w:val="22"/>
          <w:lang w:val="en-IN"/>
        </w:rPr>
        <w:t>vigour</w:t>
      </w:r>
      <w:r w:rsidRPr="00EA25AF">
        <w:rPr>
          <w:rFonts w:ascii="Times New Roman" w:eastAsia="Calibri" w:hAnsi="Times New Roman"/>
          <w:b w:val="0"/>
          <w:bCs/>
          <w:sz w:val="22"/>
          <w:szCs w:val="22"/>
          <w:lang w:val="en-IN"/>
        </w:rPr>
        <w:t>, nutrient-rich wheat seeds, offering superior alternatives to conventional chemical seed treatments.</w:t>
      </w:r>
    </w:p>
    <w:p w14:paraId="32A8DC12" w14:textId="702EDB12" w:rsidR="0082394D" w:rsidRPr="00EA25AF" w:rsidRDefault="0082394D" w:rsidP="006A3CF7">
      <w:pPr>
        <w:pStyle w:val="Body"/>
        <w:spacing w:line="360" w:lineRule="auto"/>
        <w:rPr>
          <w:rFonts w:ascii="Times New Roman" w:hAnsi="Times New Roman"/>
          <w:iCs/>
          <w:sz w:val="22"/>
          <w:szCs w:val="22"/>
          <w:lang w:val="en-IN"/>
        </w:rPr>
      </w:pPr>
      <w:r w:rsidRPr="00EA25AF">
        <w:rPr>
          <w:rFonts w:ascii="Times New Roman" w:hAnsi="Times New Roman"/>
          <w:b/>
          <w:bCs/>
          <w:iCs/>
          <w:sz w:val="22"/>
          <w:szCs w:val="22"/>
        </w:rPr>
        <w:t>Keywords:</w:t>
      </w:r>
      <w:r w:rsidRPr="00EA25AF">
        <w:rPr>
          <w:rFonts w:ascii="Times New Roman" w:hAnsi="Times New Roman"/>
          <w:i/>
          <w:sz w:val="22"/>
          <w:szCs w:val="22"/>
        </w:rPr>
        <w:t xml:space="preserve"> </w:t>
      </w:r>
      <w:r w:rsidRPr="00EA25AF">
        <w:rPr>
          <w:rFonts w:ascii="Times New Roman" w:hAnsi="Times New Roman"/>
          <w:iCs/>
          <w:sz w:val="22"/>
          <w:szCs w:val="22"/>
          <w:lang w:val="en-IN"/>
        </w:rPr>
        <w:t xml:space="preserve">Wheat, Biofertilizer, Seed Treatment, Growth Parameters, RBD, </w:t>
      </w:r>
      <w:proofErr w:type="spellStart"/>
      <w:r w:rsidR="004C3436" w:rsidRPr="00EA25AF">
        <w:rPr>
          <w:rFonts w:ascii="Times New Roman" w:hAnsi="Times New Roman"/>
          <w:i/>
          <w:iCs/>
          <w:sz w:val="22"/>
          <w:szCs w:val="22"/>
          <w:lang w:val="en-IN"/>
        </w:rPr>
        <w:t>Azospirillum</w:t>
      </w:r>
      <w:proofErr w:type="spellEnd"/>
      <w:r w:rsidRPr="00EA25AF">
        <w:rPr>
          <w:rFonts w:ascii="Times New Roman" w:hAnsi="Times New Roman"/>
          <w:iCs/>
          <w:sz w:val="22"/>
          <w:szCs w:val="22"/>
          <w:lang w:val="en-IN"/>
        </w:rPr>
        <w:t>, PSB, Thiram, Python,</w:t>
      </w:r>
      <w:r w:rsidR="00D96A5A" w:rsidRPr="00EA25AF">
        <w:rPr>
          <w:rFonts w:ascii="Times New Roman" w:hAnsi="Times New Roman"/>
          <w:iCs/>
          <w:sz w:val="22"/>
          <w:szCs w:val="22"/>
          <w:lang w:val="en-IN"/>
        </w:rPr>
        <w:t xml:space="preserve"> </w:t>
      </w:r>
      <w:r w:rsidR="00982DE1" w:rsidRPr="00EA25AF">
        <w:rPr>
          <w:rFonts w:ascii="Times New Roman" w:hAnsi="Times New Roman"/>
          <w:iCs/>
          <w:sz w:val="22"/>
          <w:szCs w:val="22"/>
          <w:lang w:val="en-IN"/>
        </w:rPr>
        <w:t>MATLAB</w:t>
      </w:r>
    </w:p>
    <w:p w14:paraId="7C655351" w14:textId="77777777" w:rsidR="00D153A6" w:rsidRPr="00EA25AF" w:rsidRDefault="00D153A6" w:rsidP="006A3CF7">
      <w:pPr>
        <w:pStyle w:val="Body"/>
        <w:spacing w:after="0" w:line="360" w:lineRule="auto"/>
        <w:rPr>
          <w:rFonts w:ascii="Times New Roman" w:hAnsi="Times New Roman"/>
          <w:b/>
          <w:bCs/>
          <w:iCs/>
          <w:sz w:val="22"/>
          <w:szCs w:val="22"/>
          <w:lang w:val="en-IN"/>
        </w:rPr>
      </w:pPr>
    </w:p>
    <w:p w14:paraId="563A423C" w14:textId="77777777" w:rsidR="00D153A6" w:rsidRPr="00EA25AF" w:rsidRDefault="00D153A6" w:rsidP="006A3CF7">
      <w:pPr>
        <w:pStyle w:val="Body"/>
        <w:spacing w:after="0" w:line="360" w:lineRule="auto"/>
        <w:rPr>
          <w:rFonts w:ascii="Times New Roman" w:hAnsi="Times New Roman"/>
          <w:b/>
          <w:bCs/>
          <w:iCs/>
          <w:sz w:val="22"/>
          <w:szCs w:val="22"/>
          <w:lang w:val="en-IN"/>
        </w:rPr>
      </w:pPr>
    </w:p>
    <w:p w14:paraId="130F747C" w14:textId="77777777" w:rsidR="0082394D" w:rsidRPr="00EA25AF" w:rsidRDefault="0082394D" w:rsidP="006A3CF7">
      <w:pPr>
        <w:pStyle w:val="Body"/>
        <w:spacing w:after="0" w:line="360" w:lineRule="auto"/>
        <w:rPr>
          <w:rFonts w:ascii="Times New Roman" w:hAnsi="Times New Roman"/>
          <w:b/>
          <w:bCs/>
          <w:iCs/>
          <w:sz w:val="22"/>
          <w:szCs w:val="22"/>
          <w:lang w:val="en-IN"/>
        </w:rPr>
      </w:pPr>
      <w:r w:rsidRPr="00EA25AF">
        <w:rPr>
          <w:rFonts w:ascii="Times New Roman" w:hAnsi="Times New Roman"/>
          <w:b/>
          <w:bCs/>
          <w:iCs/>
          <w:sz w:val="22"/>
          <w:szCs w:val="22"/>
          <w:lang w:val="en-IN"/>
        </w:rPr>
        <w:t>INTRODUCTION</w:t>
      </w:r>
    </w:p>
    <w:p w14:paraId="2A75B4F9" w14:textId="1EECD9E3" w:rsidR="0090748F" w:rsidRPr="00EA25AF" w:rsidRDefault="0090748F" w:rsidP="006A3CF7">
      <w:pPr>
        <w:pStyle w:val="Body"/>
        <w:spacing w:after="0" w:line="360" w:lineRule="auto"/>
        <w:rPr>
          <w:rFonts w:ascii="Times New Roman" w:hAnsi="Times New Roman"/>
          <w:iCs/>
          <w:sz w:val="22"/>
          <w:szCs w:val="22"/>
          <w:lang w:val="en-IN"/>
        </w:rPr>
      </w:pPr>
      <w:r w:rsidRPr="00EA25AF">
        <w:rPr>
          <w:rFonts w:ascii="Times New Roman" w:hAnsi="Times New Roman"/>
          <w:iCs/>
          <w:sz w:val="22"/>
          <w:szCs w:val="22"/>
          <w:lang w:val="en-IN"/>
        </w:rPr>
        <w:t xml:space="preserve">Recent climate change dynamics are substantially impeding wheat production, necessitating modifications to conventional agricultural practices for sustainable yield maintenance (Asseng et al., 2015; Valizadeh et al., 2014). Wheat (Triticum aestivum L.), which delivers approximately 20% of global dietary protein and calories, is second only to maize in total world grain output, underpinning food security across Asia, Europe, and North Africa (FAO, 2023). In 2023, worldwide wheat production reached an estimated 790 million tonnes, marginally surpassing the five-year average, primarily due to favourable climatic conditions in </w:t>
      </w:r>
      <w:r w:rsidR="00A74EA6" w:rsidRPr="00EA25AF">
        <w:rPr>
          <w:rFonts w:ascii="Times New Roman" w:hAnsi="Times New Roman"/>
          <w:iCs/>
          <w:sz w:val="22"/>
          <w:szCs w:val="22"/>
          <w:lang w:val="en-IN"/>
        </w:rPr>
        <w:t>principle</w:t>
      </w:r>
      <w:r w:rsidRPr="00EA25AF">
        <w:rPr>
          <w:rFonts w:ascii="Times New Roman" w:hAnsi="Times New Roman"/>
          <w:iCs/>
          <w:sz w:val="22"/>
          <w:szCs w:val="22"/>
          <w:lang w:val="en-IN"/>
        </w:rPr>
        <w:t xml:space="preserve"> growing regions (FAO, 2024). As the world’s second-leading wheat producer, India contributed 13–14% of global output, with roughly 30.5 </w:t>
      </w:r>
      <w:r w:rsidRPr="00EA25AF">
        <w:rPr>
          <w:rFonts w:ascii="Times New Roman" w:hAnsi="Times New Roman"/>
          <w:iCs/>
          <w:sz w:val="22"/>
          <w:szCs w:val="22"/>
          <w:lang w:val="en-IN"/>
        </w:rPr>
        <w:lastRenderedPageBreak/>
        <w:t>million hectares cultivated in the 2023–24 cycle and a harvest exceeding 112 million tonnes (</w:t>
      </w:r>
      <w:proofErr w:type="spellStart"/>
      <w:r w:rsidRPr="00EA25AF">
        <w:rPr>
          <w:rFonts w:ascii="Times New Roman" w:hAnsi="Times New Roman"/>
          <w:iCs/>
          <w:sz w:val="22"/>
          <w:szCs w:val="22"/>
          <w:lang w:val="en-IN"/>
        </w:rPr>
        <w:t>MoAFW</w:t>
      </w:r>
      <w:proofErr w:type="spellEnd"/>
      <w:r w:rsidRPr="00EA25AF">
        <w:rPr>
          <w:rFonts w:ascii="Times New Roman" w:hAnsi="Times New Roman"/>
          <w:iCs/>
          <w:sz w:val="22"/>
          <w:szCs w:val="22"/>
          <w:lang w:val="en-IN"/>
        </w:rPr>
        <w:t>, 2024).</w:t>
      </w:r>
    </w:p>
    <w:p w14:paraId="44D0DD6E" w14:textId="47289EEA" w:rsidR="0090748F" w:rsidRPr="00EA25AF" w:rsidRDefault="0090748F" w:rsidP="006A3CF7">
      <w:pPr>
        <w:pStyle w:val="Body"/>
        <w:spacing w:line="360" w:lineRule="auto"/>
        <w:rPr>
          <w:rFonts w:ascii="Times New Roman" w:hAnsi="Times New Roman"/>
          <w:iCs/>
          <w:sz w:val="22"/>
          <w:szCs w:val="22"/>
          <w:lang w:val="en-IN"/>
        </w:rPr>
      </w:pPr>
      <w:r w:rsidRPr="00EA25AF">
        <w:rPr>
          <w:rFonts w:ascii="Times New Roman" w:hAnsi="Times New Roman"/>
          <w:iCs/>
          <w:sz w:val="22"/>
          <w:szCs w:val="22"/>
          <w:lang w:val="en-IN"/>
        </w:rPr>
        <w:t xml:space="preserve">Liquid biofertilizers, comprising beneficial microbial consortia, facilitate nutrient availability via nitrogen fixation, phosphorus solubilization, and synthesis of plant growth-promoting substances. These formulations surpass solid carrier-based biofertilizers in microbial population density, shelf life, and application ease, aligning with advanced agronomic techniques (Gupta et al., 2018). Seed treatment, a cornerstone strategy for enhancing germination and early seedling </w:t>
      </w:r>
      <w:proofErr w:type="spellStart"/>
      <w:r w:rsidRPr="00EA25AF">
        <w:rPr>
          <w:rFonts w:ascii="Times New Roman" w:hAnsi="Times New Roman"/>
          <w:iCs/>
          <w:sz w:val="22"/>
          <w:szCs w:val="22"/>
          <w:lang w:val="en-IN"/>
        </w:rPr>
        <w:t>vigor</w:t>
      </w:r>
      <w:proofErr w:type="spellEnd"/>
      <w:r w:rsidRPr="00EA25AF">
        <w:rPr>
          <w:rFonts w:ascii="Times New Roman" w:hAnsi="Times New Roman"/>
          <w:iCs/>
          <w:sz w:val="22"/>
          <w:szCs w:val="22"/>
          <w:lang w:val="en-IN"/>
        </w:rPr>
        <w:t>, shows that while chemical fungicides like Thiram effectively mitigate seed- and soil-borne pathogens, they offer limited benefits to nutrient cycling and may disrupt key soil microbiomes. Thus, integrating liquid biofertilizer seed treatments holds promise for both environmental sustainability and improved crop establishment.</w:t>
      </w:r>
      <w:r w:rsidR="00A74EA6" w:rsidRPr="00EA25AF">
        <w:rPr>
          <w:rFonts w:ascii="Times New Roman" w:hAnsi="Times New Roman"/>
          <w:iCs/>
          <w:sz w:val="22"/>
          <w:szCs w:val="22"/>
          <w:lang w:val="en-IN"/>
        </w:rPr>
        <w:t xml:space="preserve"> </w:t>
      </w:r>
      <w:r w:rsidRPr="00EA25AF">
        <w:rPr>
          <w:rFonts w:ascii="Times New Roman" w:hAnsi="Times New Roman"/>
          <w:iCs/>
          <w:sz w:val="22"/>
          <w:szCs w:val="22"/>
          <w:lang w:val="en-IN"/>
        </w:rPr>
        <w:t>This research systematically evaluates the impact of diverse liquid biofertilizer treatments</w:t>
      </w:r>
      <w:r w:rsidR="00A74EA6" w:rsidRPr="00EA25AF">
        <w:rPr>
          <w:rFonts w:ascii="Times New Roman" w:hAnsi="Times New Roman"/>
          <w:iCs/>
          <w:sz w:val="22"/>
          <w:szCs w:val="22"/>
          <w:lang w:val="en-IN"/>
        </w:rPr>
        <w:t xml:space="preserve"> </w:t>
      </w:r>
      <w:r w:rsidRPr="00EA25AF">
        <w:rPr>
          <w:rFonts w:ascii="Times New Roman" w:hAnsi="Times New Roman"/>
          <w:iCs/>
          <w:sz w:val="22"/>
          <w:szCs w:val="22"/>
          <w:lang w:val="en-IN"/>
        </w:rPr>
        <w:t>alone and in combination</w:t>
      </w:r>
      <w:r w:rsidR="00A74EA6" w:rsidRPr="00EA25AF">
        <w:rPr>
          <w:rFonts w:ascii="Times New Roman" w:hAnsi="Times New Roman"/>
          <w:iCs/>
          <w:sz w:val="22"/>
          <w:szCs w:val="22"/>
          <w:lang w:val="en-IN"/>
        </w:rPr>
        <w:t xml:space="preserve"> </w:t>
      </w:r>
      <w:r w:rsidRPr="00EA25AF">
        <w:rPr>
          <w:rFonts w:ascii="Times New Roman" w:hAnsi="Times New Roman"/>
          <w:iCs/>
          <w:sz w:val="22"/>
          <w:szCs w:val="22"/>
          <w:lang w:val="en-IN"/>
        </w:rPr>
        <w:t>relative to Thiram and untreated controls on wheat growth, focusing on physiological seed traits and establishmen</w:t>
      </w:r>
      <w:r w:rsidR="00D153A6" w:rsidRPr="00EA25AF">
        <w:rPr>
          <w:rFonts w:ascii="Times New Roman" w:hAnsi="Times New Roman"/>
          <w:iCs/>
          <w:sz w:val="22"/>
          <w:szCs w:val="22"/>
          <w:lang w:val="en-IN"/>
        </w:rPr>
        <w:t xml:space="preserve">t efficacy (FAO, 2023, 2024; </w:t>
      </w:r>
      <w:proofErr w:type="spellStart"/>
      <w:r w:rsidRPr="00EA25AF">
        <w:rPr>
          <w:rFonts w:ascii="Times New Roman" w:hAnsi="Times New Roman"/>
          <w:iCs/>
          <w:sz w:val="22"/>
          <w:szCs w:val="22"/>
          <w:lang w:val="en-IN"/>
        </w:rPr>
        <w:t>MoAFW</w:t>
      </w:r>
      <w:proofErr w:type="spellEnd"/>
      <w:r w:rsidRPr="00EA25AF">
        <w:rPr>
          <w:rFonts w:ascii="Times New Roman" w:hAnsi="Times New Roman"/>
          <w:iCs/>
          <w:sz w:val="22"/>
          <w:szCs w:val="22"/>
          <w:lang w:val="en-IN"/>
        </w:rPr>
        <w:t>, 2024; Gupta et al., 2018).</w:t>
      </w:r>
    </w:p>
    <w:p w14:paraId="1D3E0BAC" w14:textId="7FB1F90F" w:rsidR="004C48C8" w:rsidRPr="00EA25AF" w:rsidRDefault="004C48C8" w:rsidP="006A3CF7">
      <w:pPr>
        <w:pStyle w:val="AbstHead"/>
        <w:spacing w:after="0" w:line="360" w:lineRule="auto"/>
        <w:jc w:val="both"/>
        <w:rPr>
          <w:rFonts w:ascii="Times New Roman" w:hAnsi="Times New Roman"/>
          <w:szCs w:val="22"/>
        </w:rPr>
      </w:pPr>
      <w:r w:rsidRPr="00EA25AF">
        <w:rPr>
          <w:rFonts w:ascii="Times New Roman" w:hAnsi="Times New Roman"/>
          <w:szCs w:val="22"/>
        </w:rPr>
        <w:t>material and Methods</w:t>
      </w:r>
    </w:p>
    <w:p w14:paraId="705291AF" w14:textId="27B022A0" w:rsidR="004C48C8" w:rsidRPr="00EA25AF" w:rsidRDefault="004C48C8" w:rsidP="006A3CF7">
      <w:pPr>
        <w:spacing w:line="360" w:lineRule="auto"/>
        <w:ind w:firstLine="720"/>
        <w:jc w:val="both"/>
        <w:rPr>
          <w:rFonts w:ascii="Times New Roman" w:hAnsi="Times New Roman" w:cs="Times New Roman"/>
          <w:lang w:eastAsia="en-IN" w:bidi="hi-IN"/>
        </w:rPr>
      </w:pPr>
      <w:r w:rsidRPr="00EA25AF">
        <w:rPr>
          <w:rFonts w:ascii="Times New Roman" w:hAnsi="Times New Roman" w:cs="Times New Roman"/>
          <w:lang w:eastAsia="en-IN" w:bidi="hi-IN"/>
        </w:rPr>
        <w:t xml:space="preserve">The experiment was carried out using consists of wheat variety k1317 and five different liquid bio fertilizers, alone and in combination with </w:t>
      </w:r>
      <w:proofErr w:type="spellStart"/>
      <w:r w:rsidR="004C3436" w:rsidRPr="00EA25AF">
        <w:rPr>
          <w:rFonts w:ascii="Times New Roman" w:hAnsi="Times New Roman" w:cs="Times New Roman"/>
          <w:i/>
          <w:iCs/>
          <w:lang w:eastAsia="en-IN" w:bidi="hi-IN"/>
        </w:rPr>
        <w:t>Azospirillum</w:t>
      </w:r>
      <w:proofErr w:type="spellEnd"/>
      <w:r w:rsidRPr="00EA25AF">
        <w:rPr>
          <w:rFonts w:ascii="Times New Roman" w:hAnsi="Times New Roman" w:cs="Times New Roman"/>
          <w:lang w:eastAsia="en-IN" w:bidi="hi-IN"/>
        </w:rPr>
        <w:t>, for the check control was used. The crop was sown on November 9, 202</w:t>
      </w:r>
      <w:r w:rsidR="00F01011">
        <w:rPr>
          <w:rFonts w:ascii="Times New Roman" w:hAnsi="Times New Roman" w:cs="Times New Roman"/>
          <w:lang w:eastAsia="en-IN" w:bidi="hi-IN"/>
        </w:rPr>
        <w:t>3</w:t>
      </w:r>
      <w:r w:rsidRPr="00EA25AF">
        <w:rPr>
          <w:rFonts w:ascii="Times New Roman" w:hAnsi="Times New Roman" w:cs="Times New Roman"/>
          <w:lang w:eastAsia="en-IN" w:bidi="hi-IN"/>
        </w:rPr>
        <w:t xml:space="preserve">, during the </w:t>
      </w:r>
      <w:r w:rsidRPr="00EA25AF">
        <w:rPr>
          <w:rFonts w:ascii="Times New Roman" w:hAnsi="Times New Roman" w:cs="Times New Roman"/>
          <w:i/>
          <w:iCs/>
          <w:lang w:eastAsia="en-IN" w:bidi="hi-IN"/>
        </w:rPr>
        <w:t>Rabi</w:t>
      </w:r>
      <w:r w:rsidRPr="00EA25AF">
        <w:rPr>
          <w:rFonts w:ascii="Times New Roman" w:hAnsi="Times New Roman" w:cs="Times New Roman"/>
          <w:lang w:eastAsia="en-IN" w:bidi="hi-IN"/>
        </w:rPr>
        <w:t xml:space="preserve"> season 2023-24. On November 9, 202</w:t>
      </w:r>
      <w:r w:rsidR="00F01011">
        <w:rPr>
          <w:rFonts w:ascii="Times New Roman" w:hAnsi="Times New Roman" w:cs="Times New Roman"/>
          <w:lang w:eastAsia="en-IN" w:bidi="hi-IN"/>
        </w:rPr>
        <w:t>4</w:t>
      </w:r>
      <w:r w:rsidRPr="00EA25AF">
        <w:rPr>
          <w:rFonts w:ascii="Times New Roman" w:hAnsi="Times New Roman" w:cs="Times New Roman"/>
          <w:lang w:eastAsia="en-IN" w:bidi="hi-IN"/>
        </w:rPr>
        <w:t>, a second trial was conducted at the C. S. Azad University of Agriculture and Technology, Kanpur. The laboratory experiment was conducted using a Completely Randomized Design (CRD) to ensure unbiased allocation of treatments.</w:t>
      </w:r>
    </w:p>
    <w:p w14:paraId="2AABDC5D" w14:textId="6B30BEB5" w:rsidR="004C48C8" w:rsidRPr="00EA25AF" w:rsidRDefault="004C48C8" w:rsidP="006A3CF7">
      <w:pPr>
        <w:spacing w:line="360" w:lineRule="auto"/>
        <w:ind w:firstLine="720"/>
        <w:jc w:val="both"/>
        <w:rPr>
          <w:rFonts w:ascii="Times New Roman" w:hAnsi="Times New Roman" w:cs="Times New Roman"/>
          <w:lang w:eastAsia="en-IN" w:bidi="hi-IN"/>
        </w:rPr>
      </w:pPr>
      <w:r w:rsidRPr="00EA25AF">
        <w:rPr>
          <w:rFonts w:ascii="Times New Roman" w:hAnsi="Times New Roman" w:cs="Times New Roman"/>
          <w:lang w:eastAsia="en-IN" w:bidi="hi-IN"/>
        </w:rPr>
        <w:t xml:space="preserve"> The trial </w:t>
      </w:r>
      <w:r w:rsidR="006A3CF7" w:rsidRPr="00EA25AF">
        <w:rPr>
          <w:rFonts w:ascii="Times New Roman" w:hAnsi="Times New Roman" w:cs="Times New Roman"/>
          <w:lang w:eastAsia="en-IN" w:bidi="hi-IN"/>
        </w:rPr>
        <w:t>sites</w:t>
      </w:r>
      <w:r w:rsidRPr="00EA25AF">
        <w:rPr>
          <w:rFonts w:ascii="Times New Roman" w:hAnsi="Times New Roman" w:cs="Times New Roman"/>
          <w:lang w:eastAsia="en-IN" w:bidi="hi-IN"/>
        </w:rPr>
        <w:t xml:space="preserve"> </w:t>
      </w:r>
      <w:r w:rsidR="006A3CF7" w:rsidRPr="00EA25AF">
        <w:rPr>
          <w:rFonts w:ascii="Times New Roman" w:hAnsi="Times New Roman" w:cs="Times New Roman"/>
          <w:lang w:eastAsia="en-IN" w:bidi="hi-IN"/>
        </w:rPr>
        <w:t>were</w:t>
      </w:r>
      <w:r w:rsidRPr="00EA25AF">
        <w:rPr>
          <w:rFonts w:ascii="Times New Roman" w:hAnsi="Times New Roman" w:cs="Times New Roman"/>
          <w:lang w:eastAsia="en-IN" w:bidi="hi-IN"/>
        </w:rPr>
        <w:t xml:space="preserve"> located at Kanpur district of Uttar Pradesh experiences hot summers and chilly winters due to its semi-arid climate. With sporadic showers throughout the winter, the monsoon season (up to September) receives about 80% of the yearly rainfall. To carry out the experiment in lab condition design used were Completely Randomized Design. The climate of district Kanpur is semi-arid with hot summer and cold winter. Nearly 80 per cent of total rainfall is received during the monsoon (only up to September) with a few showers in the winter. </w:t>
      </w:r>
    </w:p>
    <w:p w14:paraId="1E31A3F2" w14:textId="77777777" w:rsidR="004C48C8" w:rsidRPr="00EA25AF" w:rsidRDefault="004C48C8" w:rsidP="006A3CF7">
      <w:pPr>
        <w:spacing w:line="360" w:lineRule="auto"/>
        <w:jc w:val="both"/>
        <w:rPr>
          <w:rFonts w:ascii="Times New Roman" w:hAnsi="Times New Roman" w:cs="Times New Roman"/>
          <w:lang w:eastAsia="en-IN" w:bidi="hi-IN"/>
        </w:rPr>
      </w:pPr>
      <w:r w:rsidRPr="00EA25AF">
        <w:rPr>
          <w:rFonts w:ascii="Times New Roman" w:hAnsi="Times New Roman" w:cs="Times New Roman"/>
          <w:lang w:eastAsia="en-IN" w:bidi="hi-IN"/>
        </w:rPr>
        <w:t>For data collection different methods were used for different parameters:</w:t>
      </w:r>
    </w:p>
    <w:p w14:paraId="716B2B51" w14:textId="77777777" w:rsidR="004C48C8" w:rsidRPr="00EA25AF" w:rsidRDefault="004C48C8" w:rsidP="006A3CF7">
      <w:pPr>
        <w:pStyle w:val="ListParagraph"/>
        <w:numPr>
          <w:ilvl w:val="0"/>
          <w:numId w:val="2"/>
        </w:numPr>
        <w:spacing w:line="360" w:lineRule="auto"/>
        <w:jc w:val="both"/>
        <w:rPr>
          <w:rFonts w:ascii="Times New Roman" w:hAnsi="Times New Roman"/>
          <w:b/>
          <w:bCs/>
          <w:sz w:val="22"/>
          <w:szCs w:val="22"/>
          <w:lang w:eastAsia="en-IN" w:bidi="hi-IN"/>
        </w:rPr>
      </w:pPr>
      <w:r w:rsidRPr="00EA25AF">
        <w:rPr>
          <w:rFonts w:ascii="Times New Roman" w:hAnsi="Times New Roman"/>
          <w:b/>
          <w:bCs/>
          <w:sz w:val="22"/>
          <w:szCs w:val="22"/>
          <w:lang w:eastAsia="en-IN" w:bidi="hi-IN"/>
        </w:rPr>
        <w:t>Physical Seed Quality Parameters</w:t>
      </w:r>
    </w:p>
    <w:p w14:paraId="3769A94E" w14:textId="77777777" w:rsidR="004C48C8" w:rsidRPr="00EA25AF" w:rsidRDefault="004C48C8" w:rsidP="006A3CF7">
      <w:pPr>
        <w:pStyle w:val="ListParagraph"/>
        <w:numPr>
          <w:ilvl w:val="0"/>
          <w:numId w:val="3"/>
        </w:numPr>
        <w:spacing w:line="360" w:lineRule="auto"/>
        <w:jc w:val="both"/>
        <w:rPr>
          <w:rFonts w:ascii="Times New Roman" w:hAnsi="Times New Roman"/>
          <w:b/>
          <w:bCs/>
          <w:sz w:val="22"/>
          <w:szCs w:val="22"/>
          <w:lang w:eastAsia="en-IN" w:bidi="hi-IN"/>
        </w:rPr>
      </w:pPr>
      <w:r w:rsidRPr="00EA25AF">
        <w:rPr>
          <w:rFonts w:ascii="Times New Roman" w:hAnsi="Times New Roman"/>
          <w:b/>
          <w:bCs/>
          <w:sz w:val="22"/>
          <w:szCs w:val="22"/>
          <w:lang w:eastAsia="en-IN" w:bidi="hi-IN"/>
        </w:rPr>
        <w:t>Test Weight 1000 Seed (g)</w:t>
      </w:r>
    </w:p>
    <w:p w14:paraId="6B90D7F2" w14:textId="77777777" w:rsidR="004C48C8" w:rsidRPr="00EA25AF" w:rsidRDefault="004C48C8" w:rsidP="006A3CF7">
      <w:pPr>
        <w:autoSpaceDE w:val="0"/>
        <w:autoSpaceDN w:val="0"/>
        <w:adjustRightInd w:val="0"/>
        <w:spacing w:before="120" w:after="120" w:line="360" w:lineRule="auto"/>
        <w:ind w:firstLine="720"/>
        <w:jc w:val="both"/>
        <w:rPr>
          <w:rFonts w:ascii="Times New Roman" w:eastAsia="Calibri" w:hAnsi="Times New Roman" w:cs="Times New Roman"/>
        </w:rPr>
      </w:pPr>
      <w:r w:rsidRPr="00EA25AF">
        <w:rPr>
          <w:rFonts w:ascii="Times New Roman" w:eastAsia="Calibri" w:hAnsi="Times New Roman" w:cs="Times New Roman"/>
        </w:rPr>
        <w:t>. For taking test weight one thousand randomly sampled seeds from each treatment in each of the four replications were weighed and expressed in gram.</w:t>
      </w:r>
    </w:p>
    <w:p w14:paraId="2EB94B1D" w14:textId="77777777" w:rsidR="004C48C8" w:rsidRPr="00EA25AF" w:rsidRDefault="004C48C8" w:rsidP="006A3CF7">
      <w:pPr>
        <w:pStyle w:val="ListParagraph"/>
        <w:numPr>
          <w:ilvl w:val="0"/>
          <w:numId w:val="3"/>
        </w:numPr>
        <w:autoSpaceDE w:val="0"/>
        <w:autoSpaceDN w:val="0"/>
        <w:adjustRightInd w:val="0"/>
        <w:spacing w:before="120" w:after="120" w:line="360" w:lineRule="auto"/>
        <w:jc w:val="both"/>
        <w:rPr>
          <w:rFonts w:ascii="Times New Roman" w:eastAsia="Calibri" w:hAnsi="Times New Roman"/>
          <w:sz w:val="22"/>
          <w:szCs w:val="22"/>
        </w:rPr>
      </w:pPr>
      <w:r w:rsidRPr="00EA25AF">
        <w:rPr>
          <w:rFonts w:ascii="Times New Roman" w:eastAsia="Calibri" w:hAnsi="Times New Roman"/>
          <w:b/>
          <w:bCs/>
          <w:sz w:val="22"/>
          <w:szCs w:val="22"/>
        </w:rPr>
        <w:t>Seed L: B ratio</w:t>
      </w:r>
    </w:p>
    <w:p w14:paraId="1583561A" w14:textId="77777777" w:rsidR="004C48C8" w:rsidRPr="00EA25AF" w:rsidRDefault="004C48C8" w:rsidP="006A3CF7">
      <w:pPr>
        <w:autoSpaceDE w:val="0"/>
        <w:autoSpaceDN w:val="0"/>
        <w:adjustRightInd w:val="0"/>
        <w:spacing w:before="120" w:after="120" w:line="360" w:lineRule="auto"/>
        <w:jc w:val="both"/>
        <w:rPr>
          <w:rFonts w:ascii="Times New Roman" w:eastAsia="Calibri" w:hAnsi="Times New Roman" w:cs="Times New Roman"/>
        </w:rPr>
      </w:pPr>
      <w:r w:rsidRPr="00EA25AF">
        <w:rPr>
          <w:rFonts w:ascii="Times New Roman" w:eastAsia="Calibri" w:hAnsi="Times New Roman" w:cs="Times New Roman"/>
        </w:rPr>
        <w:lastRenderedPageBreak/>
        <w:tab/>
        <w:t xml:space="preserve">One hundred intact wheat kernels per treatment were randomly selected. Kernel length (L) and breadth (S) were measured with a digital </w:t>
      </w:r>
      <w:proofErr w:type="spellStart"/>
      <w:r w:rsidRPr="00EA25AF">
        <w:rPr>
          <w:rFonts w:ascii="Times New Roman" w:eastAsia="Calibri" w:hAnsi="Times New Roman" w:cs="Times New Roman"/>
        </w:rPr>
        <w:t>vernier</w:t>
      </w:r>
      <w:proofErr w:type="spellEnd"/>
      <w:r w:rsidRPr="00EA25AF">
        <w:rPr>
          <w:rFonts w:ascii="Times New Roman" w:eastAsia="Calibri" w:hAnsi="Times New Roman" w:cs="Times New Roman"/>
        </w:rPr>
        <w:t xml:space="preserve"> </w:t>
      </w:r>
      <w:proofErr w:type="spellStart"/>
      <w:r w:rsidRPr="00EA25AF">
        <w:rPr>
          <w:rFonts w:ascii="Times New Roman" w:eastAsia="Calibri" w:hAnsi="Times New Roman" w:cs="Times New Roman"/>
        </w:rPr>
        <w:t>caliper</w:t>
      </w:r>
      <w:proofErr w:type="spellEnd"/>
      <w:r w:rsidRPr="00EA25AF">
        <w:rPr>
          <w:rFonts w:ascii="Times New Roman" w:eastAsia="Calibri" w:hAnsi="Times New Roman" w:cs="Times New Roman"/>
        </w:rPr>
        <w:t xml:space="preserve"> (0.01 mm least count). Length was the longest intercept; breadth was the equatorial width perpendicular to length. We calculated the aspect ratio as S/LS/LS/L for each kernel.</w:t>
      </w:r>
    </w:p>
    <w:p w14:paraId="6A8AF09F" w14:textId="77777777" w:rsidR="004C48C8" w:rsidRPr="00EA25AF" w:rsidRDefault="004C48C8" w:rsidP="006A3CF7">
      <w:pPr>
        <w:pStyle w:val="ListParagraph"/>
        <w:numPr>
          <w:ilvl w:val="0"/>
          <w:numId w:val="5"/>
        </w:numPr>
        <w:autoSpaceDE w:val="0"/>
        <w:autoSpaceDN w:val="0"/>
        <w:adjustRightInd w:val="0"/>
        <w:spacing w:before="120" w:after="120" w:line="360" w:lineRule="auto"/>
        <w:jc w:val="both"/>
        <w:rPr>
          <w:rFonts w:ascii="Times New Roman" w:eastAsia="Calibri" w:hAnsi="Times New Roman"/>
          <w:b/>
          <w:bCs/>
          <w:sz w:val="22"/>
          <w:szCs w:val="22"/>
        </w:rPr>
      </w:pPr>
      <w:r w:rsidRPr="00EA25AF">
        <w:rPr>
          <w:rFonts w:ascii="Times New Roman" w:eastAsia="Calibri" w:hAnsi="Times New Roman"/>
          <w:b/>
          <w:bCs/>
          <w:sz w:val="22"/>
          <w:szCs w:val="22"/>
        </w:rPr>
        <w:t>Germination and Germination dynamics</w:t>
      </w:r>
    </w:p>
    <w:p w14:paraId="6F3DE10B" w14:textId="77777777" w:rsidR="004C48C8" w:rsidRPr="00EA25AF" w:rsidRDefault="004C48C8" w:rsidP="006A3CF7">
      <w:pPr>
        <w:pStyle w:val="ListParagraph"/>
        <w:numPr>
          <w:ilvl w:val="0"/>
          <w:numId w:val="2"/>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Standard germination (%)</w:t>
      </w:r>
    </w:p>
    <w:p w14:paraId="33EF68AB" w14:textId="77777777" w:rsidR="004C48C8" w:rsidRPr="00EA25AF" w:rsidRDefault="004C48C8" w:rsidP="006A3CF7">
      <w:pPr>
        <w:autoSpaceDE w:val="0"/>
        <w:autoSpaceDN w:val="0"/>
        <w:adjustRightInd w:val="0"/>
        <w:spacing w:line="360" w:lineRule="auto"/>
        <w:jc w:val="both"/>
        <w:rPr>
          <w:rFonts w:ascii="Times New Roman" w:hAnsi="Times New Roman" w:cs="Times New Roman"/>
          <w:b/>
          <w:bCs/>
        </w:rPr>
      </w:pPr>
      <w:r w:rsidRPr="00EA25AF">
        <w:rPr>
          <w:rFonts w:ascii="Times New Roman" w:hAnsi="Times New Roman" w:cs="Times New Roman"/>
        </w:rPr>
        <w:t>The germination test was conducted according to ISTA rules (Anon, 1999). Four replications of 100 seeds for each treatment were evenly distributed on germination paper. Standard germination was carried out in the laboratory of the Department of Seed Science and Technology on moist germination paper and rolled in butter paper to avoid moisture evaporation during the test period. Samples were placed in plastic trays in slightly tilted position and transferred to a seed germinator at 20±2°C and 90±3% relative humidity. After eight days, the final count was done. The seedlings with normal roots and shoots were counted as normal seedlings</w:t>
      </w:r>
      <w:r w:rsidRPr="00EA25AF">
        <w:rPr>
          <w:rFonts w:ascii="Times New Roman" w:hAnsi="Times New Roman" w:cs="Times New Roman"/>
          <w:b/>
          <w:bCs/>
        </w:rPr>
        <w:t>.</w:t>
      </w:r>
    </w:p>
    <w:p w14:paraId="028F43C3" w14:textId="77777777" w:rsidR="004C48C8" w:rsidRPr="00EA25AF" w:rsidRDefault="004C48C8" w:rsidP="006A3CF7">
      <w:pPr>
        <w:autoSpaceDE w:val="0"/>
        <w:autoSpaceDN w:val="0"/>
        <w:adjustRightInd w:val="0"/>
        <w:spacing w:line="360" w:lineRule="auto"/>
        <w:jc w:val="both"/>
        <w:rPr>
          <w:rFonts w:ascii="Times New Roman" w:hAnsi="Times New Roman" w:cs="Times New Roman"/>
        </w:rPr>
      </w:pPr>
      <w:r w:rsidRPr="00EA25AF">
        <w:rPr>
          <w:rFonts w:ascii="Times New Roman" w:hAnsi="Times New Roman" w:cs="Times New Roman"/>
        </w:rPr>
        <w:t>Standard Germination (%) = (Germinated seeds / Total seeds tested) ×100</w:t>
      </w:r>
    </w:p>
    <w:p w14:paraId="4D2748EF" w14:textId="77777777" w:rsidR="004C48C8" w:rsidRPr="00EA25AF" w:rsidRDefault="004C48C8" w:rsidP="006A3CF7">
      <w:pPr>
        <w:pStyle w:val="ListParagraph"/>
        <w:numPr>
          <w:ilvl w:val="0"/>
          <w:numId w:val="2"/>
        </w:numPr>
        <w:autoSpaceDE w:val="0"/>
        <w:autoSpaceDN w:val="0"/>
        <w:adjustRightInd w:val="0"/>
        <w:spacing w:line="360" w:lineRule="auto"/>
        <w:jc w:val="both"/>
        <w:rPr>
          <w:rFonts w:ascii="Times New Roman" w:hAnsi="Times New Roman"/>
          <w:sz w:val="22"/>
          <w:szCs w:val="22"/>
        </w:rPr>
      </w:pPr>
      <w:r w:rsidRPr="00EA25AF">
        <w:rPr>
          <w:rFonts w:ascii="Times New Roman" w:hAnsi="Times New Roman"/>
          <w:b/>
          <w:bCs/>
          <w:sz w:val="22"/>
          <w:szCs w:val="22"/>
        </w:rPr>
        <w:t>Peak value of germination</w:t>
      </w:r>
    </w:p>
    <w:p w14:paraId="7725E266" w14:textId="77777777" w:rsidR="004C48C8" w:rsidRPr="00EA25AF" w:rsidRDefault="004C48C8" w:rsidP="006A3CF7">
      <w:pPr>
        <w:autoSpaceDE w:val="0"/>
        <w:autoSpaceDN w:val="0"/>
        <w:adjustRightInd w:val="0"/>
        <w:spacing w:line="360" w:lineRule="auto"/>
        <w:jc w:val="both"/>
        <w:rPr>
          <w:rFonts w:ascii="Times New Roman" w:hAnsi="Times New Roman" w:cs="Times New Roman"/>
        </w:rPr>
      </w:pPr>
      <w:r w:rsidRPr="00EA25AF">
        <w:rPr>
          <w:rFonts w:ascii="Times New Roman" w:hAnsi="Times New Roman" w:cs="Times New Roman"/>
        </w:rPr>
        <w:t xml:space="preserve"> </w:t>
      </w:r>
      <w:r w:rsidRPr="00EA25AF">
        <w:rPr>
          <w:rFonts w:ascii="Times New Roman" w:hAnsi="Times New Roman" w:cs="Times New Roman"/>
        </w:rPr>
        <w:tab/>
        <w:t xml:space="preserve">Peak value of germination or the maximum quotient derived from all of the cumulative full-seed germination percentages on any day divided by the number of days to reach these percentages. </w:t>
      </w:r>
    </w:p>
    <w:p w14:paraId="036B5147" w14:textId="77777777" w:rsidR="004C48C8" w:rsidRPr="00EA25AF" w:rsidRDefault="004C48C8" w:rsidP="006A3CF7">
      <w:pPr>
        <w:pStyle w:val="ListParagraph"/>
        <w:numPr>
          <w:ilvl w:val="0"/>
          <w:numId w:val="2"/>
        </w:numPr>
        <w:autoSpaceDE w:val="0"/>
        <w:autoSpaceDN w:val="0"/>
        <w:adjustRightInd w:val="0"/>
        <w:spacing w:line="360" w:lineRule="auto"/>
        <w:jc w:val="both"/>
        <w:rPr>
          <w:rFonts w:ascii="Times New Roman" w:hAnsi="Times New Roman"/>
          <w:sz w:val="22"/>
          <w:szCs w:val="22"/>
        </w:rPr>
      </w:pPr>
      <w:r w:rsidRPr="00EA25AF">
        <w:rPr>
          <w:rFonts w:ascii="Times New Roman" w:hAnsi="Times New Roman"/>
          <w:b/>
          <w:bCs/>
          <w:sz w:val="22"/>
          <w:szCs w:val="22"/>
        </w:rPr>
        <w:t>Mean daily germination (%)</w:t>
      </w:r>
    </w:p>
    <w:p w14:paraId="4719CBC3" w14:textId="77777777" w:rsidR="004C48C8" w:rsidRPr="00EA25AF" w:rsidRDefault="004C48C8" w:rsidP="006A3CF7">
      <w:pPr>
        <w:autoSpaceDE w:val="0"/>
        <w:autoSpaceDN w:val="0"/>
        <w:adjustRightInd w:val="0"/>
        <w:spacing w:line="360" w:lineRule="auto"/>
        <w:ind w:firstLine="720"/>
        <w:jc w:val="both"/>
        <w:rPr>
          <w:rFonts w:ascii="Times New Roman" w:hAnsi="Times New Roman" w:cs="Times New Roman"/>
        </w:rPr>
      </w:pPr>
      <w:r w:rsidRPr="00EA25AF">
        <w:rPr>
          <w:rFonts w:ascii="Times New Roman" w:hAnsi="Times New Roman" w:cs="Times New Roman"/>
        </w:rPr>
        <w:t>Mean daily germination is the average percentage of seeds germinated per day. It was calculated using following formula:</w:t>
      </w:r>
    </w:p>
    <w:p w14:paraId="43AACFCE" w14:textId="77777777" w:rsidR="004C48C8" w:rsidRPr="00EA25AF" w:rsidRDefault="004C48C8" w:rsidP="006A3CF7">
      <w:pPr>
        <w:autoSpaceDE w:val="0"/>
        <w:autoSpaceDN w:val="0"/>
        <w:adjustRightInd w:val="0"/>
        <w:spacing w:before="120" w:after="120" w:line="360" w:lineRule="auto"/>
        <w:ind w:firstLine="720"/>
        <w:jc w:val="both"/>
        <w:rPr>
          <w:rFonts w:ascii="Times New Roman" w:eastAsia="Calibri" w:hAnsi="Times New Roman" w:cs="Times New Roman"/>
          <w:bCs/>
          <w:lang w:eastAsia="en-IN"/>
        </w:rPr>
      </w:pPr>
      <m:oMathPara>
        <m:oMath>
          <m:r>
            <w:rPr>
              <w:rFonts w:ascii="Cambria Math" w:hAnsi="Cambria Math" w:cs="Times New Roman"/>
              <w:lang w:eastAsia="en-IN"/>
            </w:rPr>
            <m:t>Mean Daily Germination=</m:t>
          </m:r>
          <m:f>
            <m:fPr>
              <m:ctrlPr>
                <w:rPr>
                  <w:rFonts w:ascii="Cambria Math" w:hAnsi="Cambria Math" w:cs="Times New Roman"/>
                  <w:bCs/>
                  <w:i/>
                  <w:lang w:eastAsia="en-IN"/>
                </w:rPr>
              </m:ctrlPr>
            </m:fPr>
            <m:num>
              <m:r>
                <w:rPr>
                  <w:rFonts w:ascii="Cambria Math" w:hAnsi="Cambria Math" w:cs="Times New Roman"/>
                  <w:lang w:eastAsia="en-IN"/>
                </w:rPr>
                <m:t>Standard Germination (%)</m:t>
              </m:r>
            </m:num>
            <m:den>
              <m:r>
                <w:rPr>
                  <w:rFonts w:ascii="Cambria Math" w:hAnsi="Cambria Math" w:cs="Times New Roman"/>
                  <w:lang w:eastAsia="en-IN"/>
                </w:rPr>
                <m:t>Total number of days</m:t>
              </m:r>
            </m:den>
          </m:f>
        </m:oMath>
      </m:oMathPara>
    </w:p>
    <w:p w14:paraId="0AF2F51F" w14:textId="77777777" w:rsidR="004C48C8" w:rsidRPr="00EA25AF" w:rsidRDefault="004C48C8" w:rsidP="006A3CF7">
      <w:pPr>
        <w:pStyle w:val="ListParagraph"/>
        <w:numPr>
          <w:ilvl w:val="0"/>
          <w:numId w:val="2"/>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Germination value</w:t>
      </w:r>
    </w:p>
    <w:p w14:paraId="25B24D3A" w14:textId="77777777" w:rsidR="004C48C8" w:rsidRPr="00EA25AF" w:rsidRDefault="004C48C8" w:rsidP="006A3CF7">
      <w:pPr>
        <w:autoSpaceDE w:val="0"/>
        <w:autoSpaceDN w:val="0"/>
        <w:adjustRightInd w:val="0"/>
        <w:spacing w:line="360" w:lineRule="auto"/>
        <w:ind w:firstLine="720"/>
        <w:jc w:val="both"/>
        <w:rPr>
          <w:rFonts w:ascii="Times New Roman" w:hAnsi="Times New Roman" w:cs="Times New Roman"/>
        </w:rPr>
      </w:pPr>
      <w:r w:rsidRPr="00EA25AF">
        <w:rPr>
          <w:rFonts w:ascii="Times New Roman" w:hAnsi="Times New Roman" w:cs="Times New Roman"/>
        </w:rPr>
        <w:t xml:space="preserve"> Germination value was calculated using formula mentioned below:</w:t>
      </w:r>
    </w:p>
    <w:p w14:paraId="44496EEE" w14:textId="77777777" w:rsidR="004C48C8" w:rsidRPr="00EA25AF" w:rsidRDefault="004C48C8" w:rsidP="008C5205">
      <w:pPr>
        <w:autoSpaceDE w:val="0"/>
        <w:autoSpaceDN w:val="0"/>
        <w:adjustRightInd w:val="0"/>
        <w:spacing w:line="360" w:lineRule="auto"/>
        <w:ind w:firstLine="720"/>
        <w:jc w:val="center"/>
        <w:rPr>
          <w:rFonts w:ascii="Times New Roman" w:hAnsi="Times New Roman" w:cs="Times New Roman"/>
        </w:rPr>
      </w:pPr>
      <w:r w:rsidRPr="00EA25AF">
        <w:rPr>
          <w:rFonts w:ascii="Times New Roman" w:hAnsi="Times New Roman" w:cs="Times New Roman"/>
          <w:b/>
          <w:bCs/>
        </w:rPr>
        <w:t>Germination Value</w:t>
      </w:r>
      <w:r w:rsidRPr="00EA25AF">
        <w:rPr>
          <w:rFonts w:ascii="Times New Roman" w:hAnsi="Times New Roman" w:cs="Times New Roman"/>
        </w:rPr>
        <w:t xml:space="preserve"> = Mean Daily Germination X Peak Value of germination</w:t>
      </w:r>
    </w:p>
    <w:p w14:paraId="50317787" w14:textId="77777777" w:rsidR="004C48C8" w:rsidRPr="00EA25AF" w:rsidRDefault="004C48C8" w:rsidP="006A3CF7">
      <w:pPr>
        <w:pStyle w:val="ListParagraph"/>
        <w:numPr>
          <w:ilvl w:val="0"/>
          <w:numId w:val="6"/>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Seedling Growth Parameters</w:t>
      </w:r>
    </w:p>
    <w:p w14:paraId="14C3526F" w14:textId="77777777" w:rsidR="004C48C8" w:rsidRPr="00EA25AF" w:rsidRDefault="004C48C8" w:rsidP="006A3CF7">
      <w:pPr>
        <w:pStyle w:val="ListParagraph"/>
        <w:numPr>
          <w:ilvl w:val="0"/>
          <w:numId w:val="7"/>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 xml:space="preserve">Seedling length (cm) </w:t>
      </w:r>
    </w:p>
    <w:p w14:paraId="243E1E61" w14:textId="6574C5DF" w:rsidR="004C48C8" w:rsidRPr="00EA25AF" w:rsidRDefault="004C48C8" w:rsidP="006A3CF7">
      <w:pPr>
        <w:autoSpaceDE w:val="0"/>
        <w:autoSpaceDN w:val="0"/>
        <w:adjustRightInd w:val="0"/>
        <w:spacing w:line="360" w:lineRule="auto"/>
        <w:jc w:val="both"/>
        <w:rPr>
          <w:rFonts w:ascii="Times New Roman" w:hAnsi="Times New Roman" w:cs="Times New Roman"/>
        </w:rPr>
      </w:pPr>
      <w:r w:rsidRPr="00EA25AF">
        <w:rPr>
          <w:rFonts w:ascii="Times New Roman" w:hAnsi="Times New Roman" w:cs="Times New Roman"/>
          <w:b/>
          <w:bCs/>
        </w:rPr>
        <w:tab/>
      </w:r>
      <w:r w:rsidRPr="00EA25AF">
        <w:rPr>
          <w:rFonts w:ascii="Times New Roman" w:hAnsi="Times New Roman" w:cs="Times New Roman"/>
        </w:rPr>
        <w:t xml:space="preserve">Seedling length (cm) was calculated for the 10 randomly selected normal seedling from each </w:t>
      </w:r>
      <w:r w:rsidR="006A3CF7" w:rsidRPr="00EA25AF">
        <w:rPr>
          <w:rFonts w:ascii="Times New Roman" w:hAnsi="Times New Roman" w:cs="Times New Roman"/>
        </w:rPr>
        <w:t>treatment</w:t>
      </w:r>
      <w:r w:rsidRPr="00EA25AF">
        <w:rPr>
          <w:rFonts w:ascii="Times New Roman" w:hAnsi="Times New Roman" w:cs="Times New Roman"/>
        </w:rPr>
        <w:t xml:space="preserve"> and each </w:t>
      </w:r>
      <w:r w:rsidR="006A3CF7" w:rsidRPr="00EA25AF">
        <w:rPr>
          <w:rFonts w:ascii="Times New Roman" w:hAnsi="Times New Roman" w:cs="Times New Roman"/>
        </w:rPr>
        <w:t>replication</w:t>
      </w:r>
      <w:r w:rsidRPr="00EA25AF">
        <w:rPr>
          <w:rFonts w:ascii="Times New Roman" w:hAnsi="Times New Roman" w:cs="Times New Roman"/>
        </w:rPr>
        <w:t xml:space="preserve"> at final count day. It was measured using </w:t>
      </w:r>
      <w:r w:rsidR="006A3CF7" w:rsidRPr="00EA25AF">
        <w:rPr>
          <w:rFonts w:ascii="Times New Roman" w:hAnsi="Times New Roman" w:cs="Times New Roman"/>
        </w:rPr>
        <w:t>centimetre</w:t>
      </w:r>
      <w:r w:rsidRPr="00EA25AF">
        <w:rPr>
          <w:rFonts w:ascii="Times New Roman" w:hAnsi="Times New Roman" w:cs="Times New Roman"/>
        </w:rPr>
        <w:t xml:space="preserve"> scale, from base of the seedling to tip.  </w:t>
      </w:r>
    </w:p>
    <w:p w14:paraId="7E202F99" w14:textId="77777777" w:rsidR="004C48C8" w:rsidRPr="00EA25AF" w:rsidRDefault="004C48C8" w:rsidP="006A3CF7">
      <w:pPr>
        <w:pStyle w:val="ListParagraph"/>
        <w:numPr>
          <w:ilvl w:val="0"/>
          <w:numId w:val="7"/>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Seedling dry weight (g)</w:t>
      </w:r>
    </w:p>
    <w:p w14:paraId="33CF01E9" w14:textId="77777777" w:rsidR="004C48C8" w:rsidRPr="00EA25AF" w:rsidRDefault="004C48C8" w:rsidP="006A3CF7">
      <w:pPr>
        <w:autoSpaceDE w:val="0"/>
        <w:autoSpaceDN w:val="0"/>
        <w:adjustRightInd w:val="0"/>
        <w:spacing w:line="360" w:lineRule="auto"/>
        <w:ind w:firstLine="720"/>
        <w:jc w:val="both"/>
        <w:rPr>
          <w:rFonts w:ascii="Times New Roman" w:hAnsi="Times New Roman" w:cs="Times New Roman"/>
        </w:rPr>
      </w:pPr>
      <w:r w:rsidRPr="00EA25AF">
        <w:rPr>
          <w:rFonts w:ascii="Times New Roman" w:hAnsi="Times New Roman" w:cs="Times New Roman"/>
        </w:rPr>
        <w:t xml:space="preserve">Randomly taken ten normal seedlings which were used for recording seedling length were placed in a container and dried for 24 hours in a hot air oven maintained at 80 °C. The dried seedlings </w:t>
      </w:r>
      <w:r w:rsidRPr="00EA25AF">
        <w:rPr>
          <w:rFonts w:ascii="Times New Roman" w:hAnsi="Times New Roman" w:cs="Times New Roman"/>
        </w:rPr>
        <w:lastRenderedPageBreak/>
        <w:t>were removed and cooled in desiccator for 30 minutes and then the dry weight of seedling was measured with the help an electronic balance and average weight was computed and expressed in gram per ten seedlings.</w:t>
      </w:r>
    </w:p>
    <w:p w14:paraId="27890EE7" w14:textId="77777777" w:rsidR="004C48C8" w:rsidRPr="00EA25AF" w:rsidRDefault="004C48C8" w:rsidP="006A3CF7">
      <w:pPr>
        <w:pStyle w:val="ListParagraph"/>
        <w:numPr>
          <w:ilvl w:val="0"/>
          <w:numId w:val="8"/>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Seed Vigour Parameters</w:t>
      </w:r>
    </w:p>
    <w:p w14:paraId="500D83CA" w14:textId="77777777" w:rsidR="004C48C8" w:rsidRPr="00EA25AF" w:rsidRDefault="004C48C8" w:rsidP="006A3CF7">
      <w:pPr>
        <w:pStyle w:val="ListParagraph"/>
        <w:numPr>
          <w:ilvl w:val="0"/>
          <w:numId w:val="9"/>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Vigour index- I</w:t>
      </w:r>
    </w:p>
    <w:p w14:paraId="3185CE5A" w14:textId="77777777" w:rsidR="004C48C8" w:rsidRPr="00EA25AF" w:rsidRDefault="004C48C8" w:rsidP="006A3CF7">
      <w:pPr>
        <w:autoSpaceDE w:val="0"/>
        <w:autoSpaceDN w:val="0"/>
        <w:adjustRightInd w:val="0"/>
        <w:spacing w:line="360" w:lineRule="auto"/>
        <w:ind w:firstLine="720"/>
        <w:jc w:val="both"/>
        <w:rPr>
          <w:rFonts w:ascii="Times New Roman" w:hAnsi="Times New Roman" w:cs="Times New Roman"/>
          <w:color w:val="0D0D0D"/>
          <w:shd w:val="clear" w:color="auto" w:fill="FFFFFF"/>
        </w:rPr>
      </w:pPr>
      <w:r w:rsidRPr="00EA25AF">
        <w:rPr>
          <w:rFonts w:ascii="Times New Roman" w:hAnsi="Times New Roman" w:cs="Times New Roman"/>
        </w:rPr>
        <w:t xml:space="preserve">This index is calculated by multiplying the percentage of germinated seeds by the average length of seedlings. </w:t>
      </w:r>
      <w:r w:rsidRPr="00EA25AF">
        <w:rPr>
          <w:rFonts w:ascii="Times New Roman" w:hAnsi="Times New Roman" w:cs="Times New Roman"/>
          <w:lang w:eastAsia="en-IN"/>
        </w:rPr>
        <w:t xml:space="preserve">Seedling vigour index-1 was calculated as per the following formula </w:t>
      </w:r>
      <w:r w:rsidRPr="00EA25AF">
        <w:rPr>
          <w:rFonts w:ascii="Times New Roman" w:hAnsi="Times New Roman" w:cs="Times New Roman"/>
          <w:b/>
          <w:bCs/>
          <w:lang w:eastAsia="en-IN"/>
        </w:rPr>
        <w:t>(Abdul Baki and Anderson, 1973).</w:t>
      </w:r>
    </w:p>
    <w:p w14:paraId="754A10BC" w14:textId="77777777" w:rsidR="00D96A5A" w:rsidRPr="00EA25AF" w:rsidRDefault="004C48C8" w:rsidP="008C5205">
      <w:pPr>
        <w:spacing w:before="120" w:after="120" w:line="360" w:lineRule="auto"/>
        <w:ind w:left="142" w:right="113"/>
        <w:jc w:val="center"/>
        <w:rPr>
          <w:rFonts w:ascii="Times New Roman" w:hAnsi="Times New Roman" w:cs="Times New Roman"/>
          <w:bCs/>
          <w:iCs/>
          <w:lang w:eastAsia="en-IN"/>
        </w:rPr>
      </w:pPr>
      <w:r w:rsidRPr="00EA25AF">
        <w:rPr>
          <w:rFonts w:ascii="Times New Roman" w:hAnsi="Times New Roman" w:cs="Times New Roman"/>
          <w:b/>
          <w:iCs/>
          <w:lang w:eastAsia="en-IN"/>
        </w:rPr>
        <w:t>Seed Vigour Index- I</w:t>
      </w:r>
      <w:r w:rsidRPr="00EA25AF">
        <w:rPr>
          <w:rFonts w:ascii="Times New Roman" w:hAnsi="Times New Roman" w:cs="Times New Roman"/>
          <w:bCs/>
          <w:iCs/>
          <w:lang w:eastAsia="en-IN"/>
        </w:rPr>
        <w:t xml:space="preserve"> = Standard Germination (%) x Seedling Length (cm)</w:t>
      </w:r>
    </w:p>
    <w:p w14:paraId="3570E56C" w14:textId="77777777" w:rsidR="00E5508F" w:rsidRPr="00EA25AF" w:rsidRDefault="004C48C8" w:rsidP="006A3CF7">
      <w:pPr>
        <w:pStyle w:val="ListParagraph"/>
        <w:numPr>
          <w:ilvl w:val="0"/>
          <w:numId w:val="9"/>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Vigour index – II</w:t>
      </w:r>
    </w:p>
    <w:p w14:paraId="471E3414" w14:textId="77777777" w:rsidR="008B305A" w:rsidRPr="00EA25AF" w:rsidRDefault="004C48C8" w:rsidP="006A3CF7">
      <w:pPr>
        <w:autoSpaceDE w:val="0"/>
        <w:autoSpaceDN w:val="0"/>
        <w:adjustRightInd w:val="0"/>
        <w:spacing w:line="360" w:lineRule="auto"/>
        <w:jc w:val="both"/>
        <w:rPr>
          <w:rFonts w:ascii="Times New Roman" w:hAnsi="Times New Roman" w:cs="Times New Roman"/>
          <w:b/>
          <w:bCs/>
        </w:rPr>
      </w:pPr>
      <w:r w:rsidRPr="00EA25AF">
        <w:rPr>
          <w:rFonts w:ascii="Times New Roman" w:hAnsi="Times New Roman" w:cs="Times New Roman"/>
        </w:rPr>
        <w:t xml:space="preserve">Similar to Vigour Index I, but this index uses the average seedling dry weight. </w:t>
      </w:r>
      <w:r w:rsidRPr="00EA25AF">
        <w:rPr>
          <w:rFonts w:ascii="Times New Roman" w:hAnsi="Times New Roman" w:cs="Times New Roman"/>
          <w:lang w:eastAsia="en-IN"/>
        </w:rPr>
        <w:t xml:space="preserve">The seedling vigour index-II was calculated as per the following formula </w:t>
      </w:r>
      <w:r w:rsidRPr="00EA25AF">
        <w:rPr>
          <w:rFonts w:ascii="Times New Roman" w:hAnsi="Times New Roman" w:cs="Times New Roman"/>
          <w:b/>
          <w:bCs/>
          <w:lang w:eastAsia="en-IN"/>
        </w:rPr>
        <w:t>(Abdul Baki and Anderson, 1973).</w:t>
      </w:r>
    </w:p>
    <w:p w14:paraId="6CC0C6EB" w14:textId="77777777" w:rsidR="004C48C8" w:rsidRPr="00EA25AF" w:rsidRDefault="004C48C8" w:rsidP="008C5205">
      <w:pPr>
        <w:autoSpaceDE w:val="0"/>
        <w:autoSpaceDN w:val="0"/>
        <w:adjustRightInd w:val="0"/>
        <w:spacing w:line="360" w:lineRule="auto"/>
        <w:jc w:val="center"/>
        <w:rPr>
          <w:rFonts w:ascii="Times New Roman" w:hAnsi="Times New Roman" w:cs="Times New Roman"/>
          <w:bCs/>
          <w:iCs/>
          <w:lang w:eastAsia="en-IN"/>
        </w:rPr>
      </w:pPr>
      <w:r w:rsidRPr="00EA25AF">
        <w:rPr>
          <w:rFonts w:ascii="Times New Roman" w:hAnsi="Times New Roman" w:cs="Times New Roman"/>
          <w:b/>
          <w:iCs/>
          <w:lang w:eastAsia="en-IN"/>
        </w:rPr>
        <w:t>Seed Vigour Index-II</w:t>
      </w:r>
      <w:r w:rsidRPr="00EA25AF">
        <w:rPr>
          <w:rFonts w:ascii="Times New Roman" w:hAnsi="Times New Roman" w:cs="Times New Roman"/>
          <w:bCs/>
          <w:iCs/>
          <w:lang w:eastAsia="en-IN"/>
        </w:rPr>
        <w:t xml:space="preserve"> = Standard Germination (%) x Seedling Dry Weight (g)</w:t>
      </w:r>
    </w:p>
    <w:p w14:paraId="3A9C158A" w14:textId="2ABB6F91" w:rsidR="008B305A" w:rsidRPr="00EA25AF" w:rsidRDefault="008B305A" w:rsidP="006A3CF7">
      <w:pPr>
        <w:autoSpaceDE w:val="0"/>
        <w:autoSpaceDN w:val="0"/>
        <w:adjustRightInd w:val="0"/>
        <w:spacing w:line="360" w:lineRule="auto"/>
        <w:jc w:val="both"/>
        <w:rPr>
          <w:rFonts w:ascii="Times New Roman" w:hAnsi="Times New Roman" w:cs="Times New Roman"/>
          <w:b/>
          <w:iCs/>
          <w:lang w:eastAsia="en-IN"/>
        </w:rPr>
      </w:pPr>
      <w:r w:rsidRPr="00EA25AF">
        <w:rPr>
          <w:rFonts w:ascii="Times New Roman" w:hAnsi="Times New Roman" w:cs="Times New Roman"/>
          <w:b/>
          <w:iCs/>
          <w:lang w:eastAsia="en-IN"/>
        </w:rPr>
        <w:t xml:space="preserve">3. RESULTS </w:t>
      </w:r>
    </w:p>
    <w:p w14:paraId="10F325D4" w14:textId="77777777" w:rsidR="008B305A" w:rsidRPr="00EA25AF" w:rsidRDefault="0036163E" w:rsidP="006A3CF7">
      <w:pPr>
        <w:autoSpaceDE w:val="0"/>
        <w:autoSpaceDN w:val="0"/>
        <w:adjustRightInd w:val="0"/>
        <w:spacing w:line="360" w:lineRule="auto"/>
        <w:jc w:val="both"/>
        <w:rPr>
          <w:rFonts w:ascii="Times New Roman" w:hAnsi="Times New Roman" w:cs="Times New Roman"/>
          <w:bCs/>
          <w:iCs/>
          <w:lang w:eastAsia="en-IN"/>
        </w:rPr>
      </w:pPr>
      <w:r w:rsidRPr="00EA25AF">
        <w:rPr>
          <w:rFonts w:ascii="Times New Roman" w:hAnsi="Times New Roman" w:cs="Times New Roman"/>
          <w:bCs/>
          <w:iCs/>
          <w:lang w:eastAsia="en-IN"/>
        </w:rPr>
        <w:t xml:space="preserve">As there are number of liquid bio fertilizers are available for different crops, so there is a need to find out the specific bio fertilizer which is performing best for the wheat crops among the liquid bio fertilizers used. </w:t>
      </w:r>
    </w:p>
    <w:p w14:paraId="5AFEEF8F" w14:textId="10EF3AF9" w:rsidR="0036163E" w:rsidRPr="00EA25AF" w:rsidRDefault="00601823" w:rsidP="006A3CF7">
      <w:pPr>
        <w:autoSpaceDE w:val="0"/>
        <w:autoSpaceDN w:val="0"/>
        <w:adjustRightInd w:val="0"/>
        <w:spacing w:line="360" w:lineRule="auto"/>
        <w:jc w:val="both"/>
        <w:rPr>
          <w:rFonts w:ascii="Times New Roman" w:eastAsia="Calibri" w:hAnsi="Times New Roman" w:cs="Times New Roman"/>
        </w:rPr>
      </w:pPr>
      <w:r w:rsidRPr="00EA25AF">
        <w:rPr>
          <w:rFonts w:ascii="Times New Roman" w:hAnsi="Times New Roman" w:cs="Times New Roman"/>
          <w:bCs/>
        </w:rPr>
        <w:t>T</w:t>
      </w:r>
      <w:r w:rsidR="0036163E" w:rsidRPr="00EA25AF">
        <w:rPr>
          <w:rFonts w:ascii="Times New Roman" w:hAnsi="Times New Roman" w:cs="Times New Roman"/>
          <w:bCs/>
        </w:rPr>
        <w:t xml:space="preserve">he data of </w:t>
      </w:r>
      <w:r w:rsidR="00E5508F" w:rsidRPr="00EA25AF">
        <w:rPr>
          <w:rFonts w:ascii="Times New Roman" w:hAnsi="Times New Roman" w:cs="Times New Roman"/>
          <w:bCs/>
        </w:rPr>
        <w:t xml:space="preserve">physical seed quality parameters which includes </w:t>
      </w:r>
      <w:r w:rsidR="0036163E" w:rsidRPr="00EA25AF">
        <w:rPr>
          <w:rFonts w:ascii="Times New Roman" w:hAnsi="Times New Roman" w:cs="Times New Roman"/>
          <w:bCs/>
        </w:rPr>
        <w:t xml:space="preserve">test weight 1000 seed (g) </w:t>
      </w:r>
      <w:r w:rsidR="00E5508F" w:rsidRPr="00EA25AF">
        <w:rPr>
          <w:rFonts w:ascii="Times New Roman" w:hAnsi="Times New Roman" w:cs="Times New Roman"/>
          <w:bCs/>
        </w:rPr>
        <w:t xml:space="preserve">and seed L:B ratio </w:t>
      </w:r>
      <w:r w:rsidR="0036163E" w:rsidRPr="00EA25AF">
        <w:rPr>
          <w:rFonts w:ascii="Times New Roman" w:hAnsi="Times New Roman" w:cs="Times New Roman"/>
        </w:rPr>
        <w:t>in</w:t>
      </w:r>
      <w:r w:rsidR="0036163E" w:rsidRPr="00EA25AF">
        <w:rPr>
          <w:rFonts w:ascii="Times New Roman" w:hAnsi="Times New Roman" w:cs="Times New Roman"/>
          <w:b/>
          <w:bCs/>
        </w:rPr>
        <w:t xml:space="preserve"> </w:t>
      </w:r>
      <w:r w:rsidR="0036163E" w:rsidRPr="00EA25AF">
        <w:rPr>
          <w:rFonts w:ascii="Times New Roman" w:hAnsi="Times New Roman" w:cs="Times New Roman"/>
          <w:bCs/>
        </w:rPr>
        <w:t xml:space="preserve">wheat seeds, </w:t>
      </w:r>
      <w:r w:rsidR="00A1521B" w:rsidRPr="00EA25AF">
        <w:rPr>
          <w:rFonts w:ascii="Times New Roman" w:hAnsi="Times New Roman" w:cs="Times New Roman"/>
          <w:bCs/>
        </w:rPr>
        <w:t xml:space="preserve">impacted </w:t>
      </w:r>
      <w:r w:rsidR="0036163E" w:rsidRPr="00EA25AF">
        <w:rPr>
          <w:rFonts w:ascii="Times New Roman" w:hAnsi="Times New Roman" w:cs="Times New Roman"/>
          <w:bCs/>
        </w:rPr>
        <w:t>by different liquid bio-fertilizers tr</w:t>
      </w:r>
      <w:r w:rsidR="00A1521B" w:rsidRPr="00EA25AF">
        <w:rPr>
          <w:rFonts w:ascii="Times New Roman" w:hAnsi="Times New Roman" w:cs="Times New Roman"/>
          <w:bCs/>
        </w:rPr>
        <w:t xml:space="preserve">eatments, are given in Table 1 and Fig. </w:t>
      </w:r>
      <w:r w:rsidR="0036163E" w:rsidRPr="00EA25AF">
        <w:rPr>
          <w:rFonts w:ascii="Times New Roman" w:hAnsi="Times New Roman" w:cs="Times New Roman"/>
          <w:bCs/>
        </w:rPr>
        <w:t>1</w:t>
      </w:r>
      <w:r w:rsidR="00A1521B" w:rsidRPr="00EA25AF">
        <w:rPr>
          <w:rFonts w:ascii="Times New Roman" w:hAnsi="Times New Roman" w:cs="Times New Roman"/>
          <w:bCs/>
        </w:rPr>
        <w:t xml:space="preserve">. </w:t>
      </w:r>
      <w:r w:rsidR="00A1521B" w:rsidRPr="00EA25AF">
        <w:rPr>
          <w:rFonts w:ascii="Times New Roman" w:hAnsi="Times New Roman" w:cs="Times New Roman"/>
          <w:bCs/>
          <w:lang w:val="en-US"/>
        </w:rPr>
        <w:t>All the treatments varied significantly in comparison to control T</w:t>
      </w:r>
      <w:r w:rsidR="00A1521B" w:rsidRPr="00EA25AF">
        <w:rPr>
          <w:rFonts w:ascii="Times New Roman" w:hAnsi="Times New Roman" w:cs="Times New Roman"/>
          <w:bCs/>
          <w:vertAlign w:val="subscript"/>
          <w:lang w:val="en-US"/>
        </w:rPr>
        <w:t>1</w:t>
      </w:r>
      <w:r w:rsidR="00A1521B" w:rsidRPr="00EA25AF">
        <w:rPr>
          <w:rFonts w:ascii="Times New Roman" w:hAnsi="Times New Roman" w:cs="Times New Roman"/>
          <w:bCs/>
          <w:lang w:val="en-US"/>
        </w:rPr>
        <w:t xml:space="preserve"> (Control) for the test weight 1000 seed (g). The treatment T</w:t>
      </w:r>
      <w:r w:rsidR="00A1521B" w:rsidRPr="00EA25AF">
        <w:rPr>
          <w:rFonts w:ascii="Times New Roman" w:hAnsi="Times New Roman" w:cs="Times New Roman"/>
          <w:bCs/>
          <w:vertAlign w:val="subscript"/>
          <w:lang w:val="en-US"/>
        </w:rPr>
        <w:t xml:space="preserve">8 </w:t>
      </w:r>
      <w:r w:rsidR="00A1521B" w:rsidRPr="00EA25AF">
        <w:rPr>
          <w:rFonts w:ascii="Times New Roman" w:hAnsi="Times New Roman" w:cs="Times New Roman"/>
          <w:bCs/>
          <w:lang w:val="en-US"/>
        </w:rPr>
        <w:t>(</w:t>
      </w:r>
      <w:proofErr w:type="spellStart"/>
      <w:r w:rsidR="004C3436" w:rsidRPr="00EA25AF">
        <w:rPr>
          <w:rFonts w:ascii="Times New Roman" w:hAnsi="Times New Roman" w:cs="Times New Roman"/>
          <w:bCs/>
          <w:i/>
          <w:iCs/>
          <w:lang w:val="en-US"/>
        </w:rPr>
        <w:t>Azospirillum</w:t>
      </w:r>
      <w:proofErr w:type="spellEnd"/>
      <w:r w:rsidR="00A1521B" w:rsidRPr="00EA25AF">
        <w:rPr>
          <w:rFonts w:ascii="Times New Roman" w:hAnsi="Times New Roman" w:cs="Times New Roman"/>
          <w:bCs/>
          <w:lang w:val="en-US"/>
        </w:rPr>
        <w:t xml:space="preserve"> + PSB @ 20 ml/kg of seed) (55.62) showed highest test weight 1000 seed (g) during both the year followed by T</w:t>
      </w:r>
      <w:r w:rsidR="00A1521B" w:rsidRPr="00EA25AF">
        <w:rPr>
          <w:rFonts w:ascii="Times New Roman" w:hAnsi="Times New Roman" w:cs="Times New Roman"/>
          <w:bCs/>
          <w:vertAlign w:val="subscript"/>
          <w:lang w:val="en-US"/>
        </w:rPr>
        <w:t xml:space="preserve">7 </w:t>
      </w:r>
      <w:r w:rsidR="00A1521B" w:rsidRPr="00EA25AF">
        <w:rPr>
          <w:rFonts w:ascii="Times New Roman" w:hAnsi="Times New Roman" w:cs="Times New Roman"/>
          <w:bCs/>
          <w:lang w:val="en-US"/>
        </w:rPr>
        <w:t>(</w:t>
      </w:r>
      <w:proofErr w:type="spellStart"/>
      <w:r w:rsidR="004C3436" w:rsidRPr="00EA25AF">
        <w:rPr>
          <w:rFonts w:ascii="Times New Roman" w:hAnsi="Times New Roman" w:cs="Times New Roman"/>
          <w:bCs/>
          <w:i/>
          <w:iCs/>
          <w:lang w:val="en-US"/>
        </w:rPr>
        <w:t>Azospirillum</w:t>
      </w:r>
      <w:proofErr w:type="spellEnd"/>
      <w:r w:rsidR="00A1521B" w:rsidRPr="00EA25AF">
        <w:rPr>
          <w:rFonts w:ascii="Times New Roman" w:hAnsi="Times New Roman" w:cs="Times New Roman"/>
          <w:bCs/>
          <w:lang w:val="en-US"/>
        </w:rPr>
        <w:t xml:space="preserve"> + KSB @ 20 ml/kg of seed) (54.09) whereas the least test weight 1000 seed (g) was observed in the T</w:t>
      </w:r>
      <w:r w:rsidR="00A1521B" w:rsidRPr="00EA25AF">
        <w:rPr>
          <w:rFonts w:ascii="Times New Roman" w:hAnsi="Times New Roman" w:cs="Times New Roman"/>
          <w:bCs/>
          <w:vertAlign w:val="subscript"/>
          <w:lang w:val="en-US"/>
        </w:rPr>
        <w:t xml:space="preserve">1 </w:t>
      </w:r>
      <w:r w:rsidR="00A1521B" w:rsidRPr="00EA25AF">
        <w:rPr>
          <w:rFonts w:ascii="Times New Roman" w:hAnsi="Times New Roman" w:cs="Times New Roman"/>
          <w:bCs/>
          <w:lang w:val="en-US"/>
        </w:rPr>
        <w:t xml:space="preserve">(Control) (45.59). These results are in agreements with the findings of </w:t>
      </w:r>
      <w:proofErr w:type="spellStart"/>
      <w:r w:rsidR="00582511" w:rsidRPr="00EA25AF">
        <w:rPr>
          <w:rFonts w:ascii="Times New Roman" w:hAnsi="Times New Roman" w:cs="Times New Roman"/>
          <w:bCs/>
        </w:rPr>
        <w:t>Mukhim</w:t>
      </w:r>
      <w:proofErr w:type="spellEnd"/>
      <w:r w:rsidR="00582511" w:rsidRPr="00EA25AF">
        <w:rPr>
          <w:rFonts w:ascii="Times New Roman" w:hAnsi="Times New Roman" w:cs="Times New Roman"/>
          <w:bCs/>
        </w:rPr>
        <w:t xml:space="preserve"> &amp; George (2022) in wheat, Mohapatra e</w:t>
      </w:r>
      <w:r w:rsidR="00564F4B" w:rsidRPr="00EA25AF">
        <w:rPr>
          <w:rFonts w:ascii="Times New Roman" w:hAnsi="Times New Roman" w:cs="Times New Roman"/>
          <w:bCs/>
        </w:rPr>
        <w:t>t al., (2024) in sunflower</w:t>
      </w:r>
      <w:r w:rsidR="00582511" w:rsidRPr="00EA25AF">
        <w:rPr>
          <w:rFonts w:ascii="Times New Roman" w:hAnsi="Times New Roman" w:cs="Times New Roman"/>
          <w:bCs/>
        </w:rPr>
        <w:t>.</w:t>
      </w:r>
      <w:r w:rsidR="00656BF6" w:rsidRPr="00EA25AF">
        <w:rPr>
          <w:rFonts w:ascii="Times New Roman" w:hAnsi="Times New Roman" w:cs="Times New Roman"/>
          <w:bCs/>
        </w:rPr>
        <w:t xml:space="preserve"> Similarly, </w:t>
      </w:r>
      <w:r w:rsidR="00656BF6" w:rsidRPr="00EA25AF">
        <w:rPr>
          <w:rFonts w:ascii="Times New Roman" w:hAnsi="Times New Roman" w:cs="Times New Roman"/>
          <w:bCs/>
          <w:lang w:val="en-US"/>
        </w:rPr>
        <w:t>all the treatments varied significantly in comparison to control T</w:t>
      </w:r>
      <w:r w:rsidR="00656BF6" w:rsidRPr="00EA25AF">
        <w:rPr>
          <w:rFonts w:ascii="Times New Roman" w:hAnsi="Times New Roman" w:cs="Times New Roman"/>
          <w:bCs/>
          <w:vertAlign w:val="subscript"/>
          <w:lang w:val="en-US"/>
        </w:rPr>
        <w:t>1</w:t>
      </w:r>
      <w:r w:rsidR="00656BF6" w:rsidRPr="00EA25AF">
        <w:rPr>
          <w:rFonts w:ascii="Times New Roman" w:hAnsi="Times New Roman" w:cs="Times New Roman"/>
          <w:bCs/>
          <w:lang w:val="en-US"/>
        </w:rPr>
        <w:t xml:space="preserve"> (Control) except T</w:t>
      </w:r>
      <w:r w:rsidR="00656BF6" w:rsidRPr="00EA25AF">
        <w:rPr>
          <w:rFonts w:ascii="Times New Roman" w:hAnsi="Times New Roman" w:cs="Times New Roman"/>
          <w:bCs/>
          <w:vertAlign w:val="subscript"/>
          <w:lang w:val="en-US"/>
        </w:rPr>
        <w:t>10</w:t>
      </w:r>
      <w:r w:rsidR="00656BF6" w:rsidRPr="00EA25AF">
        <w:rPr>
          <w:rFonts w:ascii="Times New Roman" w:hAnsi="Times New Roman" w:cs="Times New Roman"/>
          <w:bCs/>
          <w:lang w:val="en-US"/>
        </w:rPr>
        <w:t xml:space="preserve"> for the seed L: B ratio. The treatment T</w:t>
      </w:r>
      <w:r w:rsidR="00656BF6" w:rsidRPr="00EA25AF">
        <w:rPr>
          <w:rFonts w:ascii="Times New Roman" w:hAnsi="Times New Roman" w:cs="Times New Roman"/>
          <w:bCs/>
          <w:vertAlign w:val="subscript"/>
          <w:lang w:val="en-US"/>
        </w:rPr>
        <w:t xml:space="preserve">8 </w:t>
      </w:r>
      <w:r w:rsidR="00656BF6" w:rsidRPr="00EA25AF">
        <w:rPr>
          <w:rFonts w:ascii="Times New Roman" w:hAnsi="Times New Roman" w:cs="Times New Roman"/>
          <w:bCs/>
          <w:lang w:val="en-US"/>
        </w:rPr>
        <w:t>(</w:t>
      </w:r>
      <w:proofErr w:type="spellStart"/>
      <w:r w:rsidR="004C3436" w:rsidRPr="00EA25AF">
        <w:rPr>
          <w:rFonts w:ascii="Times New Roman" w:hAnsi="Times New Roman" w:cs="Times New Roman"/>
          <w:bCs/>
          <w:i/>
          <w:iCs/>
          <w:lang w:val="en-US"/>
        </w:rPr>
        <w:t>Azospirillum</w:t>
      </w:r>
      <w:proofErr w:type="spellEnd"/>
      <w:r w:rsidR="00656BF6" w:rsidRPr="00EA25AF">
        <w:rPr>
          <w:rFonts w:ascii="Times New Roman" w:hAnsi="Times New Roman" w:cs="Times New Roman"/>
          <w:bCs/>
          <w:lang w:val="en-US"/>
        </w:rPr>
        <w:t xml:space="preserve"> + PSB @ 20 ml/kg of seed) (2.38) showed highest seed L:B ratio during both the year followed by T</w:t>
      </w:r>
      <w:r w:rsidR="00656BF6" w:rsidRPr="00EA25AF">
        <w:rPr>
          <w:rFonts w:ascii="Times New Roman" w:hAnsi="Times New Roman" w:cs="Times New Roman"/>
          <w:bCs/>
          <w:vertAlign w:val="subscript"/>
          <w:lang w:val="en-US"/>
        </w:rPr>
        <w:t xml:space="preserve">7 </w:t>
      </w:r>
      <w:r w:rsidR="00656BF6" w:rsidRPr="00EA25AF">
        <w:rPr>
          <w:rFonts w:ascii="Times New Roman" w:hAnsi="Times New Roman" w:cs="Times New Roman"/>
          <w:bCs/>
          <w:lang w:val="en-US"/>
        </w:rPr>
        <w:t>(</w:t>
      </w:r>
      <w:proofErr w:type="spellStart"/>
      <w:r w:rsidR="004C3436" w:rsidRPr="00EA25AF">
        <w:rPr>
          <w:rFonts w:ascii="Times New Roman" w:hAnsi="Times New Roman" w:cs="Times New Roman"/>
          <w:bCs/>
          <w:i/>
          <w:iCs/>
          <w:lang w:val="en-US"/>
        </w:rPr>
        <w:t>Azospirillum</w:t>
      </w:r>
      <w:proofErr w:type="spellEnd"/>
      <w:r w:rsidR="00656BF6" w:rsidRPr="00EA25AF">
        <w:rPr>
          <w:rFonts w:ascii="Times New Roman" w:hAnsi="Times New Roman" w:cs="Times New Roman"/>
          <w:bCs/>
          <w:lang w:val="en-US"/>
        </w:rPr>
        <w:t xml:space="preserve"> + KSB @ 20 ml/kg of seed) (2.26), </w:t>
      </w:r>
      <w:r w:rsidR="00656BF6" w:rsidRPr="00EA25AF">
        <w:rPr>
          <w:rFonts w:ascii="Times New Roman" w:eastAsia="Calibri" w:hAnsi="Times New Roman" w:cs="Times New Roman"/>
        </w:rPr>
        <w:t xml:space="preserve">the least </w:t>
      </w:r>
      <w:r w:rsidR="00656BF6" w:rsidRPr="00EA25AF">
        <w:rPr>
          <w:rFonts w:ascii="Times New Roman" w:hAnsi="Times New Roman" w:cs="Times New Roman"/>
          <w:bCs/>
        </w:rPr>
        <w:t xml:space="preserve">seed L:B ratio </w:t>
      </w:r>
      <w:r w:rsidR="00656BF6" w:rsidRPr="00EA25AF">
        <w:rPr>
          <w:rFonts w:ascii="Times New Roman" w:eastAsia="Calibri" w:hAnsi="Times New Roman" w:cs="Times New Roman"/>
        </w:rPr>
        <w:t>was observed in the T</w:t>
      </w:r>
      <w:r w:rsidR="00656BF6" w:rsidRPr="00EA25AF">
        <w:rPr>
          <w:rFonts w:ascii="Times New Roman" w:eastAsia="Calibri" w:hAnsi="Times New Roman" w:cs="Times New Roman"/>
          <w:vertAlign w:val="subscript"/>
        </w:rPr>
        <w:t xml:space="preserve">1 </w:t>
      </w:r>
      <w:r w:rsidR="00656BF6" w:rsidRPr="00EA25AF">
        <w:rPr>
          <w:rFonts w:ascii="Times New Roman" w:eastAsia="Calibri" w:hAnsi="Times New Roman" w:cs="Times New Roman"/>
        </w:rPr>
        <w:t xml:space="preserve">(Control) (1.79). </w:t>
      </w:r>
      <w:r w:rsidRPr="00EA25AF">
        <w:rPr>
          <w:rFonts w:ascii="Times New Roman" w:eastAsia="Calibri" w:hAnsi="Times New Roman" w:cs="Times New Roman"/>
        </w:rPr>
        <w:t>These results are</w:t>
      </w:r>
      <w:r w:rsidR="00656BF6" w:rsidRPr="00EA25AF">
        <w:rPr>
          <w:rFonts w:ascii="Times New Roman" w:eastAsia="Calibri" w:hAnsi="Times New Roman" w:cs="Times New Roman"/>
        </w:rPr>
        <w:t xml:space="preserve"> in line with the findings of</w:t>
      </w:r>
      <w:r w:rsidRPr="00EA25AF">
        <w:rPr>
          <w:rFonts w:ascii="Times New Roman" w:eastAsia="Calibri" w:hAnsi="Times New Roman" w:cs="Times New Roman"/>
        </w:rPr>
        <w:t xml:space="preserve"> Thakare et al., (2024) in sorghum.</w:t>
      </w:r>
    </w:p>
    <w:p w14:paraId="4F4F5B49" w14:textId="77777777" w:rsidR="008C5205" w:rsidRPr="00EA25AF" w:rsidRDefault="008C5205" w:rsidP="006A3CF7">
      <w:pPr>
        <w:autoSpaceDE w:val="0"/>
        <w:autoSpaceDN w:val="0"/>
        <w:adjustRightInd w:val="0"/>
        <w:spacing w:line="360" w:lineRule="auto"/>
        <w:jc w:val="both"/>
        <w:rPr>
          <w:rFonts w:ascii="Times New Roman" w:eastAsia="Calibri" w:hAnsi="Times New Roman" w:cs="Times New Roman"/>
        </w:rPr>
      </w:pPr>
    </w:p>
    <w:p w14:paraId="398F033C" w14:textId="77777777" w:rsidR="008C5205" w:rsidRPr="00EA25AF" w:rsidRDefault="008C5205" w:rsidP="006A3CF7">
      <w:pPr>
        <w:autoSpaceDE w:val="0"/>
        <w:autoSpaceDN w:val="0"/>
        <w:adjustRightInd w:val="0"/>
        <w:spacing w:line="360" w:lineRule="auto"/>
        <w:jc w:val="both"/>
        <w:rPr>
          <w:rFonts w:ascii="Times New Roman" w:eastAsia="Calibri" w:hAnsi="Times New Roman" w:cs="Times New Roman"/>
        </w:rPr>
      </w:pPr>
    </w:p>
    <w:p w14:paraId="32D7FC64" w14:textId="77777777" w:rsidR="008C5205" w:rsidRPr="00EA25AF" w:rsidRDefault="008C5205" w:rsidP="006A3CF7">
      <w:pPr>
        <w:autoSpaceDE w:val="0"/>
        <w:autoSpaceDN w:val="0"/>
        <w:adjustRightInd w:val="0"/>
        <w:spacing w:line="360" w:lineRule="auto"/>
        <w:jc w:val="both"/>
        <w:rPr>
          <w:rFonts w:ascii="Times New Roman" w:eastAsia="Calibri" w:hAnsi="Times New Roman" w:cs="Times New Roman"/>
        </w:rPr>
      </w:pPr>
    </w:p>
    <w:p w14:paraId="01392DF9" w14:textId="77777777" w:rsidR="00BE7B9B" w:rsidRPr="00EA25AF" w:rsidRDefault="00BE7B9B" w:rsidP="006A3CF7">
      <w:pPr>
        <w:autoSpaceDE w:val="0"/>
        <w:autoSpaceDN w:val="0"/>
        <w:adjustRightInd w:val="0"/>
        <w:spacing w:after="0" w:line="360" w:lineRule="auto"/>
        <w:jc w:val="center"/>
        <w:rPr>
          <w:rFonts w:ascii="Times New Roman" w:eastAsia="Calibri" w:hAnsi="Times New Roman" w:cs="Times New Roman"/>
          <w:b/>
          <w:bCs/>
        </w:rPr>
      </w:pPr>
      <w:r w:rsidRPr="00EA25AF">
        <w:rPr>
          <w:rFonts w:ascii="Times New Roman" w:eastAsia="Calibri" w:hAnsi="Times New Roman" w:cs="Times New Roman"/>
          <w:b/>
          <w:bCs/>
        </w:rPr>
        <w:lastRenderedPageBreak/>
        <w:t>Table 1. Beneficial effect of Liquid Bio-fertilizers on physical Seed Quality Parameters</w:t>
      </w:r>
    </w:p>
    <w:tbl>
      <w:tblPr>
        <w:tblStyle w:val="TableGrid1"/>
        <w:tblpPr w:leftFromText="180" w:rightFromText="180" w:vertAnchor="text" w:horzAnchor="margin" w:tblpXSpec="center" w:tblpY="97"/>
        <w:tblW w:w="4589" w:type="pct"/>
        <w:tblLayout w:type="fixed"/>
        <w:tblLook w:val="04A0" w:firstRow="1" w:lastRow="0" w:firstColumn="1" w:lastColumn="0" w:noHBand="0" w:noVBand="1"/>
      </w:tblPr>
      <w:tblGrid>
        <w:gridCol w:w="4665"/>
        <w:gridCol w:w="1942"/>
        <w:gridCol w:w="1875"/>
      </w:tblGrid>
      <w:tr w:rsidR="005C63F0" w:rsidRPr="00EA25AF" w14:paraId="6A8B0E39" w14:textId="77777777" w:rsidTr="00CA7600">
        <w:trPr>
          <w:trHeight w:val="31"/>
        </w:trPr>
        <w:tc>
          <w:tcPr>
            <w:tcW w:w="2750" w:type="pct"/>
            <w:vAlign w:val="center"/>
          </w:tcPr>
          <w:p w14:paraId="09A567F3" w14:textId="77777777" w:rsidR="005C63F0" w:rsidRPr="00EA25AF" w:rsidRDefault="005C63F0" w:rsidP="006A3CF7">
            <w:pPr>
              <w:spacing w:line="360" w:lineRule="auto"/>
              <w:rPr>
                <w:rFonts w:ascii="Times New Roman" w:eastAsia="Calibri" w:hAnsi="Times New Roman" w:cs="Times New Roman"/>
                <w:b/>
                <w:sz w:val="22"/>
                <w:szCs w:val="22"/>
              </w:rPr>
            </w:pPr>
            <w:r w:rsidRPr="00EA25AF">
              <w:rPr>
                <w:rFonts w:ascii="Times New Roman" w:eastAsia="Calibri" w:hAnsi="Times New Roman" w:cs="Times New Roman"/>
                <w:b/>
                <w:sz w:val="22"/>
                <w:szCs w:val="22"/>
              </w:rPr>
              <w:t>TREATMENTS</w:t>
            </w:r>
          </w:p>
        </w:tc>
        <w:tc>
          <w:tcPr>
            <w:tcW w:w="1145" w:type="pct"/>
            <w:vAlign w:val="center"/>
          </w:tcPr>
          <w:p w14:paraId="29919B7D" w14:textId="77777777" w:rsidR="005C63F0" w:rsidRPr="00EA25AF" w:rsidRDefault="005C63F0" w:rsidP="006A3CF7">
            <w:pPr>
              <w:spacing w:line="360" w:lineRule="auto"/>
              <w:jc w:val="center"/>
              <w:rPr>
                <w:rFonts w:ascii="Times New Roman" w:eastAsia="Calibri" w:hAnsi="Times New Roman" w:cs="Times New Roman"/>
                <w:b/>
                <w:sz w:val="22"/>
                <w:szCs w:val="22"/>
              </w:rPr>
            </w:pPr>
            <w:r w:rsidRPr="00EA25AF">
              <w:rPr>
                <w:rFonts w:ascii="Times New Roman" w:eastAsia="Calibri" w:hAnsi="Times New Roman" w:cs="Times New Roman"/>
                <w:b/>
                <w:sz w:val="22"/>
                <w:szCs w:val="22"/>
              </w:rPr>
              <w:t>Test Weight 1000 Seed Weight (g)</w:t>
            </w:r>
          </w:p>
        </w:tc>
        <w:tc>
          <w:tcPr>
            <w:tcW w:w="1105" w:type="pct"/>
            <w:vAlign w:val="center"/>
          </w:tcPr>
          <w:p w14:paraId="5206D0F4" w14:textId="61B739DC" w:rsidR="005C63F0" w:rsidRPr="00EA25AF" w:rsidRDefault="005C63F0" w:rsidP="006A3CF7">
            <w:pPr>
              <w:spacing w:line="360" w:lineRule="auto"/>
              <w:jc w:val="center"/>
              <w:rPr>
                <w:rFonts w:ascii="Times New Roman" w:eastAsia="Calibri" w:hAnsi="Times New Roman" w:cs="Times New Roman"/>
                <w:b/>
                <w:sz w:val="22"/>
                <w:szCs w:val="22"/>
              </w:rPr>
            </w:pPr>
            <w:r w:rsidRPr="00EA25AF">
              <w:rPr>
                <w:rFonts w:ascii="Times New Roman" w:eastAsia="Calibri" w:hAnsi="Times New Roman" w:cs="Times New Roman"/>
                <w:b/>
                <w:sz w:val="22"/>
                <w:szCs w:val="22"/>
              </w:rPr>
              <w:t xml:space="preserve">Seed </w:t>
            </w:r>
            <w:r w:rsidR="008C5205" w:rsidRPr="00EA25AF">
              <w:rPr>
                <w:rFonts w:ascii="Times New Roman" w:eastAsia="Calibri" w:hAnsi="Times New Roman" w:cs="Times New Roman"/>
                <w:b/>
                <w:sz w:val="22"/>
                <w:szCs w:val="22"/>
              </w:rPr>
              <w:t>L: B</w:t>
            </w:r>
            <w:r w:rsidRPr="00EA25AF">
              <w:rPr>
                <w:rFonts w:ascii="Times New Roman" w:eastAsia="Calibri" w:hAnsi="Times New Roman" w:cs="Times New Roman"/>
                <w:b/>
                <w:sz w:val="22"/>
                <w:szCs w:val="22"/>
              </w:rPr>
              <w:t xml:space="preserve"> Ratio</w:t>
            </w:r>
          </w:p>
        </w:tc>
      </w:tr>
      <w:tr w:rsidR="005C63F0" w:rsidRPr="00EA25AF" w14:paraId="2FA8FFD2" w14:textId="77777777" w:rsidTr="005C63F0">
        <w:trPr>
          <w:trHeight w:val="31"/>
        </w:trPr>
        <w:tc>
          <w:tcPr>
            <w:tcW w:w="2750" w:type="pct"/>
            <w:vAlign w:val="center"/>
          </w:tcPr>
          <w:p w14:paraId="73AD8050"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Control</w:t>
            </w:r>
          </w:p>
        </w:tc>
        <w:tc>
          <w:tcPr>
            <w:tcW w:w="1145" w:type="pct"/>
            <w:vAlign w:val="center"/>
          </w:tcPr>
          <w:p w14:paraId="62207492"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45.59</w:t>
            </w:r>
          </w:p>
        </w:tc>
        <w:tc>
          <w:tcPr>
            <w:tcW w:w="1105" w:type="pct"/>
            <w:vAlign w:val="center"/>
          </w:tcPr>
          <w:p w14:paraId="1224FA74"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1.79</w:t>
            </w:r>
          </w:p>
        </w:tc>
      </w:tr>
      <w:tr w:rsidR="005C63F0" w:rsidRPr="00EA25AF" w14:paraId="6E19C07D" w14:textId="77777777" w:rsidTr="005C63F0">
        <w:trPr>
          <w:trHeight w:val="31"/>
        </w:trPr>
        <w:tc>
          <w:tcPr>
            <w:tcW w:w="2750" w:type="pct"/>
            <w:vAlign w:val="center"/>
          </w:tcPr>
          <w:p w14:paraId="016AE04D"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Em Culture @ 10 ml/kg of Seed</w:t>
            </w:r>
          </w:p>
        </w:tc>
        <w:tc>
          <w:tcPr>
            <w:tcW w:w="1145" w:type="pct"/>
            <w:vAlign w:val="center"/>
          </w:tcPr>
          <w:p w14:paraId="7C2BA89C"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48.66</w:t>
            </w:r>
          </w:p>
        </w:tc>
        <w:tc>
          <w:tcPr>
            <w:tcW w:w="1105" w:type="pct"/>
            <w:vAlign w:val="center"/>
          </w:tcPr>
          <w:p w14:paraId="31F0632F"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1.88</w:t>
            </w:r>
          </w:p>
        </w:tc>
      </w:tr>
      <w:tr w:rsidR="005C63F0" w:rsidRPr="00EA25AF" w14:paraId="533AF58E" w14:textId="77777777" w:rsidTr="005C63F0">
        <w:trPr>
          <w:trHeight w:val="31"/>
        </w:trPr>
        <w:tc>
          <w:tcPr>
            <w:tcW w:w="2750" w:type="pct"/>
            <w:vAlign w:val="center"/>
          </w:tcPr>
          <w:p w14:paraId="6CFA6103"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KSB @ 20 ml/kg of Seed</w:t>
            </w:r>
          </w:p>
        </w:tc>
        <w:tc>
          <w:tcPr>
            <w:tcW w:w="1145" w:type="pct"/>
            <w:vAlign w:val="center"/>
          </w:tcPr>
          <w:p w14:paraId="5C68959E"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51.42</w:t>
            </w:r>
          </w:p>
        </w:tc>
        <w:tc>
          <w:tcPr>
            <w:tcW w:w="1105" w:type="pct"/>
            <w:vAlign w:val="center"/>
          </w:tcPr>
          <w:p w14:paraId="3340AD09"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1.94</w:t>
            </w:r>
          </w:p>
        </w:tc>
      </w:tr>
      <w:tr w:rsidR="005C63F0" w:rsidRPr="00EA25AF" w14:paraId="3BCB3B7D" w14:textId="77777777" w:rsidTr="005C63F0">
        <w:trPr>
          <w:trHeight w:val="31"/>
        </w:trPr>
        <w:tc>
          <w:tcPr>
            <w:tcW w:w="2750" w:type="pct"/>
            <w:vAlign w:val="center"/>
          </w:tcPr>
          <w:p w14:paraId="17EB26C6"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PSB @ 20 ml/kg of Seed</w:t>
            </w:r>
          </w:p>
        </w:tc>
        <w:tc>
          <w:tcPr>
            <w:tcW w:w="1145" w:type="pct"/>
            <w:vAlign w:val="center"/>
          </w:tcPr>
          <w:p w14:paraId="333B39C5"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53.75</w:t>
            </w:r>
          </w:p>
        </w:tc>
        <w:tc>
          <w:tcPr>
            <w:tcW w:w="1105" w:type="pct"/>
            <w:vAlign w:val="center"/>
          </w:tcPr>
          <w:p w14:paraId="02240B1E"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2.14</w:t>
            </w:r>
          </w:p>
        </w:tc>
      </w:tr>
      <w:tr w:rsidR="005C63F0" w:rsidRPr="00EA25AF" w14:paraId="4B5AAD31" w14:textId="77777777" w:rsidTr="005C63F0">
        <w:trPr>
          <w:trHeight w:val="31"/>
        </w:trPr>
        <w:tc>
          <w:tcPr>
            <w:tcW w:w="2750" w:type="pct"/>
            <w:vAlign w:val="center"/>
          </w:tcPr>
          <w:p w14:paraId="7EB61016" w14:textId="6EAD5D5D" w:rsidR="005C63F0"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Pseudomonas</w:t>
            </w:r>
            <w:r w:rsidR="005C63F0" w:rsidRPr="00EA25AF">
              <w:rPr>
                <w:rFonts w:ascii="Times New Roman" w:eastAsia="Calibri" w:hAnsi="Times New Roman" w:cs="Times New Roman"/>
                <w:sz w:val="22"/>
                <w:szCs w:val="22"/>
              </w:rPr>
              <w:t xml:space="preserve"> @ 20 ml/kg of Seed</w:t>
            </w:r>
          </w:p>
        </w:tc>
        <w:tc>
          <w:tcPr>
            <w:tcW w:w="1145" w:type="pct"/>
            <w:vAlign w:val="center"/>
          </w:tcPr>
          <w:p w14:paraId="29941F7E"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52.69</w:t>
            </w:r>
          </w:p>
        </w:tc>
        <w:tc>
          <w:tcPr>
            <w:tcW w:w="1105" w:type="pct"/>
            <w:vAlign w:val="center"/>
          </w:tcPr>
          <w:p w14:paraId="3288F639"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2.01</w:t>
            </w:r>
          </w:p>
        </w:tc>
      </w:tr>
      <w:tr w:rsidR="005C63F0" w:rsidRPr="00EA25AF" w14:paraId="0023B2D6" w14:textId="77777777" w:rsidTr="005C63F0">
        <w:trPr>
          <w:trHeight w:val="31"/>
        </w:trPr>
        <w:tc>
          <w:tcPr>
            <w:tcW w:w="2750" w:type="pct"/>
            <w:vAlign w:val="center"/>
          </w:tcPr>
          <w:p w14:paraId="70B30B63" w14:textId="17D62A9D" w:rsidR="005C63F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5C63F0" w:rsidRPr="00EA25AF">
              <w:rPr>
                <w:rFonts w:ascii="Times New Roman" w:eastAsia="Calibri" w:hAnsi="Times New Roman" w:cs="Times New Roman"/>
                <w:sz w:val="22"/>
                <w:szCs w:val="22"/>
              </w:rPr>
              <w:t xml:space="preserve"> @ 20 ml/kg of Seed</w:t>
            </w:r>
          </w:p>
        </w:tc>
        <w:tc>
          <w:tcPr>
            <w:tcW w:w="1145" w:type="pct"/>
            <w:vAlign w:val="center"/>
          </w:tcPr>
          <w:p w14:paraId="1FC8C5F6"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51.85</w:t>
            </w:r>
          </w:p>
        </w:tc>
        <w:tc>
          <w:tcPr>
            <w:tcW w:w="1105" w:type="pct"/>
            <w:vAlign w:val="center"/>
          </w:tcPr>
          <w:p w14:paraId="745F1E8B"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1.97</w:t>
            </w:r>
          </w:p>
        </w:tc>
      </w:tr>
      <w:tr w:rsidR="005C63F0" w:rsidRPr="00EA25AF" w14:paraId="6645F1AA" w14:textId="77777777" w:rsidTr="005C63F0">
        <w:trPr>
          <w:trHeight w:val="31"/>
        </w:trPr>
        <w:tc>
          <w:tcPr>
            <w:tcW w:w="2750" w:type="pct"/>
            <w:vAlign w:val="center"/>
          </w:tcPr>
          <w:p w14:paraId="7490646D" w14:textId="0176261F" w:rsidR="005C63F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5C63F0" w:rsidRPr="00EA25AF">
              <w:rPr>
                <w:rFonts w:ascii="Times New Roman" w:eastAsia="Calibri" w:hAnsi="Times New Roman" w:cs="Times New Roman"/>
                <w:sz w:val="22"/>
                <w:szCs w:val="22"/>
              </w:rPr>
              <w:t xml:space="preserve"> + KSB @ 20 ml/kg seed</w:t>
            </w:r>
          </w:p>
        </w:tc>
        <w:tc>
          <w:tcPr>
            <w:tcW w:w="1145" w:type="pct"/>
            <w:vAlign w:val="center"/>
          </w:tcPr>
          <w:p w14:paraId="62699BA3"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54.09</w:t>
            </w:r>
          </w:p>
        </w:tc>
        <w:tc>
          <w:tcPr>
            <w:tcW w:w="1105" w:type="pct"/>
            <w:vAlign w:val="center"/>
          </w:tcPr>
          <w:p w14:paraId="0884B5FA"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2.26</w:t>
            </w:r>
          </w:p>
        </w:tc>
      </w:tr>
      <w:tr w:rsidR="005C63F0" w:rsidRPr="00EA25AF" w14:paraId="23FC7E1D" w14:textId="77777777" w:rsidTr="005C63F0">
        <w:trPr>
          <w:trHeight w:val="31"/>
        </w:trPr>
        <w:tc>
          <w:tcPr>
            <w:tcW w:w="2750" w:type="pct"/>
            <w:vAlign w:val="center"/>
          </w:tcPr>
          <w:p w14:paraId="2454E94A" w14:textId="3B83676A" w:rsidR="005C63F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5C63F0" w:rsidRPr="00EA25AF">
              <w:rPr>
                <w:rFonts w:ascii="Times New Roman" w:eastAsia="Calibri" w:hAnsi="Times New Roman" w:cs="Times New Roman"/>
                <w:sz w:val="22"/>
                <w:szCs w:val="22"/>
              </w:rPr>
              <w:t xml:space="preserve"> + PSB @ 20 ml/kg seed</w:t>
            </w:r>
          </w:p>
        </w:tc>
        <w:tc>
          <w:tcPr>
            <w:tcW w:w="1145" w:type="pct"/>
            <w:vAlign w:val="center"/>
          </w:tcPr>
          <w:p w14:paraId="68869040"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55.62</w:t>
            </w:r>
          </w:p>
        </w:tc>
        <w:tc>
          <w:tcPr>
            <w:tcW w:w="1105" w:type="pct"/>
            <w:vAlign w:val="center"/>
          </w:tcPr>
          <w:p w14:paraId="0D58D553"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2.38</w:t>
            </w:r>
          </w:p>
        </w:tc>
      </w:tr>
      <w:tr w:rsidR="005C63F0" w:rsidRPr="00EA25AF" w14:paraId="56D02C09" w14:textId="77777777" w:rsidTr="005C63F0">
        <w:trPr>
          <w:trHeight w:val="31"/>
        </w:trPr>
        <w:tc>
          <w:tcPr>
            <w:tcW w:w="2750" w:type="pct"/>
            <w:vAlign w:val="center"/>
          </w:tcPr>
          <w:p w14:paraId="287ED16A" w14:textId="4D7FD06D" w:rsidR="005C63F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5C63F0" w:rsidRPr="00EA25AF">
              <w:rPr>
                <w:rFonts w:ascii="Times New Roman" w:eastAsia="Calibri" w:hAnsi="Times New Roman" w:cs="Times New Roman"/>
                <w:sz w:val="22"/>
                <w:szCs w:val="22"/>
              </w:rPr>
              <w:t xml:space="preserve"> + KSB + PSB @ 30 ml/kg seed</w:t>
            </w:r>
          </w:p>
        </w:tc>
        <w:tc>
          <w:tcPr>
            <w:tcW w:w="1145" w:type="pct"/>
            <w:vAlign w:val="center"/>
          </w:tcPr>
          <w:p w14:paraId="24348FCC"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49.47</w:t>
            </w:r>
          </w:p>
        </w:tc>
        <w:tc>
          <w:tcPr>
            <w:tcW w:w="1105" w:type="pct"/>
            <w:vAlign w:val="center"/>
          </w:tcPr>
          <w:p w14:paraId="0F7D591B"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2.01</w:t>
            </w:r>
          </w:p>
        </w:tc>
      </w:tr>
      <w:tr w:rsidR="005C63F0" w:rsidRPr="00EA25AF" w14:paraId="7328ED44" w14:textId="77777777" w:rsidTr="005C63F0">
        <w:trPr>
          <w:trHeight w:val="31"/>
        </w:trPr>
        <w:tc>
          <w:tcPr>
            <w:tcW w:w="2750" w:type="pct"/>
            <w:vAlign w:val="center"/>
          </w:tcPr>
          <w:p w14:paraId="0B363D33"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Thiram @ 1.3 g/kg seed</w:t>
            </w:r>
          </w:p>
        </w:tc>
        <w:tc>
          <w:tcPr>
            <w:tcW w:w="1145" w:type="pct"/>
            <w:vAlign w:val="center"/>
          </w:tcPr>
          <w:p w14:paraId="3AD67E88"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46.98</w:t>
            </w:r>
          </w:p>
        </w:tc>
        <w:tc>
          <w:tcPr>
            <w:tcW w:w="1105" w:type="pct"/>
            <w:vAlign w:val="center"/>
          </w:tcPr>
          <w:p w14:paraId="51C0F94D"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1.84</w:t>
            </w:r>
          </w:p>
        </w:tc>
      </w:tr>
      <w:tr w:rsidR="005C63F0" w:rsidRPr="00EA25AF" w14:paraId="15B51624" w14:textId="77777777" w:rsidTr="005C63F0">
        <w:trPr>
          <w:trHeight w:val="31"/>
        </w:trPr>
        <w:tc>
          <w:tcPr>
            <w:tcW w:w="2750" w:type="pct"/>
            <w:vAlign w:val="center"/>
          </w:tcPr>
          <w:p w14:paraId="042331EF"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SE (m±)</w:t>
            </w:r>
          </w:p>
        </w:tc>
        <w:tc>
          <w:tcPr>
            <w:tcW w:w="1145" w:type="pct"/>
            <w:vAlign w:val="center"/>
          </w:tcPr>
          <w:p w14:paraId="553F4469"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0.30</w:t>
            </w:r>
          </w:p>
        </w:tc>
        <w:tc>
          <w:tcPr>
            <w:tcW w:w="1105" w:type="pct"/>
            <w:vAlign w:val="center"/>
          </w:tcPr>
          <w:p w14:paraId="77305EE3"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0.01</w:t>
            </w:r>
          </w:p>
        </w:tc>
      </w:tr>
      <w:tr w:rsidR="005C63F0" w:rsidRPr="00EA25AF" w14:paraId="5B6CBE66" w14:textId="77777777" w:rsidTr="005C63F0">
        <w:trPr>
          <w:trHeight w:val="31"/>
        </w:trPr>
        <w:tc>
          <w:tcPr>
            <w:tcW w:w="2750" w:type="pct"/>
            <w:vAlign w:val="center"/>
          </w:tcPr>
          <w:p w14:paraId="5F1F174D" w14:textId="77777777" w:rsidR="005C63F0" w:rsidRPr="00EA25AF" w:rsidRDefault="005C63F0"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CD (P=0.05)</w:t>
            </w:r>
          </w:p>
        </w:tc>
        <w:tc>
          <w:tcPr>
            <w:tcW w:w="1145" w:type="pct"/>
            <w:vAlign w:val="center"/>
          </w:tcPr>
          <w:p w14:paraId="46CDD5F7" w14:textId="77777777" w:rsidR="005C63F0" w:rsidRPr="00EA25AF" w:rsidRDefault="005C63F0"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0.87</w:t>
            </w:r>
          </w:p>
        </w:tc>
        <w:tc>
          <w:tcPr>
            <w:tcW w:w="1105" w:type="pct"/>
            <w:vAlign w:val="center"/>
          </w:tcPr>
          <w:p w14:paraId="61963B45" w14:textId="77777777" w:rsidR="005C63F0" w:rsidRPr="00EA25AF" w:rsidRDefault="005C63F0"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0.04</w:t>
            </w:r>
          </w:p>
        </w:tc>
      </w:tr>
      <w:tr w:rsidR="005C63F0" w:rsidRPr="00EA25AF" w14:paraId="330F9A5D" w14:textId="77777777" w:rsidTr="005C63F0">
        <w:trPr>
          <w:trHeight w:val="31"/>
        </w:trPr>
        <w:tc>
          <w:tcPr>
            <w:tcW w:w="2750" w:type="pct"/>
            <w:vAlign w:val="center"/>
          </w:tcPr>
          <w:p w14:paraId="75D14451"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CV (%)</w:t>
            </w:r>
          </w:p>
        </w:tc>
        <w:tc>
          <w:tcPr>
            <w:tcW w:w="1145" w:type="pct"/>
            <w:vAlign w:val="center"/>
          </w:tcPr>
          <w:p w14:paraId="7836BB87"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1.18</w:t>
            </w:r>
          </w:p>
        </w:tc>
        <w:tc>
          <w:tcPr>
            <w:tcW w:w="1105" w:type="pct"/>
            <w:vAlign w:val="center"/>
          </w:tcPr>
          <w:p w14:paraId="66C51DA8"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1.48</w:t>
            </w:r>
          </w:p>
        </w:tc>
      </w:tr>
    </w:tbl>
    <w:p w14:paraId="78A19D93" w14:textId="77777777" w:rsidR="005C63F0" w:rsidRPr="00EA25AF" w:rsidRDefault="005C63F0" w:rsidP="006A3CF7">
      <w:pPr>
        <w:autoSpaceDE w:val="0"/>
        <w:autoSpaceDN w:val="0"/>
        <w:adjustRightInd w:val="0"/>
        <w:spacing w:line="360" w:lineRule="auto"/>
        <w:jc w:val="both"/>
        <w:rPr>
          <w:rFonts w:ascii="Times New Roman" w:eastAsia="Calibri" w:hAnsi="Times New Roman" w:cs="Times New Roman"/>
        </w:rPr>
      </w:pPr>
    </w:p>
    <w:p w14:paraId="6B270EA7" w14:textId="77777777" w:rsidR="005C63F0" w:rsidRPr="00EA25AF" w:rsidRDefault="005C63F0" w:rsidP="006A3CF7">
      <w:pPr>
        <w:autoSpaceDE w:val="0"/>
        <w:autoSpaceDN w:val="0"/>
        <w:adjustRightInd w:val="0"/>
        <w:spacing w:line="360" w:lineRule="auto"/>
        <w:jc w:val="both"/>
        <w:rPr>
          <w:rFonts w:ascii="Times New Roman" w:eastAsia="Calibri" w:hAnsi="Times New Roman" w:cs="Times New Roman"/>
        </w:rPr>
      </w:pPr>
      <w:r w:rsidRPr="00EA25AF">
        <w:rPr>
          <w:rFonts w:ascii="Times New Roman" w:eastAsia="Calibri" w:hAnsi="Times New Roman" w:cs="Times New Roman"/>
          <w:noProof/>
          <w:lang w:eastAsia="en-IN" w:bidi="hi-IN"/>
        </w:rPr>
        <w:drawing>
          <wp:inline distT="0" distB="0" distL="0" distR="0" wp14:anchorId="59E620C7" wp14:editId="6C84569F">
            <wp:extent cx="5829300" cy="2844800"/>
            <wp:effectExtent l="0" t="0" r="0" b="0"/>
            <wp:docPr id="1" name="Picture 1" descr="C:\Users\APARNA JYOTI\Downloads\download (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PARNA JYOTI\Downloads\download (9).png"/>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7661" cy="2844000"/>
                    </a:xfrm>
                    <a:prstGeom prst="rect">
                      <a:avLst/>
                    </a:prstGeom>
                    <a:noFill/>
                    <a:ln>
                      <a:noFill/>
                    </a:ln>
                  </pic:spPr>
                </pic:pic>
              </a:graphicData>
            </a:graphic>
          </wp:inline>
        </w:drawing>
      </w:r>
    </w:p>
    <w:p w14:paraId="76171105" w14:textId="08960FD9" w:rsidR="008C5205" w:rsidRPr="00EA25AF" w:rsidRDefault="00815C0D" w:rsidP="008C5205">
      <w:pPr>
        <w:autoSpaceDE w:val="0"/>
        <w:autoSpaceDN w:val="0"/>
        <w:adjustRightInd w:val="0"/>
        <w:spacing w:line="360" w:lineRule="auto"/>
        <w:jc w:val="center"/>
        <w:rPr>
          <w:rFonts w:ascii="Times New Roman" w:eastAsia="Calibri" w:hAnsi="Times New Roman" w:cs="Times New Roman"/>
          <w:b/>
          <w:bCs/>
          <w:color w:val="EE0000"/>
          <w:sz w:val="24"/>
          <w:szCs w:val="24"/>
        </w:rPr>
      </w:pPr>
      <w:r w:rsidRPr="00EA25AF">
        <w:rPr>
          <w:rFonts w:ascii="Times New Roman" w:eastAsia="Calibri" w:hAnsi="Times New Roman" w:cs="Times New Roman"/>
          <w:b/>
          <w:bCs/>
          <w:sz w:val="24"/>
          <w:szCs w:val="24"/>
        </w:rPr>
        <w:t xml:space="preserve">Fig.1. </w:t>
      </w:r>
      <w:r w:rsidRPr="00EA25AF">
        <w:rPr>
          <w:rFonts w:ascii="Times New Roman" w:eastAsia="Calibri" w:hAnsi="Times New Roman" w:cs="Times New Roman"/>
          <w:b/>
          <w:bCs/>
        </w:rPr>
        <w:t>Beneficial effect of Liquid Bio-fertilizers on physical Seed Quality Parameters</w:t>
      </w:r>
    </w:p>
    <w:p w14:paraId="546A1F6B" w14:textId="427C2320" w:rsidR="00BE7B9B" w:rsidRPr="00EA25AF" w:rsidRDefault="00601823" w:rsidP="006A3CF7">
      <w:pPr>
        <w:autoSpaceDE w:val="0"/>
        <w:autoSpaceDN w:val="0"/>
        <w:adjustRightInd w:val="0"/>
        <w:spacing w:line="360" w:lineRule="auto"/>
        <w:jc w:val="both"/>
        <w:rPr>
          <w:rFonts w:ascii="Times New Roman" w:eastAsia="Calibri" w:hAnsi="Times New Roman" w:cs="Times New Roman"/>
        </w:rPr>
      </w:pPr>
      <w:r w:rsidRPr="00EA25AF">
        <w:rPr>
          <w:rFonts w:ascii="Times New Roman" w:eastAsia="Calibri" w:hAnsi="Times New Roman" w:cs="Times New Roman"/>
        </w:rPr>
        <w:tab/>
        <w:t xml:space="preserve">The data collected for germination and germination related dynamics are included in table 2 and Fig. 2. It is clear from the table that </w:t>
      </w:r>
      <w:r w:rsidRPr="00EA25AF">
        <w:rPr>
          <w:rFonts w:ascii="Times New Roman" w:eastAsia="Calibri" w:hAnsi="Times New Roman" w:cs="Times New Roman"/>
          <w:lang w:val="en-US"/>
        </w:rPr>
        <w:t>all the treatments varied significantly in comparison to control T</w:t>
      </w:r>
      <w:r w:rsidRPr="00EA25AF">
        <w:rPr>
          <w:rFonts w:ascii="Times New Roman" w:eastAsia="Calibri" w:hAnsi="Times New Roman" w:cs="Times New Roman"/>
          <w:vertAlign w:val="subscript"/>
          <w:lang w:val="en-US"/>
        </w:rPr>
        <w:t>1</w:t>
      </w:r>
      <w:r w:rsidRPr="00EA25AF">
        <w:rPr>
          <w:rFonts w:ascii="Times New Roman" w:eastAsia="Calibri" w:hAnsi="Times New Roman" w:cs="Times New Roman"/>
          <w:lang w:val="en-US"/>
        </w:rPr>
        <w:t xml:space="preserve"> (Control) except T</w:t>
      </w:r>
      <w:r w:rsidRPr="00EA25AF">
        <w:rPr>
          <w:rFonts w:ascii="Times New Roman" w:eastAsia="Calibri" w:hAnsi="Times New Roman" w:cs="Times New Roman"/>
          <w:vertAlign w:val="subscript"/>
          <w:lang w:val="en-US"/>
        </w:rPr>
        <w:t>10</w:t>
      </w:r>
      <w:r w:rsidRPr="00EA25AF">
        <w:rPr>
          <w:rFonts w:ascii="Times New Roman" w:eastAsia="Calibri" w:hAnsi="Times New Roman" w:cs="Times New Roman"/>
          <w:lang w:val="en-US"/>
        </w:rPr>
        <w:t xml:space="preserve"> for the</w:t>
      </w:r>
      <w:r w:rsidRPr="00EA25AF">
        <w:rPr>
          <w:rFonts w:ascii="Times New Roman" w:eastAsia="Calibri" w:hAnsi="Times New Roman" w:cs="Times New Roman"/>
          <w:bCs/>
          <w:lang w:val="en-US"/>
        </w:rPr>
        <w:t xml:space="preserve"> standard germination (%). The treatment T</w:t>
      </w:r>
      <w:r w:rsidRPr="00EA25AF">
        <w:rPr>
          <w:rFonts w:ascii="Times New Roman" w:eastAsia="Calibri" w:hAnsi="Times New Roman" w:cs="Times New Roman"/>
          <w:bCs/>
          <w:vertAlign w:val="subscript"/>
          <w:lang w:val="en-US"/>
        </w:rPr>
        <w:t xml:space="preserve">8 </w:t>
      </w:r>
      <w:r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Pr="00EA25AF">
        <w:rPr>
          <w:rFonts w:ascii="Times New Roman" w:eastAsia="Calibri" w:hAnsi="Times New Roman" w:cs="Times New Roman"/>
          <w:bCs/>
          <w:lang w:val="en-US"/>
        </w:rPr>
        <w:t xml:space="preserve"> + PSB @ 20 ml/kg of seed) (97.37 %) showed highest standard germination (%)</w:t>
      </w:r>
      <w:r w:rsidR="003B5019" w:rsidRPr="00EA25AF">
        <w:rPr>
          <w:rFonts w:ascii="Times New Roman" w:eastAsia="Calibri" w:hAnsi="Times New Roman" w:cs="Times New Roman"/>
          <w:bCs/>
          <w:lang w:val="en-US"/>
        </w:rPr>
        <w:t xml:space="preserve"> </w:t>
      </w:r>
      <w:r w:rsidRPr="00EA25AF">
        <w:rPr>
          <w:rFonts w:ascii="Times New Roman" w:eastAsia="Calibri" w:hAnsi="Times New Roman" w:cs="Times New Roman"/>
          <w:bCs/>
          <w:lang w:val="en-US"/>
        </w:rPr>
        <w:t>followed by T</w:t>
      </w:r>
      <w:r w:rsidRPr="00EA25AF">
        <w:rPr>
          <w:rFonts w:ascii="Times New Roman" w:eastAsia="Calibri" w:hAnsi="Times New Roman" w:cs="Times New Roman"/>
          <w:bCs/>
          <w:vertAlign w:val="subscript"/>
          <w:lang w:val="en-US"/>
        </w:rPr>
        <w:t xml:space="preserve">7 </w:t>
      </w:r>
      <w:r w:rsidRPr="00EA25AF">
        <w:rPr>
          <w:rFonts w:ascii="Times New Roman" w:eastAsia="Calibri" w:hAnsi="Times New Roman" w:cs="Times New Roman"/>
          <w:bCs/>
          <w:lang w:val="en-US"/>
        </w:rPr>
        <w:lastRenderedPageBreak/>
        <w:t>(</w:t>
      </w:r>
      <w:proofErr w:type="spellStart"/>
      <w:r w:rsidR="004C3436" w:rsidRPr="00EA25AF">
        <w:rPr>
          <w:rFonts w:ascii="Times New Roman" w:eastAsia="Calibri" w:hAnsi="Times New Roman" w:cs="Times New Roman"/>
          <w:bCs/>
          <w:i/>
          <w:iCs/>
          <w:lang w:val="en-US"/>
        </w:rPr>
        <w:t>Azospirillum</w:t>
      </w:r>
      <w:proofErr w:type="spellEnd"/>
      <w:r w:rsidRPr="00EA25AF">
        <w:rPr>
          <w:rFonts w:ascii="Times New Roman" w:eastAsia="Calibri" w:hAnsi="Times New Roman" w:cs="Times New Roman"/>
          <w:bCs/>
          <w:lang w:val="en-US"/>
        </w:rPr>
        <w:t xml:space="preserve"> + KSB @ 20 ml/kg of seed) (96.87 %), least standard germination (%) was observed in the T</w:t>
      </w:r>
      <w:r w:rsidRPr="00EA25AF">
        <w:rPr>
          <w:rFonts w:ascii="Times New Roman" w:eastAsia="Calibri" w:hAnsi="Times New Roman" w:cs="Times New Roman"/>
          <w:bCs/>
          <w:vertAlign w:val="subscript"/>
          <w:lang w:val="en-US"/>
        </w:rPr>
        <w:t xml:space="preserve">1 </w:t>
      </w:r>
      <w:r w:rsidRPr="00EA25AF">
        <w:rPr>
          <w:rFonts w:ascii="Times New Roman" w:eastAsia="Calibri" w:hAnsi="Times New Roman" w:cs="Times New Roman"/>
          <w:bCs/>
          <w:lang w:val="en-US"/>
        </w:rPr>
        <w:t>(Control) (88.75 %)</w:t>
      </w:r>
      <w:r w:rsidR="003B5019" w:rsidRPr="00EA25AF">
        <w:rPr>
          <w:rFonts w:ascii="Times New Roman" w:eastAsia="Calibri" w:hAnsi="Times New Roman" w:cs="Times New Roman"/>
          <w:bCs/>
          <w:lang w:val="en-US"/>
        </w:rPr>
        <w:t xml:space="preserve"> during both the year</w:t>
      </w:r>
      <w:r w:rsidRPr="00EA25AF">
        <w:rPr>
          <w:rFonts w:ascii="Times New Roman" w:eastAsia="Calibri" w:hAnsi="Times New Roman" w:cs="Times New Roman"/>
          <w:bCs/>
          <w:lang w:val="en-US"/>
        </w:rPr>
        <w:t>.</w:t>
      </w:r>
      <w:r w:rsidR="003B5019" w:rsidRPr="00EA25AF">
        <w:rPr>
          <w:rFonts w:ascii="Times New Roman" w:eastAsia="Calibri" w:hAnsi="Times New Roman" w:cs="Times New Roman"/>
          <w:bCs/>
          <w:lang w:val="en-US"/>
        </w:rPr>
        <w:t xml:space="preserve"> Similarly, all the parameters related to standard germination have sown highest value in treatment T8 (</w:t>
      </w:r>
      <w:proofErr w:type="spellStart"/>
      <w:r w:rsidR="004C3436" w:rsidRPr="00EA25AF">
        <w:rPr>
          <w:rFonts w:ascii="Times New Roman" w:eastAsia="Calibri" w:hAnsi="Times New Roman" w:cs="Times New Roman"/>
          <w:bCs/>
          <w:i/>
          <w:iCs/>
          <w:lang w:val="en-US"/>
        </w:rPr>
        <w:t>Azospirillum</w:t>
      </w:r>
      <w:proofErr w:type="spellEnd"/>
      <w:r w:rsidR="003B5019" w:rsidRPr="00EA25AF">
        <w:rPr>
          <w:rFonts w:ascii="Times New Roman" w:eastAsia="Calibri" w:hAnsi="Times New Roman" w:cs="Times New Roman"/>
          <w:bCs/>
          <w:lang w:val="en-US"/>
        </w:rPr>
        <w:t xml:space="preserve"> + PSB @ 20 ml/kg of seed) (97.37 %) followed by T7 (</w:t>
      </w:r>
      <w:proofErr w:type="spellStart"/>
      <w:r w:rsidR="004C3436" w:rsidRPr="00EA25AF">
        <w:rPr>
          <w:rFonts w:ascii="Times New Roman" w:eastAsia="Calibri" w:hAnsi="Times New Roman" w:cs="Times New Roman"/>
          <w:bCs/>
          <w:i/>
          <w:iCs/>
          <w:lang w:val="en-US"/>
        </w:rPr>
        <w:t>Azospirillum</w:t>
      </w:r>
      <w:proofErr w:type="spellEnd"/>
      <w:r w:rsidR="003B5019" w:rsidRPr="00EA25AF">
        <w:rPr>
          <w:rFonts w:ascii="Times New Roman" w:eastAsia="Calibri" w:hAnsi="Times New Roman" w:cs="Times New Roman"/>
          <w:bCs/>
          <w:lang w:val="en-US"/>
        </w:rPr>
        <w:t xml:space="preserve"> + KSB @ 20 ml/kg of seed), and least value was observ</w:t>
      </w:r>
      <w:r w:rsidR="001A4EE9" w:rsidRPr="00EA25AF">
        <w:rPr>
          <w:rFonts w:ascii="Times New Roman" w:eastAsia="Calibri" w:hAnsi="Times New Roman" w:cs="Times New Roman"/>
          <w:bCs/>
          <w:lang w:val="en-US"/>
        </w:rPr>
        <w:t>ed in T1 (control). The</w:t>
      </w:r>
      <w:r w:rsidR="00682E7F" w:rsidRPr="00EA25AF">
        <w:rPr>
          <w:rFonts w:ascii="Times New Roman" w:eastAsia="Calibri" w:hAnsi="Times New Roman" w:cs="Times New Roman"/>
          <w:bCs/>
          <w:lang w:val="en-US"/>
        </w:rPr>
        <w:t>s</w:t>
      </w:r>
      <w:r w:rsidR="001A4EE9" w:rsidRPr="00EA25AF">
        <w:rPr>
          <w:rFonts w:ascii="Times New Roman" w:eastAsia="Calibri" w:hAnsi="Times New Roman" w:cs="Times New Roman"/>
          <w:bCs/>
          <w:lang w:val="en-US"/>
        </w:rPr>
        <w:t>e</w:t>
      </w:r>
      <w:r w:rsidR="00682E7F" w:rsidRPr="00EA25AF">
        <w:rPr>
          <w:rFonts w:ascii="Times New Roman" w:eastAsia="Calibri" w:hAnsi="Times New Roman" w:cs="Times New Roman"/>
          <w:bCs/>
          <w:lang w:val="en-US"/>
        </w:rPr>
        <w:t xml:space="preserve"> resu</w:t>
      </w:r>
      <w:r w:rsidR="001A4EE9" w:rsidRPr="00EA25AF">
        <w:rPr>
          <w:rFonts w:ascii="Times New Roman" w:eastAsia="Calibri" w:hAnsi="Times New Roman" w:cs="Times New Roman"/>
          <w:bCs/>
          <w:lang w:val="en-US"/>
        </w:rPr>
        <w:t xml:space="preserve">lts are in agreement with the findings with </w:t>
      </w:r>
      <w:proofErr w:type="spellStart"/>
      <w:r w:rsidR="001A4EE9" w:rsidRPr="00EA25AF">
        <w:rPr>
          <w:rFonts w:ascii="Times New Roman" w:eastAsia="Calibri" w:hAnsi="Times New Roman" w:cs="Times New Roman"/>
          <w:bCs/>
        </w:rPr>
        <w:t>Yaadesh</w:t>
      </w:r>
      <w:proofErr w:type="spellEnd"/>
      <w:r w:rsidR="001A4EE9" w:rsidRPr="00EA25AF">
        <w:rPr>
          <w:rFonts w:ascii="Times New Roman" w:eastAsia="Calibri" w:hAnsi="Times New Roman" w:cs="Times New Roman"/>
          <w:bCs/>
        </w:rPr>
        <w:t xml:space="preserve"> et al., (2023) in maize, </w:t>
      </w:r>
      <w:proofErr w:type="spellStart"/>
      <w:r w:rsidR="0067351D" w:rsidRPr="00EA25AF">
        <w:rPr>
          <w:rFonts w:ascii="Times New Roman" w:eastAsia="Calibri" w:hAnsi="Times New Roman" w:cs="Times New Roman"/>
          <w:bCs/>
        </w:rPr>
        <w:t>Budhbaware</w:t>
      </w:r>
      <w:proofErr w:type="spellEnd"/>
      <w:r w:rsidR="0067351D" w:rsidRPr="00EA25AF">
        <w:rPr>
          <w:rFonts w:ascii="Times New Roman" w:eastAsia="Calibri" w:hAnsi="Times New Roman" w:cs="Times New Roman"/>
          <w:bCs/>
        </w:rPr>
        <w:t xml:space="preserve"> and Rai (2023) </w:t>
      </w:r>
      <w:r w:rsidR="001A4EE9" w:rsidRPr="00EA25AF">
        <w:rPr>
          <w:rFonts w:ascii="Times New Roman" w:eastAsia="Calibri" w:hAnsi="Times New Roman" w:cs="Times New Roman"/>
        </w:rPr>
        <w:t>in Maize, Pathak et al., (2016) in Wheat.</w:t>
      </w:r>
    </w:p>
    <w:p w14:paraId="0644245E" w14:textId="77777777" w:rsidR="00BE7B9B" w:rsidRPr="00EA25AF" w:rsidRDefault="00BE7B9B" w:rsidP="006A3CF7">
      <w:pPr>
        <w:autoSpaceDE w:val="0"/>
        <w:autoSpaceDN w:val="0"/>
        <w:adjustRightInd w:val="0"/>
        <w:spacing w:after="0" w:line="360" w:lineRule="auto"/>
        <w:jc w:val="center"/>
        <w:rPr>
          <w:rFonts w:ascii="Times New Roman" w:eastAsia="Calibri" w:hAnsi="Times New Roman" w:cs="Times New Roman"/>
          <w:b/>
          <w:bCs/>
        </w:rPr>
      </w:pPr>
      <w:r w:rsidRPr="00EA25AF">
        <w:rPr>
          <w:rFonts w:ascii="Times New Roman" w:eastAsia="Calibri" w:hAnsi="Times New Roman" w:cs="Times New Roman"/>
          <w:b/>
          <w:bCs/>
        </w:rPr>
        <w:t>Table 2. Beneficial effect of Liquid Bio-fertilizers on Germination and Germination Dynamics</w:t>
      </w:r>
    </w:p>
    <w:tbl>
      <w:tblPr>
        <w:tblStyle w:val="TableGrid1"/>
        <w:tblpPr w:leftFromText="180" w:rightFromText="180" w:vertAnchor="text" w:horzAnchor="margin" w:tblpXSpec="center" w:tblpY="97"/>
        <w:tblW w:w="5085" w:type="pct"/>
        <w:tblLayout w:type="fixed"/>
        <w:tblLook w:val="04A0" w:firstRow="1" w:lastRow="0" w:firstColumn="1" w:lastColumn="0" w:noHBand="0" w:noVBand="1"/>
      </w:tblPr>
      <w:tblGrid>
        <w:gridCol w:w="3527"/>
        <w:gridCol w:w="1468"/>
        <w:gridCol w:w="1468"/>
        <w:gridCol w:w="1468"/>
        <w:gridCol w:w="1468"/>
      </w:tblGrid>
      <w:tr w:rsidR="00317930" w:rsidRPr="00EA25AF" w14:paraId="243CA0A1" w14:textId="77777777" w:rsidTr="00317930">
        <w:trPr>
          <w:trHeight w:val="31"/>
        </w:trPr>
        <w:tc>
          <w:tcPr>
            <w:tcW w:w="1876" w:type="pct"/>
            <w:vAlign w:val="center"/>
          </w:tcPr>
          <w:p w14:paraId="7F33CB1D" w14:textId="77777777" w:rsidR="00317930" w:rsidRPr="00EA25AF" w:rsidRDefault="00317930"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TREATMENTS</w:t>
            </w:r>
          </w:p>
        </w:tc>
        <w:tc>
          <w:tcPr>
            <w:tcW w:w="781" w:type="pct"/>
            <w:vAlign w:val="center"/>
          </w:tcPr>
          <w:p w14:paraId="010414BF"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Standard Germination (%)</w:t>
            </w:r>
          </w:p>
        </w:tc>
        <w:tc>
          <w:tcPr>
            <w:tcW w:w="781" w:type="pct"/>
            <w:vAlign w:val="center"/>
          </w:tcPr>
          <w:p w14:paraId="149C8495"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Peak value of Germination</w:t>
            </w:r>
          </w:p>
        </w:tc>
        <w:tc>
          <w:tcPr>
            <w:tcW w:w="781" w:type="pct"/>
            <w:vAlign w:val="center"/>
          </w:tcPr>
          <w:p w14:paraId="53970D83"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Mean daily Germination</w:t>
            </w:r>
          </w:p>
        </w:tc>
        <w:tc>
          <w:tcPr>
            <w:tcW w:w="781" w:type="pct"/>
            <w:vAlign w:val="center"/>
          </w:tcPr>
          <w:p w14:paraId="64EE4792"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Germination value</w:t>
            </w:r>
          </w:p>
        </w:tc>
      </w:tr>
      <w:tr w:rsidR="00317930" w:rsidRPr="00EA25AF" w14:paraId="6057E25C" w14:textId="77777777" w:rsidTr="00317930">
        <w:trPr>
          <w:trHeight w:val="31"/>
        </w:trPr>
        <w:tc>
          <w:tcPr>
            <w:tcW w:w="1876" w:type="pct"/>
            <w:vAlign w:val="center"/>
          </w:tcPr>
          <w:p w14:paraId="44EB0C3E"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Control</w:t>
            </w:r>
          </w:p>
        </w:tc>
        <w:tc>
          <w:tcPr>
            <w:tcW w:w="781" w:type="pct"/>
            <w:vAlign w:val="center"/>
          </w:tcPr>
          <w:p w14:paraId="08417281"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88.75</w:t>
            </w:r>
          </w:p>
        </w:tc>
        <w:tc>
          <w:tcPr>
            <w:tcW w:w="781" w:type="pct"/>
            <w:vAlign w:val="center"/>
          </w:tcPr>
          <w:p w14:paraId="51D27962"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23.04</w:t>
            </w:r>
          </w:p>
        </w:tc>
        <w:tc>
          <w:tcPr>
            <w:tcW w:w="781" w:type="pct"/>
            <w:vAlign w:val="center"/>
          </w:tcPr>
          <w:p w14:paraId="12877920"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11.09</w:t>
            </w:r>
          </w:p>
        </w:tc>
        <w:tc>
          <w:tcPr>
            <w:tcW w:w="781" w:type="pct"/>
            <w:vAlign w:val="center"/>
          </w:tcPr>
          <w:p w14:paraId="723E6FE7"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255.74</w:t>
            </w:r>
          </w:p>
        </w:tc>
      </w:tr>
      <w:tr w:rsidR="00317930" w:rsidRPr="00EA25AF" w14:paraId="5B426BA8" w14:textId="77777777" w:rsidTr="00317930">
        <w:trPr>
          <w:trHeight w:val="31"/>
        </w:trPr>
        <w:tc>
          <w:tcPr>
            <w:tcW w:w="1876" w:type="pct"/>
            <w:vAlign w:val="center"/>
          </w:tcPr>
          <w:p w14:paraId="2693BD90"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Em Culture @ 10 ml/kg of Seed</w:t>
            </w:r>
          </w:p>
        </w:tc>
        <w:tc>
          <w:tcPr>
            <w:tcW w:w="781" w:type="pct"/>
            <w:vAlign w:val="center"/>
          </w:tcPr>
          <w:p w14:paraId="0CDC047F"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92.00</w:t>
            </w:r>
          </w:p>
        </w:tc>
        <w:tc>
          <w:tcPr>
            <w:tcW w:w="781" w:type="pct"/>
            <w:vAlign w:val="center"/>
          </w:tcPr>
          <w:p w14:paraId="6FA5450A"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24.71</w:t>
            </w:r>
          </w:p>
        </w:tc>
        <w:tc>
          <w:tcPr>
            <w:tcW w:w="781" w:type="pct"/>
            <w:vAlign w:val="center"/>
          </w:tcPr>
          <w:p w14:paraId="325686B9"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11.65</w:t>
            </w:r>
          </w:p>
        </w:tc>
        <w:tc>
          <w:tcPr>
            <w:tcW w:w="781" w:type="pct"/>
            <w:vAlign w:val="center"/>
          </w:tcPr>
          <w:p w14:paraId="3C7B24E0"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287.98</w:t>
            </w:r>
          </w:p>
        </w:tc>
      </w:tr>
      <w:tr w:rsidR="00317930" w:rsidRPr="00EA25AF" w14:paraId="0C193C4F" w14:textId="77777777" w:rsidTr="00317930">
        <w:trPr>
          <w:trHeight w:val="31"/>
        </w:trPr>
        <w:tc>
          <w:tcPr>
            <w:tcW w:w="1876" w:type="pct"/>
            <w:vAlign w:val="center"/>
          </w:tcPr>
          <w:p w14:paraId="1E28F469"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KSB @ 20 ml/kg of Seed</w:t>
            </w:r>
          </w:p>
        </w:tc>
        <w:tc>
          <w:tcPr>
            <w:tcW w:w="781" w:type="pct"/>
            <w:vAlign w:val="center"/>
          </w:tcPr>
          <w:p w14:paraId="24351499"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94.62</w:t>
            </w:r>
          </w:p>
        </w:tc>
        <w:tc>
          <w:tcPr>
            <w:tcW w:w="781" w:type="pct"/>
            <w:vAlign w:val="center"/>
          </w:tcPr>
          <w:p w14:paraId="2363EAC1"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25.79</w:t>
            </w:r>
          </w:p>
        </w:tc>
        <w:tc>
          <w:tcPr>
            <w:tcW w:w="781" w:type="pct"/>
            <w:vAlign w:val="center"/>
          </w:tcPr>
          <w:p w14:paraId="4B31B84B"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11.90</w:t>
            </w:r>
          </w:p>
        </w:tc>
        <w:tc>
          <w:tcPr>
            <w:tcW w:w="781" w:type="pct"/>
            <w:vAlign w:val="center"/>
          </w:tcPr>
          <w:p w14:paraId="4D77E857"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307.09</w:t>
            </w:r>
          </w:p>
        </w:tc>
      </w:tr>
      <w:tr w:rsidR="00317930" w:rsidRPr="00EA25AF" w14:paraId="53523305" w14:textId="77777777" w:rsidTr="00317930">
        <w:trPr>
          <w:trHeight w:val="31"/>
        </w:trPr>
        <w:tc>
          <w:tcPr>
            <w:tcW w:w="1876" w:type="pct"/>
            <w:vAlign w:val="center"/>
          </w:tcPr>
          <w:p w14:paraId="3F2B48FD"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PSB @ 20 ml/kg of Seed</w:t>
            </w:r>
          </w:p>
        </w:tc>
        <w:tc>
          <w:tcPr>
            <w:tcW w:w="781" w:type="pct"/>
            <w:vAlign w:val="center"/>
          </w:tcPr>
          <w:p w14:paraId="7A9BE4C7"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96.75</w:t>
            </w:r>
          </w:p>
        </w:tc>
        <w:tc>
          <w:tcPr>
            <w:tcW w:w="781" w:type="pct"/>
            <w:vAlign w:val="center"/>
          </w:tcPr>
          <w:p w14:paraId="49A4A273"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39.87</w:t>
            </w:r>
          </w:p>
        </w:tc>
        <w:tc>
          <w:tcPr>
            <w:tcW w:w="781" w:type="pct"/>
            <w:vAlign w:val="center"/>
          </w:tcPr>
          <w:p w14:paraId="4BF8EEDE"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11.84</w:t>
            </w:r>
          </w:p>
        </w:tc>
        <w:tc>
          <w:tcPr>
            <w:tcW w:w="781" w:type="pct"/>
            <w:vAlign w:val="center"/>
          </w:tcPr>
          <w:p w14:paraId="27F0935E"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472.39</w:t>
            </w:r>
          </w:p>
        </w:tc>
      </w:tr>
      <w:tr w:rsidR="00317930" w:rsidRPr="00EA25AF" w14:paraId="3C13CCF7" w14:textId="77777777" w:rsidTr="00317930">
        <w:trPr>
          <w:trHeight w:val="31"/>
        </w:trPr>
        <w:tc>
          <w:tcPr>
            <w:tcW w:w="1876" w:type="pct"/>
            <w:vAlign w:val="center"/>
          </w:tcPr>
          <w:p w14:paraId="137C37A9" w14:textId="3A2594B1" w:rsidR="00317930"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Pseudomonas</w:t>
            </w:r>
            <w:r w:rsidR="00317930" w:rsidRPr="00EA25AF">
              <w:rPr>
                <w:rFonts w:ascii="Times New Roman" w:eastAsia="Calibri" w:hAnsi="Times New Roman" w:cs="Times New Roman"/>
                <w:sz w:val="22"/>
                <w:szCs w:val="22"/>
              </w:rPr>
              <w:t xml:space="preserve"> @ 20 ml/kg of Seed</w:t>
            </w:r>
          </w:p>
        </w:tc>
        <w:tc>
          <w:tcPr>
            <w:tcW w:w="781" w:type="pct"/>
            <w:vAlign w:val="center"/>
          </w:tcPr>
          <w:p w14:paraId="1F701701"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96.62</w:t>
            </w:r>
          </w:p>
        </w:tc>
        <w:tc>
          <w:tcPr>
            <w:tcW w:w="781" w:type="pct"/>
            <w:vAlign w:val="center"/>
          </w:tcPr>
          <w:p w14:paraId="2A2F3537"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27.42</w:t>
            </w:r>
          </w:p>
        </w:tc>
        <w:tc>
          <w:tcPr>
            <w:tcW w:w="781" w:type="pct"/>
            <w:vAlign w:val="center"/>
          </w:tcPr>
          <w:p w14:paraId="70194D21"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12.09</w:t>
            </w:r>
          </w:p>
        </w:tc>
        <w:tc>
          <w:tcPr>
            <w:tcW w:w="781" w:type="pct"/>
            <w:vAlign w:val="center"/>
          </w:tcPr>
          <w:p w14:paraId="15B0D623"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331.59</w:t>
            </w:r>
          </w:p>
        </w:tc>
      </w:tr>
      <w:tr w:rsidR="00317930" w:rsidRPr="00EA25AF" w14:paraId="3D7C4858" w14:textId="77777777" w:rsidTr="00317930">
        <w:trPr>
          <w:trHeight w:val="31"/>
        </w:trPr>
        <w:tc>
          <w:tcPr>
            <w:tcW w:w="1876" w:type="pct"/>
            <w:vAlign w:val="center"/>
          </w:tcPr>
          <w:p w14:paraId="5EAAE7CF" w14:textId="037128A2" w:rsidR="0031793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317930" w:rsidRPr="00EA25AF">
              <w:rPr>
                <w:rFonts w:ascii="Times New Roman" w:eastAsia="Calibri" w:hAnsi="Times New Roman" w:cs="Times New Roman"/>
                <w:sz w:val="22"/>
                <w:szCs w:val="22"/>
              </w:rPr>
              <w:t xml:space="preserve"> @ 20 ml/kg of Seed</w:t>
            </w:r>
          </w:p>
        </w:tc>
        <w:tc>
          <w:tcPr>
            <w:tcW w:w="781" w:type="pct"/>
            <w:vAlign w:val="center"/>
          </w:tcPr>
          <w:p w14:paraId="5D8BE65C"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95.37</w:t>
            </w:r>
          </w:p>
        </w:tc>
        <w:tc>
          <w:tcPr>
            <w:tcW w:w="781" w:type="pct"/>
            <w:vAlign w:val="center"/>
          </w:tcPr>
          <w:p w14:paraId="5B11426B"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29.42</w:t>
            </w:r>
          </w:p>
        </w:tc>
        <w:tc>
          <w:tcPr>
            <w:tcW w:w="781" w:type="pct"/>
            <w:vAlign w:val="center"/>
          </w:tcPr>
          <w:p w14:paraId="402DEB65"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11.92</w:t>
            </w:r>
          </w:p>
        </w:tc>
        <w:tc>
          <w:tcPr>
            <w:tcW w:w="781" w:type="pct"/>
            <w:vAlign w:val="center"/>
          </w:tcPr>
          <w:p w14:paraId="3CAC6A71"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350.80</w:t>
            </w:r>
          </w:p>
        </w:tc>
      </w:tr>
      <w:tr w:rsidR="00317930" w:rsidRPr="00EA25AF" w14:paraId="69821342" w14:textId="77777777" w:rsidTr="00317930">
        <w:trPr>
          <w:trHeight w:val="31"/>
        </w:trPr>
        <w:tc>
          <w:tcPr>
            <w:tcW w:w="1876" w:type="pct"/>
            <w:vAlign w:val="center"/>
          </w:tcPr>
          <w:p w14:paraId="63F022E5" w14:textId="0B385FDD" w:rsidR="0031793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317930" w:rsidRPr="00EA25AF">
              <w:rPr>
                <w:rFonts w:ascii="Times New Roman" w:eastAsia="Calibri" w:hAnsi="Times New Roman" w:cs="Times New Roman"/>
                <w:sz w:val="22"/>
                <w:szCs w:val="22"/>
              </w:rPr>
              <w:t xml:space="preserve"> + KSB @ 20 ml/kg seed</w:t>
            </w:r>
          </w:p>
        </w:tc>
        <w:tc>
          <w:tcPr>
            <w:tcW w:w="781" w:type="pct"/>
            <w:vAlign w:val="center"/>
          </w:tcPr>
          <w:p w14:paraId="0E779D9C"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96.87</w:t>
            </w:r>
          </w:p>
        </w:tc>
        <w:tc>
          <w:tcPr>
            <w:tcW w:w="781" w:type="pct"/>
            <w:vAlign w:val="center"/>
          </w:tcPr>
          <w:p w14:paraId="1DE62B29"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41.94</w:t>
            </w:r>
          </w:p>
        </w:tc>
        <w:tc>
          <w:tcPr>
            <w:tcW w:w="781" w:type="pct"/>
            <w:vAlign w:val="center"/>
          </w:tcPr>
          <w:p w14:paraId="2212944B"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12.11</w:t>
            </w:r>
          </w:p>
        </w:tc>
        <w:tc>
          <w:tcPr>
            <w:tcW w:w="781" w:type="pct"/>
            <w:vAlign w:val="center"/>
          </w:tcPr>
          <w:p w14:paraId="3DCFD744"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507.84</w:t>
            </w:r>
          </w:p>
        </w:tc>
      </w:tr>
      <w:tr w:rsidR="00317930" w:rsidRPr="00EA25AF" w14:paraId="2D797D22" w14:textId="77777777" w:rsidTr="00317930">
        <w:trPr>
          <w:trHeight w:val="31"/>
        </w:trPr>
        <w:tc>
          <w:tcPr>
            <w:tcW w:w="1876" w:type="pct"/>
            <w:vAlign w:val="center"/>
          </w:tcPr>
          <w:p w14:paraId="3E29B6B9" w14:textId="168B0AE5" w:rsidR="0031793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317930" w:rsidRPr="00EA25AF">
              <w:rPr>
                <w:rFonts w:ascii="Times New Roman" w:eastAsia="Calibri" w:hAnsi="Times New Roman" w:cs="Times New Roman"/>
                <w:sz w:val="22"/>
                <w:szCs w:val="22"/>
              </w:rPr>
              <w:t xml:space="preserve"> + PSB @ 20 ml/kg seed</w:t>
            </w:r>
          </w:p>
        </w:tc>
        <w:tc>
          <w:tcPr>
            <w:tcW w:w="781" w:type="pct"/>
            <w:vAlign w:val="center"/>
          </w:tcPr>
          <w:p w14:paraId="6153B8B0"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97.37</w:t>
            </w:r>
          </w:p>
        </w:tc>
        <w:tc>
          <w:tcPr>
            <w:tcW w:w="781" w:type="pct"/>
            <w:vAlign w:val="center"/>
          </w:tcPr>
          <w:p w14:paraId="63E11DD7"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43.44</w:t>
            </w:r>
          </w:p>
        </w:tc>
        <w:tc>
          <w:tcPr>
            <w:tcW w:w="781" w:type="pct"/>
            <w:vAlign w:val="center"/>
          </w:tcPr>
          <w:p w14:paraId="4E429C25"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12.17</w:t>
            </w:r>
          </w:p>
        </w:tc>
        <w:tc>
          <w:tcPr>
            <w:tcW w:w="781" w:type="pct"/>
            <w:vAlign w:val="center"/>
          </w:tcPr>
          <w:p w14:paraId="6C6D0584"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528.73</w:t>
            </w:r>
          </w:p>
        </w:tc>
      </w:tr>
      <w:tr w:rsidR="00317930" w:rsidRPr="00EA25AF" w14:paraId="5306C61B" w14:textId="77777777" w:rsidTr="00317930">
        <w:trPr>
          <w:trHeight w:val="31"/>
        </w:trPr>
        <w:tc>
          <w:tcPr>
            <w:tcW w:w="1876" w:type="pct"/>
            <w:vAlign w:val="center"/>
          </w:tcPr>
          <w:p w14:paraId="28C255A6" w14:textId="45430116" w:rsidR="0031793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317930" w:rsidRPr="00EA25AF">
              <w:rPr>
                <w:rFonts w:ascii="Times New Roman" w:eastAsia="Calibri" w:hAnsi="Times New Roman" w:cs="Times New Roman"/>
                <w:sz w:val="22"/>
                <w:szCs w:val="22"/>
              </w:rPr>
              <w:t xml:space="preserve"> + KSB + PSB @ 30 ml/kg seed</w:t>
            </w:r>
          </w:p>
        </w:tc>
        <w:tc>
          <w:tcPr>
            <w:tcW w:w="781" w:type="pct"/>
            <w:vAlign w:val="center"/>
          </w:tcPr>
          <w:p w14:paraId="425C820B"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94.62</w:t>
            </w:r>
          </w:p>
        </w:tc>
        <w:tc>
          <w:tcPr>
            <w:tcW w:w="781" w:type="pct"/>
            <w:vAlign w:val="center"/>
          </w:tcPr>
          <w:p w14:paraId="71F5B76F"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26.75</w:t>
            </w:r>
          </w:p>
        </w:tc>
        <w:tc>
          <w:tcPr>
            <w:tcW w:w="781" w:type="pct"/>
            <w:vAlign w:val="center"/>
          </w:tcPr>
          <w:p w14:paraId="7A8B1C8D"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11.82</w:t>
            </w:r>
          </w:p>
        </w:tc>
        <w:tc>
          <w:tcPr>
            <w:tcW w:w="781" w:type="pct"/>
            <w:vAlign w:val="center"/>
          </w:tcPr>
          <w:p w14:paraId="45D3378C"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316.43</w:t>
            </w:r>
          </w:p>
        </w:tc>
      </w:tr>
      <w:tr w:rsidR="00317930" w:rsidRPr="00EA25AF" w14:paraId="51DDAD1B" w14:textId="77777777" w:rsidTr="00317930">
        <w:trPr>
          <w:trHeight w:val="31"/>
        </w:trPr>
        <w:tc>
          <w:tcPr>
            <w:tcW w:w="1876" w:type="pct"/>
            <w:vAlign w:val="center"/>
          </w:tcPr>
          <w:p w14:paraId="45EAE841"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Thiram @ 1.3 g/kg seed</w:t>
            </w:r>
          </w:p>
        </w:tc>
        <w:tc>
          <w:tcPr>
            <w:tcW w:w="781" w:type="pct"/>
            <w:vAlign w:val="center"/>
          </w:tcPr>
          <w:p w14:paraId="5FDCD569"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89.12</w:t>
            </w:r>
          </w:p>
        </w:tc>
        <w:tc>
          <w:tcPr>
            <w:tcW w:w="781" w:type="pct"/>
            <w:vAlign w:val="center"/>
          </w:tcPr>
          <w:p w14:paraId="35F40825"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24.79</w:t>
            </w:r>
          </w:p>
        </w:tc>
        <w:tc>
          <w:tcPr>
            <w:tcW w:w="781" w:type="pct"/>
            <w:vAlign w:val="center"/>
          </w:tcPr>
          <w:p w14:paraId="6DE9359A"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11.14</w:t>
            </w:r>
          </w:p>
        </w:tc>
        <w:tc>
          <w:tcPr>
            <w:tcW w:w="781" w:type="pct"/>
            <w:vAlign w:val="center"/>
          </w:tcPr>
          <w:p w14:paraId="26BA3DB2"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276.30</w:t>
            </w:r>
          </w:p>
        </w:tc>
      </w:tr>
      <w:tr w:rsidR="00317930" w:rsidRPr="00EA25AF" w14:paraId="607EF6E6" w14:textId="77777777" w:rsidTr="00317930">
        <w:trPr>
          <w:trHeight w:val="31"/>
        </w:trPr>
        <w:tc>
          <w:tcPr>
            <w:tcW w:w="1876" w:type="pct"/>
            <w:vAlign w:val="center"/>
          </w:tcPr>
          <w:p w14:paraId="4046BDAD"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SE (m±)</w:t>
            </w:r>
          </w:p>
        </w:tc>
        <w:tc>
          <w:tcPr>
            <w:tcW w:w="781" w:type="pct"/>
            <w:vAlign w:val="center"/>
          </w:tcPr>
          <w:p w14:paraId="74E759A8"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0.59</w:t>
            </w:r>
          </w:p>
        </w:tc>
        <w:tc>
          <w:tcPr>
            <w:tcW w:w="781" w:type="pct"/>
            <w:vAlign w:val="center"/>
          </w:tcPr>
          <w:p w14:paraId="6A676AA1"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0.35</w:t>
            </w:r>
          </w:p>
        </w:tc>
        <w:tc>
          <w:tcPr>
            <w:tcW w:w="781" w:type="pct"/>
            <w:vAlign w:val="center"/>
          </w:tcPr>
          <w:p w14:paraId="1C729235"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0.05</w:t>
            </w:r>
          </w:p>
        </w:tc>
        <w:tc>
          <w:tcPr>
            <w:tcW w:w="781" w:type="pct"/>
            <w:vAlign w:val="center"/>
          </w:tcPr>
          <w:p w14:paraId="725FCE6C"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5.18</w:t>
            </w:r>
          </w:p>
        </w:tc>
      </w:tr>
      <w:tr w:rsidR="00317930" w:rsidRPr="00EA25AF" w14:paraId="20F33190" w14:textId="77777777" w:rsidTr="00317930">
        <w:trPr>
          <w:trHeight w:val="31"/>
        </w:trPr>
        <w:tc>
          <w:tcPr>
            <w:tcW w:w="1876" w:type="pct"/>
            <w:vAlign w:val="center"/>
          </w:tcPr>
          <w:p w14:paraId="01D2C487" w14:textId="77777777" w:rsidR="00317930" w:rsidRPr="00EA25AF" w:rsidRDefault="00317930"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CD (P=0.05)</w:t>
            </w:r>
          </w:p>
        </w:tc>
        <w:tc>
          <w:tcPr>
            <w:tcW w:w="781" w:type="pct"/>
            <w:vAlign w:val="center"/>
          </w:tcPr>
          <w:p w14:paraId="0DCA22E6"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1.72</w:t>
            </w:r>
          </w:p>
        </w:tc>
        <w:tc>
          <w:tcPr>
            <w:tcW w:w="781" w:type="pct"/>
            <w:vAlign w:val="center"/>
          </w:tcPr>
          <w:p w14:paraId="1EA97959" w14:textId="77777777" w:rsidR="00317930" w:rsidRPr="00EA25AF" w:rsidRDefault="00317930" w:rsidP="006A3CF7">
            <w:pPr>
              <w:spacing w:line="360" w:lineRule="auto"/>
              <w:jc w:val="center"/>
              <w:rPr>
                <w:rFonts w:ascii="Times New Roman" w:hAnsi="Times New Roman" w:cs="Times New Roman"/>
                <w:b/>
                <w:bCs/>
                <w:color w:val="000000"/>
                <w:sz w:val="22"/>
                <w:szCs w:val="22"/>
              </w:rPr>
            </w:pPr>
            <w:r w:rsidRPr="00EA25AF">
              <w:rPr>
                <w:rFonts w:ascii="Times New Roman" w:hAnsi="Times New Roman" w:cs="Times New Roman"/>
                <w:b/>
                <w:bCs/>
                <w:color w:val="000000"/>
                <w:sz w:val="22"/>
                <w:szCs w:val="22"/>
              </w:rPr>
              <w:t>1.02</w:t>
            </w:r>
          </w:p>
        </w:tc>
        <w:tc>
          <w:tcPr>
            <w:tcW w:w="781" w:type="pct"/>
            <w:vAlign w:val="center"/>
          </w:tcPr>
          <w:p w14:paraId="66A100C1" w14:textId="77777777" w:rsidR="00317930" w:rsidRPr="00EA25AF" w:rsidRDefault="00317930"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0.15</w:t>
            </w:r>
          </w:p>
        </w:tc>
        <w:tc>
          <w:tcPr>
            <w:tcW w:w="781" w:type="pct"/>
            <w:vAlign w:val="center"/>
          </w:tcPr>
          <w:p w14:paraId="49A6D982" w14:textId="77777777" w:rsidR="00317930" w:rsidRPr="00EA25AF" w:rsidRDefault="00317930"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15.04</w:t>
            </w:r>
          </w:p>
        </w:tc>
      </w:tr>
      <w:tr w:rsidR="00317930" w:rsidRPr="00EA25AF" w14:paraId="70B00359" w14:textId="77777777" w:rsidTr="00317930">
        <w:trPr>
          <w:trHeight w:val="31"/>
        </w:trPr>
        <w:tc>
          <w:tcPr>
            <w:tcW w:w="1876" w:type="pct"/>
            <w:vAlign w:val="center"/>
          </w:tcPr>
          <w:p w14:paraId="2CC112EB"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CV (%)</w:t>
            </w:r>
          </w:p>
        </w:tc>
        <w:tc>
          <w:tcPr>
            <w:tcW w:w="781" w:type="pct"/>
            <w:vAlign w:val="center"/>
          </w:tcPr>
          <w:p w14:paraId="05FF7E4B"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1.55</w:t>
            </w:r>
          </w:p>
        </w:tc>
        <w:tc>
          <w:tcPr>
            <w:tcW w:w="781" w:type="pct"/>
            <w:vAlign w:val="center"/>
          </w:tcPr>
          <w:p w14:paraId="359CAA36"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2.29</w:t>
            </w:r>
          </w:p>
        </w:tc>
        <w:tc>
          <w:tcPr>
            <w:tcW w:w="781" w:type="pct"/>
            <w:vAlign w:val="center"/>
          </w:tcPr>
          <w:p w14:paraId="563A9E7A"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0.91</w:t>
            </w:r>
          </w:p>
        </w:tc>
        <w:tc>
          <w:tcPr>
            <w:tcW w:w="781" w:type="pct"/>
            <w:vAlign w:val="center"/>
          </w:tcPr>
          <w:p w14:paraId="21DE8564"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2.85</w:t>
            </w:r>
          </w:p>
        </w:tc>
      </w:tr>
    </w:tbl>
    <w:p w14:paraId="2B7D6C1D" w14:textId="77777777" w:rsidR="00317930" w:rsidRPr="00EA25AF" w:rsidRDefault="00317930" w:rsidP="006A3CF7">
      <w:pPr>
        <w:pStyle w:val="NormalWeb"/>
        <w:spacing w:line="360" w:lineRule="auto"/>
        <w:rPr>
          <w:sz w:val="22"/>
          <w:szCs w:val="22"/>
        </w:rPr>
      </w:pPr>
      <w:r w:rsidRPr="00EA25AF">
        <w:rPr>
          <w:noProof/>
          <w:sz w:val="22"/>
          <w:szCs w:val="22"/>
        </w:rPr>
        <w:lastRenderedPageBreak/>
        <w:drawing>
          <wp:inline distT="0" distB="0" distL="0" distR="0" wp14:anchorId="2BFBF3EB" wp14:editId="7BC95669">
            <wp:extent cx="5937250" cy="3213100"/>
            <wp:effectExtent l="0" t="0" r="6350" b="6350"/>
            <wp:docPr id="2" name="Picture 2" descr="C:\Users\APARNA JYOTI\Downloads\download (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APARNA JYOTI\Downloads\download (6).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1278" cy="3209868"/>
                    </a:xfrm>
                    <a:prstGeom prst="rect">
                      <a:avLst/>
                    </a:prstGeom>
                    <a:noFill/>
                    <a:ln>
                      <a:noFill/>
                    </a:ln>
                  </pic:spPr>
                </pic:pic>
              </a:graphicData>
            </a:graphic>
          </wp:inline>
        </w:drawing>
      </w:r>
    </w:p>
    <w:p w14:paraId="5FE57AEB" w14:textId="6670E0CA" w:rsidR="00815C0D" w:rsidRPr="00EA25AF" w:rsidRDefault="00815C0D" w:rsidP="00815C0D">
      <w:pPr>
        <w:autoSpaceDE w:val="0"/>
        <w:autoSpaceDN w:val="0"/>
        <w:adjustRightInd w:val="0"/>
        <w:spacing w:line="360" w:lineRule="auto"/>
        <w:jc w:val="center"/>
        <w:rPr>
          <w:rFonts w:ascii="Times New Roman" w:eastAsia="Calibri" w:hAnsi="Times New Roman" w:cs="Times New Roman"/>
          <w:bCs/>
          <w:lang w:val="en-US"/>
        </w:rPr>
      </w:pPr>
      <w:r w:rsidRPr="00EA25AF">
        <w:rPr>
          <w:rFonts w:ascii="Times New Roman" w:eastAsia="Calibri" w:hAnsi="Times New Roman" w:cs="Times New Roman"/>
          <w:b/>
          <w:sz w:val="24"/>
          <w:szCs w:val="24"/>
          <w:lang w:val="en-US"/>
        </w:rPr>
        <w:t xml:space="preserve">Fig.2. </w:t>
      </w:r>
      <w:r w:rsidRPr="00EA25AF">
        <w:rPr>
          <w:rFonts w:ascii="Times New Roman" w:eastAsia="Calibri" w:hAnsi="Times New Roman" w:cs="Times New Roman"/>
          <w:b/>
          <w:bCs/>
          <w:sz w:val="24"/>
          <w:szCs w:val="24"/>
        </w:rPr>
        <w:t>Beneficial effect of Liquid Bio-fertilizers on Germination and Germination Dynamics</w:t>
      </w:r>
    </w:p>
    <w:p w14:paraId="05A954E7" w14:textId="6F0218C9" w:rsidR="00045562" w:rsidRPr="00EA25AF" w:rsidRDefault="003B5019" w:rsidP="00F53F4A">
      <w:pPr>
        <w:autoSpaceDE w:val="0"/>
        <w:autoSpaceDN w:val="0"/>
        <w:adjustRightInd w:val="0"/>
        <w:spacing w:line="360" w:lineRule="auto"/>
        <w:ind w:firstLine="720"/>
        <w:jc w:val="both"/>
        <w:rPr>
          <w:rFonts w:ascii="Times New Roman" w:eastAsia="Calibri" w:hAnsi="Times New Roman" w:cs="Times New Roman"/>
          <w:bCs/>
        </w:rPr>
      </w:pPr>
      <w:r w:rsidRPr="00EA25AF">
        <w:rPr>
          <w:rFonts w:ascii="Times New Roman" w:eastAsia="Calibri" w:hAnsi="Times New Roman" w:cs="Times New Roman"/>
          <w:bCs/>
          <w:lang w:val="en-US"/>
        </w:rPr>
        <w:t xml:space="preserve">Seedling growth parameters data is included in table 3 and Fig. 3. It is obvious from the table that seedling length and seedling dry weight </w:t>
      </w:r>
      <w:r w:rsidR="00045562" w:rsidRPr="00EA25AF">
        <w:rPr>
          <w:rFonts w:ascii="Times New Roman" w:eastAsia="Calibri" w:hAnsi="Times New Roman" w:cs="Times New Roman"/>
          <w:bCs/>
          <w:lang w:val="en-US"/>
        </w:rPr>
        <w:t>varied proportionally. All the treatments varied significantly in comparison to T</w:t>
      </w:r>
      <w:r w:rsidR="00045562" w:rsidRPr="00EA25AF">
        <w:rPr>
          <w:rFonts w:ascii="Times New Roman" w:eastAsia="Calibri" w:hAnsi="Times New Roman" w:cs="Times New Roman"/>
          <w:bCs/>
          <w:vertAlign w:val="subscript"/>
          <w:lang w:val="en-US"/>
        </w:rPr>
        <w:t>1</w:t>
      </w:r>
      <w:r w:rsidR="00045562" w:rsidRPr="00EA25AF">
        <w:rPr>
          <w:rFonts w:ascii="Times New Roman" w:eastAsia="Calibri" w:hAnsi="Times New Roman" w:cs="Times New Roman"/>
          <w:bCs/>
          <w:lang w:val="en-US"/>
        </w:rPr>
        <w:t xml:space="preserve"> (Control) for the seedling length (cm). The treatment T</w:t>
      </w:r>
      <w:r w:rsidR="00045562" w:rsidRPr="00EA25AF">
        <w:rPr>
          <w:rFonts w:ascii="Times New Roman" w:eastAsia="Calibri" w:hAnsi="Times New Roman" w:cs="Times New Roman"/>
          <w:bCs/>
          <w:vertAlign w:val="subscript"/>
          <w:lang w:val="en-US"/>
        </w:rPr>
        <w:t xml:space="preserve">8 </w:t>
      </w:r>
      <w:r w:rsidR="00045562"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45562" w:rsidRPr="00EA25AF">
        <w:rPr>
          <w:rFonts w:ascii="Times New Roman" w:eastAsia="Calibri" w:hAnsi="Times New Roman" w:cs="Times New Roman"/>
          <w:bCs/>
          <w:lang w:val="en-US"/>
        </w:rPr>
        <w:t xml:space="preserve"> + PSB @ 20 ml/kg of seed) (29.71 cm) showed highest seedling length (cm) followed by T</w:t>
      </w:r>
      <w:r w:rsidR="00045562" w:rsidRPr="00EA25AF">
        <w:rPr>
          <w:rFonts w:ascii="Times New Roman" w:eastAsia="Calibri" w:hAnsi="Times New Roman" w:cs="Times New Roman"/>
          <w:bCs/>
          <w:vertAlign w:val="subscript"/>
          <w:lang w:val="en-US"/>
        </w:rPr>
        <w:t xml:space="preserve">7 </w:t>
      </w:r>
      <w:r w:rsidR="00045562"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45562" w:rsidRPr="00EA25AF">
        <w:rPr>
          <w:rFonts w:ascii="Times New Roman" w:eastAsia="Calibri" w:hAnsi="Times New Roman" w:cs="Times New Roman"/>
          <w:bCs/>
          <w:lang w:val="en-US"/>
        </w:rPr>
        <w:t xml:space="preserve"> + KSB @ 20 ml/kg of seed) (28.82 cm) of seed whereas the least seedling length (cm) was observed in the T</w:t>
      </w:r>
      <w:r w:rsidR="00045562" w:rsidRPr="00EA25AF">
        <w:rPr>
          <w:rFonts w:ascii="Times New Roman" w:eastAsia="Calibri" w:hAnsi="Times New Roman" w:cs="Times New Roman"/>
          <w:bCs/>
          <w:vertAlign w:val="subscript"/>
          <w:lang w:val="en-US"/>
        </w:rPr>
        <w:t xml:space="preserve">1 </w:t>
      </w:r>
      <w:r w:rsidR="00045562" w:rsidRPr="00EA25AF">
        <w:rPr>
          <w:rFonts w:ascii="Times New Roman" w:eastAsia="Calibri" w:hAnsi="Times New Roman" w:cs="Times New Roman"/>
          <w:bCs/>
          <w:lang w:val="en-US"/>
        </w:rPr>
        <w:t>(Control) (23.86 cm) during both the year. Similarly, the treatment T</w:t>
      </w:r>
      <w:r w:rsidR="00045562" w:rsidRPr="00EA25AF">
        <w:rPr>
          <w:rFonts w:ascii="Times New Roman" w:eastAsia="Calibri" w:hAnsi="Times New Roman" w:cs="Times New Roman"/>
          <w:bCs/>
          <w:vertAlign w:val="subscript"/>
          <w:lang w:val="en-US"/>
        </w:rPr>
        <w:t xml:space="preserve">8 </w:t>
      </w:r>
      <w:r w:rsidR="00045562"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45562" w:rsidRPr="00EA25AF">
        <w:rPr>
          <w:rFonts w:ascii="Times New Roman" w:eastAsia="Calibri" w:hAnsi="Times New Roman" w:cs="Times New Roman"/>
          <w:bCs/>
          <w:lang w:val="en-US"/>
        </w:rPr>
        <w:t xml:space="preserve"> + PSB @ 20 ml/kg of seed) (11.46) showed highest seedling dry weight (mg) followed by T</w:t>
      </w:r>
      <w:r w:rsidR="00045562" w:rsidRPr="00EA25AF">
        <w:rPr>
          <w:rFonts w:ascii="Times New Roman" w:eastAsia="Calibri" w:hAnsi="Times New Roman" w:cs="Times New Roman"/>
          <w:bCs/>
          <w:vertAlign w:val="subscript"/>
          <w:lang w:val="en-US"/>
        </w:rPr>
        <w:t xml:space="preserve">7 </w:t>
      </w:r>
      <w:r w:rsidR="00045562"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45562" w:rsidRPr="00EA25AF">
        <w:rPr>
          <w:rFonts w:ascii="Times New Roman" w:eastAsia="Calibri" w:hAnsi="Times New Roman" w:cs="Times New Roman"/>
          <w:bCs/>
          <w:lang w:val="en-US"/>
        </w:rPr>
        <w:t xml:space="preserve"> + KSB @ 20 ml/kg of seed) (11.42 mg) of seed whereas the least seedling dry weight (mg) was observed in the T</w:t>
      </w:r>
      <w:r w:rsidR="00045562" w:rsidRPr="00EA25AF">
        <w:rPr>
          <w:rFonts w:ascii="Times New Roman" w:eastAsia="Calibri" w:hAnsi="Times New Roman" w:cs="Times New Roman"/>
          <w:bCs/>
          <w:vertAlign w:val="subscript"/>
          <w:lang w:val="en-US"/>
        </w:rPr>
        <w:t xml:space="preserve">1 </w:t>
      </w:r>
      <w:r w:rsidR="00045562" w:rsidRPr="00EA25AF">
        <w:rPr>
          <w:rFonts w:ascii="Times New Roman" w:eastAsia="Calibri" w:hAnsi="Times New Roman" w:cs="Times New Roman"/>
          <w:bCs/>
          <w:lang w:val="en-US"/>
        </w:rPr>
        <w:t>(Control) (8.20 mg) during both the year.</w:t>
      </w:r>
      <w:r w:rsidR="001A4EE9" w:rsidRPr="00EA25AF">
        <w:rPr>
          <w:rFonts w:ascii="Times New Roman" w:eastAsia="Calibri" w:hAnsi="Times New Roman" w:cs="Times New Roman"/>
          <w:bCs/>
          <w:lang w:val="en-US"/>
        </w:rPr>
        <w:t xml:space="preserve"> Si</w:t>
      </w:r>
      <w:r w:rsidR="00100655" w:rsidRPr="00EA25AF">
        <w:rPr>
          <w:rFonts w:ascii="Times New Roman" w:eastAsia="Calibri" w:hAnsi="Times New Roman" w:cs="Times New Roman"/>
          <w:bCs/>
          <w:lang w:val="en-US"/>
        </w:rPr>
        <w:t>milar findings were reported by</w:t>
      </w:r>
      <w:r w:rsidR="000E427C" w:rsidRPr="00EA25AF">
        <w:rPr>
          <w:rFonts w:ascii="Times New Roman" w:eastAsia="Calibri" w:hAnsi="Times New Roman" w:cs="Times New Roman"/>
          <w:bCs/>
          <w:lang w:val="en-US"/>
        </w:rPr>
        <w:t xml:space="preserve"> </w:t>
      </w:r>
      <w:proofErr w:type="spellStart"/>
      <w:r w:rsidR="000E427C" w:rsidRPr="00EA25AF">
        <w:rPr>
          <w:rFonts w:ascii="Times New Roman" w:eastAsia="Calibri" w:hAnsi="Times New Roman" w:cs="Times New Roman"/>
          <w:bCs/>
        </w:rPr>
        <w:t>Yaadesh</w:t>
      </w:r>
      <w:proofErr w:type="spellEnd"/>
      <w:r w:rsidR="000E427C" w:rsidRPr="00EA25AF">
        <w:rPr>
          <w:rFonts w:ascii="Times New Roman" w:eastAsia="Calibri" w:hAnsi="Times New Roman" w:cs="Times New Roman"/>
          <w:bCs/>
        </w:rPr>
        <w:t>, S., et al. (2023) in maize,</w:t>
      </w:r>
      <w:r w:rsidR="00100655" w:rsidRPr="00EA25AF">
        <w:rPr>
          <w:rFonts w:ascii="Times New Roman" w:eastAsia="Calibri" w:hAnsi="Times New Roman" w:cs="Times New Roman"/>
          <w:bCs/>
          <w:lang w:val="en-US"/>
        </w:rPr>
        <w:t xml:space="preserve"> </w:t>
      </w:r>
      <w:r w:rsidR="00100655" w:rsidRPr="00EA25AF">
        <w:rPr>
          <w:rFonts w:ascii="Times New Roman" w:eastAsia="Calibri" w:hAnsi="Times New Roman" w:cs="Times New Roman"/>
          <w:bCs/>
        </w:rPr>
        <w:t xml:space="preserve">Iswariya et al., (2019) in </w:t>
      </w:r>
      <w:proofErr w:type="spellStart"/>
      <w:r w:rsidR="00100655" w:rsidRPr="00EA25AF">
        <w:rPr>
          <w:rFonts w:ascii="Times New Roman" w:eastAsia="Calibri" w:hAnsi="Times New Roman" w:cs="Times New Roman"/>
          <w:bCs/>
        </w:rPr>
        <w:t>banyard</w:t>
      </w:r>
      <w:proofErr w:type="spellEnd"/>
      <w:r w:rsidR="00100655" w:rsidRPr="00EA25AF">
        <w:rPr>
          <w:rFonts w:ascii="Times New Roman" w:eastAsia="Calibri" w:hAnsi="Times New Roman" w:cs="Times New Roman"/>
          <w:bCs/>
        </w:rPr>
        <w:t xml:space="preserve"> millet, Balaji and Narayana (2019)</w:t>
      </w:r>
      <w:r w:rsidR="000E427C" w:rsidRPr="00EA25AF">
        <w:rPr>
          <w:rFonts w:ascii="Times New Roman" w:eastAsia="Calibri" w:hAnsi="Times New Roman" w:cs="Times New Roman"/>
          <w:bCs/>
        </w:rPr>
        <w:t xml:space="preserve"> in </w:t>
      </w:r>
      <w:proofErr w:type="spellStart"/>
      <w:r w:rsidR="000E427C" w:rsidRPr="00EA25AF">
        <w:rPr>
          <w:rFonts w:ascii="Times New Roman" w:eastAsia="Calibri" w:hAnsi="Times New Roman" w:cs="Times New Roman"/>
          <w:bCs/>
        </w:rPr>
        <w:t>proso</w:t>
      </w:r>
      <w:proofErr w:type="spellEnd"/>
      <w:r w:rsidR="000E427C" w:rsidRPr="00EA25AF">
        <w:rPr>
          <w:rFonts w:ascii="Times New Roman" w:eastAsia="Calibri" w:hAnsi="Times New Roman" w:cs="Times New Roman"/>
          <w:bCs/>
        </w:rPr>
        <w:t xml:space="preserve"> millet.</w:t>
      </w:r>
      <w:r w:rsidR="00100655" w:rsidRPr="00EA25AF">
        <w:rPr>
          <w:rFonts w:ascii="Times New Roman" w:eastAsia="Calibri" w:hAnsi="Times New Roman" w:cs="Times New Roman"/>
          <w:bCs/>
        </w:rPr>
        <w:t xml:space="preserve"> </w:t>
      </w:r>
    </w:p>
    <w:p w14:paraId="4C2AD684" w14:textId="77777777" w:rsidR="00BE7B9B" w:rsidRPr="00EA25AF" w:rsidRDefault="000132C2" w:rsidP="006A3CF7">
      <w:pPr>
        <w:autoSpaceDE w:val="0"/>
        <w:autoSpaceDN w:val="0"/>
        <w:adjustRightInd w:val="0"/>
        <w:spacing w:after="0" w:line="360" w:lineRule="auto"/>
        <w:jc w:val="center"/>
        <w:rPr>
          <w:rFonts w:ascii="Times New Roman" w:eastAsia="Calibri" w:hAnsi="Times New Roman" w:cs="Times New Roman"/>
          <w:b/>
          <w:bCs/>
        </w:rPr>
      </w:pPr>
      <w:r w:rsidRPr="00EA25AF">
        <w:rPr>
          <w:rFonts w:ascii="Times New Roman" w:eastAsia="Calibri" w:hAnsi="Times New Roman" w:cs="Times New Roman"/>
          <w:b/>
          <w:bCs/>
        </w:rPr>
        <w:t>Table 3. Beneficial effect of Liquid Bio-fertilizers on Seedling Growth Parameters</w:t>
      </w:r>
    </w:p>
    <w:tbl>
      <w:tblPr>
        <w:tblStyle w:val="TableGrid1"/>
        <w:tblpPr w:leftFromText="180" w:rightFromText="180" w:vertAnchor="text" w:horzAnchor="margin" w:tblpXSpec="center" w:tblpY="97"/>
        <w:tblW w:w="4625" w:type="pct"/>
        <w:tblLayout w:type="fixed"/>
        <w:tblLook w:val="04A0" w:firstRow="1" w:lastRow="0" w:firstColumn="1" w:lastColumn="0" w:noHBand="0" w:noVBand="1"/>
      </w:tblPr>
      <w:tblGrid>
        <w:gridCol w:w="4665"/>
        <w:gridCol w:w="1942"/>
        <w:gridCol w:w="1942"/>
      </w:tblGrid>
      <w:tr w:rsidR="002F3186" w:rsidRPr="00EA25AF" w14:paraId="45B4C7B1" w14:textId="77777777" w:rsidTr="002F3186">
        <w:trPr>
          <w:trHeight w:val="31"/>
        </w:trPr>
        <w:tc>
          <w:tcPr>
            <w:tcW w:w="2728" w:type="pct"/>
            <w:vAlign w:val="center"/>
          </w:tcPr>
          <w:p w14:paraId="2274736D" w14:textId="77777777" w:rsidR="002F3186" w:rsidRPr="00EA25AF" w:rsidRDefault="002F3186"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TREATMENTS</w:t>
            </w:r>
          </w:p>
        </w:tc>
        <w:tc>
          <w:tcPr>
            <w:tcW w:w="1136" w:type="pct"/>
            <w:vAlign w:val="center"/>
          </w:tcPr>
          <w:p w14:paraId="687CDE88"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Seedling length (cm)</w:t>
            </w:r>
          </w:p>
        </w:tc>
        <w:tc>
          <w:tcPr>
            <w:tcW w:w="1136" w:type="pct"/>
            <w:vAlign w:val="center"/>
          </w:tcPr>
          <w:p w14:paraId="1972019E"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Seedling dry weight</w:t>
            </w:r>
          </w:p>
        </w:tc>
      </w:tr>
      <w:tr w:rsidR="002F3186" w:rsidRPr="00EA25AF" w14:paraId="5196A7FC" w14:textId="77777777" w:rsidTr="002F3186">
        <w:trPr>
          <w:trHeight w:val="31"/>
        </w:trPr>
        <w:tc>
          <w:tcPr>
            <w:tcW w:w="2728" w:type="pct"/>
            <w:vAlign w:val="center"/>
          </w:tcPr>
          <w:p w14:paraId="435D9B1B"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Control</w:t>
            </w:r>
          </w:p>
        </w:tc>
        <w:tc>
          <w:tcPr>
            <w:tcW w:w="1136" w:type="pct"/>
            <w:vAlign w:val="center"/>
          </w:tcPr>
          <w:p w14:paraId="7914316C"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23.86</w:t>
            </w:r>
          </w:p>
        </w:tc>
        <w:tc>
          <w:tcPr>
            <w:tcW w:w="1136" w:type="pct"/>
            <w:vAlign w:val="center"/>
          </w:tcPr>
          <w:p w14:paraId="16B8FB8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8.20</w:t>
            </w:r>
          </w:p>
        </w:tc>
      </w:tr>
      <w:tr w:rsidR="002F3186" w:rsidRPr="00EA25AF" w14:paraId="65F59D2F" w14:textId="77777777" w:rsidTr="002F3186">
        <w:trPr>
          <w:trHeight w:val="31"/>
        </w:trPr>
        <w:tc>
          <w:tcPr>
            <w:tcW w:w="2728" w:type="pct"/>
            <w:vAlign w:val="center"/>
          </w:tcPr>
          <w:p w14:paraId="1BB759FF"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 xml:space="preserve">Em Culture </w:t>
            </w:r>
            <w:bookmarkStart w:id="0" w:name="_GoBack"/>
            <w:r w:rsidRPr="00EA25AF">
              <w:rPr>
                <w:rFonts w:ascii="Times New Roman" w:eastAsia="Calibri" w:hAnsi="Times New Roman" w:cs="Times New Roman"/>
                <w:sz w:val="22"/>
                <w:szCs w:val="22"/>
              </w:rPr>
              <w:t>@</w:t>
            </w:r>
            <w:bookmarkEnd w:id="0"/>
            <w:r w:rsidRPr="00EA25AF">
              <w:rPr>
                <w:rFonts w:ascii="Times New Roman" w:eastAsia="Calibri" w:hAnsi="Times New Roman" w:cs="Times New Roman"/>
                <w:sz w:val="22"/>
                <w:szCs w:val="22"/>
              </w:rPr>
              <w:t xml:space="preserve"> 10 ml/kg of Seed</w:t>
            </w:r>
          </w:p>
        </w:tc>
        <w:tc>
          <w:tcPr>
            <w:tcW w:w="1136" w:type="pct"/>
            <w:vAlign w:val="center"/>
          </w:tcPr>
          <w:p w14:paraId="6404513E"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25.19</w:t>
            </w:r>
          </w:p>
        </w:tc>
        <w:tc>
          <w:tcPr>
            <w:tcW w:w="1136" w:type="pct"/>
            <w:vAlign w:val="center"/>
          </w:tcPr>
          <w:p w14:paraId="14ADADE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9.36</w:t>
            </w:r>
          </w:p>
        </w:tc>
      </w:tr>
      <w:tr w:rsidR="002F3186" w:rsidRPr="00EA25AF" w14:paraId="23336775" w14:textId="77777777" w:rsidTr="002F3186">
        <w:trPr>
          <w:trHeight w:val="31"/>
        </w:trPr>
        <w:tc>
          <w:tcPr>
            <w:tcW w:w="2728" w:type="pct"/>
            <w:vAlign w:val="center"/>
          </w:tcPr>
          <w:p w14:paraId="1A9BF03D"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KSB @ 20 ml/kg of Seed</w:t>
            </w:r>
          </w:p>
        </w:tc>
        <w:tc>
          <w:tcPr>
            <w:tcW w:w="1136" w:type="pct"/>
            <w:vAlign w:val="center"/>
          </w:tcPr>
          <w:p w14:paraId="6B5C17AB"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25.81</w:t>
            </w:r>
          </w:p>
        </w:tc>
        <w:tc>
          <w:tcPr>
            <w:tcW w:w="1136" w:type="pct"/>
            <w:vAlign w:val="center"/>
          </w:tcPr>
          <w:p w14:paraId="4704EE36"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9.66</w:t>
            </w:r>
          </w:p>
        </w:tc>
      </w:tr>
      <w:tr w:rsidR="002F3186" w:rsidRPr="00EA25AF" w14:paraId="2D0BD838" w14:textId="77777777" w:rsidTr="002F3186">
        <w:trPr>
          <w:trHeight w:val="31"/>
        </w:trPr>
        <w:tc>
          <w:tcPr>
            <w:tcW w:w="2728" w:type="pct"/>
            <w:vAlign w:val="center"/>
          </w:tcPr>
          <w:p w14:paraId="0614C52E"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PSB @ 20 ml/kg of Seed</w:t>
            </w:r>
          </w:p>
        </w:tc>
        <w:tc>
          <w:tcPr>
            <w:tcW w:w="1136" w:type="pct"/>
            <w:vAlign w:val="center"/>
          </w:tcPr>
          <w:p w14:paraId="65DD28BC"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27.58</w:t>
            </w:r>
          </w:p>
        </w:tc>
        <w:tc>
          <w:tcPr>
            <w:tcW w:w="1136" w:type="pct"/>
            <w:vAlign w:val="center"/>
          </w:tcPr>
          <w:p w14:paraId="7070A8E2"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10.47</w:t>
            </w:r>
          </w:p>
        </w:tc>
      </w:tr>
      <w:tr w:rsidR="002F3186" w:rsidRPr="00EA25AF" w14:paraId="16A2DD36" w14:textId="77777777" w:rsidTr="002F3186">
        <w:trPr>
          <w:trHeight w:val="31"/>
        </w:trPr>
        <w:tc>
          <w:tcPr>
            <w:tcW w:w="2728" w:type="pct"/>
            <w:vAlign w:val="center"/>
          </w:tcPr>
          <w:p w14:paraId="3A72A866" w14:textId="229068D0" w:rsidR="002F3186"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lastRenderedPageBreak/>
              <w:t>Pseudomonas</w:t>
            </w:r>
            <w:r w:rsidR="002F3186" w:rsidRPr="00EA25AF">
              <w:rPr>
                <w:rFonts w:ascii="Times New Roman" w:eastAsia="Calibri" w:hAnsi="Times New Roman" w:cs="Times New Roman"/>
                <w:sz w:val="22"/>
                <w:szCs w:val="22"/>
              </w:rPr>
              <w:t xml:space="preserve"> @ 20 ml/kg of Seed</w:t>
            </w:r>
          </w:p>
        </w:tc>
        <w:tc>
          <w:tcPr>
            <w:tcW w:w="1136" w:type="pct"/>
            <w:vAlign w:val="center"/>
          </w:tcPr>
          <w:p w14:paraId="5BB3128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26.46</w:t>
            </w:r>
          </w:p>
        </w:tc>
        <w:tc>
          <w:tcPr>
            <w:tcW w:w="1136" w:type="pct"/>
            <w:vAlign w:val="center"/>
          </w:tcPr>
          <w:p w14:paraId="7FDB2EE4"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10.34</w:t>
            </w:r>
          </w:p>
        </w:tc>
      </w:tr>
      <w:tr w:rsidR="002F3186" w:rsidRPr="00EA25AF" w14:paraId="36CD6206" w14:textId="77777777" w:rsidTr="002F3186">
        <w:trPr>
          <w:trHeight w:val="31"/>
        </w:trPr>
        <w:tc>
          <w:tcPr>
            <w:tcW w:w="2728" w:type="pct"/>
            <w:vAlign w:val="center"/>
          </w:tcPr>
          <w:p w14:paraId="010D282E" w14:textId="795AFE0B" w:rsidR="002F3186"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2F3186" w:rsidRPr="00EA25AF">
              <w:rPr>
                <w:rFonts w:ascii="Times New Roman" w:eastAsia="Calibri" w:hAnsi="Times New Roman" w:cs="Times New Roman"/>
                <w:sz w:val="22"/>
                <w:szCs w:val="22"/>
              </w:rPr>
              <w:t xml:space="preserve"> @ 20 ml/kg of Seed</w:t>
            </w:r>
          </w:p>
        </w:tc>
        <w:tc>
          <w:tcPr>
            <w:tcW w:w="1136" w:type="pct"/>
            <w:vAlign w:val="center"/>
          </w:tcPr>
          <w:p w14:paraId="70CB0BBB"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26.61</w:t>
            </w:r>
          </w:p>
        </w:tc>
        <w:tc>
          <w:tcPr>
            <w:tcW w:w="1136" w:type="pct"/>
            <w:vAlign w:val="center"/>
          </w:tcPr>
          <w:p w14:paraId="388DE66B"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9.91</w:t>
            </w:r>
          </w:p>
        </w:tc>
      </w:tr>
      <w:tr w:rsidR="002F3186" w:rsidRPr="00EA25AF" w14:paraId="7501B758" w14:textId="77777777" w:rsidTr="002F3186">
        <w:trPr>
          <w:trHeight w:val="31"/>
        </w:trPr>
        <w:tc>
          <w:tcPr>
            <w:tcW w:w="2728" w:type="pct"/>
            <w:vAlign w:val="center"/>
          </w:tcPr>
          <w:p w14:paraId="00366124" w14:textId="14A04B17" w:rsidR="002F3186"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2F3186" w:rsidRPr="00EA25AF">
              <w:rPr>
                <w:rFonts w:ascii="Times New Roman" w:eastAsia="Calibri" w:hAnsi="Times New Roman" w:cs="Times New Roman"/>
                <w:sz w:val="22"/>
                <w:szCs w:val="22"/>
              </w:rPr>
              <w:t xml:space="preserve"> + KSB @ 20 ml/kg seed</w:t>
            </w:r>
          </w:p>
        </w:tc>
        <w:tc>
          <w:tcPr>
            <w:tcW w:w="1136" w:type="pct"/>
            <w:vAlign w:val="center"/>
          </w:tcPr>
          <w:p w14:paraId="41395734"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28.82</w:t>
            </w:r>
          </w:p>
        </w:tc>
        <w:tc>
          <w:tcPr>
            <w:tcW w:w="1136" w:type="pct"/>
            <w:vAlign w:val="center"/>
          </w:tcPr>
          <w:p w14:paraId="4FD3376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11.42</w:t>
            </w:r>
          </w:p>
        </w:tc>
      </w:tr>
      <w:tr w:rsidR="002F3186" w:rsidRPr="00EA25AF" w14:paraId="23ACA124" w14:textId="77777777" w:rsidTr="002F3186">
        <w:trPr>
          <w:trHeight w:val="31"/>
        </w:trPr>
        <w:tc>
          <w:tcPr>
            <w:tcW w:w="2728" w:type="pct"/>
            <w:vAlign w:val="center"/>
          </w:tcPr>
          <w:p w14:paraId="5DE3A301" w14:textId="5437EBBF" w:rsidR="002F3186"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2F3186" w:rsidRPr="00EA25AF">
              <w:rPr>
                <w:rFonts w:ascii="Times New Roman" w:eastAsia="Calibri" w:hAnsi="Times New Roman" w:cs="Times New Roman"/>
                <w:sz w:val="22"/>
                <w:szCs w:val="22"/>
              </w:rPr>
              <w:t xml:space="preserve"> + PSB @ 20 ml/kg seed</w:t>
            </w:r>
          </w:p>
        </w:tc>
        <w:tc>
          <w:tcPr>
            <w:tcW w:w="1136" w:type="pct"/>
            <w:vAlign w:val="center"/>
          </w:tcPr>
          <w:p w14:paraId="00F136E8"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29.71</w:t>
            </w:r>
          </w:p>
        </w:tc>
        <w:tc>
          <w:tcPr>
            <w:tcW w:w="1136" w:type="pct"/>
            <w:vAlign w:val="center"/>
          </w:tcPr>
          <w:p w14:paraId="40D41814"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11.46</w:t>
            </w:r>
          </w:p>
        </w:tc>
      </w:tr>
      <w:tr w:rsidR="002F3186" w:rsidRPr="00EA25AF" w14:paraId="6A889ABA" w14:textId="77777777" w:rsidTr="002F3186">
        <w:trPr>
          <w:trHeight w:val="31"/>
        </w:trPr>
        <w:tc>
          <w:tcPr>
            <w:tcW w:w="2728" w:type="pct"/>
            <w:vAlign w:val="center"/>
          </w:tcPr>
          <w:p w14:paraId="30AEBA45" w14:textId="61DE7412" w:rsidR="002F3186"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2F3186" w:rsidRPr="00EA25AF">
              <w:rPr>
                <w:rFonts w:ascii="Times New Roman" w:eastAsia="Calibri" w:hAnsi="Times New Roman" w:cs="Times New Roman"/>
                <w:sz w:val="22"/>
                <w:szCs w:val="22"/>
              </w:rPr>
              <w:t xml:space="preserve"> + KSB + PSB @ 30 ml/kg seed</w:t>
            </w:r>
          </w:p>
        </w:tc>
        <w:tc>
          <w:tcPr>
            <w:tcW w:w="1136" w:type="pct"/>
            <w:vAlign w:val="center"/>
          </w:tcPr>
          <w:p w14:paraId="3A2CBAE4"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25.28</w:t>
            </w:r>
          </w:p>
        </w:tc>
        <w:tc>
          <w:tcPr>
            <w:tcW w:w="1136" w:type="pct"/>
            <w:vAlign w:val="center"/>
          </w:tcPr>
          <w:p w14:paraId="610A7DC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8.71</w:t>
            </w:r>
          </w:p>
        </w:tc>
      </w:tr>
      <w:tr w:rsidR="002F3186" w:rsidRPr="00EA25AF" w14:paraId="696A4073" w14:textId="77777777" w:rsidTr="002F3186">
        <w:trPr>
          <w:trHeight w:val="31"/>
        </w:trPr>
        <w:tc>
          <w:tcPr>
            <w:tcW w:w="2728" w:type="pct"/>
            <w:vAlign w:val="center"/>
          </w:tcPr>
          <w:p w14:paraId="15A4C470"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Thiram @ 1.3 g/kg seed</w:t>
            </w:r>
          </w:p>
        </w:tc>
        <w:tc>
          <w:tcPr>
            <w:tcW w:w="1136" w:type="pct"/>
            <w:vAlign w:val="center"/>
          </w:tcPr>
          <w:p w14:paraId="6D10C19E"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24.23</w:t>
            </w:r>
          </w:p>
        </w:tc>
        <w:tc>
          <w:tcPr>
            <w:tcW w:w="1136" w:type="pct"/>
            <w:vAlign w:val="center"/>
          </w:tcPr>
          <w:p w14:paraId="36E0CECC"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8.44</w:t>
            </w:r>
          </w:p>
        </w:tc>
      </w:tr>
      <w:tr w:rsidR="002F3186" w:rsidRPr="00EA25AF" w14:paraId="6BEC17B4" w14:textId="77777777" w:rsidTr="002F3186">
        <w:trPr>
          <w:trHeight w:val="31"/>
        </w:trPr>
        <w:tc>
          <w:tcPr>
            <w:tcW w:w="2728" w:type="pct"/>
            <w:vAlign w:val="center"/>
          </w:tcPr>
          <w:p w14:paraId="2C375B8A"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SE (m±)</w:t>
            </w:r>
          </w:p>
        </w:tc>
        <w:tc>
          <w:tcPr>
            <w:tcW w:w="1136" w:type="pct"/>
            <w:vAlign w:val="center"/>
          </w:tcPr>
          <w:p w14:paraId="62BF75D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0.18</w:t>
            </w:r>
          </w:p>
        </w:tc>
        <w:tc>
          <w:tcPr>
            <w:tcW w:w="1136" w:type="pct"/>
            <w:vAlign w:val="center"/>
          </w:tcPr>
          <w:p w14:paraId="6619194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0.08</w:t>
            </w:r>
          </w:p>
        </w:tc>
      </w:tr>
      <w:tr w:rsidR="002F3186" w:rsidRPr="00EA25AF" w14:paraId="31492613" w14:textId="77777777" w:rsidTr="002F3186">
        <w:trPr>
          <w:trHeight w:val="31"/>
        </w:trPr>
        <w:tc>
          <w:tcPr>
            <w:tcW w:w="2728" w:type="pct"/>
            <w:vAlign w:val="center"/>
          </w:tcPr>
          <w:p w14:paraId="5B563CD7" w14:textId="77777777" w:rsidR="002F3186" w:rsidRPr="00EA25AF" w:rsidRDefault="002F3186"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CD (P=0.05)</w:t>
            </w:r>
          </w:p>
        </w:tc>
        <w:tc>
          <w:tcPr>
            <w:tcW w:w="1136" w:type="pct"/>
            <w:vAlign w:val="center"/>
          </w:tcPr>
          <w:p w14:paraId="1668E60A" w14:textId="77777777" w:rsidR="002F3186" w:rsidRPr="00EA25AF" w:rsidRDefault="002F3186"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0.55</w:t>
            </w:r>
          </w:p>
        </w:tc>
        <w:tc>
          <w:tcPr>
            <w:tcW w:w="1136" w:type="pct"/>
            <w:vAlign w:val="center"/>
          </w:tcPr>
          <w:p w14:paraId="514DD09E" w14:textId="77777777" w:rsidR="002F3186" w:rsidRPr="00EA25AF" w:rsidRDefault="002F3186"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0.23</w:t>
            </w:r>
          </w:p>
        </w:tc>
      </w:tr>
      <w:tr w:rsidR="002F3186" w:rsidRPr="00EA25AF" w14:paraId="23E06590" w14:textId="77777777" w:rsidTr="002F3186">
        <w:trPr>
          <w:trHeight w:val="31"/>
        </w:trPr>
        <w:tc>
          <w:tcPr>
            <w:tcW w:w="2728" w:type="pct"/>
            <w:vAlign w:val="center"/>
          </w:tcPr>
          <w:p w14:paraId="5E467739"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CV (%)</w:t>
            </w:r>
          </w:p>
        </w:tc>
        <w:tc>
          <w:tcPr>
            <w:tcW w:w="1136" w:type="pct"/>
            <w:vAlign w:val="center"/>
          </w:tcPr>
          <w:p w14:paraId="5058BB1E"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1.42</w:t>
            </w:r>
          </w:p>
        </w:tc>
        <w:tc>
          <w:tcPr>
            <w:tcW w:w="1136" w:type="pct"/>
            <w:vAlign w:val="center"/>
          </w:tcPr>
          <w:p w14:paraId="770F5FF0"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1.65</w:t>
            </w:r>
          </w:p>
        </w:tc>
      </w:tr>
    </w:tbl>
    <w:p w14:paraId="72A50406" w14:textId="77777777" w:rsidR="002F3186" w:rsidRPr="00EA25AF" w:rsidRDefault="002F3186" w:rsidP="006A3CF7">
      <w:pPr>
        <w:pStyle w:val="NormalWeb"/>
        <w:spacing w:line="360" w:lineRule="auto"/>
        <w:rPr>
          <w:sz w:val="22"/>
          <w:szCs w:val="22"/>
        </w:rPr>
      </w:pPr>
      <w:r w:rsidRPr="00EA25AF">
        <w:rPr>
          <w:noProof/>
          <w:sz w:val="22"/>
          <w:szCs w:val="22"/>
        </w:rPr>
        <w:drawing>
          <wp:inline distT="0" distB="0" distL="0" distR="0" wp14:anchorId="7604E464" wp14:editId="34BAC00C">
            <wp:extent cx="5721574" cy="3053300"/>
            <wp:effectExtent l="0" t="0" r="0" b="0"/>
            <wp:docPr id="3" name="Picture 3" descr="C:\Users\APARNA JYOTI\Downloads\download (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APARNA JYOTI\Downloads\download (4).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000" cy="3054595"/>
                    </a:xfrm>
                    <a:prstGeom prst="rect">
                      <a:avLst/>
                    </a:prstGeom>
                    <a:noFill/>
                    <a:ln>
                      <a:noFill/>
                    </a:ln>
                  </pic:spPr>
                </pic:pic>
              </a:graphicData>
            </a:graphic>
          </wp:inline>
        </w:drawing>
      </w:r>
    </w:p>
    <w:p w14:paraId="3F985BA8" w14:textId="4A42EDD9" w:rsidR="00317930" w:rsidRPr="00EA25AF" w:rsidRDefault="00815C0D" w:rsidP="00815C0D">
      <w:pPr>
        <w:autoSpaceDE w:val="0"/>
        <w:autoSpaceDN w:val="0"/>
        <w:adjustRightInd w:val="0"/>
        <w:spacing w:line="360" w:lineRule="auto"/>
        <w:rPr>
          <w:rFonts w:ascii="Times New Roman" w:eastAsia="Calibri" w:hAnsi="Times New Roman" w:cs="Times New Roman"/>
          <w:color w:val="EE0000"/>
          <w:sz w:val="24"/>
          <w:szCs w:val="24"/>
        </w:rPr>
      </w:pPr>
      <w:r w:rsidRPr="00EA25AF">
        <w:rPr>
          <w:rFonts w:ascii="Times New Roman" w:eastAsia="Calibri" w:hAnsi="Times New Roman" w:cs="Times New Roman"/>
          <w:b/>
          <w:bCs/>
          <w:color w:val="EE0000"/>
          <w:sz w:val="24"/>
          <w:szCs w:val="24"/>
        </w:rPr>
        <w:t xml:space="preserve">          </w:t>
      </w:r>
      <w:r w:rsidR="008C5205" w:rsidRPr="00EA25AF">
        <w:rPr>
          <w:rFonts w:ascii="Times New Roman" w:eastAsia="Calibri" w:hAnsi="Times New Roman" w:cs="Times New Roman"/>
          <w:b/>
          <w:bCs/>
          <w:color w:val="EE0000"/>
          <w:sz w:val="24"/>
          <w:szCs w:val="24"/>
        </w:rPr>
        <w:t xml:space="preserve"> </w:t>
      </w:r>
      <w:r w:rsidRPr="00EA25AF">
        <w:rPr>
          <w:rFonts w:ascii="Times New Roman" w:eastAsia="Calibri" w:hAnsi="Times New Roman" w:cs="Times New Roman"/>
          <w:b/>
          <w:bCs/>
          <w:sz w:val="24"/>
          <w:szCs w:val="24"/>
        </w:rPr>
        <w:t>Fig.3.</w:t>
      </w:r>
      <w:r w:rsidRPr="00EA25AF">
        <w:rPr>
          <w:rFonts w:ascii="Times New Roman" w:eastAsia="Calibri" w:hAnsi="Times New Roman" w:cs="Times New Roman"/>
          <w:color w:val="EE0000"/>
          <w:sz w:val="24"/>
          <w:szCs w:val="24"/>
        </w:rPr>
        <w:t xml:space="preserve"> </w:t>
      </w:r>
      <w:r w:rsidRPr="00EA25AF">
        <w:rPr>
          <w:rFonts w:ascii="Times New Roman" w:eastAsia="Calibri" w:hAnsi="Times New Roman" w:cs="Times New Roman"/>
          <w:b/>
          <w:bCs/>
        </w:rPr>
        <w:t>Beneficial effect of Liquid Bio-fertilizers on Seedling Growth Parameters</w:t>
      </w:r>
    </w:p>
    <w:p w14:paraId="53011113" w14:textId="749F48CC" w:rsidR="00014516" w:rsidRPr="00EA25AF" w:rsidRDefault="00FE72FA" w:rsidP="006A3CF7">
      <w:pPr>
        <w:tabs>
          <w:tab w:val="left" w:pos="920"/>
        </w:tabs>
        <w:autoSpaceDE w:val="0"/>
        <w:autoSpaceDN w:val="0"/>
        <w:adjustRightInd w:val="0"/>
        <w:spacing w:line="360" w:lineRule="auto"/>
        <w:jc w:val="both"/>
        <w:rPr>
          <w:rFonts w:ascii="Times New Roman" w:eastAsia="Calibri" w:hAnsi="Times New Roman" w:cs="Times New Roman"/>
          <w:bCs/>
        </w:rPr>
      </w:pPr>
      <w:r w:rsidRPr="00EA25AF">
        <w:rPr>
          <w:rFonts w:ascii="Times New Roman" w:eastAsia="Calibri" w:hAnsi="Times New Roman" w:cs="Times New Roman"/>
          <w:bCs/>
          <w:lang w:val="en-US"/>
        </w:rPr>
        <w:tab/>
      </w:r>
      <w:r w:rsidR="00045562" w:rsidRPr="00EA25AF">
        <w:rPr>
          <w:rFonts w:ascii="Times New Roman" w:eastAsia="Calibri" w:hAnsi="Times New Roman" w:cs="Times New Roman"/>
          <w:bCs/>
          <w:lang w:val="en-US"/>
        </w:rPr>
        <w:t>Seed vigour parameters data is included in table 4 and Fig. 4</w:t>
      </w:r>
      <w:r w:rsidR="00014516" w:rsidRPr="00EA25AF">
        <w:rPr>
          <w:rFonts w:ascii="Times New Roman" w:eastAsia="Calibri" w:hAnsi="Times New Roman" w:cs="Times New Roman"/>
          <w:bCs/>
          <w:lang w:val="en-US"/>
        </w:rPr>
        <w:t>. It varied proportionally with the germination and seedling growth parameters. All the treatments varied significantly in comparison to T</w:t>
      </w:r>
      <w:r w:rsidR="00014516" w:rsidRPr="00EA25AF">
        <w:rPr>
          <w:rFonts w:ascii="Times New Roman" w:eastAsia="Calibri" w:hAnsi="Times New Roman" w:cs="Times New Roman"/>
          <w:bCs/>
          <w:vertAlign w:val="subscript"/>
          <w:lang w:val="en-US"/>
        </w:rPr>
        <w:t>1</w:t>
      </w:r>
      <w:r w:rsidR="00014516" w:rsidRPr="00EA25AF">
        <w:rPr>
          <w:rFonts w:ascii="Times New Roman" w:eastAsia="Calibri" w:hAnsi="Times New Roman" w:cs="Times New Roman"/>
          <w:bCs/>
          <w:lang w:val="en-US"/>
        </w:rPr>
        <w:t xml:space="preserve"> (Control) for the seedling vigour index-I except T</w:t>
      </w:r>
      <w:r w:rsidR="00014516" w:rsidRPr="00EA25AF">
        <w:rPr>
          <w:rFonts w:ascii="Times New Roman" w:eastAsia="Calibri" w:hAnsi="Times New Roman" w:cs="Times New Roman"/>
          <w:bCs/>
          <w:vertAlign w:val="subscript"/>
          <w:lang w:val="en-US"/>
        </w:rPr>
        <w:t>10.</w:t>
      </w:r>
      <w:r w:rsidR="00014516" w:rsidRPr="00EA25AF">
        <w:rPr>
          <w:rFonts w:ascii="Times New Roman" w:eastAsia="Calibri" w:hAnsi="Times New Roman" w:cs="Times New Roman"/>
          <w:bCs/>
          <w:lang w:val="en-US"/>
        </w:rPr>
        <w:t xml:space="preserve"> The treatment T</w:t>
      </w:r>
      <w:r w:rsidR="00014516" w:rsidRPr="00EA25AF">
        <w:rPr>
          <w:rFonts w:ascii="Times New Roman" w:eastAsia="Calibri" w:hAnsi="Times New Roman" w:cs="Times New Roman"/>
          <w:bCs/>
          <w:vertAlign w:val="subscript"/>
          <w:lang w:val="en-US"/>
        </w:rPr>
        <w:t xml:space="preserve">8 </w:t>
      </w:r>
      <w:r w:rsidR="00014516"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14516" w:rsidRPr="00EA25AF">
        <w:rPr>
          <w:rFonts w:ascii="Times New Roman" w:eastAsia="Calibri" w:hAnsi="Times New Roman" w:cs="Times New Roman"/>
          <w:bCs/>
          <w:lang w:val="en-US"/>
        </w:rPr>
        <w:t xml:space="preserve"> + PSB @ 20 ml/kg of seed) (2891.37) showed highest seedling vigour index-I during followed by T</w:t>
      </w:r>
      <w:r w:rsidR="00014516" w:rsidRPr="00EA25AF">
        <w:rPr>
          <w:rFonts w:ascii="Times New Roman" w:eastAsia="Calibri" w:hAnsi="Times New Roman" w:cs="Times New Roman"/>
          <w:bCs/>
          <w:vertAlign w:val="subscript"/>
          <w:lang w:val="en-US"/>
        </w:rPr>
        <w:t xml:space="preserve">7 </w:t>
      </w:r>
      <w:r w:rsidR="00014516"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14516" w:rsidRPr="00EA25AF">
        <w:rPr>
          <w:rFonts w:ascii="Times New Roman" w:eastAsia="Calibri" w:hAnsi="Times New Roman" w:cs="Times New Roman"/>
          <w:bCs/>
          <w:lang w:val="en-US"/>
        </w:rPr>
        <w:t xml:space="preserve"> + KSB @ 20 ml/kg of seed) (2792.54) of seed whereas the least seedling vigour index-I was observed in the T</w:t>
      </w:r>
      <w:r w:rsidR="00014516" w:rsidRPr="00EA25AF">
        <w:rPr>
          <w:rFonts w:ascii="Times New Roman" w:eastAsia="Calibri" w:hAnsi="Times New Roman" w:cs="Times New Roman"/>
          <w:bCs/>
          <w:vertAlign w:val="subscript"/>
          <w:lang w:val="en-US"/>
        </w:rPr>
        <w:t xml:space="preserve">1 </w:t>
      </w:r>
      <w:r w:rsidR="00014516" w:rsidRPr="00EA25AF">
        <w:rPr>
          <w:rFonts w:ascii="Times New Roman" w:eastAsia="Calibri" w:hAnsi="Times New Roman" w:cs="Times New Roman"/>
          <w:bCs/>
          <w:lang w:val="en-US"/>
        </w:rPr>
        <w:t>(Control) (2119.11). Similarly, the treatment T</w:t>
      </w:r>
      <w:r w:rsidR="00014516" w:rsidRPr="00EA25AF">
        <w:rPr>
          <w:rFonts w:ascii="Times New Roman" w:eastAsia="Calibri" w:hAnsi="Times New Roman" w:cs="Times New Roman"/>
          <w:bCs/>
          <w:vertAlign w:val="subscript"/>
          <w:lang w:val="en-US"/>
        </w:rPr>
        <w:t xml:space="preserve">8 </w:t>
      </w:r>
      <w:r w:rsidR="00014516"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14516" w:rsidRPr="00EA25AF">
        <w:rPr>
          <w:rFonts w:ascii="Times New Roman" w:eastAsia="Calibri" w:hAnsi="Times New Roman" w:cs="Times New Roman"/>
          <w:bCs/>
          <w:lang w:val="en-US"/>
        </w:rPr>
        <w:t xml:space="preserve"> + PSB @ 20 ml/kg of seed) (1115.93) showed highest seedling vigour index-II followed by T</w:t>
      </w:r>
      <w:r w:rsidR="00014516" w:rsidRPr="00EA25AF">
        <w:rPr>
          <w:rFonts w:ascii="Times New Roman" w:eastAsia="Calibri" w:hAnsi="Times New Roman" w:cs="Times New Roman"/>
          <w:bCs/>
          <w:vertAlign w:val="subscript"/>
          <w:lang w:val="en-US"/>
        </w:rPr>
        <w:t xml:space="preserve">7 </w:t>
      </w:r>
      <w:r w:rsidR="00014516"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14516" w:rsidRPr="00EA25AF">
        <w:rPr>
          <w:rFonts w:ascii="Times New Roman" w:eastAsia="Calibri" w:hAnsi="Times New Roman" w:cs="Times New Roman"/>
          <w:bCs/>
          <w:lang w:val="en-US"/>
        </w:rPr>
        <w:t xml:space="preserve"> + KSB @ 20 ml/kg of seed) (1106.72) of seed whereas the least seedling vigour index-II was observed in the T</w:t>
      </w:r>
      <w:r w:rsidR="00014516" w:rsidRPr="00EA25AF">
        <w:rPr>
          <w:rFonts w:ascii="Times New Roman" w:eastAsia="Calibri" w:hAnsi="Times New Roman" w:cs="Times New Roman"/>
          <w:bCs/>
          <w:vertAlign w:val="subscript"/>
          <w:lang w:val="en-US"/>
        </w:rPr>
        <w:t xml:space="preserve">1 </w:t>
      </w:r>
      <w:r w:rsidR="00014516" w:rsidRPr="00EA25AF">
        <w:rPr>
          <w:rFonts w:ascii="Times New Roman" w:eastAsia="Calibri" w:hAnsi="Times New Roman" w:cs="Times New Roman"/>
          <w:bCs/>
          <w:lang w:val="en-US"/>
        </w:rPr>
        <w:t>(Control) (727.91) during both the year.</w:t>
      </w:r>
      <w:r w:rsidR="000E427C" w:rsidRPr="00EA25AF">
        <w:rPr>
          <w:rFonts w:ascii="Times New Roman" w:eastAsia="Calibri" w:hAnsi="Times New Roman" w:cs="Times New Roman"/>
          <w:bCs/>
          <w:lang w:val="en-US"/>
        </w:rPr>
        <w:t xml:space="preserve"> The results a</w:t>
      </w:r>
      <w:r w:rsidR="00820595" w:rsidRPr="00EA25AF">
        <w:rPr>
          <w:rFonts w:ascii="Times New Roman" w:eastAsia="Calibri" w:hAnsi="Times New Roman" w:cs="Times New Roman"/>
          <w:bCs/>
          <w:lang w:val="en-US"/>
        </w:rPr>
        <w:t xml:space="preserve">re in line with the findings </w:t>
      </w:r>
      <w:r w:rsidR="00820595" w:rsidRPr="00EA25AF">
        <w:rPr>
          <w:rFonts w:ascii="Times New Roman" w:hAnsi="Times New Roman" w:cs="Times New Roman"/>
          <w:lang w:eastAsia="en-IN" w:bidi="hi-IN"/>
        </w:rPr>
        <w:t>Sivakumar,</w:t>
      </w:r>
      <w:r w:rsidR="000E427C" w:rsidRPr="00EA25AF">
        <w:rPr>
          <w:rFonts w:ascii="Times New Roman" w:eastAsia="Calibri" w:hAnsi="Times New Roman" w:cs="Times New Roman"/>
          <w:bCs/>
        </w:rPr>
        <w:t xml:space="preserve"> et al., (2017) in rice, Balaji and Narayana (2019) in foxtail millet cv. CO 6, little millet cv. CO 3 and </w:t>
      </w:r>
      <w:proofErr w:type="spellStart"/>
      <w:r w:rsidR="000E427C" w:rsidRPr="00EA25AF">
        <w:rPr>
          <w:rFonts w:ascii="Times New Roman" w:eastAsia="Calibri" w:hAnsi="Times New Roman" w:cs="Times New Roman"/>
          <w:bCs/>
        </w:rPr>
        <w:t>proso</w:t>
      </w:r>
      <w:proofErr w:type="spellEnd"/>
      <w:r w:rsidR="000E427C" w:rsidRPr="00EA25AF">
        <w:rPr>
          <w:rFonts w:ascii="Times New Roman" w:eastAsia="Calibri" w:hAnsi="Times New Roman" w:cs="Times New Roman"/>
          <w:bCs/>
        </w:rPr>
        <w:t xml:space="preserve"> millet cv. CO 4.</w:t>
      </w:r>
    </w:p>
    <w:p w14:paraId="0500E6E3" w14:textId="77777777" w:rsidR="008C5205" w:rsidRPr="00EA25AF" w:rsidRDefault="008C5205" w:rsidP="006A3CF7">
      <w:pPr>
        <w:tabs>
          <w:tab w:val="left" w:pos="920"/>
        </w:tabs>
        <w:autoSpaceDE w:val="0"/>
        <w:autoSpaceDN w:val="0"/>
        <w:adjustRightInd w:val="0"/>
        <w:spacing w:line="360" w:lineRule="auto"/>
        <w:jc w:val="both"/>
        <w:rPr>
          <w:rFonts w:ascii="Times New Roman" w:eastAsia="Calibri" w:hAnsi="Times New Roman" w:cs="Times New Roman"/>
          <w:bCs/>
        </w:rPr>
      </w:pPr>
    </w:p>
    <w:p w14:paraId="6AF8E5F5" w14:textId="77777777" w:rsidR="000132C2" w:rsidRPr="00EA25AF" w:rsidRDefault="000132C2" w:rsidP="006A3CF7">
      <w:pPr>
        <w:autoSpaceDE w:val="0"/>
        <w:autoSpaceDN w:val="0"/>
        <w:adjustRightInd w:val="0"/>
        <w:spacing w:after="0" w:line="360" w:lineRule="auto"/>
        <w:jc w:val="center"/>
        <w:rPr>
          <w:rFonts w:ascii="Times New Roman" w:eastAsia="Calibri" w:hAnsi="Times New Roman" w:cs="Times New Roman"/>
          <w:b/>
          <w:bCs/>
        </w:rPr>
      </w:pPr>
      <w:r w:rsidRPr="00EA25AF">
        <w:rPr>
          <w:rFonts w:ascii="Times New Roman" w:eastAsia="Calibri" w:hAnsi="Times New Roman" w:cs="Times New Roman"/>
          <w:b/>
          <w:bCs/>
        </w:rPr>
        <w:t>Table 4. Beneficial effect of Liquid Bio-fertilizers on physical Seed Quality Parameters</w:t>
      </w:r>
    </w:p>
    <w:tbl>
      <w:tblPr>
        <w:tblStyle w:val="TableGrid1"/>
        <w:tblpPr w:leftFromText="180" w:rightFromText="180" w:vertAnchor="text" w:horzAnchor="margin" w:tblpXSpec="center" w:tblpY="97"/>
        <w:tblW w:w="4625" w:type="pct"/>
        <w:tblLayout w:type="fixed"/>
        <w:tblLook w:val="04A0" w:firstRow="1" w:lastRow="0" w:firstColumn="1" w:lastColumn="0" w:noHBand="0" w:noVBand="1"/>
      </w:tblPr>
      <w:tblGrid>
        <w:gridCol w:w="4665"/>
        <w:gridCol w:w="1942"/>
        <w:gridCol w:w="1942"/>
      </w:tblGrid>
      <w:tr w:rsidR="006E614F" w:rsidRPr="00EA25AF" w14:paraId="52B4A855" w14:textId="77777777" w:rsidTr="006E614F">
        <w:trPr>
          <w:trHeight w:val="31"/>
        </w:trPr>
        <w:tc>
          <w:tcPr>
            <w:tcW w:w="2728" w:type="pct"/>
            <w:vAlign w:val="center"/>
          </w:tcPr>
          <w:p w14:paraId="699AE2F6" w14:textId="77777777" w:rsidR="006E614F" w:rsidRPr="00EA25AF" w:rsidRDefault="006E614F"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TREATMENTS</w:t>
            </w:r>
          </w:p>
        </w:tc>
        <w:tc>
          <w:tcPr>
            <w:tcW w:w="1136" w:type="pct"/>
          </w:tcPr>
          <w:p w14:paraId="7601D40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Seedling Vigor Index (I)</w:t>
            </w:r>
          </w:p>
        </w:tc>
        <w:tc>
          <w:tcPr>
            <w:tcW w:w="1136" w:type="pct"/>
          </w:tcPr>
          <w:p w14:paraId="3F30EB03"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Seedling Vigor Index-II</w:t>
            </w:r>
          </w:p>
        </w:tc>
      </w:tr>
      <w:tr w:rsidR="006E614F" w:rsidRPr="00EA25AF" w14:paraId="5D9BEC29" w14:textId="77777777" w:rsidTr="006E614F">
        <w:trPr>
          <w:trHeight w:val="31"/>
        </w:trPr>
        <w:tc>
          <w:tcPr>
            <w:tcW w:w="2728" w:type="pct"/>
            <w:vAlign w:val="center"/>
          </w:tcPr>
          <w:p w14:paraId="77AAA156"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Control</w:t>
            </w:r>
          </w:p>
        </w:tc>
        <w:tc>
          <w:tcPr>
            <w:tcW w:w="1136" w:type="pct"/>
            <w:vAlign w:val="center"/>
          </w:tcPr>
          <w:p w14:paraId="67FC65F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2119.11</w:t>
            </w:r>
          </w:p>
        </w:tc>
        <w:tc>
          <w:tcPr>
            <w:tcW w:w="1136" w:type="pct"/>
            <w:vAlign w:val="center"/>
          </w:tcPr>
          <w:p w14:paraId="58E17D97"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727.91</w:t>
            </w:r>
          </w:p>
        </w:tc>
      </w:tr>
      <w:tr w:rsidR="006E614F" w:rsidRPr="00EA25AF" w14:paraId="3174E1CA" w14:textId="77777777" w:rsidTr="006E614F">
        <w:trPr>
          <w:trHeight w:val="31"/>
        </w:trPr>
        <w:tc>
          <w:tcPr>
            <w:tcW w:w="2728" w:type="pct"/>
            <w:vAlign w:val="center"/>
          </w:tcPr>
          <w:p w14:paraId="41BFC6B9"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Em Culture @ 10 ml/kg of Seed</w:t>
            </w:r>
          </w:p>
        </w:tc>
        <w:tc>
          <w:tcPr>
            <w:tcW w:w="1136" w:type="pct"/>
            <w:vAlign w:val="center"/>
          </w:tcPr>
          <w:p w14:paraId="75377B46"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2317.64</w:t>
            </w:r>
          </w:p>
        </w:tc>
        <w:tc>
          <w:tcPr>
            <w:tcW w:w="1136" w:type="pct"/>
            <w:vAlign w:val="center"/>
          </w:tcPr>
          <w:p w14:paraId="6C8124F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861.41</w:t>
            </w:r>
          </w:p>
        </w:tc>
      </w:tr>
      <w:tr w:rsidR="006E614F" w:rsidRPr="00EA25AF" w14:paraId="5703BE18" w14:textId="77777777" w:rsidTr="006E614F">
        <w:trPr>
          <w:trHeight w:val="31"/>
        </w:trPr>
        <w:tc>
          <w:tcPr>
            <w:tcW w:w="2728" w:type="pct"/>
            <w:vAlign w:val="center"/>
          </w:tcPr>
          <w:p w14:paraId="6C06E12A"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KSB @ 20 ml/kg of Seed</w:t>
            </w:r>
          </w:p>
        </w:tc>
        <w:tc>
          <w:tcPr>
            <w:tcW w:w="1136" w:type="pct"/>
            <w:vAlign w:val="center"/>
          </w:tcPr>
          <w:p w14:paraId="5EF8FFD8"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2443.66</w:t>
            </w:r>
          </w:p>
        </w:tc>
        <w:tc>
          <w:tcPr>
            <w:tcW w:w="1136" w:type="pct"/>
            <w:vAlign w:val="center"/>
          </w:tcPr>
          <w:p w14:paraId="117BD76A"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914.35</w:t>
            </w:r>
          </w:p>
        </w:tc>
      </w:tr>
      <w:tr w:rsidR="006E614F" w:rsidRPr="00EA25AF" w14:paraId="6C006A01" w14:textId="77777777" w:rsidTr="006E614F">
        <w:trPr>
          <w:trHeight w:val="31"/>
        </w:trPr>
        <w:tc>
          <w:tcPr>
            <w:tcW w:w="2728" w:type="pct"/>
            <w:vAlign w:val="center"/>
          </w:tcPr>
          <w:p w14:paraId="45A08E96"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PSB @ 20 ml/kg of Seed</w:t>
            </w:r>
          </w:p>
        </w:tc>
        <w:tc>
          <w:tcPr>
            <w:tcW w:w="1136" w:type="pct"/>
            <w:vAlign w:val="center"/>
          </w:tcPr>
          <w:p w14:paraId="3B8AF19A"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2669.07</w:t>
            </w:r>
          </w:p>
        </w:tc>
        <w:tc>
          <w:tcPr>
            <w:tcW w:w="1136" w:type="pct"/>
            <w:vAlign w:val="center"/>
          </w:tcPr>
          <w:p w14:paraId="5C636401"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1013.61</w:t>
            </w:r>
          </w:p>
        </w:tc>
      </w:tr>
      <w:tr w:rsidR="006E614F" w:rsidRPr="00EA25AF" w14:paraId="6615336B" w14:textId="77777777" w:rsidTr="006E614F">
        <w:trPr>
          <w:trHeight w:val="31"/>
        </w:trPr>
        <w:tc>
          <w:tcPr>
            <w:tcW w:w="2728" w:type="pct"/>
            <w:vAlign w:val="center"/>
          </w:tcPr>
          <w:p w14:paraId="66EF9AED" w14:textId="576CC358" w:rsidR="006E614F"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Pseudomonas</w:t>
            </w:r>
            <w:r w:rsidR="006E614F" w:rsidRPr="00EA25AF">
              <w:rPr>
                <w:rFonts w:ascii="Times New Roman" w:eastAsia="Calibri" w:hAnsi="Times New Roman" w:cs="Times New Roman"/>
                <w:sz w:val="22"/>
                <w:szCs w:val="22"/>
              </w:rPr>
              <w:t xml:space="preserve"> @ 20 ml/kg of Seed</w:t>
            </w:r>
          </w:p>
        </w:tc>
        <w:tc>
          <w:tcPr>
            <w:tcW w:w="1136" w:type="pct"/>
            <w:vAlign w:val="center"/>
          </w:tcPr>
          <w:p w14:paraId="11176BF7"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2547.77</w:t>
            </w:r>
          </w:p>
        </w:tc>
        <w:tc>
          <w:tcPr>
            <w:tcW w:w="1136" w:type="pct"/>
            <w:vAlign w:val="center"/>
          </w:tcPr>
          <w:p w14:paraId="4A958B7E"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998.94</w:t>
            </w:r>
          </w:p>
        </w:tc>
      </w:tr>
      <w:tr w:rsidR="006E614F" w:rsidRPr="00EA25AF" w14:paraId="600D9073" w14:textId="77777777" w:rsidTr="006E614F">
        <w:trPr>
          <w:trHeight w:val="31"/>
        </w:trPr>
        <w:tc>
          <w:tcPr>
            <w:tcW w:w="2728" w:type="pct"/>
            <w:vAlign w:val="center"/>
          </w:tcPr>
          <w:p w14:paraId="5662771F" w14:textId="5112D4C7" w:rsidR="006E614F"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6E614F" w:rsidRPr="00EA25AF">
              <w:rPr>
                <w:rFonts w:ascii="Times New Roman" w:eastAsia="Calibri" w:hAnsi="Times New Roman" w:cs="Times New Roman"/>
                <w:sz w:val="22"/>
                <w:szCs w:val="22"/>
              </w:rPr>
              <w:t xml:space="preserve"> @ 20 ml/kg of Seed</w:t>
            </w:r>
          </w:p>
        </w:tc>
        <w:tc>
          <w:tcPr>
            <w:tcW w:w="1136" w:type="pct"/>
            <w:vAlign w:val="center"/>
          </w:tcPr>
          <w:p w14:paraId="1A80C5A4"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2546.17</w:t>
            </w:r>
          </w:p>
        </w:tc>
        <w:tc>
          <w:tcPr>
            <w:tcW w:w="1136" w:type="pct"/>
            <w:vAlign w:val="center"/>
          </w:tcPr>
          <w:p w14:paraId="592AF533"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945.39</w:t>
            </w:r>
          </w:p>
        </w:tc>
      </w:tr>
      <w:tr w:rsidR="006E614F" w:rsidRPr="00EA25AF" w14:paraId="4B97EC92" w14:textId="77777777" w:rsidTr="006E614F">
        <w:trPr>
          <w:trHeight w:val="31"/>
        </w:trPr>
        <w:tc>
          <w:tcPr>
            <w:tcW w:w="2728" w:type="pct"/>
            <w:vAlign w:val="center"/>
          </w:tcPr>
          <w:p w14:paraId="036B6D57" w14:textId="0D12CFBD" w:rsidR="006E614F"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6E614F" w:rsidRPr="00EA25AF">
              <w:rPr>
                <w:rFonts w:ascii="Times New Roman" w:eastAsia="Calibri" w:hAnsi="Times New Roman" w:cs="Times New Roman"/>
                <w:sz w:val="22"/>
                <w:szCs w:val="22"/>
              </w:rPr>
              <w:t xml:space="preserve"> + KSB @ 20 ml/kg seed</w:t>
            </w:r>
          </w:p>
        </w:tc>
        <w:tc>
          <w:tcPr>
            <w:tcW w:w="1136" w:type="pct"/>
            <w:vAlign w:val="center"/>
          </w:tcPr>
          <w:p w14:paraId="4B4E42C0"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2792.54</w:t>
            </w:r>
          </w:p>
        </w:tc>
        <w:tc>
          <w:tcPr>
            <w:tcW w:w="1136" w:type="pct"/>
            <w:vAlign w:val="center"/>
          </w:tcPr>
          <w:p w14:paraId="146396AB"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1106.72</w:t>
            </w:r>
          </w:p>
        </w:tc>
      </w:tr>
      <w:tr w:rsidR="006E614F" w:rsidRPr="00EA25AF" w14:paraId="1669D873" w14:textId="77777777" w:rsidTr="006E614F">
        <w:trPr>
          <w:trHeight w:val="31"/>
        </w:trPr>
        <w:tc>
          <w:tcPr>
            <w:tcW w:w="2728" w:type="pct"/>
            <w:vAlign w:val="center"/>
          </w:tcPr>
          <w:p w14:paraId="1E5B7DB3" w14:textId="26A8AE92" w:rsidR="006E614F"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6E614F" w:rsidRPr="00EA25AF">
              <w:rPr>
                <w:rFonts w:ascii="Times New Roman" w:eastAsia="Calibri" w:hAnsi="Times New Roman" w:cs="Times New Roman"/>
                <w:sz w:val="22"/>
                <w:szCs w:val="22"/>
              </w:rPr>
              <w:t xml:space="preserve"> + PSB @ 20 ml/kg seed</w:t>
            </w:r>
          </w:p>
        </w:tc>
        <w:tc>
          <w:tcPr>
            <w:tcW w:w="1136" w:type="pct"/>
            <w:vAlign w:val="center"/>
          </w:tcPr>
          <w:p w14:paraId="36F1FBA4"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2891.37</w:t>
            </w:r>
          </w:p>
        </w:tc>
        <w:tc>
          <w:tcPr>
            <w:tcW w:w="1136" w:type="pct"/>
            <w:vAlign w:val="center"/>
          </w:tcPr>
          <w:p w14:paraId="7C4FA495"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1115.93</w:t>
            </w:r>
          </w:p>
        </w:tc>
      </w:tr>
      <w:tr w:rsidR="006E614F" w:rsidRPr="00EA25AF" w14:paraId="3C84E4CF" w14:textId="77777777" w:rsidTr="006E614F">
        <w:trPr>
          <w:trHeight w:val="31"/>
        </w:trPr>
        <w:tc>
          <w:tcPr>
            <w:tcW w:w="2728" w:type="pct"/>
            <w:vAlign w:val="center"/>
          </w:tcPr>
          <w:p w14:paraId="75A1720A" w14:textId="511872E3" w:rsidR="006E614F"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6E614F" w:rsidRPr="00EA25AF">
              <w:rPr>
                <w:rFonts w:ascii="Times New Roman" w:eastAsia="Calibri" w:hAnsi="Times New Roman" w:cs="Times New Roman"/>
                <w:sz w:val="22"/>
                <w:szCs w:val="22"/>
              </w:rPr>
              <w:t xml:space="preserve"> + KSB + PSB @ 30 ml/kg seed</w:t>
            </w:r>
          </w:p>
        </w:tc>
        <w:tc>
          <w:tcPr>
            <w:tcW w:w="1136" w:type="pct"/>
            <w:vAlign w:val="center"/>
          </w:tcPr>
          <w:p w14:paraId="4DA0E7A9"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2392.75</w:t>
            </w:r>
          </w:p>
        </w:tc>
        <w:tc>
          <w:tcPr>
            <w:tcW w:w="1136" w:type="pct"/>
            <w:vAlign w:val="center"/>
          </w:tcPr>
          <w:p w14:paraId="30E42C51"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824.56</w:t>
            </w:r>
          </w:p>
        </w:tc>
      </w:tr>
      <w:tr w:rsidR="006E614F" w:rsidRPr="00EA25AF" w14:paraId="22287F7B" w14:textId="77777777" w:rsidTr="006E614F">
        <w:trPr>
          <w:trHeight w:val="31"/>
        </w:trPr>
        <w:tc>
          <w:tcPr>
            <w:tcW w:w="2728" w:type="pct"/>
            <w:vAlign w:val="center"/>
          </w:tcPr>
          <w:p w14:paraId="514ABAAE"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Thiram @ 1.3 g/kg seed</w:t>
            </w:r>
          </w:p>
        </w:tc>
        <w:tc>
          <w:tcPr>
            <w:tcW w:w="1136" w:type="pct"/>
            <w:vAlign w:val="center"/>
          </w:tcPr>
          <w:p w14:paraId="3AE88B1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2159.93</w:t>
            </w:r>
          </w:p>
        </w:tc>
        <w:tc>
          <w:tcPr>
            <w:tcW w:w="1136" w:type="pct"/>
            <w:vAlign w:val="center"/>
          </w:tcPr>
          <w:p w14:paraId="062DB294"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752.00</w:t>
            </w:r>
          </w:p>
        </w:tc>
      </w:tr>
      <w:tr w:rsidR="006E614F" w:rsidRPr="00EA25AF" w14:paraId="198FD963" w14:textId="77777777" w:rsidTr="006E614F">
        <w:trPr>
          <w:trHeight w:val="31"/>
        </w:trPr>
        <w:tc>
          <w:tcPr>
            <w:tcW w:w="2728" w:type="pct"/>
            <w:vAlign w:val="center"/>
          </w:tcPr>
          <w:p w14:paraId="06AF4F81"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SE (m±)</w:t>
            </w:r>
          </w:p>
        </w:tc>
        <w:tc>
          <w:tcPr>
            <w:tcW w:w="1136" w:type="pct"/>
            <w:vAlign w:val="center"/>
          </w:tcPr>
          <w:p w14:paraId="0E89B5B9"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21.18</w:t>
            </w:r>
          </w:p>
        </w:tc>
        <w:tc>
          <w:tcPr>
            <w:tcW w:w="1136" w:type="pct"/>
            <w:vAlign w:val="center"/>
          </w:tcPr>
          <w:p w14:paraId="540D33FA"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9.00</w:t>
            </w:r>
          </w:p>
        </w:tc>
      </w:tr>
      <w:tr w:rsidR="006E614F" w:rsidRPr="00EA25AF" w14:paraId="189BB829" w14:textId="77777777" w:rsidTr="006E614F">
        <w:trPr>
          <w:trHeight w:val="31"/>
        </w:trPr>
        <w:tc>
          <w:tcPr>
            <w:tcW w:w="2728" w:type="pct"/>
            <w:vAlign w:val="center"/>
          </w:tcPr>
          <w:p w14:paraId="3E935D18" w14:textId="77777777" w:rsidR="006E614F" w:rsidRPr="00EA25AF" w:rsidRDefault="006E614F"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CD (P=0.05)</w:t>
            </w:r>
          </w:p>
        </w:tc>
        <w:tc>
          <w:tcPr>
            <w:tcW w:w="1136" w:type="pct"/>
            <w:vAlign w:val="center"/>
          </w:tcPr>
          <w:p w14:paraId="3667290D" w14:textId="77777777" w:rsidR="006E614F" w:rsidRPr="00EA25AF" w:rsidRDefault="006E614F"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61.47</w:t>
            </w:r>
          </w:p>
        </w:tc>
        <w:tc>
          <w:tcPr>
            <w:tcW w:w="1136" w:type="pct"/>
            <w:vAlign w:val="center"/>
          </w:tcPr>
          <w:p w14:paraId="2E9EAE91" w14:textId="77777777" w:rsidR="006E614F" w:rsidRPr="00EA25AF" w:rsidRDefault="006E614F"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26.14</w:t>
            </w:r>
          </w:p>
        </w:tc>
      </w:tr>
      <w:tr w:rsidR="006E614F" w:rsidRPr="00EA25AF" w14:paraId="0091A310" w14:textId="77777777" w:rsidTr="006E614F">
        <w:trPr>
          <w:trHeight w:val="31"/>
        </w:trPr>
        <w:tc>
          <w:tcPr>
            <w:tcW w:w="2728" w:type="pct"/>
            <w:vAlign w:val="center"/>
          </w:tcPr>
          <w:p w14:paraId="28F4BB50"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CV (%)</w:t>
            </w:r>
          </w:p>
        </w:tc>
        <w:tc>
          <w:tcPr>
            <w:tcW w:w="1136" w:type="pct"/>
            <w:vAlign w:val="center"/>
          </w:tcPr>
          <w:p w14:paraId="4FC2AB4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1.70</w:t>
            </w:r>
          </w:p>
        </w:tc>
        <w:tc>
          <w:tcPr>
            <w:tcW w:w="1136" w:type="pct"/>
            <w:vAlign w:val="center"/>
          </w:tcPr>
          <w:p w14:paraId="7A328E7F"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1.94</w:t>
            </w:r>
          </w:p>
        </w:tc>
      </w:tr>
    </w:tbl>
    <w:p w14:paraId="6E295947" w14:textId="77777777" w:rsidR="006E614F" w:rsidRPr="00EA25AF" w:rsidRDefault="006E614F" w:rsidP="006A3CF7">
      <w:pPr>
        <w:tabs>
          <w:tab w:val="left" w:pos="920"/>
        </w:tabs>
        <w:autoSpaceDE w:val="0"/>
        <w:autoSpaceDN w:val="0"/>
        <w:adjustRightInd w:val="0"/>
        <w:spacing w:line="360" w:lineRule="auto"/>
        <w:jc w:val="both"/>
        <w:rPr>
          <w:rFonts w:ascii="Times New Roman" w:eastAsia="Calibri" w:hAnsi="Times New Roman" w:cs="Times New Roman"/>
          <w:bCs/>
        </w:rPr>
      </w:pPr>
      <w:r w:rsidRPr="00EA25AF">
        <w:rPr>
          <w:rFonts w:ascii="Times New Roman" w:eastAsia="Calibri" w:hAnsi="Times New Roman" w:cs="Times New Roman"/>
          <w:bCs/>
          <w:noProof/>
          <w:lang w:eastAsia="en-IN" w:bidi="hi-IN"/>
        </w:rPr>
        <w:drawing>
          <wp:inline distT="0" distB="0" distL="0" distR="0" wp14:anchorId="7B665F9A" wp14:editId="216E8F95">
            <wp:extent cx="5765800" cy="3073400"/>
            <wp:effectExtent l="0" t="0" r="6350" b="0"/>
            <wp:docPr id="4" name="Picture 4" descr="C:\Users\APARNA JYOTI\Downloads\download (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APARNA JYOTI\Downloads\download (8).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8471" cy="3074824"/>
                    </a:xfrm>
                    <a:prstGeom prst="rect">
                      <a:avLst/>
                    </a:prstGeom>
                    <a:noFill/>
                    <a:ln>
                      <a:noFill/>
                    </a:ln>
                  </pic:spPr>
                </pic:pic>
              </a:graphicData>
            </a:graphic>
          </wp:inline>
        </w:drawing>
      </w:r>
    </w:p>
    <w:p w14:paraId="4352E909" w14:textId="019D0FDC" w:rsidR="006E614F" w:rsidRPr="00EA25AF" w:rsidRDefault="00815C0D" w:rsidP="008C5205">
      <w:pPr>
        <w:autoSpaceDE w:val="0"/>
        <w:autoSpaceDN w:val="0"/>
        <w:adjustRightInd w:val="0"/>
        <w:spacing w:line="360" w:lineRule="auto"/>
        <w:jc w:val="center"/>
        <w:rPr>
          <w:rFonts w:ascii="Times New Roman" w:eastAsia="Calibri" w:hAnsi="Times New Roman" w:cs="Times New Roman"/>
          <w:b/>
          <w:bCs/>
          <w:color w:val="EE0000"/>
          <w:sz w:val="24"/>
          <w:szCs w:val="24"/>
        </w:rPr>
      </w:pPr>
      <w:r w:rsidRPr="00EA25AF">
        <w:rPr>
          <w:rFonts w:ascii="Times New Roman" w:eastAsia="Calibri" w:hAnsi="Times New Roman" w:cs="Times New Roman"/>
          <w:b/>
          <w:bCs/>
          <w:sz w:val="24"/>
          <w:szCs w:val="24"/>
        </w:rPr>
        <w:t xml:space="preserve">Fig.4. </w:t>
      </w:r>
      <w:r w:rsidRPr="00EA25AF">
        <w:rPr>
          <w:rFonts w:ascii="Times New Roman" w:eastAsia="Calibri" w:hAnsi="Times New Roman" w:cs="Times New Roman"/>
          <w:b/>
          <w:bCs/>
        </w:rPr>
        <w:t>Beneficial effect of Liquid Bio-fertilizers on physical Seed Quality Parameters</w:t>
      </w:r>
    </w:p>
    <w:p w14:paraId="5EC2E764" w14:textId="77777777" w:rsidR="007E15BD" w:rsidRPr="00EA25AF" w:rsidRDefault="007E15BD" w:rsidP="006A3CF7">
      <w:pPr>
        <w:tabs>
          <w:tab w:val="left" w:pos="920"/>
        </w:tabs>
        <w:autoSpaceDE w:val="0"/>
        <w:autoSpaceDN w:val="0"/>
        <w:adjustRightInd w:val="0"/>
        <w:spacing w:line="360" w:lineRule="auto"/>
        <w:jc w:val="both"/>
        <w:rPr>
          <w:rFonts w:ascii="Times New Roman" w:eastAsia="Calibri" w:hAnsi="Times New Roman" w:cs="Times New Roman"/>
          <w:b/>
          <w:lang w:val="en-US"/>
        </w:rPr>
      </w:pPr>
      <w:r w:rsidRPr="00EA25AF">
        <w:rPr>
          <w:rFonts w:ascii="Times New Roman" w:eastAsia="Calibri" w:hAnsi="Times New Roman" w:cs="Times New Roman"/>
          <w:b/>
          <w:lang w:val="en-US"/>
        </w:rPr>
        <w:t>4. DISCUSSIONS</w:t>
      </w:r>
    </w:p>
    <w:p w14:paraId="7633E175" w14:textId="374C000D"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 xml:space="preserve">According to the current study, seeds from plants produced with liquid biofertilizer treatments of phosphate-solubilizing bacteria (PSB) and </w:t>
      </w:r>
      <w:proofErr w:type="spellStart"/>
      <w:r w:rsidR="004C3436" w:rsidRPr="00EA25AF">
        <w:rPr>
          <w:i/>
          <w:iCs/>
          <w:color w:val="0E101A"/>
          <w:sz w:val="22"/>
          <w:szCs w:val="22"/>
        </w:rPr>
        <w:t>Azospirillum</w:t>
      </w:r>
      <w:proofErr w:type="spellEnd"/>
      <w:r w:rsidRPr="00EA25AF">
        <w:rPr>
          <w:color w:val="0E101A"/>
          <w:sz w:val="22"/>
          <w:szCs w:val="22"/>
        </w:rPr>
        <w:t xml:space="preserve"> showed higher physiological quality in a lab </w:t>
      </w:r>
      <w:r w:rsidRPr="00EA25AF">
        <w:rPr>
          <w:color w:val="0E101A"/>
          <w:sz w:val="22"/>
          <w:szCs w:val="22"/>
        </w:rPr>
        <w:lastRenderedPageBreak/>
        <w:t>setting. The favourable benefits of microbial inoculation were evident in the next generation of seeds, as revealed by increased germination percentage, vigour indices, seedling length, and dry matter accumulation.</w:t>
      </w:r>
    </w:p>
    <w:p w14:paraId="3F5D488E" w14:textId="77777777"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This improvement in biofertilizers' impact on improving the parental plants' nutrient uptake and metabolic activity. At the same time, PSB improve ATP synthesis and energy flow during seed development by increasing phosphorus availability through phosphatase activity and organic acid secretion (Zhang et al., 2019). Consequently, seeds from inoculated plants tend to be heavier, richer in stored metabolites, and more nutrient-dense (Raja et al., 2019). Improved seed performance in controlled germination studies directly results from nutrient enrichment during seed filling.</w:t>
      </w:r>
    </w:p>
    <w:p w14:paraId="78B53D95" w14:textId="77777777"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Microbial inoculation may affect physiological and biochemical processes linked to seed vigour and provide nutritional advantages. There have been prior reports of increased antioxidant activity and membrane integrity in seeds obtained from infected plants (Hungria et al., 2010). The improved seedling growth seen in this study can be explained by these alterations linked to decreased solute leakage, increased enzyme activity during germination, and quicker mobilization of reserves.</w:t>
      </w:r>
    </w:p>
    <w:p w14:paraId="5C0880B4" w14:textId="26D5B4BD"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 xml:space="preserve">The ability of beneficial microorganisms to remain as seed-borne endophytes may also play a role in the enhanced performance. Numerous investigations have demonstrated the ability of </w:t>
      </w:r>
      <w:proofErr w:type="spellStart"/>
      <w:r w:rsidR="004C3436" w:rsidRPr="00EA25AF">
        <w:rPr>
          <w:i/>
          <w:iCs/>
          <w:color w:val="0E101A"/>
          <w:sz w:val="22"/>
          <w:szCs w:val="22"/>
        </w:rPr>
        <w:t>Azospirillum</w:t>
      </w:r>
      <w:proofErr w:type="spellEnd"/>
      <w:r w:rsidRPr="00EA25AF">
        <w:rPr>
          <w:color w:val="0E101A"/>
          <w:sz w:val="22"/>
          <w:szCs w:val="22"/>
        </w:rPr>
        <w:t xml:space="preserve"> and other rhizobacteria to colonize productive organs and spread via seeds (</w:t>
      </w:r>
      <w:proofErr w:type="spellStart"/>
      <w:r w:rsidRPr="00EA25AF">
        <w:rPr>
          <w:color w:val="0E101A"/>
          <w:sz w:val="22"/>
          <w:szCs w:val="22"/>
        </w:rPr>
        <w:t>Compant</w:t>
      </w:r>
      <w:proofErr w:type="spellEnd"/>
      <w:r w:rsidRPr="00EA25AF">
        <w:rPr>
          <w:color w:val="0E101A"/>
          <w:sz w:val="22"/>
          <w:szCs w:val="22"/>
        </w:rPr>
        <w:t xml:space="preserve"> et al., 2010).</w:t>
      </w:r>
    </w:p>
    <w:p w14:paraId="4D3E51BB" w14:textId="22CD2CE2"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 xml:space="preserve">Generally, the results demonstrate that </w:t>
      </w:r>
      <w:proofErr w:type="spellStart"/>
      <w:r w:rsidR="004C3436" w:rsidRPr="00EA25AF">
        <w:rPr>
          <w:i/>
          <w:iCs/>
          <w:color w:val="0E101A"/>
          <w:sz w:val="22"/>
          <w:szCs w:val="22"/>
        </w:rPr>
        <w:t>Azospirillum</w:t>
      </w:r>
      <w:proofErr w:type="spellEnd"/>
      <w:r w:rsidRPr="00EA25AF">
        <w:rPr>
          <w:color w:val="0E101A"/>
          <w:sz w:val="22"/>
          <w:szCs w:val="22"/>
        </w:rPr>
        <w:t xml:space="preserve"> and PSB are not only beneficial for the growth of the crop but also for improving seed quality in the next generations. Incorporating liquid biofertilizer seed production programs may be an environmentally responsible way to generate high-vigour seeds with improved storability and field performance, as seed quality is a crucial factor in field establishment and productivity (Verma et al., 2016).</w:t>
      </w:r>
    </w:p>
    <w:p w14:paraId="08771214" w14:textId="77777777" w:rsidR="008C5205" w:rsidRPr="00EA25AF" w:rsidRDefault="008C5205" w:rsidP="006A3CF7">
      <w:pPr>
        <w:pStyle w:val="NormalWeb"/>
        <w:spacing w:before="0" w:beforeAutospacing="0" w:after="0" w:afterAutospacing="0" w:line="360" w:lineRule="auto"/>
        <w:jc w:val="both"/>
        <w:rPr>
          <w:color w:val="0E101A"/>
          <w:sz w:val="22"/>
          <w:szCs w:val="22"/>
        </w:rPr>
      </w:pPr>
    </w:p>
    <w:p w14:paraId="4C050B5B" w14:textId="4F2CE5C2"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5</w:t>
      </w:r>
      <w:r w:rsidRPr="00EA25AF">
        <w:rPr>
          <w:rStyle w:val="Strong"/>
          <w:color w:val="0E101A"/>
          <w:sz w:val="22"/>
          <w:szCs w:val="22"/>
        </w:rPr>
        <w:t>. CONCLUSIONS</w:t>
      </w:r>
    </w:p>
    <w:p w14:paraId="78918662" w14:textId="09F58117"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 xml:space="preserve">According to the study's findings, </w:t>
      </w:r>
      <w:proofErr w:type="spellStart"/>
      <w:r w:rsidR="004C3436" w:rsidRPr="00EA25AF">
        <w:rPr>
          <w:i/>
          <w:iCs/>
          <w:color w:val="0E101A"/>
          <w:sz w:val="22"/>
          <w:szCs w:val="22"/>
        </w:rPr>
        <w:t>Azospirillum</w:t>
      </w:r>
      <w:proofErr w:type="spellEnd"/>
      <w:r w:rsidRPr="00EA25AF">
        <w:rPr>
          <w:color w:val="0E101A"/>
          <w:sz w:val="22"/>
          <w:szCs w:val="22"/>
        </w:rPr>
        <w:t xml:space="preserve"> and phosphate-solubilizing bacteria (PSB) treatments in liquid biofertilizers increase crop performance and improve the physiological quality of the generated seeds. These advantages can be linked to better seed filling and maturation (Raja et al., 2019), better nutrient uptake and hormonal regulation in the parent plants (</w:t>
      </w:r>
      <w:proofErr w:type="spellStart"/>
      <w:r w:rsidRPr="00EA25AF">
        <w:rPr>
          <w:color w:val="0E101A"/>
          <w:sz w:val="22"/>
          <w:szCs w:val="22"/>
        </w:rPr>
        <w:t>Okon</w:t>
      </w:r>
      <w:proofErr w:type="spellEnd"/>
      <w:r w:rsidRPr="00EA25AF">
        <w:rPr>
          <w:color w:val="0E101A"/>
          <w:sz w:val="22"/>
          <w:szCs w:val="22"/>
        </w:rPr>
        <w:t xml:space="preserve"> &amp; </w:t>
      </w:r>
      <w:proofErr w:type="spellStart"/>
      <w:r w:rsidRPr="00EA25AF">
        <w:rPr>
          <w:color w:val="0E101A"/>
          <w:sz w:val="22"/>
          <w:szCs w:val="22"/>
        </w:rPr>
        <w:t>Labandera</w:t>
      </w:r>
      <w:proofErr w:type="spellEnd"/>
      <w:r w:rsidRPr="00EA25AF">
        <w:rPr>
          <w:color w:val="0E101A"/>
          <w:sz w:val="22"/>
          <w:szCs w:val="22"/>
        </w:rPr>
        <w:t>-Gonzalez, 1994; Zhang et al., 2019), and, in certain situations, the transgenerational persistence of beneficial microbes as endophytes (</w:t>
      </w:r>
      <w:proofErr w:type="spellStart"/>
      <w:r w:rsidRPr="00EA25AF">
        <w:rPr>
          <w:color w:val="0E101A"/>
          <w:sz w:val="22"/>
          <w:szCs w:val="22"/>
        </w:rPr>
        <w:t>Compant</w:t>
      </w:r>
      <w:proofErr w:type="spellEnd"/>
      <w:r w:rsidRPr="00EA25AF">
        <w:rPr>
          <w:color w:val="0E101A"/>
          <w:sz w:val="22"/>
          <w:szCs w:val="22"/>
        </w:rPr>
        <w:t xml:space="preserve"> et al., 2010).</w:t>
      </w:r>
    </w:p>
    <w:p w14:paraId="01DD6620" w14:textId="77777777"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The results illustrate the dual advantage of biofertilizers, as they induce sustainable crop cultivation while improving seed quality for the next generation. Liquid inoculants can be an environmentally friendly alternative to synthetic seed treatments, assuring environmental sustainability and the formation of high-vigour seeds. Nevertheless, crop genotype, microbial strain compatibility, and environmental factors may all affect the response's amplitude, suggesting that more multi-location research is necessary to confirm these results (Hungria et al., 2010).</w:t>
      </w:r>
    </w:p>
    <w:p w14:paraId="76EAD703" w14:textId="77777777" w:rsidR="00314003" w:rsidRPr="00EA25AF" w:rsidRDefault="00314003" w:rsidP="006A3CF7">
      <w:pPr>
        <w:pStyle w:val="NormalWeb"/>
        <w:spacing w:before="0" w:beforeAutospacing="0" w:after="0" w:afterAutospacing="0" w:line="360" w:lineRule="auto"/>
        <w:jc w:val="both"/>
        <w:rPr>
          <w:color w:val="0E101A"/>
          <w:sz w:val="22"/>
          <w:szCs w:val="22"/>
        </w:rPr>
      </w:pPr>
    </w:p>
    <w:p w14:paraId="3E1B4B90" w14:textId="77777777" w:rsidR="00314003" w:rsidRPr="00EA25AF" w:rsidRDefault="00314003" w:rsidP="00314003">
      <w:pPr>
        <w:jc w:val="both"/>
        <w:outlineLvl w:val="0"/>
        <w:rPr>
          <w:rFonts w:ascii="Arial" w:eastAsia="Times New Roman" w:hAnsi="Arial" w:cs="Arial"/>
          <w:lang w:val="en-GB" w:eastAsia="en-GB"/>
        </w:rPr>
      </w:pPr>
      <w:r w:rsidRPr="00EA25AF">
        <w:rPr>
          <w:rFonts w:ascii="Arial" w:eastAsia="Times New Roman" w:hAnsi="Arial" w:cs="Arial"/>
          <w:b/>
          <w:bCs/>
          <w:lang w:val="en-GB" w:eastAsia="en-GB"/>
        </w:rPr>
        <w:lastRenderedPageBreak/>
        <w:t>COMPETING INTERESTS DISCLAIMER:</w:t>
      </w:r>
    </w:p>
    <w:p w14:paraId="382EAB5B" w14:textId="77777777" w:rsidR="00314003" w:rsidRPr="00EA25AF" w:rsidRDefault="00314003" w:rsidP="00314003">
      <w:pPr>
        <w:rPr>
          <w:rFonts w:ascii="Calibri" w:eastAsia="Times New Roman" w:hAnsi="Calibri" w:cs="Times New Roman"/>
          <w:lang w:val="en-GB" w:eastAsia="en-GB"/>
        </w:rPr>
      </w:pPr>
      <w:r w:rsidRPr="00EA25A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17085F1" w14:textId="77777777" w:rsidR="00314003" w:rsidRPr="00EA25AF" w:rsidRDefault="00314003" w:rsidP="00314003">
      <w:pPr>
        <w:rPr>
          <w:rFonts w:ascii="Calibri" w:eastAsia="Times New Roman" w:hAnsi="Calibri" w:cs="Times New Roman"/>
          <w:lang w:val="en-GB" w:eastAsia="en-GB"/>
        </w:rPr>
      </w:pPr>
    </w:p>
    <w:p w14:paraId="04CF5E1F" w14:textId="77777777" w:rsidR="00314003" w:rsidRPr="00EA25AF" w:rsidRDefault="00314003" w:rsidP="00314003">
      <w:pPr>
        <w:rPr>
          <w:rFonts w:ascii="Calibri" w:eastAsia="Times New Roman" w:hAnsi="Calibri" w:cs="Times New Roman"/>
          <w:lang w:val="en-GB" w:eastAsia="en-GB"/>
        </w:rPr>
      </w:pPr>
    </w:p>
    <w:p w14:paraId="17A33421" w14:textId="77777777" w:rsidR="00314003" w:rsidRPr="00EA25AF" w:rsidRDefault="00314003" w:rsidP="006A3CF7">
      <w:pPr>
        <w:pStyle w:val="NormalWeb"/>
        <w:spacing w:before="0" w:beforeAutospacing="0" w:after="0" w:afterAutospacing="0" w:line="360" w:lineRule="auto"/>
        <w:jc w:val="both"/>
        <w:rPr>
          <w:color w:val="0E101A"/>
          <w:sz w:val="22"/>
          <w:szCs w:val="22"/>
        </w:rPr>
      </w:pPr>
    </w:p>
    <w:p w14:paraId="25A38B4E" w14:textId="77777777" w:rsidR="004C48C8" w:rsidRPr="00EA25AF" w:rsidRDefault="004C48C8" w:rsidP="006A3CF7">
      <w:pPr>
        <w:spacing w:line="360" w:lineRule="auto"/>
        <w:ind w:firstLine="720"/>
        <w:jc w:val="both"/>
        <w:rPr>
          <w:rFonts w:ascii="Times New Roman" w:hAnsi="Times New Roman" w:cs="Times New Roman"/>
          <w:lang w:eastAsia="en-IN" w:bidi="hi-IN"/>
        </w:rPr>
      </w:pPr>
    </w:p>
    <w:p w14:paraId="27CC4F68" w14:textId="00614DCB" w:rsidR="00F53F4A" w:rsidRPr="00EA25AF" w:rsidRDefault="007B398A" w:rsidP="006A3CF7">
      <w:pPr>
        <w:spacing w:line="360" w:lineRule="auto"/>
        <w:jc w:val="both"/>
        <w:rPr>
          <w:rFonts w:ascii="Times New Roman" w:hAnsi="Times New Roman" w:cs="Times New Roman"/>
          <w:b/>
          <w:bCs/>
          <w:lang w:eastAsia="en-IN" w:bidi="hi-IN"/>
        </w:rPr>
      </w:pPr>
      <w:r w:rsidRPr="00EA25AF">
        <w:rPr>
          <w:rFonts w:ascii="Times New Roman" w:hAnsi="Times New Roman" w:cs="Times New Roman"/>
          <w:b/>
          <w:bCs/>
          <w:lang w:eastAsia="en-IN" w:bidi="hi-IN"/>
        </w:rPr>
        <w:t>References</w:t>
      </w:r>
    </w:p>
    <w:p w14:paraId="0387E705" w14:textId="06D69D0D" w:rsidR="00D153A6" w:rsidRPr="00EA25AF" w:rsidRDefault="00D153A6"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Abdul-</w:t>
      </w:r>
      <w:proofErr w:type="spellStart"/>
      <w:r w:rsidRPr="00EA25AF">
        <w:rPr>
          <w:rFonts w:ascii="Times New Roman" w:hAnsi="Times New Roman"/>
          <w:sz w:val="24"/>
          <w:szCs w:val="24"/>
          <w:lang w:eastAsia="en-IN" w:bidi="hi-IN"/>
        </w:rPr>
        <w:t>Baki</w:t>
      </w:r>
      <w:proofErr w:type="spellEnd"/>
      <w:r w:rsidRPr="00EA25AF">
        <w:rPr>
          <w:rFonts w:ascii="Times New Roman" w:hAnsi="Times New Roman"/>
          <w:sz w:val="24"/>
          <w:szCs w:val="24"/>
          <w:lang w:eastAsia="en-IN" w:bidi="hi-IN"/>
        </w:rPr>
        <w:t xml:space="preserve">, A. A., &amp; Anderson, J. D. (1973). Vigor determination in soybean seed by multiple criteria. Crop Science, 13(6), 630–633. </w:t>
      </w:r>
      <w:hyperlink r:id="rId11" w:history="1">
        <w:r w:rsidRPr="00EA25AF">
          <w:rPr>
            <w:rStyle w:val="Hyperlink"/>
            <w:rFonts w:ascii="Times New Roman" w:hAnsi="Times New Roman" w:cs="Times New Roman"/>
            <w:sz w:val="24"/>
            <w:szCs w:val="24"/>
            <w:lang w:eastAsia="en-IN" w:bidi="hi-IN"/>
          </w:rPr>
          <w:t>https://doi.org/10.2135/cropsci1973.0011183X001300060013x</w:t>
        </w:r>
      </w:hyperlink>
      <w:r w:rsidRPr="00EA25AF">
        <w:rPr>
          <w:rFonts w:ascii="Times New Roman" w:hAnsi="Times New Roman"/>
          <w:sz w:val="24"/>
          <w:szCs w:val="24"/>
          <w:lang w:eastAsia="en-IN" w:bidi="hi-IN"/>
        </w:rPr>
        <w:t>.</w:t>
      </w:r>
    </w:p>
    <w:p w14:paraId="542D3509" w14:textId="00C89E32" w:rsidR="007F7471" w:rsidRPr="00EA25AF" w:rsidRDefault="007F7471"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Balaji, D. S., &amp; Narayana, G. S. (2019). Effect of various bio-priming seed enhancement treatments on seed quality in certain minor millets. Plant Archives, 19(1), 1727–1732. </w:t>
      </w:r>
      <w:hyperlink r:id="rId12" w:history="1">
        <w:r w:rsidRPr="00EA25AF">
          <w:rPr>
            <w:rStyle w:val="Hyperlink"/>
            <w:rFonts w:ascii="Times New Roman" w:hAnsi="Times New Roman" w:cs="Times New Roman"/>
            <w:sz w:val="24"/>
            <w:szCs w:val="24"/>
            <w:lang w:eastAsia="en-IN" w:bidi="hi-IN"/>
          </w:rPr>
          <w:t>https://doi.org/10.5555/20209904318</w:t>
        </w:r>
      </w:hyperlink>
      <w:r w:rsidRPr="00EA25AF">
        <w:rPr>
          <w:rFonts w:ascii="Times New Roman" w:hAnsi="Times New Roman"/>
          <w:sz w:val="24"/>
          <w:szCs w:val="24"/>
          <w:lang w:eastAsia="en-IN" w:bidi="hi-IN"/>
        </w:rPr>
        <w:t>.</w:t>
      </w:r>
    </w:p>
    <w:p w14:paraId="25C0538F" w14:textId="74BA780E" w:rsidR="007F747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r w:rsidRPr="00EA25AF">
        <w:rPr>
          <w:rFonts w:ascii="Times New Roman" w:hAnsi="Times New Roman"/>
          <w:sz w:val="24"/>
          <w:szCs w:val="24"/>
          <w:lang w:eastAsia="en-IN" w:bidi="hi-IN"/>
        </w:rPr>
        <w:t>Budhbaware</w:t>
      </w:r>
      <w:proofErr w:type="spellEnd"/>
      <w:r w:rsidRPr="00EA25AF">
        <w:rPr>
          <w:rFonts w:ascii="Times New Roman" w:hAnsi="Times New Roman"/>
          <w:sz w:val="24"/>
          <w:szCs w:val="24"/>
          <w:lang w:eastAsia="en-IN" w:bidi="hi-IN"/>
        </w:rPr>
        <w:t>, S., &amp; Rai, P. K. (2023). Standardization of Pre-sowing Seed Treatment with selected Botanical, Biofertilizers and Plant Growth Regulator on Seedling parameters of Maize (Zea mays L.). </w:t>
      </w:r>
      <w:r w:rsidRPr="00EA25AF">
        <w:rPr>
          <w:rFonts w:ascii="Times New Roman" w:hAnsi="Times New Roman"/>
          <w:i/>
          <w:iCs/>
          <w:sz w:val="24"/>
          <w:szCs w:val="24"/>
          <w:lang w:eastAsia="en-IN" w:bidi="hi-IN"/>
        </w:rPr>
        <w:t>Journal of Cereal Research 15 (2): 403-407. http://doi. org/10.25174/2582-2675/2024</w:t>
      </w:r>
      <w:r w:rsidRPr="00EA25AF">
        <w:rPr>
          <w:rFonts w:ascii="Times New Roman" w:hAnsi="Times New Roman"/>
          <w:sz w:val="24"/>
          <w:szCs w:val="24"/>
          <w:lang w:eastAsia="en-IN" w:bidi="hi-IN"/>
        </w:rPr>
        <w:t>, </w:t>
      </w:r>
      <w:r w:rsidRPr="00EA25AF">
        <w:rPr>
          <w:rFonts w:ascii="Times New Roman" w:hAnsi="Times New Roman"/>
          <w:i/>
          <w:iCs/>
          <w:sz w:val="24"/>
          <w:szCs w:val="24"/>
          <w:lang w:eastAsia="en-IN" w:bidi="hi-IN"/>
        </w:rPr>
        <w:t>143120</w:t>
      </w:r>
      <w:r w:rsidRPr="00EA25AF">
        <w:rPr>
          <w:rFonts w:ascii="Times New Roman" w:hAnsi="Times New Roman"/>
          <w:sz w:val="24"/>
          <w:szCs w:val="24"/>
          <w:lang w:eastAsia="en-IN" w:bidi="hi-IN"/>
        </w:rPr>
        <w:t>.</w:t>
      </w:r>
    </w:p>
    <w:p w14:paraId="0316210C"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r w:rsidRPr="00EA25AF">
        <w:rPr>
          <w:rFonts w:ascii="Times New Roman" w:hAnsi="Times New Roman"/>
          <w:sz w:val="24"/>
          <w:szCs w:val="24"/>
          <w:lang w:val="fr-FR" w:eastAsia="en-IN" w:bidi="hi-IN"/>
        </w:rPr>
        <w:t>Compant</w:t>
      </w:r>
      <w:proofErr w:type="spellEnd"/>
      <w:r w:rsidRPr="00EA25AF">
        <w:rPr>
          <w:rFonts w:ascii="Times New Roman" w:hAnsi="Times New Roman"/>
          <w:sz w:val="24"/>
          <w:szCs w:val="24"/>
          <w:lang w:val="fr-FR" w:eastAsia="en-IN" w:bidi="hi-IN"/>
        </w:rPr>
        <w:t xml:space="preserve">, S., Clément, C., &amp; </w:t>
      </w:r>
      <w:proofErr w:type="spellStart"/>
      <w:r w:rsidRPr="00EA25AF">
        <w:rPr>
          <w:rFonts w:ascii="Times New Roman" w:hAnsi="Times New Roman"/>
          <w:sz w:val="24"/>
          <w:szCs w:val="24"/>
          <w:lang w:val="fr-FR" w:eastAsia="en-IN" w:bidi="hi-IN"/>
        </w:rPr>
        <w:t>Sessitsch</w:t>
      </w:r>
      <w:proofErr w:type="spellEnd"/>
      <w:r w:rsidRPr="00EA25AF">
        <w:rPr>
          <w:rFonts w:ascii="Times New Roman" w:hAnsi="Times New Roman"/>
          <w:sz w:val="24"/>
          <w:szCs w:val="24"/>
          <w:lang w:val="fr-FR" w:eastAsia="en-IN" w:bidi="hi-IN"/>
        </w:rPr>
        <w:t xml:space="preserve">, A. (2010). </w:t>
      </w:r>
      <w:r w:rsidRPr="00EA25AF">
        <w:rPr>
          <w:rFonts w:ascii="Times New Roman" w:hAnsi="Times New Roman"/>
          <w:sz w:val="24"/>
          <w:szCs w:val="24"/>
          <w:lang w:eastAsia="en-IN" w:bidi="hi-IN"/>
        </w:rPr>
        <w:t xml:space="preserve">Plant growth-promoting bacteria in the rhizo- and </w:t>
      </w:r>
      <w:proofErr w:type="spellStart"/>
      <w:r w:rsidRPr="00EA25AF">
        <w:rPr>
          <w:rFonts w:ascii="Times New Roman" w:hAnsi="Times New Roman"/>
          <w:sz w:val="24"/>
          <w:szCs w:val="24"/>
          <w:lang w:eastAsia="en-IN" w:bidi="hi-IN"/>
        </w:rPr>
        <w:t>endosphere</w:t>
      </w:r>
      <w:proofErr w:type="spellEnd"/>
      <w:r w:rsidRPr="00EA25AF">
        <w:rPr>
          <w:rFonts w:ascii="Times New Roman" w:hAnsi="Times New Roman"/>
          <w:sz w:val="24"/>
          <w:szCs w:val="24"/>
          <w:lang w:eastAsia="en-IN" w:bidi="hi-IN"/>
        </w:rPr>
        <w:t xml:space="preserve"> of plants: Their role, colonization, mechanisms involved, and prospects for utilization. </w:t>
      </w:r>
      <w:r w:rsidRPr="00EA25AF">
        <w:rPr>
          <w:rFonts w:ascii="Times New Roman" w:hAnsi="Times New Roman"/>
          <w:i/>
          <w:iCs/>
          <w:sz w:val="24"/>
          <w:szCs w:val="24"/>
          <w:lang w:eastAsia="en-IN" w:bidi="hi-IN"/>
        </w:rPr>
        <w:t>Soil Biology and Biochemistry, 42</w:t>
      </w:r>
      <w:r w:rsidRPr="00EA25AF">
        <w:rPr>
          <w:rFonts w:ascii="Times New Roman" w:hAnsi="Times New Roman"/>
          <w:sz w:val="24"/>
          <w:szCs w:val="24"/>
          <w:lang w:eastAsia="en-IN" w:bidi="hi-IN"/>
        </w:rPr>
        <w:t xml:space="preserve">(5), 669–678. </w:t>
      </w:r>
      <w:hyperlink r:id="rId13" w:history="1">
        <w:r w:rsidRPr="00EA25AF">
          <w:rPr>
            <w:rFonts w:ascii="Times New Roman" w:hAnsi="Times New Roman"/>
            <w:color w:val="0000FF"/>
            <w:sz w:val="24"/>
            <w:szCs w:val="24"/>
            <w:u w:val="single"/>
            <w:lang w:eastAsia="en-IN" w:bidi="hi-IN"/>
          </w:rPr>
          <w:t>https://doi.org/10.1016/j.soilbio.2009.11.024</w:t>
        </w:r>
      </w:hyperlink>
    </w:p>
    <w:p w14:paraId="02FE7785"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Food and Agriculture Organization (FAO). (2023). World Food and Agriculture Statistical Yearbook 2023. FAO. </w:t>
      </w:r>
      <w:hyperlink r:id="rId14" w:history="1">
        <w:r w:rsidRPr="00EA25AF">
          <w:rPr>
            <w:rFonts w:ascii="Times New Roman" w:hAnsi="Times New Roman"/>
            <w:color w:val="0000FF"/>
            <w:sz w:val="24"/>
            <w:szCs w:val="24"/>
            <w:u w:val="single"/>
            <w:lang w:eastAsia="en-IN" w:bidi="hi-IN"/>
          </w:rPr>
          <w:t>https://openknowledge.fao.org/handle/11362/4850</w:t>
        </w:r>
      </w:hyperlink>
    </w:p>
    <w:p w14:paraId="773BD898"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Food and Agriculture Organization (FAO). (2024). Crop Prospects and Food Situation –Quarterly Global Report. FAO. </w:t>
      </w:r>
      <w:hyperlink r:id="rId15" w:history="1">
        <w:r w:rsidRPr="00EA25AF">
          <w:rPr>
            <w:rFonts w:ascii="Times New Roman" w:hAnsi="Times New Roman"/>
            <w:color w:val="0000FF"/>
            <w:sz w:val="24"/>
            <w:szCs w:val="24"/>
            <w:u w:val="single"/>
            <w:lang w:eastAsia="en-IN" w:bidi="hi-IN"/>
          </w:rPr>
          <w:t>https://www.fao.org/markets-and-trade/publications/crop-prospects-and-food-situation/en/</w:t>
        </w:r>
      </w:hyperlink>
    </w:p>
    <w:p w14:paraId="4DF147A8"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val="es-ES" w:eastAsia="en-IN" w:bidi="hi-IN"/>
        </w:rPr>
        <w:lastRenderedPageBreak/>
        <w:t xml:space="preserve">Gupta, R., </w:t>
      </w:r>
      <w:proofErr w:type="spellStart"/>
      <w:r w:rsidRPr="00EA25AF">
        <w:rPr>
          <w:rFonts w:ascii="Times New Roman" w:hAnsi="Times New Roman"/>
          <w:sz w:val="24"/>
          <w:szCs w:val="24"/>
          <w:lang w:val="es-ES" w:eastAsia="en-IN" w:bidi="hi-IN"/>
        </w:rPr>
        <w:t>Yadav</w:t>
      </w:r>
      <w:proofErr w:type="spellEnd"/>
      <w:r w:rsidRPr="00EA25AF">
        <w:rPr>
          <w:rFonts w:ascii="Times New Roman" w:hAnsi="Times New Roman"/>
          <w:sz w:val="24"/>
          <w:szCs w:val="24"/>
          <w:lang w:val="es-ES" w:eastAsia="en-IN" w:bidi="hi-IN"/>
        </w:rPr>
        <w:t xml:space="preserve">, A., &amp; Singh, R. (2018). </w:t>
      </w:r>
      <w:r w:rsidRPr="00EA25AF">
        <w:rPr>
          <w:rFonts w:ascii="Times New Roman" w:hAnsi="Times New Roman"/>
          <w:sz w:val="24"/>
          <w:szCs w:val="24"/>
          <w:lang w:eastAsia="en-IN" w:bidi="hi-IN"/>
        </w:rPr>
        <w:t xml:space="preserve">Impact of fungicidal seed treatments on soil microbial communities and plant growth. </w:t>
      </w:r>
      <w:r w:rsidRPr="00EA25AF">
        <w:rPr>
          <w:rFonts w:ascii="Times New Roman" w:hAnsi="Times New Roman"/>
          <w:i/>
          <w:iCs/>
          <w:sz w:val="24"/>
          <w:szCs w:val="24"/>
          <w:lang w:eastAsia="en-IN" w:bidi="hi-IN"/>
        </w:rPr>
        <w:t>Journal of Environmental Biology, 39</w:t>
      </w:r>
      <w:r w:rsidRPr="00EA25AF">
        <w:rPr>
          <w:rFonts w:ascii="Times New Roman" w:hAnsi="Times New Roman"/>
          <w:sz w:val="24"/>
          <w:szCs w:val="24"/>
          <w:lang w:eastAsia="en-IN" w:bidi="hi-IN"/>
        </w:rPr>
        <w:t xml:space="preserve">(6), 1015–1022. </w:t>
      </w:r>
      <w:hyperlink r:id="rId16" w:history="1">
        <w:r w:rsidRPr="00EA25AF">
          <w:rPr>
            <w:rFonts w:ascii="Times New Roman" w:hAnsi="Times New Roman"/>
            <w:color w:val="0000FF"/>
            <w:sz w:val="24"/>
            <w:szCs w:val="24"/>
            <w:u w:val="single"/>
            <w:lang w:eastAsia="en-IN" w:bidi="hi-IN"/>
          </w:rPr>
          <w:t>https://www.jeb.co.in/journal_issues/201812_dec18/paper_07.pdf</w:t>
        </w:r>
      </w:hyperlink>
    </w:p>
    <w:p w14:paraId="3C56E7C0" w14:textId="2698B64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val="en-US" w:eastAsia="en-IN" w:bidi="hi-IN"/>
        </w:rPr>
        <w:t xml:space="preserve">Hungria, M., Nogueira, M. A., &amp; Araujo, R. S. (2010). </w:t>
      </w:r>
      <w:r w:rsidRPr="00EA25AF">
        <w:rPr>
          <w:rFonts w:ascii="Times New Roman" w:hAnsi="Times New Roman"/>
          <w:sz w:val="24"/>
          <w:szCs w:val="24"/>
          <w:lang w:eastAsia="en-IN" w:bidi="hi-IN"/>
        </w:rPr>
        <w:t xml:space="preserve">Inoculation of </w:t>
      </w:r>
      <w:proofErr w:type="spellStart"/>
      <w:r w:rsidR="004C3436" w:rsidRPr="00EA25AF">
        <w:rPr>
          <w:rFonts w:ascii="Times New Roman" w:hAnsi="Times New Roman"/>
          <w:i/>
          <w:iCs/>
          <w:sz w:val="24"/>
          <w:szCs w:val="24"/>
          <w:lang w:eastAsia="en-IN" w:bidi="hi-IN"/>
        </w:rPr>
        <w:t>Azospirillum</w:t>
      </w:r>
      <w:proofErr w:type="spellEnd"/>
      <w:r w:rsidRPr="00EA25AF">
        <w:rPr>
          <w:rFonts w:ascii="Times New Roman" w:hAnsi="Times New Roman"/>
          <w:sz w:val="24"/>
          <w:szCs w:val="24"/>
          <w:lang w:eastAsia="en-IN" w:bidi="hi-IN"/>
        </w:rPr>
        <w:t xml:space="preserve"> and </w:t>
      </w:r>
      <w:proofErr w:type="spellStart"/>
      <w:r w:rsidRPr="00EA25AF">
        <w:rPr>
          <w:rFonts w:ascii="Times New Roman" w:hAnsi="Times New Roman"/>
          <w:sz w:val="24"/>
          <w:szCs w:val="24"/>
          <w:lang w:eastAsia="en-IN" w:bidi="hi-IN"/>
        </w:rPr>
        <w:t>Bradyrhizobium</w:t>
      </w:r>
      <w:proofErr w:type="spellEnd"/>
      <w:r w:rsidRPr="00EA25AF">
        <w:rPr>
          <w:rFonts w:ascii="Times New Roman" w:hAnsi="Times New Roman"/>
          <w:sz w:val="24"/>
          <w:szCs w:val="24"/>
          <w:lang w:eastAsia="en-IN" w:bidi="hi-IN"/>
        </w:rPr>
        <w:t xml:space="preserve"> strains in soybean and common bean: Symbiotic performance and yield. </w:t>
      </w:r>
      <w:r w:rsidRPr="00EA25AF">
        <w:rPr>
          <w:rFonts w:ascii="Times New Roman" w:hAnsi="Times New Roman"/>
          <w:i/>
          <w:iCs/>
          <w:sz w:val="24"/>
          <w:szCs w:val="24"/>
          <w:lang w:eastAsia="en-IN" w:bidi="hi-IN"/>
        </w:rPr>
        <w:t>Field Crops Research, 115</w:t>
      </w:r>
      <w:r w:rsidRPr="00EA25AF">
        <w:rPr>
          <w:rFonts w:ascii="Times New Roman" w:hAnsi="Times New Roman"/>
          <w:sz w:val="24"/>
          <w:szCs w:val="24"/>
          <w:lang w:eastAsia="en-IN" w:bidi="hi-IN"/>
        </w:rPr>
        <w:t xml:space="preserve">(2–3), 148–157. </w:t>
      </w:r>
      <w:hyperlink r:id="rId17" w:history="1">
        <w:r w:rsidRPr="00EA25AF">
          <w:rPr>
            <w:rFonts w:ascii="Times New Roman" w:hAnsi="Times New Roman"/>
            <w:color w:val="0000FF"/>
            <w:sz w:val="24"/>
            <w:szCs w:val="24"/>
            <w:u w:val="single"/>
            <w:lang w:eastAsia="en-IN" w:bidi="hi-IN"/>
          </w:rPr>
          <w:t>https://doi.org/10.1016/j.fcr.2009.10.011</w:t>
        </w:r>
      </w:hyperlink>
      <w:r w:rsidRPr="00EA25AF">
        <w:rPr>
          <w:rFonts w:ascii="Times New Roman" w:hAnsi="Times New Roman"/>
          <w:color w:val="0000FF"/>
          <w:sz w:val="24"/>
          <w:szCs w:val="24"/>
          <w:u w:val="single"/>
          <w:lang w:eastAsia="en-IN" w:bidi="hi-IN"/>
        </w:rPr>
        <w:t>.</w:t>
      </w:r>
    </w:p>
    <w:p w14:paraId="6D0583EB" w14:textId="77777777" w:rsidR="00031C31" w:rsidRPr="00EA25AF" w:rsidRDefault="00031C31"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International Rules for Seed Testing. </w:t>
      </w:r>
      <w:r w:rsidRPr="00EA25AF">
        <w:rPr>
          <w:rFonts w:ascii="Times New Roman" w:hAnsi="Times New Roman"/>
          <w:i/>
          <w:iCs/>
          <w:sz w:val="24"/>
          <w:szCs w:val="24"/>
          <w:lang w:eastAsia="en-IN" w:bidi="hi-IN"/>
        </w:rPr>
        <w:t>Seed Science and Technology, 27</w:t>
      </w:r>
      <w:r w:rsidRPr="00EA25AF">
        <w:rPr>
          <w:rFonts w:ascii="Times New Roman" w:hAnsi="Times New Roman"/>
          <w:sz w:val="24"/>
          <w:szCs w:val="24"/>
          <w:lang w:eastAsia="en-IN" w:bidi="hi-IN"/>
        </w:rPr>
        <w:t>(1), 25–30.</w:t>
      </w:r>
      <w:r w:rsidRPr="00EA25AF">
        <w:rPr>
          <w:rFonts w:ascii="Times New Roman" w:hAnsi="Times New Roman"/>
          <w:sz w:val="24"/>
          <w:szCs w:val="24"/>
          <w:lang w:eastAsia="en-IN" w:bidi="hi-IN"/>
        </w:rPr>
        <w:br/>
        <w:t xml:space="preserve">Available at: </w:t>
      </w:r>
      <w:hyperlink r:id="rId18" w:history="1">
        <w:r w:rsidRPr="00EA25AF">
          <w:rPr>
            <w:rStyle w:val="Hyperlink"/>
            <w:rFonts w:ascii="Times New Roman" w:hAnsi="Times New Roman" w:cs="Times New Roman"/>
            <w:sz w:val="24"/>
            <w:szCs w:val="24"/>
            <w:lang w:eastAsia="en-IN" w:bidi="hi-IN"/>
          </w:rPr>
          <w:t>https://www.seedtest.org/en/publications/international-rules-seed-testing.html</w:t>
        </w:r>
      </w:hyperlink>
      <w:r w:rsidRPr="00EA25AF">
        <w:rPr>
          <w:rFonts w:ascii="Times New Roman" w:hAnsi="Times New Roman"/>
          <w:sz w:val="24"/>
          <w:szCs w:val="24"/>
          <w:lang w:eastAsia="en-IN" w:bidi="hi-IN"/>
        </w:rPr>
        <w:t>.</w:t>
      </w:r>
    </w:p>
    <w:p w14:paraId="20814038" w14:textId="032B9E83" w:rsidR="000F1EF6" w:rsidRPr="00EA25AF" w:rsidRDefault="000F1EF6"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Iswariya, S., Sujatha, K., &amp; Subhashini, R. (2019). Enhancement of seedling vigour through bio-priming for Barnyard Millet var. MDU 1. </w:t>
      </w:r>
      <w:r w:rsidRPr="00EA25AF">
        <w:rPr>
          <w:rFonts w:ascii="Times New Roman" w:hAnsi="Times New Roman"/>
          <w:i/>
          <w:iCs/>
          <w:sz w:val="24"/>
          <w:szCs w:val="24"/>
          <w:lang w:eastAsia="en-IN" w:bidi="hi-IN"/>
        </w:rPr>
        <w:t>International Journal of Current Microbiology and Applied Sciences, 8</w:t>
      </w:r>
      <w:r w:rsidRPr="00EA25AF">
        <w:rPr>
          <w:rFonts w:ascii="Times New Roman" w:hAnsi="Times New Roman"/>
          <w:sz w:val="24"/>
          <w:szCs w:val="24"/>
          <w:lang w:eastAsia="en-IN" w:bidi="hi-IN"/>
        </w:rPr>
        <w:t xml:space="preserve">(4), 2254–2261. </w:t>
      </w:r>
      <w:hyperlink r:id="rId19" w:history="1">
        <w:r w:rsidRPr="00EA25AF">
          <w:rPr>
            <w:rStyle w:val="Hyperlink"/>
            <w:rFonts w:ascii="Times New Roman" w:hAnsi="Times New Roman" w:cs="Times New Roman"/>
            <w:sz w:val="24"/>
            <w:szCs w:val="24"/>
            <w:lang w:eastAsia="en-IN" w:bidi="hi-IN"/>
          </w:rPr>
          <w:t>https://doi.org/10.20546/ijcmas.2019.804.263</w:t>
        </w:r>
      </w:hyperlink>
      <w:r w:rsidRPr="00EA25AF">
        <w:rPr>
          <w:rFonts w:ascii="Times New Roman" w:hAnsi="Times New Roman"/>
          <w:sz w:val="24"/>
          <w:szCs w:val="24"/>
          <w:lang w:eastAsia="en-IN" w:bidi="hi-IN"/>
        </w:rPr>
        <w:t>.</w:t>
      </w:r>
    </w:p>
    <w:p w14:paraId="3C041E07" w14:textId="5E524B88" w:rsidR="000F1EF6" w:rsidRPr="00EA25AF" w:rsidRDefault="000F1EF6"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Mahapatra, A., Barik, A. K., &amp; Mishra, G. C. (2018). Effect of Integrated Nutrient Management (INM) on growth and yield of baby corn (Zea mays L.). </w:t>
      </w:r>
      <w:r w:rsidRPr="00EA25AF">
        <w:rPr>
          <w:rFonts w:ascii="Times New Roman" w:hAnsi="Times New Roman"/>
          <w:i/>
          <w:iCs/>
          <w:sz w:val="24"/>
          <w:szCs w:val="24"/>
          <w:lang w:eastAsia="en-IN" w:bidi="hi-IN"/>
        </w:rPr>
        <w:t>Environment and Ecology</w:t>
      </w:r>
      <w:r w:rsidRPr="00EA25AF">
        <w:rPr>
          <w:rFonts w:ascii="Times New Roman" w:hAnsi="Times New Roman"/>
          <w:sz w:val="24"/>
          <w:szCs w:val="24"/>
          <w:lang w:eastAsia="en-IN" w:bidi="hi-IN"/>
        </w:rPr>
        <w:t xml:space="preserve">, 36(1A), 338-342. </w:t>
      </w:r>
      <w:hyperlink r:id="rId20" w:history="1">
        <w:r w:rsidRPr="00EA25AF">
          <w:rPr>
            <w:rStyle w:val="Hyperlink"/>
            <w:rFonts w:ascii="Times New Roman" w:hAnsi="Times New Roman" w:cs="Times New Roman"/>
            <w:sz w:val="24"/>
            <w:szCs w:val="24"/>
            <w:lang w:eastAsia="en-IN" w:bidi="hi-IN"/>
          </w:rPr>
          <w:t>https://doi.org/10.23910/IJBSM/2018.9.1.1855</w:t>
        </w:r>
      </w:hyperlink>
      <w:r w:rsidRPr="00EA25AF">
        <w:rPr>
          <w:rFonts w:ascii="Times New Roman" w:hAnsi="Times New Roman"/>
          <w:sz w:val="24"/>
          <w:szCs w:val="24"/>
          <w:lang w:eastAsia="en-IN" w:bidi="hi-IN"/>
        </w:rPr>
        <w:t>.</w:t>
      </w:r>
    </w:p>
    <w:p w14:paraId="747EE65F" w14:textId="77777777" w:rsidR="00031C31" w:rsidRPr="00EA25AF" w:rsidRDefault="00031C31" w:rsidP="00534E4E">
      <w:pPr>
        <w:spacing w:before="100" w:beforeAutospacing="1" w:after="100" w:afterAutospacing="1" w:line="360" w:lineRule="auto"/>
        <w:ind w:left="360"/>
        <w:jc w:val="both"/>
        <w:rPr>
          <w:rFonts w:ascii="Times New Roman" w:hAnsi="Times New Roman"/>
          <w:color w:val="0000FF"/>
          <w:sz w:val="24"/>
          <w:szCs w:val="24"/>
          <w:u w:val="single"/>
          <w:lang w:eastAsia="en-IN" w:bidi="hi-IN"/>
        </w:rPr>
      </w:pPr>
      <w:r w:rsidRPr="00EA25AF">
        <w:rPr>
          <w:rFonts w:ascii="Times New Roman" w:hAnsi="Times New Roman"/>
          <w:sz w:val="24"/>
          <w:szCs w:val="24"/>
          <w:lang w:eastAsia="en-IN" w:bidi="hi-IN"/>
        </w:rPr>
        <w:t>Ministry of Agriculture and Farmers Welfare (MoAFW). (2024</w:t>
      </w:r>
      <w:proofErr w:type="gramStart"/>
      <w:r w:rsidRPr="00EA25AF">
        <w:rPr>
          <w:rFonts w:ascii="Times New Roman" w:hAnsi="Times New Roman"/>
          <w:sz w:val="24"/>
          <w:szCs w:val="24"/>
          <w:lang w:eastAsia="en-IN" w:bidi="hi-IN"/>
        </w:rPr>
        <w:t>).Final</w:t>
      </w:r>
      <w:proofErr w:type="gramEnd"/>
      <w:r w:rsidRPr="00EA25AF">
        <w:rPr>
          <w:rFonts w:ascii="Times New Roman" w:hAnsi="Times New Roman"/>
          <w:sz w:val="24"/>
          <w:szCs w:val="24"/>
          <w:lang w:eastAsia="en-IN" w:bidi="hi-IN"/>
        </w:rPr>
        <w:t xml:space="preserve"> estimates of production of major agricultural crops for the year 2023–24. Government of India, New Delhi. </w:t>
      </w:r>
      <w:hyperlink r:id="rId21" w:history="1">
        <w:r w:rsidRPr="00EA25AF">
          <w:rPr>
            <w:rFonts w:ascii="Times New Roman" w:hAnsi="Times New Roman"/>
            <w:color w:val="0000FF"/>
            <w:sz w:val="24"/>
            <w:szCs w:val="24"/>
            <w:u w:val="single"/>
            <w:lang w:eastAsia="en-IN" w:bidi="hi-IN"/>
          </w:rPr>
          <w:t>https://www.pib.gov.in/PressReleasePage.aspx?PRID=2058534</w:t>
        </w:r>
      </w:hyperlink>
    </w:p>
    <w:p w14:paraId="68920ABC" w14:textId="184265C2" w:rsidR="000F1EF6" w:rsidRPr="00EA25AF" w:rsidRDefault="000F1EF6"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r w:rsidRPr="00EA25AF">
        <w:rPr>
          <w:rFonts w:ascii="Times New Roman" w:hAnsi="Times New Roman"/>
          <w:sz w:val="24"/>
          <w:szCs w:val="24"/>
          <w:lang w:eastAsia="en-IN" w:bidi="hi-IN"/>
        </w:rPr>
        <w:t>Mukhim</w:t>
      </w:r>
      <w:proofErr w:type="spellEnd"/>
      <w:r w:rsidRPr="00EA25AF">
        <w:rPr>
          <w:rFonts w:ascii="Times New Roman" w:hAnsi="Times New Roman"/>
          <w:sz w:val="24"/>
          <w:szCs w:val="24"/>
          <w:lang w:eastAsia="en-IN" w:bidi="hi-IN"/>
        </w:rPr>
        <w:t xml:space="preserve">, W., George, P. J., &amp; </w:t>
      </w:r>
      <w:proofErr w:type="spellStart"/>
      <w:r w:rsidRPr="00EA25AF">
        <w:rPr>
          <w:rFonts w:ascii="Times New Roman" w:hAnsi="Times New Roman"/>
          <w:sz w:val="24"/>
          <w:szCs w:val="24"/>
          <w:lang w:eastAsia="en-IN" w:bidi="hi-IN"/>
        </w:rPr>
        <w:t>Kispotta</w:t>
      </w:r>
      <w:proofErr w:type="spellEnd"/>
      <w:r w:rsidRPr="00EA25AF">
        <w:rPr>
          <w:rFonts w:ascii="Times New Roman" w:hAnsi="Times New Roman"/>
          <w:sz w:val="24"/>
          <w:szCs w:val="24"/>
          <w:lang w:eastAsia="en-IN" w:bidi="hi-IN"/>
        </w:rPr>
        <w:t xml:space="preserve">, W. (2022). Effect of bio-fertilizers on growth, yield and microbial population of Wheat. </w:t>
      </w:r>
      <w:r w:rsidRPr="00EA25AF">
        <w:rPr>
          <w:rFonts w:ascii="Times New Roman" w:hAnsi="Times New Roman"/>
          <w:i/>
          <w:iCs/>
          <w:sz w:val="24"/>
          <w:szCs w:val="24"/>
          <w:lang w:eastAsia="en-IN" w:bidi="hi-IN"/>
        </w:rPr>
        <w:t>Journal of Eco-Friendly Agriculture, 17</w:t>
      </w:r>
      <w:r w:rsidRPr="00EA25AF">
        <w:rPr>
          <w:rFonts w:ascii="Times New Roman" w:hAnsi="Times New Roman"/>
          <w:sz w:val="24"/>
          <w:szCs w:val="24"/>
          <w:lang w:eastAsia="en-IN" w:bidi="hi-IN"/>
        </w:rPr>
        <w:t xml:space="preserve">(1), 7–10. </w:t>
      </w:r>
      <w:hyperlink r:id="rId22" w:history="1">
        <w:r w:rsidRPr="00EA25AF">
          <w:rPr>
            <w:rStyle w:val="Hyperlink"/>
            <w:rFonts w:ascii="Times New Roman" w:eastAsia="Times New Roman" w:hAnsi="Times New Roman" w:cs="Times New Roman"/>
            <w:sz w:val="24"/>
            <w:szCs w:val="24"/>
            <w:lang w:eastAsia="en-IN" w:bidi="hi-IN"/>
          </w:rPr>
          <w:t>https://doi.org/10.5958/2582-2683.2022.00002.8</w:t>
        </w:r>
      </w:hyperlink>
      <w:r w:rsidRPr="00EA25AF">
        <w:rPr>
          <w:rFonts w:ascii="Times New Roman" w:hAnsi="Times New Roman"/>
          <w:sz w:val="24"/>
          <w:szCs w:val="24"/>
          <w:lang w:eastAsia="en-IN" w:bidi="hi-IN"/>
        </w:rPr>
        <w:t>.</w:t>
      </w:r>
    </w:p>
    <w:p w14:paraId="3EA53467" w14:textId="41BA92FA" w:rsidR="00031C31" w:rsidRPr="00EA25AF" w:rsidRDefault="00031C31" w:rsidP="00534E4E">
      <w:pPr>
        <w:spacing w:line="360" w:lineRule="auto"/>
        <w:ind w:left="360"/>
        <w:jc w:val="both"/>
        <w:rPr>
          <w:rFonts w:ascii="Times New Roman" w:hAnsi="Times New Roman"/>
          <w:sz w:val="24"/>
          <w:szCs w:val="24"/>
          <w:lang w:eastAsia="en-IN" w:bidi="hi-IN"/>
        </w:rPr>
      </w:pPr>
      <w:proofErr w:type="gramStart"/>
      <w:r w:rsidRPr="00EA25AF">
        <w:rPr>
          <w:rFonts w:ascii="Times New Roman" w:hAnsi="Times New Roman"/>
          <w:sz w:val="24"/>
          <w:szCs w:val="24"/>
          <w:lang w:val="es-ES" w:eastAsia="en-IN" w:bidi="hi-IN"/>
        </w:rPr>
        <w:t>Okon,Y.</w:t>
      </w:r>
      <w:proofErr w:type="gramEnd"/>
      <w:r w:rsidRPr="00EA25AF">
        <w:rPr>
          <w:rFonts w:ascii="Times New Roman" w:hAnsi="Times New Roman"/>
          <w:sz w:val="24"/>
          <w:szCs w:val="24"/>
          <w:lang w:val="es-ES" w:eastAsia="en-IN" w:bidi="hi-IN"/>
        </w:rPr>
        <w:t>,&amp;</w:t>
      </w:r>
      <w:proofErr w:type="spellStart"/>
      <w:r w:rsidRPr="00EA25AF">
        <w:rPr>
          <w:rFonts w:ascii="Times New Roman" w:hAnsi="Times New Roman"/>
          <w:sz w:val="24"/>
          <w:szCs w:val="24"/>
          <w:lang w:val="es-ES" w:eastAsia="en-IN" w:bidi="hi-IN"/>
        </w:rPr>
        <w:t>Labandera-Gonzalez,C</w:t>
      </w:r>
      <w:proofErr w:type="spellEnd"/>
      <w:r w:rsidRPr="00EA25AF">
        <w:rPr>
          <w:rFonts w:ascii="Times New Roman" w:hAnsi="Times New Roman"/>
          <w:sz w:val="24"/>
          <w:szCs w:val="24"/>
          <w:lang w:val="es-ES" w:eastAsia="en-IN" w:bidi="hi-IN"/>
        </w:rPr>
        <w:t xml:space="preserve">.(1994). </w:t>
      </w:r>
      <w:r w:rsidRPr="00EA25AF">
        <w:rPr>
          <w:rFonts w:ascii="Times New Roman" w:hAnsi="Times New Roman"/>
          <w:sz w:val="24"/>
          <w:szCs w:val="24"/>
          <w:lang w:eastAsia="en-IN" w:bidi="hi-IN"/>
        </w:rPr>
        <w:t xml:space="preserve">Agricultural applications of </w:t>
      </w:r>
      <w:proofErr w:type="spellStart"/>
      <w:r w:rsidR="004C3436" w:rsidRPr="00EA25AF">
        <w:rPr>
          <w:rFonts w:ascii="Times New Roman" w:hAnsi="Times New Roman"/>
          <w:i/>
          <w:iCs/>
          <w:sz w:val="24"/>
          <w:szCs w:val="24"/>
          <w:lang w:eastAsia="en-IN" w:bidi="hi-IN"/>
        </w:rPr>
        <w:t>Azospirillum</w:t>
      </w:r>
      <w:proofErr w:type="spellEnd"/>
      <w:r w:rsidRPr="00EA25AF">
        <w:rPr>
          <w:rFonts w:ascii="Times New Roman" w:hAnsi="Times New Roman"/>
          <w:sz w:val="24"/>
          <w:szCs w:val="24"/>
          <w:lang w:eastAsia="en-IN" w:bidi="hi-IN"/>
        </w:rPr>
        <w:t xml:space="preserve">: An overview. </w:t>
      </w:r>
      <w:r w:rsidRPr="00EA25AF">
        <w:rPr>
          <w:rFonts w:ascii="Times New Roman" w:hAnsi="Times New Roman"/>
          <w:i/>
          <w:iCs/>
          <w:sz w:val="24"/>
          <w:szCs w:val="24"/>
          <w:lang w:eastAsia="en-IN" w:bidi="hi-IN"/>
        </w:rPr>
        <w:t>Critical Reviews in Plant Sciences, 13</w:t>
      </w:r>
      <w:r w:rsidRPr="00EA25AF">
        <w:rPr>
          <w:rFonts w:ascii="Times New Roman" w:hAnsi="Times New Roman"/>
          <w:sz w:val="24"/>
          <w:szCs w:val="24"/>
          <w:lang w:eastAsia="en-IN" w:bidi="hi-IN"/>
        </w:rPr>
        <w:t xml:space="preserve">(2), 1–30. </w:t>
      </w:r>
      <w:hyperlink r:id="rId23" w:history="1">
        <w:r w:rsidRPr="00EA25AF">
          <w:rPr>
            <w:rStyle w:val="Hyperlink"/>
            <w:rFonts w:ascii="Times New Roman" w:hAnsi="Times New Roman" w:cs="Times New Roman"/>
            <w:sz w:val="24"/>
            <w:szCs w:val="24"/>
            <w:lang w:eastAsia="en-IN" w:bidi="hi-IN"/>
          </w:rPr>
          <w:t>https://doi.org/10.1080/07352689409701902</w:t>
        </w:r>
      </w:hyperlink>
      <w:r w:rsidRPr="00EA25AF">
        <w:rPr>
          <w:rFonts w:ascii="Times New Roman" w:hAnsi="Times New Roman"/>
          <w:sz w:val="24"/>
          <w:szCs w:val="24"/>
          <w:lang w:eastAsia="en-IN" w:bidi="hi-IN"/>
        </w:rPr>
        <w:t>.</w:t>
      </w:r>
    </w:p>
    <w:p w14:paraId="0267D05F" w14:textId="64F9FE00" w:rsidR="000F1EF6" w:rsidRPr="00EA25AF" w:rsidRDefault="000F1EF6"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Pathak, A., Chakrabarti, S. K., Das, R., &amp; Mandal, M. K. (2016). Response of different wheat varieties towards </w:t>
      </w:r>
      <w:proofErr w:type="spellStart"/>
      <w:r w:rsidRPr="00EA25AF">
        <w:rPr>
          <w:rFonts w:ascii="Times New Roman" w:hAnsi="Times New Roman"/>
          <w:sz w:val="24"/>
          <w:szCs w:val="24"/>
          <w:lang w:eastAsia="en-IN" w:bidi="hi-IN"/>
        </w:rPr>
        <w:t>Azospirillum</w:t>
      </w:r>
      <w:proofErr w:type="spellEnd"/>
      <w:r w:rsidRPr="00EA25AF">
        <w:rPr>
          <w:rFonts w:ascii="Times New Roman" w:hAnsi="Times New Roman"/>
          <w:sz w:val="24"/>
          <w:szCs w:val="24"/>
          <w:lang w:eastAsia="en-IN" w:bidi="hi-IN"/>
        </w:rPr>
        <w:t xml:space="preserve"> and phosphate solubilizing bacteria (PSB) seed inoculation. Journal of Applied and Natural Science, 8(1), 213–217. </w:t>
      </w:r>
      <w:hyperlink r:id="rId24" w:history="1">
        <w:r w:rsidRPr="00EA25AF">
          <w:rPr>
            <w:rStyle w:val="Hyperlink"/>
            <w:rFonts w:ascii="Times New Roman" w:hAnsi="Times New Roman" w:cs="Times New Roman"/>
            <w:sz w:val="24"/>
            <w:szCs w:val="24"/>
            <w:lang w:eastAsia="en-IN" w:bidi="hi-IN"/>
          </w:rPr>
          <w:t>https://doi.org/10.31018/jans.v8i1.775</w:t>
        </w:r>
      </w:hyperlink>
      <w:r w:rsidRPr="00EA25AF">
        <w:rPr>
          <w:rFonts w:ascii="Times New Roman" w:hAnsi="Times New Roman"/>
          <w:sz w:val="24"/>
          <w:szCs w:val="24"/>
          <w:lang w:eastAsia="en-IN" w:bidi="hi-IN"/>
        </w:rPr>
        <w:t>.</w:t>
      </w:r>
    </w:p>
    <w:p w14:paraId="19E2B370"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val="en-US" w:eastAsia="en-IN" w:bidi="hi-IN"/>
        </w:rPr>
        <w:lastRenderedPageBreak/>
        <w:t xml:space="preserve">Raja, K., </w:t>
      </w:r>
      <w:proofErr w:type="spellStart"/>
      <w:r w:rsidRPr="00EA25AF">
        <w:rPr>
          <w:rFonts w:ascii="Times New Roman" w:hAnsi="Times New Roman"/>
          <w:sz w:val="24"/>
          <w:szCs w:val="24"/>
          <w:lang w:val="en-US" w:eastAsia="en-IN" w:bidi="hi-IN"/>
        </w:rPr>
        <w:t>Anandham</w:t>
      </w:r>
      <w:proofErr w:type="spellEnd"/>
      <w:r w:rsidRPr="00EA25AF">
        <w:rPr>
          <w:rFonts w:ascii="Times New Roman" w:hAnsi="Times New Roman"/>
          <w:sz w:val="24"/>
          <w:szCs w:val="24"/>
          <w:lang w:val="en-US" w:eastAsia="en-IN" w:bidi="hi-IN"/>
        </w:rPr>
        <w:t xml:space="preserve">, R., &amp; Sivasubramaniam, K. (2019). </w:t>
      </w:r>
      <w:r w:rsidRPr="00EA25AF">
        <w:rPr>
          <w:rFonts w:ascii="Times New Roman" w:hAnsi="Times New Roman"/>
          <w:sz w:val="24"/>
          <w:szCs w:val="24"/>
          <w:lang w:eastAsia="en-IN" w:bidi="hi-IN"/>
        </w:rPr>
        <w:t>Seed and seedling vigour improvement through seed infusion with liquid microbial consortia in sorghum (</w:t>
      </w:r>
      <w:r w:rsidRPr="00EA25AF">
        <w:rPr>
          <w:rFonts w:ascii="Times New Roman" w:hAnsi="Times New Roman"/>
          <w:i/>
          <w:iCs/>
          <w:sz w:val="24"/>
          <w:szCs w:val="24"/>
          <w:lang w:eastAsia="en-IN" w:bidi="hi-IN"/>
        </w:rPr>
        <w:t xml:space="preserve">Sorghum </w:t>
      </w:r>
      <w:proofErr w:type="spellStart"/>
      <w:r w:rsidRPr="00EA25AF">
        <w:rPr>
          <w:rFonts w:ascii="Times New Roman" w:hAnsi="Times New Roman"/>
          <w:i/>
          <w:iCs/>
          <w:sz w:val="24"/>
          <w:szCs w:val="24"/>
          <w:lang w:eastAsia="en-IN" w:bidi="hi-IN"/>
        </w:rPr>
        <w:t>bicolor</w:t>
      </w:r>
      <w:proofErr w:type="spellEnd"/>
      <w:r w:rsidRPr="00EA25AF">
        <w:rPr>
          <w:rFonts w:ascii="Times New Roman" w:hAnsi="Times New Roman"/>
          <w:sz w:val="24"/>
          <w:szCs w:val="24"/>
          <w:lang w:eastAsia="en-IN" w:bidi="hi-IN"/>
        </w:rPr>
        <w:t xml:space="preserve"> L. Moench). </w:t>
      </w:r>
      <w:r w:rsidRPr="00EA25AF">
        <w:rPr>
          <w:rFonts w:ascii="Times New Roman" w:hAnsi="Times New Roman"/>
          <w:i/>
          <w:iCs/>
          <w:sz w:val="24"/>
          <w:szCs w:val="24"/>
          <w:lang w:eastAsia="en-IN" w:bidi="hi-IN"/>
        </w:rPr>
        <w:t>Research on Crops, 20</w:t>
      </w:r>
      <w:r w:rsidRPr="00EA25AF">
        <w:rPr>
          <w:rFonts w:ascii="Times New Roman" w:hAnsi="Times New Roman"/>
          <w:sz w:val="24"/>
          <w:szCs w:val="24"/>
          <w:lang w:eastAsia="en-IN" w:bidi="hi-IN"/>
        </w:rPr>
        <w:t xml:space="preserve">(3), 652–656. </w:t>
      </w:r>
      <w:hyperlink r:id="rId25" w:history="1">
        <w:r w:rsidRPr="00EA25AF">
          <w:rPr>
            <w:rFonts w:ascii="Times New Roman" w:hAnsi="Times New Roman"/>
            <w:color w:val="0000FF"/>
            <w:sz w:val="24"/>
            <w:szCs w:val="24"/>
            <w:u w:val="single"/>
            <w:lang w:eastAsia="en-IN" w:bidi="hi-IN"/>
          </w:rPr>
          <w:t>https://www.researchgate.net/publication/340527184</w:t>
        </w:r>
      </w:hyperlink>
    </w:p>
    <w:p w14:paraId="15807E9A" w14:textId="2FDFC65E" w:rsidR="000F1EF6" w:rsidRPr="00EA25AF" w:rsidRDefault="000F1EF6"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Sivakumar, T., Ambika, S., &amp; Balakrishnan, K. (2017). Biopriming of rice seed with </w:t>
      </w:r>
      <w:proofErr w:type="spellStart"/>
      <w:r w:rsidRPr="00EA25AF">
        <w:rPr>
          <w:rFonts w:ascii="Times New Roman" w:hAnsi="Times New Roman"/>
          <w:sz w:val="24"/>
          <w:szCs w:val="24"/>
          <w:lang w:eastAsia="en-IN" w:bidi="hi-IN"/>
        </w:rPr>
        <w:t>phosphobacteria</w:t>
      </w:r>
      <w:proofErr w:type="spellEnd"/>
      <w:r w:rsidRPr="00EA25AF">
        <w:rPr>
          <w:rFonts w:ascii="Times New Roman" w:hAnsi="Times New Roman"/>
          <w:sz w:val="24"/>
          <w:szCs w:val="24"/>
          <w:lang w:eastAsia="en-IN" w:bidi="hi-IN"/>
        </w:rPr>
        <w:t xml:space="preserve"> for enhanced germination and vigour. ORYZA – An International Journal on Rice, 54(3), 346-349. </w:t>
      </w:r>
      <w:hyperlink r:id="rId26" w:history="1">
        <w:r w:rsidRPr="00EA25AF">
          <w:rPr>
            <w:rStyle w:val="Hyperlink"/>
            <w:rFonts w:ascii="Times New Roman" w:eastAsia="Times New Roman" w:hAnsi="Times New Roman" w:cs="Times New Roman"/>
            <w:sz w:val="24"/>
            <w:szCs w:val="24"/>
            <w:lang w:eastAsia="en-IN" w:bidi="hi-IN"/>
          </w:rPr>
          <w:t>https://doi.org/10.5958/2249-5266.2017.00048.0</w:t>
        </w:r>
      </w:hyperlink>
      <w:r w:rsidRPr="00EA25AF">
        <w:rPr>
          <w:rFonts w:ascii="Times New Roman" w:hAnsi="Times New Roman"/>
          <w:sz w:val="24"/>
          <w:szCs w:val="24"/>
          <w:lang w:eastAsia="en-IN" w:bidi="hi-IN"/>
        </w:rPr>
        <w:t>.</w:t>
      </w:r>
    </w:p>
    <w:p w14:paraId="660BCDD6" w14:textId="162899E8" w:rsidR="00D153A6" w:rsidRPr="00EA25AF" w:rsidRDefault="00D153A6"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Thakare, G., Gangaiah, B., Bhutada, P., </w:t>
      </w:r>
      <w:proofErr w:type="spellStart"/>
      <w:r w:rsidRPr="00EA25AF">
        <w:rPr>
          <w:rFonts w:ascii="Times New Roman" w:hAnsi="Times New Roman"/>
          <w:sz w:val="24"/>
          <w:szCs w:val="24"/>
          <w:lang w:eastAsia="en-IN" w:bidi="hi-IN"/>
        </w:rPr>
        <w:t>Dahipale</w:t>
      </w:r>
      <w:proofErr w:type="spellEnd"/>
      <w:r w:rsidRPr="00EA25AF">
        <w:rPr>
          <w:rFonts w:ascii="Times New Roman" w:hAnsi="Times New Roman"/>
          <w:sz w:val="24"/>
          <w:szCs w:val="24"/>
          <w:lang w:eastAsia="en-IN" w:bidi="hi-IN"/>
        </w:rPr>
        <w:t xml:space="preserve">, A., &amp; Konde, N. (2024). Quantifying response of </w:t>
      </w:r>
      <w:proofErr w:type="spellStart"/>
      <w:r w:rsidRPr="00EA25AF">
        <w:rPr>
          <w:rFonts w:ascii="Times New Roman" w:hAnsi="Times New Roman"/>
          <w:sz w:val="24"/>
          <w:szCs w:val="24"/>
          <w:lang w:eastAsia="en-IN" w:bidi="hi-IN"/>
        </w:rPr>
        <w:t>Azospirillum</w:t>
      </w:r>
      <w:proofErr w:type="spellEnd"/>
      <w:r w:rsidRPr="00EA25AF">
        <w:rPr>
          <w:rFonts w:ascii="Times New Roman" w:hAnsi="Times New Roman"/>
          <w:sz w:val="24"/>
          <w:szCs w:val="24"/>
          <w:lang w:eastAsia="en-IN" w:bidi="hi-IN"/>
        </w:rPr>
        <w:t xml:space="preserve"> and phosphate solubilizing bacteria liquid inoculants seed treatment on productivity and profitability of kharif grain sorghum (Sorghum </w:t>
      </w:r>
      <w:proofErr w:type="spellStart"/>
      <w:r w:rsidRPr="00EA25AF">
        <w:rPr>
          <w:rFonts w:ascii="Times New Roman" w:hAnsi="Times New Roman"/>
          <w:sz w:val="24"/>
          <w:szCs w:val="24"/>
          <w:lang w:eastAsia="en-IN" w:bidi="hi-IN"/>
        </w:rPr>
        <w:t>bicolor</w:t>
      </w:r>
      <w:proofErr w:type="spellEnd"/>
      <w:r w:rsidRPr="00EA25AF">
        <w:rPr>
          <w:rFonts w:ascii="Times New Roman" w:hAnsi="Times New Roman"/>
          <w:sz w:val="24"/>
          <w:szCs w:val="24"/>
          <w:lang w:eastAsia="en-IN" w:bidi="hi-IN"/>
        </w:rPr>
        <w:t xml:space="preserve">). Indian Journal of Agronomy, 69(1), 48–53. </w:t>
      </w:r>
      <w:hyperlink r:id="rId27" w:history="1">
        <w:r w:rsidRPr="00EA25AF">
          <w:rPr>
            <w:rStyle w:val="Hyperlink"/>
            <w:rFonts w:ascii="Times New Roman" w:eastAsia="Times New Roman" w:hAnsi="Times New Roman" w:cs="Times New Roman"/>
            <w:sz w:val="24"/>
            <w:szCs w:val="24"/>
            <w:lang w:eastAsia="en-IN" w:bidi="hi-IN"/>
          </w:rPr>
          <w:t>https://doi.org/10.59797/ija.v69i1.5481</w:t>
        </w:r>
      </w:hyperlink>
    </w:p>
    <w:p w14:paraId="055F43AB"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val="en-US" w:eastAsia="en-IN" w:bidi="hi-IN"/>
        </w:rPr>
        <w:t xml:space="preserve">Verma, J. P., Yadav, J., &amp; Meena, V. S. (2016). </w:t>
      </w:r>
      <w:r w:rsidRPr="00EA25AF">
        <w:rPr>
          <w:rFonts w:ascii="Times New Roman" w:hAnsi="Times New Roman"/>
          <w:sz w:val="24"/>
          <w:szCs w:val="24"/>
          <w:lang w:eastAsia="en-IN" w:bidi="hi-IN"/>
        </w:rPr>
        <w:t xml:space="preserve">Microbial inoculants in sustainable agricultural productivity. Springer. </w:t>
      </w:r>
      <w:hyperlink r:id="rId28" w:history="1">
        <w:r w:rsidRPr="00EA25AF">
          <w:rPr>
            <w:rFonts w:ascii="Times New Roman" w:hAnsi="Times New Roman"/>
            <w:color w:val="0000FF"/>
            <w:sz w:val="24"/>
            <w:szCs w:val="24"/>
            <w:u w:val="single"/>
            <w:lang w:eastAsia="en-IN" w:bidi="hi-IN"/>
          </w:rPr>
          <w:t>https://doi.org/10.1007/978-3-319-30665-8</w:t>
        </w:r>
      </w:hyperlink>
    </w:p>
    <w:p w14:paraId="32B3B46A"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r w:rsidRPr="00EA25AF">
        <w:rPr>
          <w:rFonts w:ascii="Times New Roman" w:hAnsi="Times New Roman"/>
          <w:sz w:val="24"/>
          <w:szCs w:val="24"/>
          <w:lang w:eastAsia="en-IN" w:bidi="hi-IN"/>
        </w:rPr>
        <w:t>Yaadesh</w:t>
      </w:r>
      <w:proofErr w:type="spellEnd"/>
      <w:r w:rsidRPr="00EA25AF">
        <w:rPr>
          <w:rFonts w:ascii="Times New Roman" w:hAnsi="Times New Roman"/>
          <w:sz w:val="24"/>
          <w:szCs w:val="24"/>
          <w:lang w:eastAsia="en-IN" w:bidi="hi-IN"/>
        </w:rPr>
        <w:t xml:space="preserve">, S., Tomar, G. S., Kaushik, R., Prasanna, R., &amp; Grover, M. (2023). A </w:t>
      </w:r>
      <w:proofErr w:type="spellStart"/>
      <w:r w:rsidRPr="00EA25AF">
        <w:rPr>
          <w:rFonts w:ascii="Times New Roman" w:hAnsi="Times New Roman"/>
          <w:sz w:val="24"/>
          <w:szCs w:val="24"/>
          <w:lang w:eastAsia="en-IN" w:bidi="hi-IN"/>
        </w:rPr>
        <w:t>zospirillum</w:t>
      </w:r>
      <w:proofErr w:type="spellEnd"/>
      <w:r w:rsidRPr="00EA25AF">
        <w:rPr>
          <w:rFonts w:ascii="Times New Roman" w:hAnsi="Times New Roman"/>
          <w:sz w:val="24"/>
          <w:szCs w:val="24"/>
          <w:lang w:eastAsia="en-IN" w:bidi="hi-IN"/>
        </w:rPr>
        <w:t>–Bacillus associations: synergistic effects on in vitro PGP traits and growth of pearl millet at early seedling stage under limited moisture conditions. </w:t>
      </w:r>
      <w:r w:rsidRPr="00EA25AF">
        <w:rPr>
          <w:rFonts w:ascii="Times New Roman" w:hAnsi="Times New Roman"/>
          <w:i/>
          <w:iCs/>
          <w:sz w:val="24"/>
          <w:szCs w:val="24"/>
          <w:lang w:eastAsia="en-IN" w:bidi="hi-IN"/>
        </w:rPr>
        <w:t>3 Biotech</w:t>
      </w:r>
      <w:r w:rsidRPr="00EA25AF">
        <w:rPr>
          <w:rFonts w:ascii="Times New Roman" w:hAnsi="Times New Roman"/>
          <w:sz w:val="24"/>
          <w:szCs w:val="24"/>
          <w:lang w:eastAsia="en-IN" w:bidi="hi-IN"/>
        </w:rPr>
        <w:t>, </w:t>
      </w:r>
      <w:r w:rsidRPr="00EA25AF">
        <w:rPr>
          <w:rFonts w:ascii="Times New Roman" w:hAnsi="Times New Roman"/>
          <w:i/>
          <w:iCs/>
          <w:sz w:val="24"/>
          <w:szCs w:val="24"/>
          <w:lang w:eastAsia="en-IN" w:bidi="hi-IN"/>
        </w:rPr>
        <w:t>13</w:t>
      </w:r>
      <w:r w:rsidRPr="00EA25AF">
        <w:rPr>
          <w:rFonts w:ascii="Times New Roman" w:hAnsi="Times New Roman"/>
          <w:sz w:val="24"/>
          <w:szCs w:val="24"/>
          <w:lang w:eastAsia="en-IN" w:bidi="hi-IN"/>
        </w:rPr>
        <w:t>(3), 90.</w:t>
      </w:r>
    </w:p>
    <w:p w14:paraId="331D1050" w14:textId="77777777" w:rsidR="00031C31" w:rsidRPr="00534E4E" w:rsidRDefault="00031C31" w:rsidP="00534E4E">
      <w:pPr>
        <w:spacing w:before="100" w:beforeAutospacing="1" w:after="100" w:afterAutospacing="1" w:line="360" w:lineRule="auto"/>
        <w:ind w:left="360"/>
        <w:jc w:val="both"/>
        <w:rPr>
          <w:rFonts w:ascii="Times New Roman" w:hAnsi="Times New Roman"/>
          <w:color w:val="0000FF"/>
          <w:sz w:val="24"/>
          <w:szCs w:val="24"/>
          <w:u w:val="single"/>
          <w:lang w:eastAsia="en-IN" w:bidi="hi-IN"/>
        </w:rPr>
      </w:pPr>
      <w:r w:rsidRPr="00EA25AF">
        <w:rPr>
          <w:rFonts w:ascii="Times New Roman" w:hAnsi="Times New Roman"/>
          <w:sz w:val="24"/>
          <w:szCs w:val="24"/>
          <w:lang w:val="de-DE" w:eastAsia="en-IN" w:bidi="hi-IN"/>
        </w:rPr>
        <w:t xml:space="preserve">Zhang, T., Hu, F., &amp; Ma, L. (2019). </w:t>
      </w:r>
      <w:r w:rsidRPr="00EA25AF">
        <w:rPr>
          <w:rFonts w:ascii="Times New Roman" w:hAnsi="Times New Roman"/>
          <w:sz w:val="24"/>
          <w:szCs w:val="24"/>
          <w:lang w:eastAsia="en-IN" w:bidi="hi-IN"/>
        </w:rPr>
        <w:t xml:space="preserve">Phosphate-solubilizing bacteria from safflower rhizosphere and their effect on seedling growth. </w:t>
      </w:r>
      <w:r w:rsidRPr="00EA25AF">
        <w:rPr>
          <w:rFonts w:ascii="Times New Roman" w:hAnsi="Times New Roman"/>
          <w:i/>
          <w:iCs/>
          <w:sz w:val="24"/>
          <w:szCs w:val="24"/>
          <w:lang w:eastAsia="en-IN" w:bidi="hi-IN"/>
        </w:rPr>
        <w:t>Open Life Sciences, 14</w:t>
      </w:r>
      <w:r w:rsidRPr="00EA25AF">
        <w:rPr>
          <w:rFonts w:ascii="Times New Roman" w:hAnsi="Times New Roman"/>
          <w:sz w:val="24"/>
          <w:szCs w:val="24"/>
          <w:lang w:eastAsia="en-IN" w:bidi="hi-IN"/>
        </w:rPr>
        <w:t xml:space="preserve">(1), 246–254. </w:t>
      </w:r>
      <w:hyperlink r:id="rId29" w:history="1">
        <w:r w:rsidRPr="00EA25AF">
          <w:rPr>
            <w:rFonts w:ascii="Times New Roman" w:hAnsi="Times New Roman"/>
            <w:color w:val="0000FF"/>
            <w:sz w:val="24"/>
            <w:szCs w:val="24"/>
            <w:u w:val="single"/>
            <w:lang w:eastAsia="en-IN" w:bidi="hi-IN"/>
          </w:rPr>
          <w:t>https://doi.org/10.1515/biol-2019-0028</w:t>
        </w:r>
      </w:hyperlink>
      <w:r w:rsidRPr="00EA25AF">
        <w:rPr>
          <w:rFonts w:ascii="Times New Roman" w:hAnsi="Times New Roman"/>
          <w:color w:val="0000FF"/>
          <w:sz w:val="24"/>
          <w:szCs w:val="24"/>
          <w:u w:val="single"/>
          <w:lang w:eastAsia="en-IN" w:bidi="hi-IN"/>
        </w:rPr>
        <w:t>.</w:t>
      </w:r>
    </w:p>
    <w:sectPr w:rsidR="00031C31" w:rsidRPr="00534E4E">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7DD58" w14:textId="77777777" w:rsidR="009128BB" w:rsidRDefault="009128BB" w:rsidP="00DE5ACC">
      <w:pPr>
        <w:spacing w:after="0" w:line="240" w:lineRule="auto"/>
      </w:pPr>
      <w:r>
        <w:separator/>
      </w:r>
    </w:p>
  </w:endnote>
  <w:endnote w:type="continuationSeparator" w:id="0">
    <w:p w14:paraId="4D36754E" w14:textId="77777777" w:rsidR="009128BB" w:rsidRDefault="009128BB" w:rsidP="00DE5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8B64" w14:textId="77777777" w:rsidR="00DE5ACC" w:rsidRDefault="00DE5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A6EF5" w14:textId="77777777" w:rsidR="00DE5ACC" w:rsidRDefault="00DE5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815F" w14:textId="77777777" w:rsidR="00DE5ACC" w:rsidRDefault="00DE5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61470" w14:textId="77777777" w:rsidR="009128BB" w:rsidRDefault="009128BB" w:rsidP="00DE5ACC">
      <w:pPr>
        <w:spacing w:after="0" w:line="240" w:lineRule="auto"/>
      </w:pPr>
      <w:r>
        <w:separator/>
      </w:r>
    </w:p>
  </w:footnote>
  <w:footnote w:type="continuationSeparator" w:id="0">
    <w:p w14:paraId="23250056" w14:textId="77777777" w:rsidR="009128BB" w:rsidRDefault="009128BB" w:rsidP="00DE5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C0183" w14:textId="42CBE420" w:rsidR="00DE5ACC" w:rsidRDefault="00DE5ACC">
    <w:pPr>
      <w:pStyle w:val="Header"/>
    </w:pPr>
    <w:r>
      <w:rPr>
        <w:noProof/>
      </w:rPr>
      <w:pict w14:anchorId="5ED8E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00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5D02F" w14:textId="4CFA7E66" w:rsidR="00DE5ACC" w:rsidRDefault="00DE5ACC">
    <w:pPr>
      <w:pStyle w:val="Header"/>
    </w:pPr>
    <w:r>
      <w:rPr>
        <w:noProof/>
      </w:rPr>
      <w:pict w14:anchorId="267E0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00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92EE6" w14:textId="5ACC5844" w:rsidR="00DE5ACC" w:rsidRDefault="00DE5ACC">
    <w:pPr>
      <w:pStyle w:val="Header"/>
    </w:pPr>
    <w:r>
      <w:rPr>
        <w:noProof/>
      </w:rPr>
      <w:pict w14:anchorId="7D9F1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00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10992"/>
    <w:multiLevelType w:val="hybridMultilevel"/>
    <w:tmpl w:val="D43A46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504D61"/>
    <w:multiLevelType w:val="hybridMultilevel"/>
    <w:tmpl w:val="86A4CF30"/>
    <w:lvl w:ilvl="0" w:tplc="D6EA511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6E79AA"/>
    <w:multiLevelType w:val="hybridMultilevel"/>
    <w:tmpl w:val="DD9AD9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1A4049D"/>
    <w:multiLevelType w:val="hybridMultilevel"/>
    <w:tmpl w:val="766C74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8036C5A"/>
    <w:multiLevelType w:val="multilevel"/>
    <w:tmpl w:val="17DE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CE0AA3"/>
    <w:multiLevelType w:val="hybridMultilevel"/>
    <w:tmpl w:val="D6B21B80"/>
    <w:lvl w:ilvl="0" w:tplc="182E15C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1DB14F2"/>
    <w:multiLevelType w:val="hybridMultilevel"/>
    <w:tmpl w:val="8C4E1A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A69114A"/>
    <w:multiLevelType w:val="hybridMultilevel"/>
    <w:tmpl w:val="F9166E54"/>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7A670AC"/>
    <w:multiLevelType w:val="hybridMultilevel"/>
    <w:tmpl w:val="EB70A8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8FB1880"/>
    <w:multiLevelType w:val="hybridMultilevel"/>
    <w:tmpl w:val="45D6A200"/>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7F262A2A"/>
    <w:multiLevelType w:val="hybridMultilevel"/>
    <w:tmpl w:val="A2D43B4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6"/>
  </w:num>
  <w:num w:numId="2">
    <w:abstractNumId w:val="7"/>
  </w:num>
  <w:num w:numId="3">
    <w:abstractNumId w:val="9"/>
  </w:num>
  <w:num w:numId="4">
    <w:abstractNumId w:val="8"/>
  </w:num>
  <w:num w:numId="5">
    <w:abstractNumId w:val="0"/>
  </w:num>
  <w:num w:numId="6">
    <w:abstractNumId w:val="3"/>
  </w:num>
  <w:num w:numId="7">
    <w:abstractNumId w:val="1"/>
  </w:num>
  <w:num w:numId="8">
    <w:abstractNumId w:val="2"/>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BA6"/>
    <w:rsid w:val="000132C2"/>
    <w:rsid w:val="00014516"/>
    <w:rsid w:val="00031C31"/>
    <w:rsid w:val="000403A0"/>
    <w:rsid w:val="00045562"/>
    <w:rsid w:val="00076E4B"/>
    <w:rsid w:val="000A1F86"/>
    <w:rsid w:val="000D6AC3"/>
    <w:rsid w:val="000E427C"/>
    <w:rsid w:val="000F1EF6"/>
    <w:rsid w:val="00100655"/>
    <w:rsid w:val="00172032"/>
    <w:rsid w:val="001A4EE9"/>
    <w:rsid w:val="001E37A0"/>
    <w:rsid w:val="002072B4"/>
    <w:rsid w:val="002F3186"/>
    <w:rsid w:val="00314003"/>
    <w:rsid w:val="00317930"/>
    <w:rsid w:val="003321BB"/>
    <w:rsid w:val="0036163E"/>
    <w:rsid w:val="00373296"/>
    <w:rsid w:val="0038507A"/>
    <w:rsid w:val="003B5019"/>
    <w:rsid w:val="00423BA6"/>
    <w:rsid w:val="004C3436"/>
    <w:rsid w:val="004C48C8"/>
    <w:rsid w:val="004E49FD"/>
    <w:rsid w:val="0051705E"/>
    <w:rsid w:val="00534E4E"/>
    <w:rsid w:val="00564F4B"/>
    <w:rsid w:val="00582511"/>
    <w:rsid w:val="005C63F0"/>
    <w:rsid w:val="00601823"/>
    <w:rsid w:val="0063266A"/>
    <w:rsid w:val="00656BF6"/>
    <w:rsid w:val="0067351D"/>
    <w:rsid w:val="00682E7F"/>
    <w:rsid w:val="006A3CF7"/>
    <w:rsid w:val="006C5CE2"/>
    <w:rsid w:val="006D4C43"/>
    <w:rsid w:val="006E614F"/>
    <w:rsid w:val="0075484C"/>
    <w:rsid w:val="00776DFA"/>
    <w:rsid w:val="007B398A"/>
    <w:rsid w:val="007E15BD"/>
    <w:rsid w:val="007F7471"/>
    <w:rsid w:val="00815C0D"/>
    <w:rsid w:val="00820595"/>
    <w:rsid w:val="0082394D"/>
    <w:rsid w:val="00881E71"/>
    <w:rsid w:val="00895B72"/>
    <w:rsid w:val="008B305A"/>
    <w:rsid w:val="008C5205"/>
    <w:rsid w:val="008D4F30"/>
    <w:rsid w:val="0090748F"/>
    <w:rsid w:val="009128BB"/>
    <w:rsid w:val="00982DE1"/>
    <w:rsid w:val="009D1C7D"/>
    <w:rsid w:val="009F47A7"/>
    <w:rsid w:val="00A046D1"/>
    <w:rsid w:val="00A1521B"/>
    <w:rsid w:val="00A74EA6"/>
    <w:rsid w:val="00A94817"/>
    <w:rsid w:val="00BE7B9B"/>
    <w:rsid w:val="00C17051"/>
    <w:rsid w:val="00C77B94"/>
    <w:rsid w:val="00D0770E"/>
    <w:rsid w:val="00D153A6"/>
    <w:rsid w:val="00D16E8F"/>
    <w:rsid w:val="00D96A5A"/>
    <w:rsid w:val="00DE5ACC"/>
    <w:rsid w:val="00E5508F"/>
    <w:rsid w:val="00E5788A"/>
    <w:rsid w:val="00EA25AF"/>
    <w:rsid w:val="00F01011"/>
    <w:rsid w:val="00F50047"/>
    <w:rsid w:val="00F5212C"/>
    <w:rsid w:val="00F53F4A"/>
    <w:rsid w:val="00FB3B2F"/>
    <w:rsid w:val="00FD289C"/>
    <w:rsid w:val="00FE72F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51A6DB"/>
  <w15:docId w15:val="{E5579418-FF25-478B-9786-2A12564F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2394D"/>
    <w:pPr>
      <w:spacing w:after="0" w:line="280" w:lineRule="exact"/>
      <w:jc w:val="right"/>
    </w:pPr>
    <w:rPr>
      <w:rFonts w:ascii="Helvetica" w:eastAsia="Times New Roman" w:hAnsi="Helvetica" w:cs="Times New Roman"/>
      <w:b/>
      <w:sz w:val="24"/>
      <w:szCs w:val="20"/>
      <w:lang w:val="en-US"/>
    </w:rPr>
  </w:style>
  <w:style w:type="paragraph" w:customStyle="1" w:styleId="Body">
    <w:name w:val="Body"/>
    <w:basedOn w:val="Normal"/>
    <w:rsid w:val="0082394D"/>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4C48C8"/>
    <w:pPr>
      <w:keepNext/>
      <w:spacing w:after="240" w:line="240" w:lineRule="auto"/>
    </w:pPr>
    <w:rPr>
      <w:rFonts w:ascii="Helvetica" w:eastAsia="Times New Roman" w:hAnsi="Helvetica" w:cs="Times New Roman"/>
      <w:b/>
      <w:caps/>
      <w:szCs w:val="20"/>
      <w:lang w:val="en-US"/>
    </w:rPr>
  </w:style>
  <w:style w:type="paragraph" w:styleId="ListParagraph">
    <w:name w:val="List Paragraph"/>
    <w:basedOn w:val="Normal"/>
    <w:uiPriority w:val="34"/>
    <w:qFormat/>
    <w:rsid w:val="004C48C8"/>
    <w:pPr>
      <w:spacing w:after="0" w:line="240" w:lineRule="auto"/>
      <w:ind w:left="720"/>
      <w:contextualSpacing/>
    </w:pPr>
    <w:rPr>
      <w:rFonts w:ascii="Helvetica" w:eastAsia="Times New Roman" w:hAnsi="Helvetica" w:cs="Times New Roman"/>
      <w:sz w:val="20"/>
      <w:szCs w:val="20"/>
      <w:lang w:val="en-US"/>
    </w:rPr>
  </w:style>
  <w:style w:type="paragraph" w:styleId="BalloonText">
    <w:name w:val="Balloon Text"/>
    <w:basedOn w:val="Normal"/>
    <w:link w:val="BalloonTextChar"/>
    <w:uiPriority w:val="99"/>
    <w:semiHidden/>
    <w:unhideWhenUsed/>
    <w:rsid w:val="004C4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8C8"/>
    <w:rPr>
      <w:rFonts w:ascii="Tahoma" w:hAnsi="Tahoma" w:cs="Tahoma"/>
      <w:sz w:val="16"/>
      <w:szCs w:val="16"/>
    </w:rPr>
  </w:style>
  <w:style w:type="paragraph" w:customStyle="1" w:styleId="Head1">
    <w:name w:val="Head1"/>
    <w:basedOn w:val="Normal"/>
    <w:rsid w:val="008B305A"/>
    <w:pPr>
      <w:keepNext/>
      <w:spacing w:after="240" w:line="240" w:lineRule="auto"/>
    </w:pPr>
    <w:rPr>
      <w:rFonts w:ascii="Helvetica" w:eastAsia="Times New Roman" w:hAnsi="Helvetica" w:cs="Times New Roman"/>
      <w:b/>
      <w:caps/>
      <w:szCs w:val="20"/>
      <w:lang w:val="en-US"/>
    </w:rPr>
  </w:style>
  <w:style w:type="table" w:customStyle="1" w:styleId="TableGrid1">
    <w:name w:val="Table Grid1"/>
    <w:basedOn w:val="TableNormal"/>
    <w:next w:val="TableGrid"/>
    <w:uiPriority w:val="39"/>
    <w:rsid w:val="005C63F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6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793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38507A"/>
    <w:rPr>
      <w:b/>
      <w:bCs/>
    </w:rPr>
  </w:style>
  <w:style w:type="character" w:styleId="Hyperlink">
    <w:name w:val="Hyperlink"/>
    <w:basedOn w:val="DefaultParagraphFont"/>
    <w:uiPriority w:val="99"/>
    <w:unhideWhenUsed/>
    <w:rsid w:val="00A94817"/>
    <w:rPr>
      <w:color w:val="0000FF" w:themeColor="hyperlink"/>
      <w:u w:val="single"/>
    </w:rPr>
  </w:style>
  <w:style w:type="character" w:styleId="Emphasis">
    <w:name w:val="Emphasis"/>
    <w:basedOn w:val="DefaultParagraphFont"/>
    <w:uiPriority w:val="20"/>
    <w:qFormat/>
    <w:rsid w:val="00076E4B"/>
    <w:rPr>
      <w:i/>
      <w:iCs/>
    </w:rPr>
  </w:style>
  <w:style w:type="character" w:customStyle="1" w:styleId="UnresolvedMention1">
    <w:name w:val="Unresolved Mention1"/>
    <w:basedOn w:val="DefaultParagraphFont"/>
    <w:uiPriority w:val="99"/>
    <w:semiHidden/>
    <w:unhideWhenUsed/>
    <w:rsid w:val="00A74EA6"/>
    <w:rPr>
      <w:color w:val="605E5C"/>
      <w:shd w:val="clear" w:color="auto" w:fill="E1DFDD"/>
    </w:rPr>
  </w:style>
  <w:style w:type="character" w:styleId="UnresolvedMention">
    <w:name w:val="Unresolved Mention"/>
    <w:basedOn w:val="DefaultParagraphFont"/>
    <w:uiPriority w:val="99"/>
    <w:semiHidden/>
    <w:unhideWhenUsed/>
    <w:rsid w:val="00A046D1"/>
    <w:rPr>
      <w:color w:val="605E5C"/>
      <w:shd w:val="clear" w:color="auto" w:fill="E1DFDD"/>
    </w:rPr>
  </w:style>
  <w:style w:type="paragraph" w:styleId="Header">
    <w:name w:val="header"/>
    <w:basedOn w:val="Normal"/>
    <w:link w:val="HeaderChar"/>
    <w:uiPriority w:val="99"/>
    <w:unhideWhenUsed/>
    <w:rsid w:val="00DE5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ACC"/>
  </w:style>
  <w:style w:type="paragraph" w:styleId="Footer">
    <w:name w:val="footer"/>
    <w:basedOn w:val="Normal"/>
    <w:link w:val="FooterChar"/>
    <w:uiPriority w:val="99"/>
    <w:unhideWhenUsed/>
    <w:rsid w:val="00DE5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7708">
      <w:bodyDiv w:val="1"/>
      <w:marLeft w:val="0"/>
      <w:marRight w:val="0"/>
      <w:marTop w:val="0"/>
      <w:marBottom w:val="0"/>
      <w:divBdr>
        <w:top w:val="none" w:sz="0" w:space="0" w:color="auto"/>
        <w:left w:val="none" w:sz="0" w:space="0" w:color="auto"/>
        <w:bottom w:val="none" w:sz="0" w:space="0" w:color="auto"/>
        <w:right w:val="none" w:sz="0" w:space="0" w:color="auto"/>
      </w:divBdr>
    </w:div>
    <w:div w:id="360010786">
      <w:bodyDiv w:val="1"/>
      <w:marLeft w:val="0"/>
      <w:marRight w:val="0"/>
      <w:marTop w:val="0"/>
      <w:marBottom w:val="0"/>
      <w:divBdr>
        <w:top w:val="none" w:sz="0" w:space="0" w:color="auto"/>
        <w:left w:val="none" w:sz="0" w:space="0" w:color="auto"/>
        <w:bottom w:val="none" w:sz="0" w:space="0" w:color="auto"/>
        <w:right w:val="none" w:sz="0" w:space="0" w:color="auto"/>
      </w:divBdr>
    </w:div>
    <w:div w:id="384648287">
      <w:bodyDiv w:val="1"/>
      <w:marLeft w:val="0"/>
      <w:marRight w:val="0"/>
      <w:marTop w:val="0"/>
      <w:marBottom w:val="0"/>
      <w:divBdr>
        <w:top w:val="none" w:sz="0" w:space="0" w:color="auto"/>
        <w:left w:val="none" w:sz="0" w:space="0" w:color="auto"/>
        <w:bottom w:val="none" w:sz="0" w:space="0" w:color="auto"/>
        <w:right w:val="none" w:sz="0" w:space="0" w:color="auto"/>
      </w:divBdr>
    </w:div>
    <w:div w:id="545216582">
      <w:bodyDiv w:val="1"/>
      <w:marLeft w:val="0"/>
      <w:marRight w:val="0"/>
      <w:marTop w:val="0"/>
      <w:marBottom w:val="0"/>
      <w:divBdr>
        <w:top w:val="none" w:sz="0" w:space="0" w:color="auto"/>
        <w:left w:val="none" w:sz="0" w:space="0" w:color="auto"/>
        <w:bottom w:val="none" w:sz="0" w:space="0" w:color="auto"/>
        <w:right w:val="none" w:sz="0" w:space="0" w:color="auto"/>
      </w:divBdr>
    </w:div>
    <w:div w:id="571890875">
      <w:bodyDiv w:val="1"/>
      <w:marLeft w:val="0"/>
      <w:marRight w:val="0"/>
      <w:marTop w:val="0"/>
      <w:marBottom w:val="0"/>
      <w:divBdr>
        <w:top w:val="none" w:sz="0" w:space="0" w:color="auto"/>
        <w:left w:val="none" w:sz="0" w:space="0" w:color="auto"/>
        <w:bottom w:val="none" w:sz="0" w:space="0" w:color="auto"/>
        <w:right w:val="none" w:sz="0" w:space="0" w:color="auto"/>
      </w:divBdr>
    </w:div>
    <w:div w:id="661814180">
      <w:bodyDiv w:val="1"/>
      <w:marLeft w:val="0"/>
      <w:marRight w:val="0"/>
      <w:marTop w:val="0"/>
      <w:marBottom w:val="0"/>
      <w:divBdr>
        <w:top w:val="none" w:sz="0" w:space="0" w:color="auto"/>
        <w:left w:val="none" w:sz="0" w:space="0" w:color="auto"/>
        <w:bottom w:val="none" w:sz="0" w:space="0" w:color="auto"/>
        <w:right w:val="none" w:sz="0" w:space="0" w:color="auto"/>
      </w:divBdr>
    </w:div>
    <w:div w:id="942343669">
      <w:bodyDiv w:val="1"/>
      <w:marLeft w:val="0"/>
      <w:marRight w:val="0"/>
      <w:marTop w:val="0"/>
      <w:marBottom w:val="0"/>
      <w:divBdr>
        <w:top w:val="none" w:sz="0" w:space="0" w:color="auto"/>
        <w:left w:val="none" w:sz="0" w:space="0" w:color="auto"/>
        <w:bottom w:val="none" w:sz="0" w:space="0" w:color="auto"/>
        <w:right w:val="none" w:sz="0" w:space="0" w:color="auto"/>
      </w:divBdr>
    </w:div>
    <w:div w:id="965935321">
      <w:bodyDiv w:val="1"/>
      <w:marLeft w:val="0"/>
      <w:marRight w:val="0"/>
      <w:marTop w:val="0"/>
      <w:marBottom w:val="0"/>
      <w:divBdr>
        <w:top w:val="none" w:sz="0" w:space="0" w:color="auto"/>
        <w:left w:val="none" w:sz="0" w:space="0" w:color="auto"/>
        <w:bottom w:val="none" w:sz="0" w:space="0" w:color="auto"/>
        <w:right w:val="none" w:sz="0" w:space="0" w:color="auto"/>
      </w:divBdr>
    </w:div>
    <w:div w:id="1208493364">
      <w:bodyDiv w:val="1"/>
      <w:marLeft w:val="0"/>
      <w:marRight w:val="0"/>
      <w:marTop w:val="0"/>
      <w:marBottom w:val="0"/>
      <w:divBdr>
        <w:top w:val="none" w:sz="0" w:space="0" w:color="auto"/>
        <w:left w:val="none" w:sz="0" w:space="0" w:color="auto"/>
        <w:bottom w:val="none" w:sz="0" w:space="0" w:color="auto"/>
        <w:right w:val="none" w:sz="0" w:space="0" w:color="auto"/>
      </w:divBdr>
    </w:div>
    <w:div w:id="1384015530">
      <w:bodyDiv w:val="1"/>
      <w:marLeft w:val="0"/>
      <w:marRight w:val="0"/>
      <w:marTop w:val="0"/>
      <w:marBottom w:val="0"/>
      <w:divBdr>
        <w:top w:val="none" w:sz="0" w:space="0" w:color="auto"/>
        <w:left w:val="none" w:sz="0" w:space="0" w:color="auto"/>
        <w:bottom w:val="none" w:sz="0" w:space="0" w:color="auto"/>
        <w:right w:val="none" w:sz="0" w:space="0" w:color="auto"/>
      </w:divBdr>
    </w:div>
    <w:div w:id="165448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oilbio.2009.11.024" TargetMode="External"/><Relationship Id="rId18" Type="http://schemas.openxmlformats.org/officeDocument/2006/relationships/hyperlink" Target="https://www.seedtest.org/en/publications/international-rules-seed-testing.html" TargetMode="External"/><Relationship Id="rId26" Type="http://schemas.openxmlformats.org/officeDocument/2006/relationships/hyperlink" Target="https://doi.org/10.5958/2249-5266.2017.00048.0" TargetMode="External"/><Relationship Id="rId21" Type="http://schemas.openxmlformats.org/officeDocument/2006/relationships/hyperlink" Target="https://www.pib.gov.in/PressReleasePage.aspx?PRID=2058534"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5555/20209904318" TargetMode="External"/><Relationship Id="rId17" Type="http://schemas.openxmlformats.org/officeDocument/2006/relationships/hyperlink" Target="https://doi.org/10.1016/j.fcr.2009.10.011" TargetMode="External"/><Relationship Id="rId25" Type="http://schemas.openxmlformats.org/officeDocument/2006/relationships/hyperlink" Target="https://www.researchgate.net/publication/340527184"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jeb.co.in/journal_issues/201812_dec18/paper_07.pdf" TargetMode="External"/><Relationship Id="rId20" Type="http://schemas.openxmlformats.org/officeDocument/2006/relationships/hyperlink" Target="https://doi.org/10.23910/IJBSM/2018.9.1.1855" TargetMode="External"/><Relationship Id="rId29" Type="http://schemas.openxmlformats.org/officeDocument/2006/relationships/hyperlink" Target="https://doi.org/10.1515/biol-2019-00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35/cropsci1973.0011183X001300060013x" TargetMode="External"/><Relationship Id="rId24" Type="http://schemas.openxmlformats.org/officeDocument/2006/relationships/hyperlink" Target="https://doi.org/10.31018/jans.v8i1.775"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o.org/markets-and-trade/publications/crop-prospects-and-food-situation/en/" TargetMode="External"/><Relationship Id="rId23" Type="http://schemas.openxmlformats.org/officeDocument/2006/relationships/hyperlink" Target="https://doi.org/10.1080/07352689409701902" TargetMode="External"/><Relationship Id="rId28" Type="http://schemas.openxmlformats.org/officeDocument/2006/relationships/hyperlink" Target="https://doi.org/10.1007/978-3-319-30665-8"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20546/ijcmas.2019.804.263"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openknowledge.fao.org/handle/11362/4850" TargetMode="External"/><Relationship Id="rId22" Type="http://schemas.openxmlformats.org/officeDocument/2006/relationships/hyperlink" Target="https://doi.org/10.5958/2582-2683.2022.00002.8" TargetMode="External"/><Relationship Id="rId27" Type="http://schemas.openxmlformats.org/officeDocument/2006/relationships/hyperlink" Target="https://doi.org/10.59797/ija.v69i1.548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13</Pages>
  <Words>3791</Words>
  <Characters>21611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Countrywide</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APARNA JYOTI</dc:creator>
  <cp:keywords/>
  <dc:description/>
  <cp:lastModifiedBy>SDI 1084</cp:lastModifiedBy>
  <cp:revision>23</cp:revision>
  <dcterms:created xsi:type="dcterms:W3CDTF">2025-09-24T06:11:00Z</dcterms:created>
  <dcterms:modified xsi:type="dcterms:W3CDTF">2025-09-26T11:43:00Z</dcterms:modified>
</cp:coreProperties>
</file>