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90749" w14:textId="39543B36" w:rsidR="001075AB" w:rsidRPr="00E91A0B" w:rsidRDefault="00C10B64" w:rsidP="009B406D">
      <w:pPr>
        <w:spacing w:after="0" w:line="276" w:lineRule="auto"/>
        <w:jc w:val="right"/>
        <w:rPr>
          <w:rFonts w:ascii="Arial" w:hAnsi="Arial" w:cs="Arial"/>
          <w:b/>
          <w:iCs/>
          <w:w w:val="110"/>
          <w:sz w:val="36"/>
          <w:szCs w:val="36"/>
        </w:rPr>
      </w:pPr>
      <w:r w:rsidRPr="00E91A0B">
        <w:rPr>
          <w:rFonts w:ascii="Arial" w:hAnsi="Arial" w:cs="Arial"/>
          <w:b/>
          <w:iCs/>
          <w:w w:val="110"/>
          <w:sz w:val="36"/>
          <w:szCs w:val="36"/>
        </w:rPr>
        <w:t>SILKWORM FRASS AS A POTENTIAL BIOFERTILIZER IN THE DEVELOPMENT OF SUSTAINABLE AGRICULTURE</w:t>
      </w:r>
    </w:p>
    <w:p w14:paraId="369D5BC9" w14:textId="77777777" w:rsidR="00137FEC" w:rsidRDefault="00137FEC" w:rsidP="00FB7E63">
      <w:pPr>
        <w:spacing w:line="480" w:lineRule="auto"/>
        <w:rPr>
          <w:rFonts w:ascii="Arial" w:hAnsi="Arial" w:cs="Arial"/>
          <w:b/>
          <w:bCs/>
          <w:iCs/>
          <w:w w:val="110"/>
          <w:sz w:val="24"/>
          <w:szCs w:val="24"/>
        </w:rPr>
      </w:pPr>
      <w:bookmarkStart w:id="0" w:name="_Hlk128140209"/>
    </w:p>
    <w:p w14:paraId="1C3C9E59" w14:textId="43693830" w:rsidR="001075AB" w:rsidRPr="00E91A0B" w:rsidRDefault="0009409B" w:rsidP="00FB7E63">
      <w:pPr>
        <w:spacing w:line="480" w:lineRule="auto"/>
        <w:rPr>
          <w:rFonts w:ascii="Arial" w:hAnsi="Arial" w:cs="Arial"/>
          <w:b/>
          <w:bCs/>
          <w:iCs/>
          <w:w w:val="110"/>
          <w:sz w:val="24"/>
          <w:szCs w:val="24"/>
        </w:rPr>
      </w:pPr>
      <w:r w:rsidRPr="00E91A0B">
        <w:rPr>
          <w:rFonts w:ascii="Arial" w:hAnsi="Arial" w:cs="Arial"/>
          <w:b/>
          <w:bCs/>
          <w:iCs/>
          <w:w w:val="110"/>
          <w:sz w:val="24"/>
          <w:szCs w:val="24"/>
        </w:rPr>
        <w:t>ABSTRACT</w:t>
      </w:r>
      <w:bookmarkEnd w:id="0"/>
    </w:p>
    <w:p w14:paraId="5D89A96B" w14:textId="51B52D7D" w:rsidR="00C10B64" w:rsidRPr="00E91A0B" w:rsidRDefault="00C10B64" w:rsidP="00D340BE">
      <w:pPr>
        <w:spacing w:after="120" w:line="480" w:lineRule="auto"/>
        <w:jc w:val="both"/>
        <w:rPr>
          <w:rFonts w:ascii="Arial" w:hAnsi="Arial" w:cs="Arial"/>
          <w:iCs/>
          <w:w w:val="110"/>
          <w:sz w:val="24"/>
          <w:szCs w:val="24"/>
        </w:rPr>
      </w:pPr>
      <w:r w:rsidRPr="00E91A0B">
        <w:rPr>
          <w:rFonts w:ascii="Arial" w:hAnsi="Arial" w:cs="Arial"/>
          <w:sz w:val="24"/>
          <w:szCs w:val="24"/>
        </w:rPr>
        <w:t xml:space="preserve">Silkworm frass </w:t>
      </w:r>
      <w:r w:rsidR="00F27CE8" w:rsidRPr="00E91A0B">
        <w:rPr>
          <w:rFonts w:ascii="Arial" w:hAnsi="Arial" w:cs="Arial"/>
          <w:sz w:val="24"/>
          <w:szCs w:val="24"/>
        </w:rPr>
        <w:t>is</w:t>
      </w:r>
      <w:r w:rsidR="004C00B4" w:rsidRPr="00E91A0B">
        <w:rPr>
          <w:rFonts w:ascii="Arial" w:hAnsi="Arial" w:cs="Arial"/>
          <w:color w:val="EE0000"/>
          <w:sz w:val="24"/>
          <w:szCs w:val="24"/>
        </w:rPr>
        <w:t xml:space="preserve"> </w:t>
      </w:r>
      <w:r w:rsidRPr="00E91A0B">
        <w:rPr>
          <w:rFonts w:ascii="Arial" w:hAnsi="Arial" w:cs="Arial"/>
          <w:sz w:val="24"/>
          <w:szCs w:val="24"/>
        </w:rPr>
        <w:t xml:space="preserve">used in a novel technology called </w:t>
      </w:r>
      <w:r w:rsidR="0071158E" w:rsidRPr="00E91A0B">
        <w:rPr>
          <w:rFonts w:ascii="Arial" w:hAnsi="Arial" w:cs="Arial"/>
          <w:sz w:val="24"/>
          <w:szCs w:val="24"/>
        </w:rPr>
        <w:t>Seri composting</w:t>
      </w:r>
      <w:r w:rsidRPr="00E91A0B">
        <w:rPr>
          <w:rFonts w:ascii="Arial" w:hAnsi="Arial" w:cs="Arial"/>
          <w:sz w:val="24"/>
          <w:szCs w:val="24"/>
        </w:rPr>
        <w:t xml:space="preserve"> which is a transition towards </w:t>
      </w:r>
      <w:r w:rsidR="0071158E" w:rsidRPr="00E91A0B">
        <w:rPr>
          <w:rFonts w:ascii="Arial" w:hAnsi="Arial" w:cs="Arial"/>
          <w:sz w:val="24"/>
          <w:szCs w:val="24"/>
        </w:rPr>
        <w:t>environmentally</w:t>
      </w:r>
      <w:r w:rsidRPr="00E91A0B">
        <w:rPr>
          <w:rFonts w:ascii="Arial" w:hAnsi="Arial" w:cs="Arial"/>
          <w:sz w:val="24"/>
          <w:szCs w:val="24"/>
        </w:rPr>
        <w:t xml:space="preserve"> friendly alternatives to conventional synthetic fertilizers. In a country like India, Silkworm frass - a byproduct of sericulture, is emerging as a promising organic amendment is not only vital for the environment, but it is also economically necessary. This study evaluates the composition of the nutrient profile of frass in the four silkworm species Mulberry</w:t>
      </w:r>
      <w:r w:rsidR="009F1203" w:rsidRPr="00E91A0B">
        <w:rPr>
          <w:rFonts w:ascii="Arial" w:hAnsi="Arial" w:cs="Arial"/>
          <w:sz w:val="24"/>
          <w:szCs w:val="24"/>
        </w:rPr>
        <w:t>,</w:t>
      </w:r>
      <w:r w:rsidRPr="00E91A0B">
        <w:rPr>
          <w:rFonts w:ascii="Arial" w:hAnsi="Arial" w:cs="Arial"/>
          <w:sz w:val="24"/>
          <w:szCs w:val="24"/>
        </w:rPr>
        <w:t xml:space="preserve"> </w:t>
      </w:r>
      <w:proofErr w:type="spellStart"/>
      <w:r w:rsidRPr="00E91A0B">
        <w:rPr>
          <w:rFonts w:ascii="Arial" w:hAnsi="Arial" w:cs="Arial"/>
          <w:sz w:val="24"/>
          <w:szCs w:val="24"/>
        </w:rPr>
        <w:t>Tasar</w:t>
      </w:r>
      <w:proofErr w:type="spellEnd"/>
      <w:r w:rsidR="009F1203" w:rsidRPr="00E91A0B">
        <w:rPr>
          <w:rFonts w:ascii="Arial" w:hAnsi="Arial" w:cs="Arial"/>
          <w:sz w:val="24"/>
          <w:szCs w:val="24"/>
        </w:rPr>
        <w:t>,</w:t>
      </w:r>
      <w:r w:rsidRPr="00E91A0B">
        <w:rPr>
          <w:rFonts w:ascii="Arial" w:hAnsi="Arial" w:cs="Arial"/>
          <w:sz w:val="24"/>
          <w:szCs w:val="24"/>
        </w:rPr>
        <w:t xml:space="preserve"> Eri and </w:t>
      </w:r>
      <w:proofErr w:type="spellStart"/>
      <w:r w:rsidR="009F1203" w:rsidRPr="00E91A0B">
        <w:rPr>
          <w:rFonts w:ascii="Arial" w:hAnsi="Arial" w:cs="Arial"/>
          <w:sz w:val="24"/>
          <w:szCs w:val="24"/>
        </w:rPr>
        <w:t>M</w:t>
      </w:r>
      <w:r w:rsidRPr="00E91A0B">
        <w:rPr>
          <w:rFonts w:ascii="Arial" w:hAnsi="Arial" w:cs="Arial"/>
          <w:sz w:val="24"/>
          <w:szCs w:val="24"/>
        </w:rPr>
        <w:t>uga</w:t>
      </w:r>
      <w:proofErr w:type="spellEnd"/>
      <w:r w:rsidRPr="00E91A0B">
        <w:rPr>
          <w:rFonts w:ascii="Arial" w:hAnsi="Arial" w:cs="Arial"/>
          <w:sz w:val="24"/>
          <w:szCs w:val="24"/>
        </w:rPr>
        <w:t xml:space="preserve"> in comparison with farmyard manure (FYM). Results revealed that silkworm frass is rich in nitrogen (1.78–2.13%), phosphorus (0.30–0.68%), potassium (1.15–1.62%), calcium (0.13–0.24%), magnesium (0.32–0.57%), and sulphur (0.46–0.82%), surpassing FYM in macronutrient content. The </w:t>
      </w:r>
      <w:r w:rsidR="009F1203" w:rsidRPr="00E91A0B">
        <w:rPr>
          <w:rFonts w:ascii="Arial" w:hAnsi="Arial" w:cs="Arial"/>
          <w:sz w:val="24"/>
          <w:szCs w:val="24"/>
        </w:rPr>
        <w:t>favourable</w:t>
      </w:r>
      <w:r w:rsidRPr="00E91A0B">
        <w:rPr>
          <w:rFonts w:ascii="Arial" w:hAnsi="Arial" w:cs="Arial"/>
          <w:sz w:val="24"/>
          <w:szCs w:val="24"/>
        </w:rPr>
        <w:t xml:space="preserve"> C:N ratio support</w:t>
      </w:r>
      <w:r w:rsidR="0071158E" w:rsidRPr="00E91A0B">
        <w:rPr>
          <w:rFonts w:ascii="Arial" w:hAnsi="Arial" w:cs="Arial"/>
          <w:sz w:val="24"/>
          <w:szCs w:val="24"/>
        </w:rPr>
        <w:t>s</w:t>
      </w:r>
      <w:r w:rsidRPr="00E91A0B">
        <w:rPr>
          <w:rFonts w:ascii="Arial" w:hAnsi="Arial" w:cs="Arial"/>
          <w:sz w:val="24"/>
          <w:szCs w:val="24"/>
        </w:rPr>
        <w:t xml:space="preserve"> its application as a biofertilizer. This research integrates the potentiality of silkworm frass as a sustainable input for integrated soil fertility management while reducing environment impact there by achieving circular bioeconomy.</w:t>
      </w:r>
    </w:p>
    <w:p w14:paraId="55AFE774" w14:textId="03B53B26" w:rsidR="001075AB" w:rsidRDefault="00301C27" w:rsidP="00D340BE">
      <w:pPr>
        <w:spacing w:after="0" w:line="480" w:lineRule="auto"/>
        <w:jc w:val="both"/>
        <w:rPr>
          <w:rFonts w:ascii="Arial" w:hAnsi="Arial" w:cs="Arial"/>
          <w:sz w:val="24"/>
          <w:szCs w:val="24"/>
        </w:rPr>
      </w:pPr>
      <w:r w:rsidRPr="00E91A0B">
        <w:rPr>
          <w:rFonts w:ascii="Arial" w:hAnsi="Arial" w:cs="Arial"/>
          <w:b/>
          <w:bCs/>
          <w:iCs/>
          <w:w w:val="105"/>
          <w:sz w:val="24"/>
          <w:szCs w:val="24"/>
        </w:rPr>
        <w:t>Key</w:t>
      </w:r>
      <w:r w:rsidR="001075AB" w:rsidRPr="00E91A0B">
        <w:rPr>
          <w:rFonts w:ascii="Arial" w:hAnsi="Arial" w:cs="Arial"/>
          <w:b/>
          <w:bCs/>
          <w:iCs/>
          <w:w w:val="105"/>
          <w:sz w:val="24"/>
          <w:szCs w:val="24"/>
        </w:rPr>
        <w:t xml:space="preserve"> </w:t>
      </w:r>
      <w:r w:rsidRPr="00E91A0B">
        <w:rPr>
          <w:rFonts w:ascii="Arial" w:hAnsi="Arial" w:cs="Arial"/>
          <w:b/>
          <w:bCs/>
          <w:iCs/>
          <w:w w:val="105"/>
          <w:sz w:val="24"/>
          <w:szCs w:val="24"/>
        </w:rPr>
        <w:t xml:space="preserve">words: </w:t>
      </w:r>
      <w:r w:rsidR="00C10B64" w:rsidRPr="00E91A0B">
        <w:rPr>
          <w:rFonts w:ascii="Arial" w:hAnsi="Arial" w:cs="Arial"/>
          <w:sz w:val="24"/>
          <w:szCs w:val="24"/>
        </w:rPr>
        <w:t>Sustainable agriculture, Macro- and micronutrients, Silkworm frass, Biofertilizer, Byproducts</w:t>
      </w:r>
      <w:r w:rsidR="009F1203" w:rsidRPr="00E91A0B">
        <w:rPr>
          <w:rFonts w:ascii="Arial" w:hAnsi="Arial" w:cs="Arial"/>
          <w:sz w:val="24"/>
          <w:szCs w:val="24"/>
        </w:rPr>
        <w:t>, Farmyard manure,</w:t>
      </w:r>
      <w:r w:rsidR="00EB24F1" w:rsidRPr="00E91A0B">
        <w:rPr>
          <w:rFonts w:ascii="Arial" w:hAnsi="Arial" w:cs="Arial"/>
          <w:sz w:val="24"/>
          <w:szCs w:val="24"/>
        </w:rPr>
        <w:t xml:space="preserve"> Organic amendment</w:t>
      </w:r>
      <w:r w:rsidR="00C10B64" w:rsidRPr="00E91A0B">
        <w:rPr>
          <w:rFonts w:ascii="Arial" w:hAnsi="Arial" w:cs="Arial"/>
          <w:sz w:val="24"/>
          <w:szCs w:val="24"/>
        </w:rPr>
        <w:t>.</w:t>
      </w:r>
    </w:p>
    <w:p w14:paraId="2EC171A6" w14:textId="2ADE56E0" w:rsidR="00E91A0B" w:rsidRPr="00E91A0B" w:rsidRDefault="00E91A0B" w:rsidP="00D340BE">
      <w:pPr>
        <w:spacing w:after="0" w:line="480" w:lineRule="auto"/>
        <w:jc w:val="both"/>
        <w:rPr>
          <w:rFonts w:ascii="Arial" w:hAnsi="Arial" w:cs="Arial"/>
          <w:b/>
          <w:bCs/>
          <w:iCs/>
          <w:w w:val="105"/>
          <w:sz w:val="24"/>
          <w:szCs w:val="24"/>
        </w:rPr>
      </w:pPr>
      <w:r w:rsidRPr="00E91A0B">
        <w:rPr>
          <w:rFonts w:ascii="Arial" w:hAnsi="Arial" w:cs="Arial"/>
          <w:b/>
          <w:bCs/>
          <w:sz w:val="24"/>
          <w:szCs w:val="24"/>
        </w:rPr>
        <w:t>INTRODUCTION</w:t>
      </w:r>
    </w:p>
    <w:p w14:paraId="2A019E2F" w14:textId="148C9AB3" w:rsidR="005F4C61" w:rsidRPr="00E91A0B" w:rsidRDefault="005F4C61" w:rsidP="00D340BE">
      <w:pPr>
        <w:spacing w:after="120" w:line="480" w:lineRule="auto"/>
        <w:ind w:firstLine="720"/>
        <w:jc w:val="both"/>
        <w:rPr>
          <w:rFonts w:ascii="Arial" w:hAnsi="Arial" w:cs="Arial"/>
          <w:sz w:val="24"/>
          <w:szCs w:val="24"/>
        </w:rPr>
      </w:pPr>
      <w:r w:rsidRPr="00E91A0B">
        <w:rPr>
          <w:rFonts w:ascii="Arial" w:hAnsi="Arial" w:cs="Arial"/>
          <w:color w:val="000000"/>
          <w:sz w:val="24"/>
          <w:szCs w:val="24"/>
        </w:rPr>
        <w:t>Cu</w:t>
      </w:r>
      <w:r w:rsidR="001B20FE" w:rsidRPr="00E91A0B">
        <w:rPr>
          <w:rFonts w:ascii="Arial" w:hAnsi="Arial" w:cs="Arial"/>
          <w:color w:val="000000"/>
          <w:sz w:val="24"/>
          <w:szCs w:val="24"/>
        </w:rPr>
        <w:t xml:space="preserve">rrently, </w:t>
      </w:r>
      <w:r w:rsidR="004C00B4" w:rsidRPr="00E91A0B">
        <w:rPr>
          <w:rFonts w:ascii="Arial" w:hAnsi="Arial" w:cs="Arial"/>
          <w:sz w:val="24"/>
          <w:szCs w:val="24"/>
        </w:rPr>
        <w:t>Sericulture</w:t>
      </w:r>
      <w:r w:rsidR="004C00B4" w:rsidRPr="00E91A0B">
        <w:rPr>
          <w:rFonts w:ascii="Arial" w:hAnsi="Arial" w:cs="Arial"/>
          <w:color w:val="EE0000"/>
          <w:sz w:val="24"/>
          <w:szCs w:val="24"/>
        </w:rPr>
        <w:t xml:space="preserve"> </w:t>
      </w:r>
      <w:r w:rsidR="001B20FE" w:rsidRPr="00E91A0B">
        <w:rPr>
          <w:rFonts w:ascii="Arial" w:hAnsi="Arial" w:cs="Arial"/>
          <w:color w:val="000000"/>
          <w:sz w:val="24"/>
          <w:szCs w:val="24"/>
        </w:rPr>
        <w:t xml:space="preserve">is a significant </w:t>
      </w:r>
      <w:proofErr w:type="spellStart"/>
      <w:r w:rsidR="001B20FE" w:rsidRPr="00E91A0B">
        <w:rPr>
          <w:rFonts w:ascii="Arial" w:hAnsi="Arial" w:cs="Arial"/>
          <w:color w:val="000000"/>
          <w:sz w:val="24"/>
          <w:szCs w:val="24"/>
        </w:rPr>
        <w:t>agro</w:t>
      </w:r>
      <w:proofErr w:type="spellEnd"/>
      <w:r w:rsidR="001B20FE" w:rsidRPr="00E91A0B">
        <w:rPr>
          <w:rFonts w:ascii="Arial" w:hAnsi="Arial" w:cs="Arial"/>
          <w:color w:val="000000"/>
          <w:sz w:val="24"/>
          <w:szCs w:val="24"/>
        </w:rPr>
        <w:t xml:space="preserve">-based industry globally, with China and India leading the world. </w:t>
      </w:r>
      <w:r w:rsidRPr="00E91A0B">
        <w:rPr>
          <w:rFonts w:ascii="Arial" w:hAnsi="Arial" w:cs="Arial"/>
          <w:color w:val="000000"/>
          <w:sz w:val="24"/>
          <w:szCs w:val="24"/>
        </w:rPr>
        <w:t xml:space="preserve"> In China alone, silk production accounts for 60% of global production</w:t>
      </w:r>
      <w:r w:rsidR="001B20FE" w:rsidRPr="00E91A0B">
        <w:rPr>
          <w:rFonts w:ascii="Arial" w:hAnsi="Arial" w:cs="Arial"/>
          <w:color w:val="000000"/>
          <w:sz w:val="24"/>
          <w:szCs w:val="24"/>
        </w:rPr>
        <w:t xml:space="preserve"> followed by India (FAO</w:t>
      </w:r>
      <w:r w:rsidR="00E10E14" w:rsidRPr="00E91A0B">
        <w:rPr>
          <w:rFonts w:ascii="Arial" w:hAnsi="Arial" w:cs="Arial"/>
          <w:color w:val="000000"/>
          <w:sz w:val="24"/>
          <w:szCs w:val="24"/>
        </w:rPr>
        <w:t>,</w:t>
      </w:r>
      <w:r w:rsidR="001B20FE" w:rsidRPr="00E91A0B">
        <w:rPr>
          <w:rFonts w:ascii="Arial" w:hAnsi="Arial" w:cs="Arial"/>
          <w:color w:val="000000"/>
          <w:sz w:val="24"/>
          <w:szCs w:val="24"/>
        </w:rPr>
        <w:t xml:space="preserve"> 2023)</w:t>
      </w:r>
      <w:r w:rsidRPr="00E91A0B">
        <w:rPr>
          <w:rFonts w:ascii="Arial" w:hAnsi="Arial" w:cs="Arial"/>
          <w:color w:val="000000"/>
          <w:sz w:val="24"/>
          <w:szCs w:val="24"/>
        </w:rPr>
        <w:t xml:space="preserve">. </w:t>
      </w:r>
      <w:r w:rsidR="001B20FE" w:rsidRPr="00E91A0B">
        <w:rPr>
          <w:rFonts w:ascii="Arial" w:hAnsi="Arial" w:cs="Arial"/>
          <w:color w:val="000000"/>
          <w:sz w:val="24"/>
          <w:szCs w:val="24"/>
        </w:rPr>
        <w:t>This production of silk also generates s</w:t>
      </w:r>
      <w:r w:rsidRPr="00E91A0B">
        <w:rPr>
          <w:rFonts w:ascii="Arial" w:hAnsi="Arial" w:cs="Arial"/>
          <w:color w:val="000000"/>
          <w:sz w:val="24"/>
          <w:szCs w:val="24"/>
        </w:rPr>
        <w:t xml:space="preserve">ilkworm excrement </w:t>
      </w:r>
      <w:r w:rsidR="00E36C39" w:rsidRPr="00E91A0B">
        <w:rPr>
          <w:rFonts w:ascii="Arial" w:hAnsi="Arial" w:cs="Arial"/>
          <w:sz w:val="24"/>
          <w:szCs w:val="24"/>
        </w:rPr>
        <w:t xml:space="preserve">which </w:t>
      </w:r>
      <w:r w:rsidRPr="00E91A0B">
        <w:rPr>
          <w:rFonts w:ascii="Arial" w:hAnsi="Arial" w:cs="Arial"/>
          <w:color w:val="000000"/>
          <w:sz w:val="24"/>
          <w:szCs w:val="24"/>
        </w:rPr>
        <w:t xml:space="preserve">is one of the important by-products of sericulture industry </w:t>
      </w:r>
      <w:r w:rsidRPr="00E91A0B">
        <w:rPr>
          <w:rFonts w:ascii="Arial" w:hAnsi="Arial" w:cs="Arial"/>
          <w:color w:val="000000"/>
          <w:sz w:val="24"/>
          <w:szCs w:val="24"/>
        </w:rPr>
        <w:lastRenderedPageBreak/>
        <w:t>(Manjunath et al., 2020</w:t>
      </w:r>
      <w:r w:rsidR="001B20FE" w:rsidRPr="00E91A0B">
        <w:rPr>
          <w:rFonts w:ascii="Arial" w:hAnsi="Arial" w:cs="Arial"/>
          <w:color w:val="000000"/>
          <w:sz w:val="24"/>
          <w:szCs w:val="24"/>
        </w:rPr>
        <w:t xml:space="preserve">; </w:t>
      </w:r>
      <w:r w:rsidRPr="00E91A0B">
        <w:rPr>
          <w:rFonts w:ascii="Arial" w:hAnsi="Arial" w:cs="Arial"/>
          <w:color w:val="000000"/>
          <w:sz w:val="24"/>
          <w:szCs w:val="24"/>
          <w:shd w:val="clear" w:color="auto" w:fill="FFFFFF"/>
        </w:rPr>
        <w:t>Qayoom and Manzoor, 2024).</w:t>
      </w:r>
      <w:r w:rsidRPr="00E91A0B">
        <w:rPr>
          <w:rFonts w:ascii="Arial" w:hAnsi="Arial" w:cs="Arial"/>
          <w:color w:val="000000"/>
          <w:sz w:val="24"/>
          <w:szCs w:val="24"/>
        </w:rPr>
        <w:t xml:space="preserve"> </w:t>
      </w:r>
      <w:r w:rsidRPr="00E91A0B">
        <w:rPr>
          <w:rFonts w:ascii="Arial" w:hAnsi="Arial" w:cs="Arial"/>
          <w:sz w:val="24"/>
          <w:szCs w:val="24"/>
        </w:rPr>
        <w:t xml:space="preserve"> </w:t>
      </w:r>
      <w:r w:rsidR="009C46F4" w:rsidRPr="00E91A0B">
        <w:rPr>
          <w:rFonts w:ascii="Arial" w:hAnsi="Arial" w:cs="Arial"/>
          <w:sz w:val="24"/>
          <w:szCs w:val="24"/>
        </w:rPr>
        <w:t>Due to modern agriculture, n</w:t>
      </w:r>
      <w:r w:rsidRPr="00E91A0B">
        <w:rPr>
          <w:rFonts w:ascii="Arial" w:hAnsi="Arial" w:cs="Arial"/>
          <w:sz w:val="24"/>
          <w:szCs w:val="24"/>
        </w:rPr>
        <w:t>egligent use of chemical fertilisers, which eutrophicate water resources and</w:t>
      </w:r>
      <w:r w:rsidR="00597BBF" w:rsidRPr="00E91A0B">
        <w:rPr>
          <w:rFonts w:ascii="Arial" w:hAnsi="Arial" w:cs="Arial"/>
          <w:sz w:val="24"/>
          <w:szCs w:val="24"/>
        </w:rPr>
        <w:t xml:space="preserve"> it</w:t>
      </w:r>
      <w:r w:rsidRPr="00E91A0B">
        <w:rPr>
          <w:rFonts w:ascii="Arial" w:hAnsi="Arial" w:cs="Arial"/>
          <w:sz w:val="24"/>
          <w:szCs w:val="24"/>
        </w:rPr>
        <w:t xml:space="preserve"> is </w:t>
      </w:r>
      <w:r w:rsidR="00597BBF" w:rsidRPr="00E91A0B">
        <w:rPr>
          <w:rFonts w:ascii="Arial" w:hAnsi="Arial" w:cs="Arial"/>
          <w:sz w:val="24"/>
          <w:szCs w:val="24"/>
        </w:rPr>
        <w:t xml:space="preserve">also </w:t>
      </w:r>
      <w:r w:rsidRPr="00E91A0B">
        <w:rPr>
          <w:rFonts w:ascii="Arial" w:hAnsi="Arial" w:cs="Arial"/>
          <w:sz w:val="24"/>
          <w:szCs w:val="24"/>
        </w:rPr>
        <w:t xml:space="preserve">the primary cause of environmental degradation </w:t>
      </w:r>
      <w:r w:rsidR="00597BBF" w:rsidRPr="00E91A0B">
        <w:rPr>
          <w:rFonts w:ascii="Arial" w:hAnsi="Arial" w:cs="Arial"/>
          <w:sz w:val="24"/>
          <w:szCs w:val="24"/>
        </w:rPr>
        <w:t xml:space="preserve">which </w:t>
      </w:r>
      <w:r w:rsidRPr="00E91A0B">
        <w:rPr>
          <w:rFonts w:ascii="Arial" w:hAnsi="Arial" w:cs="Arial"/>
          <w:sz w:val="24"/>
          <w:szCs w:val="24"/>
        </w:rPr>
        <w:t>is a severe threat to the entire planet. Intensive farming methods, uneven chemical fertiliser us</w:t>
      </w:r>
      <w:r w:rsidR="0071158E" w:rsidRPr="00E91A0B">
        <w:rPr>
          <w:rFonts w:ascii="Arial" w:hAnsi="Arial" w:cs="Arial"/>
          <w:sz w:val="24"/>
          <w:szCs w:val="24"/>
        </w:rPr>
        <w:t>age</w:t>
      </w:r>
      <w:r w:rsidRPr="00E91A0B">
        <w:rPr>
          <w:rFonts w:ascii="Arial" w:hAnsi="Arial" w:cs="Arial"/>
          <w:sz w:val="24"/>
          <w:szCs w:val="24"/>
        </w:rPr>
        <w:t xml:space="preserve"> and inefficient agricultural waste recycling are all contributing to the rise of macro and micronutrient deficiencies</w:t>
      </w:r>
      <w:r w:rsidR="002A657A" w:rsidRPr="00E91A0B">
        <w:rPr>
          <w:rFonts w:ascii="Arial" w:hAnsi="Arial" w:cs="Arial"/>
          <w:sz w:val="24"/>
          <w:szCs w:val="24"/>
        </w:rPr>
        <w:t xml:space="preserve"> or their availability in soil</w:t>
      </w:r>
      <w:r w:rsidRPr="00E91A0B">
        <w:rPr>
          <w:rFonts w:ascii="Arial" w:hAnsi="Arial" w:cs="Arial"/>
          <w:sz w:val="24"/>
          <w:szCs w:val="24"/>
        </w:rPr>
        <w:t xml:space="preserve"> in our country. Macro and micronutrient deficiencies are spreading alarmingly in our nation due to intensive farming practices, unbalanced chemical fertiliser use and ineffective agricultural waste recycling, individuals are coming to realise that using ecological and sustainable farming practices is the only way to stop the decline in global productivity and protect the environment</w:t>
      </w:r>
      <w:r w:rsidR="009C46F4" w:rsidRPr="00E91A0B">
        <w:rPr>
          <w:rFonts w:ascii="Arial" w:hAnsi="Arial" w:cs="Arial"/>
          <w:sz w:val="24"/>
          <w:szCs w:val="24"/>
        </w:rPr>
        <w:t xml:space="preserve"> (Pande et al., 2017)</w:t>
      </w:r>
      <w:r w:rsidRPr="00E91A0B">
        <w:rPr>
          <w:rFonts w:ascii="Arial" w:hAnsi="Arial" w:cs="Arial"/>
          <w:sz w:val="24"/>
          <w:szCs w:val="24"/>
        </w:rPr>
        <w:t>. According to reports, up to 700 million tonnes of organic waste are produced in India each year, most of which is burned or disposed of in garbage landfills</w:t>
      </w:r>
      <w:r w:rsidR="003D6815" w:rsidRPr="00E91A0B">
        <w:rPr>
          <w:rFonts w:ascii="Arial" w:hAnsi="Arial" w:cs="Arial"/>
          <w:sz w:val="24"/>
          <w:szCs w:val="24"/>
        </w:rPr>
        <w:t xml:space="preserve"> exacerbating pollution </w:t>
      </w:r>
      <w:r w:rsidRPr="00E91A0B">
        <w:rPr>
          <w:rFonts w:ascii="Arial" w:hAnsi="Arial" w:cs="Arial"/>
          <w:sz w:val="24"/>
          <w:szCs w:val="24"/>
        </w:rPr>
        <w:t>(Bhat and Limaye, 2012). Soil is home to a wide variety of organisms consisting of micro and macro fauna that may transform organic waste into plant nutrients and organic matter, which are crucial for soil fertility and productivity (Punde and Ganorkar, 2012). The enormous amount of agricultural waste generated in fields or market regions has resulted in major environmental problems</w:t>
      </w:r>
      <w:r w:rsidR="009C46F4" w:rsidRPr="00E91A0B">
        <w:rPr>
          <w:rFonts w:ascii="Arial" w:hAnsi="Arial" w:cs="Arial"/>
        </w:rPr>
        <w:t xml:space="preserve"> </w:t>
      </w:r>
      <w:r w:rsidR="00712A0A" w:rsidRPr="00E91A0B">
        <w:rPr>
          <w:rFonts w:ascii="Arial" w:hAnsi="Arial" w:cs="Arial"/>
          <w:sz w:val="24"/>
          <w:szCs w:val="24"/>
        </w:rPr>
        <w:t xml:space="preserve">due to improper handling </w:t>
      </w:r>
      <w:r w:rsidR="009C46F4" w:rsidRPr="00E91A0B">
        <w:rPr>
          <w:rFonts w:ascii="Arial" w:hAnsi="Arial" w:cs="Arial"/>
          <w:sz w:val="24"/>
          <w:szCs w:val="24"/>
        </w:rPr>
        <w:t>(Tilman et al., 2002; Lal, 2020)</w:t>
      </w:r>
      <w:r w:rsidRPr="00E91A0B">
        <w:rPr>
          <w:rFonts w:ascii="Arial" w:hAnsi="Arial" w:cs="Arial"/>
          <w:sz w:val="24"/>
          <w:szCs w:val="24"/>
        </w:rPr>
        <w:t xml:space="preserve">. </w:t>
      </w:r>
      <w:r w:rsidR="00712A0A" w:rsidRPr="00E91A0B">
        <w:rPr>
          <w:rFonts w:ascii="Arial" w:hAnsi="Arial" w:cs="Arial"/>
          <w:sz w:val="24"/>
          <w:szCs w:val="24"/>
        </w:rPr>
        <w:t xml:space="preserve">To </w:t>
      </w:r>
      <w:r w:rsidRPr="00E91A0B">
        <w:rPr>
          <w:rFonts w:ascii="Arial" w:hAnsi="Arial" w:cs="Arial"/>
          <w:sz w:val="24"/>
          <w:szCs w:val="24"/>
        </w:rPr>
        <w:t>improv</w:t>
      </w:r>
      <w:r w:rsidR="00712A0A" w:rsidRPr="00E91A0B">
        <w:rPr>
          <w:rFonts w:ascii="Arial" w:hAnsi="Arial" w:cs="Arial"/>
          <w:sz w:val="24"/>
          <w:szCs w:val="24"/>
        </w:rPr>
        <w:t>e</w:t>
      </w:r>
      <w:r w:rsidRPr="00E91A0B">
        <w:rPr>
          <w:rFonts w:ascii="Arial" w:hAnsi="Arial" w:cs="Arial"/>
          <w:sz w:val="24"/>
          <w:szCs w:val="24"/>
        </w:rPr>
        <w:t xml:space="preserve"> the properties of the soil and other processes, returning organic waste into the soil can increase soil fertility and productivity</w:t>
      </w:r>
      <w:r w:rsidR="003D6815" w:rsidRPr="00E91A0B">
        <w:rPr>
          <w:rFonts w:ascii="Arial" w:hAnsi="Arial" w:cs="Arial"/>
          <w:sz w:val="24"/>
          <w:szCs w:val="24"/>
        </w:rPr>
        <w:t xml:space="preserve"> </w:t>
      </w:r>
      <w:r w:rsidRPr="00E91A0B">
        <w:rPr>
          <w:rFonts w:ascii="Arial" w:hAnsi="Arial" w:cs="Arial"/>
          <w:sz w:val="24"/>
          <w:szCs w:val="24"/>
        </w:rPr>
        <w:t>(</w:t>
      </w:r>
      <w:r w:rsidR="00E10E14" w:rsidRPr="00E91A0B">
        <w:rPr>
          <w:rFonts w:ascii="Arial" w:hAnsi="Arial" w:cs="Arial"/>
          <w:sz w:val="24"/>
          <w:szCs w:val="24"/>
        </w:rPr>
        <w:t>L</w:t>
      </w:r>
      <w:r w:rsidRPr="00E91A0B">
        <w:rPr>
          <w:rFonts w:ascii="Arial" w:hAnsi="Arial" w:cs="Arial"/>
          <w:sz w:val="24"/>
          <w:szCs w:val="24"/>
        </w:rPr>
        <w:t>akshmi et al</w:t>
      </w:r>
      <w:r w:rsidR="00E10E14" w:rsidRPr="00E91A0B">
        <w:rPr>
          <w:rFonts w:ascii="Arial" w:hAnsi="Arial" w:cs="Arial"/>
          <w:sz w:val="24"/>
          <w:szCs w:val="24"/>
        </w:rPr>
        <w:t>.</w:t>
      </w:r>
      <w:r w:rsidRPr="00E91A0B">
        <w:rPr>
          <w:rFonts w:ascii="Arial" w:hAnsi="Arial" w:cs="Arial"/>
          <w:sz w:val="24"/>
          <w:szCs w:val="24"/>
        </w:rPr>
        <w:t>, 2013).</w:t>
      </w:r>
      <w:r w:rsidRPr="00E91A0B">
        <w:rPr>
          <w:rFonts w:ascii="Arial" w:hAnsi="Arial" w:cs="Arial"/>
          <w:bCs/>
          <w:color w:val="000000"/>
          <w:sz w:val="24"/>
          <w:szCs w:val="24"/>
        </w:rPr>
        <w:t xml:space="preserve"> Worldwide research is being done to identify the processes that create nutrient-rich compost for plants. </w:t>
      </w:r>
      <w:r w:rsidRPr="00E91A0B">
        <w:rPr>
          <w:rFonts w:ascii="Arial" w:hAnsi="Arial" w:cs="Arial"/>
          <w:sz w:val="24"/>
          <w:szCs w:val="24"/>
        </w:rPr>
        <w:t>It aids in the effective recycling of agricultural wastes including plant and animal residues</w:t>
      </w:r>
      <w:r w:rsidR="00E10E14" w:rsidRPr="00E91A0B">
        <w:rPr>
          <w:rFonts w:ascii="Arial" w:hAnsi="Arial" w:cs="Arial"/>
          <w:color w:val="222222"/>
          <w:sz w:val="24"/>
          <w:szCs w:val="24"/>
          <w:shd w:val="clear" w:color="auto" w:fill="FFFFFF"/>
        </w:rPr>
        <w:t xml:space="preserve"> (Bernal et al., 2009)</w:t>
      </w:r>
      <w:r w:rsidRPr="00E91A0B">
        <w:rPr>
          <w:rFonts w:ascii="Arial" w:hAnsi="Arial" w:cs="Arial"/>
          <w:sz w:val="24"/>
          <w:szCs w:val="24"/>
        </w:rPr>
        <w:t xml:space="preserve">. </w:t>
      </w:r>
      <w:r w:rsidRPr="00E91A0B">
        <w:rPr>
          <w:rFonts w:ascii="Arial" w:hAnsi="Arial" w:cs="Arial"/>
          <w:bCs/>
          <w:color w:val="000000"/>
          <w:sz w:val="24"/>
          <w:szCs w:val="24"/>
        </w:rPr>
        <w:t xml:space="preserve">Insect frass, especially silkworm frass, has </w:t>
      </w:r>
      <w:r w:rsidR="003D6815" w:rsidRPr="00E91A0B">
        <w:rPr>
          <w:rFonts w:ascii="Arial" w:hAnsi="Arial" w:cs="Arial"/>
          <w:bCs/>
          <w:color w:val="000000"/>
          <w:sz w:val="24"/>
          <w:szCs w:val="24"/>
        </w:rPr>
        <w:t>gaining attention</w:t>
      </w:r>
      <w:r w:rsidRPr="00E91A0B">
        <w:rPr>
          <w:rFonts w:ascii="Arial" w:hAnsi="Arial" w:cs="Arial"/>
          <w:bCs/>
          <w:color w:val="000000"/>
          <w:sz w:val="24"/>
          <w:szCs w:val="24"/>
        </w:rPr>
        <w:t xml:space="preserve"> among these substitutes because of its nutrient-rich composition and abundance from commercial sericulture operations</w:t>
      </w:r>
      <w:r w:rsidR="003D6815" w:rsidRPr="00E91A0B">
        <w:rPr>
          <w:rFonts w:ascii="Arial" w:hAnsi="Arial" w:cs="Arial"/>
          <w:bCs/>
          <w:color w:val="000000"/>
          <w:sz w:val="24"/>
          <w:szCs w:val="24"/>
        </w:rPr>
        <w:t xml:space="preserve"> </w:t>
      </w:r>
      <w:r w:rsidRPr="00E91A0B">
        <w:rPr>
          <w:rFonts w:ascii="Arial" w:hAnsi="Arial" w:cs="Arial"/>
          <w:sz w:val="24"/>
          <w:szCs w:val="24"/>
        </w:rPr>
        <w:t>(</w:t>
      </w:r>
      <w:r w:rsidRPr="00E91A0B">
        <w:rPr>
          <w:rFonts w:ascii="Arial" w:hAnsi="Arial" w:cs="Arial"/>
          <w:color w:val="000000"/>
          <w:sz w:val="24"/>
          <w:szCs w:val="24"/>
          <w:shd w:val="clear" w:color="auto" w:fill="FFFFFF"/>
        </w:rPr>
        <w:t>Shen</w:t>
      </w:r>
      <w:r w:rsidRPr="00E91A0B">
        <w:rPr>
          <w:rFonts w:ascii="Arial" w:hAnsi="Arial" w:cs="Arial"/>
          <w:sz w:val="24"/>
          <w:szCs w:val="24"/>
        </w:rPr>
        <w:t xml:space="preserve"> et al</w:t>
      </w:r>
      <w:r w:rsidR="0047789C" w:rsidRPr="00E91A0B">
        <w:rPr>
          <w:rFonts w:ascii="Arial" w:hAnsi="Arial" w:cs="Arial"/>
          <w:sz w:val="24"/>
          <w:szCs w:val="24"/>
        </w:rPr>
        <w:t>.</w:t>
      </w:r>
      <w:r w:rsidRPr="00E91A0B">
        <w:rPr>
          <w:rFonts w:ascii="Arial" w:hAnsi="Arial" w:cs="Arial"/>
          <w:sz w:val="24"/>
          <w:szCs w:val="24"/>
        </w:rPr>
        <w:t>, 2024</w:t>
      </w:r>
      <w:r w:rsidR="003D6815" w:rsidRPr="00E91A0B">
        <w:rPr>
          <w:rFonts w:ascii="Arial" w:hAnsi="Arial" w:cs="Arial"/>
          <w:sz w:val="24"/>
          <w:szCs w:val="24"/>
        </w:rPr>
        <w:t xml:space="preserve">; </w:t>
      </w:r>
      <w:r w:rsidRPr="00E91A0B">
        <w:rPr>
          <w:rFonts w:ascii="Arial" w:hAnsi="Arial" w:cs="Arial"/>
          <w:bCs/>
          <w:color w:val="000000"/>
          <w:sz w:val="24"/>
          <w:szCs w:val="24"/>
        </w:rPr>
        <w:t>Van De Zande et al</w:t>
      </w:r>
      <w:r w:rsidR="0047789C" w:rsidRPr="00E91A0B">
        <w:rPr>
          <w:rFonts w:ascii="Arial" w:hAnsi="Arial" w:cs="Arial"/>
          <w:bCs/>
          <w:color w:val="000000"/>
          <w:sz w:val="24"/>
          <w:szCs w:val="24"/>
        </w:rPr>
        <w:t>.</w:t>
      </w:r>
      <w:r w:rsidRPr="00E91A0B">
        <w:rPr>
          <w:rFonts w:ascii="Arial" w:hAnsi="Arial" w:cs="Arial"/>
          <w:bCs/>
          <w:color w:val="000000"/>
          <w:sz w:val="24"/>
          <w:szCs w:val="24"/>
        </w:rPr>
        <w:t xml:space="preserve">, 2023). </w:t>
      </w:r>
      <w:r w:rsidR="003D6815" w:rsidRPr="00E91A0B">
        <w:rPr>
          <w:rFonts w:ascii="Arial" w:hAnsi="Arial" w:cs="Arial"/>
          <w:bCs/>
          <w:color w:val="000000"/>
          <w:sz w:val="24"/>
          <w:szCs w:val="24"/>
        </w:rPr>
        <w:t xml:space="preserve">In </w:t>
      </w:r>
      <w:r w:rsidR="003D6815" w:rsidRPr="00E91A0B">
        <w:rPr>
          <w:rFonts w:ascii="Arial" w:hAnsi="Arial" w:cs="Arial"/>
          <w:bCs/>
          <w:color w:val="000000"/>
          <w:sz w:val="24"/>
          <w:szCs w:val="24"/>
        </w:rPr>
        <w:lastRenderedPageBreak/>
        <w:t>India s</w:t>
      </w:r>
      <w:r w:rsidRPr="00E91A0B">
        <w:rPr>
          <w:rFonts w:ascii="Arial" w:hAnsi="Arial" w:cs="Arial"/>
          <w:bCs/>
          <w:color w:val="000000"/>
          <w:sz w:val="24"/>
          <w:szCs w:val="24"/>
        </w:rPr>
        <w:t>ilkworm frass is produced in vast quantities</w:t>
      </w:r>
      <w:r w:rsidR="003D6815" w:rsidRPr="00E91A0B">
        <w:rPr>
          <w:rFonts w:ascii="Arial" w:hAnsi="Arial" w:cs="Arial"/>
          <w:bCs/>
          <w:color w:val="000000"/>
          <w:sz w:val="24"/>
          <w:szCs w:val="24"/>
        </w:rPr>
        <w:t>,</w:t>
      </w:r>
      <w:r w:rsidRPr="00E91A0B">
        <w:rPr>
          <w:rFonts w:ascii="Arial" w:hAnsi="Arial" w:cs="Arial"/>
          <w:bCs/>
          <w:color w:val="000000"/>
          <w:sz w:val="24"/>
          <w:szCs w:val="24"/>
        </w:rPr>
        <w:t xml:space="preserve"> the world's second-largest producer of silk, although it is still untapped. Because of its abundance of vital macro- and micronutrients, this frass which consists of excreta and undigested remnants from larval stages </w:t>
      </w:r>
      <w:r w:rsidR="003D6815" w:rsidRPr="00E91A0B">
        <w:rPr>
          <w:rFonts w:ascii="Arial" w:hAnsi="Arial" w:cs="Arial"/>
          <w:bCs/>
          <w:color w:val="000000"/>
          <w:sz w:val="24"/>
          <w:szCs w:val="24"/>
        </w:rPr>
        <w:t xml:space="preserve">enhances microbial activity and supports overall growth </w:t>
      </w:r>
      <w:r w:rsidRPr="00E91A0B">
        <w:rPr>
          <w:rFonts w:ascii="Arial" w:hAnsi="Arial" w:cs="Arial"/>
          <w:sz w:val="24"/>
          <w:szCs w:val="24"/>
        </w:rPr>
        <w:t>(</w:t>
      </w:r>
      <w:r w:rsidR="00D96A8C" w:rsidRPr="00E91A0B">
        <w:rPr>
          <w:rFonts w:ascii="Arial" w:hAnsi="Arial" w:cs="Arial"/>
          <w:color w:val="222222"/>
          <w:sz w:val="24"/>
          <w:szCs w:val="24"/>
          <w:shd w:val="clear" w:color="auto" w:fill="FFFFFF"/>
        </w:rPr>
        <w:t>Vidyashree, 2018;</w:t>
      </w:r>
      <w:r w:rsidR="00D96A8C" w:rsidRPr="00E91A0B">
        <w:rPr>
          <w:rFonts w:ascii="Arial" w:hAnsi="Arial" w:cs="Arial"/>
          <w:sz w:val="24"/>
          <w:szCs w:val="24"/>
        </w:rPr>
        <w:t xml:space="preserve"> </w:t>
      </w:r>
      <w:r w:rsidR="00D96A8C" w:rsidRPr="00E91A0B">
        <w:rPr>
          <w:rFonts w:ascii="Arial" w:hAnsi="Arial" w:cs="Arial"/>
          <w:color w:val="222222"/>
          <w:sz w:val="24"/>
          <w:szCs w:val="24"/>
          <w:shd w:val="clear" w:color="auto" w:fill="FFFFFF"/>
        </w:rPr>
        <w:t>Antoniadis</w:t>
      </w:r>
      <w:r w:rsidR="00D96A8C" w:rsidRPr="00E91A0B">
        <w:rPr>
          <w:rFonts w:ascii="Arial" w:hAnsi="Arial" w:cs="Arial"/>
          <w:i/>
          <w:iCs/>
          <w:sz w:val="24"/>
          <w:szCs w:val="24"/>
        </w:rPr>
        <w:t xml:space="preserve"> </w:t>
      </w:r>
      <w:r w:rsidR="00D96A8C" w:rsidRPr="00E91A0B">
        <w:rPr>
          <w:rFonts w:ascii="Arial" w:hAnsi="Arial" w:cs="Arial"/>
          <w:sz w:val="24"/>
          <w:szCs w:val="24"/>
        </w:rPr>
        <w:t xml:space="preserve">et al., 2023; </w:t>
      </w:r>
      <w:r w:rsidRPr="00E91A0B">
        <w:rPr>
          <w:rFonts w:ascii="Arial" w:hAnsi="Arial" w:cs="Arial"/>
          <w:sz w:val="24"/>
          <w:szCs w:val="24"/>
        </w:rPr>
        <w:t>Shanmugam et al</w:t>
      </w:r>
      <w:r w:rsidR="0047789C" w:rsidRPr="00E91A0B">
        <w:rPr>
          <w:rFonts w:ascii="Arial" w:hAnsi="Arial" w:cs="Arial"/>
          <w:sz w:val="24"/>
          <w:szCs w:val="24"/>
        </w:rPr>
        <w:t>.</w:t>
      </w:r>
      <w:r w:rsidRPr="00E91A0B">
        <w:rPr>
          <w:rFonts w:ascii="Arial" w:hAnsi="Arial" w:cs="Arial"/>
          <w:sz w:val="24"/>
          <w:szCs w:val="24"/>
        </w:rPr>
        <w:t>, 2024).</w:t>
      </w:r>
      <w:r w:rsidR="00E82711" w:rsidRPr="00E91A0B">
        <w:rPr>
          <w:rFonts w:ascii="Arial" w:hAnsi="Arial" w:cs="Arial"/>
          <w:sz w:val="24"/>
          <w:szCs w:val="24"/>
        </w:rPr>
        <w:t xml:space="preserve"> It </w:t>
      </w:r>
      <w:proofErr w:type="spellStart"/>
      <w:r w:rsidR="00E82711" w:rsidRPr="00E91A0B">
        <w:rPr>
          <w:rFonts w:ascii="Arial" w:hAnsi="Arial" w:cs="Arial"/>
          <w:sz w:val="24"/>
          <w:szCs w:val="24"/>
        </w:rPr>
        <w:t>alines</w:t>
      </w:r>
      <w:proofErr w:type="spellEnd"/>
      <w:r w:rsidR="00E82711" w:rsidRPr="00E91A0B">
        <w:rPr>
          <w:rFonts w:ascii="Arial" w:hAnsi="Arial" w:cs="Arial"/>
          <w:sz w:val="24"/>
          <w:szCs w:val="24"/>
        </w:rPr>
        <w:t xml:space="preserve"> with cost effective sustainable alternative to synthetic fertilizers and resource efficient agriculture (Pretty and </w:t>
      </w:r>
      <w:proofErr w:type="spellStart"/>
      <w:r w:rsidR="00E82711" w:rsidRPr="00E91A0B">
        <w:rPr>
          <w:rFonts w:ascii="Arial" w:hAnsi="Arial" w:cs="Arial"/>
          <w:sz w:val="24"/>
          <w:szCs w:val="24"/>
        </w:rPr>
        <w:t>Bharucha</w:t>
      </w:r>
      <w:proofErr w:type="spellEnd"/>
      <w:r w:rsidR="00E82711" w:rsidRPr="00E91A0B">
        <w:rPr>
          <w:rFonts w:ascii="Arial" w:hAnsi="Arial" w:cs="Arial"/>
          <w:sz w:val="24"/>
          <w:szCs w:val="24"/>
        </w:rPr>
        <w:t>, 2014</w:t>
      </w:r>
      <w:r w:rsidR="00D96A8C" w:rsidRPr="00E91A0B">
        <w:rPr>
          <w:rFonts w:ascii="Arial" w:hAnsi="Arial" w:cs="Arial"/>
          <w:sz w:val="24"/>
          <w:szCs w:val="24"/>
        </w:rPr>
        <w:t xml:space="preserve">; </w:t>
      </w:r>
      <w:proofErr w:type="spellStart"/>
      <w:r w:rsidR="00D96A8C" w:rsidRPr="00E91A0B">
        <w:rPr>
          <w:rFonts w:ascii="Arial" w:hAnsi="Arial" w:cs="Arial"/>
          <w:color w:val="222222"/>
          <w:sz w:val="24"/>
          <w:szCs w:val="24"/>
          <w:shd w:val="clear" w:color="auto" w:fill="FFFFFF"/>
        </w:rPr>
        <w:t>Vazifdar</w:t>
      </w:r>
      <w:proofErr w:type="spellEnd"/>
      <w:r w:rsidR="00D96A8C" w:rsidRPr="00E91A0B">
        <w:rPr>
          <w:rFonts w:ascii="Arial" w:hAnsi="Arial" w:cs="Arial"/>
          <w:color w:val="222222"/>
          <w:sz w:val="24"/>
          <w:szCs w:val="24"/>
          <w:shd w:val="clear" w:color="auto" w:fill="FFFFFF"/>
        </w:rPr>
        <w:t>, 2025</w:t>
      </w:r>
      <w:r w:rsidR="00E82711" w:rsidRPr="00E91A0B">
        <w:rPr>
          <w:rFonts w:ascii="Arial" w:hAnsi="Arial" w:cs="Arial"/>
          <w:sz w:val="24"/>
          <w:szCs w:val="24"/>
        </w:rPr>
        <w:t xml:space="preserve">). </w:t>
      </w:r>
      <w:r w:rsidRPr="00E91A0B">
        <w:rPr>
          <w:rFonts w:ascii="Arial" w:hAnsi="Arial" w:cs="Arial"/>
          <w:sz w:val="24"/>
          <w:szCs w:val="24"/>
        </w:rPr>
        <w:t xml:space="preserve">Therefore, </w:t>
      </w:r>
      <w:r w:rsidR="002E028F" w:rsidRPr="00E91A0B">
        <w:rPr>
          <w:rFonts w:ascii="Arial" w:hAnsi="Arial" w:cs="Arial"/>
          <w:sz w:val="24"/>
          <w:szCs w:val="24"/>
        </w:rPr>
        <w:t>r</w:t>
      </w:r>
      <w:r w:rsidRPr="00E91A0B">
        <w:rPr>
          <w:rFonts w:ascii="Arial" w:hAnsi="Arial" w:cs="Arial"/>
          <w:sz w:val="24"/>
          <w:szCs w:val="24"/>
        </w:rPr>
        <w:t xml:space="preserve">esearch into </w:t>
      </w:r>
      <w:r w:rsidR="002E028F" w:rsidRPr="00E91A0B">
        <w:rPr>
          <w:rFonts w:ascii="Arial" w:hAnsi="Arial" w:cs="Arial"/>
          <w:bCs/>
          <w:color w:val="000000"/>
          <w:sz w:val="24"/>
          <w:szCs w:val="24"/>
        </w:rPr>
        <w:t>s</w:t>
      </w:r>
      <w:r w:rsidRPr="00E91A0B">
        <w:rPr>
          <w:rFonts w:ascii="Arial" w:hAnsi="Arial" w:cs="Arial"/>
          <w:bCs/>
          <w:color w:val="000000"/>
          <w:sz w:val="24"/>
          <w:szCs w:val="24"/>
        </w:rPr>
        <w:t>ilkworm frass</w:t>
      </w:r>
      <w:r w:rsidRPr="00E91A0B">
        <w:rPr>
          <w:rFonts w:ascii="Arial" w:hAnsi="Arial" w:cs="Arial"/>
          <w:sz w:val="24"/>
          <w:szCs w:val="24"/>
        </w:rPr>
        <w:t xml:space="preserve"> continues with the hope that it will one day</w:t>
      </w:r>
      <w:r w:rsidR="00E82711" w:rsidRPr="00E91A0B">
        <w:rPr>
          <w:rFonts w:ascii="Arial" w:hAnsi="Arial" w:cs="Arial"/>
          <w:sz w:val="24"/>
          <w:szCs w:val="24"/>
        </w:rPr>
        <w:t xml:space="preserve"> play a transformative rol</w:t>
      </w:r>
      <w:r w:rsidR="00D96A8C" w:rsidRPr="00E91A0B">
        <w:rPr>
          <w:rFonts w:ascii="Arial" w:hAnsi="Arial" w:cs="Arial"/>
          <w:sz w:val="24"/>
          <w:szCs w:val="24"/>
        </w:rPr>
        <w:t>e</w:t>
      </w:r>
      <w:r w:rsidR="00E82711" w:rsidRPr="00E91A0B">
        <w:rPr>
          <w:rFonts w:ascii="Arial" w:hAnsi="Arial" w:cs="Arial"/>
          <w:sz w:val="24"/>
          <w:szCs w:val="24"/>
        </w:rPr>
        <w:t xml:space="preserve"> and</w:t>
      </w:r>
      <w:r w:rsidRPr="00E91A0B">
        <w:rPr>
          <w:rFonts w:ascii="Arial" w:hAnsi="Arial" w:cs="Arial"/>
          <w:sz w:val="24"/>
          <w:szCs w:val="24"/>
        </w:rPr>
        <w:t xml:space="preserve"> more widely used </w:t>
      </w:r>
      <w:r w:rsidR="00E82711" w:rsidRPr="00E91A0B">
        <w:rPr>
          <w:rFonts w:ascii="Arial" w:hAnsi="Arial" w:cs="Arial"/>
          <w:sz w:val="24"/>
          <w:szCs w:val="24"/>
        </w:rPr>
        <w:t>in organic farming systems</w:t>
      </w:r>
      <w:r w:rsidRPr="00E91A0B">
        <w:rPr>
          <w:rFonts w:ascii="Arial" w:hAnsi="Arial" w:cs="Arial"/>
          <w:sz w:val="24"/>
          <w:szCs w:val="24"/>
        </w:rPr>
        <w:t xml:space="preserve"> aid in dealing with </w:t>
      </w:r>
      <w:r w:rsidRPr="00E91A0B">
        <w:rPr>
          <w:rFonts w:ascii="Arial" w:hAnsi="Arial" w:cs="Arial"/>
          <w:bCs/>
          <w:color w:val="000000"/>
          <w:sz w:val="24"/>
          <w:szCs w:val="24"/>
        </w:rPr>
        <w:t>nutrient-rich compost for plants</w:t>
      </w:r>
      <w:r w:rsidRPr="00E91A0B">
        <w:rPr>
          <w:rFonts w:ascii="Arial" w:hAnsi="Arial" w:cs="Arial"/>
          <w:sz w:val="24"/>
          <w:szCs w:val="24"/>
        </w:rPr>
        <w:t xml:space="preserve"> with valuable bioresources. </w:t>
      </w:r>
    </w:p>
    <w:p w14:paraId="31E2EFF6" w14:textId="4A9D3AF4" w:rsidR="001075AB" w:rsidRPr="00E91A0B" w:rsidRDefault="0009409B" w:rsidP="00E91A0B">
      <w:pPr>
        <w:spacing w:after="0" w:line="480" w:lineRule="auto"/>
        <w:ind w:right="109"/>
        <w:rPr>
          <w:rFonts w:ascii="Arial" w:hAnsi="Arial" w:cs="Arial"/>
          <w:b/>
          <w:bCs/>
          <w:sz w:val="24"/>
          <w:szCs w:val="24"/>
        </w:rPr>
      </w:pPr>
      <w:r w:rsidRPr="00E91A0B">
        <w:rPr>
          <w:rFonts w:ascii="Arial" w:hAnsi="Arial" w:cs="Arial"/>
          <w:b/>
          <w:bCs/>
          <w:sz w:val="24"/>
          <w:szCs w:val="24"/>
        </w:rPr>
        <w:t>MATERIALS AND METHODS</w:t>
      </w:r>
    </w:p>
    <w:p w14:paraId="09047C73" w14:textId="38A507DC" w:rsidR="005F4C61" w:rsidRPr="00E91A0B" w:rsidRDefault="005F4C61" w:rsidP="00D340BE">
      <w:pPr>
        <w:spacing w:after="120" w:line="480" w:lineRule="auto"/>
        <w:ind w:firstLine="720"/>
        <w:jc w:val="both"/>
        <w:rPr>
          <w:rFonts w:ascii="Arial" w:hAnsi="Arial" w:cs="Arial"/>
          <w:sz w:val="24"/>
          <w:szCs w:val="24"/>
        </w:rPr>
      </w:pPr>
      <w:r w:rsidRPr="00E91A0B">
        <w:rPr>
          <w:rFonts w:ascii="Arial" w:hAnsi="Arial" w:cs="Arial"/>
          <w:sz w:val="24"/>
          <w:szCs w:val="24"/>
        </w:rPr>
        <w:t xml:space="preserve">The study was conducted at the Basic Seed Multiplication and Training Centre (BSM&amp;TC), Central Silk Board, </w:t>
      </w:r>
      <w:proofErr w:type="spellStart"/>
      <w:r w:rsidRPr="00E91A0B">
        <w:rPr>
          <w:rFonts w:ascii="Arial" w:hAnsi="Arial" w:cs="Arial"/>
          <w:sz w:val="24"/>
          <w:szCs w:val="24"/>
        </w:rPr>
        <w:t>Nabarangpur</w:t>
      </w:r>
      <w:proofErr w:type="spellEnd"/>
      <w:r w:rsidRPr="00E91A0B">
        <w:rPr>
          <w:rFonts w:ascii="Arial" w:hAnsi="Arial" w:cs="Arial"/>
          <w:sz w:val="24"/>
          <w:szCs w:val="24"/>
        </w:rPr>
        <w:t>, Odisha</w:t>
      </w:r>
      <w:r w:rsidR="001F7D46" w:rsidRPr="00E91A0B">
        <w:rPr>
          <w:rFonts w:ascii="Arial" w:hAnsi="Arial" w:cs="Arial"/>
          <w:sz w:val="24"/>
          <w:szCs w:val="24"/>
        </w:rPr>
        <w:t xml:space="preserve"> during 2024-25</w:t>
      </w:r>
      <w:r w:rsidR="00D61235" w:rsidRPr="00E91A0B">
        <w:rPr>
          <w:rFonts w:ascii="Arial" w:hAnsi="Arial" w:cs="Arial"/>
        </w:rPr>
        <w:t xml:space="preserve"> (</w:t>
      </w:r>
      <w:r w:rsidR="00D61235" w:rsidRPr="00E91A0B">
        <w:rPr>
          <w:rFonts w:ascii="Arial" w:hAnsi="Arial" w:cs="Arial"/>
          <w:sz w:val="24"/>
          <w:szCs w:val="24"/>
        </w:rPr>
        <w:t>7G3R+HJJ, Lat 19.2523</w:t>
      </w:r>
      <w:r w:rsidR="00D61235" w:rsidRPr="00E91A0B">
        <w:rPr>
          <w:rFonts w:ascii="Arial" w:hAnsi="Arial" w:cs="Arial"/>
          <w:sz w:val="24"/>
          <w:szCs w:val="24"/>
          <w:vertAlign w:val="superscript"/>
        </w:rPr>
        <w:t xml:space="preserve">o </w:t>
      </w:r>
      <w:r w:rsidR="00D61235" w:rsidRPr="00E91A0B">
        <w:rPr>
          <w:rFonts w:ascii="Arial" w:hAnsi="Arial" w:cs="Arial"/>
          <w:sz w:val="24"/>
          <w:szCs w:val="24"/>
        </w:rPr>
        <w:t>and Long 82.5425</w:t>
      </w:r>
      <w:r w:rsidR="00D61235" w:rsidRPr="00E91A0B">
        <w:rPr>
          <w:rFonts w:ascii="Arial" w:hAnsi="Arial" w:cs="Arial"/>
          <w:sz w:val="24"/>
          <w:szCs w:val="24"/>
          <w:vertAlign w:val="superscript"/>
        </w:rPr>
        <w:t>o</w:t>
      </w:r>
      <w:r w:rsidR="00D61235" w:rsidRPr="00E91A0B">
        <w:rPr>
          <w:rFonts w:ascii="Arial" w:hAnsi="Arial" w:cs="Arial"/>
          <w:sz w:val="24"/>
          <w:szCs w:val="24"/>
        </w:rPr>
        <w:t>)</w:t>
      </w:r>
      <w:r w:rsidRPr="00E91A0B">
        <w:rPr>
          <w:rFonts w:ascii="Arial" w:hAnsi="Arial" w:cs="Arial"/>
          <w:sz w:val="24"/>
          <w:szCs w:val="24"/>
        </w:rPr>
        <w:t xml:space="preserve">. Frass samples were collected from late-instar larvae of four silkworm species: </w:t>
      </w:r>
      <w:proofErr w:type="spellStart"/>
      <w:r w:rsidRPr="00E91A0B">
        <w:rPr>
          <w:rFonts w:ascii="Arial" w:hAnsi="Arial" w:cs="Arial"/>
          <w:b/>
          <w:bCs/>
          <w:sz w:val="24"/>
          <w:szCs w:val="24"/>
        </w:rPr>
        <w:t>Tasar</w:t>
      </w:r>
      <w:proofErr w:type="spellEnd"/>
      <w:r w:rsidRPr="00E91A0B">
        <w:rPr>
          <w:rFonts w:ascii="Arial" w:hAnsi="Arial" w:cs="Arial"/>
          <w:b/>
          <w:bCs/>
          <w:sz w:val="24"/>
          <w:szCs w:val="24"/>
        </w:rPr>
        <w:t xml:space="preserve">, </w:t>
      </w:r>
      <w:proofErr w:type="spellStart"/>
      <w:r w:rsidRPr="00E91A0B">
        <w:rPr>
          <w:rFonts w:ascii="Arial" w:hAnsi="Arial" w:cs="Arial"/>
          <w:b/>
          <w:bCs/>
          <w:sz w:val="24"/>
          <w:szCs w:val="24"/>
        </w:rPr>
        <w:t>Muga</w:t>
      </w:r>
      <w:proofErr w:type="spellEnd"/>
      <w:r w:rsidRPr="00E91A0B">
        <w:rPr>
          <w:rFonts w:ascii="Arial" w:hAnsi="Arial" w:cs="Arial"/>
          <w:b/>
          <w:bCs/>
          <w:sz w:val="24"/>
          <w:szCs w:val="24"/>
        </w:rPr>
        <w:t>, Mulberry, and Eri</w:t>
      </w:r>
      <w:r w:rsidRPr="00E91A0B">
        <w:rPr>
          <w:rFonts w:ascii="Arial" w:hAnsi="Arial" w:cs="Arial"/>
          <w:sz w:val="24"/>
          <w:szCs w:val="24"/>
        </w:rPr>
        <w:t>. All Frass samples was segregated and sent to the College of Sericulture, Chintamani, UAS, GKVK Bengaluru for the present study for the nutrient evaluation. The quality assessment done using standard methods shown in Table 1.</w:t>
      </w:r>
    </w:p>
    <w:p w14:paraId="0C270AC4" w14:textId="77777777" w:rsidR="005F4C61" w:rsidRPr="00E91A0B" w:rsidRDefault="005F4C61" w:rsidP="00D340BE">
      <w:pPr>
        <w:spacing w:after="120" w:line="480" w:lineRule="auto"/>
        <w:jc w:val="both"/>
        <w:rPr>
          <w:rFonts w:ascii="Arial" w:hAnsi="Arial" w:cs="Arial"/>
          <w:sz w:val="24"/>
          <w:szCs w:val="24"/>
        </w:rPr>
      </w:pPr>
      <w:r w:rsidRPr="00E91A0B">
        <w:rPr>
          <w:rFonts w:ascii="Arial" w:hAnsi="Arial" w:cs="Arial"/>
          <w:b/>
          <w:bCs/>
          <w:sz w:val="24"/>
          <w:szCs w:val="24"/>
        </w:rPr>
        <w:t>Macronutrients</w:t>
      </w:r>
      <w:r w:rsidRPr="00E91A0B">
        <w:rPr>
          <w:rFonts w:ascii="Arial" w:hAnsi="Arial" w:cs="Arial"/>
          <w:sz w:val="24"/>
          <w:szCs w:val="24"/>
        </w:rPr>
        <w:t>: Nitrogen (N), Phosphorus (P), Potassium (K)</w:t>
      </w:r>
    </w:p>
    <w:p w14:paraId="50D4C384" w14:textId="77777777" w:rsidR="005F4C61" w:rsidRPr="00E91A0B" w:rsidRDefault="005F4C61" w:rsidP="00D340BE">
      <w:pPr>
        <w:spacing w:after="120" w:line="480" w:lineRule="auto"/>
        <w:jc w:val="both"/>
        <w:rPr>
          <w:rFonts w:ascii="Arial" w:hAnsi="Arial" w:cs="Arial"/>
          <w:sz w:val="24"/>
          <w:szCs w:val="24"/>
        </w:rPr>
      </w:pPr>
      <w:r w:rsidRPr="00E91A0B">
        <w:rPr>
          <w:rFonts w:ascii="Arial" w:hAnsi="Arial" w:cs="Arial"/>
          <w:b/>
          <w:bCs/>
          <w:sz w:val="24"/>
          <w:szCs w:val="24"/>
        </w:rPr>
        <w:t>Secondary nutrients</w:t>
      </w:r>
      <w:r w:rsidRPr="00E91A0B">
        <w:rPr>
          <w:rFonts w:ascii="Arial" w:hAnsi="Arial" w:cs="Arial"/>
          <w:sz w:val="24"/>
          <w:szCs w:val="24"/>
        </w:rPr>
        <w:t>: Calcium (Ca), Magnesium (Mg), Sulphur (S)</w:t>
      </w:r>
    </w:p>
    <w:p w14:paraId="3F72D8FF" w14:textId="00701A08" w:rsidR="005F4C61" w:rsidRPr="00E91A0B" w:rsidRDefault="005F4C61" w:rsidP="00D340BE">
      <w:pPr>
        <w:spacing w:after="120" w:line="480" w:lineRule="auto"/>
        <w:jc w:val="both"/>
        <w:rPr>
          <w:rFonts w:ascii="Arial" w:hAnsi="Arial" w:cs="Arial"/>
          <w:sz w:val="24"/>
          <w:szCs w:val="24"/>
        </w:rPr>
      </w:pPr>
      <w:r w:rsidRPr="00E91A0B">
        <w:rPr>
          <w:rFonts w:ascii="Arial" w:hAnsi="Arial" w:cs="Arial"/>
          <w:b/>
          <w:bCs/>
          <w:sz w:val="24"/>
          <w:szCs w:val="24"/>
        </w:rPr>
        <w:t>Others</w:t>
      </w:r>
      <w:r w:rsidRPr="00E91A0B">
        <w:rPr>
          <w:rFonts w:ascii="Arial" w:hAnsi="Arial" w:cs="Arial"/>
          <w:sz w:val="24"/>
          <w:szCs w:val="24"/>
        </w:rPr>
        <w:t>: Carbon (C), C:N ratio, pH (1:10), Electrical Conductivity</w:t>
      </w:r>
    </w:p>
    <w:p w14:paraId="33FB7884" w14:textId="77777777" w:rsidR="005F4C61" w:rsidRPr="00E91A0B" w:rsidRDefault="005F4C61" w:rsidP="00D340BE">
      <w:pPr>
        <w:spacing w:after="120" w:line="480" w:lineRule="auto"/>
        <w:jc w:val="both"/>
        <w:rPr>
          <w:rFonts w:ascii="Arial" w:hAnsi="Arial" w:cs="Arial"/>
          <w:b/>
          <w:sz w:val="24"/>
          <w:szCs w:val="24"/>
        </w:rPr>
      </w:pPr>
      <w:r w:rsidRPr="00E91A0B">
        <w:rPr>
          <w:rFonts w:ascii="Arial" w:hAnsi="Arial" w:cs="Arial"/>
          <w:b/>
          <w:bCs/>
          <w:sz w:val="24"/>
          <w:szCs w:val="24"/>
        </w:rPr>
        <w:t>Statistical analysis</w:t>
      </w:r>
    </w:p>
    <w:p w14:paraId="514B3D8A" w14:textId="77777777" w:rsidR="005F4C61" w:rsidRPr="00E91A0B" w:rsidRDefault="005F4C61" w:rsidP="00D340BE">
      <w:pPr>
        <w:spacing w:after="120" w:line="480" w:lineRule="auto"/>
        <w:jc w:val="both"/>
        <w:rPr>
          <w:rFonts w:ascii="Arial" w:hAnsi="Arial" w:cs="Arial"/>
          <w:sz w:val="24"/>
          <w:szCs w:val="24"/>
        </w:rPr>
      </w:pPr>
      <w:r w:rsidRPr="00E91A0B">
        <w:rPr>
          <w:rFonts w:ascii="Arial" w:hAnsi="Arial" w:cs="Arial"/>
          <w:sz w:val="24"/>
          <w:szCs w:val="24"/>
        </w:rPr>
        <w:t xml:space="preserve">The study was conducted by completely randomized design (CRD) with three replications for each treatment. Treatments comprise silkworm frass from four different </w:t>
      </w:r>
      <w:r w:rsidRPr="00E91A0B">
        <w:rPr>
          <w:rFonts w:ascii="Arial" w:hAnsi="Arial" w:cs="Arial"/>
          <w:sz w:val="24"/>
          <w:szCs w:val="24"/>
        </w:rPr>
        <w:lastRenderedPageBreak/>
        <w:t xml:space="preserve">types </w:t>
      </w:r>
      <w:r w:rsidRPr="00E91A0B">
        <w:rPr>
          <w:rFonts w:ascii="Arial" w:hAnsi="Arial" w:cs="Arial"/>
          <w:i/>
          <w:iCs/>
          <w:sz w:val="24"/>
          <w:szCs w:val="24"/>
        </w:rPr>
        <w:t xml:space="preserve">viz.,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w:t>
      </w:r>
      <w:proofErr w:type="spellStart"/>
      <w:r w:rsidRPr="00E91A0B">
        <w:rPr>
          <w:rFonts w:ascii="Arial" w:hAnsi="Arial" w:cs="Arial"/>
          <w:sz w:val="24"/>
          <w:szCs w:val="24"/>
        </w:rPr>
        <w:t>Antheraea</w:t>
      </w:r>
      <w:proofErr w:type="spellEnd"/>
      <w:r w:rsidRPr="00E91A0B">
        <w:rPr>
          <w:rFonts w:ascii="Arial" w:hAnsi="Arial" w:cs="Arial"/>
          <w:sz w:val="24"/>
          <w:szCs w:val="24"/>
        </w:rPr>
        <w:t xml:space="preserve"> </w:t>
      </w:r>
      <w:proofErr w:type="spellStart"/>
      <w:r w:rsidRPr="00E91A0B">
        <w:rPr>
          <w:rFonts w:ascii="Arial" w:hAnsi="Arial" w:cs="Arial"/>
          <w:sz w:val="24"/>
          <w:szCs w:val="24"/>
        </w:rPr>
        <w:t>mylitta</w:t>
      </w:r>
      <w:proofErr w:type="spellEnd"/>
      <w:r w:rsidRPr="00E91A0B">
        <w:rPr>
          <w:rFonts w:ascii="Arial" w:hAnsi="Arial" w:cs="Arial"/>
          <w:sz w:val="24"/>
          <w:szCs w:val="24"/>
        </w:rPr>
        <w:t xml:space="preserve">), </w:t>
      </w:r>
      <w:proofErr w:type="spellStart"/>
      <w:r w:rsidRPr="00E91A0B">
        <w:rPr>
          <w:rFonts w:ascii="Arial" w:hAnsi="Arial" w:cs="Arial"/>
          <w:sz w:val="24"/>
          <w:szCs w:val="24"/>
        </w:rPr>
        <w:t>Muga</w:t>
      </w:r>
      <w:proofErr w:type="spellEnd"/>
      <w:r w:rsidRPr="00E91A0B">
        <w:rPr>
          <w:rFonts w:ascii="Arial" w:hAnsi="Arial" w:cs="Arial"/>
          <w:sz w:val="24"/>
          <w:szCs w:val="24"/>
        </w:rPr>
        <w:t xml:space="preserve"> (</w:t>
      </w:r>
      <w:proofErr w:type="spellStart"/>
      <w:r w:rsidRPr="00E91A0B">
        <w:rPr>
          <w:rFonts w:ascii="Arial" w:hAnsi="Arial" w:cs="Arial"/>
          <w:sz w:val="24"/>
          <w:szCs w:val="24"/>
        </w:rPr>
        <w:t>Antheraea</w:t>
      </w:r>
      <w:proofErr w:type="spellEnd"/>
      <w:r w:rsidRPr="00E91A0B">
        <w:rPr>
          <w:rFonts w:ascii="Arial" w:hAnsi="Arial" w:cs="Arial"/>
          <w:sz w:val="24"/>
          <w:szCs w:val="24"/>
        </w:rPr>
        <w:t xml:space="preserve"> </w:t>
      </w:r>
      <w:proofErr w:type="spellStart"/>
      <w:r w:rsidRPr="00E91A0B">
        <w:rPr>
          <w:rFonts w:ascii="Arial" w:hAnsi="Arial" w:cs="Arial"/>
          <w:sz w:val="24"/>
          <w:szCs w:val="24"/>
        </w:rPr>
        <w:t>assamensis</w:t>
      </w:r>
      <w:proofErr w:type="spellEnd"/>
      <w:r w:rsidRPr="00E91A0B">
        <w:rPr>
          <w:rFonts w:ascii="Arial" w:hAnsi="Arial" w:cs="Arial"/>
          <w:sz w:val="24"/>
          <w:szCs w:val="24"/>
        </w:rPr>
        <w:t>), Mulberry (Bombyx mori) and Eri (</w:t>
      </w:r>
      <w:proofErr w:type="spellStart"/>
      <w:r w:rsidRPr="00E91A0B">
        <w:rPr>
          <w:rFonts w:ascii="Arial" w:hAnsi="Arial" w:cs="Arial"/>
          <w:sz w:val="24"/>
          <w:szCs w:val="24"/>
        </w:rPr>
        <w:t>Samia</w:t>
      </w:r>
      <w:proofErr w:type="spellEnd"/>
      <w:r w:rsidRPr="00E91A0B">
        <w:rPr>
          <w:rFonts w:ascii="Arial" w:hAnsi="Arial" w:cs="Arial"/>
          <w:sz w:val="24"/>
          <w:szCs w:val="24"/>
        </w:rPr>
        <w:t xml:space="preserve"> </w:t>
      </w:r>
      <w:proofErr w:type="spellStart"/>
      <w:r w:rsidRPr="00E91A0B">
        <w:rPr>
          <w:rFonts w:ascii="Arial" w:hAnsi="Arial" w:cs="Arial"/>
          <w:sz w:val="24"/>
          <w:szCs w:val="24"/>
        </w:rPr>
        <w:t>ricini</w:t>
      </w:r>
      <w:proofErr w:type="spellEnd"/>
      <w:r w:rsidRPr="00E91A0B">
        <w:rPr>
          <w:rFonts w:ascii="Arial" w:hAnsi="Arial" w:cs="Arial"/>
          <w:sz w:val="24"/>
          <w:szCs w:val="24"/>
        </w:rPr>
        <w:t>) along with farmyard manure (FYM) as a standard reference.</w:t>
      </w:r>
    </w:p>
    <w:p w14:paraId="4E84ABF3" w14:textId="77777777" w:rsidR="005F4C61" w:rsidRPr="00E91A0B" w:rsidRDefault="005F4C61" w:rsidP="00D340BE">
      <w:pPr>
        <w:spacing w:after="120" w:line="480" w:lineRule="auto"/>
        <w:jc w:val="both"/>
        <w:rPr>
          <w:rFonts w:ascii="Arial" w:hAnsi="Arial" w:cs="Arial"/>
          <w:sz w:val="24"/>
          <w:szCs w:val="24"/>
        </w:rPr>
      </w:pPr>
      <w:r w:rsidRPr="00E91A0B">
        <w:rPr>
          <w:rFonts w:ascii="Arial" w:hAnsi="Arial" w:cs="Arial"/>
          <w:sz w:val="24"/>
          <w:szCs w:val="24"/>
        </w:rPr>
        <w:t>The data obtained on different macronutrients, micronutrients and physiochemical properties after the laboratory analysis has been subjected to one way ANOVA using standard statistical procedures to know the significance of difference among the treatments. The critical difference (CD) at 5% level of significance (p&lt; 0.05) has been calculated to separate the treatment means whenever ANOVA indicated significant effects. Standard error of mean (</w:t>
      </w:r>
      <w:proofErr w:type="spellStart"/>
      <w:r w:rsidRPr="00E91A0B">
        <w:rPr>
          <w:rFonts w:ascii="Arial" w:hAnsi="Arial" w:cs="Arial"/>
          <w:sz w:val="24"/>
          <w:szCs w:val="24"/>
        </w:rPr>
        <w:t>SEm</w:t>
      </w:r>
      <w:proofErr w:type="spellEnd"/>
      <w:r w:rsidRPr="00E91A0B">
        <w:rPr>
          <w:rFonts w:ascii="Arial" w:hAnsi="Arial" w:cs="Arial"/>
          <w:sz w:val="24"/>
          <w:szCs w:val="24"/>
        </w:rPr>
        <w:t>) values were also calculated to indicate data variability across replications (</w:t>
      </w:r>
      <w:proofErr w:type="spellStart"/>
      <w:r w:rsidRPr="00E91A0B">
        <w:rPr>
          <w:rFonts w:ascii="Arial" w:hAnsi="Arial" w:cs="Arial"/>
          <w:sz w:val="24"/>
          <w:szCs w:val="24"/>
        </w:rPr>
        <w:t>Panse</w:t>
      </w:r>
      <w:proofErr w:type="spellEnd"/>
      <w:r w:rsidRPr="00E91A0B">
        <w:rPr>
          <w:rFonts w:ascii="Arial" w:hAnsi="Arial" w:cs="Arial"/>
          <w:sz w:val="24"/>
          <w:szCs w:val="24"/>
        </w:rPr>
        <w:t xml:space="preserve"> and </w:t>
      </w:r>
      <w:proofErr w:type="spellStart"/>
      <w:r w:rsidRPr="00E91A0B">
        <w:rPr>
          <w:rFonts w:ascii="Arial" w:hAnsi="Arial" w:cs="Arial"/>
          <w:sz w:val="24"/>
          <w:szCs w:val="24"/>
        </w:rPr>
        <w:t>Sukhatme</w:t>
      </w:r>
      <w:proofErr w:type="spellEnd"/>
      <w:r w:rsidRPr="00E91A0B">
        <w:rPr>
          <w:rFonts w:ascii="Arial" w:hAnsi="Arial" w:cs="Arial"/>
          <w:sz w:val="24"/>
          <w:szCs w:val="24"/>
        </w:rPr>
        <w:t>, 1967). Duncan's Multiple Range Test (DMRT) was used for comparing treatment means (Duncan, 1955).</w:t>
      </w:r>
    </w:p>
    <w:p w14:paraId="060300D5" w14:textId="42C6C8CD" w:rsidR="002B359C" w:rsidRPr="00E91A0B" w:rsidRDefault="002B359C" w:rsidP="00E91A0B">
      <w:pPr>
        <w:spacing w:after="0" w:line="480" w:lineRule="auto"/>
        <w:rPr>
          <w:rFonts w:ascii="Arial" w:hAnsi="Arial" w:cs="Arial"/>
          <w:b/>
          <w:bCs/>
          <w:sz w:val="24"/>
          <w:szCs w:val="24"/>
        </w:rPr>
      </w:pPr>
      <w:r w:rsidRPr="00E91A0B">
        <w:rPr>
          <w:rFonts w:ascii="Arial" w:hAnsi="Arial" w:cs="Arial"/>
          <w:b/>
          <w:bCs/>
          <w:sz w:val="24"/>
          <w:szCs w:val="24"/>
        </w:rPr>
        <w:t>RESULTS AND DISCUSSION</w:t>
      </w:r>
    </w:p>
    <w:p w14:paraId="0A671494" w14:textId="4D4EE459" w:rsidR="005F4C61" w:rsidRPr="00E91A0B" w:rsidRDefault="005F4C61" w:rsidP="00D340BE">
      <w:pPr>
        <w:spacing w:after="120" w:line="480" w:lineRule="auto"/>
        <w:jc w:val="both"/>
        <w:rPr>
          <w:rFonts w:ascii="Arial" w:hAnsi="Arial" w:cs="Arial"/>
          <w:b/>
          <w:bCs/>
          <w:sz w:val="24"/>
          <w:szCs w:val="24"/>
        </w:rPr>
      </w:pPr>
      <w:r w:rsidRPr="00E91A0B">
        <w:rPr>
          <w:rFonts w:ascii="Arial" w:hAnsi="Arial" w:cs="Arial"/>
          <w:b/>
          <w:bCs/>
          <w:sz w:val="24"/>
          <w:szCs w:val="24"/>
        </w:rPr>
        <w:t xml:space="preserve">Nutrient </w:t>
      </w:r>
      <w:r w:rsidR="00791A4F" w:rsidRPr="00E91A0B">
        <w:rPr>
          <w:rFonts w:ascii="Arial" w:hAnsi="Arial" w:cs="Arial"/>
          <w:b/>
          <w:bCs/>
          <w:sz w:val="24"/>
          <w:szCs w:val="24"/>
        </w:rPr>
        <w:t>p</w:t>
      </w:r>
      <w:r w:rsidRPr="00E91A0B">
        <w:rPr>
          <w:rFonts w:ascii="Arial" w:hAnsi="Arial" w:cs="Arial"/>
          <w:b/>
          <w:bCs/>
          <w:sz w:val="24"/>
          <w:szCs w:val="24"/>
        </w:rPr>
        <w:t xml:space="preserve">rofile </w:t>
      </w:r>
      <w:r w:rsidR="00791A4F" w:rsidRPr="00E91A0B">
        <w:rPr>
          <w:rFonts w:ascii="Arial" w:hAnsi="Arial" w:cs="Arial"/>
          <w:b/>
          <w:bCs/>
          <w:sz w:val="24"/>
          <w:szCs w:val="24"/>
        </w:rPr>
        <w:t>c</w:t>
      </w:r>
      <w:r w:rsidRPr="00E91A0B">
        <w:rPr>
          <w:rFonts w:ascii="Arial" w:hAnsi="Arial" w:cs="Arial"/>
          <w:b/>
          <w:bCs/>
          <w:sz w:val="24"/>
          <w:szCs w:val="24"/>
        </w:rPr>
        <w:t>omparison</w:t>
      </w:r>
      <w:r w:rsidR="003200DC" w:rsidRPr="00E91A0B">
        <w:rPr>
          <w:rFonts w:ascii="Arial" w:hAnsi="Arial" w:cs="Arial"/>
          <w:b/>
          <w:bCs/>
          <w:sz w:val="24"/>
          <w:szCs w:val="24"/>
        </w:rPr>
        <w:t>:</w:t>
      </w:r>
      <w:r w:rsidRPr="00E91A0B">
        <w:rPr>
          <w:rFonts w:ascii="Arial" w:hAnsi="Arial" w:cs="Arial"/>
          <w:b/>
          <w:bCs/>
          <w:sz w:val="24"/>
          <w:szCs w:val="24"/>
        </w:rPr>
        <w:t xml:space="preserve"> </w:t>
      </w:r>
      <w:r w:rsidR="003200DC" w:rsidRPr="00E91A0B">
        <w:rPr>
          <w:rFonts w:ascii="Arial" w:hAnsi="Arial" w:cs="Arial"/>
          <w:sz w:val="24"/>
          <w:szCs w:val="24"/>
        </w:rPr>
        <w:t>A</w:t>
      </w:r>
      <w:r w:rsidRPr="00E91A0B">
        <w:rPr>
          <w:rFonts w:ascii="Arial" w:hAnsi="Arial" w:cs="Arial"/>
          <w:sz w:val="24"/>
          <w:szCs w:val="24"/>
        </w:rPr>
        <w:t xml:space="preserve"> comparative assessment of the nutrient profile of silkworm frass derived from four species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w:t>
      </w:r>
      <w:proofErr w:type="spellStart"/>
      <w:r w:rsidRPr="00E91A0B">
        <w:rPr>
          <w:rFonts w:ascii="Arial" w:hAnsi="Arial" w:cs="Arial"/>
          <w:sz w:val="24"/>
          <w:szCs w:val="24"/>
        </w:rPr>
        <w:t>Muga</w:t>
      </w:r>
      <w:proofErr w:type="spellEnd"/>
      <w:r w:rsidRPr="00E91A0B">
        <w:rPr>
          <w:rFonts w:ascii="Arial" w:hAnsi="Arial" w:cs="Arial"/>
          <w:sz w:val="24"/>
          <w:szCs w:val="24"/>
        </w:rPr>
        <w:t>, Mulberry, and Eri</w:t>
      </w:r>
      <w:r w:rsidR="009F1203" w:rsidRPr="00E91A0B">
        <w:rPr>
          <w:rFonts w:ascii="Arial" w:hAnsi="Arial" w:cs="Arial"/>
          <w:sz w:val="24"/>
          <w:szCs w:val="24"/>
        </w:rPr>
        <w:t xml:space="preserve"> </w:t>
      </w:r>
      <w:r w:rsidRPr="00E91A0B">
        <w:rPr>
          <w:rFonts w:ascii="Arial" w:hAnsi="Arial" w:cs="Arial"/>
          <w:sz w:val="24"/>
          <w:szCs w:val="24"/>
        </w:rPr>
        <w:t>was conducted, with farmyard manure (FYM) serving as the conventional organic amendment. The results, as presented in Table 2,</w:t>
      </w:r>
      <w:r w:rsidR="00F53DB4" w:rsidRPr="00E91A0B">
        <w:rPr>
          <w:rFonts w:ascii="Arial" w:hAnsi="Arial" w:cs="Arial"/>
          <w:sz w:val="24"/>
          <w:szCs w:val="24"/>
        </w:rPr>
        <w:t xml:space="preserve"> </w:t>
      </w:r>
      <w:r w:rsidR="009E1A6B" w:rsidRPr="00E91A0B">
        <w:rPr>
          <w:rFonts w:ascii="Arial" w:hAnsi="Arial" w:cs="Arial"/>
          <w:sz w:val="24"/>
          <w:szCs w:val="24"/>
        </w:rPr>
        <w:t>(</w:t>
      </w:r>
      <w:r w:rsidR="00F53DB4" w:rsidRPr="00E91A0B">
        <w:rPr>
          <w:rFonts w:ascii="Arial" w:hAnsi="Arial" w:cs="Arial"/>
          <w:sz w:val="24"/>
          <w:szCs w:val="24"/>
        </w:rPr>
        <w:t>Fig 1</w:t>
      </w:r>
      <w:r w:rsidR="009E1A6B" w:rsidRPr="00E91A0B">
        <w:rPr>
          <w:rFonts w:ascii="Arial" w:hAnsi="Arial" w:cs="Arial"/>
          <w:sz w:val="24"/>
          <w:szCs w:val="24"/>
        </w:rPr>
        <w:t>)</w:t>
      </w:r>
      <w:r w:rsidRPr="00E91A0B">
        <w:rPr>
          <w:rFonts w:ascii="Arial" w:hAnsi="Arial" w:cs="Arial"/>
          <w:sz w:val="24"/>
          <w:szCs w:val="24"/>
        </w:rPr>
        <w:t xml:space="preserve"> revealed significant differences in the macro- and micronutrient contents among the treatments.</w:t>
      </w:r>
    </w:p>
    <w:p w14:paraId="3E161B90" w14:textId="422C4E67" w:rsidR="005F4C61" w:rsidRPr="00E91A0B" w:rsidRDefault="005F4C61" w:rsidP="00F53DB4">
      <w:pPr>
        <w:spacing w:after="120" w:line="480" w:lineRule="auto"/>
        <w:ind w:firstLine="720"/>
        <w:jc w:val="both"/>
        <w:rPr>
          <w:rFonts w:ascii="Arial" w:hAnsi="Arial" w:cs="Arial"/>
          <w:sz w:val="24"/>
          <w:szCs w:val="24"/>
        </w:rPr>
      </w:pPr>
      <w:r w:rsidRPr="00E91A0B">
        <w:rPr>
          <w:rFonts w:ascii="Arial" w:hAnsi="Arial" w:cs="Arial"/>
          <w:sz w:val="24"/>
          <w:szCs w:val="24"/>
        </w:rPr>
        <w:t xml:space="preserve">Nitrogen (N) content was found to be markedly higher in all silkworm frass samples compared to FYM. Muga frass recorded the highest nitrogen concentration at 2.13%, followed closely by Mulberry (2.09%),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(1.82%), and Eri (1.78%). In contrast, FYM contained only 0.87% nitrogen. This nearly two and half fold increase in nitrogen availability underscores the potential of silkworm frass as a significant organic source for plant growth, particularly in low-inputs.</w:t>
      </w:r>
      <w:r w:rsidR="00F53DB4" w:rsidRPr="00E91A0B">
        <w:rPr>
          <w:rFonts w:ascii="Arial" w:hAnsi="Arial" w:cs="Arial"/>
          <w:sz w:val="24"/>
          <w:szCs w:val="24"/>
        </w:rPr>
        <w:t xml:space="preserve"> </w:t>
      </w:r>
      <w:r w:rsidRPr="00E91A0B">
        <w:rPr>
          <w:rFonts w:ascii="Arial" w:hAnsi="Arial" w:cs="Arial"/>
          <w:sz w:val="24"/>
          <w:szCs w:val="24"/>
        </w:rPr>
        <w:t xml:space="preserve">In phosphorus (P) availability, Mulberry frass outperformed all others with a content of 0.68%, which was approximately 39% higher than the phosphorus content in FYM (0.49%). Muga </w:t>
      </w:r>
      <w:r w:rsidRPr="00E91A0B">
        <w:rPr>
          <w:rFonts w:ascii="Arial" w:hAnsi="Arial" w:cs="Arial"/>
          <w:sz w:val="24"/>
          <w:szCs w:val="24"/>
        </w:rPr>
        <w:lastRenderedPageBreak/>
        <w:t xml:space="preserve">(0.42%), Eri (0.39%), and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(0.30%) also demonstrated sufficient phosphorus levels, suggesting that silkworm frass can contribute substantially to the phosphorus needs of crops, especially in P-deficient soils.</w:t>
      </w:r>
      <w:r w:rsidR="00F53DB4" w:rsidRPr="00E91A0B">
        <w:rPr>
          <w:rFonts w:ascii="Arial" w:hAnsi="Arial" w:cs="Arial"/>
          <w:sz w:val="24"/>
          <w:szCs w:val="24"/>
        </w:rPr>
        <w:t xml:space="preserve"> </w:t>
      </w:r>
      <w:r w:rsidRPr="00E91A0B">
        <w:rPr>
          <w:rFonts w:ascii="Arial" w:hAnsi="Arial" w:cs="Arial"/>
          <w:sz w:val="24"/>
          <w:szCs w:val="24"/>
        </w:rPr>
        <w:t xml:space="preserve">Potassium (K) content followed a similar trend, with Muga (1.62%) and Mulberry (1.58%) frass showing significantly elevated levels relative to FYM (0.77%).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(1.28%) and Eri (1.15%) also presented higher K content, making all silkworm frass samples superior alternatives to FYM in terms of potassium enrichment. Since potassium is vital for plant water regulation, enzymatic activity, and disease resistance and have significant implications for improving crop resilience and productivity</w:t>
      </w:r>
      <w:r w:rsidR="008D5EDD" w:rsidRPr="00E91A0B">
        <w:rPr>
          <w:rFonts w:ascii="Arial" w:hAnsi="Arial" w:cs="Arial"/>
          <w:sz w:val="24"/>
          <w:szCs w:val="24"/>
        </w:rPr>
        <w:t xml:space="preserve"> (</w:t>
      </w:r>
      <w:r w:rsidR="00EA55FD" w:rsidRPr="00E91A0B">
        <w:rPr>
          <w:rFonts w:ascii="Arial" w:hAnsi="Arial" w:cs="Arial"/>
          <w:color w:val="222222"/>
          <w:sz w:val="24"/>
          <w:szCs w:val="24"/>
          <w:shd w:val="clear" w:color="auto" w:fill="FFFFFF"/>
        </w:rPr>
        <w:t xml:space="preserve">Lindsay, 1978; Lomonaco </w:t>
      </w:r>
      <w:r w:rsidR="008D5EDD" w:rsidRPr="00E91A0B">
        <w:rPr>
          <w:rFonts w:ascii="Arial" w:hAnsi="Arial" w:cs="Arial"/>
          <w:color w:val="222222"/>
          <w:sz w:val="24"/>
          <w:szCs w:val="24"/>
          <w:shd w:val="clear" w:color="auto" w:fill="FFFFFF"/>
        </w:rPr>
        <w:t>et al</w:t>
      </w:r>
      <w:r w:rsidR="00EA55FD" w:rsidRPr="00E91A0B">
        <w:rPr>
          <w:rFonts w:ascii="Arial" w:hAnsi="Arial" w:cs="Arial"/>
          <w:color w:val="222222"/>
          <w:sz w:val="24"/>
          <w:szCs w:val="24"/>
          <w:shd w:val="clear" w:color="auto" w:fill="FFFFFF"/>
        </w:rPr>
        <w:t>.</w:t>
      </w:r>
      <w:r w:rsidR="008D5EDD" w:rsidRPr="00E91A0B">
        <w:rPr>
          <w:rFonts w:ascii="Arial" w:hAnsi="Arial" w:cs="Arial"/>
          <w:color w:val="222222"/>
          <w:sz w:val="24"/>
          <w:szCs w:val="24"/>
          <w:shd w:val="clear" w:color="auto" w:fill="FFFFFF"/>
        </w:rPr>
        <w:t>, 202</w:t>
      </w:r>
      <w:r w:rsidR="00EA55FD" w:rsidRPr="00E91A0B">
        <w:rPr>
          <w:rFonts w:ascii="Arial" w:hAnsi="Arial" w:cs="Arial"/>
          <w:color w:val="222222"/>
          <w:sz w:val="24"/>
          <w:szCs w:val="24"/>
          <w:shd w:val="clear" w:color="auto" w:fill="FFFFFF"/>
        </w:rPr>
        <w:t>4</w:t>
      </w:r>
      <w:r w:rsidR="008D5EDD" w:rsidRPr="00E91A0B">
        <w:rPr>
          <w:rFonts w:ascii="Arial" w:hAnsi="Arial" w:cs="Arial"/>
          <w:color w:val="222222"/>
          <w:sz w:val="24"/>
          <w:szCs w:val="24"/>
          <w:shd w:val="clear" w:color="auto" w:fill="FFFFFF"/>
        </w:rPr>
        <w:t>)</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 xml:space="preserve">Among the secondary macronutrients, calcium (Ca) content was highest in FYM (0.68%), while frass samples showed low values, ranges from 0.13% in Muga to 0.24% in </w:t>
      </w:r>
      <w:proofErr w:type="spellStart"/>
      <w:r w:rsidRPr="00E91A0B">
        <w:rPr>
          <w:rFonts w:ascii="Arial" w:hAnsi="Arial" w:cs="Arial"/>
          <w:sz w:val="24"/>
          <w:szCs w:val="24"/>
        </w:rPr>
        <w:t>Tasar</w:t>
      </w:r>
      <w:proofErr w:type="spellEnd"/>
      <w:r w:rsidRPr="00E91A0B">
        <w:rPr>
          <w:rFonts w:ascii="Arial" w:hAnsi="Arial" w:cs="Arial"/>
          <w:sz w:val="24"/>
          <w:szCs w:val="24"/>
        </w:rPr>
        <w:t>. This indicates that while silkworm frass may not serve as a primary calcium source, it can complement FYM or other calcium-rich inputs.</w:t>
      </w:r>
      <w:r w:rsidR="00F53DB4" w:rsidRPr="00E91A0B">
        <w:rPr>
          <w:rFonts w:ascii="Arial" w:hAnsi="Arial" w:cs="Arial"/>
          <w:sz w:val="24"/>
          <w:szCs w:val="24"/>
        </w:rPr>
        <w:t xml:space="preserve"> </w:t>
      </w:r>
      <w:r w:rsidRPr="00E91A0B">
        <w:rPr>
          <w:rFonts w:ascii="Arial" w:hAnsi="Arial" w:cs="Arial"/>
          <w:sz w:val="24"/>
          <w:szCs w:val="24"/>
        </w:rPr>
        <w:t xml:space="preserve">Magnesium (Mg) levels were moderately high in Eri </w:t>
      </w:r>
      <w:proofErr w:type="spellStart"/>
      <w:r w:rsidRPr="00E91A0B">
        <w:rPr>
          <w:rFonts w:ascii="Arial" w:hAnsi="Arial" w:cs="Arial"/>
          <w:sz w:val="24"/>
          <w:szCs w:val="24"/>
        </w:rPr>
        <w:t>frass</w:t>
      </w:r>
      <w:proofErr w:type="spellEnd"/>
      <w:r w:rsidRPr="00E91A0B">
        <w:rPr>
          <w:rFonts w:ascii="Arial" w:hAnsi="Arial" w:cs="Arial"/>
          <w:sz w:val="24"/>
          <w:szCs w:val="24"/>
        </w:rPr>
        <w:t xml:space="preserve"> (0.57%) and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(0.47%), and were comparable to FYM (0.62%). Mulberry and Muga frass had relatively lower values of 0.37% and 0.32%, respectively. The presence of sufficient magnesium is crucial for chlorophyll synthesis and enzyme activation in plants.</w:t>
      </w:r>
      <w:r w:rsidR="00F53DB4" w:rsidRPr="00E91A0B">
        <w:rPr>
          <w:rFonts w:ascii="Arial" w:hAnsi="Arial" w:cs="Arial"/>
          <w:sz w:val="24"/>
          <w:szCs w:val="24"/>
        </w:rPr>
        <w:t xml:space="preserve"> </w:t>
      </w:r>
      <w:r w:rsidRPr="00E91A0B">
        <w:rPr>
          <w:rFonts w:ascii="Arial" w:hAnsi="Arial" w:cs="Arial"/>
          <w:sz w:val="24"/>
          <w:szCs w:val="24"/>
        </w:rPr>
        <w:t xml:space="preserve">A noteworthy result was observed for sulphur (S). All four types of silkworm frass show substantially higher sulphur content than FYM (0.13%), with Eri frass leading at 0.82%, followed by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(0.61%), </w:t>
      </w:r>
      <w:proofErr w:type="spellStart"/>
      <w:r w:rsidRPr="00E91A0B">
        <w:rPr>
          <w:rFonts w:ascii="Arial" w:hAnsi="Arial" w:cs="Arial"/>
          <w:sz w:val="24"/>
          <w:szCs w:val="24"/>
        </w:rPr>
        <w:t>Muga</w:t>
      </w:r>
      <w:proofErr w:type="spellEnd"/>
      <w:r w:rsidRPr="00E91A0B">
        <w:rPr>
          <w:rFonts w:ascii="Arial" w:hAnsi="Arial" w:cs="Arial"/>
          <w:sz w:val="24"/>
          <w:szCs w:val="24"/>
        </w:rPr>
        <w:t xml:space="preserve"> (0.57%), and Mulberry (0.46%). It is essential for amino acid synthesis and improving the nutritional quality of crops. The elevated sulphur levels suggest that silkworm frass can play a key role in mitigating sulphur deficiencies in cropping systems</w:t>
      </w:r>
      <w:r w:rsidR="00DD30BB" w:rsidRPr="00E91A0B">
        <w:rPr>
          <w:rFonts w:ascii="Arial" w:hAnsi="Arial" w:cs="Arial"/>
          <w:sz w:val="24"/>
          <w:szCs w:val="24"/>
        </w:rPr>
        <w:t xml:space="preserve"> (</w:t>
      </w:r>
      <w:proofErr w:type="spellStart"/>
      <w:r w:rsidR="00DD30BB" w:rsidRPr="00E91A0B">
        <w:rPr>
          <w:rFonts w:ascii="Arial" w:hAnsi="Arial" w:cs="Arial"/>
          <w:color w:val="222222"/>
          <w:sz w:val="24"/>
          <w:szCs w:val="24"/>
          <w:shd w:val="clear" w:color="auto" w:fill="FFFFFF"/>
        </w:rPr>
        <w:t>Suraporn</w:t>
      </w:r>
      <w:proofErr w:type="spellEnd"/>
      <w:r w:rsidR="00DD30BB" w:rsidRPr="00E91A0B">
        <w:rPr>
          <w:rFonts w:ascii="Arial" w:hAnsi="Arial" w:cs="Arial"/>
          <w:color w:val="222222"/>
          <w:sz w:val="24"/>
          <w:szCs w:val="24"/>
          <w:shd w:val="clear" w:color="auto" w:fill="FFFFFF"/>
        </w:rPr>
        <w:t xml:space="preserve"> et al</w:t>
      </w:r>
      <w:r w:rsidR="00E10E14" w:rsidRPr="00E91A0B">
        <w:rPr>
          <w:rFonts w:ascii="Arial" w:hAnsi="Arial" w:cs="Arial"/>
          <w:color w:val="222222"/>
          <w:sz w:val="24"/>
          <w:szCs w:val="24"/>
          <w:shd w:val="clear" w:color="auto" w:fill="FFFFFF"/>
        </w:rPr>
        <w:t>.</w:t>
      </w:r>
      <w:r w:rsidR="00DD30BB" w:rsidRPr="00E91A0B">
        <w:rPr>
          <w:rFonts w:ascii="Arial" w:hAnsi="Arial" w:cs="Arial"/>
          <w:color w:val="222222"/>
          <w:sz w:val="24"/>
          <w:szCs w:val="24"/>
          <w:shd w:val="clear" w:color="auto" w:fill="FFFFFF"/>
        </w:rPr>
        <w:t xml:space="preserve">, 2024; </w:t>
      </w:r>
      <w:proofErr w:type="spellStart"/>
      <w:r w:rsidR="00DD30BB" w:rsidRPr="00E91A0B">
        <w:rPr>
          <w:rFonts w:ascii="Arial" w:hAnsi="Arial" w:cs="Arial"/>
          <w:color w:val="222222"/>
          <w:sz w:val="24"/>
          <w:szCs w:val="24"/>
          <w:shd w:val="clear" w:color="auto" w:fill="FFFFFF"/>
        </w:rPr>
        <w:t>Gajalakshmi</w:t>
      </w:r>
      <w:proofErr w:type="spellEnd"/>
      <w:r w:rsidR="00DD30BB" w:rsidRPr="00E91A0B">
        <w:rPr>
          <w:rFonts w:ascii="Arial" w:hAnsi="Arial" w:cs="Arial"/>
          <w:color w:val="222222"/>
          <w:sz w:val="24"/>
          <w:szCs w:val="24"/>
          <w:shd w:val="clear" w:color="auto" w:fill="FFFFFF"/>
        </w:rPr>
        <w:t xml:space="preserve"> and </w:t>
      </w:r>
      <w:proofErr w:type="spellStart"/>
      <w:r w:rsidR="00DD30BB" w:rsidRPr="00E91A0B">
        <w:rPr>
          <w:rFonts w:ascii="Arial" w:hAnsi="Arial" w:cs="Arial"/>
          <w:color w:val="222222"/>
          <w:sz w:val="24"/>
          <w:szCs w:val="24"/>
          <w:shd w:val="clear" w:color="auto" w:fill="FFFFFF"/>
        </w:rPr>
        <w:t>Abbsi</w:t>
      </w:r>
      <w:proofErr w:type="spellEnd"/>
      <w:r w:rsidR="00DD30BB" w:rsidRPr="00E91A0B">
        <w:rPr>
          <w:rFonts w:ascii="Arial" w:hAnsi="Arial" w:cs="Arial"/>
          <w:color w:val="222222"/>
          <w:sz w:val="24"/>
          <w:szCs w:val="24"/>
          <w:shd w:val="clear" w:color="auto" w:fill="FFFFFF"/>
        </w:rPr>
        <w:t>, 2008)</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 xml:space="preserve">Organic carbon (C) content varied widely among the samples, with FYM recording the highest level at 48.90%, reflective of its high fibrous and lignified content. Among frass types, Muga had the highest carbon </w:t>
      </w:r>
      <w:r w:rsidRPr="00E91A0B">
        <w:rPr>
          <w:rFonts w:ascii="Arial" w:hAnsi="Arial" w:cs="Arial"/>
          <w:sz w:val="24"/>
          <w:szCs w:val="24"/>
        </w:rPr>
        <w:lastRenderedPageBreak/>
        <w:t xml:space="preserve">concentration at 33.02%, followed by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(27.10%), Eri (25.30%), and Mulberry (18.10%). Although the carbon content in silkworm frass is lower than FYM, it remains significant and contributes to the long-term improvement of soil organic matter and structure</w:t>
      </w:r>
      <w:r w:rsidR="00212771" w:rsidRPr="00E91A0B">
        <w:rPr>
          <w:rFonts w:ascii="Arial" w:hAnsi="Arial" w:cs="Arial"/>
          <w:sz w:val="24"/>
          <w:szCs w:val="24"/>
        </w:rPr>
        <w:t xml:space="preserve"> </w:t>
      </w:r>
      <w:r w:rsidR="009E1A6B" w:rsidRPr="00E91A0B">
        <w:rPr>
          <w:rFonts w:ascii="Arial" w:hAnsi="Arial" w:cs="Arial"/>
          <w:sz w:val="24"/>
          <w:szCs w:val="24"/>
        </w:rPr>
        <w:t>(</w:t>
      </w:r>
      <w:r w:rsidR="00212771" w:rsidRPr="00E91A0B">
        <w:rPr>
          <w:rFonts w:ascii="Arial" w:hAnsi="Arial" w:cs="Arial"/>
          <w:sz w:val="24"/>
          <w:szCs w:val="24"/>
        </w:rPr>
        <w:t>Fig 2</w:t>
      </w:r>
      <w:r w:rsidR="009E1A6B" w:rsidRPr="00E91A0B">
        <w:rPr>
          <w:rFonts w:ascii="Arial" w:hAnsi="Arial" w:cs="Arial"/>
          <w:sz w:val="24"/>
          <w:szCs w:val="24"/>
        </w:rPr>
        <w:t>)</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The carbon-to-nitrogen (</w:t>
      </w:r>
      <w:proofErr w:type="gramStart"/>
      <w:r w:rsidRPr="00E91A0B">
        <w:rPr>
          <w:rFonts w:ascii="Arial" w:hAnsi="Arial" w:cs="Arial"/>
          <w:sz w:val="24"/>
          <w:szCs w:val="24"/>
        </w:rPr>
        <w:t>C:N</w:t>
      </w:r>
      <w:proofErr w:type="gramEnd"/>
      <w:r w:rsidRPr="00E91A0B">
        <w:rPr>
          <w:rFonts w:ascii="Arial" w:hAnsi="Arial" w:cs="Arial"/>
          <w:sz w:val="24"/>
          <w:szCs w:val="24"/>
        </w:rPr>
        <w:t xml:space="preserve">) ratio, an indicator of organic matter decomposition potential, was notably lower in silkworm frass than in FYM. FYM exhibited a high C:N ratio of 40.0 suggesting slower decomposition and delayed nutrient release. In contrast, Mulberry frass showed a remarkably low C:N ratio of 9.04, indicating rapid mineralization and faster nutrient availability. Other frass types Muga (15.45), Eri (16.02), and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(16.75) also demonstrated </w:t>
      </w:r>
      <w:proofErr w:type="spellStart"/>
      <w:r w:rsidRPr="00E91A0B">
        <w:rPr>
          <w:rFonts w:ascii="Arial" w:hAnsi="Arial" w:cs="Arial"/>
          <w:sz w:val="24"/>
          <w:szCs w:val="24"/>
        </w:rPr>
        <w:t>favorable</w:t>
      </w:r>
      <w:proofErr w:type="spellEnd"/>
      <w:r w:rsidRPr="00E91A0B">
        <w:rPr>
          <w:rFonts w:ascii="Arial" w:hAnsi="Arial" w:cs="Arial"/>
          <w:sz w:val="24"/>
          <w:szCs w:val="24"/>
        </w:rPr>
        <w:t xml:space="preserve"> C:N ratios, comparable to those of vermicompost, highlighting their efficiency as quick-release organic fertilizers</w:t>
      </w:r>
      <w:r w:rsidR="00212771" w:rsidRPr="00E91A0B">
        <w:rPr>
          <w:rFonts w:ascii="Arial" w:hAnsi="Arial" w:cs="Arial"/>
          <w:sz w:val="24"/>
          <w:szCs w:val="24"/>
        </w:rPr>
        <w:t xml:space="preserve"> </w:t>
      </w:r>
      <w:r w:rsidR="00EA55FD" w:rsidRPr="00E91A0B">
        <w:rPr>
          <w:rFonts w:ascii="Arial" w:hAnsi="Arial" w:cs="Arial"/>
          <w:sz w:val="24"/>
          <w:szCs w:val="24"/>
        </w:rPr>
        <w:t>(</w:t>
      </w:r>
      <w:r w:rsidR="00212771" w:rsidRPr="00E91A0B">
        <w:rPr>
          <w:rFonts w:ascii="Arial" w:hAnsi="Arial" w:cs="Arial"/>
          <w:sz w:val="24"/>
          <w:szCs w:val="24"/>
        </w:rPr>
        <w:t>Fig 3</w:t>
      </w:r>
      <w:r w:rsidR="00EA55FD" w:rsidRPr="00E91A0B">
        <w:rPr>
          <w:rFonts w:ascii="Arial" w:hAnsi="Arial" w:cs="Arial"/>
          <w:sz w:val="24"/>
          <w:szCs w:val="24"/>
        </w:rPr>
        <w:t>)</w:t>
      </w:r>
      <w:r w:rsidR="004E2302" w:rsidRPr="00E91A0B">
        <w:rPr>
          <w:rFonts w:ascii="Arial" w:hAnsi="Arial" w:cs="Arial"/>
          <w:sz w:val="24"/>
          <w:szCs w:val="24"/>
        </w:rPr>
        <w:t xml:space="preserve"> (</w:t>
      </w:r>
      <w:proofErr w:type="spellStart"/>
      <w:r w:rsidR="004E2302" w:rsidRPr="00E91A0B">
        <w:rPr>
          <w:rFonts w:ascii="Arial" w:hAnsi="Arial" w:cs="Arial"/>
          <w:color w:val="222222"/>
          <w:sz w:val="24"/>
          <w:szCs w:val="24"/>
          <w:shd w:val="clear" w:color="auto" w:fill="FFFFFF"/>
        </w:rPr>
        <w:t>Ayilara</w:t>
      </w:r>
      <w:proofErr w:type="spellEnd"/>
      <w:r w:rsidR="00DB3D23" w:rsidRPr="00E91A0B">
        <w:rPr>
          <w:rFonts w:ascii="Arial" w:hAnsi="Arial" w:cs="Arial"/>
          <w:color w:val="222222"/>
          <w:sz w:val="24"/>
          <w:szCs w:val="24"/>
          <w:shd w:val="clear" w:color="auto" w:fill="FFFFFF"/>
        </w:rPr>
        <w:t xml:space="preserve"> et al.,</w:t>
      </w:r>
      <w:r w:rsidR="00DB3D23" w:rsidRPr="00E91A0B">
        <w:rPr>
          <w:rFonts w:ascii="Arial" w:hAnsi="Arial" w:cs="Arial"/>
          <w:b/>
          <w:bCs/>
          <w:color w:val="222222"/>
          <w:sz w:val="24"/>
          <w:szCs w:val="24"/>
          <w:shd w:val="clear" w:color="auto" w:fill="FFFFFF"/>
        </w:rPr>
        <w:t xml:space="preserve"> </w:t>
      </w:r>
      <w:r w:rsidR="004E2302" w:rsidRPr="00E91A0B">
        <w:rPr>
          <w:rFonts w:ascii="Arial" w:hAnsi="Arial" w:cs="Arial"/>
          <w:color w:val="222222"/>
          <w:sz w:val="24"/>
          <w:szCs w:val="24"/>
          <w:shd w:val="clear" w:color="auto" w:fill="FFFFFF"/>
        </w:rPr>
        <w:t>20</w:t>
      </w:r>
      <w:r w:rsidR="00DB3D23" w:rsidRPr="00E91A0B">
        <w:rPr>
          <w:rFonts w:ascii="Arial" w:hAnsi="Arial" w:cs="Arial"/>
          <w:color w:val="222222"/>
          <w:sz w:val="24"/>
          <w:szCs w:val="24"/>
          <w:shd w:val="clear" w:color="auto" w:fill="FFFFFF"/>
        </w:rPr>
        <w:t>20</w:t>
      </w:r>
      <w:r w:rsidR="004E2302" w:rsidRPr="00E91A0B">
        <w:rPr>
          <w:rFonts w:ascii="Arial" w:hAnsi="Arial" w:cs="Arial"/>
          <w:sz w:val="24"/>
          <w:szCs w:val="24"/>
        </w:rPr>
        <w:t>)</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 xml:space="preserve">The pH of silkworm frass samples ranged from 6.78 to 9.88, reflecting a broad spectrum of soil reaction levels that can influence nutrient solubility and microbial activity.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w:t>
      </w:r>
      <w:proofErr w:type="spellStart"/>
      <w:r w:rsidRPr="00E91A0B">
        <w:rPr>
          <w:rFonts w:ascii="Arial" w:hAnsi="Arial" w:cs="Arial"/>
          <w:sz w:val="24"/>
          <w:szCs w:val="24"/>
        </w:rPr>
        <w:t>frass</w:t>
      </w:r>
      <w:proofErr w:type="spellEnd"/>
      <w:r w:rsidRPr="00E91A0B">
        <w:rPr>
          <w:rFonts w:ascii="Arial" w:hAnsi="Arial" w:cs="Arial"/>
          <w:sz w:val="24"/>
          <w:szCs w:val="24"/>
        </w:rPr>
        <w:t xml:space="preserve"> was mildly acidic (pH 6.78), while Muga (7.31) and Eri (7.35) were near-neutral to mildly alkaline. Mulberry frass, however exhibited a distinctly alkaline pH of 9.88, which could affect nutrient availability and soil biota, particularly in alkaline soils. FYM presented a moderate pH of 7.20, suitable for a maximum range of crops and soil types.</w:t>
      </w:r>
      <w:r w:rsidR="00F53DB4" w:rsidRPr="00E91A0B">
        <w:rPr>
          <w:rFonts w:ascii="Arial" w:hAnsi="Arial" w:cs="Arial"/>
          <w:sz w:val="24"/>
          <w:szCs w:val="24"/>
        </w:rPr>
        <w:t xml:space="preserve"> </w:t>
      </w:r>
      <w:r w:rsidRPr="00E91A0B">
        <w:rPr>
          <w:rFonts w:ascii="Arial" w:hAnsi="Arial" w:cs="Arial"/>
          <w:sz w:val="24"/>
          <w:szCs w:val="24"/>
        </w:rPr>
        <w:t xml:space="preserve">Electrical conductivity (EC), an indirect measure of soluble salts, varied significantly among the samples. The highest EC was recorded in Mulberry frass (467.70 mS/m), followed by Eri (387.60 mS/m),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(248.10 mS/m), and Muga (107.20 mS/m). High EC values in Mulberry and Eri frass suggest increased levels of soluble nutrients but may also cause salt buildup, particularly in poorly drained soils or salt-sensitive crops. Therefore, application rates must be carefully managed based on soil characteristics</w:t>
      </w:r>
      <w:r w:rsidR="004E2302" w:rsidRPr="00E91A0B">
        <w:rPr>
          <w:rFonts w:ascii="Arial" w:hAnsi="Arial" w:cs="Arial"/>
          <w:b/>
          <w:bCs/>
          <w:color w:val="222222"/>
          <w:sz w:val="24"/>
          <w:szCs w:val="24"/>
          <w:shd w:val="clear" w:color="auto" w:fill="FFFFFF"/>
        </w:rPr>
        <w:t xml:space="preserve"> </w:t>
      </w:r>
      <w:r w:rsidR="0047789C" w:rsidRPr="00E91A0B">
        <w:rPr>
          <w:rFonts w:ascii="Arial" w:hAnsi="Arial" w:cs="Arial"/>
          <w:b/>
          <w:bCs/>
          <w:color w:val="222222"/>
          <w:sz w:val="24"/>
          <w:szCs w:val="24"/>
          <w:shd w:val="clear" w:color="auto" w:fill="FFFFFF"/>
        </w:rPr>
        <w:t>(</w:t>
      </w:r>
      <w:r w:rsidR="004E2302" w:rsidRPr="00E91A0B">
        <w:rPr>
          <w:rFonts w:ascii="Arial" w:hAnsi="Arial" w:cs="Arial"/>
          <w:color w:val="222222"/>
          <w:sz w:val="24"/>
          <w:szCs w:val="24"/>
          <w:shd w:val="clear" w:color="auto" w:fill="FFFFFF"/>
        </w:rPr>
        <w:t xml:space="preserve">Pretty and Bharucha, 2014; </w:t>
      </w:r>
      <w:r w:rsidR="00177FDA" w:rsidRPr="00E91A0B">
        <w:rPr>
          <w:rFonts w:ascii="Arial" w:hAnsi="Arial" w:cs="Arial"/>
          <w:color w:val="222222"/>
          <w:sz w:val="24"/>
          <w:szCs w:val="24"/>
          <w:shd w:val="clear" w:color="auto" w:fill="FFFFFF"/>
        </w:rPr>
        <w:t>Lomonaco</w:t>
      </w:r>
      <w:r w:rsidR="004E2302" w:rsidRPr="00E91A0B">
        <w:rPr>
          <w:rFonts w:ascii="Arial" w:hAnsi="Arial" w:cs="Arial"/>
          <w:color w:val="222222"/>
          <w:sz w:val="24"/>
          <w:szCs w:val="24"/>
          <w:shd w:val="clear" w:color="auto" w:fill="FFFFFF"/>
        </w:rPr>
        <w:t xml:space="preserve"> et al</w:t>
      </w:r>
      <w:r w:rsidR="0047789C" w:rsidRPr="00E91A0B">
        <w:rPr>
          <w:rFonts w:ascii="Arial" w:hAnsi="Arial" w:cs="Arial"/>
          <w:color w:val="222222"/>
          <w:sz w:val="24"/>
          <w:szCs w:val="24"/>
          <w:shd w:val="clear" w:color="auto" w:fill="FFFFFF"/>
        </w:rPr>
        <w:t>.</w:t>
      </w:r>
      <w:r w:rsidR="004E2302" w:rsidRPr="00E91A0B">
        <w:rPr>
          <w:rFonts w:ascii="Arial" w:hAnsi="Arial" w:cs="Arial"/>
          <w:color w:val="222222"/>
          <w:sz w:val="24"/>
          <w:szCs w:val="24"/>
          <w:shd w:val="clear" w:color="auto" w:fill="FFFFFF"/>
        </w:rPr>
        <w:t>, 202</w:t>
      </w:r>
      <w:r w:rsidR="00177FDA" w:rsidRPr="00E91A0B">
        <w:rPr>
          <w:rFonts w:ascii="Arial" w:hAnsi="Arial" w:cs="Arial"/>
          <w:color w:val="222222"/>
          <w:sz w:val="24"/>
          <w:szCs w:val="24"/>
          <w:shd w:val="clear" w:color="auto" w:fill="FFFFFF"/>
        </w:rPr>
        <w:t>4</w:t>
      </w:r>
      <w:r w:rsidR="004E2302" w:rsidRPr="00E91A0B">
        <w:rPr>
          <w:rFonts w:ascii="Arial" w:hAnsi="Arial" w:cs="Arial"/>
          <w:color w:val="222222"/>
          <w:sz w:val="24"/>
          <w:szCs w:val="24"/>
          <w:shd w:val="clear" w:color="auto" w:fill="FFFFFF"/>
        </w:rPr>
        <w:t>)</w:t>
      </w:r>
      <w:r w:rsidRPr="00E91A0B">
        <w:rPr>
          <w:rFonts w:ascii="Arial" w:hAnsi="Arial" w:cs="Arial"/>
          <w:sz w:val="24"/>
          <w:szCs w:val="24"/>
        </w:rPr>
        <w:t>.</w:t>
      </w:r>
    </w:p>
    <w:p w14:paraId="17DCB202" w14:textId="669B000C" w:rsidR="005F4C61" w:rsidRPr="00E91A0B" w:rsidRDefault="005F4C61" w:rsidP="00D340BE">
      <w:pPr>
        <w:spacing w:after="120" w:line="480" w:lineRule="auto"/>
        <w:jc w:val="both"/>
        <w:rPr>
          <w:rFonts w:ascii="Arial" w:hAnsi="Arial" w:cs="Arial"/>
          <w:b/>
          <w:bCs/>
          <w:sz w:val="24"/>
          <w:szCs w:val="24"/>
        </w:rPr>
      </w:pPr>
      <w:r w:rsidRPr="00E91A0B">
        <w:rPr>
          <w:rFonts w:ascii="Arial" w:hAnsi="Arial" w:cs="Arial"/>
          <w:b/>
          <w:bCs/>
          <w:sz w:val="24"/>
          <w:szCs w:val="24"/>
        </w:rPr>
        <w:t>Comparative Advantage Over Conventional Organic Inputs</w:t>
      </w:r>
      <w:r w:rsidR="003200DC" w:rsidRPr="00E91A0B">
        <w:rPr>
          <w:rFonts w:ascii="Arial" w:hAnsi="Arial" w:cs="Arial"/>
          <w:b/>
          <w:bCs/>
          <w:sz w:val="24"/>
          <w:szCs w:val="24"/>
        </w:rPr>
        <w:t>:</w:t>
      </w:r>
    </w:p>
    <w:p w14:paraId="03954518" w14:textId="65A2BB4C" w:rsidR="005F4C61" w:rsidRPr="00E91A0B" w:rsidRDefault="005F4C61" w:rsidP="00F53DB4">
      <w:pPr>
        <w:spacing w:after="120" w:line="480" w:lineRule="auto"/>
        <w:ind w:firstLine="720"/>
        <w:jc w:val="both"/>
        <w:rPr>
          <w:rFonts w:ascii="Arial" w:hAnsi="Arial" w:cs="Arial"/>
          <w:sz w:val="24"/>
          <w:szCs w:val="24"/>
        </w:rPr>
      </w:pPr>
      <w:r w:rsidRPr="00E91A0B">
        <w:rPr>
          <w:rFonts w:ascii="Arial" w:hAnsi="Arial" w:cs="Arial"/>
          <w:sz w:val="24"/>
          <w:szCs w:val="24"/>
        </w:rPr>
        <w:lastRenderedPageBreak/>
        <w:t xml:space="preserve">The overall results indicate that silkworm frass outperforms FYM in key macro-nutrients (N, P, K) and offers a superior C:N ratio leading to rapid nutrient mineralization. Muga and Mulberry frass, </w:t>
      </w:r>
      <w:r w:rsidR="002F1019" w:rsidRPr="00E91A0B">
        <w:rPr>
          <w:rFonts w:ascii="Arial" w:hAnsi="Arial" w:cs="Arial"/>
          <w:sz w:val="24"/>
          <w:szCs w:val="24"/>
        </w:rPr>
        <w:t>emerged</w:t>
      </w:r>
      <w:r w:rsidRPr="00E91A0B">
        <w:rPr>
          <w:rFonts w:ascii="Arial" w:hAnsi="Arial" w:cs="Arial"/>
          <w:sz w:val="24"/>
          <w:szCs w:val="24"/>
        </w:rPr>
        <w:t xml:space="preserve"> as nutrient-rich resources that can serve as effective substitutes or supplements to traditional organic amendments.</w:t>
      </w:r>
      <w:r w:rsidR="00F53DB4" w:rsidRPr="00E91A0B">
        <w:rPr>
          <w:rFonts w:ascii="Arial" w:hAnsi="Arial" w:cs="Arial"/>
          <w:sz w:val="24"/>
          <w:szCs w:val="24"/>
        </w:rPr>
        <w:t xml:space="preserve"> </w:t>
      </w:r>
      <w:r w:rsidRPr="00E91A0B">
        <w:rPr>
          <w:rFonts w:ascii="Arial" w:hAnsi="Arial" w:cs="Arial"/>
          <w:sz w:val="24"/>
          <w:szCs w:val="24"/>
        </w:rPr>
        <w:t>Additionally, silkworm frass provides considerable amounts of secondary nutrients like sulphur and magnesium, further enhancing its agronomic value. Although FYM remains a better source of calcium and carbon its high C:N ratio may delay nutrient availability particularly in short-cycle crops. In contrast, the quick-release potential of frass coupled with its nutrient density and microbial compatibility, positions it as a viable biofertilizer for sustainable agriculture, especially in integrated nutrient management systems</w:t>
      </w:r>
      <w:r w:rsidR="004E2302" w:rsidRPr="00E91A0B">
        <w:rPr>
          <w:rFonts w:ascii="Arial" w:hAnsi="Arial" w:cs="Arial"/>
          <w:color w:val="222222"/>
          <w:sz w:val="24"/>
          <w:szCs w:val="24"/>
          <w:shd w:val="clear" w:color="auto" w:fill="FFFFFF"/>
        </w:rPr>
        <w:t xml:space="preserve"> (Sharma and Singhvi, 2017)</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 xml:space="preserve">Silkworm frass is an abundant sericultural byproduct, holds substantial promise as a cost-effective, eco-friendly biofertilizer. Its nutrient profile exceeds that of FYM, especially in nitrogen and potassium. With appropriate application protocols and awareness silkworm frass could become </w:t>
      </w:r>
      <w:r w:rsidR="00C147E5" w:rsidRPr="00E91A0B">
        <w:rPr>
          <w:rFonts w:ascii="Arial" w:hAnsi="Arial" w:cs="Arial"/>
          <w:sz w:val="24"/>
          <w:szCs w:val="24"/>
        </w:rPr>
        <w:t>an</w:t>
      </w:r>
      <w:r w:rsidRPr="00E91A0B">
        <w:rPr>
          <w:rFonts w:ascii="Arial" w:hAnsi="Arial" w:cs="Arial"/>
          <w:sz w:val="24"/>
          <w:szCs w:val="24"/>
        </w:rPr>
        <w:t xml:space="preserve"> organic and sustainable farming practices in India. </w:t>
      </w:r>
      <w:r w:rsidRPr="00E91A0B">
        <w:rPr>
          <w:rFonts w:ascii="Arial" w:hAnsi="Arial" w:cs="Arial"/>
          <w:color w:val="000000"/>
          <w:sz w:val="24"/>
          <w:szCs w:val="24"/>
        </w:rPr>
        <w:t>By harnessing this untapped resource, we can contribute to a more sustainable and circular economy turning that once considered a by-product into a cornerstone of innovation and progress.</w:t>
      </w:r>
    </w:p>
    <w:p w14:paraId="4B2A8D8E" w14:textId="77777777" w:rsidR="00137FEC" w:rsidRDefault="00137FEC" w:rsidP="00804F35">
      <w:pPr>
        <w:spacing w:after="0" w:line="480" w:lineRule="auto"/>
        <w:rPr>
          <w:rFonts w:ascii="Arial" w:hAnsi="Arial" w:cs="Arial"/>
          <w:b/>
          <w:bCs/>
          <w:iCs/>
          <w:sz w:val="24"/>
          <w:szCs w:val="24"/>
        </w:rPr>
      </w:pPr>
    </w:p>
    <w:p w14:paraId="23AED820" w14:textId="4DD6F966" w:rsidR="001C5EE0" w:rsidRPr="00E91A0B" w:rsidRDefault="0037494D" w:rsidP="00804F35">
      <w:pPr>
        <w:spacing w:after="0" w:line="480" w:lineRule="auto"/>
        <w:rPr>
          <w:rFonts w:ascii="Arial" w:hAnsi="Arial" w:cs="Arial"/>
          <w:b/>
          <w:bCs/>
          <w:iCs/>
          <w:sz w:val="24"/>
          <w:szCs w:val="24"/>
        </w:rPr>
      </w:pPr>
      <w:bookmarkStart w:id="1" w:name="_GoBack"/>
      <w:bookmarkEnd w:id="1"/>
      <w:r w:rsidRPr="00E91A0B">
        <w:rPr>
          <w:rFonts w:ascii="Arial" w:hAnsi="Arial" w:cs="Arial"/>
          <w:b/>
          <w:bCs/>
          <w:iCs/>
          <w:sz w:val="24"/>
          <w:szCs w:val="24"/>
        </w:rPr>
        <w:t>REFERENCES</w:t>
      </w:r>
    </w:p>
    <w:p w14:paraId="1B1E3B9D" w14:textId="06A55A2F"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Antoniadis V, </w:t>
      </w:r>
      <w:proofErr w:type="spellStart"/>
      <w:r w:rsidRPr="00FF6868">
        <w:rPr>
          <w:rFonts w:ascii="Arial" w:hAnsi="Arial" w:cs="Arial"/>
          <w:color w:val="222222"/>
          <w:sz w:val="24"/>
          <w:szCs w:val="24"/>
          <w:shd w:val="clear" w:color="auto" w:fill="FFFFFF"/>
        </w:rPr>
        <w:t>Molla</w:t>
      </w:r>
      <w:proofErr w:type="spellEnd"/>
      <w:r w:rsidRPr="00FF6868">
        <w:rPr>
          <w:rFonts w:ascii="Arial" w:hAnsi="Arial" w:cs="Arial"/>
          <w:color w:val="222222"/>
          <w:sz w:val="24"/>
          <w:szCs w:val="24"/>
          <w:shd w:val="clear" w:color="auto" w:fill="FFFFFF"/>
        </w:rPr>
        <w:t xml:space="preserve"> A, </w:t>
      </w:r>
      <w:proofErr w:type="spellStart"/>
      <w:r w:rsidRPr="00FF6868">
        <w:rPr>
          <w:rFonts w:ascii="Arial" w:hAnsi="Arial" w:cs="Arial"/>
          <w:color w:val="222222"/>
          <w:sz w:val="24"/>
          <w:szCs w:val="24"/>
          <w:shd w:val="clear" w:color="auto" w:fill="FFFFFF"/>
        </w:rPr>
        <w:t>Grammenou</w:t>
      </w:r>
      <w:proofErr w:type="spellEnd"/>
      <w:r w:rsidRPr="00FF6868">
        <w:rPr>
          <w:rFonts w:ascii="Arial" w:hAnsi="Arial" w:cs="Arial"/>
          <w:color w:val="222222"/>
          <w:sz w:val="24"/>
          <w:szCs w:val="24"/>
          <w:shd w:val="clear" w:color="auto" w:fill="FFFFFF"/>
        </w:rPr>
        <w:t xml:space="preserve"> A, </w:t>
      </w:r>
      <w:proofErr w:type="spellStart"/>
      <w:r w:rsidRPr="00FF6868">
        <w:rPr>
          <w:rFonts w:ascii="Arial" w:hAnsi="Arial" w:cs="Arial"/>
          <w:color w:val="222222"/>
          <w:sz w:val="24"/>
          <w:szCs w:val="24"/>
          <w:shd w:val="clear" w:color="auto" w:fill="FFFFFF"/>
        </w:rPr>
        <w:t>Apostolidis</w:t>
      </w:r>
      <w:proofErr w:type="spellEnd"/>
      <w:r w:rsidRPr="00FF6868">
        <w:rPr>
          <w:rFonts w:ascii="Arial" w:hAnsi="Arial" w:cs="Arial"/>
          <w:color w:val="222222"/>
          <w:sz w:val="24"/>
          <w:szCs w:val="24"/>
          <w:shd w:val="clear" w:color="auto" w:fill="FFFFFF"/>
        </w:rPr>
        <w:t xml:space="preserve"> V, </w:t>
      </w:r>
      <w:proofErr w:type="spellStart"/>
      <w:r w:rsidRPr="00FF6868">
        <w:rPr>
          <w:rFonts w:ascii="Arial" w:hAnsi="Arial" w:cs="Arial"/>
          <w:color w:val="222222"/>
          <w:sz w:val="24"/>
          <w:szCs w:val="24"/>
          <w:shd w:val="clear" w:color="auto" w:fill="FFFFFF"/>
        </w:rPr>
        <w:t>Athanassiou</w:t>
      </w:r>
      <w:proofErr w:type="spellEnd"/>
      <w:r w:rsidRPr="00FF6868">
        <w:rPr>
          <w:rFonts w:ascii="Arial" w:hAnsi="Arial" w:cs="Arial"/>
          <w:color w:val="222222"/>
          <w:sz w:val="24"/>
          <w:szCs w:val="24"/>
          <w:shd w:val="clear" w:color="auto" w:fill="FFFFFF"/>
        </w:rPr>
        <w:t xml:space="preserve"> CG, </w:t>
      </w:r>
      <w:proofErr w:type="spellStart"/>
      <w:r w:rsidRPr="00FF6868">
        <w:rPr>
          <w:rFonts w:ascii="Arial" w:hAnsi="Arial" w:cs="Arial"/>
          <w:color w:val="222222"/>
          <w:sz w:val="24"/>
          <w:szCs w:val="24"/>
          <w:shd w:val="clear" w:color="auto" w:fill="FFFFFF"/>
        </w:rPr>
        <w:t>Rumbos</w:t>
      </w:r>
      <w:proofErr w:type="spellEnd"/>
      <w:r w:rsidRPr="00FF6868">
        <w:rPr>
          <w:rFonts w:ascii="Arial" w:hAnsi="Arial" w:cs="Arial"/>
          <w:color w:val="222222"/>
          <w:sz w:val="24"/>
          <w:szCs w:val="24"/>
          <w:shd w:val="clear" w:color="auto" w:fill="FFFFFF"/>
        </w:rPr>
        <w:t xml:space="preserve"> CI, </w:t>
      </w:r>
      <w:proofErr w:type="spellStart"/>
      <w:r w:rsidRPr="00FF6868">
        <w:rPr>
          <w:rFonts w:ascii="Arial" w:hAnsi="Arial" w:cs="Arial"/>
          <w:color w:val="222222"/>
          <w:sz w:val="24"/>
          <w:szCs w:val="24"/>
          <w:shd w:val="clear" w:color="auto" w:fill="FFFFFF"/>
        </w:rPr>
        <w:t>Levizou</w:t>
      </w:r>
      <w:proofErr w:type="spellEnd"/>
      <w:r w:rsidRPr="00FF6868">
        <w:rPr>
          <w:rFonts w:ascii="Arial" w:hAnsi="Arial" w:cs="Arial"/>
          <w:color w:val="222222"/>
          <w:sz w:val="24"/>
          <w:szCs w:val="24"/>
          <w:shd w:val="clear" w:color="auto" w:fill="FFFFFF"/>
        </w:rPr>
        <w:t xml:space="preserve"> E. Insect frass as a novel organic soil fertilizer for the cultivation of spinach (</w:t>
      </w:r>
      <w:r w:rsidRPr="00FF6868">
        <w:rPr>
          <w:rFonts w:ascii="Arial" w:hAnsi="Arial" w:cs="Arial"/>
          <w:i/>
          <w:iCs/>
          <w:color w:val="222222"/>
          <w:sz w:val="24"/>
          <w:szCs w:val="24"/>
          <w:shd w:val="clear" w:color="auto" w:fill="FFFFFF"/>
        </w:rPr>
        <w:t>Spinacia oleracea</w:t>
      </w:r>
      <w:r w:rsidRPr="00FF6868">
        <w:rPr>
          <w:rFonts w:ascii="Arial" w:hAnsi="Arial" w:cs="Arial"/>
          <w:color w:val="222222"/>
          <w:sz w:val="24"/>
          <w:szCs w:val="24"/>
          <w:shd w:val="clear" w:color="auto" w:fill="FFFFFF"/>
        </w:rPr>
        <w:t xml:space="preserve">): effects on soil properties, plant physiological parameters, and nutrient status. </w:t>
      </w:r>
      <w:r w:rsidRPr="00FF6868">
        <w:rPr>
          <w:rFonts w:ascii="Arial" w:hAnsi="Arial" w:cs="Arial"/>
          <w:i/>
          <w:iCs/>
          <w:color w:val="222222"/>
          <w:sz w:val="24"/>
          <w:szCs w:val="24"/>
          <w:shd w:val="clear" w:color="auto" w:fill="FFFFFF"/>
        </w:rPr>
        <w:t xml:space="preserve">J Soil Sci Plant </w:t>
      </w:r>
      <w:proofErr w:type="spellStart"/>
      <w:r w:rsidRPr="00FF6868">
        <w:rPr>
          <w:rFonts w:ascii="Arial" w:hAnsi="Arial" w:cs="Arial"/>
          <w:i/>
          <w:iCs/>
          <w:color w:val="222222"/>
          <w:sz w:val="24"/>
          <w:szCs w:val="24"/>
          <w:shd w:val="clear" w:color="auto" w:fill="FFFFFF"/>
        </w:rPr>
        <w:t>Nutr</w:t>
      </w:r>
      <w:proofErr w:type="spellEnd"/>
      <w:r w:rsidRPr="00FF6868">
        <w:rPr>
          <w:rFonts w:ascii="Arial" w:hAnsi="Arial" w:cs="Arial"/>
          <w:color w:val="222222"/>
          <w:sz w:val="24"/>
          <w:szCs w:val="24"/>
          <w:shd w:val="clear" w:color="auto" w:fill="FFFFFF"/>
        </w:rPr>
        <w:t>. 2023;23(4):5935-5944.</w:t>
      </w:r>
    </w:p>
    <w:p w14:paraId="71E1B5A6" w14:textId="779397B2"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lastRenderedPageBreak/>
        <w:t>Ayilara</w:t>
      </w:r>
      <w:proofErr w:type="spellEnd"/>
      <w:r w:rsidRPr="00FF6868">
        <w:rPr>
          <w:rFonts w:ascii="Arial" w:hAnsi="Arial" w:cs="Arial"/>
          <w:color w:val="222222"/>
          <w:sz w:val="24"/>
          <w:szCs w:val="24"/>
          <w:shd w:val="clear" w:color="auto" w:fill="FFFFFF"/>
        </w:rPr>
        <w:t xml:space="preserve"> MS, Olanrewaju OS, Babalola OO, Odeyemi O. Waste management through composting: Challenges and potentials. </w:t>
      </w:r>
      <w:r w:rsidRPr="00FF6868">
        <w:rPr>
          <w:rFonts w:ascii="Arial" w:hAnsi="Arial" w:cs="Arial"/>
          <w:i/>
          <w:iCs/>
          <w:color w:val="222222"/>
          <w:sz w:val="24"/>
          <w:szCs w:val="24"/>
          <w:shd w:val="clear" w:color="auto" w:fill="FFFFFF"/>
        </w:rPr>
        <w:t>Sustainability</w:t>
      </w:r>
      <w:r w:rsidRPr="00FF6868">
        <w:rPr>
          <w:rFonts w:ascii="Arial" w:hAnsi="Arial" w:cs="Arial"/>
          <w:color w:val="222222"/>
          <w:sz w:val="24"/>
          <w:szCs w:val="24"/>
          <w:shd w:val="clear" w:color="auto" w:fill="FFFFFF"/>
        </w:rPr>
        <w:t>. 2020;12(11):4456.</w:t>
      </w:r>
    </w:p>
    <w:p w14:paraId="7B02834F" w14:textId="673F00EC"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Bernal MP, Alburquerque JA, Moral R. Composting of animal manures and chemical criteria for compost maturity assessment: A review. </w:t>
      </w:r>
      <w:proofErr w:type="spellStart"/>
      <w:r w:rsidRPr="00FF6868">
        <w:rPr>
          <w:rFonts w:ascii="Arial" w:hAnsi="Arial" w:cs="Arial"/>
          <w:i/>
          <w:iCs/>
          <w:color w:val="222222"/>
          <w:sz w:val="24"/>
          <w:szCs w:val="24"/>
          <w:shd w:val="clear" w:color="auto" w:fill="FFFFFF"/>
        </w:rPr>
        <w:t>Bioresour</w:t>
      </w:r>
      <w:proofErr w:type="spellEnd"/>
      <w:r w:rsidRPr="00FF6868">
        <w:rPr>
          <w:rFonts w:ascii="Arial" w:hAnsi="Arial" w:cs="Arial"/>
          <w:i/>
          <w:iCs/>
          <w:color w:val="222222"/>
          <w:sz w:val="24"/>
          <w:szCs w:val="24"/>
          <w:shd w:val="clear" w:color="auto" w:fill="FFFFFF"/>
        </w:rPr>
        <w:t xml:space="preserve"> Technol</w:t>
      </w:r>
      <w:r w:rsidRPr="00FF6868">
        <w:rPr>
          <w:rFonts w:ascii="Arial" w:hAnsi="Arial" w:cs="Arial"/>
          <w:color w:val="222222"/>
          <w:sz w:val="24"/>
          <w:szCs w:val="24"/>
          <w:shd w:val="clear" w:color="auto" w:fill="FFFFFF"/>
        </w:rPr>
        <w:t>. 2009;100(22):5444-5453.</w:t>
      </w:r>
    </w:p>
    <w:p w14:paraId="2A745E05" w14:textId="2849EDF3"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Bhat MR, Limaye SR. Nutrient status and plant growth promoting potential of prepared vermicompost. </w:t>
      </w:r>
      <w:r w:rsidRPr="00FF6868">
        <w:rPr>
          <w:rFonts w:ascii="Arial" w:hAnsi="Arial" w:cs="Arial"/>
          <w:i/>
          <w:iCs/>
          <w:color w:val="222222"/>
          <w:sz w:val="24"/>
          <w:szCs w:val="24"/>
          <w:shd w:val="clear" w:color="auto" w:fill="FFFFFF"/>
        </w:rPr>
        <w:t>Int J Environ Sci</w:t>
      </w:r>
      <w:r w:rsidRPr="00FF6868">
        <w:rPr>
          <w:rFonts w:ascii="Arial" w:hAnsi="Arial" w:cs="Arial"/>
          <w:color w:val="222222"/>
          <w:sz w:val="24"/>
          <w:szCs w:val="24"/>
          <w:shd w:val="clear" w:color="auto" w:fill="FFFFFF"/>
        </w:rPr>
        <w:t>. 2012;3(1):312-321.</w:t>
      </w:r>
    </w:p>
    <w:p w14:paraId="4D47A415" w14:textId="4641925D"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t>Bradsley</w:t>
      </w:r>
      <w:proofErr w:type="spellEnd"/>
      <w:r w:rsidRPr="00FF6868">
        <w:rPr>
          <w:rFonts w:ascii="Arial" w:hAnsi="Arial" w:cs="Arial"/>
          <w:color w:val="222222"/>
          <w:sz w:val="24"/>
          <w:szCs w:val="24"/>
          <w:shd w:val="clear" w:color="auto" w:fill="FFFFFF"/>
        </w:rPr>
        <w:t xml:space="preserve"> C, </w:t>
      </w:r>
      <w:proofErr w:type="spellStart"/>
      <w:r w:rsidRPr="00FF6868">
        <w:rPr>
          <w:rFonts w:ascii="Arial" w:hAnsi="Arial" w:cs="Arial"/>
          <w:color w:val="222222"/>
          <w:sz w:val="24"/>
          <w:szCs w:val="24"/>
          <w:shd w:val="clear" w:color="auto" w:fill="FFFFFF"/>
        </w:rPr>
        <w:t>Lancester</w:t>
      </w:r>
      <w:proofErr w:type="spellEnd"/>
      <w:r w:rsidRPr="00FF6868">
        <w:rPr>
          <w:rFonts w:ascii="Arial" w:hAnsi="Arial" w:cs="Arial"/>
          <w:color w:val="222222"/>
          <w:sz w:val="24"/>
          <w:szCs w:val="24"/>
          <w:shd w:val="clear" w:color="auto" w:fill="FFFFFF"/>
        </w:rPr>
        <w:t xml:space="preserve"> J. Sulphur, method of soil analysis. </w:t>
      </w:r>
      <w:r w:rsidRPr="00FF6868">
        <w:rPr>
          <w:rFonts w:ascii="Arial" w:hAnsi="Arial" w:cs="Arial"/>
          <w:i/>
          <w:iCs/>
          <w:color w:val="222222"/>
          <w:sz w:val="24"/>
          <w:szCs w:val="24"/>
          <w:shd w:val="clear" w:color="auto" w:fill="FFFFFF"/>
        </w:rPr>
        <w:t>Soil Sci Soc Am Proc</w:t>
      </w:r>
      <w:r w:rsidRPr="00FF6868">
        <w:rPr>
          <w:rFonts w:ascii="Arial" w:hAnsi="Arial" w:cs="Arial"/>
          <w:color w:val="222222"/>
          <w:sz w:val="24"/>
          <w:szCs w:val="24"/>
          <w:shd w:val="clear" w:color="auto" w:fill="FFFFFF"/>
        </w:rPr>
        <w:t>. 1965;</w:t>
      </w:r>
      <w:proofErr w:type="gramStart"/>
      <w:r w:rsidRPr="00FF6868">
        <w:rPr>
          <w:rFonts w:ascii="Arial" w:hAnsi="Arial" w:cs="Arial"/>
          <w:color w:val="222222"/>
          <w:sz w:val="24"/>
          <w:szCs w:val="24"/>
          <w:shd w:val="clear" w:color="auto" w:fill="FFFFFF"/>
        </w:rPr>
        <w:t>29:???</w:t>
      </w:r>
      <w:proofErr w:type="gramEnd"/>
      <w:r w:rsidRPr="00FF6868">
        <w:rPr>
          <w:rFonts w:ascii="Arial" w:hAnsi="Arial" w:cs="Arial"/>
          <w:color w:val="222222"/>
          <w:sz w:val="24"/>
          <w:szCs w:val="24"/>
          <w:shd w:val="clear" w:color="auto" w:fill="FFFFFF"/>
        </w:rPr>
        <w:t xml:space="preserve"> (provide page numbers if available).</w:t>
      </w:r>
    </w:p>
    <w:p w14:paraId="506E914B" w14:textId="50AB7957"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Duncan DB. Multiple range and multiple F tests. </w:t>
      </w:r>
      <w:r w:rsidRPr="00FF6868">
        <w:rPr>
          <w:rFonts w:ascii="Arial" w:hAnsi="Arial" w:cs="Arial"/>
          <w:i/>
          <w:iCs/>
          <w:color w:val="222222"/>
          <w:sz w:val="24"/>
          <w:szCs w:val="24"/>
          <w:shd w:val="clear" w:color="auto" w:fill="FFFFFF"/>
        </w:rPr>
        <w:t>Biometrics</w:t>
      </w:r>
      <w:r w:rsidRPr="00FF6868">
        <w:rPr>
          <w:rFonts w:ascii="Arial" w:hAnsi="Arial" w:cs="Arial"/>
          <w:color w:val="222222"/>
          <w:sz w:val="24"/>
          <w:szCs w:val="24"/>
          <w:shd w:val="clear" w:color="auto" w:fill="FFFFFF"/>
        </w:rPr>
        <w:t>. 1955;11(1):1-42.</w:t>
      </w:r>
    </w:p>
    <w:p w14:paraId="3CC8D804" w14:textId="584F45FA"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FAO. World silk production statistics. Food and Agriculture Organization of the United Nations; 2023. Available: </w:t>
      </w:r>
      <w:hyperlink r:id="rId8" w:tgtFrame="_new" w:history="1">
        <w:r w:rsidRPr="00FF6868">
          <w:rPr>
            <w:rStyle w:val="Hyperlink"/>
            <w:rFonts w:ascii="Arial" w:hAnsi="Arial" w:cs="Arial"/>
            <w:sz w:val="24"/>
            <w:szCs w:val="24"/>
            <w:shd w:val="clear" w:color="auto" w:fill="FFFFFF"/>
          </w:rPr>
          <w:t>www.fao.org</w:t>
        </w:r>
      </w:hyperlink>
    </w:p>
    <w:p w14:paraId="0013EF44" w14:textId="4F829BD0"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Gajalakshmi S, Abbasi SA. Solid waste management by composting: State of the art. </w:t>
      </w:r>
      <w:r w:rsidRPr="00FF6868">
        <w:rPr>
          <w:rFonts w:ascii="Arial" w:hAnsi="Arial" w:cs="Arial"/>
          <w:i/>
          <w:iCs/>
          <w:color w:val="222222"/>
          <w:sz w:val="24"/>
          <w:szCs w:val="24"/>
          <w:shd w:val="clear" w:color="auto" w:fill="FFFFFF"/>
        </w:rPr>
        <w:t>Crit Rev Environ Sci Technol</w:t>
      </w:r>
      <w:r w:rsidRPr="00FF6868">
        <w:rPr>
          <w:rFonts w:ascii="Arial" w:hAnsi="Arial" w:cs="Arial"/>
          <w:color w:val="222222"/>
          <w:sz w:val="24"/>
          <w:szCs w:val="24"/>
          <w:shd w:val="clear" w:color="auto" w:fill="FFFFFF"/>
        </w:rPr>
        <w:t>. 2008;38(5):311-400.</w:t>
      </w:r>
    </w:p>
    <w:p w14:paraId="17CEC711" w14:textId="49493084"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Lakshmi CSR, Rao PC, </w:t>
      </w:r>
      <w:proofErr w:type="spellStart"/>
      <w:r w:rsidRPr="00FF6868">
        <w:rPr>
          <w:rFonts w:ascii="Arial" w:hAnsi="Arial" w:cs="Arial"/>
          <w:color w:val="222222"/>
          <w:sz w:val="24"/>
          <w:szCs w:val="24"/>
          <w:shd w:val="clear" w:color="auto" w:fill="FFFFFF"/>
        </w:rPr>
        <w:t>Sreelath</w:t>
      </w:r>
      <w:proofErr w:type="spellEnd"/>
      <w:r w:rsidRPr="00FF6868">
        <w:rPr>
          <w:rFonts w:ascii="Arial" w:hAnsi="Arial" w:cs="Arial"/>
          <w:color w:val="222222"/>
          <w:sz w:val="24"/>
          <w:szCs w:val="24"/>
          <w:shd w:val="clear" w:color="auto" w:fill="FFFFFF"/>
        </w:rPr>
        <w:t xml:space="preserve"> T, Madhavi M, Padmaja G, Rao PV, et al. Manurial value of different </w:t>
      </w:r>
      <w:proofErr w:type="spellStart"/>
      <w:r w:rsidRPr="00FF6868">
        <w:rPr>
          <w:rFonts w:ascii="Arial" w:hAnsi="Arial" w:cs="Arial"/>
          <w:color w:val="222222"/>
          <w:sz w:val="24"/>
          <w:szCs w:val="24"/>
          <w:shd w:val="clear" w:color="auto" w:fill="FFFFFF"/>
        </w:rPr>
        <w:t>vermicomposts</w:t>
      </w:r>
      <w:proofErr w:type="spellEnd"/>
      <w:r w:rsidRPr="00FF6868">
        <w:rPr>
          <w:rFonts w:ascii="Arial" w:hAnsi="Arial" w:cs="Arial"/>
          <w:color w:val="222222"/>
          <w:sz w:val="24"/>
          <w:szCs w:val="24"/>
          <w:shd w:val="clear" w:color="auto" w:fill="FFFFFF"/>
        </w:rPr>
        <w:t xml:space="preserve"> and conventional composts. </w:t>
      </w:r>
      <w:r w:rsidRPr="00FF6868">
        <w:rPr>
          <w:rFonts w:ascii="Arial" w:hAnsi="Arial" w:cs="Arial"/>
          <w:i/>
          <w:iCs/>
          <w:color w:val="222222"/>
          <w:sz w:val="24"/>
          <w:szCs w:val="24"/>
          <w:shd w:val="clear" w:color="auto" w:fill="FFFFFF"/>
        </w:rPr>
        <w:t>Glob Adv Res J Agric Sci</w:t>
      </w:r>
      <w:r w:rsidRPr="00FF6868">
        <w:rPr>
          <w:rFonts w:ascii="Arial" w:hAnsi="Arial" w:cs="Arial"/>
          <w:color w:val="222222"/>
          <w:sz w:val="24"/>
          <w:szCs w:val="24"/>
          <w:shd w:val="clear" w:color="auto" w:fill="FFFFFF"/>
        </w:rPr>
        <w:t>. 2013;2(2):09-64.</w:t>
      </w:r>
    </w:p>
    <w:p w14:paraId="72B795F7" w14:textId="6F3DB1A5"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Lal R. Soil organic matter in sustainable agriculture. </w:t>
      </w:r>
      <w:r w:rsidRPr="00FF6868">
        <w:rPr>
          <w:rFonts w:ascii="Arial" w:hAnsi="Arial" w:cs="Arial"/>
          <w:i/>
          <w:iCs/>
          <w:color w:val="222222"/>
          <w:sz w:val="24"/>
          <w:szCs w:val="24"/>
          <w:shd w:val="clear" w:color="auto" w:fill="FFFFFF"/>
        </w:rPr>
        <w:t xml:space="preserve">J Soil Water </w:t>
      </w:r>
      <w:proofErr w:type="spellStart"/>
      <w:r w:rsidRPr="00FF6868">
        <w:rPr>
          <w:rFonts w:ascii="Arial" w:hAnsi="Arial" w:cs="Arial"/>
          <w:i/>
          <w:iCs/>
          <w:color w:val="222222"/>
          <w:sz w:val="24"/>
          <w:szCs w:val="24"/>
          <w:shd w:val="clear" w:color="auto" w:fill="FFFFFF"/>
        </w:rPr>
        <w:t>Conserv</w:t>
      </w:r>
      <w:proofErr w:type="spellEnd"/>
      <w:r w:rsidRPr="00FF6868">
        <w:rPr>
          <w:rFonts w:ascii="Arial" w:hAnsi="Arial" w:cs="Arial"/>
          <w:color w:val="222222"/>
          <w:sz w:val="24"/>
          <w:szCs w:val="24"/>
          <w:shd w:val="clear" w:color="auto" w:fill="FFFFFF"/>
        </w:rPr>
        <w:t>. 2020;75(2):27A-32A.</w:t>
      </w:r>
    </w:p>
    <w:p w14:paraId="08011479" w14:textId="09901C59"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Lindsay WL, Norvell WA. Development of DTPA soil test for Zn, Fe, Mn and Cu. </w:t>
      </w:r>
      <w:r w:rsidRPr="00FF6868">
        <w:rPr>
          <w:rFonts w:ascii="Arial" w:hAnsi="Arial" w:cs="Arial"/>
          <w:i/>
          <w:iCs/>
          <w:color w:val="222222"/>
          <w:sz w:val="24"/>
          <w:szCs w:val="24"/>
          <w:shd w:val="clear" w:color="auto" w:fill="FFFFFF"/>
        </w:rPr>
        <w:t>Soil Sci Soc Am J</w:t>
      </w:r>
      <w:r w:rsidRPr="00FF6868">
        <w:rPr>
          <w:rFonts w:ascii="Arial" w:hAnsi="Arial" w:cs="Arial"/>
          <w:color w:val="222222"/>
          <w:sz w:val="24"/>
          <w:szCs w:val="24"/>
          <w:shd w:val="clear" w:color="auto" w:fill="FFFFFF"/>
        </w:rPr>
        <w:t>. 1978;42(3):421-428.</w:t>
      </w:r>
    </w:p>
    <w:p w14:paraId="2C7B0B0C" w14:textId="1BCCD9DB"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Lomonaco G, Franco A, De Smet J, </w:t>
      </w:r>
      <w:proofErr w:type="spellStart"/>
      <w:r w:rsidRPr="00FF6868">
        <w:rPr>
          <w:rFonts w:ascii="Arial" w:hAnsi="Arial" w:cs="Arial"/>
          <w:color w:val="222222"/>
          <w:sz w:val="24"/>
          <w:szCs w:val="24"/>
          <w:shd w:val="clear" w:color="auto" w:fill="FFFFFF"/>
        </w:rPr>
        <w:t>Scieuzo</w:t>
      </w:r>
      <w:proofErr w:type="spellEnd"/>
      <w:r w:rsidRPr="00FF6868">
        <w:rPr>
          <w:rFonts w:ascii="Arial" w:hAnsi="Arial" w:cs="Arial"/>
          <w:color w:val="222222"/>
          <w:sz w:val="24"/>
          <w:szCs w:val="24"/>
          <w:shd w:val="clear" w:color="auto" w:fill="FFFFFF"/>
        </w:rPr>
        <w:t xml:space="preserve"> C, Salvia R, Falabella P. Larval </w:t>
      </w:r>
      <w:proofErr w:type="spellStart"/>
      <w:r w:rsidRPr="00FF6868">
        <w:rPr>
          <w:rFonts w:ascii="Arial" w:hAnsi="Arial" w:cs="Arial"/>
          <w:color w:val="222222"/>
          <w:sz w:val="24"/>
          <w:szCs w:val="24"/>
          <w:shd w:val="clear" w:color="auto" w:fill="FFFFFF"/>
        </w:rPr>
        <w:t>frass</w:t>
      </w:r>
      <w:proofErr w:type="spellEnd"/>
      <w:r w:rsidRPr="00FF6868">
        <w:rPr>
          <w:rFonts w:ascii="Arial" w:hAnsi="Arial" w:cs="Arial"/>
          <w:color w:val="222222"/>
          <w:sz w:val="24"/>
          <w:szCs w:val="24"/>
          <w:shd w:val="clear" w:color="auto" w:fill="FFFFFF"/>
        </w:rPr>
        <w:t xml:space="preserve"> of </w:t>
      </w:r>
      <w:proofErr w:type="spellStart"/>
      <w:r w:rsidRPr="00FF6868">
        <w:rPr>
          <w:rFonts w:ascii="Arial" w:hAnsi="Arial" w:cs="Arial"/>
          <w:i/>
          <w:iCs/>
          <w:color w:val="222222"/>
          <w:sz w:val="24"/>
          <w:szCs w:val="24"/>
          <w:shd w:val="clear" w:color="auto" w:fill="FFFFFF"/>
        </w:rPr>
        <w:t>Hermetia</w:t>
      </w:r>
      <w:proofErr w:type="spellEnd"/>
      <w:r w:rsidRPr="00FF6868">
        <w:rPr>
          <w:rFonts w:ascii="Arial" w:hAnsi="Arial" w:cs="Arial"/>
          <w:i/>
          <w:iCs/>
          <w:color w:val="222222"/>
          <w:sz w:val="24"/>
          <w:szCs w:val="24"/>
          <w:shd w:val="clear" w:color="auto" w:fill="FFFFFF"/>
        </w:rPr>
        <w:t xml:space="preserve"> </w:t>
      </w:r>
      <w:proofErr w:type="spellStart"/>
      <w:r w:rsidRPr="00FF6868">
        <w:rPr>
          <w:rFonts w:ascii="Arial" w:hAnsi="Arial" w:cs="Arial"/>
          <w:i/>
          <w:iCs/>
          <w:color w:val="222222"/>
          <w:sz w:val="24"/>
          <w:szCs w:val="24"/>
          <w:shd w:val="clear" w:color="auto" w:fill="FFFFFF"/>
        </w:rPr>
        <w:t>illucens</w:t>
      </w:r>
      <w:proofErr w:type="spellEnd"/>
      <w:r w:rsidRPr="00FF6868">
        <w:rPr>
          <w:rFonts w:ascii="Arial" w:hAnsi="Arial" w:cs="Arial"/>
          <w:color w:val="222222"/>
          <w:sz w:val="24"/>
          <w:szCs w:val="24"/>
          <w:shd w:val="clear" w:color="auto" w:fill="FFFFFF"/>
        </w:rPr>
        <w:t xml:space="preserve"> as organic fertilizer: composition and beneficial effects on different crops. </w:t>
      </w:r>
      <w:r w:rsidRPr="00FF6868">
        <w:rPr>
          <w:rFonts w:ascii="Arial" w:hAnsi="Arial" w:cs="Arial"/>
          <w:i/>
          <w:iCs/>
          <w:color w:val="222222"/>
          <w:sz w:val="24"/>
          <w:szCs w:val="24"/>
          <w:shd w:val="clear" w:color="auto" w:fill="FFFFFF"/>
        </w:rPr>
        <w:t>Insects</w:t>
      </w:r>
      <w:r w:rsidRPr="00FF6868">
        <w:rPr>
          <w:rFonts w:ascii="Arial" w:hAnsi="Arial" w:cs="Arial"/>
          <w:color w:val="222222"/>
          <w:sz w:val="24"/>
          <w:szCs w:val="24"/>
          <w:shd w:val="clear" w:color="auto" w:fill="FFFFFF"/>
        </w:rPr>
        <w:t>. 2024;15(4):293.</w:t>
      </w:r>
    </w:p>
    <w:p w14:paraId="0763A1D5" w14:textId="48E2EEDC"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lastRenderedPageBreak/>
        <w:t>Manjunath RN, Kumar A, Arun Kumar KP. Utilisation of sericulture waste by employing possible approaches. In: Contaminants in Agriculture: Sources, Impacts and Management. Cham: Springer International Publishing; 2020. p. 385-398.</w:t>
      </w:r>
    </w:p>
    <w:p w14:paraId="14440D06" w14:textId="4A276BDD"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t>Panse</w:t>
      </w:r>
      <w:proofErr w:type="spellEnd"/>
      <w:r w:rsidRPr="00FF6868">
        <w:rPr>
          <w:rFonts w:ascii="Arial" w:hAnsi="Arial" w:cs="Arial"/>
          <w:color w:val="222222"/>
          <w:sz w:val="24"/>
          <w:szCs w:val="24"/>
          <w:shd w:val="clear" w:color="auto" w:fill="FFFFFF"/>
        </w:rPr>
        <w:t xml:space="preserve"> VG, </w:t>
      </w:r>
      <w:proofErr w:type="spellStart"/>
      <w:r w:rsidRPr="00FF6868">
        <w:rPr>
          <w:rFonts w:ascii="Arial" w:hAnsi="Arial" w:cs="Arial"/>
          <w:color w:val="222222"/>
          <w:sz w:val="24"/>
          <w:szCs w:val="24"/>
          <w:shd w:val="clear" w:color="auto" w:fill="FFFFFF"/>
        </w:rPr>
        <w:t>Sukhatme</w:t>
      </w:r>
      <w:proofErr w:type="spellEnd"/>
      <w:r w:rsidRPr="00FF6868">
        <w:rPr>
          <w:rFonts w:ascii="Arial" w:hAnsi="Arial" w:cs="Arial"/>
          <w:color w:val="222222"/>
          <w:sz w:val="24"/>
          <w:szCs w:val="24"/>
          <w:shd w:val="clear" w:color="auto" w:fill="FFFFFF"/>
        </w:rPr>
        <w:t xml:space="preserve"> PV. </w:t>
      </w:r>
      <w:r w:rsidRPr="00FF6868">
        <w:rPr>
          <w:rFonts w:ascii="Arial" w:hAnsi="Arial" w:cs="Arial"/>
          <w:i/>
          <w:iCs/>
          <w:color w:val="222222"/>
          <w:sz w:val="24"/>
          <w:szCs w:val="24"/>
          <w:shd w:val="clear" w:color="auto" w:fill="FFFFFF"/>
        </w:rPr>
        <w:t>Statistical Methods for Agricultural Workers</w:t>
      </w:r>
      <w:r w:rsidRPr="00FF6868">
        <w:rPr>
          <w:rFonts w:ascii="Arial" w:hAnsi="Arial" w:cs="Arial"/>
          <w:color w:val="222222"/>
          <w:sz w:val="24"/>
          <w:szCs w:val="24"/>
          <w:shd w:val="clear" w:color="auto" w:fill="FFFFFF"/>
        </w:rPr>
        <w:t>. Revised ed. New Delhi: ICAR; 1967.</w:t>
      </w:r>
    </w:p>
    <w:p w14:paraId="11B44BD7" w14:textId="44854DDD"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Piper CS. </w:t>
      </w:r>
      <w:r w:rsidRPr="00FF6868">
        <w:rPr>
          <w:rFonts w:ascii="Arial" w:hAnsi="Arial" w:cs="Arial"/>
          <w:i/>
          <w:iCs/>
          <w:color w:val="222222"/>
          <w:sz w:val="24"/>
          <w:szCs w:val="24"/>
          <w:shd w:val="clear" w:color="auto" w:fill="FFFFFF"/>
        </w:rPr>
        <w:t>Soil and Plant Analysis</w:t>
      </w:r>
      <w:r w:rsidRPr="00FF6868">
        <w:rPr>
          <w:rFonts w:ascii="Arial" w:hAnsi="Arial" w:cs="Arial"/>
          <w:color w:val="222222"/>
          <w:sz w:val="24"/>
          <w:szCs w:val="24"/>
          <w:shd w:val="clear" w:color="auto" w:fill="FFFFFF"/>
        </w:rPr>
        <w:t xml:space="preserve">. Asian </w:t>
      </w:r>
      <w:proofErr w:type="spellStart"/>
      <w:r w:rsidRPr="00FF6868">
        <w:rPr>
          <w:rFonts w:ascii="Arial" w:hAnsi="Arial" w:cs="Arial"/>
          <w:color w:val="222222"/>
          <w:sz w:val="24"/>
          <w:szCs w:val="24"/>
          <w:shd w:val="clear" w:color="auto" w:fill="FFFFFF"/>
        </w:rPr>
        <w:t>Edn</w:t>
      </w:r>
      <w:proofErr w:type="spellEnd"/>
      <w:r w:rsidRPr="00FF6868">
        <w:rPr>
          <w:rFonts w:ascii="Arial" w:hAnsi="Arial" w:cs="Arial"/>
          <w:color w:val="222222"/>
          <w:sz w:val="24"/>
          <w:szCs w:val="24"/>
          <w:shd w:val="clear" w:color="auto" w:fill="FFFFFF"/>
        </w:rPr>
        <w:t>. Bombay: Hans Publication; 1966. p. 368.</w:t>
      </w:r>
    </w:p>
    <w:p w14:paraId="4CCE3479" w14:textId="5AF52CBC"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Pretty J, Bharucha ZP. Sustainable intensification in agricultural systems. </w:t>
      </w:r>
      <w:r w:rsidRPr="00FF6868">
        <w:rPr>
          <w:rFonts w:ascii="Arial" w:hAnsi="Arial" w:cs="Arial"/>
          <w:i/>
          <w:iCs/>
          <w:color w:val="222222"/>
          <w:sz w:val="24"/>
          <w:szCs w:val="24"/>
          <w:shd w:val="clear" w:color="auto" w:fill="FFFFFF"/>
        </w:rPr>
        <w:t>Ann Bot</w:t>
      </w:r>
      <w:r w:rsidRPr="00FF6868">
        <w:rPr>
          <w:rFonts w:ascii="Arial" w:hAnsi="Arial" w:cs="Arial"/>
          <w:color w:val="222222"/>
          <w:sz w:val="24"/>
          <w:szCs w:val="24"/>
          <w:shd w:val="clear" w:color="auto" w:fill="FFFFFF"/>
        </w:rPr>
        <w:t>. 2014;114(8):1571-1596.</w:t>
      </w:r>
    </w:p>
    <w:p w14:paraId="1DBFD6BB" w14:textId="6BED1702"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Punde BD, Ganorkar RA. Vermicomposting: Recycling waste into valuable organic fertilizer. </w:t>
      </w:r>
      <w:r w:rsidRPr="00FF6868">
        <w:rPr>
          <w:rFonts w:ascii="Arial" w:hAnsi="Arial" w:cs="Arial"/>
          <w:i/>
          <w:iCs/>
          <w:color w:val="222222"/>
          <w:sz w:val="24"/>
          <w:szCs w:val="24"/>
          <w:shd w:val="clear" w:color="auto" w:fill="FFFFFF"/>
        </w:rPr>
        <w:t>Int J Eng Res Appl</w:t>
      </w:r>
      <w:r w:rsidRPr="00FF6868">
        <w:rPr>
          <w:rFonts w:ascii="Arial" w:hAnsi="Arial" w:cs="Arial"/>
          <w:color w:val="222222"/>
          <w:sz w:val="24"/>
          <w:szCs w:val="24"/>
          <w:shd w:val="clear" w:color="auto" w:fill="FFFFFF"/>
        </w:rPr>
        <w:t>. 2012;2(3):2342-2347.</w:t>
      </w:r>
    </w:p>
    <w:p w14:paraId="639D966E" w14:textId="1728F706"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Qayoom K, Manzoor S. Recent sustainable practices for eco-friendly utilisation of sericultural waste products. </w:t>
      </w:r>
      <w:r w:rsidRPr="00FF6868">
        <w:rPr>
          <w:rFonts w:ascii="Arial" w:hAnsi="Arial" w:cs="Arial"/>
          <w:i/>
          <w:iCs/>
          <w:color w:val="222222"/>
          <w:sz w:val="24"/>
          <w:szCs w:val="24"/>
          <w:shd w:val="clear" w:color="auto" w:fill="FFFFFF"/>
        </w:rPr>
        <w:t>J Exp Agric Int</w:t>
      </w:r>
      <w:r w:rsidRPr="00FF6868">
        <w:rPr>
          <w:rFonts w:ascii="Arial" w:hAnsi="Arial" w:cs="Arial"/>
          <w:color w:val="222222"/>
          <w:sz w:val="24"/>
          <w:szCs w:val="24"/>
          <w:shd w:val="clear" w:color="auto" w:fill="FFFFFF"/>
        </w:rPr>
        <w:t>. 2024;46(7):918-927.</w:t>
      </w:r>
    </w:p>
    <w:p w14:paraId="2FA0D347" w14:textId="61942BC2"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Shanmugam R, Murugesh KA, Tilak M, Senguttuvan K, Sivakumar K, Radha P, et al. Boosting the excellence of cocoon production through silkworm excreta. </w:t>
      </w:r>
      <w:r w:rsidRPr="00FF6868">
        <w:rPr>
          <w:rFonts w:ascii="Arial" w:hAnsi="Arial" w:cs="Arial"/>
          <w:i/>
          <w:iCs/>
          <w:color w:val="222222"/>
          <w:sz w:val="24"/>
          <w:szCs w:val="24"/>
          <w:shd w:val="clear" w:color="auto" w:fill="FFFFFF"/>
        </w:rPr>
        <w:t>J Seric Sci</w:t>
      </w:r>
      <w:r w:rsidRPr="00FF6868">
        <w:rPr>
          <w:rFonts w:ascii="Arial" w:hAnsi="Arial" w:cs="Arial"/>
          <w:color w:val="222222"/>
          <w:sz w:val="24"/>
          <w:szCs w:val="24"/>
          <w:shd w:val="clear" w:color="auto" w:fill="FFFFFF"/>
        </w:rPr>
        <w:t xml:space="preserve"> (please confirm journal). </w:t>
      </w:r>
      <w:proofErr w:type="gramStart"/>
      <w:r w:rsidRPr="00FF6868">
        <w:rPr>
          <w:rFonts w:ascii="Arial" w:hAnsi="Arial" w:cs="Arial"/>
          <w:color w:val="222222"/>
          <w:sz w:val="24"/>
          <w:szCs w:val="24"/>
          <w:shd w:val="clear" w:color="auto" w:fill="FFFFFF"/>
        </w:rPr>
        <w:t>2024;???</w:t>
      </w:r>
      <w:proofErr w:type="gramEnd"/>
      <w:r w:rsidRPr="00FF6868">
        <w:rPr>
          <w:rFonts w:ascii="Arial" w:hAnsi="Arial" w:cs="Arial"/>
          <w:color w:val="222222"/>
          <w:sz w:val="24"/>
          <w:szCs w:val="24"/>
          <w:shd w:val="clear" w:color="auto" w:fill="FFFFFF"/>
        </w:rPr>
        <w:t>:???</w:t>
      </w:r>
    </w:p>
    <w:p w14:paraId="47D6120D" w14:textId="43FD2394"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Sharma N, Singhvi R. Effects of chemical fertilizers and pesticides on human health and environment: A review. </w:t>
      </w:r>
      <w:r w:rsidRPr="00FF6868">
        <w:rPr>
          <w:rFonts w:ascii="Arial" w:hAnsi="Arial" w:cs="Arial"/>
          <w:i/>
          <w:iCs/>
          <w:color w:val="222222"/>
          <w:sz w:val="24"/>
          <w:szCs w:val="24"/>
          <w:shd w:val="clear" w:color="auto" w:fill="FFFFFF"/>
        </w:rPr>
        <w:t xml:space="preserve">Int J Agric Environ </w:t>
      </w:r>
      <w:proofErr w:type="spellStart"/>
      <w:r w:rsidRPr="00FF6868">
        <w:rPr>
          <w:rFonts w:ascii="Arial" w:hAnsi="Arial" w:cs="Arial"/>
          <w:i/>
          <w:iCs/>
          <w:color w:val="222222"/>
          <w:sz w:val="24"/>
          <w:szCs w:val="24"/>
          <w:shd w:val="clear" w:color="auto" w:fill="FFFFFF"/>
        </w:rPr>
        <w:t>Biotechnol</w:t>
      </w:r>
      <w:proofErr w:type="spellEnd"/>
      <w:r w:rsidRPr="00FF6868">
        <w:rPr>
          <w:rFonts w:ascii="Arial" w:hAnsi="Arial" w:cs="Arial"/>
          <w:color w:val="222222"/>
          <w:sz w:val="24"/>
          <w:szCs w:val="24"/>
          <w:shd w:val="clear" w:color="auto" w:fill="FFFFFF"/>
        </w:rPr>
        <w:t>. 2017;10(6):675-680.</w:t>
      </w:r>
    </w:p>
    <w:p w14:paraId="7A7F4C98" w14:textId="0438D868"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Shen X, He J, Zhang N, Li Y, Lei X, Sun C, et al. Assessing the quality and eco-beneficial microbes in the usage of silkworm excrement compost. </w:t>
      </w:r>
      <w:r w:rsidRPr="00FF6868">
        <w:rPr>
          <w:rFonts w:ascii="Arial" w:hAnsi="Arial" w:cs="Arial"/>
          <w:i/>
          <w:iCs/>
          <w:color w:val="222222"/>
          <w:sz w:val="24"/>
          <w:szCs w:val="24"/>
          <w:shd w:val="clear" w:color="auto" w:fill="FFFFFF"/>
        </w:rPr>
        <w:t>Waste Manag</w:t>
      </w:r>
      <w:r w:rsidRPr="00FF6868">
        <w:rPr>
          <w:rFonts w:ascii="Arial" w:hAnsi="Arial" w:cs="Arial"/>
          <w:color w:val="222222"/>
          <w:sz w:val="24"/>
          <w:szCs w:val="24"/>
          <w:shd w:val="clear" w:color="auto" w:fill="FFFFFF"/>
        </w:rPr>
        <w:t xml:space="preserve">. </w:t>
      </w:r>
      <w:proofErr w:type="gramStart"/>
      <w:r w:rsidRPr="00FF6868">
        <w:rPr>
          <w:rFonts w:ascii="Arial" w:hAnsi="Arial" w:cs="Arial"/>
          <w:color w:val="222222"/>
          <w:sz w:val="24"/>
          <w:szCs w:val="24"/>
          <w:shd w:val="clear" w:color="auto" w:fill="FFFFFF"/>
        </w:rPr>
        <w:t>2024;183:163</w:t>
      </w:r>
      <w:proofErr w:type="gramEnd"/>
      <w:r w:rsidRPr="00FF6868">
        <w:rPr>
          <w:rFonts w:ascii="Arial" w:hAnsi="Arial" w:cs="Arial"/>
          <w:color w:val="222222"/>
          <w:sz w:val="24"/>
          <w:szCs w:val="24"/>
          <w:shd w:val="clear" w:color="auto" w:fill="FFFFFF"/>
        </w:rPr>
        <w:t>-173.</w:t>
      </w:r>
    </w:p>
    <w:p w14:paraId="00AA5530" w14:textId="7C71FDE3"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t>Suraporn</w:t>
      </w:r>
      <w:proofErr w:type="spellEnd"/>
      <w:r w:rsidRPr="00FF6868">
        <w:rPr>
          <w:rFonts w:ascii="Arial" w:hAnsi="Arial" w:cs="Arial"/>
          <w:color w:val="222222"/>
          <w:sz w:val="24"/>
          <w:szCs w:val="24"/>
          <w:shd w:val="clear" w:color="auto" w:fill="FFFFFF"/>
        </w:rPr>
        <w:t xml:space="preserve"> S, </w:t>
      </w:r>
      <w:proofErr w:type="spellStart"/>
      <w:r w:rsidRPr="00FF6868">
        <w:rPr>
          <w:rFonts w:ascii="Arial" w:hAnsi="Arial" w:cs="Arial"/>
          <w:color w:val="222222"/>
          <w:sz w:val="24"/>
          <w:szCs w:val="24"/>
          <w:shd w:val="clear" w:color="auto" w:fill="FFFFFF"/>
        </w:rPr>
        <w:t>Cansee</w:t>
      </w:r>
      <w:proofErr w:type="spellEnd"/>
      <w:r w:rsidRPr="00FF6868">
        <w:rPr>
          <w:rFonts w:ascii="Arial" w:hAnsi="Arial" w:cs="Arial"/>
          <w:color w:val="222222"/>
          <w:sz w:val="24"/>
          <w:szCs w:val="24"/>
          <w:shd w:val="clear" w:color="auto" w:fill="FFFFFF"/>
        </w:rPr>
        <w:t xml:space="preserve"> S, </w:t>
      </w:r>
      <w:proofErr w:type="spellStart"/>
      <w:r w:rsidRPr="00FF6868">
        <w:rPr>
          <w:rFonts w:ascii="Arial" w:hAnsi="Arial" w:cs="Arial"/>
          <w:color w:val="222222"/>
          <w:sz w:val="24"/>
          <w:szCs w:val="24"/>
          <w:shd w:val="clear" w:color="auto" w:fill="FFFFFF"/>
        </w:rPr>
        <w:t>Hupfauf</w:t>
      </w:r>
      <w:proofErr w:type="spellEnd"/>
      <w:r w:rsidRPr="00FF6868">
        <w:rPr>
          <w:rFonts w:ascii="Arial" w:hAnsi="Arial" w:cs="Arial"/>
          <w:color w:val="222222"/>
          <w:sz w:val="24"/>
          <w:szCs w:val="24"/>
          <w:shd w:val="clear" w:color="auto" w:fill="FFFFFF"/>
        </w:rPr>
        <w:t xml:space="preserve"> S, </w:t>
      </w:r>
      <w:proofErr w:type="spellStart"/>
      <w:r w:rsidRPr="00FF6868">
        <w:rPr>
          <w:rFonts w:ascii="Arial" w:hAnsi="Arial" w:cs="Arial"/>
          <w:color w:val="222222"/>
          <w:sz w:val="24"/>
          <w:szCs w:val="24"/>
          <w:shd w:val="clear" w:color="auto" w:fill="FFFFFF"/>
        </w:rPr>
        <w:t>Klammsteiner</w:t>
      </w:r>
      <w:proofErr w:type="spellEnd"/>
      <w:r w:rsidRPr="00FF6868">
        <w:rPr>
          <w:rFonts w:ascii="Arial" w:hAnsi="Arial" w:cs="Arial"/>
          <w:color w:val="222222"/>
          <w:sz w:val="24"/>
          <w:szCs w:val="24"/>
          <w:shd w:val="clear" w:color="auto" w:fill="FFFFFF"/>
        </w:rPr>
        <w:t xml:space="preserve"> T. Lactic acid bacteria from </w:t>
      </w:r>
      <w:r w:rsidRPr="00FF6868">
        <w:rPr>
          <w:rFonts w:ascii="Arial" w:hAnsi="Arial" w:cs="Arial"/>
          <w:i/>
          <w:iCs/>
          <w:color w:val="222222"/>
          <w:sz w:val="24"/>
          <w:szCs w:val="24"/>
          <w:shd w:val="clear" w:color="auto" w:fill="FFFFFF"/>
        </w:rPr>
        <w:t>Bombyx mori</w:t>
      </w:r>
      <w:r w:rsidRPr="00FF6868">
        <w:rPr>
          <w:rFonts w:ascii="Arial" w:hAnsi="Arial" w:cs="Arial"/>
          <w:color w:val="222222"/>
          <w:sz w:val="24"/>
          <w:szCs w:val="24"/>
          <w:shd w:val="clear" w:color="auto" w:fill="FFFFFF"/>
        </w:rPr>
        <w:t xml:space="preserve"> frass: Probiotic properties and antagonistic activities. </w:t>
      </w:r>
      <w:r w:rsidRPr="00FF6868">
        <w:rPr>
          <w:rFonts w:ascii="Arial" w:hAnsi="Arial" w:cs="Arial"/>
          <w:i/>
          <w:iCs/>
          <w:color w:val="222222"/>
          <w:sz w:val="24"/>
          <w:szCs w:val="24"/>
          <w:shd w:val="clear" w:color="auto" w:fill="FFFFFF"/>
        </w:rPr>
        <w:t>Agriculture</w:t>
      </w:r>
      <w:r w:rsidRPr="00FF6868">
        <w:rPr>
          <w:rFonts w:ascii="Arial" w:hAnsi="Arial" w:cs="Arial"/>
          <w:color w:val="222222"/>
          <w:sz w:val="24"/>
          <w:szCs w:val="24"/>
          <w:shd w:val="clear" w:color="auto" w:fill="FFFFFF"/>
        </w:rPr>
        <w:t>. 2024;14(6):924.</w:t>
      </w:r>
    </w:p>
    <w:p w14:paraId="2192D08E" w14:textId="4646DB9E"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lastRenderedPageBreak/>
        <w:t xml:space="preserve">Tilman D, Cassman KG, Matson PA, Naylor R, Polasky S. Agricultural sustainability and intensive production practices. </w:t>
      </w:r>
      <w:r w:rsidRPr="00FF6868">
        <w:rPr>
          <w:rFonts w:ascii="Arial" w:hAnsi="Arial" w:cs="Arial"/>
          <w:i/>
          <w:iCs/>
          <w:color w:val="222222"/>
          <w:sz w:val="24"/>
          <w:szCs w:val="24"/>
          <w:shd w:val="clear" w:color="auto" w:fill="FFFFFF"/>
        </w:rPr>
        <w:t>Nature</w:t>
      </w:r>
      <w:r w:rsidRPr="00FF6868">
        <w:rPr>
          <w:rFonts w:ascii="Arial" w:hAnsi="Arial" w:cs="Arial"/>
          <w:color w:val="222222"/>
          <w:sz w:val="24"/>
          <w:szCs w:val="24"/>
          <w:shd w:val="clear" w:color="auto" w:fill="FFFFFF"/>
        </w:rPr>
        <w:t>. 2002;418(6898):671-677.</w:t>
      </w:r>
    </w:p>
    <w:p w14:paraId="1857A152" w14:textId="1C2DC456"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Van De Zande EM, </w:t>
      </w:r>
      <w:proofErr w:type="spellStart"/>
      <w:r w:rsidRPr="00FF6868">
        <w:rPr>
          <w:rFonts w:ascii="Arial" w:hAnsi="Arial" w:cs="Arial"/>
          <w:color w:val="222222"/>
          <w:sz w:val="24"/>
          <w:szCs w:val="24"/>
          <w:shd w:val="clear" w:color="auto" w:fill="FFFFFF"/>
        </w:rPr>
        <w:t>Wantulla</w:t>
      </w:r>
      <w:proofErr w:type="spellEnd"/>
      <w:r w:rsidRPr="00FF6868">
        <w:rPr>
          <w:rFonts w:ascii="Arial" w:hAnsi="Arial" w:cs="Arial"/>
          <w:color w:val="222222"/>
          <w:sz w:val="24"/>
          <w:szCs w:val="24"/>
          <w:shd w:val="clear" w:color="auto" w:fill="FFFFFF"/>
        </w:rPr>
        <w:t xml:space="preserve"> M, Van Loon JJA, Dicke M. Soil amendment with insect frass and exuviae affects rhizosphere bacterial community, shoot growth and carbon/nitrogen ratio of a brassicaceous plant. </w:t>
      </w:r>
      <w:r w:rsidRPr="00FF6868">
        <w:rPr>
          <w:rFonts w:ascii="Arial" w:hAnsi="Arial" w:cs="Arial"/>
          <w:i/>
          <w:iCs/>
          <w:color w:val="222222"/>
          <w:sz w:val="24"/>
          <w:szCs w:val="24"/>
          <w:shd w:val="clear" w:color="auto" w:fill="FFFFFF"/>
        </w:rPr>
        <w:t>Plant Soil</w:t>
      </w:r>
      <w:r w:rsidRPr="00FF6868">
        <w:rPr>
          <w:rFonts w:ascii="Arial" w:hAnsi="Arial" w:cs="Arial"/>
          <w:color w:val="222222"/>
          <w:sz w:val="24"/>
          <w:szCs w:val="24"/>
          <w:shd w:val="clear" w:color="auto" w:fill="FFFFFF"/>
        </w:rPr>
        <w:t>. 2023;495(1):631-648.</w:t>
      </w:r>
    </w:p>
    <w:p w14:paraId="74D47B93" w14:textId="6F3409D1"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t>Vazifdar</w:t>
      </w:r>
      <w:proofErr w:type="spellEnd"/>
      <w:r w:rsidRPr="00FF6868">
        <w:rPr>
          <w:rFonts w:ascii="Arial" w:hAnsi="Arial" w:cs="Arial"/>
          <w:color w:val="222222"/>
          <w:sz w:val="24"/>
          <w:szCs w:val="24"/>
          <w:shd w:val="clear" w:color="auto" w:fill="FFFFFF"/>
        </w:rPr>
        <w:t xml:space="preserve"> A, Debnath S. Natural </w:t>
      </w:r>
      <w:proofErr w:type="spellStart"/>
      <w:r w:rsidRPr="00FF6868">
        <w:rPr>
          <w:rFonts w:ascii="Arial" w:hAnsi="Arial" w:cs="Arial"/>
          <w:color w:val="222222"/>
          <w:sz w:val="24"/>
          <w:szCs w:val="24"/>
          <w:shd w:val="clear" w:color="auto" w:fill="FFFFFF"/>
        </w:rPr>
        <w:t>fibers</w:t>
      </w:r>
      <w:proofErr w:type="spellEnd"/>
      <w:r w:rsidRPr="00FF6868">
        <w:rPr>
          <w:rFonts w:ascii="Arial" w:hAnsi="Arial" w:cs="Arial"/>
          <w:color w:val="222222"/>
          <w:sz w:val="24"/>
          <w:szCs w:val="24"/>
          <w:shd w:val="clear" w:color="auto" w:fill="FFFFFF"/>
        </w:rPr>
        <w:t>: A look from a historical perspective. In: Advances in Renewable Natural Materials for Textile Sustainability. Boca Raton: CRC Press; 2025. p. 1-36.</w:t>
      </w:r>
    </w:p>
    <w:p w14:paraId="1695A21D" w14:textId="32B3E46C"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Vidyashree DN. </w:t>
      </w:r>
      <w:r w:rsidRPr="00FF6868">
        <w:rPr>
          <w:rFonts w:ascii="Arial" w:hAnsi="Arial" w:cs="Arial"/>
          <w:i/>
          <w:iCs/>
          <w:color w:val="222222"/>
          <w:sz w:val="24"/>
          <w:szCs w:val="24"/>
          <w:shd w:val="clear" w:color="auto" w:fill="FFFFFF"/>
        </w:rPr>
        <w:t>Silkworm pupal residue compost and its effect on plant growth and yield of French bean and tomato</w:t>
      </w:r>
      <w:r w:rsidRPr="00FF6868">
        <w:rPr>
          <w:rFonts w:ascii="Arial" w:hAnsi="Arial" w:cs="Arial"/>
          <w:color w:val="222222"/>
          <w:sz w:val="24"/>
          <w:szCs w:val="24"/>
          <w:shd w:val="clear" w:color="auto" w:fill="FFFFFF"/>
        </w:rPr>
        <w:t xml:space="preserve"> [dissertation]. Bengaluru: Univ. of Agricultural Sciences, GKVK; 2018</w:t>
      </w:r>
    </w:p>
    <w:p w14:paraId="145F1CD8" w14:textId="456044A6" w:rsidR="001F7D46" w:rsidRPr="00E91A0B" w:rsidRDefault="001F7D46" w:rsidP="001F7D46">
      <w:pPr>
        <w:spacing w:after="120" w:line="480" w:lineRule="auto"/>
        <w:jc w:val="both"/>
        <w:rPr>
          <w:rFonts w:ascii="Arial" w:hAnsi="Arial" w:cs="Arial"/>
          <w:color w:val="222222"/>
          <w:sz w:val="24"/>
          <w:szCs w:val="24"/>
          <w:shd w:val="clear" w:color="auto" w:fill="FFFFFF"/>
        </w:rPr>
      </w:pPr>
    </w:p>
    <w:p w14:paraId="45267C0B" w14:textId="77777777" w:rsidR="0047789C" w:rsidRPr="00E91A0B" w:rsidRDefault="0047789C" w:rsidP="001F7D46">
      <w:pPr>
        <w:spacing w:after="120" w:line="480" w:lineRule="auto"/>
        <w:jc w:val="both"/>
        <w:rPr>
          <w:rFonts w:ascii="Arial" w:hAnsi="Arial" w:cs="Arial"/>
          <w:sz w:val="24"/>
          <w:szCs w:val="24"/>
        </w:rPr>
      </w:pPr>
    </w:p>
    <w:tbl>
      <w:tblPr>
        <w:tblStyle w:val="GridTable4"/>
        <w:tblW w:w="9634" w:type="dxa"/>
        <w:tblLook w:val="04A0" w:firstRow="1" w:lastRow="0" w:firstColumn="1" w:lastColumn="0" w:noHBand="0" w:noVBand="1"/>
      </w:tblPr>
      <w:tblGrid>
        <w:gridCol w:w="2405"/>
        <w:gridCol w:w="4253"/>
        <w:gridCol w:w="2976"/>
      </w:tblGrid>
      <w:tr w:rsidR="001F7D46" w:rsidRPr="00E91A0B" w14:paraId="1EC9284C" w14:textId="77777777" w:rsidTr="00E001E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1FE2582C" w14:textId="77777777" w:rsidR="001F7D46" w:rsidRPr="00E91A0B" w:rsidRDefault="001F7D46" w:rsidP="005C4CC1">
            <w:pPr>
              <w:spacing w:after="120" w:line="480" w:lineRule="auto"/>
              <w:rPr>
                <w:rFonts w:ascii="Arial" w:hAnsi="Arial" w:cs="Arial"/>
                <w:b w:val="0"/>
                <w:bCs w:val="0"/>
                <w:sz w:val="24"/>
                <w:szCs w:val="24"/>
                <w:lang w:val="en-US"/>
              </w:rPr>
            </w:pPr>
            <w:r w:rsidRPr="00E91A0B">
              <w:rPr>
                <w:rFonts w:ascii="Arial" w:hAnsi="Arial" w:cs="Arial"/>
                <w:b w:val="0"/>
                <w:bCs w:val="0"/>
                <w:sz w:val="24"/>
                <w:szCs w:val="24"/>
                <w:lang w:val="en-US"/>
              </w:rPr>
              <w:t>Parameter</w:t>
            </w:r>
          </w:p>
        </w:tc>
        <w:tc>
          <w:tcPr>
            <w:tcW w:w="4253" w:type="dxa"/>
            <w:hideMark/>
          </w:tcPr>
          <w:p w14:paraId="495D5152" w14:textId="77777777" w:rsidR="001F7D46" w:rsidRPr="00E91A0B" w:rsidRDefault="001F7D46" w:rsidP="005C4CC1">
            <w:pPr>
              <w:spacing w:after="120"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sidRPr="00E91A0B">
              <w:rPr>
                <w:rFonts w:ascii="Arial" w:hAnsi="Arial" w:cs="Arial"/>
                <w:b w:val="0"/>
                <w:bCs w:val="0"/>
                <w:sz w:val="24"/>
                <w:szCs w:val="24"/>
                <w:lang w:val="en-US"/>
              </w:rPr>
              <w:t>Method</w:t>
            </w:r>
          </w:p>
        </w:tc>
        <w:tc>
          <w:tcPr>
            <w:tcW w:w="2976" w:type="dxa"/>
            <w:hideMark/>
          </w:tcPr>
          <w:p w14:paraId="1C059F9E" w14:textId="77777777" w:rsidR="001F7D46" w:rsidRPr="00E91A0B" w:rsidRDefault="001F7D46" w:rsidP="005C4CC1">
            <w:pPr>
              <w:spacing w:after="120"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sidRPr="00E91A0B">
              <w:rPr>
                <w:rFonts w:ascii="Arial" w:hAnsi="Arial" w:cs="Arial"/>
                <w:b w:val="0"/>
                <w:bCs w:val="0"/>
                <w:sz w:val="24"/>
                <w:szCs w:val="24"/>
                <w:lang w:val="en-US"/>
              </w:rPr>
              <w:t>Reference</w:t>
            </w:r>
          </w:p>
        </w:tc>
      </w:tr>
      <w:tr w:rsidR="001F7D46" w:rsidRPr="00E91A0B" w14:paraId="230B5B58" w14:textId="77777777" w:rsidTr="00E001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261BB26B"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nitrogen  (</w:t>
            </w:r>
            <w:proofErr w:type="gramEnd"/>
            <w:r w:rsidRPr="00E91A0B">
              <w:rPr>
                <w:rFonts w:ascii="Arial" w:hAnsi="Arial" w:cs="Arial"/>
                <w:sz w:val="24"/>
                <w:szCs w:val="24"/>
                <w:lang w:val="en-US"/>
              </w:rPr>
              <w:t>%)</w:t>
            </w:r>
          </w:p>
        </w:tc>
        <w:tc>
          <w:tcPr>
            <w:tcW w:w="4253" w:type="dxa"/>
            <w:hideMark/>
          </w:tcPr>
          <w:p w14:paraId="0F987F4D"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en-US"/>
              </w:rPr>
              <w:t>Micro Kjeldahl digestion and distillation</w:t>
            </w:r>
          </w:p>
        </w:tc>
        <w:tc>
          <w:tcPr>
            <w:tcW w:w="2976" w:type="dxa"/>
            <w:hideMark/>
          </w:tcPr>
          <w:p w14:paraId="68586AF0"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sv-SE"/>
              </w:rPr>
            </w:pPr>
            <w:r w:rsidRPr="00E91A0B">
              <w:rPr>
                <w:rFonts w:ascii="Arial" w:hAnsi="Arial" w:cs="Arial"/>
                <w:sz w:val="24"/>
                <w:szCs w:val="24"/>
                <w:lang w:val="sv-SE"/>
              </w:rPr>
              <w:t>Piper (1966)</w:t>
            </w:r>
          </w:p>
        </w:tc>
      </w:tr>
      <w:tr w:rsidR="001F7D46" w:rsidRPr="00E91A0B" w14:paraId="37184A5F" w14:textId="77777777" w:rsidTr="00E001E8">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05BC16DD"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phosphorus  (</w:t>
            </w:r>
            <w:proofErr w:type="gramEnd"/>
            <w:r w:rsidRPr="00E91A0B">
              <w:rPr>
                <w:rFonts w:ascii="Arial" w:hAnsi="Arial" w:cs="Arial"/>
                <w:sz w:val="24"/>
                <w:szCs w:val="24"/>
                <w:lang w:val="en-US"/>
              </w:rPr>
              <w:t>%)</w:t>
            </w:r>
          </w:p>
        </w:tc>
        <w:tc>
          <w:tcPr>
            <w:tcW w:w="4253" w:type="dxa"/>
            <w:hideMark/>
          </w:tcPr>
          <w:p w14:paraId="1BC5D23C"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sidRPr="00E91A0B">
              <w:rPr>
                <w:rFonts w:ascii="Arial" w:hAnsi="Arial" w:cs="Arial"/>
                <w:sz w:val="24"/>
                <w:szCs w:val="24"/>
                <w:lang w:val="en-US"/>
              </w:rPr>
              <w:t>Vanadomollybdic</w:t>
            </w:r>
            <w:proofErr w:type="spellEnd"/>
            <w:r w:rsidRPr="00E91A0B">
              <w:rPr>
                <w:rFonts w:ascii="Arial" w:hAnsi="Arial" w:cs="Arial"/>
                <w:sz w:val="24"/>
                <w:szCs w:val="24"/>
                <w:lang w:val="en-US"/>
              </w:rPr>
              <w:t xml:space="preserve"> yellow </w:t>
            </w:r>
            <w:proofErr w:type="spellStart"/>
            <w:r w:rsidRPr="00E91A0B">
              <w:rPr>
                <w:rFonts w:ascii="Arial" w:hAnsi="Arial" w:cs="Arial"/>
                <w:sz w:val="24"/>
                <w:szCs w:val="24"/>
                <w:lang w:val="en-US"/>
              </w:rPr>
              <w:t>colour</w:t>
            </w:r>
            <w:proofErr w:type="spellEnd"/>
            <w:r w:rsidRPr="00E91A0B">
              <w:rPr>
                <w:rFonts w:ascii="Arial" w:hAnsi="Arial" w:cs="Arial"/>
                <w:sz w:val="24"/>
                <w:szCs w:val="24"/>
                <w:lang w:val="en-US"/>
              </w:rPr>
              <w:t xml:space="preserve"> spectrophotometry</w:t>
            </w:r>
          </w:p>
        </w:tc>
        <w:tc>
          <w:tcPr>
            <w:tcW w:w="2976" w:type="dxa"/>
            <w:hideMark/>
          </w:tcPr>
          <w:p w14:paraId="0F1F193F"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sv-SE"/>
              </w:rPr>
            </w:pPr>
            <w:r w:rsidRPr="00E91A0B">
              <w:rPr>
                <w:rFonts w:ascii="Arial" w:hAnsi="Arial" w:cs="Arial"/>
                <w:sz w:val="24"/>
                <w:szCs w:val="24"/>
                <w:lang w:val="sv-SE"/>
              </w:rPr>
              <w:t>Piper (1966)</w:t>
            </w:r>
          </w:p>
        </w:tc>
      </w:tr>
      <w:tr w:rsidR="001F7D46" w:rsidRPr="00E91A0B" w14:paraId="4CEE8763" w14:textId="77777777" w:rsidTr="00E001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39E9F91A"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potassium  (</w:t>
            </w:r>
            <w:proofErr w:type="gramEnd"/>
            <w:r w:rsidRPr="00E91A0B">
              <w:rPr>
                <w:rFonts w:ascii="Arial" w:hAnsi="Arial" w:cs="Arial"/>
                <w:sz w:val="24"/>
                <w:szCs w:val="24"/>
                <w:lang w:val="en-US"/>
              </w:rPr>
              <w:t>%)</w:t>
            </w:r>
          </w:p>
        </w:tc>
        <w:tc>
          <w:tcPr>
            <w:tcW w:w="4253" w:type="dxa"/>
            <w:hideMark/>
          </w:tcPr>
          <w:p w14:paraId="60062512"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en-US"/>
              </w:rPr>
              <w:t>Flame photometry</w:t>
            </w:r>
          </w:p>
        </w:tc>
        <w:tc>
          <w:tcPr>
            <w:tcW w:w="2976" w:type="dxa"/>
            <w:hideMark/>
          </w:tcPr>
          <w:p w14:paraId="66C92071"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sv-SE"/>
              </w:rPr>
              <w:t>Piper (1966)</w:t>
            </w:r>
          </w:p>
        </w:tc>
      </w:tr>
      <w:tr w:rsidR="001F7D46" w:rsidRPr="00E91A0B" w14:paraId="53621405" w14:textId="77777777" w:rsidTr="00E001E8">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75CCAFDD"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calcium  (</w:t>
            </w:r>
            <w:proofErr w:type="gramEnd"/>
            <w:r w:rsidRPr="00E91A0B">
              <w:rPr>
                <w:rFonts w:ascii="Arial" w:hAnsi="Arial" w:cs="Arial"/>
                <w:sz w:val="24"/>
                <w:szCs w:val="24"/>
                <w:lang w:val="en-US"/>
              </w:rPr>
              <w:t>%)</w:t>
            </w:r>
          </w:p>
        </w:tc>
        <w:tc>
          <w:tcPr>
            <w:tcW w:w="4253" w:type="dxa"/>
            <w:hideMark/>
          </w:tcPr>
          <w:p w14:paraId="48839564"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sidRPr="00E91A0B">
              <w:rPr>
                <w:rFonts w:ascii="Arial" w:hAnsi="Arial" w:cs="Arial"/>
                <w:sz w:val="24"/>
                <w:szCs w:val="24"/>
                <w:lang w:val="en-US"/>
              </w:rPr>
              <w:t>Versenate</w:t>
            </w:r>
            <w:proofErr w:type="spellEnd"/>
            <w:r w:rsidRPr="00E91A0B">
              <w:rPr>
                <w:rFonts w:ascii="Arial" w:hAnsi="Arial" w:cs="Arial"/>
                <w:sz w:val="24"/>
                <w:szCs w:val="24"/>
                <w:lang w:val="en-US"/>
              </w:rPr>
              <w:t xml:space="preserve"> </w:t>
            </w:r>
            <w:proofErr w:type="spellStart"/>
            <w:r w:rsidRPr="00E91A0B">
              <w:rPr>
                <w:rFonts w:ascii="Arial" w:hAnsi="Arial" w:cs="Arial"/>
                <w:sz w:val="24"/>
                <w:szCs w:val="24"/>
                <w:lang w:val="en-US"/>
              </w:rPr>
              <w:t>titrimetry</w:t>
            </w:r>
            <w:proofErr w:type="spellEnd"/>
          </w:p>
        </w:tc>
        <w:tc>
          <w:tcPr>
            <w:tcW w:w="2976" w:type="dxa"/>
            <w:hideMark/>
          </w:tcPr>
          <w:p w14:paraId="7B06EA93"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sv-SE"/>
              </w:rPr>
              <w:t>Piper (1966)</w:t>
            </w:r>
          </w:p>
        </w:tc>
      </w:tr>
      <w:tr w:rsidR="001F7D46" w:rsidRPr="00E91A0B" w14:paraId="4E0ED3AD" w14:textId="77777777" w:rsidTr="00E001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74A6DF27"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magnesium  (</w:t>
            </w:r>
            <w:proofErr w:type="gramEnd"/>
            <w:r w:rsidRPr="00E91A0B">
              <w:rPr>
                <w:rFonts w:ascii="Arial" w:hAnsi="Arial" w:cs="Arial"/>
                <w:sz w:val="24"/>
                <w:szCs w:val="24"/>
                <w:lang w:val="en-US"/>
              </w:rPr>
              <w:t>%)</w:t>
            </w:r>
          </w:p>
        </w:tc>
        <w:tc>
          <w:tcPr>
            <w:tcW w:w="4253" w:type="dxa"/>
            <w:hideMark/>
          </w:tcPr>
          <w:p w14:paraId="40CBC51E"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roofErr w:type="spellStart"/>
            <w:r w:rsidRPr="00E91A0B">
              <w:rPr>
                <w:rFonts w:ascii="Arial" w:hAnsi="Arial" w:cs="Arial"/>
                <w:sz w:val="24"/>
                <w:szCs w:val="24"/>
                <w:lang w:val="en-US"/>
              </w:rPr>
              <w:t>Versenate</w:t>
            </w:r>
            <w:proofErr w:type="spellEnd"/>
            <w:r w:rsidRPr="00E91A0B">
              <w:rPr>
                <w:rFonts w:ascii="Arial" w:hAnsi="Arial" w:cs="Arial"/>
                <w:sz w:val="24"/>
                <w:szCs w:val="24"/>
                <w:lang w:val="en-US"/>
              </w:rPr>
              <w:t xml:space="preserve"> </w:t>
            </w:r>
            <w:proofErr w:type="spellStart"/>
            <w:r w:rsidRPr="00E91A0B">
              <w:rPr>
                <w:rFonts w:ascii="Arial" w:hAnsi="Arial" w:cs="Arial"/>
                <w:sz w:val="24"/>
                <w:szCs w:val="24"/>
                <w:lang w:val="en-US"/>
              </w:rPr>
              <w:t>titrimetry</w:t>
            </w:r>
            <w:proofErr w:type="spellEnd"/>
          </w:p>
        </w:tc>
        <w:tc>
          <w:tcPr>
            <w:tcW w:w="2976" w:type="dxa"/>
            <w:hideMark/>
          </w:tcPr>
          <w:p w14:paraId="6455E3BE"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sv-SE"/>
              </w:rPr>
              <w:t>Piper (1966)</w:t>
            </w:r>
          </w:p>
        </w:tc>
      </w:tr>
      <w:tr w:rsidR="001F7D46" w:rsidRPr="00E91A0B" w14:paraId="140D3C77" w14:textId="77777777" w:rsidTr="00E001E8">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29DB8404"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lastRenderedPageBreak/>
              <w:t xml:space="preserve">Total </w:t>
            </w:r>
            <w:proofErr w:type="spellStart"/>
            <w:proofErr w:type="gramStart"/>
            <w:r w:rsidRPr="00E91A0B">
              <w:rPr>
                <w:rFonts w:ascii="Arial" w:hAnsi="Arial" w:cs="Arial"/>
                <w:sz w:val="24"/>
                <w:szCs w:val="24"/>
                <w:lang w:val="en-US"/>
              </w:rPr>
              <w:t>sulphur</w:t>
            </w:r>
            <w:proofErr w:type="spellEnd"/>
            <w:r w:rsidRPr="00E91A0B">
              <w:rPr>
                <w:rFonts w:ascii="Arial" w:hAnsi="Arial" w:cs="Arial"/>
                <w:sz w:val="24"/>
                <w:szCs w:val="24"/>
                <w:lang w:val="en-US"/>
              </w:rPr>
              <w:t xml:space="preserve">  (</w:t>
            </w:r>
            <w:proofErr w:type="gramEnd"/>
            <w:r w:rsidRPr="00E91A0B">
              <w:rPr>
                <w:rFonts w:ascii="Arial" w:hAnsi="Arial" w:cs="Arial"/>
                <w:sz w:val="24"/>
                <w:szCs w:val="24"/>
                <w:lang w:val="en-US"/>
              </w:rPr>
              <w:t>%)</w:t>
            </w:r>
          </w:p>
        </w:tc>
        <w:tc>
          <w:tcPr>
            <w:tcW w:w="4253" w:type="dxa"/>
            <w:hideMark/>
          </w:tcPr>
          <w:p w14:paraId="65646411"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en-US"/>
              </w:rPr>
              <w:t>Turbidimetry</w:t>
            </w:r>
          </w:p>
        </w:tc>
        <w:tc>
          <w:tcPr>
            <w:tcW w:w="2976" w:type="dxa"/>
            <w:hideMark/>
          </w:tcPr>
          <w:p w14:paraId="575FDF7A"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sv-SE"/>
              </w:rPr>
            </w:pPr>
            <w:r w:rsidRPr="00E91A0B">
              <w:rPr>
                <w:rFonts w:ascii="Arial" w:hAnsi="Arial" w:cs="Arial"/>
                <w:sz w:val="24"/>
                <w:szCs w:val="24"/>
                <w:lang w:val="sv-SE"/>
              </w:rPr>
              <w:t>Bradsley and Lancester (1965)</w:t>
            </w:r>
          </w:p>
        </w:tc>
      </w:tr>
    </w:tbl>
    <w:p w14:paraId="4198A443" w14:textId="19367CD5" w:rsidR="00E001E8" w:rsidRPr="00E91A0B" w:rsidRDefault="00E001E8" w:rsidP="00E001E8">
      <w:pPr>
        <w:spacing w:after="120" w:line="480" w:lineRule="auto"/>
        <w:jc w:val="both"/>
        <w:rPr>
          <w:rFonts w:ascii="Arial" w:hAnsi="Arial" w:cs="Arial"/>
          <w:sz w:val="24"/>
          <w:szCs w:val="24"/>
        </w:rPr>
      </w:pPr>
      <w:r w:rsidRPr="00E91A0B">
        <w:rPr>
          <w:rFonts w:ascii="Arial" w:hAnsi="Arial" w:cs="Arial"/>
          <w:b/>
          <w:bCs/>
          <w:sz w:val="24"/>
          <w:szCs w:val="24"/>
        </w:rPr>
        <w:t xml:space="preserve">Table </w:t>
      </w:r>
      <w:proofErr w:type="gramStart"/>
      <w:r w:rsidRPr="00E91A0B">
        <w:rPr>
          <w:rFonts w:ascii="Arial" w:hAnsi="Arial" w:cs="Arial"/>
          <w:b/>
          <w:bCs/>
          <w:sz w:val="24"/>
          <w:szCs w:val="24"/>
        </w:rPr>
        <w:t>1 :</w:t>
      </w:r>
      <w:proofErr w:type="gramEnd"/>
      <w:r w:rsidRPr="00E91A0B">
        <w:rPr>
          <w:rFonts w:ascii="Arial" w:hAnsi="Arial" w:cs="Arial"/>
          <w:b/>
          <w:bCs/>
          <w:sz w:val="24"/>
          <w:szCs w:val="24"/>
        </w:rPr>
        <w:t xml:space="preserve"> </w:t>
      </w:r>
      <w:r w:rsidRPr="00E91A0B">
        <w:rPr>
          <w:rFonts w:ascii="Arial" w:hAnsi="Arial" w:cs="Arial"/>
          <w:sz w:val="24"/>
          <w:szCs w:val="24"/>
        </w:rPr>
        <w:t>Standard analytical methods for the analysis of frass produced by silkworms</w:t>
      </w:r>
    </w:p>
    <w:tbl>
      <w:tblPr>
        <w:tblpPr w:leftFromText="180" w:rightFromText="180" w:vertAnchor="text" w:horzAnchor="margin" w:tblpXSpec="center" w:tblpY="237"/>
        <w:tblW w:w="10417" w:type="dxa"/>
        <w:tblBorders>
          <w:top w:val="single" w:sz="4" w:space="0" w:color="666666"/>
          <w:left w:val="single" w:sz="4" w:space="0" w:color="666666"/>
          <w:bottom w:val="single" w:sz="4" w:space="0" w:color="666666"/>
          <w:right w:val="single" w:sz="4" w:space="0" w:color="666666"/>
          <w:insideH w:val="single" w:sz="4" w:space="0" w:color="666666"/>
        </w:tblBorders>
        <w:tblLook w:val="04A0" w:firstRow="1" w:lastRow="0" w:firstColumn="1" w:lastColumn="0" w:noHBand="0" w:noVBand="1"/>
      </w:tblPr>
      <w:tblGrid>
        <w:gridCol w:w="2260"/>
        <w:gridCol w:w="1036"/>
        <w:gridCol w:w="1041"/>
        <w:gridCol w:w="1230"/>
        <w:gridCol w:w="1041"/>
        <w:gridCol w:w="906"/>
        <w:gridCol w:w="949"/>
        <w:gridCol w:w="1130"/>
        <w:gridCol w:w="824"/>
      </w:tblGrid>
      <w:tr w:rsidR="00E001E8" w:rsidRPr="00E91A0B" w14:paraId="6DF4EDB5" w14:textId="77777777" w:rsidTr="005C4CC1">
        <w:trPr>
          <w:trHeight w:val="509"/>
        </w:trPr>
        <w:tc>
          <w:tcPr>
            <w:tcW w:w="0" w:type="auto"/>
            <w:tcBorders>
              <w:top w:val="single" w:sz="4" w:space="0" w:color="000000"/>
              <w:left w:val="single" w:sz="4" w:space="0" w:color="000000"/>
              <w:bottom w:val="single" w:sz="4" w:space="0" w:color="000000"/>
            </w:tcBorders>
            <w:shd w:val="clear" w:color="auto" w:fill="000000"/>
            <w:hideMark/>
          </w:tcPr>
          <w:p w14:paraId="17E277F5"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Nutrient Parameter</w:t>
            </w:r>
          </w:p>
        </w:tc>
        <w:tc>
          <w:tcPr>
            <w:tcW w:w="0" w:type="auto"/>
            <w:tcBorders>
              <w:top w:val="single" w:sz="4" w:space="0" w:color="000000"/>
              <w:bottom w:val="single" w:sz="4" w:space="0" w:color="000000"/>
            </w:tcBorders>
            <w:shd w:val="clear" w:color="auto" w:fill="000000"/>
            <w:hideMark/>
          </w:tcPr>
          <w:p w14:paraId="6620AEC5" w14:textId="77777777" w:rsidR="00E001E8" w:rsidRPr="00E91A0B" w:rsidRDefault="00E001E8" w:rsidP="005C4CC1">
            <w:pPr>
              <w:spacing w:line="480" w:lineRule="auto"/>
              <w:rPr>
                <w:rFonts w:ascii="Arial" w:hAnsi="Arial" w:cs="Arial"/>
                <w:b/>
                <w:bCs/>
                <w:color w:val="FFFFFF"/>
                <w:kern w:val="2"/>
                <w:sz w:val="24"/>
                <w:szCs w:val="24"/>
              </w:rPr>
            </w:pPr>
            <w:proofErr w:type="spellStart"/>
            <w:r w:rsidRPr="00E91A0B">
              <w:rPr>
                <w:rFonts w:ascii="Arial" w:hAnsi="Arial" w:cs="Arial"/>
                <w:b/>
                <w:bCs/>
                <w:color w:val="FFFFFF"/>
                <w:kern w:val="2"/>
                <w:sz w:val="24"/>
                <w:szCs w:val="24"/>
              </w:rPr>
              <w:t>Tasar</w:t>
            </w:r>
            <w:proofErr w:type="spellEnd"/>
          </w:p>
        </w:tc>
        <w:tc>
          <w:tcPr>
            <w:tcW w:w="0" w:type="auto"/>
            <w:tcBorders>
              <w:top w:val="single" w:sz="4" w:space="0" w:color="000000"/>
              <w:bottom w:val="single" w:sz="4" w:space="0" w:color="000000"/>
            </w:tcBorders>
            <w:shd w:val="clear" w:color="auto" w:fill="000000"/>
            <w:hideMark/>
          </w:tcPr>
          <w:p w14:paraId="0EDDA153"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Muga</w:t>
            </w:r>
          </w:p>
        </w:tc>
        <w:tc>
          <w:tcPr>
            <w:tcW w:w="0" w:type="auto"/>
            <w:tcBorders>
              <w:top w:val="single" w:sz="4" w:space="0" w:color="000000"/>
              <w:bottom w:val="single" w:sz="4" w:space="0" w:color="000000"/>
            </w:tcBorders>
            <w:shd w:val="clear" w:color="auto" w:fill="000000"/>
            <w:hideMark/>
          </w:tcPr>
          <w:p w14:paraId="678293E3"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Mulberry</w:t>
            </w:r>
          </w:p>
        </w:tc>
        <w:tc>
          <w:tcPr>
            <w:tcW w:w="0" w:type="auto"/>
            <w:tcBorders>
              <w:top w:val="single" w:sz="4" w:space="0" w:color="000000"/>
              <w:bottom w:val="single" w:sz="4" w:space="0" w:color="000000"/>
            </w:tcBorders>
            <w:shd w:val="clear" w:color="auto" w:fill="000000"/>
            <w:hideMark/>
          </w:tcPr>
          <w:p w14:paraId="17706826"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Eri</w:t>
            </w:r>
          </w:p>
        </w:tc>
        <w:tc>
          <w:tcPr>
            <w:tcW w:w="0" w:type="auto"/>
            <w:tcBorders>
              <w:top w:val="single" w:sz="4" w:space="0" w:color="000000"/>
              <w:bottom w:val="single" w:sz="4" w:space="0" w:color="000000"/>
            </w:tcBorders>
            <w:shd w:val="clear" w:color="auto" w:fill="000000"/>
            <w:hideMark/>
          </w:tcPr>
          <w:p w14:paraId="4E5836DF"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FYM</w:t>
            </w:r>
          </w:p>
        </w:tc>
        <w:tc>
          <w:tcPr>
            <w:tcW w:w="824" w:type="dxa"/>
            <w:tcBorders>
              <w:top w:val="single" w:sz="4" w:space="0" w:color="000000"/>
              <w:bottom w:val="single" w:sz="4" w:space="0" w:color="000000"/>
            </w:tcBorders>
            <w:shd w:val="clear" w:color="auto" w:fill="000000"/>
            <w:hideMark/>
          </w:tcPr>
          <w:p w14:paraId="293DE447"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SEM</w:t>
            </w:r>
          </w:p>
        </w:tc>
        <w:tc>
          <w:tcPr>
            <w:tcW w:w="936" w:type="dxa"/>
            <w:tcBorders>
              <w:top w:val="single" w:sz="4" w:space="0" w:color="000000"/>
              <w:bottom w:val="single" w:sz="4" w:space="0" w:color="000000"/>
            </w:tcBorders>
            <w:shd w:val="clear" w:color="auto" w:fill="000000"/>
            <w:vAlign w:val="center"/>
          </w:tcPr>
          <w:p w14:paraId="466B3469"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CD (p&lt;0.05)</w:t>
            </w:r>
          </w:p>
        </w:tc>
        <w:tc>
          <w:tcPr>
            <w:tcW w:w="824" w:type="dxa"/>
            <w:tcBorders>
              <w:top w:val="single" w:sz="4" w:space="0" w:color="000000"/>
              <w:bottom w:val="single" w:sz="4" w:space="0" w:color="000000"/>
              <w:right w:val="single" w:sz="4" w:space="0" w:color="000000"/>
            </w:tcBorders>
            <w:shd w:val="clear" w:color="auto" w:fill="000000"/>
          </w:tcPr>
          <w:p w14:paraId="19C677F7" w14:textId="77777777" w:rsidR="00E001E8" w:rsidRPr="00E91A0B" w:rsidRDefault="00E001E8" w:rsidP="005C4CC1">
            <w:pPr>
              <w:spacing w:line="480" w:lineRule="auto"/>
              <w:rPr>
                <w:rFonts w:ascii="Arial" w:hAnsi="Arial" w:cs="Arial"/>
                <w:b/>
                <w:bCs/>
                <w:color w:val="FFFFFF"/>
                <w:kern w:val="2"/>
                <w:sz w:val="24"/>
                <w:szCs w:val="24"/>
              </w:rPr>
            </w:pPr>
          </w:p>
        </w:tc>
      </w:tr>
      <w:tr w:rsidR="00E001E8" w:rsidRPr="00E91A0B" w14:paraId="2B2BE0CE" w14:textId="77777777" w:rsidTr="005C4CC1">
        <w:trPr>
          <w:trHeight w:val="522"/>
        </w:trPr>
        <w:tc>
          <w:tcPr>
            <w:tcW w:w="0" w:type="auto"/>
            <w:shd w:val="clear" w:color="auto" w:fill="CCCCCC"/>
            <w:hideMark/>
          </w:tcPr>
          <w:p w14:paraId="685034AF"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Nitrogen (%)</w:t>
            </w:r>
          </w:p>
        </w:tc>
        <w:tc>
          <w:tcPr>
            <w:tcW w:w="0" w:type="auto"/>
            <w:shd w:val="clear" w:color="auto" w:fill="CCCCCC"/>
            <w:hideMark/>
          </w:tcPr>
          <w:p w14:paraId="68020832"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1.82ᵇ</w:t>
            </w:r>
          </w:p>
        </w:tc>
        <w:tc>
          <w:tcPr>
            <w:tcW w:w="0" w:type="auto"/>
            <w:shd w:val="clear" w:color="auto" w:fill="CCCCCC"/>
            <w:hideMark/>
          </w:tcPr>
          <w:p w14:paraId="3101523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2.13ᵃ</w:t>
            </w:r>
          </w:p>
        </w:tc>
        <w:tc>
          <w:tcPr>
            <w:tcW w:w="0" w:type="auto"/>
            <w:shd w:val="clear" w:color="auto" w:fill="CCCCCC"/>
            <w:hideMark/>
          </w:tcPr>
          <w:p w14:paraId="1ABBB89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2.09ᵃ</w:t>
            </w:r>
          </w:p>
        </w:tc>
        <w:tc>
          <w:tcPr>
            <w:tcW w:w="0" w:type="auto"/>
            <w:shd w:val="clear" w:color="auto" w:fill="CCCCCC"/>
            <w:hideMark/>
          </w:tcPr>
          <w:p w14:paraId="2EA60E1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1.78ᵇ</w:t>
            </w:r>
          </w:p>
        </w:tc>
        <w:tc>
          <w:tcPr>
            <w:tcW w:w="0" w:type="auto"/>
            <w:shd w:val="clear" w:color="auto" w:fill="CCCCCC"/>
            <w:hideMark/>
          </w:tcPr>
          <w:p w14:paraId="337764E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0.87ᶜ</w:t>
            </w:r>
          </w:p>
        </w:tc>
        <w:tc>
          <w:tcPr>
            <w:tcW w:w="824" w:type="dxa"/>
            <w:shd w:val="clear" w:color="auto" w:fill="CCCCCC"/>
            <w:hideMark/>
          </w:tcPr>
          <w:p w14:paraId="0666652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±0.14</w:t>
            </w:r>
          </w:p>
        </w:tc>
        <w:tc>
          <w:tcPr>
            <w:tcW w:w="936" w:type="dxa"/>
            <w:shd w:val="clear" w:color="auto" w:fill="CCCCCC"/>
            <w:vAlign w:val="center"/>
          </w:tcPr>
          <w:p w14:paraId="21447433"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0.1426</w:t>
            </w:r>
          </w:p>
        </w:tc>
        <w:tc>
          <w:tcPr>
            <w:tcW w:w="824" w:type="dxa"/>
            <w:shd w:val="clear" w:color="auto" w:fill="CCCCCC"/>
          </w:tcPr>
          <w:p w14:paraId="5A2A7DE0" w14:textId="77777777" w:rsidR="00E001E8" w:rsidRPr="00E91A0B" w:rsidRDefault="00E001E8" w:rsidP="005C4CC1">
            <w:pPr>
              <w:spacing w:line="480" w:lineRule="auto"/>
              <w:rPr>
                <w:rFonts w:ascii="Arial" w:hAnsi="Arial" w:cs="Arial"/>
                <w:kern w:val="2"/>
                <w:sz w:val="24"/>
                <w:szCs w:val="24"/>
              </w:rPr>
            </w:pPr>
          </w:p>
        </w:tc>
      </w:tr>
      <w:tr w:rsidR="00E001E8" w:rsidRPr="00E91A0B" w14:paraId="3767F394" w14:textId="77777777" w:rsidTr="005C4CC1">
        <w:trPr>
          <w:trHeight w:val="509"/>
        </w:trPr>
        <w:tc>
          <w:tcPr>
            <w:tcW w:w="0" w:type="auto"/>
            <w:hideMark/>
          </w:tcPr>
          <w:p w14:paraId="4D5BFDED"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Phosphorus (%)</w:t>
            </w:r>
          </w:p>
        </w:tc>
        <w:tc>
          <w:tcPr>
            <w:tcW w:w="0" w:type="auto"/>
            <w:hideMark/>
          </w:tcPr>
          <w:p w14:paraId="5D2944B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0.30ᶜ</w:t>
            </w:r>
          </w:p>
        </w:tc>
        <w:tc>
          <w:tcPr>
            <w:tcW w:w="0" w:type="auto"/>
            <w:hideMark/>
          </w:tcPr>
          <w:p w14:paraId="133CFAB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0.42ᵇ</w:t>
            </w:r>
          </w:p>
        </w:tc>
        <w:tc>
          <w:tcPr>
            <w:tcW w:w="0" w:type="auto"/>
            <w:hideMark/>
          </w:tcPr>
          <w:p w14:paraId="256C0698"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0.68ᵃ</w:t>
            </w:r>
          </w:p>
        </w:tc>
        <w:tc>
          <w:tcPr>
            <w:tcW w:w="0" w:type="auto"/>
            <w:hideMark/>
          </w:tcPr>
          <w:p w14:paraId="3C45B83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0.39ᵇ</w:t>
            </w:r>
          </w:p>
        </w:tc>
        <w:tc>
          <w:tcPr>
            <w:tcW w:w="0" w:type="auto"/>
            <w:hideMark/>
          </w:tcPr>
          <w:p w14:paraId="59B88B9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0.49ᵃᵇ</w:t>
            </w:r>
          </w:p>
        </w:tc>
        <w:tc>
          <w:tcPr>
            <w:tcW w:w="824" w:type="dxa"/>
            <w:hideMark/>
          </w:tcPr>
          <w:p w14:paraId="17CF0A0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±0.06</w:t>
            </w:r>
          </w:p>
        </w:tc>
        <w:tc>
          <w:tcPr>
            <w:tcW w:w="936" w:type="dxa"/>
            <w:vAlign w:val="center"/>
          </w:tcPr>
          <w:p w14:paraId="7CBF710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0.0575</w:t>
            </w:r>
          </w:p>
        </w:tc>
        <w:tc>
          <w:tcPr>
            <w:tcW w:w="824" w:type="dxa"/>
          </w:tcPr>
          <w:p w14:paraId="5760CB66" w14:textId="77777777" w:rsidR="00E001E8" w:rsidRPr="00E91A0B" w:rsidRDefault="00E001E8" w:rsidP="005C4CC1">
            <w:pPr>
              <w:spacing w:line="480" w:lineRule="auto"/>
              <w:rPr>
                <w:rFonts w:ascii="Arial" w:hAnsi="Arial" w:cs="Arial"/>
                <w:kern w:val="2"/>
                <w:sz w:val="24"/>
                <w:szCs w:val="24"/>
              </w:rPr>
            </w:pPr>
          </w:p>
        </w:tc>
      </w:tr>
      <w:tr w:rsidR="00E001E8" w:rsidRPr="00E91A0B" w14:paraId="353B0CF4" w14:textId="77777777" w:rsidTr="005C4CC1">
        <w:trPr>
          <w:trHeight w:val="522"/>
        </w:trPr>
        <w:tc>
          <w:tcPr>
            <w:tcW w:w="0" w:type="auto"/>
            <w:shd w:val="clear" w:color="auto" w:fill="CCCCCC"/>
            <w:hideMark/>
          </w:tcPr>
          <w:p w14:paraId="29F84158"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Potassium (%)</w:t>
            </w:r>
          </w:p>
        </w:tc>
        <w:tc>
          <w:tcPr>
            <w:tcW w:w="0" w:type="auto"/>
            <w:shd w:val="clear" w:color="auto" w:fill="CCCCCC"/>
            <w:hideMark/>
          </w:tcPr>
          <w:p w14:paraId="33EF98D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1.28ᵇ</w:t>
            </w:r>
          </w:p>
        </w:tc>
        <w:tc>
          <w:tcPr>
            <w:tcW w:w="0" w:type="auto"/>
            <w:shd w:val="clear" w:color="auto" w:fill="CCCCCC"/>
            <w:hideMark/>
          </w:tcPr>
          <w:p w14:paraId="09C87CE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1.62ᵃ</w:t>
            </w:r>
          </w:p>
        </w:tc>
        <w:tc>
          <w:tcPr>
            <w:tcW w:w="0" w:type="auto"/>
            <w:shd w:val="clear" w:color="auto" w:fill="CCCCCC"/>
            <w:hideMark/>
          </w:tcPr>
          <w:p w14:paraId="6B6D68B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1.58ᵃ</w:t>
            </w:r>
          </w:p>
        </w:tc>
        <w:tc>
          <w:tcPr>
            <w:tcW w:w="0" w:type="auto"/>
            <w:shd w:val="clear" w:color="auto" w:fill="CCCCCC"/>
            <w:hideMark/>
          </w:tcPr>
          <w:p w14:paraId="5F57EFE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1.15ᵇ</w:t>
            </w:r>
          </w:p>
        </w:tc>
        <w:tc>
          <w:tcPr>
            <w:tcW w:w="0" w:type="auto"/>
            <w:shd w:val="clear" w:color="auto" w:fill="CCCCCC"/>
            <w:hideMark/>
          </w:tcPr>
          <w:p w14:paraId="4B9C4C3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0.77ᶜ</w:t>
            </w:r>
          </w:p>
        </w:tc>
        <w:tc>
          <w:tcPr>
            <w:tcW w:w="824" w:type="dxa"/>
            <w:shd w:val="clear" w:color="auto" w:fill="CCCCCC"/>
            <w:hideMark/>
          </w:tcPr>
          <w:p w14:paraId="462489C9"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±0.10</w:t>
            </w:r>
          </w:p>
        </w:tc>
        <w:tc>
          <w:tcPr>
            <w:tcW w:w="936" w:type="dxa"/>
            <w:shd w:val="clear" w:color="auto" w:fill="CCCCCC"/>
            <w:vAlign w:val="center"/>
          </w:tcPr>
          <w:p w14:paraId="02C6B984"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0.0992</w:t>
            </w:r>
          </w:p>
        </w:tc>
        <w:tc>
          <w:tcPr>
            <w:tcW w:w="824" w:type="dxa"/>
            <w:shd w:val="clear" w:color="auto" w:fill="CCCCCC"/>
          </w:tcPr>
          <w:p w14:paraId="1CC7BA19" w14:textId="77777777" w:rsidR="00E001E8" w:rsidRPr="00E91A0B" w:rsidRDefault="00E001E8" w:rsidP="005C4CC1">
            <w:pPr>
              <w:spacing w:line="480" w:lineRule="auto"/>
              <w:rPr>
                <w:rFonts w:ascii="Arial" w:hAnsi="Arial" w:cs="Arial"/>
                <w:kern w:val="2"/>
                <w:sz w:val="24"/>
                <w:szCs w:val="24"/>
              </w:rPr>
            </w:pPr>
          </w:p>
        </w:tc>
      </w:tr>
      <w:tr w:rsidR="00E001E8" w:rsidRPr="00E91A0B" w14:paraId="52C1E47F" w14:textId="77777777" w:rsidTr="005C4CC1">
        <w:trPr>
          <w:trHeight w:val="509"/>
        </w:trPr>
        <w:tc>
          <w:tcPr>
            <w:tcW w:w="0" w:type="auto"/>
            <w:hideMark/>
          </w:tcPr>
          <w:p w14:paraId="356CBC24"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Organic Carbon (%)</w:t>
            </w:r>
          </w:p>
        </w:tc>
        <w:tc>
          <w:tcPr>
            <w:tcW w:w="0" w:type="auto"/>
            <w:hideMark/>
          </w:tcPr>
          <w:p w14:paraId="277A8034"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27.10ᵇ</w:t>
            </w:r>
          </w:p>
        </w:tc>
        <w:tc>
          <w:tcPr>
            <w:tcW w:w="0" w:type="auto"/>
            <w:hideMark/>
          </w:tcPr>
          <w:p w14:paraId="21951D8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33.02ᵃ</w:t>
            </w:r>
          </w:p>
        </w:tc>
        <w:tc>
          <w:tcPr>
            <w:tcW w:w="0" w:type="auto"/>
            <w:hideMark/>
          </w:tcPr>
          <w:p w14:paraId="709AF80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18.10ᶜ</w:t>
            </w:r>
          </w:p>
        </w:tc>
        <w:tc>
          <w:tcPr>
            <w:tcW w:w="0" w:type="auto"/>
            <w:hideMark/>
          </w:tcPr>
          <w:p w14:paraId="0429BD33"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25.30ᵇ</w:t>
            </w:r>
          </w:p>
        </w:tc>
        <w:tc>
          <w:tcPr>
            <w:tcW w:w="0" w:type="auto"/>
            <w:hideMark/>
          </w:tcPr>
          <w:p w14:paraId="504BF7D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48.90ᵃ</w:t>
            </w:r>
          </w:p>
        </w:tc>
        <w:tc>
          <w:tcPr>
            <w:tcW w:w="824" w:type="dxa"/>
            <w:hideMark/>
          </w:tcPr>
          <w:p w14:paraId="0D70A4D1"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±2.65</w:t>
            </w:r>
          </w:p>
        </w:tc>
        <w:tc>
          <w:tcPr>
            <w:tcW w:w="936" w:type="dxa"/>
            <w:vAlign w:val="center"/>
          </w:tcPr>
          <w:p w14:paraId="356F9D0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2.0829</w:t>
            </w:r>
          </w:p>
        </w:tc>
        <w:tc>
          <w:tcPr>
            <w:tcW w:w="824" w:type="dxa"/>
          </w:tcPr>
          <w:p w14:paraId="15E6CFE3" w14:textId="77777777" w:rsidR="00E001E8" w:rsidRPr="00E91A0B" w:rsidRDefault="00E001E8" w:rsidP="005C4CC1">
            <w:pPr>
              <w:spacing w:line="480" w:lineRule="auto"/>
              <w:rPr>
                <w:rFonts w:ascii="Arial" w:hAnsi="Arial" w:cs="Arial"/>
                <w:kern w:val="2"/>
                <w:sz w:val="24"/>
                <w:szCs w:val="24"/>
              </w:rPr>
            </w:pPr>
          </w:p>
        </w:tc>
      </w:tr>
      <w:tr w:rsidR="00E001E8" w:rsidRPr="00E91A0B" w14:paraId="4E6D9FF9" w14:textId="77777777" w:rsidTr="005C4CC1">
        <w:trPr>
          <w:trHeight w:val="522"/>
        </w:trPr>
        <w:tc>
          <w:tcPr>
            <w:tcW w:w="0" w:type="auto"/>
            <w:shd w:val="clear" w:color="auto" w:fill="CCCCCC"/>
            <w:hideMark/>
          </w:tcPr>
          <w:p w14:paraId="7367BC58" w14:textId="77777777" w:rsidR="00E001E8" w:rsidRPr="00E91A0B" w:rsidRDefault="00E001E8" w:rsidP="005C4CC1">
            <w:pPr>
              <w:spacing w:line="480" w:lineRule="auto"/>
              <w:rPr>
                <w:rFonts w:ascii="Arial" w:hAnsi="Arial" w:cs="Arial"/>
                <w:b/>
                <w:bCs/>
                <w:kern w:val="2"/>
                <w:sz w:val="24"/>
                <w:szCs w:val="24"/>
              </w:rPr>
            </w:pPr>
            <w:proofErr w:type="gramStart"/>
            <w:r w:rsidRPr="00E91A0B">
              <w:rPr>
                <w:rFonts w:ascii="Arial" w:hAnsi="Arial" w:cs="Arial"/>
                <w:b/>
                <w:bCs/>
                <w:kern w:val="2"/>
                <w:sz w:val="24"/>
                <w:szCs w:val="24"/>
              </w:rPr>
              <w:t>C:N</w:t>
            </w:r>
            <w:proofErr w:type="gramEnd"/>
            <w:r w:rsidRPr="00E91A0B">
              <w:rPr>
                <w:rFonts w:ascii="Arial" w:hAnsi="Arial" w:cs="Arial"/>
                <w:b/>
                <w:bCs/>
                <w:kern w:val="2"/>
                <w:sz w:val="24"/>
                <w:szCs w:val="24"/>
              </w:rPr>
              <w:t xml:space="preserve"> Ratio</w:t>
            </w:r>
          </w:p>
        </w:tc>
        <w:tc>
          <w:tcPr>
            <w:tcW w:w="0" w:type="auto"/>
            <w:shd w:val="clear" w:color="auto" w:fill="CCCCCC"/>
            <w:hideMark/>
          </w:tcPr>
          <w:p w14:paraId="6DB15E7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16.45ᵇ</w:t>
            </w:r>
          </w:p>
        </w:tc>
        <w:tc>
          <w:tcPr>
            <w:tcW w:w="0" w:type="auto"/>
            <w:shd w:val="clear" w:color="auto" w:fill="CCCCCC"/>
            <w:hideMark/>
          </w:tcPr>
          <w:p w14:paraId="488328F2"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15.45ᵇ</w:t>
            </w:r>
          </w:p>
        </w:tc>
        <w:tc>
          <w:tcPr>
            <w:tcW w:w="0" w:type="auto"/>
            <w:shd w:val="clear" w:color="auto" w:fill="CCCCCC"/>
            <w:hideMark/>
          </w:tcPr>
          <w:p w14:paraId="6AC69AA9"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9.04ᶜ</w:t>
            </w:r>
          </w:p>
        </w:tc>
        <w:tc>
          <w:tcPr>
            <w:tcW w:w="0" w:type="auto"/>
            <w:shd w:val="clear" w:color="auto" w:fill="CCCCCC"/>
            <w:hideMark/>
          </w:tcPr>
          <w:p w14:paraId="602841E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16.02ᵇ</w:t>
            </w:r>
          </w:p>
        </w:tc>
        <w:tc>
          <w:tcPr>
            <w:tcW w:w="0" w:type="auto"/>
            <w:shd w:val="clear" w:color="auto" w:fill="CCCCCC"/>
            <w:hideMark/>
          </w:tcPr>
          <w:p w14:paraId="0375F6B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40.00ᵃ</w:t>
            </w:r>
          </w:p>
        </w:tc>
        <w:tc>
          <w:tcPr>
            <w:tcW w:w="824" w:type="dxa"/>
            <w:shd w:val="clear" w:color="auto" w:fill="CCCCCC"/>
            <w:hideMark/>
          </w:tcPr>
          <w:p w14:paraId="5F87A21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±3.00</w:t>
            </w:r>
          </w:p>
        </w:tc>
        <w:tc>
          <w:tcPr>
            <w:tcW w:w="936" w:type="dxa"/>
            <w:shd w:val="clear" w:color="auto" w:fill="CCCCCC"/>
            <w:vAlign w:val="center"/>
          </w:tcPr>
          <w:p w14:paraId="7162996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1.8465</w:t>
            </w:r>
          </w:p>
        </w:tc>
        <w:tc>
          <w:tcPr>
            <w:tcW w:w="824" w:type="dxa"/>
            <w:shd w:val="clear" w:color="auto" w:fill="CCCCCC"/>
          </w:tcPr>
          <w:p w14:paraId="6EA516EE" w14:textId="77777777" w:rsidR="00E001E8" w:rsidRPr="00E91A0B" w:rsidRDefault="00E001E8" w:rsidP="005C4CC1">
            <w:pPr>
              <w:spacing w:line="480" w:lineRule="auto"/>
              <w:rPr>
                <w:rFonts w:ascii="Arial" w:hAnsi="Arial" w:cs="Arial"/>
                <w:kern w:val="2"/>
                <w:sz w:val="24"/>
                <w:szCs w:val="24"/>
              </w:rPr>
            </w:pPr>
          </w:p>
        </w:tc>
      </w:tr>
      <w:tr w:rsidR="00E001E8" w:rsidRPr="00E91A0B" w14:paraId="2A3E4E54" w14:textId="77777777" w:rsidTr="005C4CC1">
        <w:trPr>
          <w:trHeight w:val="509"/>
        </w:trPr>
        <w:tc>
          <w:tcPr>
            <w:tcW w:w="0" w:type="auto"/>
            <w:hideMark/>
          </w:tcPr>
          <w:p w14:paraId="5E9EE281"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pH</w:t>
            </w:r>
          </w:p>
        </w:tc>
        <w:tc>
          <w:tcPr>
            <w:tcW w:w="0" w:type="auto"/>
            <w:hideMark/>
          </w:tcPr>
          <w:p w14:paraId="106460E8"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6.78ᵇ</w:t>
            </w:r>
          </w:p>
        </w:tc>
        <w:tc>
          <w:tcPr>
            <w:tcW w:w="0" w:type="auto"/>
            <w:hideMark/>
          </w:tcPr>
          <w:p w14:paraId="75E6694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7.31ᵇ</w:t>
            </w:r>
          </w:p>
        </w:tc>
        <w:tc>
          <w:tcPr>
            <w:tcW w:w="0" w:type="auto"/>
            <w:hideMark/>
          </w:tcPr>
          <w:p w14:paraId="236220E3"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9.88ᵃ</w:t>
            </w:r>
          </w:p>
        </w:tc>
        <w:tc>
          <w:tcPr>
            <w:tcW w:w="0" w:type="auto"/>
            <w:hideMark/>
          </w:tcPr>
          <w:p w14:paraId="0694789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7.35ᵇ</w:t>
            </w:r>
          </w:p>
        </w:tc>
        <w:tc>
          <w:tcPr>
            <w:tcW w:w="0" w:type="auto"/>
            <w:hideMark/>
          </w:tcPr>
          <w:p w14:paraId="08E3D1D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7.20ᵇ</w:t>
            </w:r>
          </w:p>
        </w:tc>
        <w:tc>
          <w:tcPr>
            <w:tcW w:w="824" w:type="dxa"/>
            <w:hideMark/>
          </w:tcPr>
          <w:p w14:paraId="26F5DE6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±0.45</w:t>
            </w:r>
          </w:p>
        </w:tc>
        <w:tc>
          <w:tcPr>
            <w:tcW w:w="936" w:type="dxa"/>
            <w:vAlign w:val="center"/>
          </w:tcPr>
          <w:p w14:paraId="4162D3B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0.6137</w:t>
            </w:r>
          </w:p>
        </w:tc>
        <w:tc>
          <w:tcPr>
            <w:tcW w:w="824" w:type="dxa"/>
          </w:tcPr>
          <w:p w14:paraId="0760DE56" w14:textId="77777777" w:rsidR="00E001E8" w:rsidRPr="00E91A0B" w:rsidRDefault="00E001E8" w:rsidP="005C4CC1">
            <w:pPr>
              <w:spacing w:line="480" w:lineRule="auto"/>
              <w:rPr>
                <w:rFonts w:ascii="Arial" w:hAnsi="Arial" w:cs="Arial"/>
                <w:kern w:val="2"/>
                <w:sz w:val="24"/>
                <w:szCs w:val="24"/>
              </w:rPr>
            </w:pPr>
          </w:p>
        </w:tc>
      </w:tr>
      <w:tr w:rsidR="00E001E8" w:rsidRPr="00E91A0B" w14:paraId="6C9CEBEE" w14:textId="77777777" w:rsidTr="005C4CC1">
        <w:trPr>
          <w:trHeight w:val="522"/>
        </w:trPr>
        <w:tc>
          <w:tcPr>
            <w:tcW w:w="0" w:type="auto"/>
            <w:shd w:val="clear" w:color="auto" w:fill="CCCCCC"/>
            <w:hideMark/>
          </w:tcPr>
          <w:p w14:paraId="334FB220"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EC (mS/m)</w:t>
            </w:r>
          </w:p>
        </w:tc>
        <w:tc>
          <w:tcPr>
            <w:tcW w:w="0" w:type="auto"/>
            <w:shd w:val="clear" w:color="auto" w:fill="CCCCCC"/>
            <w:hideMark/>
          </w:tcPr>
          <w:p w14:paraId="137145A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248.10ᶜ</w:t>
            </w:r>
          </w:p>
        </w:tc>
        <w:tc>
          <w:tcPr>
            <w:tcW w:w="0" w:type="auto"/>
            <w:shd w:val="clear" w:color="auto" w:fill="CCCCCC"/>
            <w:hideMark/>
          </w:tcPr>
          <w:p w14:paraId="7B89CAD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107.20ᵈ</w:t>
            </w:r>
          </w:p>
        </w:tc>
        <w:tc>
          <w:tcPr>
            <w:tcW w:w="0" w:type="auto"/>
            <w:shd w:val="clear" w:color="auto" w:fill="CCCCCC"/>
            <w:hideMark/>
          </w:tcPr>
          <w:p w14:paraId="70379CA1"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467.70ᵃ</w:t>
            </w:r>
          </w:p>
        </w:tc>
        <w:tc>
          <w:tcPr>
            <w:tcW w:w="0" w:type="auto"/>
            <w:shd w:val="clear" w:color="auto" w:fill="CCCCCC"/>
            <w:hideMark/>
          </w:tcPr>
          <w:p w14:paraId="2080B684"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387.60ᵇ</w:t>
            </w:r>
          </w:p>
        </w:tc>
        <w:tc>
          <w:tcPr>
            <w:tcW w:w="0" w:type="auto"/>
            <w:shd w:val="clear" w:color="auto" w:fill="CCCCCC"/>
            <w:hideMark/>
          </w:tcPr>
          <w:p w14:paraId="04E69A5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 xml:space="preserve">  -</w:t>
            </w:r>
          </w:p>
        </w:tc>
        <w:tc>
          <w:tcPr>
            <w:tcW w:w="824" w:type="dxa"/>
            <w:shd w:val="clear" w:color="auto" w:fill="CCCCCC"/>
            <w:hideMark/>
          </w:tcPr>
          <w:p w14:paraId="1DBB611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±40.00</w:t>
            </w:r>
          </w:p>
        </w:tc>
        <w:tc>
          <w:tcPr>
            <w:tcW w:w="936" w:type="dxa"/>
            <w:shd w:val="clear" w:color="auto" w:fill="CCCCCC"/>
            <w:vAlign w:val="center"/>
          </w:tcPr>
          <w:p w14:paraId="388830E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37.7702</w:t>
            </w:r>
          </w:p>
        </w:tc>
        <w:tc>
          <w:tcPr>
            <w:tcW w:w="824" w:type="dxa"/>
            <w:shd w:val="clear" w:color="auto" w:fill="CCCCCC"/>
          </w:tcPr>
          <w:p w14:paraId="5BC9ED2E" w14:textId="77777777" w:rsidR="00E001E8" w:rsidRPr="00E91A0B" w:rsidRDefault="00E001E8" w:rsidP="005C4CC1">
            <w:pPr>
              <w:spacing w:line="480" w:lineRule="auto"/>
              <w:rPr>
                <w:rFonts w:ascii="Arial" w:hAnsi="Arial" w:cs="Arial"/>
                <w:kern w:val="2"/>
                <w:sz w:val="24"/>
                <w:szCs w:val="24"/>
              </w:rPr>
            </w:pPr>
          </w:p>
        </w:tc>
      </w:tr>
      <w:tr w:rsidR="00E001E8" w:rsidRPr="00E91A0B" w14:paraId="6792E7EF" w14:textId="77777777" w:rsidTr="005C4CC1">
        <w:trPr>
          <w:trHeight w:val="509"/>
        </w:trPr>
        <w:tc>
          <w:tcPr>
            <w:tcW w:w="0" w:type="auto"/>
            <w:hideMark/>
          </w:tcPr>
          <w:p w14:paraId="5B13EAB7"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Calcium (%)</w:t>
            </w:r>
          </w:p>
        </w:tc>
        <w:tc>
          <w:tcPr>
            <w:tcW w:w="0" w:type="auto"/>
            <w:hideMark/>
          </w:tcPr>
          <w:p w14:paraId="262065F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0.24ᵇ</w:t>
            </w:r>
          </w:p>
        </w:tc>
        <w:tc>
          <w:tcPr>
            <w:tcW w:w="0" w:type="auto"/>
            <w:hideMark/>
          </w:tcPr>
          <w:p w14:paraId="43F5903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0.13ᶜ</w:t>
            </w:r>
          </w:p>
        </w:tc>
        <w:tc>
          <w:tcPr>
            <w:tcW w:w="0" w:type="auto"/>
            <w:hideMark/>
          </w:tcPr>
          <w:p w14:paraId="3EABABF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0.18ᵇ</w:t>
            </w:r>
          </w:p>
        </w:tc>
        <w:tc>
          <w:tcPr>
            <w:tcW w:w="0" w:type="auto"/>
            <w:hideMark/>
          </w:tcPr>
          <w:p w14:paraId="5AF0C57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0.17ᵇ</w:t>
            </w:r>
          </w:p>
        </w:tc>
        <w:tc>
          <w:tcPr>
            <w:tcW w:w="0" w:type="auto"/>
            <w:hideMark/>
          </w:tcPr>
          <w:p w14:paraId="61D57DC4"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0.68ᵃ</w:t>
            </w:r>
          </w:p>
        </w:tc>
        <w:tc>
          <w:tcPr>
            <w:tcW w:w="824" w:type="dxa"/>
            <w:hideMark/>
          </w:tcPr>
          <w:p w14:paraId="56469FD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±0.05</w:t>
            </w:r>
          </w:p>
        </w:tc>
        <w:tc>
          <w:tcPr>
            <w:tcW w:w="936" w:type="dxa"/>
            <w:vAlign w:val="center"/>
          </w:tcPr>
          <w:p w14:paraId="6E6FF56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0.0327</w:t>
            </w:r>
          </w:p>
        </w:tc>
        <w:tc>
          <w:tcPr>
            <w:tcW w:w="824" w:type="dxa"/>
          </w:tcPr>
          <w:p w14:paraId="5826E7AE" w14:textId="77777777" w:rsidR="00E001E8" w:rsidRPr="00E91A0B" w:rsidRDefault="00E001E8" w:rsidP="005C4CC1">
            <w:pPr>
              <w:spacing w:line="480" w:lineRule="auto"/>
              <w:rPr>
                <w:rFonts w:ascii="Arial" w:hAnsi="Arial" w:cs="Arial"/>
                <w:kern w:val="2"/>
                <w:sz w:val="24"/>
                <w:szCs w:val="24"/>
              </w:rPr>
            </w:pPr>
          </w:p>
        </w:tc>
      </w:tr>
      <w:tr w:rsidR="00E001E8" w:rsidRPr="00E91A0B" w14:paraId="46D6DE91" w14:textId="77777777" w:rsidTr="005C4CC1">
        <w:trPr>
          <w:trHeight w:val="509"/>
        </w:trPr>
        <w:tc>
          <w:tcPr>
            <w:tcW w:w="0" w:type="auto"/>
            <w:shd w:val="clear" w:color="auto" w:fill="CCCCCC"/>
            <w:hideMark/>
          </w:tcPr>
          <w:p w14:paraId="09D8A0FB"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Magnesium (%)</w:t>
            </w:r>
          </w:p>
        </w:tc>
        <w:tc>
          <w:tcPr>
            <w:tcW w:w="0" w:type="auto"/>
            <w:shd w:val="clear" w:color="auto" w:fill="CCCCCC"/>
            <w:hideMark/>
          </w:tcPr>
          <w:p w14:paraId="56A478E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0.47ᵇ</w:t>
            </w:r>
          </w:p>
        </w:tc>
        <w:tc>
          <w:tcPr>
            <w:tcW w:w="0" w:type="auto"/>
            <w:shd w:val="clear" w:color="auto" w:fill="CCCCCC"/>
            <w:hideMark/>
          </w:tcPr>
          <w:p w14:paraId="7EBF06D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0.32ᶜ</w:t>
            </w:r>
          </w:p>
        </w:tc>
        <w:tc>
          <w:tcPr>
            <w:tcW w:w="0" w:type="auto"/>
            <w:shd w:val="clear" w:color="auto" w:fill="CCCCCC"/>
            <w:hideMark/>
          </w:tcPr>
          <w:p w14:paraId="0176468B"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0.37ᶜ</w:t>
            </w:r>
          </w:p>
        </w:tc>
        <w:tc>
          <w:tcPr>
            <w:tcW w:w="0" w:type="auto"/>
            <w:shd w:val="clear" w:color="auto" w:fill="CCCCCC"/>
            <w:hideMark/>
          </w:tcPr>
          <w:p w14:paraId="317CED48"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0.57ᵃ</w:t>
            </w:r>
          </w:p>
        </w:tc>
        <w:tc>
          <w:tcPr>
            <w:tcW w:w="0" w:type="auto"/>
            <w:shd w:val="clear" w:color="auto" w:fill="CCCCCC"/>
            <w:hideMark/>
          </w:tcPr>
          <w:p w14:paraId="20A7B222"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0.62ᵃ</w:t>
            </w:r>
          </w:p>
        </w:tc>
        <w:tc>
          <w:tcPr>
            <w:tcW w:w="824" w:type="dxa"/>
            <w:shd w:val="clear" w:color="auto" w:fill="CCCCCC"/>
            <w:hideMark/>
          </w:tcPr>
          <w:p w14:paraId="5C69929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±0.04</w:t>
            </w:r>
          </w:p>
        </w:tc>
        <w:tc>
          <w:tcPr>
            <w:tcW w:w="936" w:type="dxa"/>
            <w:shd w:val="clear" w:color="auto" w:fill="CCCCCC"/>
            <w:vAlign w:val="center"/>
          </w:tcPr>
          <w:p w14:paraId="5928761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0.0440</w:t>
            </w:r>
          </w:p>
        </w:tc>
        <w:tc>
          <w:tcPr>
            <w:tcW w:w="824" w:type="dxa"/>
            <w:shd w:val="clear" w:color="auto" w:fill="CCCCCC"/>
          </w:tcPr>
          <w:p w14:paraId="0047355D" w14:textId="77777777" w:rsidR="00E001E8" w:rsidRPr="00E91A0B" w:rsidRDefault="00E001E8" w:rsidP="005C4CC1">
            <w:pPr>
              <w:spacing w:line="480" w:lineRule="auto"/>
              <w:rPr>
                <w:rFonts w:ascii="Arial" w:hAnsi="Arial" w:cs="Arial"/>
                <w:kern w:val="2"/>
                <w:sz w:val="24"/>
                <w:szCs w:val="24"/>
              </w:rPr>
            </w:pPr>
          </w:p>
        </w:tc>
      </w:tr>
      <w:tr w:rsidR="00E001E8" w:rsidRPr="00E91A0B" w14:paraId="74A87008" w14:textId="77777777" w:rsidTr="005C4CC1">
        <w:trPr>
          <w:trHeight w:val="522"/>
        </w:trPr>
        <w:tc>
          <w:tcPr>
            <w:tcW w:w="0" w:type="auto"/>
            <w:hideMark/>
          </w:tcPr>
          <w:p w14:paraId="3C2539D8"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Sulphur (%)</w:t>
            </w:r>
          </w:p>
        </w:tc>
        <w:tc>
          <w:tcPr>
            <w:tcW w:w="0" w:type="auto"/>
            <w:hideMark/>
          </w:tcPr>
          <w:p w14:paraId="7B28DB2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0.61ᵃ</w:t>
            </w:r>
          </w:p>
        </w:tc>
        <w:tc>
          <w:tcPr>
            <w:tcW w:w="0" w:type="auto"/>
            <w:hideMark/>
          </w:tcPr>
          <w:p w14:paraId="696D20A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0.57ᵃ</w:t>
            </w:r>
          </w:p>
        </w:tc>
        <w:tc>
          <w:tcPr>
            <w:tcW w:w="0" w:type="auto"/>
            <w:hideMark/>
          </w:tcPr>
          <w:p w14:paraId="1A8B195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0.46ᵇ</w:t>
            </w:r>
          </w:p>
        </w:tc>
        <w:tc>
          <w:tcPr>
            <w:tcW w:w="0" w:type="auto"/>
            <w:hideMark/>
          </w:tcPr>
          <w:p w14:paraId="6558C512"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0.82ᵃ</w:t>
            </w:r>
          </w:p>
        </w:tc>
        <w:tc>
          <w:tcPr>
            <w:tcW w:w="0" w:type="auto"/>
            <w:hideMark/>
          </w:tcPr>
          <w:p w14:paraId="198D3DE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0.13ᶜ</w:t>
            </w:r>
          </w:p>
        </w:tc>
        <w:tc>
          <w:tcPr>
            <w:tcW w:w="824" w:type="dxa"/>
            <w:hideMark/>
          </w:tcPr>
          <w:p w14:paraId="5A8C6BC8"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±0.06</w:t>
            </w:r>
          </w:p>
        </w:tc>
        <w:tc>
          <w:tcPr>
            <w:tcW w:w="936" w:type="dxa"/>
            <w:vAlign w:val="center"/>
          </w:tcPr>
          <w:p w14:paraId="580FBF9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0.0471</w:t>
            </w:r>
          </w:p>
        </w:tc>
        <w:tc>
          <w:tcPr>
            <w:tcW w:w="824" w:type="dxa"/>
          </w:tcPr>
          <w:p w14:paraId="6F358E7E" w14:textId="77777777" w:rsidR="00E001E8" w:rsidRPr="00E91A0B" w:rsidRDefault="00E001E8" w:rsidP="005C4CC1">
            <w:pPr>
              <w:spacing w:line="480" w:lineRule="auto"/>
              <w:rPr>
                <w:rFonts w:ascii="Arial" w:hAnsi="Arial" w:cs="Arial"/>
                <w:kern w:val="2"/>
                <w:sz w:val="24"/>
                <w:szCs w:val="24"/>
              </w:rPr>
            </w:pPr>
          </w:p>
        </w:tc>
      </w:tr>
    </w:tbl>
    <w:p w14:paraId="6FE36414" w14:textId="3859C760" w:rsidR="00F53DB4" w:rsidRPr="00E91A0B" w:rsidRDefault="00E001E8" w:rsidP="00584F85">
      <w:pPr>
        <w:spacing w:after="0" w:line="480" w:lineRule="auto"/>
        <w:jc w:val="both"/>
        <w:rPr>
          <w:rFonts w:ascii="Arial" w:hAnsi="Arial" w:cs="Arial"/>
          <w:b/>
          <w:bCs/>
          <w:sz w:val="24"/>
          <w:szCs w:val="24"/>
        </w:rPr>
      </w:pPr>
      <w:r w:rsidRPr="00E91A0B">
        <w:rPr>
          <w:rFonts w:ascii="Arial" w:hAnsi="Arial" w:cs="Arial"/>
          <w:b/>
          <w:bCs/>
          <w:sz w:val="24"/>
          <w:szCs w:val="24"/>
        </w:rPr>
        <w:t>Table 2: Nutrient composition of different types of silkworm frass and FYM</w:t>
      </w:r>
    </w:p>
    <w:p w14:paraId="7E0FACA4" w14:textId="77777777" w:rsidR="00584F85" w:rsidRPr="00E91A0B" w:rsidRDefault="00584F85" w:rsidP="00584F85">
      <w:pPr>
        <w:spacing w:after="0" w:line="480" w:lineRule="auto"/>
        <w:jc w:val="both"/>
        <w:rPr>
          <w:rFonts w:ascii="Arial" w:hAnsi="Arial" w:cs="Arial"/>
          <w:b/>
          <w:bCs/>
          <w:sz w:val="24"/>
          <w:szCs w:val="24"/>
        </w:rPr>
      </w:pPr>
    </w:p>
    <w:p w14:paraId="26DFE2C4" w14:textId="77777777" w:rsidR="00E641CE" w:rsidRPr="00E91A0B" w:rsidRDefault="00E641CE" w:rsidP="00584F85">
      <w:pPr>
        <w:spacing w:after="0" w:line="480" w:lineRule="auto"/>
        <w:jc w:val="both"/>
        <w:rPr>
          <w:rFonts w:ascii="Arial" w:hAnsi="Arial" w:cs="Arial"/>
          <w:b/>
          <w:bCs/>
          <w:sz w:val="24"/>
          <w:szCs w:val="24"/>
        </w:rPr>
      </w:pPr>
    </w:p>
    <w:p w14:paraId="0183508D" w14:textId="77777777" w:rsidR="00F53DB4" w:rsidRPr="00E91A0B" w:rsidRDefault="00F53DB4" w:rsidP="00F53DB4">
      <w:pPr>
        <w:spacing w:after="120" w:line="480" w:lineRule="auto"/>
        <w:ind w:left="-709" w:hanging="142"/>
        <w:jc w:val="both"/>
        <w:rPr>
          <w:rFonts w:ascii="Arial" w:hAnsi="Arial" w:cs="Arial"/>
          <w:sz w:val="24"/>
          <w:szCs w:val="24"/>
        </w:rPr>
      </w:pPr>
      <w:r w:rsidRPr="00E91A0B">
        <w:rPr>
          <w:rFonts w:ascii="Arial" w:hAnsi="Arial" w:cs="Arial"/>
          <w:noProof/>
          <w:sz w:val="24"/>
          <w:szCs w:val="24"/>
        </w:rPr>
        <w:lastRenderedPageBreak/>
        <w:drawing>
          <wp:inline distT="0" distB="0" distL="0" distR="0" wp14:anchorId="4C5E8C5C" wp14:editId="623B7089">
            <wp:extent cx="6957060" cy="3420110"/>
            <wp:effectExtent l="0" t="0" r="15240" b="8890"/>
            <wp:docPr id="214075530"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B5D950" w14:textId="77777777" w:rsidR="00F53DB4" w:rsidRPr="00E91A0B" w:rsidRDefault="00F53DB4" w:rsidP="00F53DB4">
      <w:pPr>
        <w:spacing w:after="120" w:line="480" w:lineRule="auto"/>
        <w:jc w:val="center"/>
        <w:rPr>
          <w:rFonts w:ascii="Arial" w:hAnsi="Arial" w:cs="Arial"/>
          <w:b/>
          <w:bCs/>
          <w:sz w:val="24"/>
          <w:szCs w:val="24"/>
        </w:rPr>
      </w:pPr>
      <w:r w:rsidRPr="00E91A0B">
        <w:rPr>
          <w:rFonts w:ascii="Arial" w:hAnsi="Arial" w:cs="Arial"/>
          <w:b/>
          <w:bCs/>
          <w:sz w:val="24"/>
          <w:szCs w:val="24"/>
        </w:rPr>
        <w:t>Fig 1: Comparison of different macro and micro nutrients in different silkworm frass and FYM</w:t>
      </w:r>
    </w:p>
    <w:p w14:paraId="54B2478F" w14:textId="77777777" w:rsidR="00F53DB4" w:rsidRPr="00E91A0B" w:rsidRDefault="00F53DB4" w:rsidP="00F53DB4">
      <w:pPr>
        <w:spacing w:after="120" w:line="480" w:lineRule="auto"/>
        <w:ind w:firstLine="720"/>
        <w:jc w:val="both"/>
        <w:rPr>
          <w:rFonts w:ascii="Arial" w:hAnsi="Arial" w:cs="Arial"/>
          <w:sz w:val="24"/>
          <w:szCs w:val="24"/>
        </w:rPr>
      </w:pPr>
      <w:r w:rsidRPr="00E91A0B">
        <w:rPr>
          <w:rFonts w:ascii="Arial" w:hAnsi="Arial" w:cs="Arial"/>
          <w:noProof/>
          <w:sz w:val="24"/>
          <w:szCs w:val="24"/>
        </w:rPr>
        <w:drawing>
          <wp:inline distT="0" distB="0" distL="0" distR="0" wp14:anchorId="24BB9EFD" wp14:editId="4CCF0DBA">
            <wp:extent cx="4817745" cy="2320925"/>
            <wp:effectExtent l="0" t="0" r="1905" b="3175"/>
            <wp:docPr id="1200682395"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7013FC" w14:textId="77777777" w:rsidR="00F53DB4" w:rsidRPr="00E91A0B" w:rsidRDefault="00F53DB4" w:rsidP="00F53DB4">
      <w:pPr>
        <w:spacing w:after="120" w:line="480" w:lineRule="auto"/>
        <w:jc w:val="center"/>
        <w:rPr>
          <w:rFonts w:ascii="Arial" w:hAnsi="Arial" w:cs="Arial"/>
          <w:b/>
          <w:bCs/>
          <w:sz w:val="24"/>
          <w:szCs w:val="24"/>
        </w:rPr>
      </w:pPr>
      <w:r w:rsidRPr="00E91A0B">
        <w:rPr>
          <w:rFonts w:ascii="Arial" w:hAnsi="Arial" w:cs="Arial"/>
          <w:b/>
          <w:bCs/>
          <w:sz w:val="24"/>
          <w:szCs w:val="24"/>
        </w:rPr>
        <w:t>Fig 2: Comparison of organic carbon % in different silkworm frass and FYM</w:t>
      </w:r>
    </w:p>
    <w:p w14:paraId="16796784" w14:textId="77777777" w:rsidR="00F53DB4" w:rsidRPr="00E91A0B" w:rsidRDefault="00F53DB4" w:rsidP="00F53DB4">
      <w:pPr>
        <w:spacing w:after="120" w:line="480" w:lineRule="auto"/>
        <w:ind w:firstLine="720"/>
        <w:jc w:val="both"/>
        <w:rPr>
          <w:rFonts w:ascii="Arial" w:hAnsi="Arial" w:cs="Arial"/>
          <w:b/>
          <w:bCs/>
          <w:sz w:val="24"/>
          <w:szCs w:val="24"/>
        </w:rPr>
      </w:pPr>
      <w:r w:rsidRPr="00E91A0B">
        <w:rPr>
          <w:rFonts w:ascii="Arial" w:hAnsi="Arial" w:cs="Arial"/>
          <w:noProof/>
          <w:sz w:val="24"/>
          <w:szCs w:val="24"/>
        </w:rPr>
        <w:lastRenderedPageBreak/>
        <w:drawing>
          <wp:inline distT="0" distB="0" distL="0" distR="0" wp14:anchorId="6957A6CF" wp14:editId="62A747A3">
            <wp:extent cx="4574540" cy="2745740"/>
            <wp:effectExtent l="0" t="0" r="16510" b="16510"/>
            <wp:docPr id="1899693280"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84F27E" w14:textId="77777777" w:rsidR="00F53DB4" w:rsidRPr="00E91A0B" w:rsidRDefault="00F53DB4" w:rsidP="00F53DB4">
      <w:pPr>
        <w:spacing w:after="120" w:line="480" w:lineRule="auto"/>
        <w:rPr>
          <w:rFonts w:ascii="Arial" w:hAnsi="Arial" w:cs="Arial"/>
          <w:b/>
          <w:bCs/>
          <w:sz w:val="24"/>
          <w:szCs w:val="24"/>
        </w:rPr>
      </w:pPr>
      <w:r w:rsidRPr="00E91A0B">
        <w:rPr>
          <w:rFonts w:ascii="Arial" w:hAnsi="Arial" w:cs="Arial"/>
          <w:b/>
          <w:bCs/>
          <w:sz w:val="24"/>
          <w:szCs w:val="24"/>
        </w:rPr>
        <w:t xml:space="preserve">             Fig 3: Comparison of C:N ratio in different silkworm frass and FYM</w:t>
      </w:r>
    </w:p>
    <w:p w14:paraId="1E9FB4AF" w14:textId="77777777" w:rsidR="00F53DB4" w:rsidRPr="00E91A0B" w:rsidRDefault="00F53DB4" w:rsidP="00E001E8">
      <w:pPr>
        <w:spacing w:after="0" w:line="480" w:lineRule="auto"/>
        <w:jc w:val="both"/>
        <w:rPr>
          <w:rFonts w:ascii="Arial" w:hAnsi="Arial" w:cs="Arial"/>
          <w:color w:val="222222"/>
          <w:sz w:val="24"/>
          <w:szCs w:val="24"/>
          <w:shd w:val="clear" w:color="auto" w:fill="FFFFFF"/>
        </w:rPr>
      </w:pPr>
    </w:p>
    <w:sectPr w:rsidR="00F53DB4" w:rsidRPr="00E91A0B" w:rsidSect="00410F3C">
      <w:headerReference w:type="even" r:id="rId12"/>
      <w:headerReference w:type="default" r:id="rId13"/>
      <w:footerReference w:type="even" r:id="rId14"/>
      <w:footerReference w:type="default" r:id="rId15"/>
      <w:headerReference w:type="first" r:id="rId16"/>
      <w:footerReference w:type="first" r:id="rId17"/>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D897A" w14:textId="77777777" w:rsidR="00A819BA" w:rsidRDefault="00A819BA" w:rsidP="007352AF">
      <w:pPr>
        <w:spacing w:after="0" w:line="240" w:lineRule="auto"/>
      </w:pPr>
      <w:r>
        <w:separator/>
      </w:r>
    </w:p>
  </w:endnote>
  <w:endnote w:type="continuationSeparator" w:id="0">
    <w:p w14:paraId="2799F414" w14:textId="77777777" w:rsidR="00A819BA" w:rsidRDefault="00A819BA" w:rsidP="0073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F781" w14:textId="77777777" w:rsidR="00137FEC" w:rsidRDefault="00137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425F" w14:textId="77777777" w:rsidR="00137FEC" w:rsidRDefault="00137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B5EA" w14:textId="77777777" w:rsidR="00137FEC" w:rsidRDefault="00137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4619" w14:textId="77777777" w:rsidR="00A819BA" w:rsidRDefault="00A819BA" w:rsidP="007352AF">
      <w:pPr>
        <w:spacing w:after="0" w:line="240" w:lineRule="auto"/>
      </w:pPr>
      <w:r>
        <w:separator/>
      </w:r>
    </w:p>
  </w:footnote>
  <w:footnote w:type="continuationSeparator" w:id="0">
    <w:p w14:paraId="24C9E940" w14:textId="77777777" w:rsidR="00A819BA" w:rsidRDefault="00A819BA" w:rsidP="00735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0A32" w14:textId="52BC1E2B" w:rsidR="00137FEC" w:rsidRDefault="00137FEC">
    <w:pPr>
      <w:pStyle w:val="Header"/>
    </w:pPr>
    <w:r>
      <w:rPr>
        <w:noProof/>
      </w:rPr>
      <w:pict w14:anchorId="7CDA0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77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9316" w14:textId="7EC719C8" w:rsidR="00137FEC" w:rsidRDefault="00137FEC">
    <w:pPr>
      <w:pStyle w:val="Header"/>
    </w:pPr>
    <w:r>
      <w:rPr>
        <w:noProof/>
      </w:rPr>
      <w:pict w14:anchorId="7EA0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77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E8D3D" w14:textId="25F6C35A" w:rsidR="00137FEC" w:rsidRDefault="00137FEC">
    <w:pPr>
      <w:pStyle w:val="Header"/>
    </w:pPr>
    <w:r>
      <w:rPr>
        <w:noProof/>
      </w:rPr>
      <w:pict w14:anchorId="18C05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77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92E0C"/>
    <w:multiLevelType w:val="hybridMultilevel"/>
    <w:tmpl w:val="DA22F71C"/>
    <w:lvl w:ilvl="0" w:tplc="4009000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48FF1814"/>
    <w:multiLevelType w:val="hybridMultilevel"/>
    <w:tmpl w:val="F646871C"/>
    <w:lvl w:ilvl="0" w:tplc="4009000F">
      <w:start w:val="1"/>
      <w:numFmt w:val="decimal"/>
      <w:lvlText w:val="%1."/>
      <w:lvlJc w:val="left"/>
      <w:pPr>
        <w:ind w:left="0" w:hanging="360"/>
      </w:p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 w15:restartNumberingAfterBreak="0">
    <w:nsid w:val="5D460CF5"/>
    <w:multiLevelType w:val="hybridMultilevel"/>
    <w:tmpl w:val="9488B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0DF202F"/>
    <w:multiLevelType w:val="hybridMultilevel"/>
    <w:tmpl w:val="96A823E0"/>
    <w:lvl w:ilvl="0" w:tplc="2FF67742">
      <w:numFmt w:val="bullet"/>
      <w:lvlText w:val=""/>
      <w:lvlJc w:val="left"/>
      <w:pPr>
        <w:ind w:left="-300" w:hanging="420"/>
      </w:pPr>
      <w:rPr>
        <w:rFonts w:ascii="Arial" w:eastAsiaTheme="minorHAnsi" w:hAnsi="Arial" w:cs="Arial" w:hint="default"/>
      </w:rPr>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080" w:hanging="360"/>
      </w:pPr>
      <w:rPr>
        <w:rFonts w:ascii="Wingdings" w:hAnsi="Wingdings" w:hint="default"/>
      </w:rPr>
    </w:lvl>
    <w:lvl w:ilvl="3" w:tplc="40090001" w:tentative="1">
      <w:start w:val="1"/>
      <w:numFmt w:val="bullet"/>
      <w:lvlText w:val=""/>
      <w:lvlJc w:val="left"/>
      <w:pPr>
        <w:ind w:left="1800" w:hanging="360"/>
      </w:pPr>
      <w:rPr>
        <w:rFonts w:ascii="Symbol" w:hAnsi="Symbol" w:hint="default"/>
      </w:rPr>
    </w:lvl>
    <w:lvl w:ilvl="4" w:tplc="40090003" w:tentative="1">
      <w:start w:val="1"/>
      <w:numFmt w:val="bullet"/>
      <w:lvlText w:val="o"/>
      <w:lvlJc w:val="left"/>
      <w:pPr>
        <w:ind w:left="2520" w:hanging="360"/>
      </w:pPr>
      <w:rPr>
        <w:rFonts w:ascii="Courier New" w:hAnsi="Courier New" w:cs="Courier New" w:hint="default"/>
      </w:rPr>
    </w:lvl>
    <w:lvl w:ilvl="5" w:tplc="40090005" w:tentative="1">
      <w:start w:val="1"/>
      <w:numFmt w:val="bullet"/>
      <w:lvlText w:val=""/>
      <w:lvlJc w:val="left"/>
      <w:pPr>
        <w:ind w:left="3240" w:hanging="360"/>
      </w:pPr>
      <w:rPr>
        <w:rFonts w:ascii="Wingdings" w:hAnsi="Wingdings" w:hint="default"/>
      </w:rPr>
    </w:lvl>
    <w:lvl w:ilvl="6" w:tplc="40090001" w:tentative="1">
      <w:start w:val="1"/>
      <w:numFmt w:val="bullet"/>
      <w:lvlText w:val=""/>
      <w:lvlJc w:val="left"/>
      <w:pPr>
        <w:ind w:left="3960" w:hanging="360"/>
      </w:pPr>
      <w:rPr>
        <w:rFonts w:ascii="Symbol" w:hAnsi="Symbol" w:hint="default"/>
      </w:rPr>
    </w:lvl>
    <w:lvl w:ilvl="7" w:tplc="40090003" w:tentative="1">
      <w:start w:val="1"/>
      <w:numFmt w:val="bullet"/>
      <w:lvlText w:val="o"/>
      <w:lvlJc w:val="left"/>
      <w:pPr>
        <w:ind w:left="4680" w:hanging="360"/>
      </w:pPr>
      <w:rPr>
        <w:rFonts w:ascii="Courier New" w:hAnsi="Courier New" w:cs="Courier New" w:hint="default"/>
      </w:rPr>
    </w:lvl>
    <w:lvl w:ilvl="8" w:tplc="40090005" w:tentative="1">
      <w:start w:val="1"/>
      <w:numFmt w:val="bullet"/>
      <w:lvlText w:val=""/>
      <w:lvlJc w:val="left"/>
      <w:pPr>
        <w:ind w:left="54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8E"/>
    <w:rsid w:val="000066A6"/>
    <w:rsid w:val="00013BCE"/>
    <w:rsid w:val="000152F3"/>
    <w:rsid w:val="000248E4"/>
    <w:rsid w:val="000251B0"/>
    <w:rsid w:val="00033DBF"/>
    <w:rsid w:val="000372F7"/>
    <w:rsid w:val="00044356"/>
    <w:rsid w:val="00046CBE"/>
    <w:rsid w:val="00047173"/>
    <w:rsid w:val="000541FE"/>
    <w:rsid w:val="00056C46"/>
    <w:rsid w:val="00064B7D"/>
    <w:rsid w:val="000821E1"/>
    <w:rsid w:val="00090E00"/>
    <w:rsid w:val="0009409B"/>
    <w:rsid w:val="000B4554"/>
    <w:rsid w:val="000B6BF3"/>
    <w:rsid w:val="000C3273"/>
    <w:rsid w:val="000C6410"/>
    <w:rsid w:val="000D3EFC"/>
    <w:rsid w:val="000D4523"/>
    <w:rsid w:val="000D6573"/>
    <w:rsid w:val="000E156B"/>
    <w:rsid w:val="000E3DF2"/>
    <w:rsid w:val="000E7C06"/>
    <w:rsid w:val="000F142F"/>
    <w:rsid w:val="000F199C"/>
    <w:rsid w:val="00101A3D"/>
    <w:rsid w:val="00101F54"/>
    <w:rsid w:val="001039C7"/>
    <w:rsid w:val="00104357"/>
    <w:rsid w:val="0010435A"/>
    <w:rsid w:val="00105DA7"/>
    <w:rsid w:val="001071F1"/>
    <w:rsid w:val="001075AB"/>
    <w:rsid w:val="0011226B"/>
    <w:rsid w:val="00112337"/>
    <w:rsid w:val="0011694E"/>
    <w:rsid w:val="00121810"/>
    <w:rsid w:val="00126E38"/>
    <w:rsid w:val="00127CFD"/>
    <w:rsid w:val="00132E23"/>
    <w:rsid w:val="00137FEC"/>
    <w:rsid w:val="00143099"/>
    <w:rsid w:val="00144385"/>
    <w:rsid w:val="00144618"/>
    <w:rsid w:val="001456A0"/>
    <w:rsid w:val="00146CB7"/>
    <w:rsid w:val="00152366"/>
    <w:rsid w:val="00164EA8"/>
    <w:rsid w:val="00171370"/>
    <w:rsid w:val="001731BC"/>
    <w:rsid w:val="00177F4E"/>
    <w:rsid w:val="00177FDA"/>
    <w:rsid w:val="001919F5"/>
    <w:rsid w:val="00195AE0"/>
    <w:rsid w:val="00195CEB"/>
    <w:rsid w:val="001A0701"/>
    <w:rsid w:val="001A3B6B"/>
    <w:rsid w:val="001A411A"/>
    <w:rsid w:val="001B20FE"/>
    <w:rsid w:val="001B3366"/>
    <w:rsid w:val="001B722D"/>
    <w:rsid w:val="001C1592"/>
    <w:rsid w:val="001C44A6"/>
    <w:rsid w:val="001C5EE0"/>
    <w:rsid w:val="001C6355"/>
    <w:rsid w:val="001D0743"/>
    <w:rsid w:val="001D0F45"/>
    <w:rsid w:val="001D4FF9"/>
    <w:rsid w:val="001D5637"/>
    <w:rsid w:val="001D6E73"/>
    <w:rsid w:val="001E37EE"/>
    <w:rsid w:val="001E64E2"/>
    <w:rsid w:val="001E7AE5"/>
    <w:rsid w:val="001F7D46"/>
    <w:rsid w:val="002065C0"/>
    <w:rsid w:val="00206A32"/>
    <w:rsid w:val="00212771"/>
    <w:rsid w:val="00213000"/>
    <w:rsid w:val="00215EB4"/>
    <w:rsid w:val="002222E5"/>
    <w:rsid w:val="00223E8E"/>
    <w:rsid w:val="002321C2"/>
    <w:rsid w:val="00235E17"/>
    <w:rsid w:val="00243292"/>
    <w:rsid w:val="00254124"/>
    <w:rsid w:val="002606F9"/>
    <w:rsid w:val="00260C25"/>
    <w:rsid w:val="00265A2B"/>
    <w:rsid w:val="00266727"/>
    <w:rsid w:val="00266AA3"/>
    <w:rsid w:val="002714E8"/>
    <w:rsid w:val="0027283C"/>
    <w:rsid w:val="00274592"/>
    <w:rsid w:val="002807AD"/>
    <w:rsid w:val="00291FF9"/>
    <w:rsid w:val="002A3D51"/>
    <w:rsid w:val="002A657A"/>
    <w:rsid w:val="002A7DF9"/>
    <w:rsid w:val="002B246B"/>
    <w:rsid w:val="002B359C"/>
    <w:rsid w:val="002B36D2"/>
    <w:rsid w:val="002C13EA"/>
    <w:rsid w:val="002C3148"/>
    <w:rsid w:val="002C369E"/>
    <w:rsid w:val="002C3E78"/>
    <w:rsid w:val="002D7AF1"/>
    <w:rsid w:val="002E028F"/>
    <w:rsid w:val="002E2E5C"/>
    <w:rsid w:val="002E5780"/>
    <w:rsid w:val="002E7383"/>
    <w:rsid w:val="002F1019"/>
    <w:rsid w:val="002F324E"/>
    <w:rsid w:val="003013F3"/>
    <w:rsid w:val="00301C27"/>
    <w:rsid w:val="003061CB"/>
    <w:rsid w:val="003116A6"/>
    <w:rsid w:val="003200DC"/>
    <w:rsid w:val="00322B08"/>
    <w:rsid w:val="00322CAC"/>
    <w:rsid w:val="0033155E"/>
    <w:rsid w:val="003351AF"/>
    <w:rsid w:val="003429D7"/>
    <w:rsid w:val="003472B1"/>
    <w:rsid w:val="0035082A"/>
    <w:rsid w:val="00352790"/>
    <w:rsid w:val="0035367B"/>
    <w:rsid w:val="0035462D"/>
    <w:rsid w:val="0037494D"/>
    <w:rsid w:val="0037636A"/>
    <w:rsid w:val="0038062D"/>
    <w:rsid w:val="003807E9"/>
    <w:rsid w:val="0038205E"/>
    <w:rsid w:val="00383ACC"/>
    <w:rsid w:val="0038454D"/>
    <w:rsid w:val="00385B7D"/>
    <w:rsid w:val="003A1D57"/>
    <w:rsid w:val="003A7A65"/>
    <w:rsid w:val="003C06B6"/>
    <w:rsid w:val="003C49D8"/>
    <w:rsid w:val="003D6815"/>
    <w:rsid w:val="003E33A8"/>
    <w:rsid w:val="003E46E2"/>
    <w:rsid w:val="003F18F6"/>
    <w:rsid w:val="003F5B95"/>
    <w:rsid w:val="00403889"/>
    <w:rsid w:val="00404B54"/>
    <w:rsid w:val="00405E90"/>
    <w:rsid w:val="00406CAD"/>
    <w:rsid w:val="004071B5"/>
    <w:rsid w:val="00410B75"/>
    <w:rsid w:val="00410E30"/>
    <w:rsid w:val="00410F3C"/>
    <w:rsid w:val="004155BA"/>
    <w:rsid w:val="00426A73"/>
    <w:rsid w:val="004313AF"/>
    <w:rsid w:val="00434302"/>
    <w:rsid w:val="00454002"/>
    <w:rsid w:val="004549EC"/>
    <w:rsid w:val="00454C57"/>
    <w:rsid w:val="00466979"/>
    <w:rsid w:val="0047656F"/>
    <w:rsid w:val="0047789C"/>
    <w:rsid w:val="004805C8"/>
    <w:rsid w:val="004820E0"/>
    <w:rsid w:val="004864B4"/>
    <w:rsid w:val="00497989"/>
    <w:rsid w:val="004A0734"/>
    <w:rsid w:val="004B0576"/>
    <w:rsid w:val="004B07D1"/>
    <w:rsid w:val="004C00B4"/>
    <w:rsid w:val="004D4ACE"/>
    <w:rsid w:val="004D753F"/>
    <w:rsid w:val="004E2302"/>
    <w:rsid w:val="004E4EC7"/>
    <w:rsid w:val="00502301"/>
    <w:rsid w:val="0050662A"/>
    <w:rsid w:val="005163AF"/>
    <w:rsid w:val="00526FCE"/>
    <w:rsid w:val="005318D1"/>
    <w:rsid w:val="005337EB"/>
    <w:rsid w:val="005340B2"/>
    <w:rsid w:val="00534110"/>
    <w:rsid w:val="00541D2E"/>
    <w:rsid w:val="00550C9F"/>
    <w:rsid w:val="00555542"/>
    <w:rsid w:val="0055614F"/>
    <w:rsid w:val="00556340"/>
    <w:rsid w:val="00566BE6"/>
    <w:rsid w:val="00570411"/>
    <w:rsid w:val="005711D7"/>
    <w:rsid w:val="00571A00"/>
    <w:rsid w:val="00576B3A"/>
    <w:rsid w:val="0058218B"/>
    <w:rsid w:val="00582211"/>
    <w:rsid w:val="0058433B"/>
    <w:rsid w:val="00584F85"/>
    <w:rsid w:val="00587268"/>
    <w:rsid w:val="00590C54"/>
    <w:rsid w:val="00592342"/>
    <w:rsid w:val="00592DD1"/>
    <w:rsid w:val="00597BBF"/>
    <w:rsid w:val="005A13FD"/>
    <w:rsid w:val="005B062A"/>
    <w:rsid w:val="005B3033"/>
    <w:rsid w:val="005C18E0"/>
    <w:rsid w:val="005C3E11"/>
    <w:rsid w:val="005D2FE0"/>
    <w:rsid w:val="005D4762"/>
    <w:rsid w:val="005D4D9C"/>
    <w:rsid w:val="005D744E"/>
    <w:rsid w:val="005E08E9"/>
    <w:rsid w:val="005E29FB"/>
    <w:rsid w:val="005E43A1"/>
    <w:rsid w:val="005E7E68"/>
    <w:rsid w:val="005F234F"/>
    <w:rsid w:val="005F4C61"/>
    <w:rsid w:val="005F5079"/>
    <w:rsid w:val="005F5868"/>
    <w:rsid w:val="00603E25"/>
    <w:rsid w:val="006043F6"/>
    <w:rsid w:val="00604E6D"/>
    <w:rsid w:val="0060546B"/>
    <w:rsid w:val="00606179"/>
    <w:rsid w:val="00612450"/>
    <w:rsid w:val="006236EB"/>
    <w:rsid w:val="00627CE3"/>
    <w:rsid w:val="00631187"/>
    <w:rsid w:val="0063293B"/>
    <w:rsid w:val="0063314E"/>
    <w:rsid w:val="00634B46"/>
    <w:rsid w:val="006415C4"/>
    <w:rsid w:val="00644E94"/>
    <w:rsid w:val="00650A8F"/>
    <w:rsid w:val="006561C4"/>
    <w:rsid w:val="006660AE"/>
    <w:rsid w:val="00670760"/>
    <w:rsid w:val="0067292F"/>
    <w:rsid w:val="006730C1"/>
    <w:rsid w:val="0068202F"/>
    <w:rsid w:val="00685412"/>
    <w:rsid w:val="006901D4"/>
    <w:rsid w:val="006951D6"/>
    <w:rsid w:val="006A221F"/>
    <w:rsid w:val="006A3C28"/>
    <w:rsid w:val="006A4FB5"/>
    <w:rsid w:val="006A7879"/>
    <w:rsid w:val="006B1374"/>
    <w:rsid w:val="006C3408"/>
    <w:rsid w:val="006D4F97"/>
    <w:rsid w:val="006D651C"/>
    <w:rsid w:val="006E259F"/>
    <w:rsid w:val="006F19FD"/>
    <w:rsid w:val="006F24AD"/>
    <w:rsid w:val="006F2DD8"/>
    <w:rsid w:val="006F5F96"/>
    <w:rsid w:val="00703051"/>
    <w:rsid w:val="00710B27"/>
    <w:rsid w:val="0071158E"/>
    <w:rsid w:val="00711A9F"/>
    <w:rsid w:val="00712A0A"/>
    <w:rsid w:val="00714DE2"/>
    <w:rsid w:val="0071598C"/>
    <w:rsid w:val="00723D9B"/>
    <w:rsid w:val="00726C79"/>
    <w:rsid w:val="00726E3F"/>
    <w:rsid w:val="007352AF"/>
    <w:rsid w:val="00743E7E"/>
    <w:rsid w:val="00745356"/>
    <w:rsid w:val="00746F7F"/>
    <w:rsid w:val="00756B9F"/>
    <w:rsid w:val="00756D37"/>
    <w:rsid w:val="00767D6D"/>
    <w:rsid w:val="007759EA"/>
    <w:rsid w:val="00777E23"/>
    <w:rsid w:val="00783236"/>
    <w:rsid w:val="00791A4F"/>
    <w:rsid w:val="007921D6"/>
    <w:rsid w:val="007A1DAF"/>
    <w:rsid w:val="007B61DF"/>
    <w:rsid w:val="007C1BF8"/>
    <w:rsid w:val="007C5095"/>
    <w:rsid w:val="007D4310"/>
    <w:rsid w:val="007D4946"/>
    <w:rsid w:val="007D5026"/>
    <w:rsid w:val="007E1906"/>
    <w:rsid w:val="00804F35"/>
    <w:rsid w:val="008076B1"/>
    <w:rsid w:val="00810437"/>
    <w:rsid w:val="008161FB"/>
    <w:rsid w:val="00821213"/>
    <w:rsid w:val="00821A22"/>
    <w:rsid w:val="0082205D"/>
    <w:rsid w:val="008252B5"/>
    <w:rsid w:val="008258F0"/>
    <w:rsid w:val="00832AE3"/>
    <w:rsid w:val="0083358C"/>
    <w:rsid w:val="00835091"/>
    <w:rsid w:val="00835FCD"/>
    <w:rsid w:val="008413BA"/>
    <w:rsid w:val="008670C8"/>
    <w:rsid w:val="008835A2"/>
    <w:rsid w:val="008866A2"/>
    <w:rsid w:val="00894B82"/>
    <w:rsid w:val="008A2578"/>
    <w:rsid w:val="008A36DD"/>
    <w:rsid w:val="008A70E5"/>
    <w:rsid w:val="008A7739"/>
    <w:rsid w:val="008C3FCB"/>
    <w:rsid w:val="008D3BDE"/>
    <w:rsid w:val="008D4B57"/>
    <w:rsid w:val="008D5EDD"/>
    <w:rsid w:val="008D60D1"/>
    <w:rsid w:val="008E5DD4"/>
    <w:rsid w:val="008E608F"/>
    <w:rsid w:val="008F0BB1"/>
    <w:rsid w:val="008F1B89"/>
    <w:rsid w:val="0090044C"/>
    <w:rsid w:val="009035A6"/>
    <w:rsid w:val="00912702"/>
    <w:rsid w:val="00915847"/>
    <w:rsid w:val="009236BD"/>
    <w:rsid w:val="009251AF"/>
    <w:rsid w:val="00926E6E"/>
    <w:rsid w:val="00933EDF"/>
    <w:rsid w:val="0093639B"/>
    <w:rsid w:val="00957C08"/>
    <w:rsid w:val="00960855"/>
    <w:rsid w:val="00965B94"/>
    <w:rsid w:val="0097517B"/>
    <w:rsid w:val="0098650D"/>
    <w:rsid w:val="0099099C"/>
    <w:rsid w:val="00991BAB"/>
    <w:rsid w:val="00993D43"/>
    <w:rsid w:val="009A052F"/>
    <w:rsid w:val="009A23BD"/>
    <w:rsid w:val="009A4B7E"/>
    <w:rsid w:val="009B406D"/>
    <w:rsid w:val="009C46F4"/>
    <w:rsid w:val="009D1A4E"/>
    <w:rsid w:val="009D262E"/>
    <w:rsid w:val="009D737E"/>
    <w:rsid w:val="009E1A6B"/>
    <w:rsid w:val="009E3231"/>
    <w:rsid w:val="009E5C60"/>
    <w:rsid w:val="009F1203"/>
    <w:rsid w:val="009F55C0"/>
    <w:rsid w:val="00A10BC4"/>
    <w:rsid w:val="00A1103C"/>
    <w:rsid w:val="00A142EF"/>
    <w:rsid w:val="00A162B5"/>
    <w:rsid w:val="00A260E1"/>
    <w:rsid w:val="00A361BE"/>
    <w:rsid w:val="00A375DC"/>
    <w:rsid w:val="00A45C47"/>
    <w:rsid w:val="00A465DA"/>
    <w:rsid w:val="00A46CA0"/>
    <w:rsid w:val="00A53F6B"/>
    <w:rsid w:val="00A57894"/>
    <w:rsid w:val="00A6593C"/>
    <w:rsid w:val="00A67DAB"/>
    <w:rsid w:val="00A70AD3"/>
    <w:rsid w:val="00A72BE5"/>
    <w:rsid w:val="00A75E1D"/>
    <w:rsid w:val="00A762ED"/>
    <w:rsid w:val="00A7766F"/>
    <w:rsid w:val="00A819BA"/>
    <w:rsid w:val="00A82662"/>
    <w:rsid w:val="00A83CF8"/>
    <w:rsid w:val="00A84B0F"/>
    <w:rsid w:val="00A85DFB"/>
    <w:rsid w:val="00A86CFD"/>
    <w:rsid w:val="00A97CF0"/>
    <w:rsid w:val="00AA3349"/>
    <w:rsid w:val="00AA3C72"/>
    <w:rsid w:val="00AA5598"/>
    <w:rsid w:val="00AA5C40"/>
    <w:rsid w:val="00AA5E10"/>
    <w:rsid w:val="00AB0072"/>
    <w:rsid w:val="00AB19F9"/>
    <w:rsid w:val="00AB2000"/>
    <w:rsid w:val="00AB2AA5"/>
    <w:rsid w:val="00AC580C"/>
    <w:rsid w:val="00AC5968"/>
    <w:rsid w:val="00AC6B7D"/>
    <w:rsid w:val="00AD06B4"/>
    <w:rsid w:val="00AD1C65"/>
    <w:rsid w:val="00AE1F63"/>
    <w:rsid w:val="00AF4E72"/>
    <w:rsid w:val="00B0613B"/>
    <w:rsid w:val="00B12500"/>
    <w:rsid w:val="00B133A1"/>
    <w:rsid w:val="00B16A05"/>
    <w:rsid w:val="00B2360A"/>
    <w:rsid w:val="00B25E20"/>
    <w:rsid w:val="00B33763"/>
    <w:rsid w:val="00B35F2E"/>
    <w:rsid w:val="00B45C7D"/>
    <w:rsid w:val="00B54CCE"/>
    <w:rsid w:val="00B87923"/>
    <w:rsid w:val="00B9073C"/>
    <w:rsid w:val="00BA310F"/>
    <w:rsid w:val="00BB15FB"/>
    <w:rsid w:val="00BB225C"/>
    <w:rsid w:val="00BB6291"/>
    <w:rsid w:val="00BC591F"/>
    <w:rsid w:val="00BC5D05"/>
    <w:rsid w:val="00BC7AFC"/>
    <w:rsid w:val="00BD250D"/>
    <w:rsid w:val="00BE6C52"/>
    <w:rsid w:val="00BF2BDA"/>
    <w:rsid w:val="00BF4948"/>
    <w:rsid w:val="00BF729F"/>
    <w:rsid w:val="00C009F4"/>
    <w:rsid w:val="00C0138E"/>
    <w:rsid w:val="00C10B64"/>
    <w:rsid w:val="00C1209E"/>
    <w:rsid w:val="00C138D8"/>
    <w:rsid w:val="00C147E5"/>
    <w:rsid w:val="00C166F1"/>
    <w:rsid w:val="00C24E3A"/>
    <w:rsid w:val="00C25B24"/>
    <w:rsid w:val="00C26624"/>
    <w:rsid w:val="00C3468E"/>
    <w:rsid w:val="00C352D3"/>
    <w:rsid w:val="00C434E8"/>
    <w:rsid w:val="00C468C0"/>
    <w:rsid w:val="00C55388"/>
    <w:rsid w:val="00C55A9D"/>
    <w:rsid w:val="00C57539"/>
    <w:rsid w:val="00C60C97"/>
    <w:rsid w:val="00C74B26"/>
    <w:rsid w:val="00C77293"/>
    <w:rsid w:val="00C847F2"/>
    <w:rsid w:val="00C91E1A"/>
    <w:rsid w:val="00C954F4"/>
    <w:rsid w:val="00C95E5B"/>
    <w:rsid w:val="00CA555B"/>
    <w:rsid w:val="00CB4BF2"/>
    <w:rsid w:val="00CC3159"/>
    <w:rsid w:val="00CC5A6E"/>
    <w:rsid w:val="00CC6464"/>
    <w:rsid w:val="00CD3E20"/>
    <w:rsid w:val="00CE46D5"/>
    <w:rsid w:val="00CE6067"/>
    <w:rsid w:val="00CE609C"/>
    <w:rsid w:val="00CF37A7"/>
    <w:rsid w:val="00CF3C66"/>
    <w:rsid w:val="00D00F58"/>
    <w:rsid w:val="00D035B2"/>
    <w:rsid w:val="00D03F5B"/>
    <w:rsid w:val="00D05BEA"/>
    <w:rsid w:val="00D07D41"/>
    <w:rsid w:val="00D21319"/>
    <w:rsid w:val="00D239E8"/>
    <w:rsid w:val="00D25628"/>
    <w:rsid w:val="00D340BE"/>
    <w:rsid w:val="00D34E46"/>
    <w:rsid w:val="00D41D18"/>
    <w:rsid w:val="00D4650E"/>
    <w:rsid w:val="00D55305"/>
    <w:rsid w:val="00D6014E"/>
    <w:rsid w:val="00D61235"/>
    <w:rsid w:val="00D621C8"/>
    <w:rsid w:val="00D640E6"/>
    <w:rsid w:val="00D8347E"/>
    <w:rsid w:val="00D94FC8"/>
    <w:rsid w:val="00D9508D"/>
    <w:rsid w:val="00D96A8C"/>
    <w:rsid w:val="00DA3CAD"/>
    <w:rsid w:val="00DB2185"/>
    <w:rsid w:val="00DB3D23"/>
    <w:rsid w:val="00DB5453"/>
    <w:rsid w:val="00DC1F55"/>
    <w:rsid w:val="00DC3F4E"/>
    <w:rsid w:val="00DD1CC3"/>
    <w:rsid w:val="00DD2786"/>
    <w:rsid w:val="00DD30BB"/>
    <w:rsid w:val="00DD6227"/>
    <w:rsid w:val="00DD729A"/>
    <w:rsid w:val="00DE1E5A"/>
    <w:rsid w:val="00DE35E0"/>
    <w:rsid w:val="00DE70B4"/>
    <w:rsid w:val="00DF22AF"/>
    <w:rsid w:val="00E001E8"/>
    <w:rsid w:val="00E10372"/>
    <w:rsid w:val="00E10E14"/>
    <w:rsid w:val="00E1139D"/>
    <w:rsid w:val="00E1147F"/>
    <w:rsid w:val="00E235D4"/>
    <w:rsid w:val="00E26241"/>
    <w:rsid w:val="00E33A4A"/>
    <w:rsid w:val="00E36C39"/>
    <w:rsid w:val="00E36C51"/>
    <w:rsid w:val="00E458B8"/>
    <w:rsid w:val="00E51D5A"/>
    <w:rsid w:val="00E5434C"/>
    <w:rsid w:val="00E56F7A"/>
    <w:rsid w:val="00E641CE"/>
    <w:rsid w:val="00E653F6"/>
    <w:rsid w:val="00E6582D"/>
    <w:rsid w:val="00E7258D"/>
    <w:rsid w:val="00E75355"/>
    <w:rsid w:val="00E82711"/>
    <w:rsid w:val="00E91A0B"/>
    <w:rsid w:val="00E91F6B"/>
    <w:rsid w:val="00E946B0"/>
    <w:rsid w:val="00EA11CA"/>
    <w:rsid w:val="00EA1E5F"/>
    <w:rsid w:val="00EA55FD"/>
    <w:rsid w:val="00EA7433"/>
    <w:rsid w:val="00EA7A64"/>
    <w:rsid w:val="00EB24F1"/>
    <w:rsid w:val="00EB4CFD"/>
    <w:rsid w:val="00EB5D93"/>
    <w:rsid w:val="00ED18DE"/>
    <w:rsid w:val="00ED3476"/>
    <w:rsid w:val="00EE0EF6"/>
    <w:rsid w:val="00EF00E4"/>
    <w:rsid w:val="00F00DD3"/>
    <w:rsid w:val="00F01972"/>
    <w:rsid w:val="00F0247F"/>
    <w:rsid w:val="00F23F6A"/>
    <w:rsid w:val="00F26BC8"/>
    <w:rsid w:val="00F27CE8"/>
    <w:rsid w:val="00F419F9"/>
    <w:rsid w:val="00F46215"/>
    <w:rsid w:val="00F47F23"/>
    <w:rsid w:val="00F50C64"/>
    <w:rsid w:val="00F53DB4"/>
    <w:rsid w:val="00F7114F"/>
    <w:rsid w:val="00F71154"/>
    <w:rsid w:val="00F81F06"/>
    <w:rsid w:val="00F9312C"/>
    <w:rsid w:val="00F9349F"/>
    <w:rsid w:val="00F93A59"/>
    <w:rsid w:val="00FA6E9A"/>
    <w:rsid w:val="00FB1CA0"/>
    <w:rsid w:val="00FB7E63"/>
    <w:rsid w:val="00FC512C"/>
    <w:rsid w:val="00FD4453"/>
    <w:rsid w:val="00FE7ABD"/>
    <w:rsid w:val="00FE7C70"/>
    <w:rsid w:val="00FF48D8"/>
    <w:rsid w:val="00FF4B60"/>
    <w:rsid w:val="00FF686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1BDFB"/>
  <w15:docId w15:val="{ADEFBA1A-BAD5-4D71-B006-B8A624B2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67B"/>
  </w:style>
  <w:style w:type="paragraph" w:styleId="Heading1">
    <w:name w:val="heading 1"/>
    <w:basedOn w:val="Normal"/>
    <w:link w:val="Heading1Char"/>
    <w:uiPriority w:val="9"/>
    <w:qFormat/>
    <w:rsid w:val="00E56F7A"/>
    <w:pPr>
      <w:widowControl w:val="0"/>
      <w:autoSpaceDE w:val="0"/>
      <w:autoSpaceDN w:val="0"/>
      <w:spacing w:before="22" w:after="0" w:line="240" w:lineRule="auto"/>
      <w:ind w:left="251"/>
      <w:outlineLvl w:val="0"/>
    </w:pPr>
    <w:rPr>
      <w:rFonts w:ascii="Cambria" w:eastAsia="Cambria" w:hAnsi="Cambria" w:cs="Cambria"/>
      <w:b/>
      <w:bCs/>
      <w:sz w:val="16"/>
      <w:szCs w:val="16"/>
      <w:lang w:val="en-US"/>
    </w:rPr>
  </w:style>
  <w:style w:type="paragraph" w:styleId="Heading3">
    <w:name w:val="heading 3"/>
    <w:basedOn w:val="Normal"/>
    <w:next w:val="Normal"/>
    <w:link w:val="Heading3Char"/>
    <w:uiPriority w:val="9"/>
    <w:semiHidden/>
    <w:unhideWhenUsed/>
    <w:qFormat/>
    <w:rsid w:val="006E25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6F7A"/>
    <w:pPr>
      <w:widowControl w:val="0"/>
      <w:autoSpaceDE w:val="0"/>
      <w:autoSpaceDN w:val="0"/>
      <w:spacing w:after="0" w:line="240" w:lineRule="auto"/>
    </w:pPr>
    <w:rPr>
      <w:rFonts w:ascii="Georgia" w:eastAsia="Georgia" w:hAnsi="Georgia" w:cs="Georgia"/>
      <w:sz w:val="16"/>
      <w:szCs w:val="16"/>
      <w:lang w:val="en-US"/>
    </w:rPr>
  </w:style>
  <w:style w:type="character" w:customStyle="1" w:styleId="BodyTextChar">
    <w:name w:val="Body Text Char"/>
    <w:basedOn w:val="DefaultParagraphFont"/>
    <w:link w:val="BodyText"/>
    <w:uiPriority w:val="1"/>
    <w:rsid w:val="00E56F7A"/>
    <w:rPr>
      <w:rFonts w:ascii="Georgia" w:eastAsia="Georgia" w:hAnsi="Georgia" w:cs="Georgia"/>
      <w:sz w:val="16"/>
      <w:szCs w:val="16"/>
      <w:lang w:val="en-US"/>
    </w:rPr>
  </w:style>
  <w:style w:type="character" w:customStyle="1" w:styleId="Heading1Char">
    <w:name w:val="Heading 1 Char"/>
    <w:basedOn w:val="DefaultParagraphFont"/>
    <w:link w:val="Heading1"/>
    <w:uiPriority w:val="9"/>
    <w:rsid w:val="00E56F7A"/>
    <w:rPr>
      <w:rFonts w:ascii="Cambria" w:eastAsia="Cambria" w:hAnsi="Cambria" w:cs="Cambria"/>
      <w:b/>
      <w:bCs/>
      <w:sz w:val="16"/>
      <w:szCs w:val="16"/>
      <w:lang w:val="en-US"/>
    </w:rPr>
  </w:style>
  <w:style w:type="table" w:styleId="TableGrid">
    <w:name w:val="Table Grid"/>
    <w:basedOn w:val="TableNormal"/>
    <w:uiPriority w:val="39"/>
    <w:rsid w:val="00E5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F7A"/>
  </w:style>
  <w:style w:type="paragraph" w:styleId="Footer">
    <w:name w:val="footer"/>
    <w:basedOn w:val="Normal"/>
    <w:link w:val="FooterChar"/>
    <w:uiPriority w:val="99"/>
    <w:unhideWhenUsed/>
    <w:rsid w:val="00E56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F7A"/>
  </w:style>
  <w:style w:type="paragraph" w:styleId="NormalWeb">
    <w:name w:val="Normal (Web)"/>
    <w:basedOn w:val="Normal"/>
    <w:uiPriority w:val="99"/>
    <w:unhideWhenUsed/>
    <w:rsid w:val="00E56F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67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92F"/>
    <w:rPr>
      <w:rFonts w:ascii="Tahoma" w:hAnsi="Tahoma" w:cs="Tahoma"/>
      <w:sz w:val="16"/>
      <w:szCs w:val="16"/>
    </w:rPr>
  </w:style>
  <w:style w:type="character" w:styleId="CommentReference">
    <w:name w:val="annotation reference"/>
    <w:basedOn w:val="DefaultParagraphFont"/>
    <w:uiPriority w:val="99"/>
    <w:semiHidden/>
    <w:unhideWhenUsed/>
    <w:rsid w:val="009D737E"/>
    <w:rPr>
      <w:sz w:val="16"/>
      <w:szCs w:val="16"/>
    </w:rPr>
  </w:style>
  <w:style w:type="paragraph" w:styleId="CommentText">
    <w:name w:val="annotation text"/>
    <w:basedOn w:val="Normal"/>
    <w:link w:val="CommentTextChar"/>
    <w:uiPriority w:val="99"/>
    <w:semiHidden/>
    <w:unhideWhenUsed/>
    <w:rsid w:val="009D737E"/>
    <w:pPr>
      <w:spacing w:line="240" w:lineRule="auto"/>
    </w:pPr>
    <w:rPr>
      <w:sz w:val="20"/>
      <w:szCs w:val="20"/>
    </w:rPr>
  </w:style>
  <w:style w:type="character" w:customStyle="1" w:styleId="CommentTextChar">
    <w:name w:val="Comment Text Char"/>
    <w:basedOn w:val="DefaultParagraphFont"/>
    <w:link w:val="CommentText"/>
    <w:uiPriority w:val="99"/>
    <w:semiHidden/>
    <w:rsid w:val="009D737E"/>
    <w:rPr>
      <w:sz w:val="20"/>
      <w:szCs w:val="20"/>
    </w:rPr>
  </w:style>
  <w:style w:type="paragraph" w:styleId="CommentSubject">
    <w:name w:val="annotation subject"/>
    <w:basedOn w:val="CommentText"/>
    <w:next w:val="CommentText"/>
    <w:link w:val="CommentSubjectChar"/>
    <w:uiPriority w:val="99"/>
    <w:semiHidden/>
    <w:unhideWhenUsed/>
    <w:rsid w:val="009D737E"/>
    <w:rPr>
      <w:b/>
      <w:bCs/>
    </w:rPr>
  </w:style>
  <w:style w:type="character" w:customStyle="1" w:styleId="CommentSubjectChar">
    <w:name w:val="Comment Subject Char"/>
    <w:basedOn w:val="CommentTextChar"/>
    <w:link w:val="CommentSubject"/>
    <w:uiPriority w:val="99"/>
    <w:semiHidden/>
    <w:rsid w:val="009D737E"/>
    <w:rPr>
      <w:b/>
      <w:bCs/>
      <w:sz w:val="20"/>
      <w:szCs w:val="20"/>
    </w:rPr>
  </w:style>
  <w:style w:type="character" w:styleId="Emphasis">
    <w:name w:val="Emphasis"/>
    <w:basedOn w:val="DefaultParagraphFont"/>
    <w:uiPriority w:val="20"/>
    <w:qFormat/>
    <w:rsid w:val="00D07D41"/>
    <w:rPr>
      <w:i/>
      <w:iCs/>
    </w:rPr>
  </w:style>
  <w:style w:type="character" w:styleId="Hyperlink">
    <w:name w:val="Hyperlink"/>
    <w:basedOn w:val="DefaultParagraphFont"/>
    <w:uiPriority w:val="99"/>
    <w:unhideWhenUsed/>
    <w:rsid w:val="00101A3D"/>
    <w:rPr>
      <w:color w:val="0563C1" w:themeColor="hyperlink"/>
      <w:u w:val="single"/>
    </w:rPr>
  </w:style>
  <w:style w:type="character" w:styleId="UnresolvedMention">
    <w:name w:val="Unresolved Mention"/>
    <w:basedOn w:val="DefaultParagraphFont"/>
    <w:uiPriority w:val="99"/>
    <w:semiHidden/>
    <w:unhideWhenUsed/>
    <w:rsid w:val="00101A3D"/>
    <w:rPr>
      <w:color w:val="605E5C"/>
      <w:shd w:val="clear" w:color="auto" w:fill="E1DFDD"/>
    </w:rPr>
  </w:style>
  <w:style w:type="paragraph" w:styleId="ListParagraph">
    <w:name w:val="List Paragraph"/>
    <w:basedOn w:val="Normal"/>
    <w:uiPriority w:val="34"/>
    <w:qFormat/>
    <w:rsid w:val="00D9508D"/>
    <w:pPr>
      <w:ind w:left="720"/>
      <w:contextualSpacing/>
    </w:pPr>
  </w:style>
  <w:style w:type="character" w:styleId="PlaceholderText">
    <w:name w:val="Placeholder Text"/>
    <w:basedOn w:val="DefaultParagraphFont"/>
    <w:uiPriority w:val="99"/>
    <w:semiHidden/>
    <w:rsid w:val="00550C9F"/>
    <w:rPr>
      <w:color w:val="808080"/>
    </w:rPr>
  </w:style>
  <w:style w:type="character" w:customStyle="1" w:styleId="Heading3Char">
    <w:name w:val="Heading 3 Char"/>
    <w:basedOn w:val="DefaultParagraphFont"/>
    <w:link w:val="Heading3"/>
    <w:uiPriority w:val="9"/>
    <w:semiHidden/>
    <w:rsid w:val="006E259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B2AA5"/>
    <w:pPr>
      <w:spacing w:after="0" w:line="240" w:lineRule="auto"/>
    </w:pPr>
  </w:style>
  <w:style w:type="character" w:customStyle="1" w:styleId="html-italic">
    <w:name w:val="html-italic"/>
    <w:basedOn w:val="DefaultParagraphFont"/>
    <w:rsid w:val="000E3DF2"/>
  </w:style>
  <w:style w:type="paragraph" w:customStyle="1" w:styleId="html-xx">
    <w:name w:val="html-xx"/>
    <w:basedOn w:val="Normal"/>
    <w:rsid w:val="000E3DF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4">
    <w:name w:val="Grid Table 4"/>
    <w:basedOn w:val="TableNormal"/>
    <w:uiPriority w:val="49"/>
    <w:rsid w:val="00E001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286">
      <w:bodyDiv w:val="1"/>
      <w:marLeft w:val="0"/>
      <w:marRight w:val="0"/>
      <w:marTop w:val="0"/>
      <w:marBottom w:val="0"/>
      <w:divBdr>
        <w:top w:val="none" w:sz="0" w:space="0" w:color="auto"/>
        <w:left w:val="none" w:sz="0" w:space="0" w:color="auto"/>
        <w:bottom w:val="none" w:sz="0" w:space="0" w:color="auto"/>
        <w:right w:val="none" w:sz="0" w:space="0" w:color="auto"/>
      </w:divBdr>
      <w:divsChild>
        <w:div w:id="1081946094">
          <w:marLeft w:val="0"/>
          <w:marRight w:val="0"/>
          <w:marTop w:val="0"/>
          <w:marBottom w:val="0"/>
          <w:divBdr>
            <w:top w:val="none" w:sz="0" w:space="0" w:color="auto"/>
            <w:left w:val="none" w:sz="0" w:space="0" w:color="auto"/>
            <w:bottom w:val="none" w:sz="0" w:space="0" w:color="auto"/>
            <w:right w:val="none" w:sz="0" w:space="0" w:color="auto"/>
          </w:divBdr>
        </w:div>
      </w:divsChild>
    </w:div>
    <w:div w:id="36977340">
      <w:bodyDiv w:val="1"/>
      <w:marLeft w:val="0"/>
      <w:marRight w:val="0"/>
      <w:marTop w:val="0"/>
      <w:marBottom w:val="0"/>
      <w:divBdr>
        <w:top w:val="none" w:sz="0" w:space="0" w:color="auto"/>
        <w:left w:val="none" w:sz="0" w:space="0" w:color="auto"/>
        <w:bottom w:val="none" w:sz="0" w:space="0" w:color="auto"/>
        <w:right w:val="none" w:sz="0" w:space="0" w:color="auto"/>
      </w:divBdr>
    </w:div>
    <w:div w:id="53746492">
      <w:bodyDiv w:val="1"/>
      <w:marLeft w:val="0"/>
      <w:marRight w:val="0"/>
      <w:marTop w:val="0"/>
      <w:marBottom w:val="0"/>
      <w:divBdr>
        <w:top w:val="none" w:sz="0" w:space="0" w:color="auto"/>
        <w:left w:val="none" w:sz="0" w:space="0" w:color="auto"/>
        <w:bottom w:val="none" w:sz="0" w:space="0" w:color="auto"/>
        <w:right w:val="none" w:sz="0" w:space="0" w:color="auto"/>
      </w:divBdr>
      <w:divsChild>
        <w:div w:id="275716460">
          <w:marLeft w:val="0"/>
          <w:marRight w:val="0"/>
          <w:marTop w:val="0"/>
          <w:marBottom w:val="0"/>
          <w:divBdr>
            <w:top w:val="none" w:sz="0" w:space="0" w:color="auto"/>
            <w:left w:val="none" w:sz="0" w:space="0" w:color="auto"/>
            <w:bottom w:val="none" w:sz="0" w:space="0" w:color="auto"/>
            <w:right w:val="none" w:sz="0" w:space="0" w:color="auto"/>
          </w:divBdr>
        </w:div>
      </w:divsChild>
    </w:div>
    <w:div w:id="265582902">
      <w:bodyDiv w:val="1"/>
      <w:marLeft w:val="0"/>
      <w:marRight w:val="0"/>
      <w:marTop w:val="0"/>
      <w:marBottom w:val="0"/>
      <w:divBdr>
        <w:top w:val="none" w:sz="0" w:space="0" w:color="auto"/>
        <w:left w:val="none" w:sz="0" w:space="0" w:color="auto"/>
        <w:bottom w:val="none" w:sz="0" w:space="0" w:color="auto"/>
        <w:right w:val="none" w:sz="0" w:space="0" w:color="auto"/>
      </w:divBdr>
    </w:div>
    <w:div w:id="405762176">
      <w:bodyDiv w:val="1"/>
      <w:marLeft w:val="0"/>
      <w:marRight w:val="0"/>
      <w:marTop w:val="0"/>
      <w:marBottom w:val="0"/>
      <w:divBdr>
        <w:top w:val="none" w:sz="0" w:space="0" w:color="auto"/>
        <w:left w:val="none" w:sz="0" w:space="0" w:color="auto"/>
        <w:bottom w:val="none" w:sz="0" w:space="0" w:color="auto"/>
        <w:right w:val="none" w:sz="0" w:space="0" w:color="auto"/>
      </w:divBdr>
      <w:divsChild>
        <w:div w:id="1094591798">
          <w:marLeft w:val="0"/>
          <w:marRight w:val="0"/>
          <w:marTop w:val="0"/>
          <w:marBottom w:val="0"/>
          <w:divBdr>
            <w:top w:val="none" w:sz="0" w:space="0" w:color="auto"/>
            <w:left w:val="none" w:sz="0" w:space="0" w:color="auto"/>
            <w:bottom w:val="none" w:sz="0" w:space="0" w:color="auto"/>
            <w:right w:val="none" w:sz="0" w:space="0" w:color="auto"/>
          </w:divBdr>
        </w:div>
      </w:divsChild>
    </w:div>
    <w:div w:id="407658406">
      <w:bodyDiv w:val="1"/>
      <w:marLeft w:val="0"/>
      <w:marRight w:val="0"/>
      <w:marTop w:val="0"/>
      <w:marBottom w:val="0"/>
      <w:divBdr>
        <w:top w:val="none" w:sz="0" w:space="0" w:color="auto"/>
        <w:left w:val="none" w:sz="0" w:space="0" w:color="auto"/>
        <w:bottom w:val="none" w:sz="0" w:space="0" w:color="auto"/>
        <w:right w:val="none" w:sz="0" w:space="0" w:color="auto"/>
      </w:divBdr>
    </w:div>
    <w:div w:id="605427457">
      <w:bodyDiv w:val="1"/>
      <w:marLeft w:val="0"/>
      <w:marRight w:val="0"/>
      <w:marTop w:val="0"/>
      <w:marBottom w:val="0"/>
      <w:divBdr>
        <w:top w:val="none" w:sz="0" w:space="0" w:color="auto"/>
        <w:left w:val="none" w:sz="0" w:space="0" w:color="auto"/>
        <w:bottom w:val="none" w:sz="0" w:space="0" w:color="auto"/>
        <w:right w:val="none" w:sz="0" w:space="0" w:color="auto"/>
      </w:divBdr>
      <w:divsChild>
        <w:div w:id="348069843">
          <w:marLeft w:val="0"/>
          <w:marRight w:val="0"/>
          <w:marTop w:val="0"/>
          <w:marBottom w:val="0"/>
          <w:divBdr>
            <w:top w:val="none" w:sz="0" w:space="0" w:color="auto"/>
            <w:left w:val="none" w:sz="0" w:space="0" w:color="auto"/>
            <w:bottom w:val="none" w:sz="0" w:space="0" w:color="auto"/>
            <w:right w:val="none" w:sz="0" w:space="0" w:color="auto"/>
          </w:divBdr>
        </w:div>
      </w:divsChild>
    </w:div>
    <w:div w:id="630596619">
      <w:bodyDiv w:val="1"/>
      <w:marLeft w:val="0"/>
      <w:marRight w:val="0"/>
      <w:marTop w:val="0"/>
      <w:marBottom w:val="0"/>
      <w:divBdr>
        <w:top w:val="none" w:sz="0" w:space="0" w:color="auto"/>
        <w:left w:val="none" w:sz="0" w:space="0" w:color="auto"/>
        <w:bottom w:val="none" w:sz="0" w:space="0" w:color="auto"/>
        <w:right w:val="none" w:sz="0" w:space="0" w:color="auto"/>
      </w:divBdr>
    </w:div>
    <w:div w:id="709066705">
      <w:bodyDiv w:val="1"/>
      <w:marLeft w:val="0"/>
      <w:marRight w:val="0"/>
      <w:marTop w:val="0"/>
      <w:marBottom w:val="0"/>
      <w:divBdr>
        <w:top w:val="none" w:sz="0" w:space="0" w:color="auto"/>
        <w:left w:val="none" w:sz="0" w:space="0" w:color="auto"/>
        <w:bottom w:val="none" w:sz="0" w:space="0" w:color="auto"/>
        <w:right w:val="none" w:sz="0" w:space="0" w:color="auto"/>
      </w:divBdr>
      <w:divsChild>
        <w:div w:id="1452361424">
          <w:marLeft w:val="0"/>
          <w:marRight w:val="0"/>
          <w:marTop w:val="0"/>
          <w:marBottom w:val="0"/>
          <w:divBdr>
            <w:top w:val="none" w:sz="0" w:space="0" w:color="auto"/>
            <w:left w:val="none" w:sz="0" w:space="0" w:color="auto"/>
            <w:bottom w:val="none" w:sz="0" w:space="0" w:color="auto"/>
            <w:right w:val="none" w:sz="0" w:space="0" w:color="auto"/>
          </w:divBdr>
        </w:div>
      </w:divsChild>
    </w:div>
    <w:div w:id="742529538">
      <w:bodyDiv w:val="1"/>
      <w:marLeft w:val="0"/>
      <w:marRight w:val="0"/>
      <w:marTop w:val="0"/>
      <w:marBottom w:val="0"/>
      <w:divBdr>
        <w:top w:val="none" w:sz="0" w:space="0" w:color="auto"/>
        <w:left w:val="none" w:sz="0" w:space="0" w:color="auto"/>
        <w:bottom w:val="none" w:sz="0" w:space="0" w:color="auto"/>
        <w:right w:val="none" w:sz="0" w:space="0" w:color="auto"/>
      </w:divBdr>
    </w:div>
    <w:div w:id="796029668">
      <w:bodyDiv w:val="1"/>
      <w:marLeft w:val="0"/>
      <w:marRight w:val="0"/>
      <w:marTop w:val="0"/>
      <w:marBottom w:val="0"/>
      <w:divBdr>
        <w:top w:val="none" w:sz="0" w:space="0" w:color="auto"/>
        <w:left w:val="none" w:sz="0" w:space="0" w:color="auto"/>
        <w:bottom w:val="none" w:sz="0" w:space="0" w:color="auto"/>
        <w:right w:val="none" w:sz="0" w:space="0" w:color="auto"/>
      </w:divBdr>
      <w:divsChild>
        <w:div w:id="682822484">
          <w:marLeft w:val="0"/>
          <w:marRight w:val="0"/>
          <w:marTop w:val="0"/>
          <w:marBottom w:val="0"/>
          <w:divBdr>
            <w:top w:val="none" w:sz="0" w:space="0" w:color="auto"/>
            <w:left w:val="none" w:sz="0" w:space="0" w:color="auto"/>
            <w:bottom w:val="none" w:sz="0" w:space="0" w:color="auto"/>
            <w:right w:val="none" w:sz="0" w:space="0" w:color="auto"/>
          </w:divBdr>
        </w:div>
      </w:divsChild>
    </w:div>
    <w:div w:id="1010765121">
      <w:bodyDiv w:val="1"/>
      <w:marLeft w:val="0"/>
      <w:marRight w:val="0"/>
      <w:marTop w:val="0"/>
      <w:marBottom w:val="0"/>
      <w:divBdr>
        <w:top w:val="none" w:sz="0" w:space="0" w:color="auto"/>
        <w:left w:val="none" w:sz="0" w:space="0" w:color="auto"/>
        <w:bottom w:val="none" w:sz="0" w:space="0" w:color="auto"/>
        <w:right w:val="none" w:sz="0" w:space="0" w:color="auto"/>
      </w:divBdr>
    </w:div>
    <w:div w:id="1032653016">
      <w:bodyDiv w:val="1"/>
      <w:marLeft w:val="0"/>
      <w:marRight w:val="0"/>
      <w:marTop w:val="0"/>
      <w:marBottom w:val="0"/>
      <w:divBdr>
        <w:top w:val="none" w:sz="0" w:space="0" w:color="auto"/>
        <w:left w:val="none" w:sz="0" w:space="0" w:color="auto"/>
        <w:bottom w:val="none" w:sz="0" w:space="0" w:color="auto"/>
        <w:right w:val="none" w:sz="0" w:space="0" w:color="auto"/>
      </w:divBdr>
      <w:divsChild>
        <w:div w:id="496578869">
          <w:marLeft w:val="0"/>
          <w:marRight w:val="0"/>
          <w:marTop w:val="0"/>
          <w:marBottom w:val="0"/>
          <w:divBdr>
            <w:top w:val="none" w:sz="0" w:space="0" w:color="auto"/>
            <w:left w:val="none" w:sz="0" w:space="0" w:color="auto"/>
            <w:bottom w:val="none" w:sz="0" w:space="0" w:color="auto"/>
            <w:right w:val="none" w:sz="0" w:space="0" w:color="auto"/>
          </w:divBdr>
        </w:div>
      </w:divsChild>
    </w:div>
    <w:div w:id="1149051435">
      <w:bodyDiv w:val="1"/>
      <w:marLeft w:val="0"/>
      <w:marRight w:val="0"/>
      <w:marTop w:val="0"/>
      <w:marBottom w:val="0"/>
      <w:divBdr>
        <w:top w:val="none" w:sz="0" w:space="0" w:color="auto"/>
        <w:left w:val="none" w:sz="0" w:space="0" w:color="auto"/>
        <w:bottom w:val="none" w:sz="0" w:space="0" w:color="auto"/>
        <w:right w:val="none" w:sz="0" w:space="0" w:color="auto"/>
      </w:divBdr>
    </w:div>
    <w:div w:id="1197044522">
      <w:bodyDiv w:val="1"/>
      <w:marLeft w:val="0"/>
      <w:marRight w:val="0"/>
      <w:marTop w:val="0"/>
      <w:marBottom w:val="0"/>
      <w:divBdr>
        <w:top w:val="none" w:sz="0" w:space="0" w:color="auto"/>
        <w:left w:val="none" w:sz="0" w:space="0" w:color="auto"/>
        <w:bottom w:val="none" w:sz="0" w:space="0" w:color="auto"/>
        <w:right w:val="none" w:sz="0" w:space="0" w:color="auto"/>
      </w:divBdr>
      <w:divsChild>
        <w:div w:id="260188135">
          <w:marLeft w:val="0"/>
          <w:marRight w:val="0"/>
          <w:marTop w:val="0"/>
          <w:marBottom w:val="0"/>
          <w:divBdr>
            <w:top w:val="none" w:sz="0" w:space="0" w:color="auto"/>
            <w:left w:val="none" w:sz="0" w:space="0" w:color="auto"/>
            <w:bottom w:val="none" w:sz="0" w:space="0" w:color="auto"/>
            <w:right w:val="none" w:sz="0" w:space="0" w:color="auto"/>
          </w:divBdr>
        </w:div>
      </w:divsChild>
    </w:div>
    <w:div w:id="1244679304">
      <w:bodyDiv w:val="1"/>
      <w:marLeft w:val="0"/>
      <w:marRight w:val="0"/>
      <w:marTop w:val="0"/>
      <w:marBottom w:val="0"/>
      <w:divBdr>
        <w:top w:val="none" w:sz="0" w:space="0" w:color="auto"/>
        <w:left w:val="none" w:sz="0" w:space="0" w:color="auto"/>
        <w:bottom w:val="none" w:sz="0" w:space="0" w:color="auto"/>
        <w:right w:val="none" w:sz="0" w:space="0" w:color="auto"/>
      </w:divBdr>
      <w:divsChild>
        <w:div w:id="1993826876">
          <w:marLeft w:val="0"/>
          <w:marRight w:val="0"/>
          <w:marTop w:val="0"/>
          <w:marBottom w:val="0"/>
          <w:divBdr>
            <w:top w:val="none" w:sz="0" w:space="0" w:color="auto"/>
            <w:left w:val="none" w:sz="0" w:space="0" w:color="auto"/>
            <w:bottom w:val="none" w:sz="0" w:space="0" w:color="auto"/>
            <w:right w:val="none" w:sz="0" w:space="0" w:color="auto"/>
          </w:divBdr>
        </w:div>
      </w:divsChild>
    </w:div>
    <w:div w:id="1449857581">
      <w:bodyDiv w:val="1"/>
      <w:marLeft w:val="0"/>
      <w:marRight w:val="0"/>
      <w:marTop w:val="0"/>
      <w:marBottom w:val="0"/>
      <w:divBdr>
        <w:top w:val="none" w:sz="0" w:space="0" w:color="auto"/>
        <w:left w:val="none" w:sz="0" w:space="0" w:color="auto"/>
        <w:bottom w:val="none" w:sz="0" w:space="0" w:color="auto"/>
        <w:right w:val="none" w:sz="0" w:space="0" w:color="auto"/>
      </w:divBdr>
    </w:div>
    <w:div w:id="1472215442">
      <w:bodyDiv w:val="1"/>
      <w:marLeft w:val="0"/>
      <w:marRight w:val="0"/>
      <w:marTop w:val="0"/>
      <w:marBottom w:val="0"/>
      <w:divBdr>
        <w:top w:val="none" w:sz="0" w:space="0" w:color="auto"/>
        <w:left w:val="none" w:sz="0" w:space="0" w:color="auto"/>
        <w:bottom w:val="none" w:sz="0" w:space="0" w:color="auto"/>
        <w:right w:val="none" w:sz="0" w:space="0" w:color="auto"/>
      </w:divBdr>
    </w:div>
    <w:div w:id="1536036357">
      <w:bodyDiv w:val="1"/>
      <w:marLeft w:val="0"/>
      <w:marRight w:val="0"/>
      <w:marTop w:val="0"/>
      <w:marBottom w:val="0"/>
      <w:divBdr>
        <w:top w:val="none" w:sz="0" w:space="0" w:color="auto"/>
        <w:left w:val="none" w:sz="0" w:space="0" w:color="auto"/>
        <w:bottom w:val="none" w:sz="0" w:space="0" w:color="auto"/>
        <w:right w:val="none" w:sz="0" w:space="0" w:color="auto"/>
      </w:divBdr>
    </w:div>
    <w:div w:id="1602686770">
      <w:bodyDiv w:val="1"/>
      <w:marLeft w:val="0"/>
      <w:marRight w:val="0"/>
      <w:marTop w:val="0"/>
      <w:marBottom w:val="0"/>
      <w:divBdr>
        <w:top w:val="none" w:sz="0" w:space="0" w:color="auto"/>
        <w:left w:val="none" w:sz="0" w:space="0" w:color="auto"/>
        <w:bottom w:val="none" w:sz="0" w:space="0" w:color="auto"/>
        <w:right w:val="none" w:sz="0" w:space="0" w:color="auto"/>
      </w:divBdr>
    </w:div>
    <w:div w:id="1663854493">
      <w:bodyDiv w:val="1"/>
      <w:marLeft w:val="0"/>
      <w:marRight w:val="0"/>
      <w:marTop w:val="0"/>
      <w:marBottom w:val="0"/>
      <w:divBdr>
        <w:top w:val="none" w:sz="0" w:space="0" w:color="auto"/>
        <w:left w:val="none" w:sz="0" w:space="0" w:color="auto"/>
        <w:bottom w:val="none" w:sz="0" w:space="0" w:color="auto"/>
        <w:right w:val="none" w:sz="0" w:space="0" w:color="auto"/>
      </w:divBdr>
    </w:div>
    <w:div w:id="1926451445">
      <w:bodyDiv w:val="1"/>
      <w:marLeft w:val="0"/>
      <w:marRight w:val="0"/>
      <w:marTop w:val="0"/>
      <w:marBottom w:val="0"/>
      <w:divBdr>
        <w:top w:val="none" w:sz="0" w:space="0" w:color="auto"/>
        <w:left w:val="none" w:sz="0" w:space="0" w:color="auto"/>
        <w:bottom w:val="none" w:sz="0" w:space="0" w:color="auto"/>
        <w:right w:val="none" w:sz="0" w:space="0" w:color="auto"/>
      </w:divBdr>
    </w:div>
    <w:div w:id="1941716719">
      <w:bodyDiv w:val="1"/>
      <w:marLeft w:val="0"/>
      <w:marRight w:val="0"/>
      <w:marTop w:val="0"/>
      <w:marBottom w:val="0"/>
      <w:divBdr>
        <w:top w:val="none" w:sz="0" w:space="0" w:color="auto"/>
        <w:left w:val="none" w:sz="0" w:space="0" w:color="auto"/>
        <w:bottom w:val="none" w:sz="0" w:space="0" w:color="auto"/>
        <w:right w:val="none" w:sz="0" w:space="0" w:color="auto"/>
      </w:divBdr>
    </w:div>
    <w:div w:id="20623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ARESH%20JETTY\Downloads\chart.csv"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ARESH%20JETTY\Downloads\chart%20(1).csv"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ARESH%20JETTY\Downloads\chart%20(2).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chart!$B$1</c:f>
              <c:strCache>
                <c:ptCount val="1"/>
                <c:pt idx="0">
                  <c:v>Nitrogen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chart!$B$2:$B$6</c:f>
              <c:numCache>
                <c:formatCode>General</c:formatCode>
                <c:ptCount val="5"/>
                <c:pt idx="0">
                  <c:v>1.82</c:v>
                </c:pt>
                <c:pt idx="1">
                  <c:v>2.13</c:v>
                </c:pt>
                <c:pt idx="2">
                  <c:v>2.09</c:v>
                </c:pt>
                <c:pt idx="3">
                  <c:v>1.78</c:v>
                </c:pt>
                <c:pt idx="4">
                  <c:v>0.87</c:v>
                </c:pt>
              </c:numCache>
            </c:numRef>
          </c:val>
          <c:extLst>
            <c:ext xmlns:c16="http://schemas.microsoft.com/office/drawing/2014/chart" uri="{C3380CC4-5D6E-409C-BE32-E72D297353CC}">
              <c16:uniqueId val="{00000000-2C97-42A8-BC52-C9F858A89DB6}"/>
            </c:ext>
          </c:extLst>
        </c:ser>
        <c:ser>
          <c:idx val="1"/>
          <c:order val="1"/>
          <c:tx>
            <c:strRef>
              <c:f>chart!$C$1</c:f>
              <c:strCache>
                <c:ptCount val="1"/>
                <c:pt idx="0">
                  <c:v>Phosphorus (%)</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chart!$C$2:$C$6</c:f>
              <c:numCache>
                <c:formatCode>General</c:formatCode>
                <c:ptCount val="5"/>
                <c:pt idx="0">
                  <c:v>0.3</c:v>
                </c:pt>
                <c:pt idx="1">
                  <c:v>0.42</c:v>
                </c:pt>
                <c:pt idx="2">
                  <c:v>0.68</c:v>
                </c:pt>
                <c:pt idx="3">
                  <c:v>0.39</c:v>
                </c:pt>
                <c:pt idx="4">
                  <c:v>0.49</c:v>
                </c:pt>
              </c:numCache>
            </c:numRef>
          </c:val>
          <c:extLst>
            <c:ext xmlns:c16="http://schemas.microsoft.com/office/drawing/2014/chart" uri="{C3380CC4-5D6E-409C-BE32-E72D297353CC}">
              <c16:uniqueId val="{00000001-2C97-42A8-BC52-C9F858A89DB6}"/>
            </c:ext>
          </c:extLst>
        </c:ser>
        <c:ser>
          <c:idx val="2"/>
          <c:order val="2"/>
          <c:tx>
            <c:strRef>
              <c:f>chart!$D$1</c:f>
              <c:strCache>
                <c:ptCount val="1"/>
                <c:pt idx="0">
                  <c:v>Potassium (%)</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chart!$D$2:$D$6</c:f>
              <c:numCache>
                <c:formatCode>General</c:formatCode>
                <c:ptCount val="5"/>
                <c:pt idx="0">
                  <c:v>1.28</c:v>
                </c:pt>
                <c:pt idx="1">
                  <c:v>1.62</c:v>
                </c:pt>
                <c:pt idx="2">
                  <c:v>1.58</c:v>
                </c:pt>
                <c:pt idx="3">
                  <c:v>1.1499999999999999</c:v>
                </c:pt>
                <c:pt idx="4">
                  <c:v>0.77</c:v>
                </c:pt>
              </c:numCache>
            </c:numRef>
          </c:val>
          <c:extLst>
            <c:ext xmlns:c16="http://schemas.microsoft.com/office/drawing/2014/chart" uri="{C3380CC4-5D6E-409C-BE32-E72D297353CC}">
              <c16:uniqueId val="{00000002-2C97-42A8-BC52-C9F858A89DB6}"/>
            </c:ext>
          </c:extLst>
        </c:ser>
        <c:ser>
          <c:idx val="3"/>
          <c:order val="3"/>
          <c:tx>
            <c:strRef>
              <c:f>chart!$E$1</c:f>
              <c:strCache>
                <c:ptCount val="1"/>
                <c:pt idx="0">
                  <c:v>Calcium (%)</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chart!$E$2:$E$6</c:f>
              <c:numCache>
                <c:formatCode>General</c:formatCode>
                <c:ptCount val="5"/>
                <c:pt idx="0">
                  <c:v>0.24</c:v>
                </c:pt>
                <c:pt idx="1">
                  <c:v>0.13</c:v>
                </c:pt>
                <c:pt idx="2">
                  <c:v>0.18</c:v>
                </c:pt>
                <c:pt idx="3">
                  <c:v>0.17</c:v>
                </c:pt>
                <c:pt idx="4">
                  <c:v>0.68</c:v>
                </c:pt>
              </c:numCache>
            </c:numRef>
          </c:val>
          <c:extLst>
            <c:ext xmlns:c16="http://schemas.microsoft.com/office/drawing/2014/chart" uri="{C3380CC4-5D6E-409C-BE32-E72D297353CC}">
              <c16:uniqueId val="{00000003-2C97-42A8-BC52-C9F858A89DB6}"/>
            </c:ext>
          </c:extLst>
        </c:ser>
        <c:ser>
          <c:idx val="4"/>
          <c:order val="4"/>
          <c:tx>
            <c:strRef>
              <c:f>chart!$F$1</c:f>
              <c:strCache>
                <c:ptCount val="1"/>
                <c:pt idx="0">
                  <c:v>Magnesium (%)</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chart!$F$2:$F$6</c:f>
              <c:numCache>
                <c:formatCode>General</c:formatCode>
                <c:ptCount val="5"/>
                <c:pt idx="0">
                  <c:v>0.47</c:v>
                </c:pt>
                <c:pt idx="1">
                  <c:v>0.32</c:v>
                </c:pt>
                <c:pt idx="2">
                  <c:v>0.37</c:v>
                </c:pt>
                <c:pt idx="3">
                  <c:v>0.56999999999999995</c:v>
                </c:pt>
                <c:pt idx="4">
                  <c:v>0.62</c:v>
                </c:pt>
              </c:numCache>
            </c:numRef>
          </c:val>
          <c:extLst>
            <c:ext xmlns:c16="http://schemas.microsoft.com/office/drawing/2014/chart" uri="{C3380CC4-5D6E-409C-BE32-E72D297353CC}">
              <c16:uniqueId val="{00000004-2C97-42A8-BC52-C9F858A89DB6}"/>
            </c:ext>
          </c:extLst>
        </c:ser>
        <c:ser>
          <c:idx val="5"/>
          <c:order val="5"/>
          <c:tx>
            <c:strRef>
              <c:f>chart!$G$1</c:f>
              <c:strCache>
                <c:ptCount val="1"/>
                <c:pt idx="0">
                  <c:v>Sulphur (%)</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chart!$G$2:$G$6</c:f>
              <c:numCache>
                <c:formatCode>General</c:formatCode>
                <c:ptCount val="5"/>
                <c:pt idx="0">
                  <c:v>0.61</c:v>
                </c:pt>
                <c:pt idx="1">
                  <c:v>0.56999999999999995</c:v>
                </c:pt>
                <c:pt idx="2">
                  <c:v>0.46</c:v>
                </c:pt>
                <c:pt idx="3">
                  <c:v>0.82</c:v>
                </c:pt>
                <c:pt idx="4">
                  <c:v>0.13</c:v>
                </c:pt>
              </c:numCache>
            </c:numRef>
          </c:val>
          <c:extLst>
            <c:ext xmlns:c16="http://schemas.microsoft.com/office/drawing/2014/chart" uri="{C3380CC4-5D6E-409C-BE32-E72D297353CC}">
              <c16:uniqueId val="{00000005-2C97-42A8-BC52-C9F858A89DB6}"/>
            </c:ext>
          </c:extLst>
        </c:ser>
        <c:dLbls>
          <c:dLblPos val="outEnd"/>
          <c:showLegendKey val="0"/>
          <c:showVal val="1"/>
          <c:showCatName val="0"/>
          <c:showSerName val="0"/>
          <c:showPercent val="0"/>
          <c:showBubbleSize val="0"/>
        </c:dLbls>
        <c:gapWidth val="444"/>
        <c:overlap val="-90"/>
        <c:axId val="1835460111"/>
        <c:axId val="1835466831"/>
      </c:barChart>
      <c:catAx>
        <c:axId val="18354601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r>
                  <a:rPr lang="en-US" sz="1000" b="1"/>
                  <a:t>Type of Manure </a:t>
                </a: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US"/>
          </a:p>
        </c:txPr>
        <c:crossAx val="1835466831"/>
        <c:crosses val="autoZero"/>
        <c:auto val="1"/>
        <c:lblAlgn val="ctr"/>
        <c:lblOffset val="100"/>
        <c:noMultiLvlLbl val="0"/>
      </c:catAx>
      <c:valAx>
        <c:axId val="1835466831"/>
        <c:scaling>
          <c:orientation val="minMax"/>
        </c:scaling>
        <c:delete val="1"/>
        <c:axPos val="l"/>
        <c:title>
          <c:tx>
            <c:rich>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r>
                  <a:rPr lang="en-US" sz="1000" b="1"/>
                  <a:t>Percentage</a:t>
                </a:r>
                <a:r>
                  <a:rPr lang="en-US" sz="1000" b="1" baseline="0"/>
                  <a:t> (%)</a:t>
                </a:r>
                <a:endParaRPr lang="en-US" sz="1000" b="1"/>
              </a:p>
            </c:rich>
          </c:tx>
          <c:overlay val="0"/>
          <c:spPr>
            <a:noFill/>
            <a:ln>
              <a:noFill/>
            </a:ln>
            <a:effectLst/>
          </c:spPr>
          <c:txPr>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83546011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 (1)'!$B$1</c:f>
              <c:strCache>
                <c:ptCount val="1"/>
                <c:pt idx="0">
                  <c:v>Organic Carbon (%)</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(1)'!$A$2:$A$6</c:f>
              <c:strCache>
                <c:ptCount val="5"/>
                <c:pt idx="0">
                  <c:v>Tasar</c:v>
                </c:pt>
                <c:pt idx="1">
                  <c:v>Muga</c:v>
                </c:pt>
                <c:pt idx="2">
                  <c:v>Mulberry</c:v>
                </c:pt>
                <c:pt idx="3">
                  <c:v>Eri</c:v>
                </c:pt>
                <c:pt idx="4">
                  <c:v>FYM</c:v>
                </c:pt>
              </c:strCache>
            </c:strRef>
          </c:cat>
          <c:val>
            <c:numRef>
              <c:f>'chart (1)'!$B$2:$B$6</c:f>
              <c:numCache>
                <c:formatCode>General</c:formatCode>
                <c:ptCount val="5"/>
                <c:pt idx="0">
                  <c:v>27.1</c:v>
                </c:pt>
                <c:pt idx="1">
                  <c:v>33.020000000000003</c:v>
                </c:pt>
                <c:pt idx="2">
                  <c:v>18.100000000000001</c:v>
                </c:pt>
                <c:pt idx="3">
                  <c:v>25.3</c:v>
                </c:pt>
                <c:pt idx="4">
                  <c:v>48.9</c:v>
                </c:pt>
              </c:numCache>
            </c:numRef>
          </c:val>
          <c:smooth val="0"/>
          <c:extLst>
            <c:ext xmlns:c16="http://schemas.microsoft.com/office/drawing/2014/chart" uri="{C3380CC4-5D6E-409C-BE32-E72D297353CC}">
              <c16:uniqueId val="{00000000-41D2-4DB9-93AF-201A2A871B8A}"/>
            </c:ext>
          </c:extLst>
        </c:ser>
        <c:dLbls>
          <c:dLblPos val="t"/>
          <c:showLegendKey val="0"/>
          <c:showVal val="1"/>
          <c:showCatName val="0"/>
          <c:showSerName val="0"/>
          <c:showPercent val="0"/>
          <c:showBubbleSize val="0"/>
        </c:dLbls>
        <c:smooth val="0"/>
        <c:axId val="1896522751"/>
        <c:axId val="1896524671"/>
      </c:lineChart>
      <c:catAx>
        <c:axId val="18965227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896524671"/>
        <c:crosses val="autoZero"/>
        <c:auto val="1"/>
        <c:lblAlgn val="ctr"/>
        <c:lblOffset val="100"/>
        <c:noMultiLvlLbl val="0"/>
      </c:catAx>
      <c:valAx>
        <c:axId val="1896524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96522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'chart (2)'!$B$1</c:f>
              <c:strCache>
                <c:ptCount val="1"/>
                <c:pt idx="0">
                  <c:v>C:N Ratio</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(2)'!$A$2:$A$6</c:f>
              <c:strCache>
                <c:ptCount val="5"/>
                <c:pt idx="0">
                  <c:v>Tasar</c:v>
                </c:pt>
                <c:pt idx="1">
                  <c:v>Muga</c:v>
                </c:pt>
                <c:pt idx="2">
                  <c:v>Mulberry</c:v>
                </c:pt>
                <c:pt idx="3">
                  <c:v>Eri</c:v>
                </c:pt>
                <c:pt idx="4">
                  <c:v>FYM</c:v>
                </c:pt>
              </c:strCache>
            </c:strRef>
          </c:cat>
          <c:val>
            <c:numRef>
              <c:f>'chart (2)'!$B$2:$B$6</c:f>
              <c:numCache>
                <c:formatCode>General</c:formatCode>
                <c:ptCount val="5"/>
                <c:pt idx="0">
                  <c:v>16.45</c:v>
                </c:pt>
                <c:pt idx="1">
                  <c:v>15.45</c:v>
                </c:pt>
                <c:pt idx="2">
                  <c:v>9.0399999999999991</c:v>
                </c:pt>
                <c:pt idx="3">
                  <c:v>16.02</c:v>
                </c:pt>
                <c:pt idx="4">
                  <c:v>40</c:v>
                </c:pt>
              </c:numCache>
            </c:numRef>
          </c:val>
          <c:smooth val="0"/>
          <c:extLst>
            <c:ext xmlns:c16="http://schemas.microsoft.com/office/drawing/2014/chart" uri="{C3380CC4-5D6E-409C-BE32-E72D297353CC}">
              <c16:uniqueId val="{00000000-8852-4F78-97CE-73C09F45714B}"/>
            </c:ext>
          </c:extLst>
        </c:ser>
        <c:dLbls>
          <c:dLblPos val="t"/>
          <c:showLegendKey val="0"/>
          <c:showVal val="1"/>
          <c:showCatName val="0"/>
          <c:showSerName val="0"/>
          <c:showPercent val="0"/>
          <c:showBubbleSize val="0"/>
        </c:dLbls>
        <c:marker val="1"/>
        <c:smooth val="0"/>
        <c:axId val="1896537631"/>
        <c:axId val="1896539071"/>
      </c:lineChart>
      <c:catAx>
        <c:axId val="189653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896539071"/>
        <c:crosses val="autoZero"/>
        <c:auto val="1"/>
        <c:lblAlgn val="ctr"/>
        <c:lblOffset val="100"/>
        <c:noMultiLvlLbl val="0"/>
      </c:catAx>
      <c:valAx>
        <c:axId val="1896539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96537631"/>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B4ED0-F941-47E1-A65B-1DF6A6A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sankargowri399@gmail.com</dc:creator>
  <cp:keywords/>
  <dc:description/>
  <cp:lastModifiedBy>SDI 1084</cp:lastModifiedBy>
  <cp:revision>15</cp:revision>
  <dcterms:created xsi:type="dcterms:W3CDTF">2025-07-27T02:20:00Z</dcterms:created>
  <dcterms:modified xsi:type="dcterms:W3CDTF">2025-09-23T06:43:00Z</dcterms:modified>
</cp:coreProperties>
</file>