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67F1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0F650BBA" w14:textId="442C3AFA" w:rsidR="00644F1C" w:rsidRPr="00441B29" w:rsidRDefault="00644F1C" w:rsidP="00644F1C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r w:rsidRPr="00441B29">
        <w:rPr>
          <w:rFonts w:ascii="Arial" w:hAnsi="Arial" w:cs="Arial"/>
          <w:bCs/>
          <w:iCs/>
          <w:kern w:val="28"/>
          <w:sz w:val="36"/>
        </w:rPr>
        <w:t>Evaluation of plant growth regulators on quality attributes of ginger</w:t>
      </w:r>
      <w:r>
        <w:rPr>
          <w:rFonts w:ascii="Arial" w:hAnsi="Arial" w:cs="Arial"/>
          <w:bCs/>
          <w:iCs/>
          <w:kern w:val="28"/>
          <w:sz w:val="36"/>
        </w:rPr>
        <w:t xml:space="preserve"> </w:t>
      </w:r>
      <w:r w:rsidRPr="00441B29">
        <w:rPr>
          <w:rFonts w:ascii="Arial" w:hAnsi="Arial" w:cs="Arial"/>
          <w:bCs/>
          <w:iCs/>
          <w:kern w:val="28"/>
          <w:sz w:val="36"/>
        </w:rPr>
        <w:t>(</w:t>
      </w:r>
      <w:proofErr w:type="spellStart"/>
      <w:r w:rsidRPr="00A80E0F">
        <w:rPr>
          <w:rFonts w:ascii="Arial" w:hAnsi="Arial" w:cs="Arial"/>
          <w:bCs/>
          <w:i/>
          <w:kern w:val="28"/>
          <w:sz w:val="36"/>
        </w:rPr>
        <w:t>Zingiber</w:t>
      </w:r>
      <w:proofErr w:type="spellEnd"/>
      <w:r w:rsidRPr="00A80E0F">
        <w:rPr>
          <w:rFonts w:ascii="Arial" w:hAnsi="Arial" w:cs="Arial"/>
          <w:bCs/>
          <w:i/>
          <w:kern w:val="28"/>
          <w:sz w:val="36"/>
        </w:rPr>
        <w:t xml:space="preserve"> </w:t>
      </w:r>
      <w:proofErr w:type="spellStart"/>
      <w:r w:rsidRPr="00A80E0F">
        <w:rPr>
          <w:rFonts w:ascii="Arial" w:hAnsi="Arial" w:cs="Arial"/>
          <w:bCs/>
          <w:i/>
          <w:kern w:val="28"/>
          <w:sz w:val="36"/>
        </w:rPr>
        <w:t>officinale</w:t>
      </w:r>
      <w:proofErr w:type="spellEnd"/>
      <w:r w:rsidRPr="00A80E0F">
        <w:rPr>
          <w:rFonts w:ascii="Arial" w:hAnsi="Arial" w:cs="Arial"/>
          <w:bCs/>
          <w:i/>
          <w:kern w:val="28"/>
          <w:sz w:val="36"/>
        </w:rPr>
        <w:t xml:space="preserve"> </w:t>
      </w:r>
      <w:proofErr w:type="spellStart"/>
      <w:r w:rsidRPr="00A80E0F">
        <w:rPr>
          <w:rFonts w:ascii="Arial" w:hAnsi="Arial" w:cs="Arial"/>
          <w:bCs/>
          <w:i/>
          <w:kern w:val="28"/>
          <w:sz w:val="36"/>
        </w:rPr>
        <w:t>Rosc</w:t>
      </w:r>
      <w:proofErr w:type="spellEnd"/>
      <w:r w:rsidRPr="00A80E0F">
        <w:rPr>
          <w:rFonts w:ascii="Arial" w:hAnsi="Arial" w:cs="Arial"/>
          <w:bCs/>
          <w:i/>
          <w:kern w:val="28"/>
          <w:sz w:val="36"/>
        </w:rPr>
        <w:t>.)</w:t>
      </w:r>
      <w:r>
        <w:rPr>
          <w:rFonts w:ascii="Arial" w:hAnsi="Arial" w:cs="Arial"/>
          <w:bCs/>
          <w:i/>
          <w:kern w:val="28"/>
          <w:sz w:val="36"/>
        </w:rPr>
        <w:t xml:space="preserve">  </w:t>
      </w:r>
      <w:r w:rsidRPr="00441B29">
        <w:rPr>
          <w:rFonts w:ascii="Arial" w:hAnsi="Arial" w:cs="Arial"/>
          <w:bCs/>
          <w:iCs/>
          <w:kern w:val="28"/>
          <w:sz w:val="36"/>
        </w:rPr>
        <w:t xml:space="preserve">transplants under </w:t>
      </w:r>
      <w:proofErr w:type="spellStart"/>
      <w:r w:rsidRPr="00441B29">
        <w:rPr>
          <w:rFonts w:ascii="Arial" w:hAnsi="Arial" w:cs="Arial"/>
          <w:bCs/>
          <w:iCs/>
          <w:kern w:val="28"/>
          <w:sz w:val="36"/>
        </w:rPr>
        <w:t>polyhouse</w:t>
      </w:r>
      <w:proofErr w:type="spellEnd"/>
    </w:p>
    <w:p w14:paraId="26693D87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484EBAF0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F667204" w14:textId="046EBE32" w:rsidR="00B01FCD" w:rsidRPr="00FB3A86" w:rsidRDefault="006729D3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9049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9AA659A" wp14:editId="4BEDFF7A">
                <wp:extent cx="5303520" cy="635"/>
                <wp:effectExtent l="13335" t="10160" r="17145" b="18415"/>
                <wp:docPr id="9378249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16D0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ZxuAEAAFc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6830BB59" w14:textId="5CCFCD3F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30903281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1E44FE" w14:paraId="1A924275" w14:textId="77777777" w:rsidTr="001E44FE">
        <w:tc>
          <w:tcPr>
            <w:tcW w:w="9576" w:type="dxa"/>
            <w:shd w:val="clear" w:color="auto" w:fill="F2F2F2"/>
          </w:tcPr>
          <w:p w14:paraId="26EE4B4B" w14:textId="0F203340" w:rsidR="001F2C41" w:rsidRPr="00BA1B01" w:rsidRDefault="001F2C41" w:rsidP="001F2C41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</w:p>
          <w:p w14:paraId="2C42D280" w14:textId="67E54D87" w:rsidR="00505F06" w:rsidRPr="00BA1B01" w:rsidRDefault="001F2C4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1F2C41">
              <w:rPr>
                <w:rFonts w:ascii="Arial" w:eastAsia="Calibri" w:hAnsi="Arial" w:cs="Arial"/>
                <w:szCs w:val="22"/>
              </w:rPr>
              <w:t>The investigation entitled “Evaluation of plant growth regulators on quality attributes of ginger (</w:t>
            </w:r>
            <w:proofErr w:type="spellStart"/>
            <w:r w:rsidRPr="009E2115">
              <w:rPr>
                <w:rFonts w:ascii="Arial" w:eastAsia="Calibri" w:hAnsi="Arial" w:cs="Arial"/>
                <w:i/>
                <w:iCs/>
                <w:szCs w:val="22"/>
              </w:rPr>
              <w:t>Zingiber</w:t>
            </w:r>
            <w:proofErr w:type="spellEnd"/>
            <w:r w:rsidRPr="009E2115">
              <w:rPr>
                <w:rFonts w:ascii="Arial" w:eastAsia="Calibri" w:hAnsi="Arial" w:cs="Arial"/>
                <w:i/>
                <w:iCs/>
                <w:szCs w:val="22"/>
              </w:rPr>
              <w:t xml:space="preserve"> </w:t>
            </w:r>
            <w:proofErr w:type="spellStart"/>
            <w:r w:rsidRPr="009E2115">
              <w:rPr>
                <w:rFonts w:ascii="Arial" w:eastAsia="Calibri" w:hAnsi="Arial" w:cs="Arial"/>
                <w:i/>
                <w:iCs/>
                <w:szCs w:val="22"/>
              </w:rPr>
              <w:t>officinale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Rosc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.) transplants under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polyhouse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” was carried out at the KVK, Palakkad during August 2024 to March 2025. The study evaluated various PGRs on </w:t>
            </w:r>
            <w:r w:rsidR="00587EFA">
              <w:rPr>
                <w:rFonts w:ascii="Arial" w:eastAsia="Calibri" w:hAnsi="Arial" w:cs="Arial"/>
                <w:szCs w:val="22"/>
              </w:rPr>
              <w:t>quality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attributes in ginger transplants under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polyhouse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conditions. In this study, PGRs such as CCC, GA</w:t>
            </w:r>
            <w:r w:rsidRPr="001F2C41">
              <w:rPr>
                <w:rFonts w:ascii="Cambria Math" w:eastAsia="Calibri" w:hAnsi="Cambria Math" w:cs="Cambria Math"/>
                <w:szCs w:val="22"/>
              </w:rPr>
              <w:t>₃</w:t>
            </w:r>
            <w:r w:rsidRPr="001F2C41">
              <w:rPr>
                <w:rFonts w:ascii="Arial" w:eastAsia="Calibri" w:hAnsi="Arial" w:cs="Arial"/>
                <w:szCs w:val="22"/>
              </w:rPr>
              <w:t>, NAA</w:t>
            </w:r>
            <w:r w:rsidR="003F49F0">
              <w:rPr>
                <w:rFonts w:ascii="Arial" w:eastAsia="Calibri" w:hAnsi="Arial" w:cs="Arial"/>
                <w:szCs w:val="22"/>
              </w:rPr>
              <w:t xml:space="preserve"> and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BAP at three different concentrations (50 ppm, 100 ppm</w:t>
            </w:r>
            <w:r w:rsidR="003F49F0">
              <w:rPr>
                <w:rFonts w:ascii="Arial" w:eastAsia="Calibri" w:hAnsi="Arial" w:cs="Arial"/>
                <w:szCs w:val="22"/>
              </w:rPr>
              <w:t xml:space="preserve"> and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150 ppm), along with a control (water), were applied at 90</w:t>
            </w:r>
            <w:r w:rsidR="00587EFA">
              <w:rPr>
                <w:rFonts w:ascii="Arial" w:eastAsia="Calibri" w:hAnsi="Arial" w:cs="Arial"/>
                <w:szCs w:val="22"/>
              </w:rPr>
              <w:t xml:space="preserve"> and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120 DAT.</w:t>
            </w:r>
            <w:r w:rsidR="009E2115">
              <w:rPr>
                <w:rFonts w:ascii="Arial" w:eastAsia="Calibri" w:hAnsi="Arial" w:cs="Arial"/>
                <w:szCs w:val="22"/>
              </w:rPr>
              <w:t xml:space="preserve"> 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The highest protein content (23.65 mg/g) was observed in naphthalene acetic acid at 150 ppm.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at 150 ppm produced the highest total sugar content (90.01 mg/g) in ginger. The highest volatile oil content (3.68%) was recorded in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at 150 ppm. The maximum oleoresin content (7.940%) was also recorded in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at 150 ppm. Based on the findings, foliar application of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cycocel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enhanced the quality parameters of ginger by facilitating the redirection of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photoassimilates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from aerial parts to rhizomes. Thus, this study concluded that judicious application of plant growth regulators significantly improved productivity</w:t>
            </w:r>
            <w:r w:rsidR="003F49F0">
              <w:rPr>
                <w:rFonts w:ascii="Arial" w:eastAsia="Calibri" w:hAnsi="Arial" w:cs="Arial"/>
                <w:szCs w:val="22"/>
              </w:rPr>
              <w:t xml:space="preserve"> of ginger transplants</w:t>
            </w:r>
            <w:r w:rsidRPr="001F2C41">
              <w:rPr>
                <w:rFonts w:ascii="Arial" w:eastAsia="Calibri" w:hAnsi="Arial" w:cs="Arial"/>
                <w:szCs w:val="22"/>
              </w:rPr>
              <w:t xml:space="preserve"> under </w:t>
            </w:r>
            <w:proofErr w:type="spellStart"/>
            <w:r w:rsidRPr="001F2C41">
              <w:rPr>
                <w:rFonts w:ascii="Arial" w:eastAsia="Calibri" w:hAnsi="Arial" w:cs="Arial"/>
                <w:szCs w:val="22"/>
              </w:rPr>
              <w:t>polyhouse</w:t>
            </w:r>
            <w:proofErr w:type="spellEnd"/>
            <w:r w:rsidRPr="001F2C41">
              <w:rPr>
                <w:rFonts w:ascii="Arial" w:eastAsia="Calibri" w:hAnsi="Arial" w:cs="Arial"/>
                <w:szCs w:val="22"/>
              </w:rPr>
              <w:t xml:space="preserve"> conditions.</w:t>
            </w:r>
          </w:p>
        </w:tc>
      </w:tr>
    </w:tbl>
    <w:p w14:paraId="780C40B1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091ABD5E" w14:textId="41E4784A" w:rsidR="00A24E7E" w:rsidRDefault="00A24E7E" w:rsidP="004228EC">
      <w:pPr>
        <w:pStyle w:val="Body"/>
        <w:spacing w:after="0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Keywords:</w:t>
      </w:r>
      <w:r w:rsidR="00644F1C">
        <w:rPr>
          <w:rFonts w:ascii="Arial" w:hAnsi="Arial" w:cs="Arial"/>
          <w:i/>
        </w:rPr>
        <w:t xml:space="preserve"> </w:t>
      </w:r>
      <w:r w:rsidR="004228EC" w:rsidRPr="00441B29">
        <w:rPr>
          <w:rFonts w:ascii="Arial" w:hAnsi="Arial" w:cs="Arial"/>
          <w:i/>
        </w:rPr>
        <w:t xml:space="preserve">Ginger, transplants, </w:t>
      </w:r>
      <w:proofErr w:type="spellStart"/>
      <w:r w:rsidR="004228EC" w:rsidRPr="00441B29">
        <w:rPr>
          <w:rFonts w:ascii="Arial" w:hAnsi="Arial" w:cs="Arial"/>
          <w:i/>
        </w:rPr>
        <w:t>polyhouse</w:t>
      </w:r>
      <w:proofErr w:type="spellEnd"/>
      <w:r w:rsidR="004228EC" w:rsidRPr="00441B29">
        <w:rPr>
          <w:rFonts w:ascii="Arial" w:hAnsi="Arial" w:cs="Arial"/>
          <w:i/>
        </w:rPr>
        <w:t xml:space="preserve">, PGRs, </w:t>
      </w:r>
      <w:proofErr w:type="spellStart"/>
      <w:r w:rsidR="004228EC" w:rsidRPr="00441B29">
        <w:rPr>
          <w:rFonts w:ascii="Arial" w:hAnsi="Arial" w:cs="Arial"/>
          <w:i/>
        </w:rPr>
        <w:t>Cycocel</w:t>
      </w:r>
      <w:proofErr w:type="spellEnd"/>
      <w:r w:rsidR="004228EC" w:rsidRPr="00441B29">
        <w:rPr>
          <w:rFonts w:ascii="Arial" w:hAnsi="Arial" w:cs="Arial"/>
          <w:i/>
        </w:rPr>
        <w:t xml:space="preserve">, </w:t>
      </w:r>
      <w:r w:rsidR="004228EC" w:rsidRPr="004228EC">
        <w:rPr>
          <w:rFonts w:ascii="Arial" w:hAnsi="Arial" w:cs="Arial"/>
          <w:i/>
        </w:rPr>
        <w:t>N</w:t>
      </w:r>
      <w:r w:rsidR="004228EC" w:rsidRPr="004228EC">
        <w:rPr>
          <w:rFonts w:ascii="Arial" w:eastAsia="Calibri" w:hAnsi="Arial" w:cs="Arial"/>
          <w:i/>
          <w:szCs w:val="22"/>
        </w:rPr>
        <w:t xml:space="preserve">aphthalene acetic </w:t>
      </w:r>
      <w:proofErr w:type="gramStart"/>
      <w:r w:rsidR="004228EC" w:rsidRPr="004228EC">
        <w:rPr>
          <w:rFonts w:ascii="Arial" w:eastAsia="Calibri" w:hAnsi="Arial" w:cs="Arial"/>
          <w:i/>
          <w:szCs w:val="22"/>
        </w:rPr>
        <w:t>acid</w:t>
      </w:r>
      <w:r w:rsidR="004228EC" w:rsidRPr="00441B29">
        <w:rPr>
          <w:rFonts w:ascii="Arial" w:hAnsi="Arial" w:cs="Arial"/>
          <w:i/>
        </w:rPr>
        <w:t>,</w:t>
      </w:r>
      <w:r w:rsidR="004228EC">
        <w:rPr>
          <w:rFonts w:ascii="Arial" w:hAnsi="Arial" w:cs="Arial"/>
          <w:i/>
        </w:rPr>
        <w:t xml:space="preserve"> </w:t>
      </w:r>
      <w:r w:rsidR="00644F1C">
        <w:rPr>
          <w:rFonts w:ascii="Arial" w:hAnsi="Arial" w:cs="Arial"/>
          <w:i/>
        </w:rPr>
        <w:t xml:space="preserve">  </w:t>
      </w:r>
      <w:proofErr w:type="gramEnd"/>
      <w:r w:rsidR="00644F1C" w:rsidRPr="00644F1C">
        <w:rPr>
          <w:rFonts w:ascii="Arial" w:hAnsi="Arial" w:cs="Arial"/>
          <w:i/>
          <w:iCs/>
          <w:lang w:val="en-IN"/>
        </w:rPr>
        <w:t xml:space="preserve">Gibberellic </w:t>
      </w:r>
      <w:r w:rsidR="009E2115">
        <w:rPr>
          <w:rFonts w:ascii="Arial" w:hAnsi="Arial" w:cs="Arial"/>
          <w:i/>
          <w:iCs/>
          <w:lang w:val="en-IN"/>
        </w:rPr>
        <w:t>a</w:t>
      </w:r>
      <w:r w:rsidR="00644F1C" w:rsidRPr="00644F1C">
        <w:rPr>
          <w:rFonts w:ascii="Arial" w:hAnsi="Arial" w:cs="Arial"/>
          <w:i/>
          <w:iCs/>
          <w:lang w:val="en-IN"/>
        </w:rPr>
        <w:t xml:space="preserve">cid, 6-benzyl </w:t>
      </w:r>
      <w:r w:rsidR="009E2115">
        <w:rPr>
          <w:rFonts w:ascii="Arial" w:hAnsi="Arial" w:cs="Arial"/>
          <w:i/>
          <w:iCs/>
          <w:lang w:val="en-IN"/>
        </w:rPr>
        <w:t>a</w:t>
      </w:r>
      <w:r w:rsidR="00644F1C" w:rsidRPr="00644F1C">
        <w:rPr>
          <w:rFonts w:ascii="Arial" w:hAnsi="Arial" w:cs="Arial"/>
          <w:i/>
          <w:iCs/>
          <w:lang w:val="en-IN"/>
        </w:rPr>
        <w:t xml:space="preserve">mino </w:t>
      </w:r>
      <w:r w:rsidR="009E2115">
        <w:rPr>
          <w:rFonts w:ascii="Arial" w:hAnsi="Arial" w:cs="Arial"/>
          <w:i/>
          <w:iCs/>
          <w:lang w:val="en-IN"/>
        </w:rPr>
        <w:t>p</w:t>
      </w:r>
      <w:r w:rsidR="00644F1C" w:rsidRPr="00644F1C">
        <w:rPr>
          <w:rFonts w:ascii="Arial" w:hAnsi="Arial" w:cs="Arial"/>
          <w:i/>
          <w:iCs/>
          <w:lang w:val="en-IN"/>
        </w:rPr>
        <w:t>urine.</w:t>
      </w:r>
    </w:p>
    <w:p w14:paraId="61DF6463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277F6B5E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5E46AAA5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580D704E" w14:textId="4907981B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169A3D8D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3637FC33" w14:textId="02744481" w:rsidR="00B95236" w:rsidRDefault="008E5D69" w:rsidP="00441B6F">
      <w:pPr>
        <w:pStyle w:val="Body"/>
        <w:spacing w:after="0"/>
        <w:rPr>
          <w:rFonts w:ascii="Arial" w:hAnsi="Arial" w:cs="Arial"/>
        </w:rPr>
      </w:pPr>
      <w:r w:rsidRPr="008E5D69">
        <w:rPr>
          <w:rFonts w:ascii="Arial" w:hAnsi="Arial" w:cs="Arial"/>
        </w:rPr>
        <w:t>Ginger (</w:t>
      </w:r>
      <w:proofErr w:type="spellStart"/>
      <w:r w:rsidRPr="008E5D69">
        <w:rPr>
          <w:rFonts w:ascii="Arial" w:hAnsi="Arial" w:cs="Arial"/>
          <w:i/>
          <w:iCs/>
        </w:rPr>
        <w:t>Zingiber</w:t>
      </w:r>
      <w:proofErr w:type="spellEnd"/>
      <w:r w:rsidRPr="008E5D69">
        <w:rPr>
          <w:rFonts w:ascii="Arial" w:hAnsi="Arial" w:cs="Arial"/>
          <w:i/>
          <w:iCs/>
        </w:rPr>
        <w:t xml:space="preserve"> </w:t>
      </w:r>
      <w:proofErr w:type="spellStart"/>
      <w:r w:rsidRPr="008E5D69">
        <w:rPr>
          <w:rFonts w:ascii="Arial" w:hAnsi="Arial" w:cs="Arial"/>
          <w:i/>
          <w:iCs/>
        </w:rPr>
        <w:t>officinale</w:t>
      </w:r>
      <w:proofErr w:type="spellEnd"/>
      <w:r w:rsidRPr="008E5D69">
        <w:rPr>
          <w:rFonts w:ascii="Arial" w:hAnsi="Arial" w:cs="Arial"/>
          <w:i/>
          <w:iCs/>
        </w:rPr>
        <w:t xml:space="preserve"> </w:t>
      </w:r>
      <w:proofErr w:type="spellStart"/>
      <w:r w:rsidRPr="008E5D69">
        <w:rPr>
          <w:rFonts w:ascii="Arial" w:hAnsi="Arial" w:cs="Arial"/>
          <w:i/>
          <w:iCs/>
        </w:rPr>
        <w:t>Rosc</w:t>
      </w:r>
      <w:proofErr w:type="spellEnd"/>
      <w:r w:rsidRPr="008E5D69">
        <w:rPr>
          <w:rFonts w:ascii="Arial" w:hAnsi="Arial" w:cs="Arial"/>
          <w:i/>
          <w:iCs/>
        </w:rPr>
        <w:t>.),</w:t>
      </w:r>
      <w:r w:rsidRPr="008E5D69">
        <w:rPr>
          <w:rFonts w:ascii="Arial" w:hAnsi="Arial" w:cs="Arial"/>
        </w:rPr>
        <w:t xml:space="preserve"> a perennial herb belonging to the family </w:t>
      </w:r>
      <w:proofErr w:type="spellStart"/>
      <w:r w:rsidRPr="008E5D69">
        <w:rPr>
          <w:rFonts w:ascii="Arial" w:hAnsi="Arial" w:cs="Arial"/>
        </w:rPr>
        <w:t>Zingiberaceae</w:t>
      </w:r>
      <w:proofErr w:type="spellEnd"/>
      <w:r w:rsidRPr="008E5D69">
        <w:rPr>
          <w:rFonts w:ascii="Arial" w:hAnsi="Arial" w:cs="Arial"/>
        </w:rPr>
        <w:t xml:space="preserve">, is one of the most widely cultivated </w:t>
      </w:r>
      <w:r w:rsidR="003F49F0">
        <w:rPr>
          <w:rFonts w:ascii="Arial" w:hAnsi="Arial" w:cs="Arial"/>
        </w:rPr>
        <w:t>and</w:t>
      </w:r>
      <w:r w:rsidRPr="008E5D69">
        <w:rPr>
          <w:rFonts w:ascii="Arial" w:hAnsi="Arial" w:cs="Arial"/>
        </w:rPr>
        <w:t xml:space="preserve"> consumed spice </w:t>
      </w:r>
      <w:proofErr w:type="gramStart"/>
      <w:r w:rsidRPr="008E5D69">
        <w:rPr>
          <w:rFonts w:ascii="Arial" w:hAnsi="Arial" w:cs="Arial"/>
        </w:rPr>
        <w:t>crop</w:t>
      </w:r>
      <w:proofErr w:type="gramEnd"/>
      <w:r w:rsidR="003F49F0">
        <w:rPr>
          <w:rFonts w:ascii="Arial" w:hAnsi="Arial" w:cs="Arial"/>
        </w:rPr>
        <w:t xml:space="preserve"> </w:t>
      </w:r>
      <w:r w:rsidRPr="008E5D69">
        <w:rPr>
          <w:rFonts w:ascii="Arial" w:hAnsi="Arial" w:cs="Arial"/>
        </w:rPr>
        <w:t xml:space="preserve">in the world. It has been valued since ancient times for its distinctive pungent </w:t>
      </w:r>
      <w:proofErr w:type="spellStart"/>
      <w:r w:rsidRPr="008E5D69">
        <w:rPr>
          <w:rFonts w:ascii="Arial" w:hAnsi="Arial" w:cs="Arial"/>
        </w:rPr>
        <w:t>flavour</w:t>
      </w:r>
      <w:proofErr w:type="spellEnd"/>
      <w:r w:rsidRPr="008E5D69">
        <w:rPr>
          <w:rFonts w:ascii="Arial" w:hAnsi="Arial" w:cs="Arial"/>
        </w:rPr>
        <w:t>, aromatic qualities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wide spectrum of medicinal properties, making it a key component of culinary, pharmaceutical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industrial applications. India, China, Nigeria, Indonesia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Nepal are among the leading producers, with India playing a pivotal role in both domestic consumption </w:t>
      </w:r>
      <w:r w:rsidR="003F49F0">
        <w:rPr>
          <w:rFonts w:ascii="Arial" w:hAnsi="Arial" w:cs="Arial"/>
        </w:rPr>
        <w:t>and</w:t>
      </w:r>
      <w:r w:rsidRPr="008E5D69">
        <w:rPr>
          <w:rFonts w:ascii="Arial" w:hAnsi="Arial" w:cs="Arial"/>
        </w:rPr>
        <w:t xml:space="preserve"> international export. Processed products such as dried rhizomes, powdered ginger, essential oils</w:t>
      </w:r>
      <w:r w:rsidR="003F49F0">
        <w:rPr>
          <w:rFonts w:ascii="Arial" w:hAnsi="Arial" w:cs="Arial"/>
        </w:rPr>
        <w:t xml:space="preserve"> and</w:t>
      </w:r>
      <w:r w:rsidRPr="008E5D69">
        <w:rPr>
          <w:rFonts w:ascii="Arial" w:hAnsi="Arial" w:cs="Arial"/>
        </w:rPr>
        <w:t xml:space="preserve"> oleoresins constitute a </w:t>
      </w:r>
      <w:r>
        <w:rPr>
          <w:rFonts w:ascii="Arial" w:hAnsi="Arial" w:cs="Arial"/>
        </w:rPr>
        <w:t xml:space="preserve">major share in </w:t>
      </w:r>
      <w:r w:rsidRPr="008E5D69">
        <w:rPr>
          <w:rFonts w:ascii="Arial" w:hAnsi="Arial" w:cs="Arial"/>
        </w:rPr>
        <w:t xml:space="preserve">global spice economy. </w:t>
      </w:r>
    </w:p>
    <w:p w14:paraId="600BC40A" w14:textId="1AFD282B" w:rsidR="00790ADA" w:rsidRDefault="00025D49" w:rsidP="00441B6F">
      <w:pPr>
        <w:pStyle w:val="Body"/>
        <w:spacing w:after="0"/>
        <w:rPr>
          <w:rFonts w:ascii="Arial" w:hAnsi="Arial" w:cs="Arial"/>
        </w:rPr>
      </w:pPr>
      <w:r w:rsidRPr="00025D49">
        <w:rPr>
          <w:rFonts w:ascii="Arial" w:hAnsi="Arial" w:cs="Arial"/>
        </w:rPr>
        <w:t xml:space="preserve">The characteristic aroma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pungency of ginger are attributed to its bioactive constituents, particularly gingerols, shogaols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</w:t>
      </w:r>
      <w:proofErr w:type="spellStart"/>
      <w:r w:rsidRPr="00025D49">
        <w:rPr>
          <w:rFonts w:ascii="Arial" w:hAnsi="Arial" w:cs="Arial"/>
        </w:rPr>
        <w:t>paradols</w:t>
      </w:r>
      <w:proofErr w:type="spellEnd"/>
      <w:r w:rsidRPr="00025D49">
        <w:rPr>
          <w:rFonts w:ascii="Arial" w:hAnsi="Arial" w:cs="Arial"/>
        </w:rPr>
        <w:t>. These are responsible for its pharmacological actions such as antioxidant, anti-inflammatory, antimicrobial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antiemetic actions. In addition to its medicinal importance, ginger cultivation has substantial economic relevance, supporting the livelihood of thous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>s of small</w:t>
      </w:r>
      <w:r w:rsidR="008720B0">
        <w:rPr>
          <w:rFonts w:ascii="Arial" w:hAnsi="Arial" w:cs="Arial"/>
        </w:rPr>
        <w:t>-</w:t>
      </w:r>
      <w:r w:rsidRPr="00025D49">
        <w:rPr>
          <w:rFonts w:ascii="Arial" w:hAnsi="Arial" w:cs="Arial"/>
        </w:rPr>
        <w:t xml:space="preserve">holder farmers in tropical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subtropical regions. However, productivity is often constrained by biotic stresses such as soft rot, bacterial wilt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nematode infestations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abiotic stresses like drought, soil nutrient depletion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climatic fluctuations. These challenges often result in unstable yields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deteriorating quality.</w:t>
      </w:r>
    </w:p>
    <w:p w14:paraId="0295BB73" w14:textId="387642D2" w:rsidR="00025D49" w:rsidRPr="00025D49" w:rsidRDefault="00025D49" w:rsidP="00025D49">
      <w:pPr>
        <w:pStyle w:val="Body"/>
        <w:rPr>
          <w:rFonts w:ascii="Arial" w:hAnsi="Arial" w:cs="Arial"/>
          <w:lang w:val="en-IN"/>
        </w:rPr>
      </w:pPr>
      <w:r w:rsidRPr="00025D49">
        <w:rPr>
          <w:rFonts w:ascii="Arial" w:hAnsi="Arial" w:cs="Arial"/>
        </w:rPr>
        <w:lastRenderedPageBreak/>
        <w:t>The increasing consumer dem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for high-quality produce </w:t>
      </w:r>
      <w:r w:rsidR="003F49F0">
        <w:rPr>
          <w:rFonts w:ascii="Arial" w:hAnsi="Arial" w:cs="Arial"/>
        </w:rPr>
        <w:t>and</w:t>
      </w:r>
      <w:r w:rsidRPr="00025D49">
        <w:rPr>
          <w:rFonts w:ascii="Arial" w:hAnsi="Arial" w:cs="Arial"/>
        </w:rPr>
        <w:t xml:space="preserve"> the necessity for year-round availability have emphasized the importance of protected cultivation systems</w:t>
      </w:r>
      <w:r w:rsidR="0070037C">
        <w:rPr>
          <w:rFonts w:ascii="Arial" w:hAnsi="Arial" w:cs="Arial"/>
        </w:rPr>
        <w:t>.</w:t>
      </w:r>
      <w:r w:rsidRPr="00025D49">
        <w:rPr>
          <w:rFonts w:ascii="Arial" w:hAnsi="Arial" w:cs="Arial"/>
        </w:rPr>
        <w:t xml:space="preserve"> </w:t>
      </w:r>
      <w:proofErr w:type="spellStart"/>
      <w:r w:rsidRPr="00025D49">
        <w:rPr>
          <w:rFonts w:ascii="Arial" w:hAnsi="Arial" w:cs="Arial"/>
        </w:rPr>
        <w:t>Polyhouses</w:t>
      </w:r>
      <w:proofErr w:type="spellEnd"/>
      <w:r w:rsidRPr="00025D49">
        <w:rPr>
          <w:rFonts w:ascii="Arial" w:hAnsi="Arial" w:cs="Arial"/>
        </w:rPr>
        <w:t xml:space="preserve"> provide a regulated micro-environment in which critical factors such as temperature, humidity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pathogen exposure can be precisely managed. Such </w:t>
      </w:r>
      <w:r w:rsidR="00596B47" w:rsidRPr="00025D49">
        <w:rPr>
          <w:rFonts w:ascii="Arial" w:hAnsi="Arial" w:cs="Arial"/>
        </w:rPr>
        <w:t xml:space="preserve">control </w:t>
      </w:r>
      <w:r w:rsidR="00644F1C" w:rsidRPr="00025D49">
        <w:rPr>
          <w:rFonts w:ascii="Arial" w:hAnsi="Arial" w:cs="Arial"/>
        </w:rPr>
        <w:t>promotes</w:t>
      </w:r>
      <w:r w:rsidRPr="00025D49">
        <w:rPr>
          <w:rFonts w:ascii="Arial" w:hAnsi="Arial" w:cs="Arial"/>
        </w:rPr>
        <w:t xml:space="preserve"> optimal growth throughout the cropping period, while simultaneously reducing </w:t>
      </w:r>
      <w:r w:rsidR="00644F1C" w:rsidRPr="00025D49">
        <w:rPr>
          <w:rFonts w:ascii="Arial" w:hAnsi="Arial" w:cs="Arial"/>
        </w:rPr>
        <w:t>disease</w:t>
      </w:r>
      <w:r w:rsidRPr="00025D49">
        <w:rPr>
          <w:rFonts w:ascii="Arial" w:hAnsi="Arial" w:cs="Arial"/>
        </w:rPr>
        <w:t xml:space="preserve"> incidence, enhancing the efficiency of resource utilization, improving rhizome yield</w:t>
      </w:r>
      <w:r w:rsidR="003F49F0">
        <w:rPr>
          <w:rFonts w:ascii="Arial" w:hAnsi="Arial" w:cs="Arial"/>
        </w:rPr>
        <w:t xml:space="preserve"> and</w:t>
      </w:r>
      <w:r w:rsidRPr="00025D49">
        <w:rPr>
          <w:rFonts w:ascii="Arial" w:hAnsi="Arial" w:cs="Arial"/>
        </w:rPr>
        <w:t xml:space="preserve"> ensuring consistent quality in comparison to traditional open-field practices. In ginger, the development of a dense canopy frequently restricts the effective translocation of assimilates to the rhizomes, thereby creating an imbalance in their partitioning among different plant organs</w:t>
      </w:r>
      <w:r>
        <w:rPr>
          <w:rFonts w:ascii="Arial" w:hAnsi="Arial" w:cs="Arial"/>
        </w:rPr>
        <w:t>.</w:t>
      </w:r>
      <w:r w:rsidRPr="00025D49">
        <w:rPr>
          <w:rFonts w:ascii="Times New Roman" w:hAnsi="Times New Roman"/>
          <w:b/>
          <w:szCs w:val="24"/>
          <w:lang w:val="en-IN" w:eastAsia="en-IN"/>
        </w:rPr>
        <w:t xml:space="preserve"> </w:t>
      </w:r>
      <w:r w:rsidRPr="00025D49">
        <w:rPr>
          <w:rFonts w:ascii="Arial" w:hAnsi="Arial" w:cs="Arial"/>
          <w:lang w:val="en-IN"/>
        </w:rPr>
        <w:t xml:space="preserve">This physiological limitation may be alleviated through the strategic application of plant growth regulators (PGRs), which are known to modulate plant morphology </w:t>
      </w:r>
      <w:r w:rsidR="003F49F0">
        <w:rPr>
          <w:rFonts w:ascii="Arial" w:hAnsi="Arial" w:cs="Arial"/>
          <w:lang w:val="en-IN"/>
        </w:rPr>
        <w:t>and</w:t>
      </w:r>
      <w:r w:rsidRPr="00025D49">
        <w:rPr>
          <w:rFonts w:ascii="Arial" w:hAnsi="Arial" w:cs="Arial"/>
          <w:lang w:val="en-IN"/>
        </w:rPr>
        <w:t xml:space="preserve"> physiology, thereby improving assimilate distribution </w:t>
      </w:r>
      <w:r w:rsidR="003F49F0">
        <w:rPr>
          <w:rFonts w:ascii="Arial" w:hAnsi="Arial" w:cs="Arial"/>
          <w:lang w:val="en-IN"/>
        </w:rPr>
        <w:t>and</w:t>
      </w:r>
      <w:r w:rsidRPr="00025D49">
        <w:rPr>
          <w:rFonts w:ascii="Arial" w:hAnsi="Arial" w:cs="Arial"/>
          <w:lang w:val="en-IN"/>
        </w:rPr>
        <w:t xml:space="preserve"> enhancing rhizome development. While a few studies reported the influence of PGRs on ginger under </w:t>
      </w:r>
      <w:proofErr w:type="spellStart"/>
      <w:r w:rsidRPr="00025D49">
        <w:rPr>
          <w:rFonts w:ascii="Arial" w:hAnsi="Arial" w:cs="Arial"/>
          <w:lang w:val="en-IN"/>
        </w:rPr>
        <w:t>polyhouse</w:t>
      </w:r>
      <w:proofErr w:type="spellEnd"/>
      <w:r w:rsidRPr="00025D49">
        <w:rPr>
          <w:rFonts w:ascii="Arial" w:hAnsi="Arial" w:cs="Arial"/>
          <w:lang w:val="en-IN"/>
        </w:rPr>
        <w:t xml:space="preserve"> conditions </w:t>
      </w:r>
      <w:r w:rsidRPr="00227ED4">
        <w:rPr>
          <w:rFonts w:ascii="Arial" w:hAnsi="Arial" w:cs="Arial"/>
          <w:lang w:val="en-IN"/>
        </w:rPr>
        <w:t>(</w:t>
      </w:r>
      <w:proofErr w:type="spellStart"/>
      <w:r w:rsidRPr="00227ED4">
        <w:rPr>
          <w:rFonts w:ascii="Arial" w:hAnsi="Arial" w:cs="Arial"/>
          <w:lang w:val="en-IN"/>
        </w:rPr>
        <w:t>Maruthi</w:t>
      </w:r>
      <w:proofErr w:type="spellEnd"/>
      <w:r w:rsidRPr="00227ED4">
        <w:rPr>
          <w:rFonts w:ascii="Arial" w:hAnsi="Arial" w:cs="Arial"/>
          <w:lang w:val="en-IN"/>
        </w:rPr>
        <w:t xml:space="preserve"> </w:t>
      </w:r>
      <w:r w:rsidRPr="00227ED4">
        <w:rPr>
          <w:rFonts w:ascii="Arial" w:hAnsi="Arial" w:cs="Arial"/>
          <w:i/>
          <w:iCs/>
          <w:lang w:val="en-IN"/>
        </w:rPr>
        <w:t>et al.,</w:t>
      </w:r>
      <w:r w:rsidRPr="00227ED4">
        <w:rPr>
          <w:rFonts w:ascii="Arial" w:hAnsi="Arial" w:cs="Arial"/>
          <w:lang w:val="en-IN"/>
        </w:rPr>
        <w:t xml:space="preserve"> </w:t>
      </w:r>
      <w:r w:rsidR="001245C9" w:rsidRPr="00227ED4">
        <w:rPr>
          <w:rFonts w:ascii="Arial" w:hAnsi="Arial" w:cs="Arial"/>
          <w:lang w:val="en-IN"/>
        </w:rPr>
        <w:t>20</w:t>
      </w:r>
      <w:r w:rsidR="00BA731F" w:rsidRPr="00227ED4">
        <w:rPr>
          <w:rFonts w:ascii="Arial" w:hAnsi="Arial" w:cs="Arial"/>
          <w:lang w:val="en-IN"/>
        </w:rPr>
        <w:t>03</w:t>
      </w:r>
      <w:r w:rsidRPr="00227ED4">
        <w:rPr>
          <w:rFonts w:ascii="Arial" w:hAnsi="Arial" w:cs="Arial"/>
          <w:lang w:val="en-IN"/>
        </w:rPr>
        <w:t xml:space="preserve">; </w:t>
      </w:r>
      <w:proofErr w:type="spellStart"/>
      <w:r w:rsidRPr="006958CA">
        <w:rPr>
          <w:rFonts w:ascii="Arial" w:hAnsi="Arial" w:cs="Arial"/>
          <w:lang w:val="en-IN"/>
        </w:rPr>
        <w:t>Arif</w:t>
      </w:r>
      <w:proofErr w:type="spellEnd"/>
      <w:r w:rsidRPr="006958CA">
        <w:rPr>
          <w:rFonts w:ascii="Arial" w:hAnsi="Arial" w:cs="Arial"/>
          <w:lang w:val="en-IN"/>
        </w:rPr>
        <w:t xml:space="preserve"> </w:t>
      </w:r>
      <w:r w:rsidRPr="006958CA">
        <w:rPr>
          <w:rFonts w:ascii="Arial" w:hAnsi="Arial" w:cs="Arial"/>
          <w:i/>
          <w:iCs/>
          <w:lang w:val="en-IN"/>
        </w:rPr>
        <w:t>et al.,</w:t>
      </w:r>
      <w:r w:rsidR="001245C9" w:rsidRPr="006958CA">
        <w:rPr>
          <w:rFonts w:ascii="Arial" w:hAnsi="Arial" w:cs="Arial"/>
          <w:lang w:val="en-IN"/>
        </w:rPr>
        <w:t>2022</w:t>
      </w:r>
      <w:r w:rsidRPr="00025D49">
        <w:rPr>
          <w:rFonts w:ascii="Arial" w:hAnsi="Arial" w:cs="Arial"/>
          <w:lang w:val="en-IN"/>
        </w:rPr>
        <w:t xml:space="preserve">), the available findings remain limited </w:t>
      </w:r>
      <w:r w:rsidR="003F49F0">
        <w:rPr>
          <w:rFonts w:ascii="Arial" w:hAnsi="Arial" w:cs="Arial"/>
          <w:lang w:val="en-IN"/>
        </w:rPr>
        <w:t>and</w:t>
      </w:r>
      <w:r w:rsidRPr="00025D49">
        <w:rPr>
          <w:rFonts w:ascii="Arial" w:hAnsi="Arial" w:cs="Arial"/>
          <w:lang w:val="en-IN"/>
        </w:rPr>
        <w:t xml:space="preserve"> inconclusive, thereby restricting definitive assertions about their efficacy in improving the </w:t>
      </w:r>
      <w:r w:rsidR="00587EFA">
        <w:rPr>
          <w:rFonts w:ascii="Arial" w:hAnsi="Arial" w:cs="Arial"/>
          <w:lang w:val="en-IN"/>
        </w:rPr>
        <w:t>quality</w:t>
      </w:r>
      <w:r w:rsidRPr="00025D49">
        <w:rPr>
          <w:rFonts w:ascii="Arial" w:hAnsi="Arial" w:cs="Arial"/>
          <w:lang w:val="en-IN"/>
        </w:rPr>
        <w:t xml:space="preserve"> attributes of ginger transplants in such environments. Hence, the present investigation was undertaken with the specific objective of evaluating the effect of different concentrations of PGRs on the </w:t>
      </w:r>
      <w:r w:rsidR="003F49F0">
        <w:rPr>
          <w:rFonts w:ascii="Arial" w:hAnsi="Arial" w:cs="Arial"/>
          <w:lang w:val="en-IN"/>
        </w:rPr>
        <w:t>quality attributes</w:t>
      </w:r>
      <w:r w:rsidRPr="00025D49">
        <w:rPr>
          <w:rFonts w:ascii="Arial" w:hAnsi="Arial" w:cs="Arial"/>
          <w:lang w:val="en-IN"/>
        </w:rPr>
        <w:t xml:space="preserve"> of ginger transplants cultivated under </w:t>
      </w:r>
      <w:proofErr w:type="spellStart"/>
      <w:r w:rsidRPr="00025D49">
        <w:rPr>
          <w:rFonts w:ascii="Arial" w:hAnsi="Arial" w:cs="Arial"/>
          <w:lang w:val="en-IN"/>
        </w:rPr>
        <w:t>polyhouse</w:t>
      </w:r>
      <w:proofErr w:type="spellEnd"/>
      <w:r w:rsidRPr="00025D49">
        <w:rPr>
          <w:rFonts w:ascii="Arial" w:hAnsi="Arial" w:cs="Arial"/>
          <w:lang w:val="en-IN"/>
        </w:rPr>
        <w:t xml:space="preserve"> conditions.</w:t>
      </w:r>
    </w:p>
    <w:p w14:paraId="544B01A7" w14:textId="4544E2E6" w:rsidR="00025D49" w:rsidRPr="00FB3A86" w:rsidRDefault="00025D49" w:rsidP="00441B6F">
      <w:pPr>
        <w:pStyle w:val="Body"/>
        <w:spacing w:after="0"/>
        <w:rPr>
          <w:rFonts w:ascii="Arial" w:hAnsi="Arial" w:cs="Arial"/>
        </w:rPr>
      </w:pPr>
    </w:p>
    <w:p w14:paraId="33CB7CFF" w14:textId="0198D00F" w:rsidR="00F549D9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</w:t>
      </w:r>
      <w:r w:rsidR="003F49F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method</w:t>
      </w:r>
      <w:r w:rsidR="00000F8F">
        <w:rPr>
          <w:rFonts w:ascii="Arial" w:hAnsi="Arial" w:cs="Arial"/>
        </w:rPr>
        <w:t>s</w:t>
      </w:r>
    </w:p>
    <w:p w14:paraId="3E6C9F74" w14:textId="7F2E71AA" w:rsidR="007F7B32" w:rsidRDefault="00000F8F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2E0D97" w14:textId="3280321C" w:rsidR="00790ADA" w:rsidRPr="00F549D9" w:rsidRDefault="00F549D9" w:rsidP="00F549D9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2.1 Experimental Site </w:t>
      </w:r>
      <w:r w:rsidR="003F49F0">
        <w:rPr>
          <w:rFonts w:ascii="Arial" w:eastAsia="Calibri" w:hAnsi="Arial" w:cs="Arial"/>
          <w:b/>
          <w:bCs/>
          <w:sz w:val="22"/>
          <w:szCs w:val="22"/>
        </w:rPr>
        <w:t>and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Duratio</w:t>
      </w:r>
      <w:r>
        <w:rPr>
          <w:rFonts w:ascii="Arial" w:eastAsia="Calibri" w:hAnsi="Arial" w:cs="Arial"/>
          <w:b/>
          <w:bCs/>
          <w:sz w:val="22"/>
          <w:szCs w:val="22"/>
        </w:rPr>
        <w:t>n</w:t>
      </w:r>
    </w:p>
    <w:p w14:paraId="49CC3BA3" w14:textId="1D96C38B" w:rsidR="00B95236" w:rsidRDefault="00F549D9" w:rsidP="00441B6F">
      <w:pPr>
        <w:pStyle w:val="Body"/>
        <w:spacing w:after="0"/>
        <w:rPr>
          <w:rFonts w:ascii="Arial" w:hAnsi="Arial" w:cs="Arial"/>
        </w:rPr>
      </w:pPr>
      <w:r w:rsidRPr="00F549D9">
        <w:rPr>
          <w:rFonts w:ascii="Arial" w:hAnsi="Arial" w:cs="Arial"/>
        </w:rPr>
        <w:t xml:space="preserve">The present investigation entitled “Evaluation of plant growth regulators on quality attributes of ginger” was carried out at the KVK, Palakkad during August 2024 to March 2025. A pot culture experiment was conducted at KVK, Palakkad, </w:t>
      </w:r>
      <w:proofErr w:type="spellStart"/>
      <w:r w:rsidRPr="00F549D9">
        <w:rPr>
          <w:rFonts w:ascii="Arial" w:hAnsi="Arial" w:cs="Arial"/>
        </w:rPr>
        <w:t>Pattambi</w:t>
      </w:r>
      <w:proofErr w:type="spellEnd"/>
      <w:r w:rsidRPr="00F549D9">
        <w:rPr>
          <w:rFonts w:ascii="Arial" w:hAnsi="Arial" w:cs="Arial"/>
        </w:rPr>
        <w:t xml:space="preserve"> (Longitude 76.1904° E, Latitude 10.8114° N) under </w:t>
      </w:r>
      <w:proofErr w:type="spellStart"/>
      <w:r w:rsidRPr="00F549D9">
        <w:rPr>
          <w:rFonts w:ascii="Arial" w:hAnsi="Arial" w:cs="Arial"/>
        </w:rPr>
        <w:t>polyhouse</w:t>
      </w:r>
      <w:proofErr w:type="spellEnd"/>
      <w:r w:rsidRPr="00F549D9">
        <w:rPr>
          <w:rFonts w:ascii="Arial" w:hAnsi="Arial" w:cs="Arial"/>
        </w:rPr>
        <w:t xml:space="preserve"> conditions. The average temperature, light intensity</w:t>
      </w:r>
      <w:r w:rsidR="003F49F0">
        <w:rPr>
          <w:rFonts w:ascii="Arial" w:hAnsi="Arial" w:cs="Arial"/>
        </w:rPr>
        <w:t xml:space="preserve"> and</w:t>
      </w:r>
      <w:r w:rsidRPr="00F549D9">
        <w:rPr>
          <w:rFonts w:ascii="Arial" w:hAnsi="Arial" w:cs="Arial"/>
        </w:rPr>
        <w:t xml:space="preserve"> humidity of the </w:t>
      </w:r>
      <w:proofErr w:type="spellStart"/>
      <w:r w:rsidRPr="00F549D9">
        <w:rPr>
          <w:rFonts w:ascii="Arial" w:hAnsi="Arial" w:cs="Arial"/>
        </w:rPr>
        <w:t>polyhouse</w:t>
      </w:r>
      <w:proofErr w:type="spellEnd"/>
      <w:r w:rsidRPr="00F549D9">
        <w:rPr>
          <w:rFonts w:ascii="Arial" w:hAnsi="Arial" w:cs="Arial"/>
        </w:rPr>
        <w:t xml:space="preserve"> were maintained at 20–30 ºC, 200 to 800 </w:t>
      </w:r>
      <w:proofErr w:type="spellStart"/>
      <w:r w:rsidRPr="00F549D9">
        <w:rPr>
          <w:rFonts w:ascii="Arial" w:hAnsi="Arial" w:cs="Arial"/>
        </w:rPr>
        <w:t>klux</w:t>
      </w:r>
      <w:proofErr w:type="spellEnd"/>
      <w:r w:rsidR="003F49F0">
        <w:rPr>
          <w:rFonts w:ascii="Arial" w:hAnsi="Arial" w:cs="Arial"/>
        </w:rPr>
        <w:t xml:space="preserve"> and</w:t>
      </w:r>
      <w:r w:rsidRPr="00F549D9">
        <w:rPr>
          <w:rFonts w:ascii="Arial" w:hAnsi="Arial" w:cs="Arial"/>
        </w:rPr>
        <w:t xml:space="preserve"> 60–70%, respectively, during the cropping period. </w:t>
      </w:r>
    </w:p>
    <w:p w14:paraId="3B18B7A1" w14:textId="77777777"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14:paraId="3880BAF3" w14:textId="0FA48BD7" w:rsidR="00F549D9" w:rsidRPr="00F549D9" w:rsidRDefault="00F549D9" w:rsidP="00F549D9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2.2 Plant material</w:t>
      </w:r>
      <w:r w:rsidR="003F49F0">
        <w:rPr>
          <w:rFonts w:ascii="Arial" w:eastAsia="Calibri" w:hAnsi="Arial" w:cs="Arial"/>
          <w:b/>
          <w:bCs/>
          <w:sz w:val="22"/>
          <w:szCs w:val="22"/>
        </w:rPr>
        <w:t xml:space="preserve"> and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Varieties </w:t>
      </w:r>
    </w:p>
    <w:p w14:paraId="6CA4D312" w14:textId="2AC07491" w:rsidR="00F549D9" w:rsidRDefault="00F549D9" w:rsidP="00441B6F">
      <w:pPr>
        <w:pStyle w:val="Body"/>
        <w:spacing w:after="0"/>
        <w:rPr>
          <w:rFonts w:ascii="Arial" w:hAnsi="Arial" w:cs="Arial"/>
        </w:rPr>
      </w:pPr>
      <w:r w:rsidRPr="00F549D9">
        <w:rPr>
          <w:rFonts w:ascii="Arial" w:hAnsi="Arial" w:cs="Arial"/>
        </w:rPr>
        <w:t xml:space="preserve">The KAU ginger variety </w:t>
      </w:r>
      <w:proofErr w:type="spellStart"/>
      <w:r w:rsidRPr="00F549D9">
        <w:rPr>
          <w:rFonts w:ascii="Arial" w:hAnsi="Arial" w:cs="Arial"/>
        </w:rPr>
        <w:t>Athira</w:t>
      </w:r>
      <w:proofErr w:type="spellEnd"/>
      <w:r w:rsidRPr="00F549D9">
        <w:rPr>
          <w:rFonts w:ascii="Arial" w:hAnsi="Arial" w:cs="Arial"/>
        </w:rPr>
        <w:t xml:space="preserve"> was transplanted as single-bud hydro</w:t>
      </w:r>
      <w:r>
        <w:rPr>
          <w:rFonts w:ascii="Arial" w:hAnsi="Arial" w:cs="Arial"/>
        </w:rPr>
        <w:t xml:space="preserve"> </w:t>
      </w:r>
      <w:r w:rsidRPr="00F549D9">
        <w:rPr>
          <w:rFonts w:ascii="Arial" w:hAnsi="Arial" w:cs="Arial"/>
        </w:rPr>
        <w:t>primed rhizomes of 5 g weight in polythene bags</w:t>
      </w:r>
      <w:r>
        <w:rPr>
          <w:rFonts w:ascii="Arial" w:hAnsi="Arial" w:cs="Arial"/>
        </w:rPr>
        <w:t>.</w:t>
      </w:r>
    </w:p>
    <w:p w14:paraId="427A9B72" w14:textId="77777777" w:rsidR="00F549D9" w:rsidRDefault="00F549D9" w:rsidP="00441B6F">
      <w:pPr>
        <w:pStyle w:val="Body"/>
        <w:spacing w:after="0"/>
        <w:rPr>
          <w:rFonts w:ascii="Arial" w:hAnsi="Arial" w:cs="Arial"/>
        </w:rPr>
      </w:pPr>
    </w:p>
    <w:p w14:paraId="1E481FBB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 xml:space="preserve">2.3 Experimental Design </w:t>
      </w:r>
    </w:p>
    <w:p w14:paraId="3343020A" w14:textId="7C496E56" w:rsidR="00F549D9" w:rsidRDefault="00F549D9" w:rsidP="00F549D9">
      <w:pPr>
        <w:pStyle w:val="Body"/>
        <w:spacing w:after="0"/>
        <w:rPr>
          <w:rFonts w:ascii="Arial" w:hAnsi="Arial" w:cs="Arial"/>
          <w:lang w:val="en-IN"/>
        </w:rPr>
      </w:pPr>
      <w:r w:rsidRPr="00F549D9">
        <w:rPr>
          <w:rFonts w:ascii="Arial" w:hAnsi="Arial" w:cs="Arial"/>
          <w:lang w:val="en-IN"/>
        </w:rPr>
        <w:t>The experiment was laid out in a Completely R</w:t>
      </w:r>
      <w:r w:rsidR="003F49F0">
        <w:rPr>
          <w:rFonts w:ascii="Arial" w:hAnsi="Arial" w:cs="Arial"/>
          <w:lang w:val="en-IN"/>
        </w:rPr>
        <w:t>and</w:t>
      </w:r>
      <w:r w:rsidRPr="00F549D9">
        <w:rPr>
          <w:rFonts w:ascii="Arial" w:hAnsi="Arial" w:cs="Arial"/>
          <w:lang w:val="en-IN"/>
        </w:rPr>
        <w:t>omized Design (CRD) with 13 treatment combinations</w:t>
      </w:r>
      <w:r w:rsidR="003F49F0">
        <w:rPr>
          <w:rFonts w:ascii="Arial" w:hAnsi="Arial" w:cs="Arial"/>
          <w:lang w:val="en-IN"/>
        </w:rPr>
        <w:t xml:space="preserve"> and</w:t>
      </w:r>
      <w:r w:rsidRPr="00F549D9">
        <w:rPr>
          <w:rFonts w:ascii="Arial" w:hAnsi="Arial" w:cs="Arial"/>
          <w:lang w:val="en-IN"/>
        </w:rPr>
        <w:t xml:space="preserve"> three replications. Four different PGRs were used in the experiment, namely </w:t>
      </w:r>
      <w:proofErr w:type="spellStart"/>
      <w:r w:rsidRPr="00F549D9">
        <w:rPr>
          <w:rFonts w:ascii="Arial" w:hAnsi="Arial" w:cs="Arial"/>
          <w:lang w:val="en-IN"/>
        </w:rPr>
        <w:t>Cycocel</w:t>
      </w:r>
      <w:proofErr w:type="spellEnd"/>
      <w:r w:rsidRPr="00F549D9">
        <w:rPr>
          <w:rFonts w:ascii="Arial" w:hAnsi="Arial" w:cs="Arial"/>
          <w:lang w:val="en-IN"/>
        </w:rPr>
        <w:t xml:space="preserve"> (CCC), Naphthalene Acetic Acid (NAA), Gibberellic Acid (GA</w:t>
      </w:r>
      <w:r w:rsidRPr="00F549D9">
        <w:rPr>
          <w:rFonts w:ascii="Cambria Math" w:hAnsi="Cambria Math" w:cs="Cambria Math"/>
          <w:lang w:val="en-IN"/>
        </w:rPr>
        <w:t>₃</w:t>
      </w:r>
      <w:r w:rsidRPr="00F549D9">
        <w:rPr>
          <w:rFonts w:ascii="Arial" w:hAnsi="Arial" w:cs="Arial"/>
          <w:lang w:val="en-IN"/>
        </w:rPr>
        <w:t>)</w:t>
      </w:r>
      <w:r w:rsidR="003F49F0">
        <w:rPr>
          <w:rFonts w:ascii="Arial" w:hAnsi="Arial" w:cs="Arial"/>
          <w:lang w:val="en-IN"/>
        </w:rPr>
        <w:t xml:space="preserve"> and</w:t>
      </w:r>
      <w:r w:rsidRPr="00F549D9">
        <w:rPr>
          <w:rFonts w:ascii="Arial" w:hAnsi="Arial" w:cs="Arial"/>
          <w:lang w:val="en-IN"/>
        </w:rPr>
        <w:t xml:space="preserve"> 6-benzyl Amino Purine (BAP), each applied at three concentrations (50 ppm, 100 ppm</w:t>
      </w:r>
      <w:r w:rsidR="003F49F0">
        <w:rPr>
          <w:rFonts w:ascii="Arial" w:hAnsi="Arial" w:cs="Arial"/>
          <w:lang w:val="en-IN"/>
        </w:rPr>
        <w:t xml:space="preserve"> and</w:t>
      </w:r>
      <w:r w:rsidRPr="00F549D9">
        <w:rPr>
          <w:rFonts w:ascii="Arial" w:hAnsi="Arial" w:cs="Arial"/>
          <w:lang w:val="en-IN"/>
        </w:rPr>
        <w:t xml:space="preserve"> 150 ppm) as foliar sprays, along with a control (water spray). The foliar applications were </w:t>
      </w:r>
      <w:r>
        <w:rPr>
          <w:rFonts w:ascii="Arial" w:hAnsi="Arial" w:cs="Arial"/>
          <w:lang w:val="en-IN"/>
        </w:rPr>
        <w:t>given</w:t>
      </w:r>
      <w:r w:rsidRPr="00F549D9">
        <w:rPr>
          <w:rFonts w:ascii="Arial" w:hAnsi="Arial" w:cs="Arial"/>
          <w:lang w:val="en-IN"/>
        </w:rPr>
        <w:t xml:space="preserve"> to ginger transplants at 90 </w:t>
      </w:r>
      <w:r w:rsidR="003F49F0">
        <w:rPr>
          <w:rFonts w:ascii="Arial" w:hAnsi="Arial" w:cs="Arial"/>
          <w:lang w:val="en-IN"/>
        </w:rPr>
        <w:t>and</w:t>
      </w:r>
      <w:r w:rsidRPr="00F549D9">
        <w:rPr>
          <w:rFonts w:ascii="Arial" w:hAnsi="Arial" w:cs="Arial"/>
          <w:lang w:val="en-IN"/>
        </w:rPr>
        <w:t xml:space="preserve"> 120 days after transplanting (DAT).</w:t>
      </w:r>
    </w:p>
    <w:p w14:paraId="4874D739" w14:textId="337F9AF9" w:rsidR="00F549D9" w:rsidRPr="00441B29" w:rsidRDefault="00F549D9" w:rsidP="00587EFA">
      <w:pPr>
        <w:pStyle w:val="Body"/>
        <w:rPr>
          <w:rFonts w:ascii="Arial" w:hAnsi="Arial" w:cs="Arial"/>
        </w:rPr>
      </w:pPr>
    </w:p>
    <w:p w14:paraId="3B4DD229" w14:textId="709E6E55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</w:t>
      </w:r>
      <w:r w:rsidR="00587EFA">
        <w:rPr>
          <w:rFonts w:ascii="Arial" w:hAnsi="Arial" w:cs="Arial"/>
          <w:b/>
          <w:bCs/>
          <w:sz w:val="22"/>
          <w:szCs w:val="22"/>
        </w:rPr>
        <w:t>4</w:t>
      </w:r>
      <w:r w:rsidRPr="00441B29">
        <w:rPr>
          <w:rFonts w:ascii="Arial" w:hAnsi="Arial" w:cs="Arial"/>
          <w:b/>
          <w:bCs/>
          <w:sz w:val="22"/>
          <w:szCs w:val="22"/>
        </w:rPr>
        <w:t xml:space="preserve"> Estimation of Protein Content in Rhizome </w:t>
      </w:r>
    </w:p>
    <w:p w14:paraId="33844EBB" w14:textId="4F6BF44D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Total soluble protein content in ginger rhizome samples was determined by the Bradford assay (</w:t>
      </w:r>
      <w:r w:rsidRPr="006958CA">
        <w:rPr>
          <w:rFonts w:ascii="Arial" w:hAnsi="Arial" w:cs="Arial"/>
        </w:rPr>
        <w:t>Bradford, 1976), using</w:t>
      </w:r>
      <w:r w:rsidRPr="00441B29">
        <w:rPr>
          <w:rFonts w:ascii="Arial" w:hAnsi="Arial" w:cs="Arial"/>
        </w:rPr>
        <w:t xml:space="preserve"> bovine serum albumin (BSA) as the reference st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 xml:space="preserve">ard. A 0.5 g plant sample was homogenized in 5 mL of ice-cold phosphate buffer (0.1 M, pH 7.0) with a chilled mortar 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 xml:space="preserve"> pestle. The homogenate was centrifuged at 10,000 rpm for 30 minutes at 4°C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</w:t>
      </w:r>
      <w:r w:rsidRPr="00441B29">
        <w:rPr>
          <w:rFonts w:ascii="Arial" w:hAnsi="Arial" w:cs="Arial"/>
        </w:rPr>
        <w:lastRenderedPageBreak/>
        <w:t>the resulting supernatant was collected for protein estimation. To 100 µL of the extract, 5 mL of Bradford reagent was added, mixed thoroughly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incubated for 10 minutes at room temperature. Absorbance was recorded at 595 nm using a UV Vis spectrophotometer. Protein concentration was quantified </w:t>
      </w:r>
      <w:r w:rsidR="00F01508">
        <w:rPr>
          <w:rFonts w:ascii="Arial" w:hAnsi="Arial" w:cs="Arial"/>
        </w:rPr>
        <w:t>by</w:t>
      </w:r>
      <w:r w:rsidRPr="00441B29">
        <w:rPr>
          <w:rFonts w:ascii="Arial" w:hAnsi="Arial" w:cs="Arial"/>
        </w:rPr>
        <w:t xml:space="preserve"> a st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>ard curve prepared with serial dilutions of BSA</w:t>
      </w:r>
      <w:r w:rsidR="00587EFA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expressed as mg/g dry weight.</w:t>
      </w:r>
    </w:p>
    <w:p w14:paraId="4B820FC9" w14:textId="32DEA41A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</w:t>
      </w:r>
      <w:r w:rsidR="00587EFA">
        <w:rPr>
          <w:rFonts w:ascii="Arial" w:hAnsi="Arial" w:cs="Arial"/>
          <w:b/>
          <w:bCs/>
          <w:sz w:val="22"/>
          <w:szCs w:val="22"/>
        </w:rPr>
        <w:t>5</w:t>
      </w:r>
      <w:r w:rsidRPr="00441B29">
        <w:rPr>
          <w:rFonts w:ascii="Arial" w:hAnsi="Arial" w:cs="Arial"/>
          <w:b/>
          <w:bCs/>
          <w:sz w:val="22"/>
          <w:szCs w:val="22"/>
        </w:rPr>
        <w:t xml:space="preserve"> Estimation of Total sugar in Rhizome</w:t>
      </w:r>
    </w:p>
    <w:p w14:paraId="24E3A651" w14:textId="4C889349" w:rsidR="00F549D9" w:rsidRPr="00F549D9" w:rsidRDefault="00F549D9" w:rsidP="00F549D9">
      <w:pPr>
        <w:pStyle w:val="Body"/>
        <w:spacing w:after="0"/>
        <w:rPr>
          <w:rFonts w:ascii="Arial" w:hAnsi="Arial" w:cs="Arial"/>
          <w:lang w:val="en-IN"/>
        </w:rPr>
      </w:pPr>
      <w:r w:rsidRPr="00441B29">
        <w:rPr>
          <w:rFonts w:ascii="Arial" w:hAnsi="Arial" w:cs="Arial"/>
        </w:rPr>
        <w:t xml:space="preserve">Total sugar content in ginger rhizome samples was determined using the </w:t>
      </w:r>
      <w:proofErr w:type="spellStart"/>
      <w:r w:rsidRPr="00441B29">
        <w:rPr>
          <w:rFonts w:ascii="Arial" w:hAnsi="Arial" w:cs="Arial"/>
        </w:rPr>
        <w:t>Anthrone</w:t>
      </w:r>
      <w:proofErr w:type="spellEnd"/>
      <w:r w:rsidRPr="00441B29">
        <w:rPr>
          <w:rFonts w:ascii="Arial" w:hAnsi="Arial" w:cs="Arial"/>
        </w:rPr>
        <w:t xml:space="preserve"> method </w:t>
      </w:r>
      <w:r w:rsidRPr="00B84B10">
        <w:rPr>
          <w:rFonts w:ascii="Arial" w:hAnsi="Arial" w:cs="Arial"/>
        </w:rPr>
        <w:t>(Hedge</w:t>
      </w:r>
      <w:r w:rsidR="00587EFA" w:rsidRPr="00B84B10">
        <w:rPr>
          <w:rFonts w:ascii="Arial" w:hAnsi="Arial" w:cs="Arial"/>
        </w:rPr>
        <w:t xml:space="preserve"> and</w:t>
      </w:r>
      <w:r w:rsidRPr="00B84B10">
        <w:rPr>
          <w:rFonts w:ascii="Arial" w:hAnsi="Arial" w:cs="Arial"/>
        </w:rPr>
        <w:t xml:space="preserve"> </w:t>
      </w:r>
      <w:proofErr w:type="spellStart"/>
      <w:r w:rsidRPr="00B84B10">
        <w:rPr>
          <w:rFonts w:ascii="Arial" w:hAnsi="Arial" w:cs="Arial"/>
        </w:rPr>
        <w:t>Hofreiter</w:t>
      </w:r>
      <w:proofErr w:type="spellEnd"/>
      <w:r w:rsidRPr="00B84B10">
        <w:rPr>
          <w:rFonts w:ascii="Arial" w:hAnsi="Arial" w:cs="Arial"/>
        </w:rPr>
        <w:t>, 1962).</w:t>
      </w:r>
      <w:r w:rsidRPr="00441B29">
        <w:rPr>
          <w:rFonts w:ascii="Arial" w:hAnsi="Arial" w:cs="Arial"/>
        </w:rPr>
        <w:t xml:space="preserve"> Precisely 100 mg of dried powdered tissue was hydrolyzed with 5 mL of 2.5 N HCl in a boiling water bath for 3 hours to convert polysaccharides into simple sugars. After cooling, the hydrolysate was neutralized with solid sodium carbonate until effervescence stopped, filtered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the volume was adjusted to 100 mL with distilled water before centrifugation. From the clear solution, </w:t>
      </w:r>
      <w:r w:rsidR="00F01508">
        <w:rPr>
          <w:rFonts w:ascii="Arial" w:hAnsi="Arial" w:cs="Arial"/>
        </w:rPr>
        <w:t xml:space="preserve">a </w:t>
      </w:r>
      <w:r w:rsidRPr="00441B29">
        <w:rPr>
          <w:rFonts w:ascii="Arial" w:hAnsi="Arial" w:cs="Arial"/>
        </w:rPr>
        <w:t xml:space="preserve">1 mL aliquot was mixed with 4 mL of freshly prepared </w:t>
      </w:r>
      <w:proofErr w:type="spellStart"/>
      <w:r w:rsidRPr="00441B29">
        <w:rPr>
          <w:rFonts w:ascii="Arial" w:hAnsi="Arial" w:cs="Arial"/>
        </w:rPr>
        <w:t>Anthrone</w:t>
      </w:r>
      <w:proofErr w:type="spellEnd"/>
      <w:r w:rsidRPr="00441B29">
        <w:rPr>
          <w:rFonts w:ascii="Arial" w:hAnsi="Arial" w:cs="Arial"/>
        </w:rPr>
        <w:t xml:space="preserve"> reagent (0.2% </w:t>
      </w:r>
      <w:proofErr w:type="spellStart"/>
      <w:r w:rsidRPr="00441B29">
        <w:rPr>
          <w:rFonts w:ascii="Arial" w:hAnsi="Arial" w:cs="Arial"/>
        </w:rPr>
        <w:t>Anthrone</w:t>
      </w:r>
      <w:proofErr w:type="spellEnd"/>
      <w:r w:rsidRPr="00441B29">
        <w:rPr>
          <w:rFonts w:ascii="Arial" w:hAnsi="Arial" w:cs="Arial"/>
        </w:rPr>
        <w:t xml:space="preserve"> in concentrated H</w:t>
      </w:r>
      <w:r w:rsidRPr="00441B29">
        <w:rPr>
          <w:rFonts w:ascii="Cambria Math" w:hAnsi="Cambria Math" w:cs="Cambria Math"/>
        </w:rPr>
        <w:t>₂</w:t>
      </w:r>
      <w:r w:rsidRPr="00441B29">
        <w:rPr>
          <w:rFonts w:ascii="Arial" w:hAnsi="Arial" w:cs="Arial"/>
        </w:rPr>
        <w:t>SO</w:t>
      </w:r>
      <w:r w:rsidRPr="00441B29">
        <w:rPr>
          <w:rFonts w:ascii="Cambria Math" w:hAnsi="Cambria Math" w:cs="Cambria Math"/>
        </w:rPr>
        <w:t>₄</w:t>
      </w:r>
      <w:r w:rsidRPr="00441B29">
        <w:rPr>
          <w:rFonts w:ascii="Arial" w:hAnsi="Arial" w:cs="Arial"/>
        </w:rPr>
        <w:t>). The mixture was boiled for 8 minutes, cooled rapidly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absorbance was recorded at 630 nm using a spectrophotometer. A glucose st</w:t>
      </w:r>
      <w:r w:rsidR="003F49F0">
        <w:rPr>
          <w:rFonts w:ascii="Arial" w:hAnsi="Arial" w:cs="Arial"/>
        </w:rPr>
        <w:t>and</w:t>
      </w:r>
      <w:r w:rsidRPr="00441B29">
        <w:rPr>
          <w:rFonts w:ascii="Arial" w:hAnsi="Arial" w:cs="Arial"/>
        </w:rPr>
        <w:t>ard curve was used for calibration</w:t>
      </w:r>
      <w:r w:rsidR="003F49F0">
        <w:rPr>
          <w:rFonts w:ascii="Arial" w:hAnsi="Arial" w:cs="Arial"/>
        </w:rPr>
        <w:t xml:space="preserve"> and</w:t>
      </w:r>
      <w:r w:rsidRPr="00441B29">
        <w:rPr>
          <w:rFonts w:ascii="Arial" w:hAnsi="Arial" w:cs="Arial"/>
        </w:rPr>
        <w:t xml:space="preserve"> results were expressed as mg/g dry weight</w:t>
      </w:r>
      <w:r>
        <w:rPr>
          <w:rFonts w:ascii="Arial" w:hAnsi="Arial" w:cs="Arial"/>
        </w:rPr>
        <w:t>.</w:t>
      </w:r>
    </w:p>
    <w:p w14:paraId="735C0630" w14:textId="77777777" w:rsidR="00F549D9" w:rsidRDefault="00F549D9" w:rsidP="00441B6F">
      <w:pPr>
        <w:pStyle w:val="Body"/>
        <w:spacing w:after="0"/>
        <w:rPr>
          <w:rFonts w:ascii="Arial" w:hAnsi="Arial" w:cs="Arial"/>
        </w:rPr>
      </w:pPr>
    </w:p>
    <w:p w14:paraId="1A91FC6F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2.6 Estimation of oil yield in Rhizome</w:t>
      </w:r>
    </w:p>
    <w:p w14:paraId="6D8DDB47" w14:textId="0F085C71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 xml:space="preserve">The content of volatile oil was estimated after harvest by Clevenger distillation method </w:t>
      </w:r>
      <w:r w:rsidRPr="00F52BB8">
        <w:rPr>
          <w:rFonts w:ascii="Arial" w:hAnsi="Arial" w:cs="Arial"/>
        </w:rPr>
        <w:t>(Pruthi,1989)</w:t>
      </w:r>
      <w:r w:rsidR="00587EFA" w:rsidRPr="00F52BB8">
        <w:rPr>
          <w:rFonts w:ascii="Arial" w:hAnsi="Arial" w:cs="Arial"/>
        </w:rPr>
        <w:t xml:space="preserve"> and</w:t>
      </w:r>
      <w:r w:rsidRPr="00F52BB8">
        <w:rPr>
          <w:rFonts w:ascii="Arial" w:hAnsi="Arial" w:cs="Arial"/>
        </w:rPr>
        <w:t xml:space="preserve"> mean</w:t>
      </w:r>
      <w:r w:rsidRPr="00441B29">
        <w:rPr>
          <w:rFonts w:ascii="Arial" w:hAnsi="Arial" w:cs="Arial"/>
        </w:rPr>
        <w:t xml:space="preserve"> value </w:t>
      </w:r>
      <w:r w:rsidR="00F01508">
        <w:rPr>
          <w:rFonts w:ascii="Arial" w:hAnsi="Arial" w:cs="Arial"/>
        </w:rPr>
        <w:t xml:space="preserve">was </w:t>
      </w:r>
      <w:r w:rsidRPr="00441B29">
        <w:rPr>
          <w:rFonts w:ascii="Arial" w:hAnsi="Arial" w:cs="Arial"/>
        </w:rPr>
        <w:t>expressed as percentage(v/w) on dry weight basis.</w:t>
      </w:r>
    </w:p>
    <w:p w14:paraId="76223265" w14:textId="77777777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Percentage of volatile oil (v/w) = (Volume of oil (ml)/ Weight of sample (g)) × 100</w:t>
      </w:r>
    </w:p>
    <w:p w14:paraId="22BDBC79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2.7 Estimation of oleoresin yield in Rhizome</w:t>
      </w:r>
    </w:p>
    <w:p w14:paraId="63F42780" w14:textId="77777777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Finely ground powder of dried rhizome was used for estimating oleoresin. The method adopted was solvent extraction using Soxhlet apparatus. The content was expressed in percentage (v/w) on dry weight basis.</w:t>
      </w:r>
    </w:p>
    <w:p w14:paraId="289C4686" w14:textId="77777777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Percentage of oleoresin (v/w) = (Volume of extract (ml)/ Weight of sample (g)) × 100</w:t>
      </w:r>
    </w:p>
    <w:p w14:paraId="0E4A412C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2.8 Cultural Practices</w:t>
      </w:r>
    </w:p>
    <w:p w14:paraId="51B2FB31" w14:textId="7FAF1B64" w:rsidR="00F549D9" w:rsidRPr="00441B2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Cultural practices were followed uniformly for</w:t>
      </w:r>
      <w:r w:rsidR="00644F1C">
        <w:rPr>
          <w:rFonts w:ascii="Arial" w:hAnsi="Arial" w:cs="Arial"/>
        </w:rPr>
        <w:t xml:space="preserve"> </w:t>
      </w:r>
      <w:r w:rsidRPr="00441B29">
        <w:rPr>
          <w:rFonts w:ascii="Arial" w:hAnsi="Arial" w:cs="Arial"/>
        </w:rPr>
        <w:t xml:space="preserve">all treatments as per Kerala Agricultural University Package of practices </w:t>
      </w:r>
      <w:r w:rsidRPr="00B84B10">
        <w:rPr>
          <w:rFonts w:ascii="Arial" w:hAnsi="Arial" w:cs="Arial"/>
        </w:rPr>
        <w:t>(KAU, 2024).</w:t>
      </w:r>
    </w:p>
    <w:p w14:paraId="5A5B6835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 xml:space="preserve">2.9 Data collection </w:t>
      </w:r>
    </w:p>
    <w:p w14:paraId="7FB9982F" w14:textId="2956B942" w:rsidR="00F549D9" w:rsidRDefault="00F549D9" w:rsidP="00F549D9">
      <w:pPr>
        <w:pStyle w:val="Body"/>
        <w:rPr>
          <w:rFonts w:ascii="Arial" w:hAnsi="Arial" w:cs="Arial"/>
        </w:rPr>
      </w:pPr>
      <w:r w:rsidRPr="00441B29">
        <w:rPr>
          <w:rFonts w:ascii="Arial" w:hAnsi="Arial" w:cs="Arial"/>
        </w:rPr>
        <w:t>The</w:t>
      </w:r>
      <w:r w:rsidR="00E530D4" w:rsidRPr="00E530D4">
        <w:rPr>
          <w:rFonts w:ascii="Arial" w:hAnsi="Arial" w:cs="Arial"/>
        </w:rPr>
        <w:t xml:space="preserve"> quality parameters were recorded after harvest using powdered ginger. Harvested rhizomes were thoroughly cleaned, dried</w:t>
      </w:r>
      <w:r w:rsidR="003F49F0">
        <w:rPr>
          <w:rFonts w:ascii="Arial" w:hAnsi="Arial" w:cs="Arial"/>
        </w:rPr>
        <w:t xml:space="preserve"> and</w:t>
      </w:r>
      <w:r w:rsidR="00E530D4" w:rsidRPr="00E530D4">
        <w:rPr>
          <w:rFonts w:ascii="Arial" w:hAnsi="Arial" w:cs="Arial"/>
        </w:rPr>
        <w:t xml:space="preserve"> ground into powder before recording the observations. </w:t>
      </w:r>
    </w:p>
    <w:p w14:paraId="09FFBB45" w14:textId="77777777" w:rsidR="00F549D9" w:rsidRPr="00441B29" w:rsidRDefault="00F549D9" w:rsidP="00F549D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441B29">
        <w:rPr>
          <w:rFonts w:ascii="Arial" w:hAnsi="Arial" w:cs="Arial"/>
          <w:b/>
          <w:bCs/>
          <w:sz w:val="22"/>
          <w:szCs w:val="22"/>
        </w:rPr>
        <w:t>2.10 Statistical Analysis</w:t>
      </w:r>
    </w:p>
    <w:p w14:paraId="4B627E0B" w14:textId="3B316D04" w:rsidR="00E66E10" w:rsidRPr="00F549D9" w:rsidRDefault="00F549D9" w:rsidP="00441B6F">
      <w:pPr>
        <w:pStyle w:val="Body"/>
        <w:spacing w:after="0"/>
        <w:rPr>
          <w:rFonts w:ascii="Arial" w:hAnsi="Arial" w:cs="Arial"/>
        </w:rPr>
      </w:pPr>
      <w:r w:rsidRPr="00441B29">
        <w:rPr>
          <w:rFonts w:ascii="Arial" w:hAnsi="Arial" w:cs="Arial"/>
        </w:rPr>
        <w:t xml:space="preserve">The data were subjected to analysis of variance (ANOVA) as per the procedure of </w:t>
      </w:r>
      <w:r w:rsidRPr="006958CA">
        <w:rPr>
          <w:rFonts w:ascii="Arial" w:hAnsi="Arial" w:cs="Arial"/>
        </w:rPr>
        <w:t>Gomez</w:t>
      </w:r>
      <w:r w:rsidR="00587EFA" w:rsidRPr="006958CA">
        <w:rPr>
          <w:rFonts w:ascii="Arial" w:hAnsi="Arial" w:cs="Arial"/>
        </w:rPr>
        <w:t xml:space="preserve"> and</w:t>
      </w:r>
      <w:r w:rsidRPr="006958CA">
        <w:rPr>
          <w:rFonts w:ascii="Arial" w:hAnsi="Arial" w:cs="Arial"/>
        </w:rPr>
        <w:t xml:space="preserve"> Gomez (1984) for Completely R</w:t>
      </w:r>
      <w:r w:rsidR="003F49F0" w:rsidRPr="006958CA">
        <w:rPr>
          <w:rFonts w:ascii="Arial" w:hAnsi="Arial" w:cs="Arial"/>
        </w:rPr>
        <w:t>and</w:t>
      </w:r>
      <w:r w:rsidRPr="006958CA">
        <w:rPr>
          <w:rFonts w:ascii="Arial" w:hAnsi="Arial" w:cs="Arial"/>
        </w:rPr>
        <w:t>omized Design. Critical Difference (CD) v</w:t>
      </w:r>
      <w:r w:rsidRPr="00441B29">
        <w:rPr>
          <w:rFonts w:ascii="Arial" w:hAnsi="Arial" w:cs="Arial"/>
        </w:rPr>
        <w:t>alues were calculated at 5% level of significance for comparing treatment.</w:t>
      </w:r>
    </w:p>
    <w:p w14:paraId="1C8A3C79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672D8292" w14:textId="28010FC2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</w:t>
      </w:r>
      <w:r w:rsidR="003F49F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discussion</w:t>
      </w:r>
    </w:p>
    <w:p w14:paraId="57F70B48" w14:textId="77777777" w:rsidR="00790ADA" w:rsidRPr="00FB3A86" w:rsidRDefault="00790ADA" w:rsidP="00441B6F">
      <w:pPr>
        <w:pStyle w:val="Head1"/>
        <w:spacing w:after="0"/>
        <w:jc w:val="both"/>
        <w:rPr>
          <w:rFonts w:ascii="Arial" w:hAnsi="Arial" w:cs="Arial"/>
        </w:rPr>
      </w:pPr>
    </w:p>
    <w:p w14:paraId="3B78A6BE" w14:textId="40AEED72" w:rsidR="00B95236" w:rsidRDefault="00F549D9" w:rsidP="00441B6F">
      <w:pPr>
        <w:pStyle w:val="Body"/>
        <w:spacing w:after="0"/>
        <w:rPr>
          <w:rFonts w:ascii="Arial" w:hAnsi="Arial" w:cs="Arial"/>
        </w:rPr>
      </w:pPr>
      <w:r w:rsidRPr="00441B29">
        <w:rPr>
          <w:rFonts w:ascii="Arial" w:hAnsi="Arial" w:cs="Arial"/>
        </w:rPr>
        <w:t xml:space="preserve">Evaluation of different plant growth regulators on ginger was undertaken to evaluate its effect on </w:t>
      </w:r>
      <w:r w:rsidR="00587EFA">
        <w:rPr>
          <w:rFonts w:ascii="Arial" w:hAnsi="Arial" w:cs="Arial"/>
        </w:rPr>
        <w:t>quality</w:t>
      </w:r>
      <w:r w:rsidRPr="00441B29">
        <w:rPr>
          <w:rFonts w:ascii="Arial" w:hAnsi="Arial" w:cs="Arial"/>
        </w:rPr>
        <w:t xml:space="preserve"> attributes were presented in </w:t>
      </w:r>
      <w:r w:rsidR="00C87D98">
        <w:rPr>
          <w:rFonts w:ascii="Arial" w:hAnsi="Arial" w:cs="Arial"/>
        </w:rPr>
        <w:t>T</w:t>
      </w:r>
      <w:r w:rsidRPr="00441B29">
        <w:rPr>
          <w:rFonts w:ascii="Arial" w:hAnsi="Arial" w:cs="Arial"/>
        </w:rPr>
        <w:t>able 1</w:t>
      </w:r>
      <w:r w:rsidR="00C87D98">
        <w:rPr>
          <w:rFonts w:ascii="Arial" w:hAnsi="Arial" w:cs="Arial"/>
        </w:rPr>
        <w:t>.</w:t>
      </w:r>
    </w:p>
    <w:p w14:paraId="68B36A38" w14:textId="77777777" w:rsidR="003240D8" w:rsidRDefault="003240D8" w:rsidP="00441B6F">
      <w:pPr>
        <w:pStyle w:val="Body"/>
        <w:spacing w:after="0"/>
        <w:rPr>
          <w:rFonts w:ascii="Arial" w:hAnsi="Arial" w:cs="Arial"/>
        </w:rPr>
      </w:pPr>
    </w:p>
    <w:p w14:paraId="53C86DD9" w14:textId="5DD4671C" w:rsidR="00BB5A18" w:rsidRPr="00441B29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>1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Total soluble protein </w:t>
      </w:r>
    </w:p>
    <w:p w14:paraId="4B2B011D" w14:textId="1CAC1780" w:rsidR="00BB5A18" w:rsidRDefault="0029137C" w:rsidP="00BB5A18">
      <w:pPr>
        <w:pStyle w:val="Body"/>
        <w:rPr>
          <w:rFonts w:ascii="Arial" w:eastAsia="Calibri" w:hAnsi="Arial" w:cs="Arial"/>
          <w:szCs w:val="22"/>
        </w:rPr>
      </w:pPr>
      <w:r w:rsidRPr="0029137C">
        <w:rPr>
          <w:rFonts w:ascii="Arial" w:eastAsia="Calibri" w:hAnsi="Arial" w:cs="Arial"/>
          <w:szCs w:val="22"/>
        </w:rPr>
        <w:t xml:space="preserve">As shown in Table </w:t>
      </w:r>
      <w:r w:rsidR="00134992">
        <w:rPr>
          <w:rFonts w:ascii="Arial" w:eastAsia="Calibri" w:hAnsi="Arial" w:cs="Arial"/>
          <w:szCs w:val="22"/>
        </w:rPr>
        <w:t>1</w:t>
      </w:r>
      <w:r>
        <w:rPr>
          <w:rFonts w:ascii="Arial" w:eastAsia="Calibri" w:hAnsi="Arial" w:cs="Arial"/>
          <w:szCs w:val="22"/>
        </w:rPr>
        <w:t>,</w:t>
      </w:r>
      <w:r w:rsidR="00E530D4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t</w:t>
      </w:r>
      <w:r w:rsidR="00BB5A18" w:rsidRPr="00441B29">
        <w:rPr>
          <w:rFonts w:ascii="Arial" w:eastAsia="Calibri" w:hAnsi="Arial" w:cs="Arial"/>
          <w:szCs w:val="22"/>
        </w:rPr>
        <w:t>he highest protein content (23.65 mg/g) was observed in Naphthalene acetic acid at 150 ppm, followed by Naphthalene acetic acid at 100 ppm (22.90 mg/g)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Gibberellin at 150 ppm (21.89 mg/g). The lowest protein content (17.53</w:t>
      </w:r>
      <w:r w:rsidR="00E530D4">
        <w:rPr>
          <w:rFonts w:ascii="Arial" w:eastAsia="Calibri" w:hAnsi="Arial" w:cs="Arial"/>
          <w:szCs w:val="22"/>
        </w:rPr>
        <w:t xml:space="preserve"> </w:t>
      </w:r>
      <w:r w:rsidR="00BB5A18" w:rsidRPr="00441B29">
        <w:rPr>
          <w:rFonts w:ascii="Arial" w:eastAsia="Calibri" w:hAnsi="Arial" w:cs="Arial"/>
          <w:szCs w:val="22"/>
        </w:rPr>
        <w:t>mg/g) was recorded in the Control. Previous studies have also reported that exogenous application of auxins, particularly NAA, enhances protein synthesis by increasing the activity of enzymes involved in nitrogen assimilation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by improving the translocation of assimilates </w:t>
      </w:r>
      <w:r w:rsidR="00BB5A18" w:rsidRPr="00D876BA">
        <w:rPr>
          <w:rFonts w:ascii="Arial" w:eastAsia="Calibri" w:hAnsi="Arial" w:cs="Arial"/>
          <w:szCs w:val="22"/>
        </w:rPr>
        <w:t>(Venugopal</w:t>
      </w:r>
      <w:r w:rsidR="00587EFA" w:rsidRPr="00D876BA">
        <w:rPr>
          <w:rFonts w:ascii="Arial" w:eastAsia="Calibri" w:hAnsi="Arial" w:cs="Arial"/>
          <w:szCs w:val="22"/>
        </w:rPr>
        <w:t xml:space="preserve"> and</w:t>
      </w:r>
      <w:r w:rsidR="00BB5A18" w:rsidRPr="00D876BA">
        <w:rPr>
          <w:rFonts w:ascii="Arial" w:eastAsia="Calibri" w:hAnsi="Arial" w:cs="Arial"/>
          <w:szCs w:val="22"/>
        </w:rPr>
        <w:t xml:space="preserve"> </w:t>
      </w:r>
      <w:proofErr w:type="spellStart"/>
      <w:r w:rsidR="00BB5A18" w:rsidRPr="00D876BA">
        <w:rPr>
          <w:rFonts w:ascii="Arial" w:eastAsia="Calibri" w:hAnsi="Arial" w:cs="Arial"/>
          <w:szCs w:val="22"/>
        </w:rPr>
        <w:t>Pariari</w:t>
      </w:r>
      <w:proofErr w:type="spellEnd"/>
      <w:r w:rsidR="00BB5A18" w:rsidRPr="00D876BA">
        <w:rPr>
          <w:rFonts w:ascii="Arial" w:eastAsia="Calibri" w:hAnsi="Arial" w:cs="Arial"/>
          <w:szCs w:val="22"/>
        </w:rPr>
        <w:t>, 2017). Similarly, gibberellins promote protein accumulation by stimulating RNA</w:t>
      </w:r>
      <w:r w:rsidR="00587EFA" w:rsidRPr="00D876BA">
        <w:rPr>
          <w:rFonts w:ascii="Arial" w:eastAsia="Calibri" w:hAnsi="Arial" w:cs="Arial"/>
          <w:szCs w:val="22"/>
        </w:rPr>
        <w:t xml:space="preserve"> and</w:t>
      </w:r>
      <w:r w:rsidR="00BB5A18" w:rsidRPr="00D876BA">
        <w:rPr>
          <w:rFonts w:ascii="Arial" w:eastAsia="Calibri" w:hAnsi="Arial" w:cs="Arial"/>
          <w:szCs w:val="22"/>
        </w:rPr>
        <w:t xml:space="preserve"> enzyme synthesis, which were directly linked to protein</w:t>
      </w:r>
      <w:r w:rsidR="00BB5A18" w:rsidRPr="00441B29">
        <w:rPr>
          <w:rFonts w:ascii="Arial" w:eastAsia="Calibri" w:hAnsi="Arial" w:cs="Arial"/>
          <w:szCs w:val="22"/>
        </w:rPr>
        <w:t xml:space="preserve"> biosynthesis. </w:t>
      </w:r>
      <w:r w:rsidR="00BB5A18" w:rsidRPr="009E4772">
        <w:rPr>
          <w:rFonts w:ascii="Arial" w:eastAsia="Calibri" w:hAnsi="Arial" w:cs="Arial"/>
          <w:szCs w:val="22"/>
        </w:rPr>
        <w:t xml:space="preserve">(Hassan </w:t>
      </w:r>
      <w:r w:rsidR="00BB5A18" w:rsidRPr="009E4772">
        <w:rPr>
          <w:rFonts w:ascii="Arial" w:eastAsia="Calibri" w:hAnsi="Arial" w:cs="Arial"/>
          <w:i/>
          <w:iCs/>
          <w:szCs w:val="22"/>
        </w:rPr>
        <w:t>et al</w:t>
      </w:r>
      <w:r w:rsidR="00BB5A18" w:rsidRPr="009E4772">
        <w:rPr>
          <w:rFonts w:ascii="Arial" w:eastAsia="Calibri" w:hAnsi="Arial" w:cs="Arial"/>
          <w:szCs w:val="22"/>
        </w:rPr>
        <w:t>., 2022)</w:t>
      </w:r>
      <w:r w:rsidR="00BB5A18">
        <w:rPr>
          <w:rFonts w:ascii="Arial" w:eastAsia="Calibri" w:hAnsi="Arial" w:cs="Arial"/>
          <w:szCs w:val="22"/>
        </w:rPr>
        <w:t xml:space="preserve"> </w:t>
      </w:r>
      <w:r w:rsidR="00BB5A18" w:rsidRPr="00441B29">
        <w:rPr>
          <w:rFonts w:ascii="Arial" w:eastAsia="Calibri" w:hAnsi="Arial" w:cs="Arial"/>
          <w:szCs w:val="22"/>
        </w:rPr>
        <w:t>report</w:t>
      </w:r>
      <w:r w:rsidR="00BB5A18">
        <w:rPr>
          <w:rFonts w:ascii="Arial" w:eastAsia="Calibri" w:hAnsi="Arial" w:cs="Arial"/>
          <w:szCs w:val="22"/>
        </w:rPr>
        <w:t xml:space="preserve">ed that </w:t>
      </w:r>
      <w:r w:rsidR="00BB5A18" w:rsidRPr="00441B29">
        <w:rPr>
          <w:rFonts w:ascii="Arial" w:eastAsia="Calibri" w:hAnsi="Arial" w:cs="Arial"/>
          <w:szCs w:val="22"/>
        </w:rPr>
        <w:t>leguminous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cereal crops, GA</w:t>
      </w:r>
      <w:r w:rsidR="00BB5A18" w:rsidRPr="00441B29">
        <w:rPr>
          <w:rFonts w:ascii="Cambria Math" w:eastAsia="Calibri" w:hAnsi="Cambria Math" w:cs="Cambria Math"/>
          <w:szCs w:val="22"/>
        </w:rPr>
        <w:t>₃</w:t>
      </w:r>
      <w:r w:rsidR="00BB5A18" w:rsidRPr="00441B29">
        <w:rPr>
          <w:rFonts w:ascii="Arial" w:eastAsia="Calibri" w:hAnsi="Arial" w:cs="Arial"/>
          <w:szCs w:val="22"/>
        </w:rPr>
        <w:t xml:space="preserve"> treatments significantly increased soluble protein levels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improved metabolic efficiency under both normal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441B29">
        <w:rPr>
          <w:rFonts w:ascii="Arial" w:eastAsia="Calibri" w:hAnsi="Arial" w:cs="Arial"/>
          <w:szCs w:val="22"/>
        </w:rPr>
        <w:t xml:space="preserve"> stress conditions</w:t>
      </w:r>
      <w:r w:rsidR="00BB5A18">
        <w:rPr>
          <w:rFonts w:ascii="Arial" w:eastAsia="Calibri" w:hAnsi="Arial" w:cs="Arial"/>
          <w:szCs w:val="22"/>
        </w:rPr>
        <w:t>.</w:t>
      </w:r>
    </w:p>
    <w:p w14:paraId="66BEC09C" w14:textId="282A1248" w:rsidR="00BB5A18" w:rsidRPr="00596B47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596B47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>2</w:t>
      </w:r>
      <w:r w:rsidRPr="00596B47">
        <w:rPr>
          <w:rFonts w:ascii="Arial" w:eastAsia="Calibri" w:hAnsi="Arial" w:cs="Arial"/>
          <w:b/>
          <w:bCs/>
          <w:sz w:val="22"/>
          <w:szCs w:val="22"/>
        </w:rPr>
        <w:t xml:space="preserve"> Total sugar </w:t>
      </w:r>
    </w:p>
    <w:p w14:paraId="156542B9" w14:textId="4B3C311B" w:rsidR="00BB5A18" w:rsidRDefault="0029137C" w:rsidP="00BB5A18">
      <w:pPr>
        <w:pStyle w:val="Body"/>
        <w:rPr>
          <w:rFonts w:ascii="Arial" w:eastAsia="Calibri" w:hAnsi="Arial" w:cs="Arial"/>
          <w:szCs w:val="22"/>
        </w:rPr>
      </w:pPr>
      <w:r w:rsidRPr="0029137C">
        <w:rPr>
          <w:rFonts w:ascii="Arial" w:eastAsia="Calibri" w:hAnsi="Arial" w:cs="Arial"/>
          <w:szCs w:val="22"/>
        </w:rPr>
        <w:t xml:space="preserve">The data on </w:t>
      </w:r>
      <w:r>
        <w:rPr>
          <w:rFonts w:ascii="Arial" w:eastAsia="Calibri" w:hAnsi="Arial" w:cs="Arial"/>
          <w:szCs w:val="22"/>
        </w:rPr>
        <w:t>quality</w:t>
      </w:r>
      <w:r w:rsidRPr="0029137C">
        <w:rPr>
          <w:rFonts w:ascii="Arial" w:eastAsia="Calibri" w:hAnsi="Arial" w:cs="Arial"/>
          <w:szCs w:val="22"/>
        </w:rPr>
        <w:t xml:space="preserve"> parameters are presented in Table </w:t>
      </w:r>
      <w:r w:rsidR="000F0CA3">
        <w:rPr>
          <w:rFonts w:ascii="Arial" w:eastAsia="Calibri" w:hAnsi="Arial" w:cs="Arial"/>
          <w:szCs w:val="22"/>
        </w:rPr>
        <w:t>1</w:t>
      </w:r>
      <w:r>
        <w:rPr>
          <w:rFonts w:ascii="Arial" w:eastAsia="Calibri" w:hAnsi="Arial" w:cs="Arial"/>
          <w:szCs w:val="22"/>
        </w:rPr>
        <w:t>,</w:t>
      </w:r>
      <w:r w:rsidR="00E530D4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t</w:t>
      </w:r>
      <w:r w:rsidR="00BB5A18" w:rsidRPr="00BB5A18">
        <w:rPr>
          <w:rFonts w:ascii="Arial" w:eastAsia="Calibri" w:hAnsi="Arial" w:cs="Arial"/>
          <w:szCs w:val="22"/>
        </w:rPr>
        <w:t xml:space="preserve">he highest total sugar content (90.01 mg/g) was recorded in </w:t>
      </w:r>
      <w:proofErr w:type="spellStart"/>
      <w:r w:rsidR="00BB5A18" w:rsidRPr="00BB5A18">
        <w:rPr>
          <w:rFonts w:ascii="Arial" w:eastAsia="Calibri" w:hAnsi="Arial" w:cs="Arial"/>
          <w:szCs w:val="22"/>
        </w:rPr>
        <w:t>Cycocel</w:t>
      </w:r>
      <w:proofErr w:type="spellEnd"/>
      <w:r w:rsidR="00BB5A18" w:rsidRPr="00BB5A18">
        <w:rPr>
          <w:rFonts w:ascii="Arial" w:eastAsia="Calibri" w:hAnsi="Arial" w:cs="Arial"/>
          <w:szCs w:val="22"/>
        </w:rPr>
        <w:t xml:space="preserve"> at 150 ppm, followed by </w:t>
      </w:r>
      <w:proofErr w:type="spellStart"/>
      <w:r w:rsidR="00BB5A18" w:rsidRPr="00BB5A18">
        <w:rPr>
          <w:rFonts w:ascii="Arial" w:eastAsia="Calibri" w:hAnsi="Arial" w:cs="Arial"/>
          <w:szCs w:val="22"/>
        </w:rPr>
        <w:t>Cycocel</w:t>
      </w:r>
      <w:proofErr w:type="spellEnd"/>
      <w:r w:rsidR="00BB5A18" w:rsidRPr="00BB5A18">
        <w:rPr>
          <w:rFonts w:ascii="Arial" w:eastAsia="Calibri" w:hAnsi="Arial" w:cs="Arial"/>
          <w:szCs w:val="22"/>
        </w:rPr>
        <w:t xml:space="preserve"> at 100 ppm (88.98 mg/g)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</w:t>
      </w:r>
      <w:r w:rsidR="000F0CA3">
        <w:rPr>
          <w:rFonts w:ascii="Arial" w:eastAsia="Calibri" w:hAnsi="Arial" w:cs="Arial"/>
          <w:szCs w:val="22"/>
        </w:rPr>
        <w:t>NAA</w:t>
      </w:r>
      <w:r w:rsidR="00BB5A18" w:rsidRPr="00BB5A18">
        <w:rPr>
          <w:rFonts w:ascii="Arial" w:eastAsia="Calibri" w:hAnsi="Arial" w:cs="Arial"/>
          <w:szCs w:val="22"/>
        </w:rPr>
        <w:t xml:space="preserve"> at 150 ppm (88.07 mg/g). The lowest sugar content (82.65 mg/g) was found in the Control, which was significantly lower than the other treatments. CCC’s influence on sugar metabolism is both concentration-sensitive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linked to its role as a gibberellin biosynthesis inhibitor.</w:t>
      </w:r>
      <w:r w:rsidR="00BB5A18">
        <w:rPr>
          <w:rFonts w:ascii="Arial" w:eastAsia="Calibri" w:hAnsi="Arial" w:cs="Arial"/>
          <w:szCs w:val="22"/>
        </w:rPr>
        <w:t xml:space="preserve"> </w:t>
      </w:r>
      <w:r w:rsidR="00596B47" w:rsidRPr="00BB5A18">
        <w:rPr>
          <w:rFonts w:ascii="Arial" w:eastAsia="Calibri" w:hAnsi="Arial" w:cs="Arial"/>
          <w:szCs w:val="22"/>
        </w:rPr>
        <w:t>Similar</w:t>
      </w:r>
      <w:r w:rsidR="00BB5A18" w:rsidRPr="00BB5A18">
        <w:rPr>
          <w:rFonts w:ascii="Arial" w:eastAsia="Calibri" w:hAnsi="Arial" w:cs="Arial"/>
          <w:szCs w:val="22"/>
        </w:rPr>
        <w:t xml:space="preserve"> studies shown that by restricting vegetative growth, CCC reduces competitive sink dem</w:t>
      </w:r>
      <w:r w:rsidR="003F49F0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from elongating shoots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reallocates assimilates toward storage organs, leading to higher sugar accumulation in ginger (Venugopal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</w:t>
      </w:r>
      <w:proofErr w:type="spellStart"/>
      <w:r w:rsidR="00BB5A18" w:rsidRPr="00BB5A18">
        <w:rPr>
          <w:rFonts w:ascii="Arial" w:eastAsia="Calibri" w:hAnsi="Arial" w:cs="Arial"/>
          <w:szCs w:val="22"/>
        </w:rPr>
        <w:t>Pariari</w:t>
      </w:r>
      <w:proofErr w:type="spellEnd"/>
      <w:r w:rsidR="00BB5A18" w:rsidRPr="00BB5A18">
        <w:rPr>
          <w:rFonts w:ascii="Arial" w:eastAsia="Calibri" w:hAnsi="Arial" w:cs="Arial"/>
          <w:szCs w:val="22"/>
        </w:rPr>
        <w:t>, 2017)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="00BB5A18" w:rsidRPr="00BB5A18">
        <w:rPr>
          <w:rFonts w:ascii="Arial" w:eastAsia="Calibri" w:hAnsi="Arial" w:cs="Arial"/>
          <w:szCs w:val="22"/>
        </w:rPr>
        <w:t xml:space="preserve"> in carrot </w:t>
      </w:r>
      <w:r w:rsidR="00BB5A18" w:rsidRPr="00F52BB8">
        <w:rPr>
          <w:rFonts w:ascii="Arial" w:eastAsia="Calibri" w:hAnsi="Arial" w:cs="Arial"/>
          <w:szCs w:val="22"/>
        </w:rPr>
        <w:t xml:space="preserve">(McKee </w:t>
      </w:r>
      <w:r w:rsidR="00BB5A18" w:rsidRPr="00F52BB8">
        <w:rPr>
          <w:rFonts w:ascii="Arial" w:eastAsia="Calibri" w:hAnsi="Arial" w:cs="Arial"/>
          <w:i/>
          <w:iCs/>
          <w:szCs w:val="22"/>
        </w:rPr>
        <w:t>et al.,</w:t>
      </w:r>
      <w:r w:rsidR="00BB5A18" w:rsidRPr="00F52BB8">
        <w:rPr>
          <w:rFonts w:ascii="Arial" w:eastAsia="Calibri" w:hAnsi="Arial" w:cs="Arial"/>
          <w:szCs w:val="22"/>
        </w:rPr>
        <w:t xml:space="preserve"> 1984).</w:t>
      </w:r>
      <w:r w:rsidR="00BB5A18">
        <w:rPr>
          <w:rFonts w:ascii="Arial" w:eastAsia="Calibri" w:hAnsi="Arial" w:cs="Arial"/>
          <w:szCs w:val="22"/>
        </w:rPr>
        <w:t xml:space="preserve"> </w:t>
      </w:r>
    </w:p>
    <w:p w14:paraId="23571C35" w14:textId="7826ADF3" w:rsidR="00BB5A18" w:rsidRPr="00441B29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>3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O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 xml:space="preserve">il yield </w:t>
      </w:r>
    </w:p>
    <w:p w14:paraId="5FE1E6D6" w14:textId="0354D9D5" w:rsidR="00BB5A18" w:rsidRDefault="00BB5A18" w:rsidP="00BB5A18">
      <w:pPr>
        <w:pStyle w:val="Body"/>
        <w:rPr>
          <w:rFonts w:ascii="Arial" w:eastAsia="Calibri" w:hAnsi="Arial" w:cs="Arial"/>
          <w:szCs w:val="22"/>
        </w:rPr>
      </w:pPr>
      <w:r w:rsidRPr="00441B29">
        <w:rPr>
          <w:rFonts w:ascii="Arial" w:eastAsia="Calibri" w:hAnsi="Arial" w:cs="Arial"/>
          <w:szCs w:val="22"/>
        </w:rPr>
        <w:t xml:space="preserve">The highest volatile oil content (3.68%) was recorded in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150 ppm, followed by Naphthalene acetic acid at 150 ppm (3.18%)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100 ppm (3.10%). The lowest volatile oil percentage (2.72%) was observed in the Control.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Naphthalene acetic acid were found to be particularly effective in enhancing volatile oil content in ginger rhizomes. Growth regulators such as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>, a growth retardant, are known to alter assimilate partitioning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enzymatic activity, thereby stimulating the terpenoid biosynthetic pathway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increasing volatile fractions responsible for aroma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medicinal properties. In the present study,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150 ppm resulted in the highest volatile oil content, suggesting its strong influence on metabolic regulation. Similarly, NAA at 150 ppm also promoted volatile oil accumulation, through auxin-mediated modulation of sink–source dynamics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the activation of enzymes involved in secondary metabolite synthesis. Earlier studies </w:t>
      </w:r>
      <w:r w:rsidRPr="003E0BE1">
        <w:rPr>
          <w:rFonts w:ascii="Arial" w:eastAsia="Calibri" w:hAnsi="Arial" w:cs="Arial"/>
          <w:szCs w:val="22"/>
        </w:rPr>
        <w:t xml:space="preserve">by Sengupta </w:t>
      </w:r>
      <w:r w:rsidRPr="003E0BE1">
        <w:rPr>
          <w:rFonts w:ascii="Arial" w:eastAsia="Calibri" w:hAnsi="Arial" w:cs="Arial"/>
          <w:i/>
          <w:iCs/>
          <w:szCs w:val="22"/>
        </w:rPr>
        <w:t>et al.</w:t>
      </w:r>
      <w:r w:rsidRPr="003E0BE1">
        <w:rPr>
          <w:rFonts w:ascii="Arial" w:eastAsia="Calibri" w:hAnsi="Arial" w:cs="Arial"/>
          <w:szCs w:val="22"/>
        </w:rPr>
        <w:t xml:space="preserve"> (2008)</w:t>
      </w:r>
      <w:r w:rsidR="00587EFA" w:rsidRPr="003E0BE1">
        <w:rPr>
          <w:rFonts w:ascii="Arial" w:eastAsia="Calibri" w:hAnsi="Arial" w:cs="Arial"/>
          <w:szCs w:val="22"/>
        </w:rPr>
        <w:t xml:space="preserve"> and</w:t>
      </w:r>
      <w:r w:rsidRPr="003E0BE1">
        <w:rPr>
          <w:rFonts w:ascii="Arial" w:eastAsia="Calibri" w:hAnsi="Arial" w:cs="Arial"/>
          <w:szCs w:val="22"/>
        </w:rPr>
        <w:t xml:space="preserve"> Venugopal &amp; </w:t>
      </w:r>
      <w:proofErr w:type="spellStart"/>
      <w:r w:rsidRPr="003E0BE1">
        <w:rPr>
          <w:rFonts w:ascii="Arial" w:eastAsia="Calibri" w:hAnsi="Arial" w:cs="Arial"/>
          <w:szCs w:val="22"/>
        </w:rPr>
        <w:t>Pariari</w:t>
      </w:r>
      <w:proofErr w:type="spellEnd"/>
      <w:r w:rsidRPr="003E0BE1">
        <w:rPr>
          <w:rFonts w:ascii="Arial" w:eastAsia="Calibri" w:hAnsi="Arial" w:cs="Arial"/>
          <w:szCs w:val="22"/>
        </w:rPr>
        <w:t xml:space="preserve"> (2017) also confirmed the results.</w:t>
      </w:r>
    </w:p>
    <w:p w14:paraId="18CFABFA" w14:textId="262FDC62" w:rsidR="00BB5A18" w:rsidRPr="00441B29" w:rsidRDefault="00BB5A18" w:rsidP="00BB5A18">
      <w:pPr>
        <w:pStyle w:val="Body"/>
        <w:rPr>
          <w:rFonts w:ascii="Arial" w:eastAsia="Calibri" w:hAnsi="Arial" w:cs="Arial"/>
          <w:b/>
          <w:bCs/>
          <w:sz w:val="22"/>
          <w:szCs w:val="22"/>
        </w:rPr>
      </w:pPr>
      <w:r w:rsidRPr="00441B29">
        <w:rPr>
          <w:rFonts w:ascii="Arial" w:eastAsia="Calibri" w:hAnsi="Arial" w:cs="Arial"/>
          <w:b/>
          <w:bCs/>
          <w:sz w:val="22"/>
          <w:szCs w:val="22"/>
        </w:rPr>
        <w:t>3.</w:t>
      </w:r>
      <w:r w:rsidR="00587EFA">
        <w:rPr>
          <w:rFonts w:ascii="Arial" w:eastAsia="Calibri" w:hAnsi="Arial" w:cs="Arial"/>
          <w:b/>
          <w:bCs/>
          <w:sz w:val="22"/>
          <w:szCs w:val="22"/>
        </w:rPr>
        <w:t xml:space="preserve">4 </w:t>
      </w:r>
      <w:r w:rsidRPr="00441B29">
        <w:rPr>
          <w:rFonts w:ascii="Arial" w:eastAsia="Calibri" w:hAnsi="Arial" w:cs="Arial"/>
          <w:b/>
          <w:bCs/>
          <w:sz w:val="22"/>
          <w:szCs w:val="22"/>
        </w:rPr>
        <w:t>Oleoresin yield</w:t>
      </w:r>
    </w:p>
    <w:p w14:paraId="720558CE" w14:textId="14A7EF37" w:rsidR="00BB5A18" w:rsidRPr="00441B29" w:rsidRDefault="00BB5A18" w:rsidP="00BB5A18">
      <w:pPr>
        <w:pStyle w:val="Body"/>
        <w:spacing w:after="0"/>
        <w:rPr>
          <w:rFonts w:ascii="Arial" w:eastAsia="Calibri" w:hAnsi="Arial" w:cs="Arial"/>
          <w:szCs w:val="22"/>
        </w:rPr>
      </w:pPr>
      <w:r w:rsidRPr="00441B29">
        <w:rPr>
          <w:rFonts w:ascii="Arial" w:eastAsia="Calibri" w:hAnsi="Arial" w:cs="Arial"/>
          <w:szCs w:val="22"/>
        </w:rPr>
        <w:t xml:space="preserve">The maximum oleoresin content (7.94%) was recorded in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150 ppm, followed by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at 100 ppm (7.85%)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</w:t>
      </w:r>
      <w:r w:rsidR="00356515">
        <w:rPr>
          <w:rFonts w:ascii="Arial" w:eastAsia="Calibri" w:hAnsi="Arial" w:cs="Arial"/>
          <w:szCs w:val="22"/>
        </w:rPr>
        <w:t xml:space="preserve">NAA </w:t>
      </w:r>
      <w:r w:rsidRPr="00441B29">
        <w:rPr>
          <w:rFonts w:ascii="Arial" w:eastAsia="Calibri" w:hAnsi="Arial" w:cs="Arial"/>
          <w:szCs w:val="22"/>
        </w:rPr>
        <w:t xml:space="preserve">at 100 ppm (7.89%). The enhancement of oleoresin under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application may be attributed to its growth-retarding effect, which alters assimilate partitioning in favor of rhizome reserves. By reducing excessive vegetative growth, </w:t>
      </w:r>
      <w:proofErr w:type="spellStart"/>
      <w:r w:rsidRPr="00441B29">
        <w:rPr>
          <w:rFonts w:ascii="Arial" w:eastAsia="Calibri" w:hAnsi="Arial" w:cs="Arial"/>
          <w:szCs w:val="22"/>
        </w:rPr>
        <w:t>Cycocel</w:t>
      </w:r>
      <w:proofErr w:type="spellEnd"/>
      <w:r w:rsidRPr="00441B29">
        <w:rPr>
          <w:rFonts w:ascii="Arial" w:eastAsia="Calibri" w:hAnsi="Arial" w:cs="Arial"/>
          <w:szCs w:val="22"/>
        </w:rPr>
        <w:t xml:space="preserve"> promotes efficient translocation of photosynthates toward underground storage </w:t>
      </w:r>
      <w:r w:rsidRPr="00441B29">
        <w:rPr>
          <w:rFonts w:ascii="Arial" w:eastAsia="Calibri" w:hAnsi="Arial" w:cs="Arial"/>
          <w:szCs w:val="22"/>
        </w:rPr>
        <w:lastRenderedPageBreak/>
        <w:t>organs, thereby increasing the accumulation of metabolites responsible for pungency</w:t>
      </w:r>
      <w:r w:rsidR="00587EFA">
        <w:rPr>
          <w:rFonts w:ascii="Arial" w:eastAsia="Calibri" w:hAnsi="Arial" w:cs="Arial"/>
          <w:szCs w:val="22"/>
        </w:rPr>
        <w:t xml:space="preserve"> and</w:t>
      </w:r>
      <w:r w:rsidRPr="00441B29">
        <w:rPr>
          <w:rFonts w:ascii="Arial" w:eastAsia="Calibri" w:hAnsi="Arial" w:cs="Arial"/>
          <w:szCs w:val="22"/>
        </w:rPr>
        <w:t xml:space="preserve"> flavor. Similar observations were reported by </w:t>
      </w:r>
      <w:proofErr w:type="spellStart"/>
      <w:r w:rsidRPr="00B84B10">
        <w:rPr>
          <w:rFonts w:ascii="Arial" w:eastAsia="Calibri" w:hAnsi="Arial" w:cs="Arial"/>
          <w:szCs w:val="22"/>
        </w:rPr>
        <w:t>Jirali</w:t>
      </w:r>
      <w:proofErr w:type="spellEnd"/>
      <w:r w:rsidRPr="00B84B10">
        <w:rPr>
          <w:rFonts w:ascii="Arial" w:eastAsia="Calibri" w:hAnsi="Arial" w:cs="Arial"/>
          <w:szCs w:val="22"/>
        </w:rPr>
        <w:t xml:space="preserve"> </w:t>
      </w:r>
      <w:r w:rsidRPr="00B84B10">
        <w:rPr>
          <w:rFonts w:ascii="Arial" w:eastAsia="Calibri" w:hAnsi="Arial" w:cs="Arial"/>
          <w:i/>
          <w:iCs/>
          <w:szCs w:val="22"/>
        </w:rPr>
        <w:t>et al.</w:t>
      </w:r>
      <w:r w:rsidRPr="00B84B10">
        <w:rPr>
          <w:rFonts w:ascii="Arial" w:eastAsia="Calibri" w:hAnsi="Arial" w:cs="Arial"/>
          <w:szCs w:val="22"/>
        </w:rPr>
        <w:t xml:space="preserve"> (2008)</w:t>
      </w:r>
      <w:r w:rsidR="00587EFA" w:rsidRPr="00B84B10">
        <w:rPr>
          <w:rFonts w:ascii="Arial" w:eastAsia="Calibri" w:hAnsi="Arial" w:cs="Arial"/>
          <w:szCs w:val="22"/>
        </w:rPr>
        <w:t xml:space="preserve"> and</w:t>
      </w:r>
      <w:r w:rsidRPr="00B84B10">
        <w:rPr>
          <w:rFonts w:ascii="Arial" w:eastAsia="Calibri" w:hAnsi="Arial" w:cs="Arial"/>
          <w:szCs w:val="22"/>
        </w:rPr>
        <w:t xml:space="preserve"> </w:t>
      </w:r>
      <w:proofErr w:type="spellStart"/>
      <w:r w:rsidRPr="00B84B10">
        <w:rPr>
          <w:rFonts w:ascii="Arial" w:eastAsia="Calibri" w:hAnsi="Arial" w:cs="Arial"/>
          <w:szCs w:val="22"/>
        </w:rPr>
        <w:t>Maruthi</w:t>
      </w:r>
      <w:proofErr w:type="spellEnd"/>
      <w:r w:rsidRPr="00B84B10">
        <w:rPr>
          <w:rFonts w:ascii="Arial" w:eastAsia="Calibri" w:hAnsi="Arial" w:cs="Arial"/>
          <w:szCs w:val="22"/>
        </w:rPr>
        <w:t xml:space="preserve"> </w:t>
      </w:r>
      <w:r w:rsidRPr="00B84B10">
        <w:rPr>
          <w:rFonts w:ascii="Arial" w:eastAsia="Calibri" w:hAnsi="Arial" w:cs="Arial"/>
          <w:i/>
          <w:iCs/>
          <w:szCs w:val="22"/>
        </w:rPr>
        <w:t>et al</w:t>
      </w:r>
      <w:r w:rsidRPr="00B84B10">
        <w:rPr>
          <w:rFonts w:ascii="Arial" w:eastAsia="Calibri" w:hAnsi="Arial" w:cs="Arial"/>
          <w:szCs w:val="22"/>
        </w:rPr>
        <w:t>. (20</w:t>
      </w:r>
      <w:r w:rsidR="00BA731F" w:rsidRPr="00B84B10">
        <w:rPr>
          <w:rFonts w:ascii="Arial" w:eastAsia="Calibri" w:hAnsi="Arial" w:cs="Arial"/>
          <w:szCs w:val="22"/>
        </w:rPr>
        <w:t>03</w:t>
      </w:r>
      <w:r w:rsidRPr="00B84B10">
        <w:rPr>
          <w:rFonts w:ascii="Arial" w:eastAsia="Calibri" w:hAnsi="Arial" w:cs="Arial"/>
          <w:szCs w:val="22"/>
        </w:rPr>
        <w:t>).</w:t>
      </w:r>
    </w:p>
    <w:p w14:paraId="7AA01E73" w14:textId="77777777" w:rsidR="00BB5A18" w:rsidRDefault="00BB5A18" w:rsidP="00BB5A18">
      <w:pPr>
        <w:pStyle w:val="Body"/>
        <w:rPr>
          <w:rFonts w:ascii="Arial" w:eastAsia="Calibri" w:hAnsi="Arial" w:cs="Arial"/>
          <w:szCs w:val="22"/>
        </w:rPr>
      </w:pPr>
    </w:p>
    <w:p w14:paraId="40886E2A" w14:textId="77777777" w:rsidR="00B01FCD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4CF721B1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4FB5AEE1" w14:textId="54D39AE3" w:rsidR="00790ADA" w:rsidRDefault="0029137C" w:rsidP="00B47B6B">
      <w:pPr>
        <w:pStyle w:val="Body"/>
        <w:rPr>
          <w:rFonts w:ascii="Arial" w:hAnsi="Arial" w:cs="Arial"/>
        </w:rPr>
      </w:pPr>
      <w:r w:rsidRPr="0029137C">
        <w:rPr>
          <w:rFonts w:ascii="Arial" w:hAnsi="Arial" w:cs="Arial"/>
        </w:rPr>
        <w:t xml:space="preserve">Among the treatments evaluated, </w:t>
      </w:r>
      <w:proofErr w:type="spellStart"/>
      <w:r w:rsidRPr="0029137C">
        <w:rPr>
          <w:rFonts w:ascii="Arial" w:hAnsi="Arial" w:cs="Arial"/>
        </w:rPr>
        <w:t>Cycocel</w:t>
      </w:r>
      <w:proofErr w:type="spellEnd"/>
      <w:r w:rsidRPr="0029137C">
        <w:rPr>
          <w:rFonts w:ascii="Arial" w:hAnsi="Arial" w:cs="Arial"/>
        </w:rPr>
        <w:t xml:space="preserve"> at 150 ppm consistently enhanced multiple quality parameters, including total sugar, volatile oil</w:t>
      </w:r>
      <w:r w:rsidR="003F49F0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oleoresin. Its ability to modulate assimilate partitioning</w:t>
      </w:r>
      <w:r w:rsidR="00587EFA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stimulate secondary metabolite biosynthesis made it highly suitable for commercial ginger production aimed at superior quality attributes. Naphthalene acetic acid at 150 ppm also showed a significant increase in protein content</w:t>
      </w:r>
      <w:r w:rsidR="00587EFA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volatile oil, while Gibberellin was particularly effective in enhancing chlorophyll concentration.</w:t>
      </w:r>
      <w:r w:rsidR="00B47B6B">
        <w:rPr>
          <w:rFonts w:ascii="Arial" w:hAnsi="Arial" w:cs="Arial"/>
        </w:rPr>
        <w:t xml:space="preserve"> </w:t>
      </w:r>
      <w:r w:rsidRPr="0029137C">
        <w:rPr>
          <w:rFonts w:ascii="Arial" w:hAnsi="Arial" w:cs="Arial"/>
        </w:rPr>
        <w:t xml:space="preserve">In conclusion, </w:t>
      </w:r>
      <w:proofErr w:type="spellStart"/>
      <w:r w:rsidRPr="0029137C">
        <w:rPr>
          <w:rFonts w:ascii="Arial" w:hAnsi="Arial" w:cs="Arial"/>
        </w:rPr>
        <w:t>Cycocel</w:t>
      </w:r>
      <w:proofErr w:type="spellEnd"/>
      <w:r w:rsidRPr="0029137C">
        <w:rPr>
          <w:rFonts w:ascii="Arial" w:hAnsi="Arial" w:cs="Arial"/>
        </w:rPr>
        <w:t xml:space="preserve"> at the optimal concentration substantially improved both the biochemical composition</w:t>
      </w:r>
      <w:r w:rsidR="00587EFA">
        <w:rPr>
          <w:rFonts w:ascii="Arial" w:hAnsi="Arial" w:cs="Arial"/>
        </w:rPr>
        <w:t xml:space="preserve"> and</w:t>
      </w:r>
      <w:r w:rsidRPr="0029137C">
        <w:rPr>
          <w:rFonts w:ascii="Arial" w:hAnsi="Arial" w:cs="Arial"/>
        </w:rPr>
        <w:t xml:space="preserve"> economic value of ginger</w:t>
      </w:r>
      <w:r>
        <w:rPr>
          <w:rFonts w:ascii="Arial" w:hAnsi="Arial" w:cs="Arial"/>
        </w:rPr>
        <w:t>.</w:t>
      </w:r>
    </w:p>
    <w:p w14:paraId="382F6B71" w14:textId="77777777" w:rsidR="00356515" w:rsidRDefault="00356515" w:rsidP="00356515">
      <w:pPr>
        <w:pStyle w:val="Body"/>
        <w:spacing w:after="0"/>
        <w:rPr>
          <w:rFonts w:ascii="Arial" w:hAnsi="Arial" w:cs="Arial"/>
        </w:rPr>
      </w:pPr>
    </w:p>
    <w:p w14:paraId="66E66DC7" w14:textId="77777777" w:rsidR="00A9180F" w:rsidRDefault="00356515" w:rsidP="00A9180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356515">
        <w:rPr>
          <w:rFonts w:ascii="Arial" w:hAnsi="Arial" w:cs="Arial"/>
          <w:b/>
          <w:bCs/>
          <w:sz w:val="22"/>
          <w:szCs w:val="22"/>
        </w:rPr>
        <w:t>REFERENCES</w:t>
      </w:r>
    </w:p>
    <w:p w14:paraId="33EFB9E5" w14:textId="77777777" w:rsidR="00A9180F" w:rsidRDefault="00A9180F" w:rsidP="00A9180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7E2CD679" w14:textId="09498F75" w:rsidR="007C6089" w:rsidRPr="00C538D1" w:rsidRDefault="00A9180F" w:rsidP="007C6089">
      <w:pPr>
        <w:pStyle w:val="Body"/>
        <w:spacing w:after="0"/>
        <w:rPr>
          <w:rFonts w:ascii="Arial" w:hAnsi="Arial" w:cs="Arial"/>
        </w:rPr>
      </w:pPr>
      <w:r w:rsidRPr="00C538D1">
        <w:rPr>
          <w:rFonts w:ascii="Arial" w:hAnsi="Arial" w:cs="Arial"/>
          <w:bCs/>
          <w:caps/>
        </w:rPr>
        <w:t>1</w:t>
      </w:r>
      <w:r w:rsidR="00C92FE6" w:rsidRPr="00C538D1">
        <w:rPr>
          <w:rFonts w:ascii="Arial" w:hAnsi="Arial" w:cs="Arial"/>
        </w:rPr>
        <w:t xml:space="preserve">.Arif, T., Bhoomika, H.R., Ganapathi, M., </w:t>
      </w:r>
      <w:proofErr w:type="spellStart"/>
      <w:r w:rsidR="00C92FE6" w:rsidRPr="00C538D1">
        <w:rPr>
          <w:rFonts w:ascii="Arial" w:hAnsi="Arial" w:cs="Arial"/>
        </w:rPr>
        <w:t>Nataraj</w:t>
      </w:r>
      <w:proofErr w:type="spellEnd"/>
      <w:r w:rsidR="00C92FE6" w:rsidRPr="00C538D1">
        <w:rPr>
          <w:rFonts w:ascii="Arial" w:hAnsi="Arial" w:cs="Arial"/>
        </w:rPr>
        <w:t>, S.K.</w:t>
      </w:r>
      <w:r w:rsidR="00587EFA" w:rsidRPr="00C538D1">
        <w:rPr>
          <w:rFonts w:ascii="Arial" w:hAnsi="Arial" w:cs="Arial"/>
        </w:rPr>
        <w:t xml:space="preserve"> and</w:t>
      </w:r>
      <w:r w:rsidR="00C92FE6" w:rsidRPr="00C538D1">
        <w:rPr>
          <w:rFonts w:ascii="Arial" w:hAnsi="Arial" w:cs="Arial"/>
        </w:rPr>
        <w:t xml:space="preserve"> </w:t>
      </w:r>
      <w:proofErr w:type="spellStart"/>
      <w:r w:rsidR="00C92FE6" w:rsidRPr="00C538D1">
        <w:rPr>
          <w:rFonts w:ascii="Arial" w:hAnsi="Arial" w:cs="Arial"/>
        </w:rPr>
        <w:t>Nadukeri</w:t>
      </w:r>
      <w:proofErr w:type="spellEnd"/>
      <w:r w:rsidR="00C92FE6" w:rsidRPr="00C538D1">
        <w:rPr>
          <w:rFonts w:ascii="Arial" w:hAnsi="Arial" w:cs="Arial"/>
        </w:rPr>
        <w:t>, S. (2022). Influence of growth retardant</w:t>
      </w:r>
      <w:r w:rsidR="00587EFA" w:rsidRPr="00C538D1">
        <w:rPr>
          <w:rFonts w:ascii="Arial" w:hAnsi="Arial" w:cs="Arial"/>
        </w:rPr>
        <w:t xml:space="preserve"> and</w:t>
      </w:r>
      <w:r w:rsidR="00C92FE6" w:rsidRPr="00C538D1">
        <w:rPr>
          <w:rFonts w:ascii="Arial" w:hAnsi="Arial" w:cs="Arial"/>
        </w:rPr>
        <w:t xml:space="preserve"> nutrient levels on ginger (</w:t>
      </w:r>
      <w:proofErr w:type="spellStart"/>
      <w:r w:rsidR="00C92FE6" w:rsidRPr="00C538D1">
        <w:rPr>
          <w:rFonts w:ascii="Arial" w:hAnsi="Arial" w:cs="Arial"/>
          <w:i/>
          <w:iCs/>
        </w:rPr>
        <w:t>Zingiber</w:t>
      </w:r>
      <w:proofErr w:type="spellEnd"/>
      <w:r w:rsidR="00C92FE6" w:rsidRPr="00C538D1">
        <w:rPr>
          <w:rFonts w:ascii="Arial" w:hAnsi="Arial" w:cs="Arial"/>
          <w:i/>
          <w:iCs/>
        </w:rPr>
        <w:t xml:space="preserve"> </w:t>
      </w:r>
      <w:proofErr w:type="spellStart"/>
      <w:r w:rsidR="00C92FE6" w:rsidRPr="00C538D1">
        <w:rPr>
          <w:rFonts w:ascii="Arial" w:hAnsi="Arial" w:cs="Arial"/>
          <w:i/>
          <w:iCs/>
        </w:rPr>
        <w:t>officinale</w:t>
      </w:r>
      <w:proofErr w:type="spellEnd"/>
      <w:r w:rsidR="00C92FE6" w:rsidRPr="00C538D1">
        <w:rPr>
          <w:rFonts w:ascii="Arial" w:hAnsi="Arial" w:cs="Arial"/>
          <w:i/>
          <w:iCs/>
        </w:rPr>
        <w:t xml:space="preserve"> </w:t>
      </w:r>
      <w:proofErr w:type="spellStart"/>
      <w:r w:rsidR="00C92FE6" w:rsidRPr="00C538D1">
        <w:rPr>
          <w:rFonts w:ascii="Arial" w:hAnsi="Arial" w:cs="Arial"/>
          <w:i/>
          <w:iCs/>
        </w:rPr>
        <w:t>Rosc</w:t>
      </w:r>
      <w:proofErr w:type="spellEnd"/>
      <w:r w:rsidR="00C92FE6" w:rsidRPr="00C538D1">
        <w:rPr>
          <w:rFonts w:ascii="Arial" w:hAnsi="Arial" w:cs="Arial"/>
        </w:rPr>
        <w:t xml:space="preserve">.) in soilless culture under protected structure. </w:t>
      </w:r>
      <w:r w:rsidR="00C92FE6" w:rsidRPr="00C538D1">
        <w:rPr>
          <w:rFonts w:ascii="Arial" w:hAnsi="Arial" w:cs="Arial"/>
          <w:i/>
          <w:iCs/>
        </w:rPr>
        <w:t xml:space="preserve">Mod. </w:t>
      </w:r>
      <w:proofErr w:type="spellStart"/>
      <w:r w:rsidR="00C92FE6" w:rsidRPr="00C538D1">
        <w:rPr>
          <w:rFonts w:ascii="Arial" w:hAnsi="Arial" w:cs="Arial"/>
          <w:i/>
          <w:iCs/>
        </w:rPr>
        <w:t>Phytomorphol</w:t>
      </w:r>
      <w:proofErr w:type="spellEnd"/>
      <w:r w:rsidR="00C92FE6" w:rsidRPr="00C538D1">
        <w:rPr>
          <w:rFonts w:ascii="Arial" w:hAnsi="Arial" w:cs="Arial"/>
        </w:rPr>
        <w:t>. 15</w:t>
      </w:r>
      <w:r w:rsidR="00EE0AF3" w:rsidRPr="00C538D1">
        <w:rPr>
          <w:rFonts w:ascii="Arial" w:hAnsi="Arial" w:cs="Arial"/>
        </w:rPr>
        <w:t>,</w:t>
      </w:r>
      <w:r w:rsidR="00C92FE6" w:rsidRPr="00C538D1">
        <w:rPr>
          <w:rFonts w:ascii="Arial" w:hAnsi="Arial" w:cs="Arial"/>
        </w:rPr>
        <w:t xml:space="preserve">134-140. </w:t>
      </w:r>
    </w:p>
    <w:p w14:paraId="3973AD4B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</w:p>
    <w:p w14:paraId="1BCD547A" w14:textId="7507910D" w:rsidR="007C6089" w:rsidRPr="00C538D1" w:rsidRDefault="00587EFA" w:rsidP="007C6089">
      <w:pPr>
        <w:pStyle w:val="Body"/>
        <w:spacing w:after="0"/>
        <w:rPr>
          <w:rFonts w:ascii="Arial" w:hAnsi="Arial" w:cs="Arial"/>
        </w:rPr>
      </w:pPr>
      <w:r w:rsidRPr="00C538D1">
        <w:rPr>
          <w:rFonts w:ascii="Arial" w:hAnsi="Arial" w:cs="Arial"/>
        </w:rPr>
        <w:t>2</w:t>
      </w:r>
      <w:r w:rsidR="00C92FE6" w:rsidRPr="00C538D1">
        <w:rPr>
          <w:rFonts w:ascii="Arial" w:hAnsi="Arial" w:cs="Arial"/>
        </w:rPr>
        <w:t xml:space="preserve">.Bradford, M. M. (1976). </w:t>
      </w:r>
      <w:r w:rsidR="00C92FE6" w:rsidRPr="00C538D1">
        <w:rPr>
          <w:rFonts w:ascii="Arial" w:hAnsi="Arial" w:cs="Arial"/>
          <w:i/>
          <w:iCs/>
        </w:rPr>
        <w:t xml:space="preserve">Anal. </w:t>
      </w:r>
      <w:proofErr w:type="spellStart"/>
      <w:r w:rsidR="00C92FE6" w:rsidRPr="00C538D1">
        <w:rPr>
          <w:rFonts w:ascii="Arial" w:hAnsi="Arial" w:cs="Arial"/>
          <w:i/>
          <w:iCs/>
        </w:rPr>
        <w:t>Biochem</w:t>
      </w:r>
      <w:proofErr w:type="spellEnd"/>
      <w:r w:rsidR="006958CA" w:rsidRPr="00C538D1">
        <w:rPr>
          <w:rFonts w:ascii="Arial" w:hAnsi="Arial" w:cs="Arial"/>
        </w:rPr>
        <w:t>.</w:t>
      </w:r>
      <w:r w:rsidR="00C92FE6" w:rsidRPr="00C538D1">
        <w:rPr>
          <w:rFonts w:ascii="Arial" w:hAnsi="Arial" w:cs="Arial"/>
        </w:rPr>
        <w:t xml:space="preserve"> 72(1–2), 248–254</w:t>
      </w:r>
      <w:r w:rsidR="00A26E24" w:rsidRPr="00C538D1">
        <w:rPr>
          <w:rFonts w:ascii="Arial" w:hAnsi="Arial" w:cs="Arial"/>
        </w:rPr>
        <w:t>.</w:t>
      </w:r>
      <w:r w:rsidR="007C6089" w:rsidRPr="00C538D1">
        <w:rPr>
          <w:rFonts w:ascii="Arial" w:hAnsi="Arial" w:cs="Arial"/>
        </w:rPr>
        <w:t xml:space="preserve"> </w:t>
      </w:r>
    </w:p>
    <w:p w14:paraId="420F6A39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</w:p>
    <w:p w14:paraId="5B033E36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  <w:r w:rsidRPr="00C538D1">
        <w:rPr>
          <w:rFonts w:ascii="Arial" w:hAnsi="Arial" w:cs="Arial"/>
        </w:rPr>
        <w:t>3</w:t>
      </w:r>
      <w:r w:rsidR="00A26E24" w:rsidRPr="00C538D1">
        <w:rPr>
          <w:rFonts w:ascii="Arial" w:hAnsi="Arial" w:cs="Arial"/>
        </w:rPr>
        <w:t xml:space="preserve">.Gomez, K. A., &amp; Gomez, A. A. (1984). </w:t>
      </w:r>
      <w:r w:rsidR="00A26E24" w:rsidRPr="00C538D1">
        <w:rPr>
          <w:rFonts w:ascii="Arial" w:hAnsi="Arial" w:cs="Arial"/>
          <w:i/>
          <w:iCs/>
        </w:rPr>
        <w:t>Statistical procedures for agricultural research</w:t>
      </w:r>
      <w:r w:rsidR="00A26E24" w:rsidRPr="00C538D1">
        <w:rPr>
          <w:rFonts w:ascii="Arial" w:hAnsi="Arial" w:cs="Arial"/>
        </w:rPr>
        <w:t xml:space="preserve"> (2</w:t>
      </w:r>
      <w:r w:rsidR="00A26E24" w:rsidRPr="00C538D1">
        <w:rPr>
          <w:rFonts w:ascii="Arial" w:hAnsi="Arial" w:cs="Arial"/>
          <w:vertAlign w:val="superscript"/>
        </w:rPr>
        <w:t>nd</w:t>
      </w:r>
      <w:r w:rsidR="00A26E24" w:rsidRPr="00C538D1">
        <w:rPr>
          <w:rFonts w:ascii="Arial" w:hAnsi="Arial" w:cs="Arial"/>
        </w:rPr>
        <w:t xml:space="preserve"> ed.). New York</w:t>
      </w:r>
      <w:r w:rsidRPr="00C538D1">
        <w:rPr>
          <w:rFonts w:ascii="Arial" w:hAnsi="Arial" w:cs="Arial"/>
        </w:rPr>
        <w:t xml:space="preserve"> </w:t>
      </w:r>
    </w:p>
    <w:p w14:paraId="37BF0FE2" w14:textId="77777777" w:rsidR="007C6089" w:rsidRPr="00C538D1" w:rsidRDefault="007C6089" w:rsidP="007C6089">
      <w:pPr>
        <w:pStyle w:val="Body"/>
        <w:spacing w:after="0"/>
        <w:rPr>
          <w:rFonts w:ascii="Arial" w:hAnsi="Arial" w:cs="Arial"/>
        </w:rPr>
      </w:pPr>
    </w:p>
    <w:p w14:paraId="70F1403D" w14:textId="6C87FB42" w:rsidR="00C92FE6" w:rsidRPr="00C538D1" w:rsidRDefault="00587EFA" w:rsidP="007C6089">
      <w:pPr>
        <w:pStyle w:val="Body"/>
        <w:spacing w:after="0"/>
        <w:rPr>
          <w:rFonts w:ascii="Arial" w:hAnsi="Arial" w:cs="Arial"/>
          <w:b/>
          <w:caps/>
        </w:rPr>
      </w:pPr>
      <w:r w:rsidRPr="00C538D1">
        <w:rPr>
          <w:rFonts w:ascii="Arial" w:hAnsi="Arial" w:cs="Arial"/>
        </w:rPr>
        <w:t>4</w:t>
      </w:r>
      <w:r w:rsidR="00C92FE6" w:rsidRPr="00C538D1">
        <w:rPr>
          <w:rFonts w:ascii="Arial" w:hAnsi="Arial" w:cs="Arial"/>
        </w:rPr>
        <w:t xml:space="preserve">.Hassan, M., Wajid, A., Ahmad, A., &amp; Iqbal, M. (2022). Gibberellin increased yield of </w:t>
      </w:r>
      <w:proofErr w:type="spellStart"/>
      <w:r w:rsidR="00C92FE6" w:rsidRPr="00C538D1">
        <w:rPr>
          <w:rFonts w:ascii="Arial" w:hAnsi="Arial" w:cs="Arial"/>
        </w:rPr>
        <w:t>Sesbania</w:t>
      </w:r>
      <w:proofErr w:type="spellEnd"/>
      <w:r w:rsidR="00C92FE6" w:rsidRPr="00C538D1">
        <w:rPr>
          <w:rFonts w:ascii="Arial" w:hAnsi="Arial" w:cs="Arial"/>
        </w:rPr>
        <w:t xml:space="preserve"> pea grown under saline soils by improving antioxidant enzyme activities</w:t>
      </w:r>
      <w:r w:rsidRPr="00C538D1">
        <w:rPr>
          <w:rFonts w:ascii="Arial" w:hAnsi="Arial" w:cs="Arial"/>
        </w:rPr>
        <w:t xml:space="preserve"> and</w:t>
      </w:r>
      <w:r w:rsidR="00C92FE6" w:rsidRPr="00C538D1">
        <w:rPr>
          <w:rFonts w:ascii="Arial" w:hAnsi="Arial" w:cs="Arial"/>
        </w:rPr>
        <w:t xml:space="preserve"> photosynthesis. </w:t>
      </w:r>
      <w:r w:rsidR="00C92FE6" w:rsidRPr="00C538D1">
        <w:rPr>
          <w:rFonts w:ascii="Arial" w:hAnsi="Arial" w:cs="Arial"/>
          <w:i/>
          <w:iCs/>
        </w:rPr>
        <w:t>Agronomy,</w:t>
      </w:r>
      <w:r w:rsidR="00C92FE6" w:rsidRPr="00C538D1">
        <w:rPr>
          <w:rFonts w:ascii="Arial" w:hAnsi="Arial" w:cs="Arial"/>
        </w:rPr>
        <w:t xml:space="preserve"> 12(8), 1855. </w:t>
      </w:r>
    </w:p>
    <w:p w14:paraId="723A69D4" w14:textId="29548A3A" w:rsidR="00C92FE6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lastRenderedPageBreak/>
        <w:t>5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.Hedge, J. E. </w:t>
      </w:r>
      <w:r w:rsidR="009E4772" w:rsidRPr="00C538D1">
        <w:rPr>
          <w:rFonts w:ascii="Arial" w:hAnsi="Arial" w:cs="Arial"/>
          <w:b w:val="0"/>
          <w:caps w:val="0"/>
          <w:sz w:val="20"/>
        </w:rPr>
        <w:t>and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92FE6" w:rsidRPr="00C538D1">
        <w:rPr>
          <w:rFonts w:ascii="Arial" w:hAnsi="Arial" w:cs="Arial"/>
          <w:b w:val="0"/>
          <w:caps w:val="0"/>
          <w:sz w:val="20"/>
        </w:rPr>
        <w:t>Hofreiter</w:t>
      </w:r>
      <w:proofErr w:type="spellEnd"/>
      <w:r w:rsidR="00C92FE6" w:rsidRPr="00C538D1">
        <w:rPr>
          <w:rFonts w:ascii="Arial" w:hAnsi="Arial" w:cs="Arial"/>
          <w:b w:val="0"/>
          <w:caps w:val="0"/>
          <w:sz w:val="20"/>
        </w:rPr>
        <w:t xml:space="preserve">, B. T. (1962). </w:t>
      </w:r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Methods </w:t>
      </w:r>
      <w:proofErr w:type="spellStart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Carbohydr</w:t>
      </w:r>
      <w:proofErr w:type="spellEnd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. Chem.,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17, 420–424.</w:t>
      </w:r>
    </w:p>
    <w:p w14:paraId="76759129" w14:textId="0E357E1D" w:rsidR="004D1A12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6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.Jirali, D.I., </w:t>
      </w:r>
      <w:proofErr w:type="spellStart"/>
      <w:r w:rsidR="004D1A12" w:rsidRPr="00C538D1">
        <w:rPr>
          <w:rFonts w:ascii="Arial" w:hAnsi="Arial" w:cs="Arial"/>
          <w:b w:val="0"/>
          <w:caps w:val="0"/>
          <w:sz w:val="20"/>
        </w:rPr>
        <w:t>Hiremath</w:t>
      </w:r>
      <w:proofErr w:type="spellEnd"/>
      <w:r w:rsidR="004D1A12" w:rsidRPr="00C538D1">
        <w:rPr>
          <w:rFonts w:ascii="Arial" w:hAnsi="Arial" w:cs="Arial"/>
          <w:b w:val="0"/>
          <w:caps w:val="0"/>
          <w:sz w:val="20"/>
        </w:rPr>
        <w:t xml:space="preserve">, S.M., </w:t>
      </w:r>
      <w:proofErr w:type="spellStart"/>
      <w:r w:rsidR="004D1A12" w:rsidRPr="00C538D1">
        <w:rPr>
          <w:rFonts w:ascii="Arial" w:hAnsi="Arial" w:cs="Arial"/>
          <w:b w:val="0"/>
          <w:caps w:val="0"/>
          <w:sz w:val="20"/>
        </w:rPr>
        <w:t>Chetti</w:t>
      </w:r>
      <w:proofErr w:type="spellEnd"/>
      <w:r w:rsidR="004D1A12" w:rsidRPr="00C538D1">
        <w:rPr>
          <w:rFonts w:ascii="Arial" w:hAnsi="Arial" w:cs="Arial"/>
          <w:b w:val="0"/>
          <w:caps w:val="0"/>
          <w:sz w:val="20"/>
        </w:rPr>
        <w:t>, M.B</w:t>
      </w:r>
      <w:r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Patil, S.A. 2008. Studies on yield components, yield</w:t>
      </w:r>
      <w:r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quality attributes as affected by growth regulators in Turmeric. 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>J</w:t>
      </w:r>
      <w:r w:rsidR="00B84B10" w:rsidRPr="00C538D1">
        <w:rPr>
          <w:rFonts w:ascii="Arial" w:hAnsi="Arial" w:cs="Arial"/>
          <w:b w:val="0"/>
          <w:i/>
          <w:iCs/>
          <w:caps w:val="0"/>
          <w:sz w:val="20"/>
        </w:rPr>
        <w:t>.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Eco-friendly Agri.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3(2)</w:t>
      </w:r>
      <w:r w:rsidR="00EE0AF3" w:rsidRPr="00C538D1">
        <w:rPr>
          <w:rFonts w:ascii="Arial" w:hAnsi="Arial" w:cs="Arial"/>
          <w:b w:val="0"/>
          <w:caps w:val="0"/>
          <w:sz w:val="20"/>
        </w:rPr>
        <w:t>,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 119-122.</w:t>
      </w:r>
    </w:p>
    <w:p w14:paraId="45FAEC04" w14:textId="5A636402" w:rsidR="00C92FE6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7</w:t>
      </w:r>
      <w:r w:rsidR="00C92FE6" w:rsidRPr="00C538D1">
        <w:rPr>
          <w:rFonts w:ascii="Arial" w:hAnsi="Arial" w:cs="Arial"/>
          <w:b w:val="0"/>
          <w:caps w:val="0"/>
          <w:sz w:val="20"/>
        </w:rPr>
        <w:t>.KAU (Kerala Agricultural University). (2024). Package of Practices Recommendations: Crops (16th Ed.). Kerala Agricultural University, Thrissur, p.141-143.</w:t>
      </w:r>
    </w:p>
    <w:p w14:paraId="463D34FD" w14:textId="1F872A37" w:rsidR="00C92FE6" w:rsidRPr="00C538D1" w:rsidRDefault="00587EFA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8</w:t>
      </w:r>
      <w:r w:rsidR="00C92FE6" w:rsidRPr="00C538D1">
        <w:rPr>
          <w:rFonts w:ascii="Arial" w:hAnsi="Arial" w:cs="Arial"/>
          <w:b w:val="0"/>
          <w:caps w:val="0"/>
          <w:sz w:val="20"/>
        </w:rPr>
        <w:t>.Maruthi, M., Gowda, M.C.</w:t>
      </w:r>
      <w:r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Gowda, A.M. (2003). Influence of growth regulators on growth of ginger cv. Himachal Pradesh at different stages. Natl. Sem. New Prospective in Spices, </w:t>
      </w:r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Med. </w:t>
      </w:r>
      <w:proofErr w:type="spellStart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Aromat</w:t>
      </w:r>
      <w:proofErr w:type="spellEnd"/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. Plants.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 p.342-44.</w:t>
      </w:r>
    </w:p>
    <w:p w14:paraId="35269817" w14:textId="077301BE" w:rsidR="00C92FE6" w:rsidRPr="00C538D1" w:rsidRDefault="00587EFA" w:rsidP="004D1A12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9</w:t>
      </w:r>
      <w:r w:rsidR="00C92FE6" w:rsidRPr="00C538D1">
        <w:rPr>
          <w:rFonts w:ascii="Arial" w:hAnsi="Arial" w:cs="Arial"/>
          <w:b w:val="0"/>
          <w:caps w:val="0"/>
          <w:sz w:val="20"/>
        </w:rPr>
        <w:t>.McKee, J. M. T., Thomas, T. H.</w:t>
      </w:r>
      <w:r w:rsidR="00B84B10" w:rsidRPr="00C538D1">
        <w:rPr>
          <w:rFonts w:ascii="Arial" w:hAnsi="Arial" w:cs="Arial"/>
          <w:b w:val="0"/>
          <w:caps w:val="0"/>
          <w:sz w:val="20"/>
        </w:rPr>
        <w:t xml:space="preserve"> and 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Hole, C. C. (1984). Growth regulator effects on storage root development in carrot. </w:t>
      </w:r>
      <w:r w:rsidR="00C92FE6" w:rsidRPr="00C538D1">
        <w:rPr>
          <w:rFonts w:ascii="Arial" w:hAnsi="Arial" w:cs="Arial"/>
          <w:b w:val="0"/>
          <w:i/>
          <w:iCs/>
          <w:caps w:val="0"/>
          <w:sz w:val="20"/>
        </w:rPr>
        <w:t>Plant Growth Regulation</w:t>
      </w:r>
      <w:r w:rsidR="00C92FE6" w:rsidRPr="00C538D1">
        <w:rPr>
          <w:rFonts w:ascii="Arial" w:hAnsi="Arial" w:cs="Arial"/>
          <w:b w:val="0"/>
          <w:caps w:val="0"/>
          <w:sz w:val="20"/>
        </w:rPr>
        <w:t xml:space="preserve">, 2(4), 359–369. </w:t>
      </w:r>
    </w:p>
    <w:p w14:paraId="4F7EE3EE" w14:textId="71B67359" w:rsidR="00F01508" w:rsidRPr="00C538D1" w:rsidRDefault="001245C9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1</w:t>
      </w:r>
      <w:r w:rsidR="00587EFA" w:rsidRPr="00C538D1">
        <w:rPr>
          <w:rFonts w:ascii="Arial" w:hAnsi="Arial" w:cs="Arial"/>
          <w:b w:val="0"/>
          <w:caps w:val="0"/>
          <w:sz w:val="20"/>
        </w:rPr>
        <w:t>0</w:t>
      </w:r>
      <w:r w:rsidR="004D1A12" w:rsidRPr="00C538D1">
        <w:rPr>
          <w:rFonts w:ascii="Arial" w:hAnsi="Arial" w:cs="Arial"/>
          <w:b w:val="0"/>
          <w:caps w:val="0"/>
          <w:sz w:val="20"/>
        </w:rPr>
        <w:t xml:space="preserve">.Pruthi, J. S. (1989). 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>Major spices of India: Crop management</w:t>
      </w:r>
      <w:r w:rsidR="00587EFA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and</w:t>
      </w:r>
      <w:r w:rsidR="004D1A12"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post-harvest technology</w:t>
      </w:r>
      <w:r w:rsidR="004D1A12" w:rsidRPr="00C538D1">
        <w:rPr>
          <w:rFonts w:ascii="Arial" w:hAnsi="Arial" w:cs="Arial"/>
          <w:b w:val="0"/>
          <w:caps w:val="0"/>
          <w:sz w:val="20"/>
        </w:rPr>
        <w:t>. Indian Council of Agricultural Research (ICAR), New Delhi, p 481.</w:t>
      </w:r>
    </w:p>
    <w:p w14:paraId="6FE14C36" w14:textId="376BBDF3" w:rsidR="001245C9" w:rsidRPr="00C538D1" w:rsidRDefault="001245C9" w:rsidP="00C92FE6">
      <w:pPr>
        <w:pStyle w:val="ReferHead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1</w:t>
      </w:r>
      <w:r w:rsidR="003E0BE1" w:rsidRPr="00C538D1">
        <w:rPr>
          <w:rFonts w:ascii="Arial" w:hAnsi="Arial" w:cs="Arial"/>
          <w:b w:val="0"/>
          <w:caps w:val="0"/>
          <w:sz w:val="20"/>
        </w:rPr>
        <w:t>1</w:t>
      </w:r>
      <w:r w:rsidRPr="00C538D1">
        <w:rPr>
          <w:rFonts w:ascii="Arial" w:hAnsi="Arial" w:cs="Arial"/>
          <w:b w:val="0"/>
          <w:caps w:val="0"/>
          <w:sz w:val="20"/>
        </w:rPr>
        <w:t xml:space="preserve">.Sengupta, D. K., </w:t>
      </w:r>
      <w:proofErr w:type="spellStart"/>
      <w:r w:rsidRPr="00C538D1">
        <w:rPr>
          <w:rFonts w:ascii="Arial" w:hAnsi="Arial" w:cs="Arial"/>
          <w:b w:val="0"/>
          <w:caps w:val="0"/>
          <w:sz w:val="20"/>
        </w:rPr>
        <w:t>Maity</w:t>
      </w:r>
      <w:proofErr w:type="spellEnd"/>
      <w:r w:rsidRPr="00C538D1">
        <w:rPr>
          <w:rFonts w:ascii="Arial" w:hAnsi="Arial" w:cs="Arial"/>
          <w:b w:val="0"/>
          <w:caps w:val="0"/>
          <w:sz w:val="20"/>
        </w:rPr>
        <w:t>, T. K., &amp; Dasgupta, B. (2008). Effect of growth regulators on growth</w:t>
      </w:r>
      <w:r w:rsidR="00587EFA"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Pr="00C538D1">
        <w:rPr>
          <w:rFonts w:ascii="Arial" w:hAnsi="Arial" w:cs="Arial"/>
          <w:b w:val="0"/>
          <w:caps w:val="0"/>
          <w:sz w:val="20"/>
        </w:rPr>
        <w:t xml:space="preserve"> rhizome production of ginger (</w:t>
      </w:r>
      <w:proofErr w:type="spellStart"/>
      <w:r w:rsidRPr="00C538D1">
        <w:rPr>
          <w:rFonts w:ascii="Arial" w:hAnsi="Arial" w:cs="Arial"/>
          <w:b w:val="0"/>
          <w:i/>
          <w:iCs/>
          <w:caps w:val="0"/>
          <w:sz w:val="20"/>
        </w:rPr>
        <w:t>Zingiber</w:t>
      </w:r>
      <w:proofErr w:type="spellEnd"/>
      <w:r w:rsidRPr="00C538D1">
        <w:rPr>
          <w:rFonts w:ascii="Arial" w:hAnsi="Arial" w:cs="Arial"/>
          <w:b w:val="0"/>
          <w:i/>
          <w:iCs/>
          <w:caps w:val="0"/>
          <w:sz w:val="20"/>
        </w:rPr>
        <w:t xml:space="preserve"> </w:t>
      </w:r>
      <w:proofErr w:type="spellStart"/>
      <w:r w:rsidRPr="00C538D1">
        <w:rPr>
          <w:rFonts w:ascii="Arial" w:hAnsi="Arial" w:cs="Arial"/>
          <w:b w:val="0"/>
          <w:i/>
          <w:iCs/>
          <w:caps w:val="0"/>
          <w:sz w:val="20"/>
        </w:rPr>
        <w:t>officinale</w:t>
      </w:r>
      <w:proofErr w:type="spellEnd"/>
      <w:r w:rsidRPr="00C538D1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C538D1">
        <w:rPr>
          <w:rFonts w:ascii="Arial" w:hAnsi="Arial" w:cs="Arial"/>
          <w:b w:val="0"/>
          <w:caps w:val="0"/>
          <w:sz w:val="20"/>
        </w:rPr>
        <w:t>Rosc</w:t>
      </w:r>
      <w:proofErr w:type="spellEnd"/>
      <w:r w:rsidRPr="00C538D1">
        <w:rPr>
          <w:rFonts w:ascii="Arial" w:hAnsi="Arial" w:cs="Arial"/>
          <w:b w:val="0"/>
          <w:caps w:val="0"/>
          <w:sz w:val="20"/>
        </w:rPr>
        <w:t xml:space="preserve">.) in the hilly region of Darjeeling district. </w:t>
      </w:r>
      <w:r w:rsidRPr="00C538D1">
        <w:rPr>
          <w:rFonts w:ascii="Arial" w:hAnsi="Arial" w:cs="Arial"/>
          <w:b w:val="0"/>
          <w:i/>
          <w:iCs/>
          <w:caps w:val="0"/>
          <w:sz w:val="20"/>
        </w:rPr>
        <w:t>J. Crop Weed, 4</w:t>
      </w:r>
      <w:r w:rsidRPr="00C538D1">
        <w:rPr>
          <w:rFonts w:ascii="Arial" w:hAnsi="Arial" w:cs="Arial"/>
          <w:b w:val="0"/>
          <w:caps w:val="0"/>
          <w:sz w:val="20"/>
        </w:rPr>
        <w:t>(1), 10–13.</w:t>
      </w:r>
    </w:p>
    <w:p w14:paraId="24EF07F9" w14:textId="483B5D3C" w:rsidR="00C92FE6" w:rsidRDefault="00C92FE6" w:rsidP="00C92FE6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C538D1">
        <w:rPr>
          <w:rFonts w:ascii="Arial" w:hAnsi="Arial" w:cs="Arial"/>
          <w:b w:val="0"/>
          <w:caps w:val="0"/>
          <w:sz w:val="20"/>
        </w:rPr>
        <w:t>1</w:t>
      </w:r>
      <w:r w:rsidR="003E0BE1" w:rsidRPr="00C538D1">
        <w:rPr>
          <w:rFonts w:ascii="Arial" w:hAnsi="Arial" w:cs="Arial"/>
          <w:b w:val="0"/>
          <w:caps w:val="0"/>
          <w:sz w:val="20"/>
        </w:rPr>
        <w:t>2</w:t>
      </w:r>
      <w:r w:rsidRPr="00C538D1">
        <w:rPr>
          <w:rFonts w:ascii="Arial" w:hAnsi="Arial" w:cs="Arial"/>
          <w:b w:val="0"/>
          <w:caps w:val="0"/>
          <w:sz w:val="20"/>
        </w:rPr>
        <w:t>.Venugopal, S.</w:t>
      </w:r>
      <w:r w:rsidR="00587EFA"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Pr="00C538D1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C538D1">
        <w:rPr>
          <w:rFonts w:ascii="Arial" w:hAnsi="Arial" w:cs="Arial"/>
          <w:b w:val="0"/>
          <w:caps w:val="0"/>
          <w:sz w:val="20"/>
        </w:rPr>
        <w:t>Pariari</w:t>
      </w:r>
      <w:proofErr w:type="spellEnd"/>
      <w:r w:rsidRPr="00C538D1">
        <w:rPr>
          <w:rFonts w:ascii="Arial" w:hAnsi="Arial" w:cs="Arial"/>
          <w:b w:val="0"/>
          <w:caps w:val="0"/>
          <w:sz w:val="20"/>
        </w:rPr>
        <w:t>, A. (2017). Effect of growth regulators on growth</w:t>
      </w:r>
      <w:r w:rsidR="00587EFA" w:rsidRPr="00C538D1">
        <w:rPr>
          <w:rFonts w:ascii="Arial" w:hAnsi="Arial" w:cs="Arial"/>
          <w:b w:val="0"/>
          <w:caps w:val="0"/>
          <w:sz w:val="20"/>
        </w:rPr>
        <w:t xml:space="preserve"> and</w:t>
      </w:r>
      <w:r w:rsidRPr="00C538D1">
        <w:rPr>
          <w:rFonts w:ascii="Arial" w:hAnsi="Arial" w:cs="Arial"/>
          <w:b w:val="0"/>
          <w:caps w:val="0"/>
          <w:sz w:val="20"/>
        </w:rPr>
        <w:t xml:space="preserve"> yield of turmeric (</w:t>
      </w:r>
      <w:r w:rsidRPr="00C538D1">
        <w:rPr>
          <w:rFonts w:ascii="Arial" w:hAnsi="Arial" w:cs="Arial"/>
          <w:b w:val="0"/>
          <w:i/>
          <w:iCs/>
          <w:caps w:val="0"/>
          <w:sz w:val="20"/>
        </w:rPr>
        <w:t>Curcuma longa L</w:t>
      </w:r>
      <w:r w:rsidRPr="00C538D1">
        <w:rPr>
          <w:rFonts w:ascii="Arial" w:hAnsi="Arial" w:cs="Arial"/>
          <w:b w:val="0"/>
          <w:caps w:val="0"/>
          <w:sz w:val="20"/>
        </w:rPr>
        <w:t>.) varieties in Gangetic alluvial plains of West Bengal. Int. J. Agric. Sci., 9(15)</w:t>
      </w:r>
      <w:r w:rsidR="00644F1C" w:rsidRPr="00C538D1">
        <w:rPr>
          <w:rFonts w:ascii="Arial" w:hAnsi="Arial" w:cs="Arial"/>
          <w:b w:val="0"/>
          <w:caps w:val="0"/>
          <w:sz w:val="20"/>
        </w:rPr>
        <w:t>,</w:t>
      </w:r>
      <w:r w:rsidRPr="00C538D1">
        <w:rPr>
          <w:rFonts w:ascii="Arial" w:hAnsi="Arial" w:cs="Arial"/>
          <w:b w:val="0"/>
          <w:caps w:val="0"/>
          <w:sz w:val="20"/>
        </w:rPr>
        <w:t>4104-4106</w:t>
      </w:r>
      <w:r w:rsidR="00734378" w:rsidRPr="00C538D1">
        <w:rPr>
          <w:rFonts w:ascii="Arial" w:hAnsi="Arial" w:cs="Arial"/>
          <w:b w:val="0"/>
          <w:caps w:val="0"/>
          <w:sz w:val="20"/>
        </w:rPr>
        <w:t>.</w:t>
      </w:r>
    </w:p>
    <w:p w14:paraId="7510FCAB" w14:textId="77777777" w:rsidR="00734378" w:rsidRDefault="00734378" w:rsidP="00C92FE6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0AD0FB40" w14:textId="2D235E4A" w:rsidR="00C92FE6" w:rsidRDefault="00734378" w:rsidP="00C17899">
      <w:pPr>
        <w:tabs>
          <w:tab w:val="left" w:pos="6108"/>
        </w:tabs>
        <w:spacing w:line="480" w:lineRule="auto"/>
        <w:jc w:val="both"/>
        <w:rPr>
          <w:rFonts w:ascii="Arial" w:hAnsi="Arial" w:cs="Arial"/>
          <w:b/>
          <w:bCs/>
        </w:rPr>
      </w:pPr>
      <w:r w:rsidRPr="00441B29">
        <w:rPr>
          <w:rFonts w:ascii="Arial" w:hAnsi="Arial" w:cs="Arial"/>
          <w:b/>
          <w:bCs/>
        </w:rPr>
        <w:t xml:space="preserve">Table </w:t>
      </w:r>
      <w:r w:rsidR="00663283">
        <w:rPr>
          <w:rFonts w:ascii="Arial" w:hAnsi="Arial" w:cs="Arial"/>
          <w:b/>
          <w:bCs/>
        </w:rPr>
        <w:t>1</w:t>
      </w:r>
      <w:r w:rsidRPr="00441B29">
        <w:rPr>
          <w:rFonts w:ascii="Arial" w:hAnsi="Arial" w:cs="Arial"/>
          <w:b/>
          <w:bCs/>
        </w:rPr>
        <w:t>. Effect of plant growth regulators on quality parameters</w:t>
      </w:r>
      <w:r w:rsidRPr="00441B29">
        <w:rPr>
          <w:rFonts w:ascii="Arial" w:hAnsi="Arial" w:cs="Arial"/>
          <w:b/>
          <w:bCs/>
        </w:rPr>
        <w:tab/>
        <w:t>of ginger</w:t>
      </w:r>
      <w:r w:rsidR="00663283">
        <w:rPr>
          <w:rFonts w:ascii="Arial" w:hAnsi="Arial" w:cs="Arial"/>
          <w:b/>
          <w:bCs/>
        </w:rPr>
        <w:t xml:space="preserve"> transplants under </w:t>
      </w:r>
      <w:proofErr w:type="spellStart"/>
      <w:r w:rsidR="00663283">
        <w:rPr>
          <w:rFonts w:ascii="Arial" w:hAnsi="Arial" w:cs="Arial"/>
          <w:b/>
          <w:bCs/>
        </w:rPr>
        <w:t>polyhouse</w:t>
      </w:r>
      <w:proofErr w:type="spellEnd"/>
      <w:r w:rsidR="00663283">
        <w:rPr>
          <w:rFonts w:ascii="Arial" w:hAnsi="Arial" w:cs="Arial"/>
          <w:b/>
          <w:bCs/>
        </w:rPr>
        <w:t xml:space="preserve"> condition</w:t>
      </w:r>
    </w:p>
    <w:tbl>
      <w:tblPr>
        <w:tblStyle w:val="TableGrid"/>
        <w:tblW w:w="9944" w:type="dxa"/>
        <w:jc w:val="center"/>
        <w:tblLook w:val="04A0" w:firstRow="1" w:lastRow="0" w:firstColumn="1" w:lastColumn="0" w:noHBand="0" w:noVBand="1"/>
      </w:tblPr>
      <w:tblGrid>
        <w:gridCol w:w="1984"/>
        <w:gridCol w:w="2127"/>
        <w:gridCol w:w="2268"/>
        <w:gridCol w:w="1842"/>
        <w:gridCol w:w="1723"/>
      </w:tblGrid>
      <w:tr w:rsidR="00FB45B9" w:rsidRPr="00441B29" w14:paraId="4B46150E" w14:textId="77777777" w:rsidTr="00F679A6">
        <w:trPr>
          <w:trHeight w:val="58"/>
          <w:jc w:val="center"/>
        </w:trPr>
        <w:tc>
          <w:tcPr>
            <w:tcW w:w="1984" w:type="dxa"/>
          </w:tcPr>
          <w:p w14:paraId="17D3156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 xml:space="preserve">Treatments </w:t>
            </w:r>
          </w:p>
        </w:tc>
        <w:tc>
          <w:tcPr>
            <w:tcW w:w="2127" w:type="dxa"/>
          </w:tcPr>
          <w:p w14:paraId="17E9438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Total sugar</w:t>
            </w:r>
            <w:r w:rsidRPr="00441B29">
              <w:rPr>
                <w:rFonts w:ascii="Arial" w:hAnsi="Arial" w:cs="Arial"/>
                <w:sz w:val="24"/>
                <w:szCs w:val="24"/>
              </w:rPr>
              <w:t xml:space="preserve"> (mg/g dry weight)</w:t>
            </w:r>
          </w:p>
        </w:tc>
        <w:tc>
          <w:tcPr>
            <w:tcW w:w="2268" w:type="dxa"/>
          </w:tcPr>
          <w:p w14:paraId="6ACF3D9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Total soluble protein (</w:t>
            </w:r>
            <w:r w:rsidRPr="00441B29">
              <w:rPr>
                <w:rFonts w:ascii="Arial" w:hAnsi="Arial" w:cs="Arial"/>
                <w:sz w:val="24"/>
                <w:szCs w:val="24"/>
              </w:rPr>
              <w:t>mg/g dry weight)</w:t>
            </w:r>
          </w:p>
        </w:tc>
        <w:tc>
          <w:tcPr>
            <w:tcW w:w="1842" w:type="dxa"/>
          </w:tcPr>
          <w:p w14:paraId="2B7BD87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Percentage of volatile oil (v/w)</w:t>
            </w:r>
          </w:p>
        </w:tc>
        <w:tc>
          <w:tcPr>
            <w:tcW w:w="1723" w:type="dxa"/>
          </w:tcPr>
          <w:p w14:paraId="492C8062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Percentage of oleoresin (v/w)</w:t>
            </w:r>
          </w:p>
        </w:tc>
      </w:tr>
      <w:tr w:rsidR="00FB45B9" w:rsidRPr="00441B29" w14:paraId="669B1C38" w14:textId="77777777" w:rsidTr="00F679A6">
        <w:trPr>
          <w:jc w:val="center"/>
        </w:trPr>
        <w:tc>
          <w:tcPr>
            <w:tcW w:w="1984" w:type="dxa"/>
          </w:tcPr>
          <w:p w14:paraId="5AA291A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CCC 50 ppm</w:t>
            </w:r>
          </w:p>
        </w:tc>
        <w:tc>
          <w:tcPr>
            <w:tcW w:w="2127" w:type="dxa"/>
          </w:tcPr>
          <w:p w14:paraId="29BB80A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86.67</w:t>
            </w:r>
          </w:p>
        </w:tc>
        <w:tc>
          <w:tcPr>
            <w:tcW w:w="2268" w:type="dxa"/>
          </w:tcPr>
          <w:p w14:paraId="1943423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19.6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</w:tcPr>
          <w:p w14:paraId="4450E12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2.90</w:t>
            </w:r>
          </w:p>
        </w:tc>
        <w:tc>
          <w:tcPr>
            <w:tcW w:w="1723" w:type="dxa"/>
          </w:tcPr>
          <w:p w14:paraId="6DDA311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7.8</w:t>
            </w:r>
            <w:r>
              <w:rPr>
                <w:rFonts w:ascii="Arial" w:hAnsi="Arial" w:cs="Arial"/>
              </w:rPr>
              <w:t>4</w:t>
            </w:r>
          </w:p>
        </w:tc>
      </w:tr>
      <w:tr w:rsidR="00FB45B9" w:rsidRPr="00441B29" w14:paraId="6788F416" w14:textId="77777777" w:rsidTr="00F679A6">
        <w:trPr>
          <w:jc w:val="center"/>
        </w:trPr>
        <w:tc>
          <w:tcPr>
            <w:tcW w:w="1984" w:type="dxa"/>
          </w:tcPr>
          <w:p w14:paraId="679685C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CCC 100 ppm</w:t>
            </w:r>
          </w:p>
        </w:tc>
        <w:tc>
          <w:tcPr>
            <w:tcW w:w="2127" w:type="dxa"/>
          </w:tcPr>
          <w:p w14:paraId="14962F28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88.98</w:t>
            </w:r>
          </w:p>
        </w:tc>
        <w:tc>
          <w:tcPr>
            <w:tcW w:w="2268" w:type="dxa"/>
          </w:tcPr>
          <w:p w14:paraId="609BD68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18.76</w:t>
            </w:r>
          </w:p>
        </w:tc>
        <w:tc>
          <w:tcPr>
            <w:tcW w:w="1842" w:type="dxa"/>
          </w:tcPr>
          <w:p w14:paraId="5582512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3.10</w:t>
            </w:r>
          </w:p>
        </w:tc>
        <w:tc>
          <w:tcPr>
            <w:tcW w:w="1723" w:type="dxa"/>
          </w:tcPr>
          <w:p w14:paraId="036F7FD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7.85</w:t>
            </w:r>
          </w:p>
        </w:tc>
      </w:tr>
      <w:tr w:rsidR="00FB45B9" w:rsidRPr="00441B29" w14:paraId="48A59DE6" w14:textId="77777777" w:rsidTr="00F679A6">
        <w:trPr>
          <w:jc w:val="center"/>
        </w:trPr>
        <w:tc>
          <w:tcPr>
            <w:tcW w:w="1984" w:type="dxa"/>
          </w:tcPr>
          <w:p w14:paraId="0C08CFA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CCC 150 ppm</w:t>
            </w:r>
          </w:p>
        </w:tc>
        <w:tc>
          <w:tcPr>
            <w:tcW w:w="2127" w:type="dxa"/>
          </w:tcPr>
          <w:p w14:paraId="4913F7F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90.01</w:t>
            </w:r>
          </w:p>
        </w:tc>
        <w:tc>
          <w:tcPr>
            <w:tcW w:w="2268" w:type="dxa"/>
          </w:tcPr>
          <w:p w14:paraId="1E1C899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18.00</w:t>
            </w:r>
          </w:p>
        </w:tc>
        <w:tc>
          <w:tcPr>
            <w:tcW w:w="1842" w:type="dxa"/>
          </w:tcPr>
          <w:p w14:paraId="47D7049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3.68</w:t>
            </w:r>
          </w:p>
        </w:tc>
        <w:tc>
          <w:tcPr>
            <w:tcW w:w="1723" w:type="dxa"/>
          </w:tcPr>
          <w:p w14:paraId="1ED7676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7.94</w:t>
            </w:r>
          </w:p>
        </w:tc>
      </w:tr>
      <w:tr w:rsidR="00FB45B9" w:rsidRPr="00441B29" w14:paraId="45002EC6" w14:textId="77777777" w:rsidTr="00F679A6">
        <w:trPr>
          <w:jc w:val="center"/>
        </w:trPr>
        <w:tc>
          <w:tcPr>
            <w:tcW w:w="1984" w:type="dxa"/>
          </w:tcPr>
          <w:p w14:paraId="14A75A1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GA 50 ppm</w:t>
            </w:r>
          </w:p>
        </w:tc>
        <w:tc>
          <w:tcPr>
            <w:tcW w:w="2127" w:type="dxa"/>
          </w:tcPr>
          <w:p w14:paraId="733826E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85.87</w:t>
            </w:r>
          </w:p>
        </w:tc>
        <w:tc>
          <w:tcPr>
            <w:tcW w:w="2268" w:type="dxa"/>
          </w:tcPr>
          <w:p w14:paraId="4C386F9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19.88</w:t>
            </w:r>
          </w:p>
        </w:tc>
        <w:tc>
          <w:tcPr>
            <w:tcW w:w="1842" w:type="dxa"/>
          </w:tcPr>
          <w:p w14:paraId="2C1EA6D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2.74</w:t>
            </w:r>
          </w:p>
        </w:tc>
        <w:tc>
          <w:tcPr>
            <w:tcW w:w="1723" w:type="dxa"/>
          </w:tcPr>
          <w:p w14:paraId="2EF3408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7.54</w:t>
            </w:r>
          </w:p>
        </w:tc>
      </w:tr>
      <w:tr w:rsidR="00FB45B9" w:rsidRPr="00441B29" w14:paraId="2EDAB37A" w14:textId="77777777" w:rsidTr="00F679A6">
        <w:trPr>
          <w:jc w:val="center"/>
        </w:trPr>
        <w:tc>
          <w:tcPr>
            <w:tcW w:w="1984" w:type="dxa"/>
          </w:tcPr>
          <w:p w14:paraId="330F3BB2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GA 100 ppm</w:t>
            </w:r>
          </w:p>
        </w:tc>
        <w:tc>
          <w:tcPr>
            <w:tcW w:w="2127" w:type="dxa"/>
          </w:tcPr>
          <w:p w14:paraId="6A71E65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85.93</w:t>
            </w:r>
          </w:p>
        </w:tc>
        <w:tc>
          <w:tcPr>
            <w:tcW w:w="2268" w:type="dxa"/>
          </w:tcPr>
          <w:p w14:paraId="2E9F81A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20.29</w:t>
            </w:r>
          </w:p>
        </w:tc>
        <w:tc>
          <w:tcPr>
            <w:tcW w:w="1842" w:type="dxa"/>
          </w:tcPr>
          <w:p w14:paraId="383DFE3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2.89</w:t>
            </w:r>
          </w:p>
        </w:tc>
        <w:tc>
          <w:tcPr>
            <w:tcW w:w="1723" w:type="dxa"/>
          </w:tcPr>
          <w:p w14:paraId="3D4F862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7.65</w:t>
            </w:r>
          </w:p>
        </w:tc>
      </w:tr>
      <w:tr w:rsidR="00FB45B9" w:rsidRPr="00441B29" w14:paraId="3E811461" w14:textId="77777777" w:rsidTr="00F679A6">
        <w:trPr>
          <w:jc w:val="center"/>
        </w:trPr>
        <w:tc>
          <w:tcPr>
            <w:tcW w:w="1984" w:type="dxa"/>
          </w:tcPr>
          <w:p w14:paraId="17242E5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GA 150 ppm</w:t>
            </w:r>
          </w:p>
        </w:tc>
        <w:tc>
          <w:tcPr>
            <w:tcW w:w="2127" w:type="dxa"/>
          </w:tcPr>
          <w:p w14:paraId="621232A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86.32</w:t>
            </w:r>
          </w:p>
        </w:tc>
        <w:tc>
          <w:tcPr>
            <w:tcW w:w="2268" w:type="dxa"/>
          </w:tcPr>
          <w:p w14:paraId="6F2DAD8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21.89</w:t>
            </w:r>
          </w:p>
        </w:tc>
        <w:tc>
          <w:tcPr>
            <w:tcW w:w="1842" w:type="dxa"/>
          </w:tcPr>
          <w:p w14:paraId="4666AF6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2.76</w:t>
            </w:r>
          </w:p>
        </w:tc>
        <w:tc>
          <w:tcPr>
            <w:tcW w:w="1723" w:type="dxa"/>
          </w:tcPr>
          <w:p w14:paraId="6C6374B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7.69</w:t>
            </w:r>
          </w:p>
        </w:tc>
      </w:tr>
      <w:tr w:rsidR="00FB45B9" w:rsidRPr="00441B29" w14:paraId="1212B980" w14:textId="77777777" w:rsidTr="00F679A6">
        <w:trPr>
          <w:jc w:val="center"/>
        </w:trPr>
        <w:tc>
          <w:tcPr>
            <w:tcW w:w="1984" w:type="dxa"/>
          </w:tcPr>
          <w:p w14:paraId="78F791CB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 xml:space="preserve">NAA 50 ppm </w:t>
            </w:r>
          </w:p>
        </w:tc>
        <w:tc>
          <w:tcPr>
            <w:tcW w:w="2127" w:type="dxa"/>
          </w:tcPr>
          <w:p w14:paraId="4CA120A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87.42</w:t>
            </w:r>
          </w:p>
        </w:tc>
        <w:tc>
          <w:tcPr>
            <w:tcW w:w="2268" w:type="dxa"/>
          </w:tcPr>
          <w:p w14:paraId="5C6F06C7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21.00</w:t>
            </w:r>
          </w:p>
        </w:tc>
        <w:tc>
          <w:tcPr>
            <w:tcW w:w="1842" w:type="dxa"/>
          </w:tcPr>
          <w:p w14:paraId="2A63E52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2.86</w:t>
            </w:r>
          </w:p>
        </w:tc>
        <w:tc>
          <w:tcPr>
            <w:tcW w:w="1723" w:type="dxa"/>
          </w:tcPr>
          <w:p w14:paraId="555AA90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7.73</w:t>
            </w:r>
          </w:p>
        </w:tc>
      </w:tr>
      <w:tr w:rsidR="00FB45B9" w:rsidRPr="00441B29" w14:paraId="4EA6387E" w14:textId="77777777" w:rsidTr="00F679A6">
        <w:trPr>
          <w:jc w:val="center"/>
        </w:trPr>
        <w:tc>
          <w:tcPr>
            <w:tcW w:w="1984" w:type="dxa"/>
          </w:tcPr>
          <w:p w14:paraId="73631C1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NAA 100 ppm</w:t>
            </w:r>
          </w:p>
        </w:tc>
        <w:tc>
          <w:tcPr>
            <w:tcW w:w="2127" w:type="dxa"/>
          </w:tcPr>
          <w:p w14:paraId="3C38BDB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87.45</w:t>
            </w:r>
          </w:p>
        </w:tc>
        <w:tc>
          <w:tcPr>
            <w:tcW w:w="2268" w:type="dxa"/>
          </w:tcPr>
          <w:p w14:paraId="67D249E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22.90</w:t>
            </w:r>
          </w:p>
        </w:tc>
        <w:tc>
          <w:tcPr>
            <w:tcW w:w="1842" w:type="dxa"/>
          </w:tcPr>
          <w:p w14:paraId="09690C0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2.91</w:t>
            </w:r>
          </w:p>
        </w:tc>
        <w:tc>
          <w:tcPr>
            <w:tcW w:w="1723" w:type="dxa"/>
          </w:tcPr>
          <w:p w14:paraId="1DFEAFA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7.89</w:t>
            </w:r>
          </w:p>
        </w:tc>
      </w:tr>
      <w:tr w:rsidR="00FB45B9" w:rsidRPr="00441B29" w14:paraId="4CBEAFE6" w14:textId="77777777" w:rsidTr="00F679A6">
        <w:trPr>
          <w:jc w:val="center"/>
        </w:trPr>
        <w:tc>
          <w:tcPr>
            <w:tcW w:w="1984" w:type="dxa"/>
          </w:tcPr>
          <w:p w14:paraId="59D21FE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NAA 150 ppm</w:t>
            </w:r>
          </w:p>
        </w:tc>
        <w:tc>
          <w:tcPr>
            <w:tcW w:w="2127" w:type="dxa"/>
          </w:tcPr>
          <w:p w14:paraId="6D1EAA7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88.07</w:t>
            </w:r>
          </w:p>
        </w:tc>
        <w:tc>
          <w:tcPr>
            <w:tcW w:w="2268" w:type="dxa"/>
          </w:tcPr>
          <w:p w14:paraId="4C7FB23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23.65</w:t>
            </w:r>
          </w:p>
        </w:tc>
        <w:tc>
          <w:tcPr>
            <w:tcW w:w="1842" w:type="dxa"/>
          </w:tcPr>
          <w:p w14:paraId="59E4A6FE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3.18</w:t>
            </w:r>
          </w:p>
        </w:tc>
        <w:tc>
          <w:tcPr>
            <w:tcW w:w="1723" w:type="dxa"/>
          </w:tcPr>
          <w:p w14:paraId="33E7554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7.76</w:t>
            </w:r>
          </w:p>
        </w:tc>
      </w:tr>
      <w:tr w:rsidR="00FB45B9" w:rsidRPr="00441B29" w14:paraId="388A7DDF" w14:textId="77777777" w:rsidTr="00F679A6">
        <w:trPr>
          <w:jc w:val="center"/>
        </w:trPr>
        <w:tc>
          <w:tcPr>
            <w:tcW w:w="1984" w:type="dxa"/>
          </w:tcPr>
          <w:p w14:paraId="4A6EEC1C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BAP 50 ppm</w:t>
            </w:r>
          </w:p>
        </w:tc>
        <w:tc>
          <w:tcPr>
            <w:tcW w:w="2127" w:type="dxa"/>
          </w:tcPr>
          <w:p w14:paraId="1C64DB0C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84.91</w:t>
            </w:r>
          </w:p>
        </w:tc>
        <w:tc>
          <w:tcPr>
            <w:tcW w:w="2268" w:type="dxa"/>
          </w:tcPr>
          <w:p w14:paraId="64340BE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20.56</w:t>
            </w:r>
          </w:p>
        </w:tc>
        <w:tc>
          <w:tcPr>
            <w:tcW w:w="1842" w:type="dxa"/>
          </w:tcPr>
          <w:p w14:paraId="3BB9DE7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2.81</w:t>
            </w:r>
          </w:p>
        </w:tc>
        <w:tc>
          <w:tcPr>
            <w:tcW w:w="1723" w:type="dxa"/>
          </w:tcPr>
          <w:p w14:paraId="64980F2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6.99</w:t>
            </w:r>
          </w:p>
        </w:tc>
      </w:tr>
      <w:tr w:rsidR="00FB45B9" w:rsidRPr="00441B29" w14:paraId="778E7CA0" w14:textId="77777777" w:rsidTr="00F679A6">
        <w:trPr>
          <w:jc w:val="center"/>
        </w:trPr>
        <w:tc>
          <w:tcPr>
            <w:tcW w:w="1984" w:type="dxa"/>
          </w:tcPr>
          <w:p w14:paraId="340BB60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BAP 100 ppm</w:t>
            </w:r>
          </w:p>
        </w:tc>
        <w:tc>
          <w:tcPr>
            <w:tcW w:w="2127" w:type="dxa"/>
          </w:tcPr>
          <w:p w14:paraId="4052A7C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85.47</w:t>
            </w:r>
          </w:p>
        </w:tc>
        <w:tc>
          <w:tcPr>
            <w:tcW w:w="2268" w:type="dxa"/>
          </w:tcPr>
          <w:p w14:paraId="3DFB151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21.29</w:t>
            </w:r>
          </w:p>
        </w:tc>
        <w:tc>
          <w:tcPr>
            <w:tcW w:w="1842" w:type="dxa"/>
          </w:tcPr>
          <w:p w14:paraId="646616F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2.85</w:t>
            </w:r>
          </w:p>
        </w:tc>
        <w:tc>
          <w:tcPr>
            <w:tcW w:w="1723" w:type="dxa"/>
          </w:tcPr>
          <w:p w14:paraId="3B8BA6E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7.14</w:t>
            </w:r>
          </w:p>
        </w:tc>
      </w:tr>
      <w:tr w:rsidR="00FB45B9" w:rsidRPr="00441B29" w14:paraId="7D61102D" w14:textId="77777777" w:rsidTr="00F679A6">
        <w:trPr>
          <w:jc w:val="center"/>
        </w:trPr>
        <w:tc>
          <w:tcPr>
            <w:tcW w:w="1984" w:type="dxa"/>
          </w:tcPr>
          <w:p w14:paraId="304FF35F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BAP 150 ppm</w:t>
            </w:r>
          </w:p>
        </w:tc>
        <w:tc>
          <w:tcPr>
            <w:tcW w:w="2127" w:type="dxa"/>
          </w:tcPr>
          <w:p w14:paraId="0638571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84.76</w:t>
            </w:r>
          </w:p>
        </w:tc>
        <w:tc>
          <w:tcPr>
            <w:tcW w:w="2268" w:type="dxa"/>
          </w:tcPr>
          <w:p w14:paraId="3A70A23B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21.85</w:t>
            </w:r>
          </w:p>
        </w:tc>
        <w:tc>
          <w:tcPr>
            <w:tcW w:w="1842" w:type="dxa"/>
          </w:tcPr>
          <w:p w14:paraId="0E0C8BB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2.79</w:t>
            </w:r>
          </w:p>
        </w:tc>
        <w:tc>
          <w:tcPr>
            <w:tcW w:w="1723" w:type="dxa"/>
          </w:tcPr>
          <w:p w14:paraId="12590D5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7.23</w:t>
            </w:r>
          </w:p>
        </w:tc>
      </w:tr>
      <w:tr w:rsidR="00FB45B9" w:rsidRPr="00441B29" w14:paraId="5E367CF9" w14:textId="77777777" w:rsidTr="00F679A6">
        <w:trPr>
          <w:jc w:val="center"/>
        </w:trPr>
        <w:tc>
          <w:tcPr>
            <w:tcW w:w="1984" w:type="dxa"/>
          </w:tcPr>
          <w:p w14:paraId="0FB68530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Control</w:t>
            </w:r>
          </w:p>
        </w:tc>
        <w:tc>
          <w:tcPr>
            <w:tcW w:w="2127" w:type="dxa"/>
          </w:tcPr>
          <w:p w14:paraId="6820393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82.65</w:t>
            </w:r>
          </w:p>
        </w:tc>
        <w:tc>
          <w:tcPr>
            <w:tcW w:w="2268" w:type="dxa"/>
          </w:tcPr>
          <w:p w14:paraId="373F9DFD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17.53</w:t>
            </w:r>
          </w:p>
        </w:tc>
        <w:tc>
          <w:tcPr>
            <w:tcW w:w="1842" w:type="dxa"/>
          </w:tcPr>
          <w:p w14:paraId="1E9CD6CB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2.72</w:t>
            </w:r>
          </w:p>
        </w:tc>
        <w:tc>
          <w:tcPr>
            <w:tcW w:w="1723" w:type="dxa"/>
          </w:tcPr>
          <w:p w14:paraId="01E8E219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6.83</w:t>
            </w:r>
          </w:p>
        </w:tc>
      </w:tr>
      <w:tr w:rsidR="00FB45B9" w:rsidRPr="00441B29" w14:paraId="1DAC185E" w14:textId="77777777" w:rsidTr="00F679A6">
        <w:trPr>
          <w:jc w:val="center"/>
        </w:trPr>
        <w:tc>
          <w:tcPr>
            <w:tcW w:w="1984" w:type="dxa"/>
          </w:tcPr>
          <w:p w14:paraId="6B653685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CD (</w:t>
            </w:r>
            <w:r w:rsidRPr="00441B29">
              <w:rPr>
                <w:rFonts w:ascii="Arial" w:hAnsi="Arial" w:cs="Arial"/>
                <w:i/>
                <w:iCs/>
              </w:rPr>
              <w:t>p</w:t>
            </w:r>
            <w:r w:rsidRPr="00441B29">
              <w:rPr>
                <w:rFonts w:ascii="Arial" w:hAnsi="Arial" w:cs="Arial"/>
              </w:rPr>
              <w:t>=0.05)</w:t>
            </w:r>
          </w:p>
        </w:tc>
        <w:tc>
          <w:tcPr>
            <w:tcW w:w="2127" w:type="dxa"/>
          </w:tcPr>
          <w:p w14:paraId="24E989E6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3.059</w:t>
            </w:r>
          </w:p>
        </w:tc>
        <w:tc>
          <w:tcPr>
            <w:tcW w:w="2268" w:type="dxa"/>
          </w:tcPr>
          <w:p w14:paraId="2E5C008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0.818</w:t>
            </w:r>
          </w:p>
        </w:tc>
        <w:tc>
          <w:tcPr>
            <w:tcW w:w="1842" w:type="dxa"/>
          </w:tcPr>
          <w:p w14:paraId="1A8C9821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0.097</w:t>
            </w:r>
          </w:p>
        </w:tc>
        <w:tc>
          <w:tcPr>
            <w:tcW w:w="1723" w:type="dxa"/>
          </w:tcPr>
          <w:p w14:paraId="1EB4EB1A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0.362</w:t>
            </w:r>
          </w:p>
        </w:tc>
      </w:tr>
      <w:tr w:rsidR="00FB45B9" w:rsidRPr="00441B29" w14:paraId="5D5BA194" w14:textId="77777777" w:rsidTr="00F679A6">
        <w:trPr>
          <w:jc w:val="center"/>
        </w:trPr>
        <w:tc>
          <w:tcPr>
            <w:tcW w:w="1984" w:type="dxa"/>
          </w:tcPr>
          <w:p w14:paraId="6E2F9268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SE(m)(</w:t>
            </w:r>
            <w:r w:rsidRPr="00441B29">
              <w:rPr>
                <w:rFonts w:ascii="Arial" w:hAnsi="Arial" w:cs="Arial"/>
                <w:i/>
                <w:iCs/>
              </w:rPr>
              <w:t>p=0.05)</w:t>
            </w:r>
          </w:p>
        </w:tc>
        <w:tc>
          <w:tcPr>
            <w:tcW w:w="2127" w:type="dxa"/>
          </w:tcPr>
          <w:p w14:paraId="32108BD4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1.052</w:t>
            </w:r>
          </w:p>
        </w:tc>
        <w:tc>
          <w:tcPr>
            <w:tcW w:w="2268" w:type="dxa"/>
            <w:vAlign w:val="bottom"/>
          </w:tcPr>
          <w:p w14:paraId="3FD11B28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0.281</w:t>
            </w:r>
          </w:p>
        </w:tc>
        <w:tc>
          <w:tcPr>
            <w:tcW w:w="1842" w:type="dxa"/>
          </w:tcPr>
          <w:p w14:paraId="540BB0E3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0.033</w:t>
            </w:r>
          </w:p>
        </w:tc>
        <w:tc>
          <w:tcPr>
            <w:tcW w:w="1723" w:type="dxa"/>
          </w:tcPr>
          <w:p w14:paraId="5F8DC8C2" w14:textId="77777777" w:rsidR="00FB45B9" w:rsidRPr="00441B29" w:rsidRDefault="00FB45B9" w:rsidP="00F679A6">
            <w:pPr>
              <w:rPr>
                <w:rFonts w:ascii="Arial" w:hAnsi="Arial" w:cs="Arial"/>
              </w:rPr>
            </w:pPr>
            <w:r w:rsidRPr="00441B29">
              <w:rPr>
                <w:rFonts w:ascii="Arial" w:hAnsi="Arial" w:cs="Arial"/>
              </w:rPr>
              <w:t>0.125</w:t>
            </w:r>
          </w:p>
        </w:tc>
      </w:tr>
    </w:tbl>
    <w:p w14:paraId="6412B4D5" w14:textId="77777777" w:rsidR="00FB45B9" w:rsidRPr="00C17899" w:rsidRDefault="00FB45B9" w:rsidP="00C17899">
      <w:pPr>
        <w:tabs>
          <w:tab w:val="left" w:pos="6108"/>
        </w:tabs>
        <w:spacing w:line="480" w:lineRule="auto"/>
        <w:jc w:val="both"/>
        <w:rPr>
          <w:rFonts w:ascii="Arial" w:hAnsi="Arial" w:cs="Arial"/>
        </w:rPr>
      </w:pPr>
    </w:p>
    <w:sectPr w:rsidR="00FB45B9" w:rsidRPr="00C17899" w:rsidSect="00904999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79F65" w14:textId="77777777" w:rsidR="003A00D1" w:rsidRDefault="003A00D1" w:rsidP="00C37E61">
      <w:r>
        <w:separator/>
      </w:r>
    </w:p>
  </w:endnote>
  <w:endnote w:type="continuationSeparator" w:id="0">
    <w:p w14:paraId="67C7DF97" w14:textId="77777777" w:rsidR="003A00D1" w:rsidRDefault="003A00D1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2199" w14:textId="77777777" w:rsidR="00904999" w:rsidRDefault="00904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2A80" w14:textId="77777777" w:rsidR="00904999" w:rsidRDefault="00904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C2F05" w14:textId="65203971" w:rsidR="00754C9A" w:rsidRPr="00543F67" w:rsidRDefault="00754C9A" w:rsidP="00543F67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4BE80" w14:textId="77777777" w:rsidR="003A00D1" w:rsidRDefault="003A00D1" w:rsidP="00C37E61">
      <w:r>
        <w:separator/>
      </w:r>
    </w:p>
  </w:footnote>
  <w:footnote w:type="continuationSeparator" w:id="0">
    <w:p w14:paraId="627AA231" w14:textId="77777777" w:rsidR="003A00D1" w:rsidRDefault="003A00D1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741E1" w14:textId="3505C392" w:rsidR="00904999" w:rsidRDefault="00904999">
    <w:pPr>
      <w:pStyle w:val="Header"/>
    </w:pPr>
    <w:r>
      <w:rPr>
        <w:noProof/>
      </w:rPr>
      <w:pict w14:anchorId="3660A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766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35E7" w14:textId="4951494D" w:rsidR="00904999" w:rsidRDefault="00904999">
    <w:pPr>
      <w:pStyle w:val="Header"/>
    </w:pPr>
    <w:r>
      <w:rPr>
        <w:noProof/>
      </w:rPr>
      <w:pict w14:anchorId="1B633E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767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05CE" w14:textId="7C6B5A31" w:rsidR="00296529" w:rsidRPr="00296529" w:rsidRDefault="00904999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436B09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765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7C8DA5EB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612332C3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1E5F4F90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497C104B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789E3F0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3FFA4E19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B3452"/>
    <w:multiLevelType w:val="hybridMultilevel"/>
    <w:tmpl w:val="CF9417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26"/>
  </w:num>
  <w:num w:numId="10">
    <w:abstractNumId w:val="3"/>
  </w:num>
  <w:num w:numId="11">
    <w:abstractNumId w:val="19"/>
  </w:num>
  <w:num w:numId="12">
    <w:abstractNumId w:val="4"/>
  </w:num>
  <w:num w:numId="13">
    <w:abstractNumId w:val="18"/>
  </w:num>
  <w:num w:numId="14">
    <w:abstractNumId w:val="9"/>
  </w:num>
  <w:num w:numId="15">
    <w:abstractNumId w:val="22"/>
  </w:num>
  <w:num w:numId="16">
    <w:abstractNumId w:val="6"/>
  </w:num>
  <w:num w:numId="17">
    <w:abstractNumId w:val="23"/>
  </w:num>
  <w:num w:numId="18">
    <w:abstractNumId w:val="15"/>
  </w:num>
  <w:num w:numId="19">
    <w:abstractNumId w:val="29"/>
  </w:num>
  <w:num w:numId="20">
    <w:abstractNumId w:val="12"/>
  </w:num>
  <w:num w:numId="21">
    <w:abstractNumId w:val="10"/>
  </w:num>
  <w:num w:numId="22">
    <w:abstractNumId w:val="14"/>
  </w:num>
  <w:num w:numId="23">
    <w:abstractNumId w:val="20"/>
  </w:num>
  <w:num w:numId="24">
    <w:abstractNumId w:val="27"/>
  </w:num>
  <w:num w:numId="25">
    <w:abstractNumId w:val="5"/>
  </w:num>
  <w:num w:numId="26">
    <w:abstractNumId w:val="17"/>
  </w:num>
  <w:num w:numId="27">
    <w:abstractNumId w:val="21"/>
  </w:num>
  <w:num w:numId="28">
    <w:abstractNumId w:val="28"/>
  </w:num>
  <w:num w:numId="29">
    <w:abstractNumId w:val="25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054E7"/>
    <w:rsid w:val="00025D49"/>
    <w:rsid w:val="00030174"/>
    <w:rsid w:val="0004579C"/>
    <w:rsid w:val="0008284D"/>
    <w:rsid w:val="000A47FA"/>
    <w:rsid w:val="000A65D3"/>
    <w:rsid w:val="000B1E33"/>
    <w:rsid w:val="000D689F"/>
    <w:rsid w:val="000D7E87"/>
    <w:rsid w:val="000E7B7B"/>
    <w:rsid w:val="000E7D62"/>
    <w:rsid w:val="000F0CA3"/>
    <w:rsid w:val="00103357"/>
    <w:rsid w:val="00116EA5"/>
    <w:rsid w:val="00123C9F"/>
    <w:rsid w:val="001245C9"/>
    <w:rsid w:val="00126190"/>
    <w:rsid w:val="00130F17"/>
    <w:rsid w:val="001320BF"/>
    <w:rsid w:val="00134992"/>
    <w:rsid w:val="00163BC4"/>
    <w:rsid w:val="00191062"/>
    <w:rsid w:val="00192B72"/>
    <w:rsid w:val="001A29D8"/>
    <w:rsid w:val="001A5CAA"/>
    <w:rsid w:val="001B0427"/>
    <w:rsid w:val="001B1986"/>
    <w:rsid w:val="001D3A51"/>
    <w:rsid w:val="001E10D2"/>
    <w:rsid w:val="001E25B4"/>
    <w:rsid w:val="001E44FE"/>
    <w:rsid w:val="001F2C41"/>
    <w:rsid w:val="00200595"/>
    <w:rsid w:val="00204835"/>
    <w:rsid w:val="00227ED4"/>
    <w:rsid w:val="00231920"/>
    <w:rsid w:val="0023195C"/>
    <w:rsid w:val="0024282C"/>
    <w:rsid w:val="002460DC"/>
    <w:rsid w:val="00250985"/>
    <w:rsid w:val="002556F6"/>
    <w:rsid w:val="00283105"/>
    <w:rsid w:val="00284C4C"/>
    <w:rsid w:val="00287E68"/>
    <w:rsid w:val="0029137C"/>
    <w:rsid w:val="00296529"/>
    <w:rsid w:val="002B27FB"/>
    <w:rsid w:val="002B5226"/>
    <w:rsid w:val="002B685A"/>
    <w:rsid w:val="002C57D2"/>
    <w:rsid w:val="002E0D56"/>
    <w:rsid w:val="00315186"/>
    <w:rsid w:val="003240D8"/>
    <w:rsid w:val="0033343E"/>
    <w:rsid w:val="003512C2"/>
    <w:rsid w:val="00356515"/>
    <w:rsid w:val="00371FB6"/>
    <w:rsid w:val="0037247A"/>
    <w:rsid w:val="003763C1"/>
    <w:rsid w:val="00376BBE"/>
    <w:rsid w:val="0039224F"/>
    <w:rsid w:val="003A00D1"/>
    <w:rsid w:val="003A43A4"/>
    <w:rsid w:val="003A7E18"/>
    <w:rsid w:val="003C4C86"/>
    <w:rsid w:val="003C6258"/>
    <w:rsid w:val="003E0BE1"/>
    <w:rsid w:val="003E2904"/>
    <w:rsid w:val="003F49F0"/>
    <w:rsid w:val="00401927"/>
    <w:rsid w:val="0041027F"/>
    <w:rsid w:val="00412475"/>
    <w:rsid w:val="004228EC"/>
    <w:rsid w:val="00423789"/>
    <w:rsid w:val="00427E26"/>
    <w:rsid w:val="00440F43"/>
    <w:rsid w:val="00441B6F"/>
    <w:rsid w:val="00441CC0"/>
    <w:rsid w:val="00446221"/>
    <w:rsid w:val="00450E62"/>
    <w:rsid w:val="004539DB"/>
    <w:rsid w:val="00471A80"/>
    <w:rsid w:val="004A105F"/>
    <w:rsid w:val="004D1A12"/>
    <w:rsid w:val="004D305E"/>
    <w:rsid w:val="004D4277"/>
    <w:rsid w:val="00502516"/>
    <w:rsid w:val="00505F06"/>
    <w:rsid w:val="00506828"/>
    <w:rsid w:val="0053056E"/>
    <w:rsid w:val="00543F67"/>
    <w:rsid w:val="00554FDA"/>
    <w:rsid w:val="00587EFA"/>
    <w:rsid w:val="00590474"/>
    <w:rsid w:val="00596B47"/>
    <w:rsid w:val="005C784C"/>
    <w:rsid w:val="005D17F6"/>
    <w:rsid w:val="005D2374"/>
    <w:rsid w:val="005E5539"/>
    <w:rsid w:val="00602BF5"/>
    <w:rsid w:val="00605DB9"/>
    <w:rsid w:val="00617FDD"/>
    <w:rsid w:val="00621CE6"/>
    <w:rsid w:val="00633614"/>
    <w:rsid w:val="00633F68"/>
    <w:rsid w:val="00636D7D"/>
    <w:rsid w:val="00636EB2"/>
    <w:rsid w:val="006375B8"/>
    <w:rsid w:val="00644F1C"/>
    <w:rsid w:val="00663283"/>
    <w:rsid w:val="0066510A"/>
    <w:rsid w:val="006729D3"/>
    <w:rsid w:val="00673F9F"/>
    <w:rsid w:val="00686953"/>
    <w:rsid w:val="00687DEA"/>
    <w:rsid w:val="00687E67"/>
    <w:rsid w:val="006958CA"/>
    <w:rsid w:val="006967F7"/>
    <w:rsid w:val="006A250C"/>
    <w:rsid w:val="006A3CB8"/>
    <w:rsid w:val="006B21D3"/>
    <w:rsid w:val="006B57D0"/>
    <w:rsid w:val="006D30FF"/>
    <w:rsid w:val="006D6940"/>
    <w:rsid w:val="006E1D51"/>
    <w:rsid w:val="006F11EC"/>
    <w:rsid w:val="0070037C"/>
    <w:rsid w:val="0070082C"/>
    <w:rsid w:val="007171FB"/>
    <w:rsid w:val="00734378"/>
    <w:rsid w:val="007369E6"/>
    <w:rsid w:val="00746E59"/>
    <w:rsid w:val="00754C9A"/>
    <w:rsid w:val="0075599A"/>
    <w:rsid w:val="00761D52"/>
    <w:rsid w:val="00764ACF"/>
    <w:rsid w:val="0077749E"/>
    <w:rsid w:val="00790ADA"/>
    <w:rsid w:val="007A16C1"/>
    <w:rsid w:val="007C28C4"/>
    <w:rsid w:val="007C6089"/>
    <w:rsid w:val="007D2288"/>
    <w:rsid w:val="007D53B2"/>
    <w:rsid w:val="007E088F"/>
    <w:rsid w:val="007F4BE7"/>
    <w:rsid w:val="007F7B32"/>
    <w:rsid w:val="00804BC2"/>
    <w:rsid w:val="0081431A"/>
    <w:rsid w:val="0083216F"/>
    <w:rsid w:val="00860000"/>
    <w:rsid w:val="00863BD3"/>
    <w:rsid w:val="008641ED"/>
    <w:rsid w:val="00866D66"/>
    <w:rsid w:val="008671C6"/>
    <w:rsid w:val="008720B0"/>
    <w:rsid w:val="00875803"/>
    <w:rsid w:val="008B459E"/>
    <w:rsid w:val="008E13AE"/>
    <w:rsid w:val="008E1506"/>
    <w:rsid w:val="008E5D69"/>
    <w:rsid w:val="008E710C"/>
    <w:rsid w:val="008F69D6"/>
    <w:rsid w:val="00902823"/>
    <w:rsid w:val="00904999"/>
    <w:rsid w:val="00915253"/>
    <w:rsid w:val="00915CA6"/>
    <w:rsid w:val="00927834"/>
    <w:rsid w:val="009500A6"/>
    <w:rsid w:val="00957C18"/>
    <w:rsid w:val="009659BA"/>
    <w:rsid w:val="00983040"/>
    <w:rsid w:val="00983C87"/>
    <w:rsid w:val="009B3FB9"/>
    <w:rsid w:val="009C2465"/>
    <w:rsid w:val="009D35A0"/>
    <w:rsid w:val="009D7EB7"/>
    <w:rsid w:val="009E048A"/>
    <w:rsid w:val="009E08E9"/>
    <w:rsid w:val="009E2115"/>
    <w:rsid w:val="009E23E3"/>
    <w:rsid w:val="009E3DB9"/>
    <w:rsid w:val="009E4772"/>
    <w:rsid w:val="009E6E35"/>
    <w:rsid w:val="009F0EDA"/>
    <w:rsid w:val="00A03B96"/>
    <w:rsid w:val="00A05B19"/>
    <w:rsid w:val="00A1134E"/>
    <w:rsid w:val="00A24E7E"/>
    <w:rsid w:val="00A258C3"/>
    <w:rsid w:val="00A26E24"/>
    <w:rsid w:val="00A347C0"/>
    <w:rsid w:val="00A51431"/>
    <w:rsid w:val="00A539AD"/>
    <w:rsid w:val="00A9180F"/>
    <w:rsid w:val="00A94063"/>
    <w:rsid w:val="00AA6219"/>
    <w:rsid w:val="00AA74E0"/>
    <w:rsid w:val="00AB703F"/>
    <w:rsid w:val="00AC6BB8"/>
    <w:rsid w:val="00AD0CAE"/>
    <w:rsid w:val="00AE008F"/>
    <w:rsid w:val="00B01FCD"/>
    <w:rsid w:val="00B1776C"/>
    <w:rsid w:val="00B323F1"/>
    <w:rsid w:val="00B449D3"/>
    <w:rsid w:val="00B47B6B"/>
    <w:rsid w:val="00B52583"/>
    <w:rsid w:val="00B52896"/>
    <w:rsid w:val="00B6309B"/>
    <w:rsid w:val="00B84B10"/>
    <w:rsid w:val="00B95236"/>
    <w:rsid w:val="00B96BD9"/>
    <w:rsid w:val="00BA1B01"/>
    <w:rsid w:val="00BA2641"/>
    <w:rsid w:val="00BA731F"/>
    <w:rsid w:val="00BB37AA"/>
    <w:rsid w:val="00BB5A18"/>
    <w:rsid w:val="00BC53A0"/>
    <w:rsid w:val="00BE62AD"/>
    <w:rsid w:val="00BF121F"/>
    <w:rsid w:val="00BF1F80"/>
    <w:rsid w:val="00C166EF"/>
    <w:rsid w:val="00C17899"/>
    <w:rsid w:val="00C17EB0"/>
    <w:rsid w:val="00C27F5F"/>
    <w:rsid w:val="00C30A0F"/>
    <w:rsid w:val="00C37E61"/>
    <w:rsid w:val="00C538D1"/>
    <w:rsid w:val="00C70F1B"/>
    <w:rsid w:val="00C71A47"/>
    <w:rsid w:val="00C7464C"/>
    <w:rsid w:val="00C85588"/>
    <w:rsid w:val="00C87D98"/>
    <w:rsid w:val="00C92FE6"/>
    <w:rsid w:val="00CA1F19"/>
    <w:rsid w:val="00CD6755"/>
    <w:rsid w:val="00CD6856"/>
    <w:rsid w:val="00CE0089"/>
    <w:rsid w:val="00CE793C"/>
    <w:rsid w:val="00CF193C"/>
    <w:rsid w:val="00D173F1"/>
    <w:rsid w:val="00D74CB0"/>
    <w:rsid w:val="00D8295D"/>
    <w:rsid w:val="00D876BA"/>
    <w:rsid w:val="00DB37C4"/>
    <w:rsid w:val="00DC2A65"/>
    <w:rsid w:val="00DE15F0"/>
    <w:rsid w:val="00DE5663"/>
    <w:rsid w:val="00DE78AA"/>
    <w:rsid w:val="00E053D0"/>
    <w:rsid w:val="00E15994"/>
    <w:rsid w:val="00E2013D"/>
    <w:rsid w:val="00E3114E"/>
    <w:rsid w:val="00E31A70"/>
    <w:rsid w:val="00E35B02"/>
    <w:rsid w:val="00E530D4"/>
    <w:rsid w:val="00E66496"/>
    <w:rsid w:val="00E66B35"/>
    <w:rsid w:val="00E66E10"/>
    <w:rsid w:val="00E769F6"/>
    <w:rsid w:val="00E8407C"/>
    <w:rsid w:val="00E84F3C"/>
    <w:rsid w:val="00EA012C"/>
    <w:rsid w:val="00EB1AF8"/>
    <w:rsid w:val="00EC6A55"/>
    <w:rsid w:val="00ED0288"/>
    <w:rsid w:val="00EE0AF3"/>
    <w:rsid w:val="00EE52CB"/>
    <w:rsid w:val="00EF581D"/>
    <w:rsid w:val="00EF7FD8"/>
    <w:rsid w:val="00F01508"/>
    <w:rsid w:val="00F06F59"/>
    <w:rsid w:val="00F17988"/>
    <w:rsid w:val="00F469F0"/>
    <w:rsid w:val="00F52BB8"/>
    <w:rsid w:val="00F53273"/>
    <w:rsid w:val="00F549D9"/>
    <w:rsid w:val="00F755E4"/>
    <w:rsid w:val="00F77D02"/>
    <w:rsid w:val="00FB3A86"/>
    <w:rsid w:val="00FB45B9"/>
    <w:rsid w:val="00FD36C8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2D41BC1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025D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D26F-9FB5-481F-9EA8-E0BDA37A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3</TotalTime>
  <Pages>6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15805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1084</cp:lastModifiedBy>
  <cp:revision>10</cp:revision>
  <cp:lastPrinted>1999-07-06T11:00:00Z</cp:lastPrinted>
  <dcterms:created xsi:type="dcterms:W3CDTF">2025-09-19T04:56:00Z</dcterms:created>
  <dcterms:modified xsi:type="dcterms:W3CDTF">2025-09-20T06:53:00Z</dcterms:modified>
</cp:coreProperties>
</file>