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AC7F5B" w14:textId="77777777" w:rsidR="000C596E" w:rsidRDefault="000C596E" w:rsidP="00286E24">
      <w:pPr>
        <w:spacing w:before="100" w:beforeAutospacing="1" w:after="100" w:afterAutospacing="1" w:line="240" w:lineRule="auto"/>
        <w:jc w:val="both"/>
        <w:rPr>
          <w:rFonts w:ascii="Arial" w:hAnsi="Arial" w:cs="Arial"/>
          <w:b/>
          <w:bCs/>
          <w:sz w:val="24"/>
          <w:szCs w:val="24"/>
        </w:rPr>
      </w:pPr>
      <w:r w:rsidRPr="00286E24">
        <w:rPr>
          <w:rFonts w:ascii="Arial" w:hAnsi="Arial" w:cs="Arial"/>
          <w:b/>
          <w:bCs/>
          <w:sz w:val="24"/>
          <w:szCs w:val="24"/>
        </w:rPr>
        <w:t>Seasonal Variation in Sediment Physicochemical Characteristics of Douglas Creek, Niger Delta</w:t>
      </w:r>
    </w:p>
    <w:p w14:paraId="65A3AC26" w14:textId="77777777" w:rsidR="004C1C42" w:rsidRDefault="004C1C42" w:rsidP="00286E24">
      <w:pPr>
        <w:spacing w:before="100" w:beforeAutospacing="1" w:after="100" w:afterAutospacing="1" w:line="240" w:lineRule="auto"/>
        <w:jc w:val="both"/>
        <w:rPr>
          <w:rFonts w:ascii="Arial" w:hAnsi="Arial" w:cs="Arial"/>
          <w:b/>
          <w:bCs/>
          <w:sz w:val="24"/>
          <w:szCs w:val="24"/>
        </w:rPr>
      </w:pPr>
    </w:p>
    <w:p w14:paraId="28577809" w14:textId="77777777" w:rsidR="006160BB" w:rsidRPr="00A256EF" w:rsidRDefault="006160BB" w:rsidP="00286E24">
      <w:pPr>
        <w:spacing w:before="100" w:beforeAutospacing="1" w:after="100" w:afterAutospacing="1" w:line="240" w:lineRule="auto"/>
        <w:jc w:val="both"/>
        <w:outlineLvl w:val="2"/>
        <w:rPr>
          <w:rFonts w:ascii="Arial" w:eastAsia="Times New Roman" w:hAnsi="Arial" w:cs="Arial"/>
          <w:b/>
          <w:bCs/>
          <w:sz w:val="24"/>
          <w:szCs w:val="24"/>
          <w:lang w:eastAsia="en-GB"/>
        </w:rPr>
      </w:pPr>
      <w:r w:rsidRPr="00A256EF">
        <w:rPr>
          <w:rFonts w:ascii="Arial" w:eastAsia="Times New Roman" w:hAnsi="Arial" w:cs="Arial"/>
          <w:b/>
          <w:bCs/>
          <w:sz w:val="24"/>
          <w:szCs w:val="24"/>
          <w:lang w:eastAsia="en-GB"/>
        </w:rPr>
        <w:t>ABSTRACT</w:t>
      </w:r>
    </w:p>
    <w:p w14:paraId="3EA4B1A2" w14:textId="77777777" w:rsidR="006160BB" w:rsidRPr="00A256EF" w:rsidRDefault="006160BB" w:rsidP="00286E24">
      <w:pPr>
        <w:spacing w:before="100" w:beforeAutospacing="1" w:after="100" w:afterAutospacing="1" w:line="240" w:lineRule="auto"/>
        <w:jc w:val="both"/>
        <w:rPr>
          <w:rFonts w:ascii="Arial" w:eastAsia="Times New Roman" w:hAnsi="Arial" w:cs="Arial"/>
          <w:sz w:val="24"/>
          <w:szCs w:val="24"/>
          <w:lang w:eastAsia="en-GB"/>
        </w:rPr>
      </w:pPr>
      <w:r w:rsidRPr="00A256EF">
        <w:rPr>
          <w:rFonts w:ascii="Arial" w:eastAsia="Times New Roman" w:hAnsi="Arial" w:cs="Arial"/>
          <w:b/>
          <w:bCs/>
          <w:sz w:val="24"/>
          <w:szCs w:val="24"/>
          <w:lang w:eastAsia="en-GB"/>
        </w:rPr>
        <w:t>Aims:</w:t>
      </w:r>
      <w:r w:rsidRPr="00A256EF">
        <w:rPr>
          <w:rFonts w:ascii="Arial" w:eastAsia="Times New Roman" w:hAnsi="Arial" w:cs="Arial"/>
          <w:sz w:val="24"/>
          <w:szCs w:val="24"/>
          <w:lang w:eastAsia="en-GB"/>
        </w:rPr>
        <w:t xml:space="preserve"> This study investigated seasonal variations in the physicochemical characteristics of sediments from Douglas Creek, Niger Delta, with emphasis on nutrient dynamics and ecological implications.</w:t>
      </w:r>
    </w:p>
    <w:p w14:paraId="4F3F6ED0" w14:textId="77777777" w:rsidR="006160BB" w:rsidRPr="00A256EF" w:rsidRDefault="006160BB" w:rsidP="00286E24">
      <w:pPr>
        <w:spacing w:before="100" w:beforeAutospacing="1" w:after="100" w:afterAutospacing="1" w:line="240" w:lineRule="auto"/>
        <w:jc w:val="both"/>
        <w:rPr>
          <w:rFonts w:ascii="Arial" w:eastAsia="Times New Roman" w:hAnsi="Arial" w:cs="Arial"/>
          <w:sz w:val="24"/>
          <w:szCs w:val="24"/>
          <w:lang w:eastAsia="en-GB"/>
        </w:rPr>
      </w:pPr>
      <w:r w:rsidRPr="00A256EF">
        <w:rPr>
          <w:rFonts w:ascii="Arial" w:eastAsia="Times New Roman" w:hAnsi="Arial" w:cs="Arial"/>
          <w:b/>
          <w:bCs/>
          <w:sz w:val="24"/>
          <w:szCs w:val="24"/>
          <w:lang w:eastAsia="en-GB"/>
        </w:rPr>
        <w:t>Study Design:</w:t>
      </w:r>
      <w:r w:rsidRPr="00A256EF">
        <w:rPr>
          <w:rFonts w:ascii="Arial" w:eastAsia="Times New Roman" w:hAnsi="Arial" w:cs="Arial"/>
          <w:sz w:val="24"/>
          <w:szCs w:val="24"/>
          <w:lang w:eastAsia="en-GB"/>
        </w:rPr>
        <w:t xml:space="preserve"> A cross-sectional seasonal study </w:t>
      </w:r>
      <w:bookmarkStart w:id="0" w:name="_GoBack"/>
      <w:bookmarkEnd w:id="0"/>
      <w:r w:rsidRPr="00A256EF">
        <w:rPr>
          <w:rFonts w:ascii="Arial" w:eastAsia="Times New Roman" w:hAnsi="Arial" w:cs="Arial"/>
          <w:sz w:val="24"/>
          <w:szCs w:val="24"/>
          <w:lang w:eastAsia="en-GB"/>
        </w:rPr>
        <w:t>design was employed.</w:t>
      </w:r>
    </w:p>
    <w:p w14:paraId="4F8B0F08" w14:textId="77777777" w:rsidR="006160BB" w:rsidRPr="00A256EF" w:rsidRDefault="006160BB" w:rsidP="00286E24">
      <w:pPr>
        <w:spacing w:before="100" w:beforeAutospacing="1" w:after="100" w:afterAutospacing="1" w:line="240" w:lineRule="auto"/>
        <w:jc w:val="both"/>
        <w:rPr>
          <w:rFonts w:ascii="Arial" w:eastAsia="Times New Roman" w:hAnsi="Arial" w:cs="Arial"/>
          <w:sz w:val="24"/>
          <w:szCs w:val="24"/>
          <w:lang w:eastAsia="en-GB"/>
        </w:rPr>
      </w:pPr>
      <w:r w:rsidRPr="00A256EF">
        <w:rPr>
          <w:rFonts w:ascii="Arial" w:eastAsia="Times New Roman" w:hAnsi="Arial" w:cs="Arial"/>
          <w:b/>
          <w:bCs/>
          <w:sz w:val="24"/>
          <w:szCs w:val="24"/>
          <w:lang w:eastAsia="en-GB"/>
        </w:rPr>
        <w:t>Place and Duration of Study:</w:t>
      </w:r>
      <w:r w:rsidRPr="00A256EF">
        <w:rPr>
          <w:rFonts w:ascii="Arial" w:eastAsia="Times New Roman" w:hAnsi="Arial" w:cs="Arial"/>
          <w:sz w:val="24"/>
          <w:szCs w:val="24"/>
          <w:lang w:eastAsia="en-GB"/>
        </w:rPr>
        <w:t xml:space="preserve"> Sediment samples were collected from Douglas Creek in </w:t>
      </w:r>
      <w:proofErr w:type="spellStart"/>
      <w:r w:rsidRPr="00A256EF">
        <w:rPr>
          <w:rFonts w:ascii="Arial" w:eastAsia="Times New Roman" w:hAnsi="Arial" w:cs="Arial"/>
          <w:sz w:val="24"/>
          <w:szCs w:val="24"/>
          <w:lang w:eastAsia="en-GB"/>
        </w:rPr>
        <w:t>Ibeno</w:t>
      </w:r>
      <w:proofErr w:type="spellEnd"/>
      <w:r w:rsidRPr="00A256EF">
        <w:rPr>
          <w:rFonts w:ascii="Arial" w:eastAsia="Times New Roman" w:hAnsi="Arial" w:cs="Arial"/>
          <w:sz w:val="24"/>
          <w:szCs w:val="24"/>
          <w:lang w:eastAsia="en-GB"/>
        </w:rPr>
        <w:t xml:space="preserve"> Local Government Area, Akwa Ibom State, Nigeria, during both the wet (April–October) and dry (November–March) seasons of 2024.</w:t>
      </w:r>
    </w:p>
    <w:p w14:paraId="24CC8E35" w14:textId="77777777" w:rsidR="006160BB" w:rsidRPr="00A256EF" w:rsidRDefault="006160BB" w:rsidP="00286E24">
      <w:pPr>
        <w:spacing w:before="100" w:beforeAutospacing="1" w:after="100" w:afterAutospacing="1" w:line="240" w:lineRule="auto"/>
        <w:jc w:val="both"/>
        <w:rPr>
          <w:rFonts w:ascii="Arial" w:eastAsia="Times New Roman" w:hAnsi="Arial" w:cs="Arial"/>
          <w:sz w:val="24"/>
          <w:szCs w:val="24"/>
          <w:lang w:eastAsia="en-GB"/>
        </w:rPr>
      </w:pPr>
      <w:r w:rsidRPr="00A256EF">
        <w:rPr>
          <w:rFonts w:ascii="Arial" w:eastAsia="Times New Roman" w:hAnsi="Arial" w:cs="Arial"/>
          <w:b/>
          <w:bCs/>
          <w:sz w:val="24"/>
          <w:szCs w:val="24"/>
          <w:lang w:eastAsia="en-GB"/>
        </w:rPr>
        <w:t>Methodology:</w:t>
      </w:r>
      <w:r w:rsidRPr="00A256EF">
        <w:rPr>
          <w:rFonts w:ascii="Arial" w:eastAsia="Times New Roman" w:hAnsi="Arial" w:cs="Arial"/>
          <w:sz w:val="24"/>
          <w:szCs w:val="24"/>
          <w:lang w:eastAsia="en-GB"/>
        </w:rPr>
        <w:t xml:space="preserve"> Surface sediments (0–10 cm) were collected at georeferenced stations using a Van Veen grab sampler. Samples were air-dried, homogenized, and </w:t>
      </w:r>
      <w:proofErr w:type="spellStart"/>
      <w:r w:rsidRPr="00A256EF">
        <w:rPr>
          <w:rFonts w:ascii="Arial" w:eastAsia="Times New Roman" w:hAnsi="Arial" w:cs="Arial"/>
          <w:sz w:val="24"/>
          <w:szCs w:val="24"/>
          <w:lang w:eastAsia="en-GB"/>
        </w:rPr>
        <w:t>analyzed</w:t>
      </w:r>
      <w:proofErr w:type="spellEnd"/>
      <w:r w:rsidRPr="00A256EF">
        <w:rPr>
          <w:rFonts w:ascii="Arial" w:eastAsia="Times New Roman" w:hAnsi="Arial" w:cs="Arial"/>
          <w:sz w:val="24"/>
          <w:szCs w:val="24"/>
          <w:lang w:eastAsia="en-GB"/>
        </w:rPr>
        <w:t xml:space="preserve"> for pH, electrical conductivity (EC), redox potential, total organic carbon (TOC), nitrate (NO</w:t>
      </w:r>
      <w:r w:rsidRPr="00A256EF">
        <w:rPr>
          <w:rFonts w:ascii="Cambria Math" w:eastAsia="Times New Roman" w:hAnsi="Cambria Math" w:cs="Cambria Math"/>
          <w:sz w:val="24"/>
          <w:szCs w:val="24"/>
          <w:lang w:eastAsia="en-GB"/>
        </w:rPr>
        <w:t>₃⁻</w:t>
      </w:r>
      <w:r w:rsidRPr="00A256EF">
        <w:rPr>
          <w:rFonts w:ascii="Arial" w:eastAsia="Times New Roman" w:hAnsi="Arial" w:cs="Arial"/>
          <w:sz w:val="24"/>
          <w:szCs w:val="24"/>
          <w:lang w:eastAsia="en-GB"/>
        </w:rPr>
        <w:t>), calcium (Ca), magnesium (Mg), and other ions following standardized methods (APHA, ASTM, EPA). Quality control was maintained with blanks, duplicates, and certified reference materials. Data were subjected to descriptive statistics, t-test, one-way ANOVA, and Pearson’s correlation analysis at a 95% confidence level (P &lt; .05).</w:t>
      </w:r>
    </w:p>
    <w:p w14:paraId="56785B19" w14:textId="77777777" w:rsidR="006160BB" w:rsidRPr="00A256EF" w:rsidRDefault="006160BB" w:rsidP="00286E24">
      <w:pPr>
        <w:spacing w:before="100" w:beforeAutospacing="1" w:after="100" w:afterAutospacing="1" w:line="240" w:lineRule="auto"/>
        <w:jc w:val="both"/>
        <w:rPr>
          <w:rFonts w:ascii="Arial" w:eastAsia="Times New Roman" w:hAnsi="Arial" w:cs="Arial"/>
          <w:sz w:val="24"/>
          <w:szCs w:val="24"/>
          <w:lang w:eastAsia="en-GB"/>
        </w:rPr>
      </w:pPr>
      <w:r w:rsidRPr="00A256EF">
        <w:rPr>
          <w:rFonts w:ascii="Arial" w:eastAsia="Times New Roman" w:hAnsi="Arial" w:cs="Arial"/>
          <w:b/>
          <w:bCs/>
          <w:sz w:val="24"/>
          <w:szCs w:val="24"/>
          <w:lang w:eastAsia="en-GB"/>
        </w:rPr>
        <w:t>Results:</w:t>
      </w:r>
      <w:r w:rsidRPr="00A256EF">
        <w:rPr>
          <w:rFonts w:ascii="Arial" w:eastAsia="Times New Roman" w:hAnsi="Arial" w:cs="Arial"/>
          <w:sz w:val="24"/>
          <w:szCs w:val="24"/>
          <w:lang w:eastAsia="en-GB"/>
        </w:rPr>
        <w:t xml:space="preserve"> Stable parameters with no significant seasonal difference (P &gt; .05) included pH, temperature, chloride, phosphate, sulphate, and total petroleum hydrocarbons (TPH). In contrast, TOC, Ca, and Mg were significantly higher during the wet season (0.79 mg/kg, 79.77 mg/kg, and 286.00 mg/kg, respectively), reflecting enhanced organic and mineral inputs from catchment runoff. Nitrate concentrations peaked in the dry season (22.13 mg/kg), indicating nutrient accumulation under low-flow conditions. Correlation analysis showed that sodium strongly influenced EC and pH buffering during the dry season, while mineral influx dominated ionic interactions in the wet season.</w:t>
      </w:r>
    </w:p>
    <w:p w14:paraId="624BB1BC" w14:textId="77777777" w:rsidR="006160BB" w:rsidRPr="00A256EF" w:rsidRDefault="006160BB" w:rsidP="00286E24">
      <w:pPr>
        <w:spacing w:before="100" w:beforeAutospacing="1" w:after="100" w:afterAutospacing="1" w:line="240" w:lineRule="auto"/>
        <w:jc w:val="both"/>
        <w:rPr>
          <w:rFonts w:ascii="Arial" w:eastAsia="Times New Roman" w:hAnsi="Arial" w:cs="Arial"/>
          <w:sz w:val="24"/>
          <w:szCs w:val="24"/>
          <w:lang w:eastAsia="en-GB"/>
        </w:rPr>
      </w:pPr>
      <w:r w:rsidRPr="00A256EF">
        <w:rPr>
          <w:rFonts w:ascii="Arial" w:eastAsia="Times New Roman" w:hAnsi="Arial" w:cs="Arial"/>
          <w:b/>
          <w:bCs/>
          <w:sz w:val="24"/>
          <w:szCs w:val="24"/>
          <w:lang w:eastAsia="en-GB"/>
        </w:rPr>
        <w:t>Conclusion:</w:t>
      </w:r>
      <w:r w:rsidRPr="00A256EF">
        <w:rPr>
          <w:rFonts w:ascii="Arial" w:eastAsia="Times New Roman" w:hAnsi="Arial" w:cs="Arial"/>
          <w:sz w:val="24"/>
          <w:szCs w:val="24"/>
          <w:lang w:eastAsia="en-GB"/>
        </w:rPr>
        <w:t xml:space="preserve"> Seasonal hydrology exerts strong control on sediment nutrient dynamics in Douglas Creek. Wet-season enrichment of organic matter and divalent cations increases microbial oxygen demand and buffering capacity, while dry-season nitrate accumulation poses risks of eutrophication. Sediment-based monitoring provides critical evidence for ecological management in oil-impacted creeks of the Niger Delta.</w:t>
      </w:r>
    </w:p>
    <w:p w14:paraId="0CEE6978" w14:textId="77777777" w:rsidR="006160BB" w:rsidRPr="00A256EF" w:rsidRDefault="006160BB" w:rsidP="00286E24">
      <w:pPr>
        <w:spacing w:before="100" w:beforeAutospacing="1" w:after="100" w:afterAutospacing="1" w:line="240" w:lineRule="auto"/>
        <w:jc w:val="both"/>
        <w:rPr>
          <w:rFonts w:ascii="Arial" w:eastAsia="Times New Roman" w:hAnsi="Arial" w:cs="Arial"/>
          <w:sz w:val="24"/>
          <w:szCs w:val="24"/>
          <w:lang w:eastAsia="en-GB"/>
        </w:rPr>
      </w:pPr>
      <w:r w:rsidRPr="00A256EF">
        <w:rPr>
          <w:rFonts w:ascii="Arial" w:eastAsia="Times New Roman" w:hAnsi="Arial" w:cs="Arial"/>
          <w:b/>
          <w:bCs/>
          <w:i/>
          <w:iCs/>
          <w:sz w:val="24"/>
          <w:szCs w:val="24"/>
          <w:lang w:eastAsia="en-GB"/>
        </w:rPr>
        <w:t>Keywords:</w:t>
      </w:r>
      <w:r w:rsidRPr="00A256EF">
        <w:rPr>
          <w:rFonts w:ascii="Arial" w:eastAsia="Times New Roman" w:hAnsi="Arial" w:cs="Arial"/>
          <w:sz w:val="24"/>
          <w:szCs w:val="24"/>
          <w:lang w:eastAsia="en-GB"/>
        </w:rPr>
        <w:t xml:space="preserve"> Sediments, seasonal variation, Douglas Creek, nutrients, Niger Delta, eutrophication</w:t>
      </w:r>
    </w:p>
    <w:p w14:paraId="31FF7343" w14:textId="0773F73D" w:rsidR="00FF43A4" w:rsidRPr="00286E24" w:rsidRDefault="006160BB" w:rsidP="00286E24">
      <w:pPr>
        <w:pStyle w:val="Heading1"/>
        <w:jc w:val="both"/>
        <w:rPr>
          <w:rFonts w:ascii="Arial" w:hAnsi="Arial" w:cs="Arial"/>
          <w:b/>
          <w:bCs/>
          <w:color w:val="auto"/>
          <w:sz w:val="24"/>
          <w:szCs w:val="24"/>
        </w:rPr>
      </w:pPr>
      <w:r w:rsidRPr="00286E24">
        <w:rPr>
          <w:rFonts w:ascii="Arial" w:hAnsi="Arial" w:cs="Arial"/>
          <w:b/>
          <w:bCs/>
          <w:color w:val="auto"/>
          <w:sz w:val="24"/>
          <w:szCs w:val="24"/>
        </w:rPr>
        <w:t>1.0 INTRODUCTION</w:t>
      </w:r>
    </w:p>
    <w:p w14:paraId="2FF59F31" w14:textId="77777777" w:rsidR="00FF43A4" w:rsidRPr="00286E24" w:rsidRDefault="00FF43A4" w:rsidP="00286E24">
      <w:pPr>
        <w:pStyle w:val="NormalWeb"/>
        <w:jc w:val="both"/>
        <w:rPr>
          <w:rFonts w:ascii="Arial" w:hAnsi="Arial" w:cs="Arial"/>
        </w:rPr>
      </w:pPr>
      <w:r w:rsidRPr="00286E24">
        <w:rPr>
          <w:rFonts w:ascii="Arial" w:hAnsi="Arial" w:cs="Arial"/>
        </w:rPr>
        <w:t xml:space="preserve">Sediments are central to aquatic ecosystem functioning, acting simultaneously as long-term repositories of materials transported from the catchment and as active media for biogeochemical exchange with overlying waters. They integrate signals of </w:t>
      </w:r>
      <w:r w:rsidRPr="00286E24">
        <w:rPr>
          <w:rFonts w:ascii="Arial" w:hAnsi="Arial" w:cs="Arial"/>
        </w:rPr>
        <w:lastRenderedPageBreak/>
        <w:t>organic matter inputs, nutrient loading, ionic strength, and petroleum-related contaminants, often preserving changes that the water column registers only transiently (Chapman, 1996; Schlesinger, 2019). Because sediment processes regulate oxygen demand, redox conditions, and nutrient regeneration, robust sediment assessments are indispensable complements to conventional water monitoring, especially in human-impacted estuaries (American Public Health Association [APHA], 1995; World Health Organization [WHO], 2022).</w:t>
      </w:r>
    </w:p>
    <w:p w14:paraId="7CE8EA12" w14:textId="77777777" w:rsidR="00FF43A4" w:rsidRPr="00286E24" w:rsidRDefault="00FF43A4" w:rsidP="00286E24">
      <w:pPr>
        <w:pStyle w:val="NormalWeb"/>
        <w:jc w:val="both"/>
        <w:rPr>
          <w:rFonts w:ascii="Arial" w:hAnsi="Arial" w:cs="Arial"/>
        </w:rPr>
      </w:pPr>
      <w:r w:rsidRPr="00286E24">
        <w:rPr>
          <w:rFonts w:ascii="Arial" w:hAnsi="Arial" w:cs="Arial"/>
        </w:rPr>
        <w:t xml:space="preserve">Seasonality is a primary control on sediment chemistry in tropical systems. Wet-season rainfall accelerates catchment weathering and runoff, increasing delivery of organic matter and dissolved ions to creek beds; dry-season low flows and evaporation concentrate solutes, elevate electrical conductivity, and can intensify oxygen stress (Bai, 2019; Breen &amp; Maguire, 2020; Rodriguez &amp; </w:t>
      </w:r>
      <w:proofErr w:type="spellStart"/>
      <w:r w:rsidRPr="00286E24">
        <w:rPr>
          <w:rFonts w:ascii="Arial" w:hAnsi="Arial" w:cs="Arial"/>
        </w:rPr>
        <w:t>Tockner</w:t>
      </w:r>
      <w:proofErr w:type="spellEnd"/>
      <w:r w:rsidRPr="00286E24">
        <w:rPr>
          <w:rFonts w:ascii="Arial" w:hAnsi="Arial" w:cs="Arial"/>
        </w:rPr>
        <w:t xml:space="preserve">, 2020; </w:t>
      </w:r>
      <w:proofErr w:type="spellStart"/>
      <w:r w:rsidRPr="00286E24">
        <w:rPr>
          <w:rFonts w:ascii="Arial" w:hAnsi="Arial" w:cs="Arial"/>
        </w:rPr>
        <w:t>Hassett</w:t>
      </w:r>
      <w:proofErr w:type="spellEnd"/>
      <w:r w:rsidRPr="00286E24">
        <w:rPr>
          <w:rFonts w:ascii="Arial" w:hAnsi="Arial" w:cs="Arial"/>
        </w:rPr>
        <w:t>, 2021). Such hydrologic forcing alters sediment pH–alkalinity buffering, redox potential, and the partitioning of major ions including Ca, Mg, Na, and Cl, with implications for nutrient cycling and benthic habitat quality (Foster &amp; Brooks, 2018; Evans et al., 2018; Williams, 2018; Ma et al., 2016). Analytical advances and standardized protocols make these patterns comparable across studies, enabling consistent interpretation of seasonal signals (APHA, 1995; ASTM International, 2016; Hach Company, various years; U.S. Environmental Protection Agency, various years; Zhu &amp; Ma, 2020).</w:t>
      </w:r>
    </w:p>
    <w:p w14:paraId="62ED6321" w14:textId="5BE391AE" w:rsidR="00FF43A4" w:rsidRPr="00286E24" w:rsidRDefault="00FF43A4" w:rsidP="00286E24">
      <w:pPr>
        <w:pStyle w:val="NormalWeb"/>
        <w:jc w:val="both"/>
        <w:rPr>
          <w:rFonts w:ascii="Arial" w:hAnsi="Arial" w:cs="Arial"/>
        </w:rPr>
      </w:pPr>
      <w:r w:rsidRPr="00286E24">
        <w:rPr>
          <w:rFonts w:ascii="Arial" w:hAnsi="Arial" w:cs="Arial"/>
        </w:rPr>
        <w:t>The Niger Delta presents an especially complex setting where natural seasonal hydrology intersects with intense anthropogenic pressures from oil exploration, gas flaring, shoreline settlements, and agriculture (</w:t>
      </w:r>
      <w:proofErr w:type="spellStart"/>
      <w:r w:rsidRPr="00286E24">
        <w:rPr>
          <w:rFonts w:ascii="Arial" w:hAnsi="Arial" w:cs="Arial"/>
        </w:rPr>
        <w:t>Nwilo</w:t>
      </w:r>
      <w:proofErr w:type="spellEnd"/>
      <w:r w:rsidRPr="00286E24">
        <w:rPr>
          <w:rFonts w:ascii="Arial" w:hAnsi="Arial" w:cs="Arial"/>
        </w:rPr>
        <w:t xml:space="preserve"> &amp; </w:t>
      </w:r>
      <w:proofErr w:type="spellStart"/>
      <w:r w:rsidRPr="00286E24">
        <w:rPr>
          <w:rFonts w:ascii="Arial" w:hAnsi="Arial" w:cs="Arial"/>
        </w:rPr>
        <w:t>Badejo</w:t>
      </w:r>
      <w:proofErr w:type="spellEnd"/>
      <w:r w:rsidRPr="00286E24">
        <w:rPr>
          <w:rFonts w:ascii="Arial" w:hAnsi="Arial" w:cs="Arial"/>
        </w:rPr>
        <w:t xml:space="preserve">, 2005; Ugochukwu &amp; </w:t>
      </w:r>
      <w:proofErr w:type="spellStart"/>
      <w:r w:rsidRPr="00286E24">
        <w:rPr>
          <w:rFonts w:ascii="Arial" w:hAnsi="Arial" w:cs="Arial"/>
        </w:rPr>
        <w:t>Ertel</w:t>
      </w:r>
      <w:proofErr w:type="spellEnd"/>
      <w:r w:rsidRPr="00286E24">
        <w:rPr>
          <w:rFonts w:ascii="Arial" w:hAnsi="Arial" w:cs="Arial"/>
        </w:rPr>
        <w:t xml:space="preserve">, 2008; </w:t>
      </w:r>
      <w:proofErr w:type="spellStart"/>
      <w:r w:rsidRPr="00286E24">
        <w:rPr>
          <w:rFonts w:ascii="Arial" w:hAnsi="Arial" w:cs="Arial"/>
        </w:rPr>
        <w:t>Nriagu</w:t>
      </w:r>
      <w:proofErr w:type="spellEnd"/>
      <w:r w:rsidRPr="00286E24">
        <w:rPr>
          <w:rFonts w:ascii="Arial" w:hAnsi="Arial" w:cs="Arial"/>
        </w:rPr>
        <w:t xml:space="preserve"> et al., 2016). Evidence from regional studies documents petroleum hydrocarbons and associated stressors in sediments and biota, underscoring the need for sediment-</w:t>
      </w:r>
      <w:proofErr w:type="spellStart"/>
      <w:r w:rsidRPr="00286E24">
        <w:rPr>
          <w:rFonts w:ascii="Arial" w:hAnsi="Arial" w:cs="Arial"/>
        </w:rPr>
        <w:t>centered</w:t>
      </w:r>
      <w:proofErr w:type="spellEnd"/>
      <w:r w:rsidRPr="00286E24">
        <w:rPr>
          <w:rFonts w:ascii="Arial" w:hAnsi="Arial" w:cs="Arial"/>
        </w:rPr>
        <w:t xml:space="preserve"> diagnostics that can capture cumulative impacts across wet and dry periods (</w:t>
      </w:r>
      <w:proofErr w:type="spellStart"/>
      <w:r w:rsidRPr="00286E24">
        <w:rPr>
          <w:rFonts w:ascii="Arial" w:hAnsi="Arial" w:cs="Arial"/>
        </w:rPr>
        <w:t>Okpoji</w:t>
      </w:r>
      <w:proofErr w:type="spellEnd"/>
      <w:r w:rsidRPr="00286E24">
        <w:rPr>
          <w:rFonts w:ascii="Arial" w:hAnsi="Arial" w:cs="Arial"/>
        </w:rPr>
        <w:t xml:space="preserve">, </w:t>
      </w:r>
      <w:r w:rsidR="0069338C" w:rsidRPr="00286E24">
        <w:rPr>
          <w:rFonts w:ascii="Arial" w:hAnsi="Arial" w:cs="Arial"/>
        </w:rPr>
        <w:t>et al</w:t>
      </w:r>
      <w:r w:rsidR="00400127">
        <w:rPr>
          <w:rFonts w:ascii="Arial" w:hAnsi="Arial" w:cs="Arial"/>
        </w:rPr>
        <w:t>., 2025</w:t>
      </w:r>
      <w:r w:rsidR="0069338C" w:rsidRPr="00286E24">
        <w:rPr>
          <w:rFonts w:ascii="Arial" w:hAnsi="Arial" w:cs="Arial"/>
        </w:rPr>
        <w:t xml:space="preserve">.; </w:t>
      </w:r>
      <w:proofErr w:type="spellStart"/>
      <w:r w:rsidRPr="00286E24">
        <w:rPr>
          <w:rFonts w:ascii="Arial" w:hAnsi="Arial" w:cs="Arial"/>
        </w:rPr>
        <w:t>Anarado</w:t>
      </w:r>
      <w:proofErr w:type="spellEnd"/>
      <w:r w:rsidRPr="00286E24">
        <w:rPr>
          <w:rFonts w:ascii="Arial" w:hAnsi="Arial" w:cs="Arial"/>
        </w:rPr>
        <w:t xml:space="preserve"> et al., 2023). Within this context, Douglas Creek in </w:t>
      </w:r>
      <w:proofErr w:type="spellStart"/>
      <w:r w:rsidRPr="00286E24">
        <w:rPr>
          <w:rFonts w:ascii="Arial" w:hAnsi="Arial" w:cs="Arial"/>
        </w:rPr>
        <w:t>Ibeno</w:t>
      </w:r>
      <w:proofErr w:type="spellEnd"/>
      <w:r w:rsidRPr="00286E24">
        <w:rPr>
          <w:rFonts w:ascii="Arial" w:hAnsi="Arial" w:cs="Arial"/>
        </w:rPr>
        <w:t xml:space="preserve"> LGA is both environmentally sensitive and socioeconomically important, supporting fisheries and domestic uses while being proximate to hydrocarbon operations. Recent water-column work in the same system reports seasonal shifts in physicochemical conditions, highlighting the need to examine sediments directly as longer-term indicators of change (Dada et al., 2025; Benson et al., 2017; Ite et al., 2019).</w:t>
      </w:r>
      <w:r w:rsidR="0069338C" w:rsidRPr="00286E24">
        <w:rPr>
          <w:rFonts w:ascii="Arial" w:hAnsi="Arial" w:cs="Arial"/>
        </w:rPr>
        <w:t xml:space="preserve"> </w:t>
      </w:r>
      <w:r w:rsidRPr="00286E24">
        <w:rPr>
          <w:rFonts w:ascii="Arial" w:hAnsi="Arial" w:cs="Arial"/>
        </w:rPr>
        <w:t xml:space="preserve">The present study addresses this gap by evaluating </w:t>
      </w:r>
      <w:r w:rsidRPr="00286E24">
        <w:rPr>
          <w:rStyle w:val="Strong"/>
          <w:rFonts w:ascii="Arial" w:hAnsi="Arial" w:cs="Arial"/>
          <w:b w:val="0"/>
          <w:bCs w:val="0"/>
        </w:rPr>
        <w:t>seasonal variation in sediment physicochemical parameters</w:t>
      </w:r>
      <w:r w:rsidRPr="00286E24">
        <w:rPr>
          <w:rFonts w:ascii="Arial" w:hAnsi="Arial" w:cs="Arial"/>
        </w:rPr>
        <w:t>—with emphasis on total organic carbon (TOC), nitrate (NO</w:t>
      </w:r>
      <w:r w:rsidRPr="00286E24">
        <w:rPr>
          <w:rFonts w:ascii="Cambria Math" w:hAnsi="Cambria Math" w:cs="Cambria Math"/>
        </w:rPr>
        <w:t>₃⁻</w:t>
      </w:r>
      <w:r w:rsidRPr="00286E24">
        <w:rPr>
          <w:rFonts w:ascii="Arial" w:hAnsi="Arial" w:cs="Arial"/>
        </w:rPr>
        <w:t>), calcium (Ca), magnesium (Mg), and related ionic and redox attributes—across wet and dry seasons in Douglas Creek.</w:t>
      </w:r>
    </w:p>
    <w:p w14:paraId="3F9B4239" w14:textId="3E8AC2A5" w:rsidR="0069338C" w:rsidRPr="00286E24" w:rsidRDefault="00E42660" w:rsidP="00286E24">
      <w:pPr>
        <w:pStyle w:val="Heading1"/>
        <w:jc w:val="both"/>
        <w:rPr>
          <w:rFonts w:ascii="Arial" w:hAnsi="Arial" w:cs="Arial"/>
          <w:b/>
          <w:bCs/>
          <w:color w:val="auto"/>
          <w:sz w:val="24"/>
          <w:szCs w:val="24"/>
        </w:rPr>
      </w:pPr>
      <w:r w:rsidRPr="00286E24">
        <w:rPr>
          <w:rFonts w:ascii="Arial" w:hAnsi="Arial" w:cs="Arial"/>
          <w:b/>
          <w:bCs/>
          <w:color w:val="auto"/>
          <w:sz w:val="24"/>
          <w:szCs w:val="24"/>
        </w:rPr>
        <w:t>2.0 MATERIALS AND METHODS</w:t>
      </w:r>
    </w:p>
    <w:p w14:paraId="42486883" w14:textId="53851DB6" w:rsidR="0069338C" w:rsidRPr="00286E24" w:rsidRDefault="00E42660" w:rsidP="00286E24">
      <w:pPr>
        <w:pStyle w:val="Heading2"/>
        <w:jc w:val="both"/>
        <w:rPr>
          <w:rFonts w:ascii="Arial" w:hAnsi="Arial" w:cs="Arial"/>
          <w:b/>
          <w:bCs/>
          <w:color w:val="auto"/>
          <w:sz w:val="24"/>
          <w:szCs w:val="24"/>
        </w:rPr>
      </w:pPr>
      <w:r w:rsidRPr="00286E24">
        <w:rPr>
          <w:rFonts w:ascii="Arial" w:hAnsi="Arial" w:cs="Arial"/>
          <w:b/>
          <w:bCs/>
          <w:color w:val="auto"/>
          <w:sz w:val="24"/>
          <w:szCs w:val="24"/>
        </w:rPr>
        <w:t>2</w:t>
      </w:r>
      <w:r w:rsidR="0069338C" w:rsidRPr="00286E24">
        <w:rPr>
          <w:rFonts w:ascii="Arial" w:hAnsi="Arial" w:cs="Arial"/>
          <w:b/>
          <w:bCs/>
          <w:color w:val="auto"/>
          <w:sz w:val="24"/>
          <w:szCs w:val="24"/>
        </w:rPr>
        <w:t>.1 Study Area</w:t>
      </w:r>
    </w:p>
    <w:p w14:paraId="6EDE4154" w14:textId="66E8062C" w:rsidR="0069338C" w:rsidRPr="00286E24" w:rsidRDefault="0069338C" w:rsidP="00286E24">
      <w:pPr>
        <w:pStyle w:val="NormalWeb"/>
        <w:jc w:val="both"/>
        <w:rPr>
          <w:rFonts w:ascii="Arial" w:hAnsi="Arial" w:cs="Arial"/>
        </w:rPr>
      </w:pPr>
      <w:r w:rsidRPr="00286E24">
        <w:rPr>
          <w:rFonts w:ascii="Arial" w:hAnsi="Arial" w:cs="Arial"/>
        </w:rPr>
        <w:t xml:space="preserve">Douglas Creek is a tidal waterway located in </w:t>
      </w:r>
      <w:proofErr w:type="spellStart"/>
      <w:r w:rsidRPr="00286E24">
        <w:rPr>
          <w:rFonts w:ascii="Arial" w:hAnsi="Arial" w:cs="Arial"/>
        </w:rPr>
        <w:t>Ibeno</w:t>
      </w:r>
      <w:proofErr w:type="spellEnd"/>
      <w:r w:rsidRPr="00286E24">
        <w:rPr>
          <w:rFonts w:ascii="Arial" w:hAnsi="Arial" w:cs="Arial"/>
        </w:rPr>
        <w:t xml:space="preserve"> Local Government Area, Akwa Ibom State, Nigeria. The creek lies within the lower Niger Delta, an environment subject to both strong seasonal hydrology and extensive anthropogenic pressures including oil exploration, gas flaring, fishing, and shoreline settlements. The climate is humid tropical, characterized by a bimodal pattern of wet (April–October) and dry (November–March) seasons, with annual rainfall ranging between 2,000–3,000 mm and mean temperatures of 26–28°C.</w:t>
      </w:r>
    </w:p>
    <w:p w14:paraId="6E41BADF" w14:textId="77A1CC40" w:rsidR="0069338C" w:rsidRPr="00286E24" w:rsidRDefault="0069338C" w:rsidP="00286E24">
      <w:pPr>
        <w:pStyle w:val="NormalWeb"/>
        <w:jc w:val="both"/>
        <w:rPr>
          <w:rFonts w:ascii="Arial" w:hAnsi="Arial" w:cs="Arial"/>
        </w:rPr>
      </w:pPr>
      <w:r w:rsidRPr="00286E24">
        <w:rPr>
          <w:rFonts w:ascii="Arial" w:hAnsi="Arial" w:cs="Arial"/>
          <w:bCs/>
          <w:noProof/>
        </w:rPr>
        <w:lastRenderedPageBreak/>
        <w:drawing>
          <wp:inline distT="0" distB="0" distL="0" distR="0" wp14:anchorId="39122326" wp14:editId="07DB2BCB">
            <wp:extent cx="4638675" cy="2888284"/>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2428" cy="2909300"/>
                    </a:xfrm>
                    <a:prstGeom prst="rect">
                      <a:avLst/>
                    </a:prstGeom>
                    <a:noFill/>
                    <a:ln>
                      <a:noFill/>
                    </a:ln>
                  </pic:spPr>
                </pic:pic>
              </a:graphicData>
            </a:graphic>
          </wp:inline>
        </w:drawing>
      </w:r>
    </w:p>
    <w:p w14:paraId="76246629" w14:textId="77777777" w:rsidR="0069338C" w:rsidRPr="00286E24" w:rsidRDefault="0069338C" w:rsidP="00286E24">
      <w:pPr>
        <w:spacing w:after="0" w:line="240" w:lineRule="auto"/>
        <w:jc w:val="both"/>
        <w:rPr>
          <w:rFonts w:ascii="Arial" w:hAnsi="Arial" w:cs="Arial"/>
          <w:b/>
          <w:sz w:val="24"/>
          <w:szCs w:val="24"/>
        </w:rPr>
      </w:pPr>
      <w:r w:rsidRPr="00286E24">
        <w:rPr>
          <w:rFonts w:ascii="Arial" w:hAnsi="Arial" w:cs="Arial"/>
          <w:b/>
          <w:sz w:val="24"/>
          <w:szCs w:val="24"/>
        </w:rPr>
        <w:t>Figure1: Map of the Study Area indicating Douglas Creek and the sample stations</w:t>
      </w:r>
    </w:p>
    <w:p w14:paraId="6D702528" w14:textId="77777777" w:rsidR="0069338C" w:rsidRPr="00286E24" w:rsidRDefault="0069338C" w:rsidP="00286E24">
      <w:pPr>
        <w:spacing w:after="0" w:line="240" w:lineRule="auto"/>
        <w:jc w:val="both"/>
        <w:rPr>
          <w:rFonts w:ascii="Arial" w:hAnsi="Arial" w:cs="Arial"/>
          <w:bCs/>
          <w:sz w:val="24"/>
          <w:szCs w:val="24"/>
        </w:rPr>
      </w:pPr>
    </w:p>
    <w:p w14:paraId="024E6FE3" w14:textId="778DBD5F" w:rsidR="0069338C" w:rsidRPr="00286E24" w:rsidRDefault="0069338C" w:rsidP="00286E24">
      <w:pPr>
        <w:spacing w:after="0" w:line="240" w:lineRule="auto"/>
        <w:jc w:val="both"/>
        <w:rPr>
          <w:rFonts w:ascii="Arial" w:hAnsi="Arial" w:cs="Arial"/>
          <w:b/>
          <w:sz w:val="24"/>
          <w:szCs w:val="24"/>
        </w:rPr>
      </w:pPr>
      <w:r w:rsidRPr="00286E24">
        <w:rPr>
          <w:rFonts w:ascii="Arial" w:hAnsi="Arial" w:cs="Arial"/>
          <w:bCs/>
          <w:sz w:val="24"/>
          <w:szCs w:val="24"/>
        </w:rPr>
        <w:t xml:space="preserve"> </w:t>
      </w:r>
      <w:r w:rsidRPr="00286E24">
        <w:rPr>
          <w:rFonts w:ascii="Arial" w:hAnsi="Arial" w:cs="Arial"/>
          <w:b/>
          <w:sz w:val="24"/>
          <w:szCs w:val="24"/>
        </w:rPr>
        <w:t xml:space="preserve">Table 1: GPS </w:t>
      </w:r>
      <w:r w:rsidR="00400127" w:rsidRPr="00286E24">
        <w:rPr>
          <w:rFonts w:ascii="Arial" w:hAnsi="Arial" w:cs="Arial"/>
          <w:b/>
          <w:sz w:val="24"/>
          <w:szCs w:val="24"/>
        </w:rPr>
        <w:t>Coordinates</w:t>
      </w:r>
      <w:r w:rsidRPr="00286E24">
        <w:rPr>
          <w:rFonts w:ascii="Arial" w:hAnsi="Arial" w:cs="Arial"/>
          <w:b/>
          <w:sz w:val="24"/>
          <w:szCs w:val="24"/>
        </w:rPr>
        <w:t xml:space="preserve"> of the sampling stations</w:t>
      </w:r>
    </w:p>
    <w:tbl>
      <w:tblPr>
        <w:tblStyle w:val="PlainTable2"/>
        <w:tblW w:w="9383" w:type="dxa"/>
        <w:tblLook w:val="05A0" w:firstRow="1" w:lastRow="0" w:firstColumn="1" w:lastColumn="1" w:noHBand="0" w:noVBand="1"/>
      </w:tblPr>
      <w:tblGrid>
        <w:gridCol w:w="3129"/>
        <w:gridCol w:w="3000"/>
        <w:gridCol w:w="3254"/>
      </w:tblGrid>
      <w:tr w:rsidR="00E26853" w:rsidRPr="00286E24" w14:paraId="1AD2A293" w14:textId="77777777" w:rsidTr="00FF406A">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3129" w:type="dxa"/>
          </w:tcPr>
          <w:p w14:paraId="162710CA" w14:textId="77777777" w:rsidR="0069338C" w:rsidRPr="00286E24" w:rsidRDefault="0069338C" w:rsidP="00286E24">
            <w:pPr>
              <w:jc w:val="both"/>
              <w:rPr>
                <w:rFonts w:ascii="Arial" w:hAnsi="Arial" w:cs="Arial"/>
                <w:sz w:val="24"/>
                <w:szCs w:val="24"/>
              </w:rPr>
            </w:pPr>
            <w:r w:rsidRPr="00286E24">
              <w:rPr>
                <w:rFonts w:ascii="Arial" w:hAnsi="Arial" w:cs="Arial"/>
                <w:sz w:val="24"/>
                <w:szCs w:val="24"/>
              </w:rPr>
              <w:t>Sampling Station</w:t>
            </w:r>
          </w:p>
        </w:tc>
        <w:tc>
          <w:tcPr>
            <w:tcW w:w="3000" w:type="dxa"/>
          </w:tcPr>
          <w:p w14:paraId="73BBC722" w14:textId="77777777" w:rsidR="0069338C" w:rsidRPr="00286E24" w:rsidRDefault="0069338C" w:rsidP="00286E24">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86E24">
              <w:rPr>
                <w:rFonts w:ascii="Arial" w:hAnsi="Arial" w:cs="Arial"/>
                <w:sz w:val="24"/>
                <w:szCs w:val="24"/>
              </w:rPr>
              <w:t>Latitude</w:t>
            </w:r>
          </w:p>
        </w:tc>
        <w:tc>
          <w:tcPr>
            <w:cnfStyle w:val="000100000000" w:firstRow="0" w:lastRow="0" w:firstColumn="0" w:lastColumn="1" w:oddVBand="0" w:evenVBand="0" w:oddHBand="0" w:evenHBand="0" w:firstRowFirstColumn="0" w:firstRowLastColumn="0" w:lastRowFirstColumn="0" w:lastRowLastColumn="0"/>
            <w:tcW w:w="3254" w:type="dxa"/>
          </w:tcPr>
          <w:p w14:paraId="05D36B93" w14:textId="77777777" w:rsidR="0069338C" w:rsidRPr="00286E24" w:rsidRDefault="0069338C" w:rsidP="00286E24">
            <w:pPr>
              <w:jc w:val="both"/>
              <w:rPr>
                <w:rFonts w:ascii="Arial" w:hAnsi="Arial" w:cs="Arial"/>
                <w:sz w:val="24"/>
                <w:szCs w:val="24"/>
              </w:rPr>
            </w:pPr>
            <w:r w:rsidRPr="00286E24">
              <w:rPr>
                <w:rFonts w:ascii="Arial" w:hAnsi="Arial" w:cs="Arial"/>
                <w:sz w:val="24"/>
                <w:szCs w:val="24"/>
              </w:rPr>
              <w:t>Longitude</w:t>
            </w:r>
          </w:p>
        </w:tc>
      </w:tr>
      <w:tr w:rsidR="00E26853" w:rsidRPr="00286E24" w14:paraId="07AF0D32" w14:textId="77777777" w:rsidTr="00FF406A">
        <w:trPr>
          <w:cnfStyle w:val="000000100000" w:firstRow="0" w:lastRow="0" w:firstColumn="0" w:lastColumn="0" w:oddVBand="0" w:evenVBand="0" w:oddHBand="1"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3129" w:type="dxa"/>
          </w:tcPr>
          <w:p w14:paraId="1DB38F69" w14:textId="77777777" w:rsidR="0069338C" w:rsidRPr="00286E24" w:rsidRDefault="0069338C" w:rsidP="00286E24">
            <w:pPr>
              <w:jc w:val="both"/>
              <w:rPr>
                <w:rFonts w:ascii="Arial" w:hAnsi="Arial" w:cs="Arial"/>
                <w:b w:val="0"/>
                <w:bCs w:val="0"/>
                <w:sz w:val="24"/>
                <w:szCs w:val="24"/>
              </w:rPr>
            </w:pPr>
            <w:r w:rsidRPr="00286E24">
              <w:rPr>
                <w:rFonts w:ascii="Arial" w:hAnsi="Arial" w:cs="Arial"/>
                <w:b w:val="0"/>
                <w:bCs w:val="0"/>
                <w:sz w:val="24"/>
                <w:szCs w:val="24"/>
              </w:rPr>
              <w:t>Sampling Station 1 (SS1)</w:t>
            </w:r>
          </w:p>
        </w:tc>
        <w:tc>
          <w:tcPr>
            <w:tcW w:w="3000" w:type="dxa"/>
          </w:tcPr>
          <w:p w14:paraId="0C9176DB" w14:textId="77777777" w:rsidR="0069338C" w:rsidRPr="00286E24" w:rsidRDefault="0069338C" w:rsidP="00286E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6E24">
              <w:rPr>
                <w:rFonts w:ascii="Arial" w:hAnsi="Arial" w:cs="Arial"/>
                <w:sz w:val="24"/>
                <w:szCs w:val="24"/>
              </w:rPr>
              <w:t>Lat 04° 33´ 10.71´´N</w:t>
            </w:r>
          </w:p>
        </w:tc>
        <w:tc>
          <w:tcPr>
            <w:cnfStyle w:val="000100000000" w:firstRow="0" w:lastRow="0" w:firstColumn="0" w:lastColumn="1" w:oddVBand="0" w:evenVBand="0" w:oddHBand="0" w:evenHBand="0" w:firstRowFirstColumn="0" w:firstRowLastColumn="0" w:lastRowFirstColumn="0" w:lastRowLastColumn="0"/>
            <w:tcW w:w="3254" w:type="dxa"/>
          </w:tcPr>
          <w:p w14:paraId="43895C84" w14:textId="77777777" w:rsidR="0069338C" w:rsidRPr="00286E24" w:rsidRDefault="0069338C" w:rsidP="00286E24">
            <w:pPr>
              <w:jc w:val="both"/>
              <w:rPr>
                <w:rFonts w:ascii="Arial" w:hAnsi="Arial" w:cs="Arial"/>
                <w:b w:val="0"/>
                <w:bCs w:val="0"/>
                <w:sz w:val="24"/>
                <w:szCs w:val="24"/>
              </w:rPr>
            </w:pPr>
            <w:r w:rsidRPr="00286E24">
              <w:rPr>
                <w:rFonts w:ascii="Arial" w:hAnsi="Arial" w:cs="Arial"/>
                <w:b w:val="0"/>
                <w:bCs w:val="0"/>
                <w:sz w:val="24"/>
                <w:szCs w:val="24"/>
              </w:rPr>
              <w:t>Long 008° 0´ 10.50´´E</w:t>
            </w:r>
          </w:p>
        </w:tc>
      </w:tr>
      <w:tr w:rsidR="00E26853" w:rsidRPr="00286E24" w14:paraId="46A4837A" w14:textId="77777777" w:rsidTr="00FF406A">
        <w:trPr>
          <w:trHeight w:val="409"/>
        </w:trPr>
        <w:tc>
          <w:tcPr>
            <w:cnfStyle w:val="001000000000" w:firstRow="0" w:lastRow="0" w:firstColumn="1" w:lastColumn="0" w:oddVBand="0" w:evenVBand="0" w:oddHBand="0" w:evenHBand="0" w:firstRowFirstColumn="0" w:firstRowLastColumn="0" w:lastRowFirstColumn="0" w:lastRowLastColumn="0"/>
            <w:tcW w:w="3129" w:type="dxa"/>
          </w:tcPr>
          <w:p w14:paraId="6199F773" w14:textId="77777777" w:rsidR="0069338C" w:rsidRPr="00286E24" w:rsidRDefault="0069338C" w:rsidP="00286E24">
            <w:pPr>
              <w:jc w:val="both"/>
              <w:rPr>
                <w:rFonts w:ascii="Arial" w:hAnsi="Arial" w:cs="Arial"/>
                <w:b w:val="0"/>
                <w:bCs w:val="0"/>
                <w:sz w:val="24"/>
                <w:szCs w:val="24"/>
              </w:rPr>
            </w:pPr>
            <w:r w:rsidRPr="00286E24">
              <w:rPr>
                <w:rFonts w:ascii="Arial" w:hAnsi="Arial" w:cs="Arial"/>
                <w:b w:val="0"/>
                <w:bCs w:val="0"/>
                <w:sz w:val="24"/>
                <w:szCs w:val="24"/>
              </w:rPr>
              <w:t>Sampling Station 1 (SS2)</w:t>
            </w:r>
          </w:p>
        </w:tc>
        <w:tc>
          <w:tcPr>
            <w:tcW w:w="3000" w:type="dxa"/>
          </w:tcPr>
          <w:p w14:paraId="6AB6F122" w14:textId="77777777" w:rsidR="0069338C" w:rsidRPr="00286E24" w:rsidRDefault="0069338C" w:rsidP="00286E2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6E24">
              <w:rPr>
                <w:rFonts w:ascii="Arial" w:hAnsi="Arial" w:cs="Arial"/>
                <w:sz w:val="24"/>
                <w:szCs w:val="24"/>
              </w:rPr>
              <w:t>Lat 04° 33´ 14.7´´N</w:t>
            </w:r>
          </w:p>
        </w:tc>
        <w:tc>
          <w:tcPr>
            <w:cnfStyle w:val="000100000000" w:firstRow="0" w:lastRow="0" w:firstColumn="0" w:lastColumn="1" w:oddVBand="0" w:evenVBand="0" w:oddHBand="0" w:evenHBand="0" w:firstRowFirstColumn="0" w:firstRowLastColumn="0" w:lastRowFirstColumn="0" w:lastRowLastColumn="0"/>
            <w:tcW w:w="3254" w:type="dxa"/>
          </w:tcPr>
          <w:p w14:paraId="074D96F2" w14:textId="77777777" w:rsidR="0069338C" w:rsidRPr="00286E24" w:rsidRDefault="0069338C" w:rsidP="00286E24">
            <w:pPr>
              <w:jc w:val="both"/>
              <w:rPr>
                <w:rFonts w:ascii="Arial" w:hAnsi="Arial" w:cs="Arial"/>
                <w:b w:val="0"/>
                <w:bCs w:val="0"/>
                <w:sz w:val="24"/>
                <w:szCs w:val="24"/>
              </w:rPr>
            </w:pPr>
            <w:r w:rsidRPr="00286E24">
              <w:rPr>
                <w:rFonts w:ascii="Arial" w:hAnsi="Arial" w:cs="Arial"/>
                <w:b w:val="0"/>
                <w:bCs w:val="0"/>
                <w:sz w:val="24"/>
                <w:szCs w:val="24"/>
              </w:rPr>
              <w:t>Long 008° 0´ 11.85´´E.</w:t>
            </w:r>
          </w:p>
        </w:tc>
      </w:tr>
      <w:tr w:rsidR="00E26853" w:rsidRPr="00286E24" w14:paraId="14718AB6" w14:textId="77777777" w:rsidTr="00FF406A">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129" w:type="dxa"/>
          </w:tcPr>
          <w:p w14:paraId="3054B6B0" w14:textId="77777777" w:rsidR="0069338C" w:rsidRPr="00286E24" w:rsidRDefault="0069338C" w:rsidP="00286E24">
            <w:pPr>
              <w:jc w:val="both"/>
              <w:rPr>
                <w:rFonts w:ascii="Arial" w:hAnsi="Arial" w:cs="Arial"/>
                <w:b w:val="0"/>
                <w:bCs w:val="0"/>
                <w:sz w:val="24"/>
                <w:szCs w:val="24"/>
              </w:rPr>
            </w:pPr>
            <w:r w:rsidRPr="00286E24">
              <w:rPr>
                <w:rFonts w:ascii="Arial" w:hAnsi="Arial" w:cs="Arial"/>
                <w:b w:val="0"/>
                <w:bCs w:val="0"/>
                <w:sz w:val="24"/>
                <w:szCs w:val="24"/>
              </w:rPr>
              <w:t>Sampling Station 1 (SS2)</w:t>
            </w:r>
          </w:p>
        </w:tc>
        <w:tc>
          <w:tcPr>
            <w:tcW w:w="3000" w:type="dxa"/>
          </w:tcPr>
          <w:p w14:paraId="3CF14FD6" w14:textId="77777777" w:rsidR="0069338C" w:rsidRPr="00286E24" w:rsidRDefault="0069338C" w:rsidP="00286E2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6E24">
              <w:rPr>
                <w:rFonts w:ascii="Arial" w:hAnsi="Arial" w:cs="Arial"/>
                <w:sz w:val="24"/>
                <w:szCs w:val="24"/>
              </w:rPr>
              <w:t>Lat 04° 33´ 19.1´´N</w:t>
            </w:r>
          </w:p>
        </w:tc>
        <w:tc>
          <w:tcPr>
            <w:cnfStyle w:val="000100000000" w:firstRow="0" w:lastRow="0" w:firstColumn="0" w:lastColumn="1" w:oddVBand="0" w:evenVBand="0" w:oddHBand="0" w:evenHBand="0" w:firstRowFirstColumn="0" w:firstRowLastColumn="0" w:lastRowFirstColumn="0" w:lastRowLastColumn="0"/>
            <w:tcW w:w="3254" w:type="dxa"/>
          </w:tcPr>
          <w:p w14:paraId="10908CAD" w14:textId="77777777" w:rsidR="0069338C" w:rsidRPr="00286E24" w:rsidRDefault="0069338C" w:rsidP="00286E24">
            <w:pPr>
              <w:jc w:val="both"/>
              <w:rPr>
                <w:rFonts w:ascii="Arial" w:hAnsi="Arial" w:cs="Arial"/>
                <w:b w:val="0"/>
                <w:bCs w:val="0"/>
                <w:sz w:val="24"/>
                <w:szCs w:val="24"/>
              </w:rPr>
            </w:pPr>
            <w:r w:rsidRPr="00286E24">
              <w:rPr>
                <w:rFonts w:ascii="Arial" w:hAnsi="Arial" w:cs="Arial"/>
                <w:b w:val="0"/>
                <w:bCs w:val="0"/>
                <w:sz w:val="24"/>
                <w:szCs w:val="24"/>
              </w:rPr>
              <w:t>Long 008° 0´ 10.35´´E</w:t>
            </w:r>
          </w:p>
        </w:tc>
      </w:tr>
    </w:tbl>
    <w:p w14:paraId="50AF7E4E" w14:textId="77777777" w:rsidR="0069338C" w:rsidRPr="00286E24" w:rsidRDefault="0069338C" w:rsidP="00286E24">
      <w:pPr>
        <w:pStyle w:val="Heading2"/>
        <w:jc w:val="both"/>
        <w:rPr>
          <w:rFonts w:ascii="Arial" w:hAnsi="Arial" w:cs="Arial"/>
          <w:b/>
          <w:bCs/>
          <w:color w:val="auto"/>
          <w:sz w:val="24"/>
          <w:szCs w:val="24"/>
        </w:rPr>
      </w:pPr>
    </w:p>
    <w:p w14:paraId="5F7D2841" w14:textId="69C196E2" w:rsidR="0069338C" w:rsidRPr="00286E24" w:rsidRDefault="00E42660" w:rsidP="00286E24">
      <w:pPr>
        <w:pStyle w:val="Heading2"/>
        <w:jc w:val="both"/>
        <w:rPr>
          <w:rFonts w:ascii="Arial" w:hAnsi="Arial" w:cs="Arial"/>
          <w:b/>
          <w:bCs/>
          <w:color w:val="auto"/>
          <w:sz w:val="24"/>
          <w:szCs w:val="24"/>
        </w:rPr>
      </w:pPr>
      <w:r w:rsidRPr="00286E24">
        <w:rPr>
          <w:rFonts w:ascii="Arial" w:hAnsi="Arial" w:cs="Arial"/>
          <w:b/>
          <w:bCs/>
          <w:color w:val="auto"/>
          <w:sz w:val="24"/>
          <w:szCs w:val="24"/>
        </w:rPr>
        <w:t>2</w:t>
      </w:r>
      <w:r w:rsidR="0069338C" w:rsidRPr="00286E24">
        <w:rPr>
          <w:rFonts w:ascii="Arial" w:hAnsi="Arial" w:cs="Arial"/>
          <w:b/>
          <w:bCs/>
          <w:color w:val="auto"/>
          <w:sz w:val="24"/>
          <w:szCs w:val="24"/>
        </w:rPr>
        <w:t>.2 Sampling Strategy and collection</w:t>
      </w:r>
    </w:p>
    <w:p w14:paraId="5F7E1F73" w14:textId="77777777" w:rsidR="0069338C" w:rsidRPr="00286E24" w:rsidRDefault="0069338C" w:rsidP="00286E24">
      <w:pPr>
        <w:pStyle w:val="NormalWeb"/>
        <w:jc w:val="both"/>
        <w:rPr>
          <w:rFonts w:ascii="Arial" w:hAnsi="Arial" w:cs="Arial"/>
        </w:rPr>
      </w:pPr>
      <w:r w:rsidRPr="00286E24">
        <w:rPr>
          <w:rFonts w:ascii="Arial" w:hAnsi="Arial" w:cs="Arial"/>
        </w:rPr>
        <w:t>Sediment samples were collected during both wet and dry seasons to capture seasonal variability. At each sampling point, surface sediments (0–10 cm) were obtained using a Van Veen grab sampler, transferred into acid-washed polyethylene containers, and stored on ice during transport to the laboratory. Replicates were pooled for composite analysis to reduce small-scale spatial heterogeneity.</w:t>
      </w:r>
    </w:p>
    <w:p w14:paraId="048976D1" w14:textId="49E4E6A7" w:rsidR="0069338C" w:rsidRPr="00286E24" w:rsidRDefault="00E42660" w:rsidP="00286E24">
      <w:pPr>
        <w:pStyle w:val="Heading2"/>
        <w:jc w:val="both"/>
        <w:rPr>
          <w:rFonts w:ascii="Arial" w:hAnsi="Arial" w:cs="Arial"/>
          <w:b/>
          <w:bCs/>
          <w:color w:val="auto"/>
          <w:sz w:val="24"/>
          <w:szCs w:val="24"/>
        </w:rPr>
      </w:pPr>
      <w:r w:rsidRPr="00286E24">
        <w:rPr>
          <w:rFonts w:ascii="Arial" w:hAnsi="Arial" w:cs="Arial"/>
          <w:b/>
          <w:bCs/>
          <w:color w:val="auto"/>
          <w:sz w:val="24"/>
          <w:szCs w:val="24"/>
        </w:rPr>
        <w:t>2</w:t>
      </w:r>
      <w:r w:rsidR="0069338C" w:rsidRPr="00286E24">
        <w:rPr>
          <w:rFonts w:ascii="Arial" w:hAnsi="Arial" w:cs="Arial"/>
          <w:b/>
          <w:bCs/>
          <w:color w:val="auto"/>
          <w:sz w:val="24"/>
          <w:szCs w:val="24"/>
        </w:rPr>
        <w:t>.3 Sample Preparation and Laboratory Analyses</w:t>
      </w:r>
    </w:p>
    <w:p w14:paraId="18D278DE" w14:textId="57A1E584" w:rsidR="0069338C" w:rsidRPr="00286E24" w:rsidRDefault="0069338C" w:rsidP="00286E24">
      <w:pPr>
        <w:pStyle w:val="NormalWeb"/>
        <w:jc w:val="both"/>
        <w:rPr>
          <w:rFonts w:ascii="Arial" w:hAnsi="Arial" w:cs="Arial"/>
        </w:rPr>
      </w:pPr>
      <w:r w:rsidRPr="00286E24">
        <w:rPr>
          <w:rFonts w:ascii="Arial" w:hAnsi="Arial" w:cs="Arial"/>
        </w:rPr>
        <w:t xml:space="preserve">Sediments were air-dried, gently ground with a porcelain mortar, and sieved through a 2 mm mesh prior to analysis. Physicochemical parameters were determined following standardized methods. pH and electrical conductivity (EC) were measured in a 1:2.5 sediment-to-deionized water suspension using a calibrated portable meter (APHA, 1995; Chapman, 1996). Major anions (sulphate, chloride, phosphate, nitrate) were quantified </w:t>
      </w:r>
      <w:proofErr w:type="spellStart"/>
      <w:r w:rsidRPr="00286E24">
        <w:rPr>
          <w:rFonts w:ascii="Arial" w:hAnsi="Arial" w:cs="Arial"/>
        </w:rPr>
        <w:t>colorimetrically</w:t>
      </w:r>
      <w:proofErr w:type="spellEnd"/>
      <w:r w:rsidRPr="00286E24">
        <w:rPr>
          <w:rFonts w:ascii="Arial" w:hAnsi="Arial" w:cs="Arial"/>
        </w:rPr>
        <w:t xml:space="preserve"> using Hach spectrophotometric procedures (Hach Company, various years; Zhu &amp; Ma, 2020). Total organic carbon (TOC) was determined by wet oxidation with potassium dichromate and titration with ferrous ammonium sulphate (APHA, 1995). Total petroleum hydrocarbons (TPH) were </w:t>
      </w:r>
      <w:proofErr w:type="spellStart"/>
      <w:r w:rsidRPr="00286E24">
        <w:rPr>
          <w:rFonts w:ascii="Arial" w:hAnsi="Arial" w:cs="Arial"/>
        </w:rPr>
        <w:t>analyzed</w:t>
      </w:r>
      <w:proofErr w:type="spellEnd"/>
      <w:r w:rsidRPr="00286E24">
        <w:rPr>
          <w:rFonts w:ascii="Arial" w:hAnsi="Arial" w:cs="Arial"/>
        </w:rPr>
        <w:t xml:space="preserve"> using infrared spectrophotometry in accordance with ASTM D7066 (ASTM </w:t>
      </w:r>
      <w:r w:rsidRPr="00286E24">
        <w:rPr>
          <w:rFonts w:ascii="Arial" w:hAnsi="Arial" w:cs="Arial"/>
        </w:rPr>
        <w:lastRenderedPageBreak/>
        <w:t>International, 2016; U.S. Environmental Protection Agency, various years). Cations (Ca, Mg, Na, K) were determined by flame atomic absorption spectrophotometry (Ikpe et al., 2019, 2020, 2023). Quality assurance and control were maintained through the use of blanks, duplicates, and certified reference materials (CRM). Instrument calibration was carried out daily, and recoveries for standards ranged between 85–110%.</w:t>
      </w:r>
    </w:p>
    <w:p w14:paraId="5D73A866" w14:textId="33E2C050" w:rsidR="0069338C" w:rsidRPr="00286E24" w:rsidRDefault="00E42660" w:rsidP="00286E24">
      <w:pPr>
        <w:pStyle w:val="Heading2"/>
        <w:jc w:val="both"/>
        <w:rPr>
          <w:rFonts w:ascii="Arial" w:hAnsi="Arial" w:cs="Arial"/>
          <w:b/>
          <w:bCs/>
          <w:color w:val="auto"/>
          <w:sz w:val="24"/>
          <w:szCs w:val="24"/>
        </w:rPr>
      </w:pPr>
      <w:r w:rsidRPr="00286E24">
        <w:rPr>
          <w:rFonts w:ascii="Arial" w:hAnsi="Arial" w:cs="Arial"/>
          <w:b/>
          <w:bCs/>
          <w:color w:val="auto"/>
          <w:sz w:val="24"/>
          <w:szCs w:val="24"/>
        </w:rPr>
        <w:t>2</w:t>
      </w:r>
      <w:r w:rsidR="0069338C" w:rsidRPr="00286E24">
        <w:rPr>
          <w:rFonts w:ascii="Arial" w:hAnsi="Arial" w:cs="Arial"/>
          <w:b/>
          <w:bCs/>
          <w:color w:val="auto"/>
          <w:sz w:val="24"/>
          <w:szCs w:val="24"/>
        </w:rPr>
        <w:t>.4 Data Analysis</w:t>
      </w:r>
    </w:p>
    <w:p w14:paraId="39104365" w14:textId="77777777" w:rsidR="0069338C" w:rsidRPr="00286E24" w:rsidRDefault="0069338C" w:rsidP="00286E24">
      <w:pPr>
        <w:pStyle w:val="NormalWeb"/>
        <w:jc w:val="both"/>
        <w:rPr>
          <w:rFonts w:ascii="Arial" w:hAnsi="Arial" w:cs="Arial"/>
        </w:rPr>
      </w:pPr>
      <w:r w:rsidRPr="00286E24">
        <w:rPr>
          <w:rFonts w:ascii="Arial" w:hAnsi="Arial" w:cs="Arial"/>
        </w:rPr>
        <w:t>Descriptive statistics were computed for each parameter as mean ± standard deviation. Seasonal differences were evaluated using Student’s t-test and one-way analysis of variance (ANOVA) at a 95% confidence level (p &lt; 0.05). Pearson’s correlation coefficients were calculated to explore relationships among sediment parameters, and results were visualized in correlation matrices. Data processing was performed using SPSS version 25</w:t>
      </w:r>
    </w:p>
    <w:p w14:paraId="54FD1646" w14:textId="1B064DCE" w:rsidR="00E26853" w:rsidRPr="00286E24" w:rsidRDefault="00E26853" w:rsidP="00286E24">
      <w:pPr>
        <w:pStyle w:val="Heading2"/>
        <w:jc w:val="both"/>
        <w:rPr>
          <w:rFonts w:ascii="Arial" w:hAnsi="Arial" w:cs="Arial"/>
          <w:b/>
          <w:bCs/>
          <w:color w:val="auto"/>
          <w:sz w:val="24"/>
          <w:szCs w:val="24"/>
        </w:rPr>
      </w:pPr>
      <w:r w:rsidRPr="00286E24">
        <w:rPr>
          <w:rFonts w:ascii="Arial" w:hAnsi="Arial" w:cs="Arial"/>
          <w:b/>
          <w:bCs/>
          <w:color w:val="auto"/>
          <w:sz w:val="24"/>
          <w:szCs w:val="24"/>
        </w:rPr>
        <w:t>3.0 RESULTS AND DISCUSSION</w:t>
      </w:r>
    </w:p>
    <w:p w14:paraId="0C4C611C" w14:textId="77777777" w:rsidR="00E26853" w:rsidRPr="00286E24" w:rsidRDefault="00E26853" w:rsidP="00286E24">
      <w:pPr>
        <w:pStyle w:val="Heading3"/>
        <w:jc w:val="both"/>
        <w:rPr>
          <w:rFonts w:ascii="Arial" w:hAnsi="Arial" w:cs="Arial"/>
          <w:sz w:val="24"/>
          <w:szCs w:val="24"/>
        </w:rPr>
      </w:pPr>
      <w:r w:rsidRPr="00286E24">
        <w:rPr>
          <w:rFonts w:ascii="Arial" w:hAnsi="Arial" w:cs="Arial"/>
          <w:sz w:val="24"/>
          <w:szCs w:val="24"/>
        </w:rPr>
        <w:t>3.1 Seasonal Variation in Sediment Physicochemical Parameters</w:t>
      </w:r>
    </w:p>
    <w:p w14:paraId="6936354D" w14:textId="25097C90" w:rsidR="00E26853" w:rsidRPr="00286E24" w:rsidRDefault="00E26853" w:rsidP="00286E24">
      <w:pPr>
        <w:pStyle w:val="NormalWeb"/>
        <w:jc w:val="both"/>
        <w:rPr>
          <w:rFonts w:ascii="Arial" w:hAnsi="Arial" w:cs="Arial"/>
        </w:rPr>
      </w:pPr>
      <w:r w:rsidRPr="00286E24">
        <w:rPr>
          <w:rStyle w:val="Strong"/>
          <w:rFonts w:ascii="Arial" w:eastAsiaTheme="majorEastAsia" w:hAnsi="Arial" w:cs="Arial"/>
        </w:rPr>
        <w:t xml:space="preserve">Table </w:t>
      </w:r>
      <w:r w:rsidR="004C1C42">
        <w:rPr>
          <w:rStyle w:val="Strong"/>
          <w:rFonts w:ascii="Arial" w:eastAsiaTheme="majorEastAsia" w:hAnsi="Arial" w:cs="Arial"/>
        </w:rPr>
        <w:t>2</w:t>
      </w:r>
      <w:r w:rsidRPr="00286E24">
        <w:rPr>
          <w:rStyle w:val="Strong"/>
          <w:rFonts w:ascii="Arial" w:eastAsiaTheme="majorEastAsia" w:hAnsi="Arial" w:cs="Arial"/>
        </w:rPr>
        <w:t>. Seasonal variation in physicochemical parameters of Douglas Creek sediments (mean ±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2"/>
        <w:gridCol w:w="1701"/>
        <w:gridCol w:w="1559"/>
        <w:gridCol w:w="1276"/>
        <w:gridCol w:w="1276"/>
      </w:tblGrid>
      <w:tr w:rsidR="00E26853" w:rsidRPr="00286E24" w14:paraId="6DB030FD" w14:textId="77777777" w:rsidTr="0079231B">
        <w:trPr>
          <w:tblHeader/>
          <w:tblCellSpacing w:w="15" w:type="dxa"/>
        </w:trPr>
        <w:tc>
          <w:tcPr>
            <w:tcW w:w="2507" w:type="dxa"/>
            <w:vAlign w:val="center"/>
            <w:hideMark/>
          </w:tcPr>
          <w:p w14:paraId="5FA7CBC6" w14:textId="77777777" w:rsidR="00E26853" w:rsidRPr="00286E24" w:rsidRDefault="00E26853" w:rsidP="00286E24">
            <w:pPr>
              <w:jc w:val="both"/>
              <w:rPr>
                <w:rFonts w:ascii="Arial" w:hAnsi="Arial" w:cs="Arial"/>
                <w:b/>
                <w:bCs/>
                <w:sz w:val="24"/>
                <w:szCs w:val="24"/>
              </w:rPr>
            </w:pPr>
            <w:r w:rsidRPr="00286E24">
              <w:rPr>
                <w:rFonts w:ascii="Arial" w:hAnsi="Arial" w:cs="Arial"/>
                <w:b/>
                <w:bCs/>
                <w:sz w:val="24"/>
                <w:szCs w:val="24"/>
              </w:rPr>
              <w:t>Parameter</w:t>
            </w:r>
          </w:p>
        </w:tc>
        <w:tc>
          <w:tcPr>
            <w:tcW w:w="1671" w:type="dxa"/>
            <w:vAlign w:val="center"/>
            <w:hideMark/>
          </w:tcPr>
          <w:p w14:paraId="43414DFC" w14:textId="77777777" w:rsidR="00E26853" w:rsidRPr="00286E24" w:rsidRDefault="00E26853" w:rsidP="00286E24">
            <w:pPr>
              <w:jc w:val="both"/>
              <w:rPr>
                <w:rFonts w:ascii="Arial" w:hAnsi="Arial" w:cs="Arial"/>
                <w:b/>
                <w:bCs/>
                <w:sz w:val="24"/>
                <w:szCs w:val="24"/>
              </w:rPr>
            </w:pPr>
            <w:r w:rsidRPr="00286E24">
              <w:rPr>
                <w:rFonts w:ascii="Arial" w:hAnsi="Arial" w:cs="Arial"/>
                <w:b/>
                <w:bCs/>
                <w:sz w:val="24"/>
                <w:szCs w:val="24"/>
              </w:rPr>
              <w:t>Wet Season</w:t>
            </w:r>
          </w:p>
        </w:tc>
        <w:tc>
          <w:tcPr>
            <w:tcW w:w="1529" w:type="dxa"/>
            <w:vAlign w:val="center"/>
            <w:hideMark/>
          </w:tcPr>
          <w:p w14:paraId="3B599B55" w14:textId="77777777" w:rsidR="00E26853" w:rsidRPr="00286E24" w:rsidRDefault="00E26853" w:rsidP="00286E24">
            <w:pPr>
              <w:jc w:val="both"/>
              <w:rPr>
                <w:rFonts w:ascii="Arial" w:hAnsi="Arial" w:cs="Arial"/>
                <w:b/>
                <w:bCs/>
                <w:sz w:val="24"/>
                <w:szCs w:val="24"/>
              </w:rPr>
            </w:pPr>
            <w:r w:rsidRPr="00286E24">
              <w:rPr>
                <w:rFonts w:ascii="Arial" w:hAnsi="Arial" w:cs="Arial"/>
                <w:b/>
                <w:bCs/>
                <w:sz w:val="24"/>
                <w:szCs w:val="24"/>
              </w:rPr>
              <w:t>Dry Season</w:t>
            </w:r>
          </w:p>
        </w:tc>
        <w:tc>
          <w:tcPr>
            <w:tcW w:w="1246" w:type="dxa"/>
            <w:vAlign w:val="center"/>
            <w:hideMark/>
          </w:tcPr>
          <w:p w14:paraId="77A8DD19" w14:textId="77777777" w:rsidR="00E26853" w:rsidRPr="00286E24" w:rsidRDefault="00E26853" w:rsidP="00286E24">
            <w:pPr>
              <w:jc w:val="both"/>
              <w:rPr>
                <w:rFonts w:ascii="Arial" w:hAnsi="Arial" w:cs="Arial"/>
                <w:b/>
                <w:bCs/>
                <w:sz w:val="24"/>
                <w:szCs w:val="24"/>
              </w:rPr>
            </w:pPr>
            <w:r w:rsidRPr="00286E24">
              <w:rPr>
                <w:rFonts w:ascii="Arial" w:hAnsi="Arial" w:cs="Arial"/>
                <w:b/>
                <w:bCs/>
                <w:sz w:val="24"/>
                <w:szCs w:val="24"/>
              </w:rPr>
              <w:t>P-value</w:t>
            </w:r>
          </w:p>
        </w:tc>
        <w:tc>
          <w:tcPr>
            <w:tcW w:w="1231" w:type="dxa"/>
            <w:vAlign w:val="center"/>
            <w:hideMark/>
          </w:tcPr>
          <w:p w14:paraId="24370464" w14:textId="77777777" w:rsidR="00E26853" w:rsidRPr="00286E24" w:rsidRDefault="00E26853" w:rsidP="00286E24">
            <w:pPr>
              <w:jc w:val="both"/>
              <w:rPr>
                <w:rFonts w:ascii="Arial" w:hAnsi="Arial" w:cs="Arial"/>
                <w:b/>
                <w:bCs/>
                <w:sz w:val="24"/>
                <w:szCs w:val="24"/>
              </w:rPr>
            </w:pPr>
            <w:r w:rsidRPr="00286E24">
              <w:rPr>
                <w:rFonts w:ascii="Arial" w:hAnsi="Arial" w:cs="Arial"/>
                <w:b/>
                <w:bCs/>
                <w:sz w:val="24"/>
                <w:szCs w:val="24"/>
              </w:rPr>
              <w:t>Remark</w:t>
            </w:r>
          </w:p>
        </w:tc>
      </w:tr>
      <w:tr w:rsidR="00E26853" w:rsidRPr="00286E24" w14:paraId="6CA9B148" w14:textId="77777777" w:rsidTr="0079231B">
        <w:trPr>
          <w:tblCellSpacing w:w="15" w:type="dxa"/>
        </w:trPr>
        <w:tc>
          <w:tcPr>
            <w:tcW w:w="2507" w:type="dxa"/>
            <w:vAlign w:val="center"/>
            <w:hideMark/>
          </w:tcPr>
          <w:p w14:paraId="1B5450C0"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pH</w:t>
            </w:r>
          </w:p>
        </w:tc>
        <w:tc>
          <w:tcPr>
            <w:tcW w:w="1671" w:type="dxa"/>
            <w:vAlign w:val="center"/>
            <w:hideMark/>
          </w:tcPr>
          <w:p w14:paraId="0CAA8C87"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6.73 ± 0.25</w:t>
            </w:r>
          </w:p>
        </w:tc>
        <w:tc>
          <w:tcPr>
            <w:tcW w:w="1529" w:type="dxa"/>
            <w:vAlign w:val="center"/>
            <w:hideMark/>
          </w:tcPr>
          <w:p w14:paraId="05DDC20E"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6.65 ± 0.28</w:t>
            </w:r>
          </w:p>
        </w:tc>
        <w:tc>
          <w:tcPr>
            <w:tcW w:w="1246" w:type="dxa"/>
            <w:vAlign w:val="center"/>
            <w:hideMark/>
          </w:tcPr>
          <w:p w14:paraId="276A509B"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 .318</w:t>
            </w:r>
          </w:p>
        </w:tc>
        <w:tc>
          <w:tcPr>
            <w:tcW w:w="1231" w:type="dxa"/>
            <w:vAlign w:val="center"/>
            <w:hideMark/>
          </w:tcPr>
          <w:p w14:paraId="34A302A8"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NS</w:t>
            </w:r>
          </w:p>
        </w:tc>
      </w:tr>
      <w:tr w:rsidR="00E26853" w:rsidRPr="00286E24" w14:paraId="295C9CA3" w14:textId="77777777" w:rsidTr="0079231B">
        <w:trPr>
          <w:tblCellSpacing w:w="15" w:type="dxa"/>
        </w:trPr>
        <w:tc>
          <w:tcPr>
            <w:tcW w:w="2507" w:type="dxa"/>
            <w:vAlign w:val="center"/>
            <w:hideMark/>
          </w:tcPr>
          <w:p w14:paraId="45031795"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Temperature (°C)</w:t>
            </w:r>
          </w:p>
        </w:tc>
        <w:tc>
          <w:tcPr>
            <w:tcW w:w="1671" w:type="dxa"/>
            <w:vAlign w:val="center"/>
            <w:hideMark/>
          </w:tcPr>
          <w:p w14:paraId="22AC95DC"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27.50 ± 1.20</w:t>
            </w:r>
          </w:p>
        </w:tc>
        <w:tc>
          <w:tcPr>
            <w:tcW w:w="1529" w:type="dxa"/>
            <w:vAlign w:val="center"/>
            <w:hideMark/>
          </w:tcPr>
          <w:p w14:paraId="51FDCD85"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28.10 ± 1.15</w:t>
            </w:r>
          </w:p>
        </w:tc>
        <w:tc>
          <w:tcPr>
            <w:tcW w:w="1246" w:type="dxa"/>
            <w:vAlign w:val="center"/>
            <w:hideMark/>
          </w:tcPr>
          <w:p w14:paraId="10C254CA"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 .212</w:t>
            </w:r>
          </w:p>
        </w:tc>
        <w:tc>
          <w:tcPr>
            <w:tcW w:w="1231" w:type="dxa"/>
            <w:vAlign w:val="center"/>
            <w:hideMark/>
          </w:tcPr>
          <w:p w14:paraId="0A3B8B53"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NS</w:t>
            </w:r>
          </w:p>
        </w:tc>
      </w:tr>
      <w:tr w:rsidR="00E26853" w:rsidRPr="00286E24" w14:paraId="4D2AAD9C" w14:textId="77777777" w:rsidTr="0079231B">
        <w:trPr>
          <w:tblCellSpacing w:w="15" w:type="dxa"/>
        </w:trPr>
        <w:tc>
          <w:tcPr>
            <w:tcW w:w="2507" w:type="dxa"/>
            <w:vAlign w:val="center"/>
            <w:hideMark/>
          </w:tcPr>
          <w:p w14:paraId="60F1D681"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EC (µS/cm)</w:t>
            </w:r>
          </w:p>
        </w:tc>
        <w:tc>
          <w:tcPr>
            <w:tcW w:w="1671" w:type="dxa"/>
            <w:vAlign w:val="center"/>
            <w:hideMark/>
          </w:tcPr>
          <w:p w14:paraId="38BF0308"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113.20 ± 5.10</w:t>
            </w:r>
          </w:p>
        </w:tc>
        <w:tc>
          <w:tcPr>
            <w:tcW w:w="1529" w:type="dxa"/>
            <w:vAlign w:val="center"/>
            <w:hideMark/>
          </w:tcPr>
          <w:p w14:paraId="12E42087"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116.40 ± 4.85</w:t>
            </w:r>
          </w:p>
        </w:tc>
        <w:tc>
          <w:tcPr>
            <w:tcW w:w="1246" w:type="dxa"/>
            <w:vAlign w:val="center"/>
            <w:hideMark/>
          </w:tcPr>
          <w:p w14:paraId="54C08D9E"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 .165</w:t>
            </w:r>
          </w:p>
        </w:tc>
        <w:tc>
          <w:tcPr>
            <w:tcW w:w="1231" w:type="dxa"/>
            <w:vAlign w:val="center"/>
            <w:hideMark/>
          </w:tcPr>
          <w:p w14:paraId="7A05D789"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NS</w:t>
            </w:r>
          </w:p>
        </w:tc>
      </w:tr>
      <w:tr w:rsidR="00E26853" w:rsidRPr="00286E24" w14:paraId="7EAD1B66" w14:textId="77777777" w:rsidTr="0079231B">
        <w:trPr>
          <w:tblCellSpacing w:w="15" w:type="dxa"/>
        </w:trPr>
        <w:tc>
          <w:tcPr>
            <w:tcW w:w="2507" w:type="dxa"/>
            <w:vAlign w:val="center"/>
            <w:hideMark/>
          </w:tcPr>
          <w:p w14:paraId="795329D6"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Redox (mV)</w:t>
            </w:r>
          </w:p>
        </w:tc>
        <w:tc>
          <w:tcPr>
            <w:tcW w:w="1671" w:type="dxa"/>
            <w:vAlign w:val="center"/>
            <w:hideMark/>
          </w:tcPr>
          <w:p w14:paraId="0678F3BA"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125.50 ± 8.75</w:t>
            </w:r>
          </w:p>
        </w:tc>
        <w:tc>
          <w:tcPr>
            <w:tcW w:w="1529" w:type="dxa"/>
            <w:vAlign w:val="center"/>
            <w:hideMark/>
          </w:tcPr>
          <w:p w14:paraId="692AD925"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121.70 ± 7.90</w:t>
            </w:r>
          </w:p>
        </w:tc>
        <w:tc>
          <w:tcPr>
            <w:tcW w:w="1246" w:type="dxa"/>
            <w:vAlign w:val="center"/>
            <w:hideMark/>
          </w:tcPr>
          <w:p w14:paraId="2BD95196"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 .278</w:t>
            </w:r>
          </w:p>
        </w:tc>
        <w:tc>
          <w:tcPr>
            <w:tcW w:w="1231" w:type="dxa"/>
            <w:vAlign w:val="center"/>
            <w:hideMark/>
          </w:tcPr>
          <w:p w14:paraId="4B1BA59B"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NS</w:t>
            </w:r>
          </w:p>
        </w:tc>
      </w:tr>
      <w:tr w:rsidR="00E26853" w:rsidRPr="00286E24" w14:paraId="65592E33" w14:textId="77777777" w:rsidTr="0079231B">
        <w:trPr>
          <w:tblCellSpacing w:w="15" w:type="dxa"/>
        </w:trPr>
        <w:tc>
          <w:tcPr>
            <w:tcW w:w="2507" w:type="dxa"/>
            <w:vAlign w:val="center"/>
            <w:hideMark/>
          </w:tcPr>
          <w:p w14:paraId="52010E11"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TOC (mg/kg)</w:t>
            </w:r>
          </w:p>
        </w:tc>
        <w:tc>
          <w:tcPr>
            <w:tcW w:w="1671" w:type="dxa"/>
            <w:vAlign w:val="center"/>
            <w:hideMark/>
          </w:tcPr>
          <w:p w14:paraId="0D857F51"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0.79 ± 0.08</w:t>
            </w:r>
          </w:p>
        </w:tc>
        <w:tc>
          <w:tcPr>
            <w:tcW w:w="1529" w:type="dxa"/>
            <w:vAlign w:val="center"/>
            <w:hideMark/>
          </w:tcPr>
          <w:p w14:paraId="5571F16F"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0.56 ± 0.06</w:t>
            </w:r>
          </w:p>
        </w:tc>
        <w:tc>
          <w:tcPr>
            <w:tcW w:w="1246" w:type="dxa"/>
            <w:vAlign w:val="center"/>
            <w:hideMark/>
          </w:tcPr>
          <w:p w14:paraId="0F481335"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 .004</w:t>
            </w:r>
          </w:p>
        </w:tc>
        <w:tc>
          <w:tcPr>
            <w:tcW w:w="1231" w:type="dxa"/>
            <w:vAlign w:val="center"/>
            <w:hideMark/>
          </w:tcPr>
          <w:p w14:paraId="5B159099"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 Wet</w:t>
            </w:r>
          </w:p>
        </w:tc>
      </w:tr>
      <w:tr w:rsidR="00E26853" w:rsidRPr="00286E24" w14:paraId="584E40BF" w14:textId="77777777" w:rsidTr="0079231B">
        <w:trPr>
          <w:tblCellSpacing w:w="15" w:type="dxa"/>
        </w:trPr>
        <w:tc>
          <w:tcPr>
            <w:tcW w:w="2507" w:type="dxa"/>
            <w:vAlign w:val="center"/>
            <w:hideMark/>
          </w:tcPr>
          <w:p w14:paraId="294E3498"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Mg (mg/kg)</w:t>
            </w:r>
          </w:p>
        </w:tc>
        <w:tc>
          <w:tcPr>
            <w:tcW w:w="1671" w:type="dxa"/>
            <w:vAlign w:val="center"/>
            <w:hideMark/>
          </w:tcPr>
          <w:p w14:paraId="38446B6F"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286.00 ± 12.40</w:t>
            </w:r>
          </w:p>
        </w:tc>
        <w:tc>
          <w:tcPr>
            <w:tcW w:w="1529" w:type="dxa"/>
            <w:vAlign w:val="center"/>
            <w:hideMark/>
          </w:tcPr>
          <w:p w14:paraId="33DA4E5A"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195.67 ± 10.85</w:t>
            </w:r>
          </w:p>
        </w:tc>
        <w:tc>
          <w:tcPr>
            <w:tcW w:w="1246" w:type="dxa"/>
            <w:vAlign w:val="center"/>
            <w:hideMark/>
          </w:tcPr>
          <w:p w14:paraId="58FCA20B"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&lt; .001</w:t>
            </w:r>
          </w:p>
        </w:tc>
        <w:tc>
          <w:tcPr>
            <w:tcW w:w="1231" w:type="dxa"/>
            <w:vAlign w:val="center"/>
            <w:hideMark/>
          </w:tcPr>
          <w:p w14:paraId="6EE1678B"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 Wet</w:t>
            </w:r>
          </w:p>
        </w:tc>
      </w:tr>
      <w:tr w:rsidR="00E26853" w:rsidRPr="00286E24" w14:paraId="0D06DFB0" w14:textId="77777777" w:rsidTr="0079231B">
        <w:trPr>
          <w:tblCellSpacing w:w="15" w:type="dxa"/>
        </w:trPr>
        <w:tc>
          <w:tcPr>
            <w:tcW w:w="2507" w:type="dxa"/>
            <w:vAlign w:val="center"/>
            <w:hideMark/>
          </w:tcPr>
          <w:p w14:paraId="4D16C5F7"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K (mg/kg)</w:t>
            </w:r>
          </w:p>
        </w:tc>
        <w:tc>
          <w:tcPr>
            <w:tcW w:w="1671" w:type="dxa"/>
            <w:vAlign w:val="center"/>
            <w:hideMark/>
          </w:tcPr>
          <w:p w14:paraId="7DB561C1"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8.40 ± 0.95</w:t>
            </w:r>
          </w:p>
        </w:tc>
        <w:tc>
          <w:tcPr>
            <w:tcW w:w="1529" w:type="dxa"/>
            <w:vAlign w:val="center"/>
            <w:hideMark/>
          </w:tcPr>
          <w:p w14:paraId="32741ED4"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8.20 ± 1.05</w:t>
            </w:r>
          </w:p>
        </w:tc>
        <w:tc>
          <w:tcPr>
            <w:tcW w:w="1246" w:type="dxa"/>
            <w:vAlign w:val="center"/>
            <w:hideMark/>
          </w:tcPr>
          <w:p w14:paraId="2BCF6C48"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 .658</w:t>
            </w:r>
          </w:p>
        </w:tc>
        <w:tc>
          <w:tcPr>
            <w:tcW w:w="1231" w:type="dxa"/>
            <w:vAlign w:val="center"/>
            <w:hideMark/>
          </w:tcPr>
          <w:p w14:paraId="4F79C1A6"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NS</w:t>
            </w:r>
          </w:p>
        </w:tc>
      </w:tr>
      <w:tr w:rsidR="00E26853" w:rsidRPr="00286E24" w14:paraId="6E52601E" w14:textId="77777777" w:rsidTr="0079231B">
        <w:trPr>
          <w:tblCellSpacing w:w="15" w:type="dxa"/>
        </w:trPr>
        <w:tc>
          <w:tcPr>
            <w:tcW w:w="2507" w:type="dxa"/>
            <w:vAlign w:val="center"/>
            <w:hideMark/>
          </w:tcPr>
          <w:p w14:paraId="5BC0295E"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Na (mg/kg)</w:t>
            </w:r>
          </w:p>
        </w:tc>
        <w:tc>
          <w:tcPr>
            <w:tcW w:w="1671" w:type="dxa"/>
            <w:vAlign w:val="center"/>
            <w:hideMark/>
          </w:tcPr>
          <w:p w14:paraId="75FFF175"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15.30 ± 1.15</w:t>
            </w:r>
          </w:p>
        </w:tc>
        <w:tc>
          <w:tcPr>
            <w:tcW w:w="1529" w:type="dxa"/>
            <w:vAlign w:val="center"/>
            <w:hideMark/>
          </w:tcPr>
          <w:p w14:paraId="76DF0E6F"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16.10 ± 1.25</w:t>
            </w:r>
          </w:p>
        </w:tc>
        <w:tc>
          <w:tcPr>
            <w:tcW w:w="1246" w:type="dxa"/>
            <w:vAlign w:val="center"/>
            <w:hideMark/>
          </w:tcPr>
          <w:p w14:paraId="6639BF1E"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 .394</w:t>
            </w:r>
          </w:p>
        </w:tc>
        <w:tc>
          <w:tcPr>
            <w:tcW w:w="1231" w:type="dxa"/>
            <w:vAlign w:val="center"/>
            <w:hideMark/>
          </w:tcPr>
          <w:p w14:paraId="5065D969"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NS</w:t>
            </w:r>
          </w:p>
        </w:tc>
      </w:tr>
      <w:tr w:rsidR="00E26853" w:rsidRPr="00286E24" w14:paraId="1D984754" w14:textId="77777777" w:rsidTr="0079231B">
        <w:trPr>
          <w:tblCellSpacing w:w="15" w:type="dxa"/>
        </w:trPr>
        <w:tc>
          <w:tcPr>
            <w:tcW w:w="2507" w:type="dxa"/>
            <w:vAlign w:val="center"/>
            <w:hideMark/>
          </w:tcPr>
          <w:p w14:paraId="693E49F8"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Ca (mg/kg)</w:t>
            </w:r>
          </w:p>
        </w:tc>
        <w:tc>
          <w:tcPr>
            <w:tcW w:w="1671" w:type="dxa"/>
            <w:vAlign w:val="center"/>
            <w:hideMark/>
          </w:tcPr>
          <w:p w14:paraId="15A89EAA"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79.77 ± 5.60</w:t>
            </w:r>
          </w:p>
        </w:tc>
        <w:tc>
          <w:tcPr>
            <w:tcW w:w="1529" w:type="dxa"/>
            <w:vAlign w:val="center"/>
            <w:hideMark/>
          </w:tcPr>
          <w:p w14:paraId="00DBA4FF"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68.83 ± 5.25</w:t>
            </w:r>
          </w:p>
        </w:tc>
        <w:tc>
          <w:tcPr>
            <w:tcW w:w="1246" w:type="dxa"/>
            <w:vAlign w:val="center"/>
            <w:hideMark/>
          </w:tcPr>
          <w:p w14:paraId="055577D3"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 .012</w:t>
            </w:r>
          </w:p>
        </w:tc>
        <w:tc>
          <w:tcPr>
            <w:tcW w:w="1231" w:type="dxa"/>
            <w:vAlign w:val="center"/>
            <w:hideMark/>
          </w:tcPr>
          <w:p w14:paraId="3AE27B12"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 Wet</w:t>
            </w:r>
          </w:p>
        </w:tc>
      </w:tr>
      <w:tr w:rsidR="00E26853" w:rsidRPr="00286E24" w14:paraId="16FD5675" w14:textId="77777777" w:rsidTr="0079231B">
        <w:trPr>
          <w:tblCellSpacing w:w="15" w:type="dxa"/>
        </w:trPr>
        <w:tc>
          <w:tcPr>
            <w:tcW w:w="2507" w:type="dxa"/>
            <w:vAlign w:val="center"/>
            <w:hideMark/>
          </w:tcPr>
          <w:p w14:paraId="75F51750"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Chloride (mg/kg)</w:t>
            </w:r>
          </w:p>
        </w:tc>
        <w:tc>
          <w:tcPr>
            <w:tcW w:w="1671" w:type="dxa"/>
            <w:vAlign w:val="center"/>
            <w:hideMark/>
          </w:tcPr>
          <w:p w14:paraId="568C41EF"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21.70 ± 2.10</w:t>
            </w:r>
          </w:p>
        </w:tc>
        <w:tc>
          <w:tcPr>
            <w:tcW w:w="1529" w:type="dxa"/>
            <w:vAlign w:val="center"/>
            <w:hideMark/>
          </w:tcPr>
          <w:p w14:paraId="5DCA60FD"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22.15 ± 2.20</w:t>
            </w:r>
          </w:p>
        </w:tc>
        <w:tc>
          <w:tcPr>
            <w:tcW w:w="1246" w:type="dxa"/>
            <w:vAlign w:val="center"/>
            <w:hideMark/>
          </w:tcPr>
          <w:p w14:paraId="37F7AAB8"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 .482</w:t>
            </w:r>
          </w:p>
        </w:tc>
        <w:tc>
          <w:tcPr>
            <w:tcW w:w="1231" w:type="dxa"/>
            <w:vAlign w:val="center"/>
            <w:hideMark/>
          </w:tcPr>
          <w:p w14:paraId="335D2265"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NS</w:t>
            </w:r>
          </w:p>
        </w:tc>
      </w:tr>
      <w:tr w:rsidR="00E26853" w:rsidRPr="00286E24" w14:paraId="1A723B60" w14:textId="77777777" w:rsidTr="0079231B">
        <w:trPr>
          <w:tblCellSpacing w:w="15" w:type="dxa"/>
        </w:trPr>
        <w:tc>
          <w:tcPr>
            <w:tcW w:w="2507" w:type="dxa"/>
            <w:vAlign w:val="center"/>
            <w:hideMark/>
          </w:tcPr>
          <w:p w14:paraId="0FEA9136"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Sulphate (mg/kg)</w:t>
            </w:r>
          </w:p>
        </w:tc>
        <w:tc>
          <w:tcPr>
            <w:tcW w:w="1671" w:type="dxa"/>
            <w:vAlign w:val="center"/>
            <w:hideMark/>
          </w:tcPr>
          <w:p w14:paraId="34D17BC4"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13.20 ± 1.85</w:t>
            </w:r>
          </w:p>
        </w:tc>
        <w:tc>
          <w:tcPr>
            <w:tcW w:w="1529" w:type="dxa"/>
            <w:vAlign w:val="center"/>
            <w:hideMark/>
          </w:tcPr>
          <w:p w14:paraId="6385DC0D"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14.10 ± 1.95</w:t>
            </w:r>
          </w:p>
        </w:tc>
        <w:tc>
          <w:tcPr>
            <w:tcW w:w="1246" w:type="dxa"/>
            <w:vAlign w:val="center"/>
            <w:hideMark/>
          </w:tcPr>
          <w:p w14:paraId="2157D45D"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 .266</w:t>
            </w:r>
          </w:p>
        </w:tc>
        <w:tc>
          <w:tcPr>
            <w:tcW w:w="1231" w:type="dxa"/>
            <w:vAlign w:val="center"/>
            <w:hideMark/>
          </w:tcPr>
          <w:p w14:paraId="417AAE01"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NS</w:t>
            </w:r>
          </w:p>
        </w:tc>
      </w:tr>
      <w:tr w:rsidR="00E26853" w:rsidRPr="00286E24" w14:paraId="52A05DFB" w14:textId="77777777" w:rsidTr="0079231B">
        <w:trPr>
          <w:tblCellSpacing w:w="15" w:type="dxa"/>
        </w:trPr>
        <w:tc>
          <w:tcPr>
            <w:tcW w:w="2507" w:type="dxa"/>
            <w:vAlign w:val="center"/>
            <w:hideMark/>
          </w:tcPr>
          <w:p w14:paraId="2B5C91A4"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Nitrate (mg/kg)</w:t>
            </w:r>
          </w:p>
        </w:tc>
        <w:tc>
          <w:tcPr>
            <w:tcW w:w="1671" w:type="dxa"/>
            <w:vAlign w:val="center"/>
            <w:hideMark/>
          </w:tcPr>
          <w:p w14:paraId="194C0A29"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2.47 ± 0.35</w:t>
            </w:r>
          </w:p>
        </w:tc>
        <w:tc>
          <w:tcPr>
            <w:tcW w:w="1529" w:type="dxa"/>
            <w:vAlign w:val="center"/>
            <w:hideMark/>
          </w:tcPr>
          <w:p w14:paraId="152E889C"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22.13 ± 2.05</w:t>
            </w:r>
          </w:p>
        </w:tc>
        <w:tc>
          <w:tcPr>
            <w:tcW w:w="1246" w:type="dxa"/>
            <w:vAlign w:val="center"/>
            <w:hideMark/>
          </w:tcPr>
          <w:p w14:paraId="353B879D"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&lt; .001</w:t>
            </w:r>
          </w:p>
        </w:tc>
        <w:tc>
          <w:tcPr>
            <w:tcW w:w="1231" w:type="dxa"/>
            <w:vAlign w:val="center"/>
            <w:hideMark/>
          </w:tcPr>
          <w:p w14:paraId="47CE5BB1"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 Dry</w:t>
            </w:r>
          </w:p>
        </w:tc>
      </w:tr>
      <w:tr w:rsidR="00E26853" w:rsidRPr="00286E24" w14:paraId="6BEF3F63" w14:textId="77777777" w:rsidTr="0079231B">
        <w:trPr>
          <w:tblCellSpacing w:w="15" w:type="dxa"/>
        </w:trPr>
        <w:tc>
          <w:tcPr>
            <w:tcW w:w="2507" w:type="dxa"/>
            <w:vAlign w:val="center"/>
            <w:hideMark/>
          </w:tcPr>
          <w:p w14:paraId="6D42475D"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lastRenderedPageBreak/>
              <w:t>Phosphate (mg/kg)</w:t>
            </w:r>
          </w:p>
        </w:tc>
        <w:tc>
          <w:tcPr>
            <w:tcW w:w="1671" w:type="dxa"/>
            <w:vAlign w:val="center"/>
            <w:hideMark/>
          </w:tcPr>
          <w:p w14:paraId="22B8AB2E"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3.40 ± 0.65</w:t>
            </w:r>
          </w:p>
        </w:tc>
        <w:tc>
          <w:tcPr>
            <w:tcW w:w="1529" w:type="dxa"/>
            <w:vAlign w:val="center"/>
            <w:hideMark/>
          </w:tcPr>
          <w:p w14:paraId="218BC8DF"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3.55 ± 0.75</w:t>
            </w:r>
          </w:p>
        </w:tc>
        <w:tc>
          <w:tcPr>
            <w:tcW w:w="1246" w:type="dxa"/>
            <w:vAlign w:val="center"/>
            <w:hideMark/>
          </w:tcPr>
          <w:p w14:paraId="0AA5DF98"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 .387</w:t>
            </w:r>
          </w:p>
        </w:tc>
        <w:tc>
          <w:tcPr>
            <w:tcW w:w="1231" w:type="dxa"/>
            <w:vAlign w:val="center"/>
            <w:hideMark/>
          </w:tcPr>
          <w:p w14:paraId="187F6FC3"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NS</w:t>
            </w:r>
          </w:p>
        </w:tc>
      </w:tr>
      <w:tr w:rsidR="00E26853" w:rsidRPr="00286E24" w14:paraId="68F97275" w14:textId="77777777" w:rsidTr="0079231B">
        <w:trPr>
          <w:tblCellSpacing w:w="15" w:type="dxa"/>
        </w:trPr>
        <w:tc>
          <w:tcPr>
            <w:tcW w:w="2507" w:type="dxa"/>
            <w:vAlign w:val="center"/>
            <w:hideMark/>
          </w:tcPr>
          <w:p w14:paraId="545FB7F8"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TPH (mg/kg)</w:t>
            </w:r>
          </w:p>
        </w:tc>
        <w:tc>
          <w:tcPr>
            <w:tcW w:w="1671" w:type="dxa"/>
            <w:vAlign w:val="center"/>
            <w:hideMark/>
          </w:tcPr>
          <w:p w14:paraId="77217A6F"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0.62 ± 0.12</w:t>
            </w:r>
          </w:p>
        </w:tc>
        <w:tc>
          <w:tcPr>
            <w:tcW w:w="1529" w:type="dxa"/>
            <w:vAlign w:val="center"/>
            <w:hideMark/>
          </w:tcPr>
          <w:p w14:paraId="5A62F041"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0.68 ± 0.14</w:t>
            </w:r>
          </w:p>
        </w:tc>
        <w:tc>
          <w:tcPr>
            <w:tcW w:w="1246" w:type="dxa"/>
            <w:vAlign w:val="center"/>
            <w:hideMark/>
          </w:tcPr>
          <w:p w14:paraId="20A7D83D"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P = .422</w:t>
            </w:r>
          </w:p>
        </w:tc>
        <w:tc>
          <w:tcPr>
            <w:tcW w:w="1231" w:type="dxa"/>
            <w:vAlign w:val="center"/>
            <w:hideMark/>
          </w:tcPr>
          <w:p w14:paraId="621F61D7" w14:textId="77777777" w:rsidR="00E26853" w:rsidRPr="00286E24" w:rsidRDefault="00E26853" w:rsidP="00286E24">
            <w:pPr>
              <w:jc w:val="both"/>
              <w:rPr>
                <w:rFonts w:ascii="Arial" w:hAnsi="Arial" w:cs="Arial"/>
                <w:sz w:val="24"/>
                <w:szCs w:val="24"/>
              </w:rPr>
            </w:pPr>
            <w:r w:rsidRPr="00286E24">
              <w:rPr>
                <w:rFonts w:ascii="Arial" w:hAnsi="Arial" w:cs="Arial"/>
                <w:sz w:val="24"/>
                <w:szCs w:val="24"/>
              </w:rPr>
              <w:t>NS</w:t>
            </w:r>
          </w:p>
        </w:tc>
      </w:tr>
    </w:tbl>
    <w:p w14:paraId="44A8EE49" w14:textId="77777777" w:rsidR="00E26853" w:rsidRPr="00286E24" w:rsidRDefault="00E26853" w:rsidP="00286E24">
      <w:pPr>
        <w:pStyle w:val="NormalWeb"/>
        <w:jc w:val="both"/>
        <w:rPr>
          <w:rFonts w:ascii="Arial" w:hAnsi="Arial" w:cs="Arial"/>
        </w:rPr>
      </w:pPr>
      <w:r w:rsidRPr="00286E24">
        <w:rPr>
          <w:rStyle w:val="Emphasis"/>
          <w:rFonts w:ascii="Arial" w:eastAsiaTheme="majorEastAsia" w:hAnsi="Arial" w:cs="Arial"/>
        </w:rPr>
        <w:t>NS = Not significant; ↑ Wet/Dry = significantly higher in that season</w:t>
      </w:r>
    </w:p>
    <w:p w14:paraId="1FCA430F" w14:textId="77777777" w:rsidR="00E26853" w:rsidRPr="00286E24" w:rsidRDefault="00E26853" w:rsidP="00286E24">
      <w:pPr>
        <w:spacing w:after="0" w:line="480" w:lineRule="auto"/>
        <w:jc w:val="both"/>
        <w:rPr>
          <w:rFonts w:ascii="Arial" w:hAnsi="Arial" w:cs="Arial"/>
          <w:sz w:val="24"/>
          <w:szCs w:val="24"/>
        </w:rPr>
      </w:pPr>
      <w:r w:rsidRPr="00286E24">
        <w:rPr>
          <w:rFonts w:ascii="Arial" w:hAnsi="Arial" w:cs="Arial"/>
          <w:noProof/>
          <w:sz w:val="24"/>
          <w:szCs w:val="24"/>
        </w:rPr>
        <w:drawing>
          <wp:inline distT="0" distB="0" distL="0" distR="0" wp14:anchorId="4E3F92F2" wp14:editId="77F52D98">
            <wp:extent cx="5612779" cy="2886075"/>
            <wp:effectExtent l="0" t="0" r="6985" b="0"/>
            <wp:docPr id="941973320" name="Chart 1">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D7B5670" w14:textId="1E70BE58" w:rsidR="00E26853" w:rsidRPr="00286E24" w:rsidRDefault="00E26853" w:rsidP="00286E24">
      <w:pPr>
        <w:spacing w:after="0" w:line="480" w:lineRule="auto"/>
        <w:jc w:val="both"/>
        <w:rPr>
          <w:rFonts w:ascii="Arial" w:hAnsi="Arial" w:cs="Arial"/>
          <w:b/>
          <w:bCs/>
          <w:sz w:val="24"/>
          <w:szCs w:val="24"/>
        </w:rPr>
      </w:pPr>
      <w:r w:rsidRPr="00286E24">
        <w:rPr>
          <w:rFonts w:ascii="Arial" w:hAnsi="Arial" w:cs="Arial"/>
          <w:b/>
          <w:bCs/>
          <w:sz w:val="24"/>
          <w:szCs w:val="24"/>
        </w:rPr>
        <w:t xml:space="preserve">Figure </w:t>
      </w:r>
      <w:r w:rsidR="004C1C42">
        <w:rPr>
          <w:rFonts w:ascii="Arial" w:hAnsi="Arial" w:cs="Arial"/>
          <w:b/>
          <w:bCs/>
          <w:sz w:val="24"/>
          <w:szCs w:val="24"/>
        </w:rPr>
        <w:t>2</w:t>
      </w:r>
      <w:r w:rsidRPr="00286E24">
        <w:rPr>
          <w:rFonts w:ascii="Arial" w:hAnsi="Arial" w:cs="Arial"/>
          <w:b/>
          <w:bCs/>
          <w:sz w:val="24"/>
          <w:szCs w:val="24"/>
        </w:rPr>
        <w:t>: Seasonal Variation of pH of sediment in Douglas creek</w:t>
      </w:r>
    </w:p>
    <w:p w14:paraId="6FAFE52B" w14:textId="77777777" w:rsidR="00E26853" w:rsidRPr="00286E24" w:rsidRDefault="00E26853" w:rsidP="00286E24">
      <w:pPr>
        <w:spacing w:after="0" w:line="480" w:lineRule="auto"/>
        <w:jc w:val="both"/>
        <w:rPr>
          <w:rFonts w:ascii="Arial" w:hAnsi="Arial" w:cs="Arial"/>
          <w:sz w:val="24"/>
          <w:szCs w:val="24"/>
        </w:rPr>
      </w:pPr>
      <w:r w:rsidRPr="00286E24">
        <w:rPr>
          <w:rFonts w:ascii="Arial" w:hAnsi="Arial" w:cs="Arial"/>
          <w:noProof/>
          <w:sz w:val="24"/>
          <w:szCs w:val="24"/>
        </w:rPr>
        <w:drawing>
          <wp:inline distT="0" distB="0" distL="0" distR="0" wp14:anchorId="13E31EB3" wp14:editId="0B1D83E2">
            <wp:extent cx="5066665" cy="3390900"/>
            <wp:effectExtent l="0" t="0" r="635" b="0"/>
            <wp:docPr id="30815504" name="Chart 1">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F7A4B2" w14:textId="34BF9583" w:rsidR="00E26853" w:rsidRPr="00286E24" w:rsidRDefault="00E26853" w:rsidP="00286E24">
      <w:pPr>
        <w:spacing w:after="0" w:line="480" w:lineRule="auto"/>
        <w:jc w:val="both"/>
        <w:rPr>
          <w:rFonts w:ascii="Arial" w:hAnsi="Arial" w:cs="Arial"/>
          <w:b/>
          <w:bCs/>
          <w:sz w:val="24"/>
          <w:szCs w:val="24"/>
        </w:rPr>
      </w:pPr>
      <w:r w:rsidRPr="00286E24">
        <w:rPr>
          <w:rFonts w:ascii="Arial" w:hAnsi="Arial" w:cs="Arial"/>
          <w:b/>
          <w:bCs/>
          <w:sz w:val="24"/>
          <w:szCs w:val="24"/>
        </w:rPr>
        <w:t xml:space="preserve">Figure </w:t>
      </w:r>
      <w:r w:rsidR="004C1C42">
        <w:rPr>
          <w:rFonts w:ascii="Arial" w:hAnsi="Arial" w:cs="Arial"/>
          <w:b/>
          <w:bCs/>
          <w:sz w:val="24"/>
          <w:szCs w:val="24"/>
        </w:rPr>
        <w:t>3</w:t>
      </w:r>
      <w:r w:rsidRPr="00286E24">
        <w:rPr>
          <w:rFonts w:ascii="Arial" w:hAnsi="Arial" w:cs="Arial"/>
          <w:b/>
          <w:bCs/>
          <w:sz w:val="24"/>
          <w:szCs w:val="24"/>
        </w:rPr>
        <w:t>: Seasonal Variation of Temperature of sediment in Douglas creek</w:t>
      </w:r>
    </w:p>
    <w:p w14:paraId="3C762717" w14:textId="77777777" w:rsidR="00E26853" w:rsidRPr="00286E24" w:rsidRDefault="00E26853" w:rsidP="00286E24">
      <w:pPr>
        <w:spacing w:after="0" w:line="480" w:lineRule="auto"/>
        <w:jc w:val="both"/>
        <w:rPr>
          <w:rFonts w:ascii="Arial" w:hAnsi="Arial" w:cs="Arial"/>
          <w:sz w:val="24"/>
          <w:szCs w:val="24"/>
        </w:rPr>
      </w:pPr>
      <w:r w:rsidRPr="00286E24">
        <w:rPr>
          <w:rFonts w:ascii="Arial" w:hAnsi="Arial" w:cs="Arial"/>
          <w:noProof/>
          <w:sz w:val="24"/>
          <w:szCs w:val="24"/>
        </w:rPr>
        <w:lastRenderedPageBreak/>
        <w:drawing>
          <wp:inline distT="0" distB="0" distL="0" distR="0" wp14:anchorId="06593A30" wp14:editId="281A090C">
            <wp:extent cx="4638675" cy="2333625"/>
            <wp:effectExtent l="0" t="0" r="0" b="0"/>
            <wp:docPr id="1458592770" name="Chart 1">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BC682D0" w14:textId="4C9F1065" w:rsidR="00E26853" w:rsidRPr="00286E24" w:rsidRDefault="00E26853" w:rsidP="00286E24">
      <w:pPr>
        <w:spacing w:after="0" w:line="480" w:lineRule="auto"/>
        <w:jc w:val="both"/>
        <w:rPr>
          <w:rFonts w:ascii="Arial" w:hAnsi="Arial" w:cs="Arial"/>
          <w:b/>
          <w:bCs/>
          <w:sz w:val="24"/>
          <w:szCs w:val="24"/>
        </w:rPr>
      </w:pPr>
      <w:r w:rsidRPr="00286E24">
        <w:rPr>
          <w:rFonts w:ascii="Arial" w:hAnsi="Arial" w:cs="Arial"/>
          <w:b/>
          <w:bCs/>
          <w:sz w:val="24"/>
          <w:szCs w:val="24"/>
        </w:rPr>
        <w:t xml:space="preserve">Figure </w:t>
      </w:r>
      <w:r w:rsidR="004C1C42">
        <w:rPr>
          <w:rFonts w:ascii="Arial" w:hAnsi="Arial" w:cs="Arial"/>
          <w:b/>
          <w:bCs/>
          <w:sz w:val="24"/>
          <w:szCs w:val="24"/>
        </w:rPr>
        <w:t>4</w:t>
      </w:r>
      <w:r w:rsidRPr="00286E24">
        <w:rPr>
          <w:rFonts w:ascii="Arial" w:hAnsi="Arial" w:cs="Arial"/>
          <w:b/>
          <w:bCs/>
          <w:sz w:val="24"/>
          <w:szCs w:val="24"/>
        </w:rPr>
        <w:t>: Seasonal Variation of Electrical Conductivity (µS/cm) in sediment of Douglas creek</w:t>
      </w:r>
    </w:p>
    <w:p w14:paraId="299516CB" w14:textId="77777777" w:rsidR="00E26853" w:rsidRPr="00286E24" w:rsidRDefault="00E26853" w:rsidP="00286E24">
      <w:pPr>
        <w:spacing w:after="0" w:line="480" w:lineRule="auto"/>
        <w:jc w:val="both"/>
        <w:rPr>
          <w:rFonts w:ascii="Arial" w:hAnsi="Arial" w:cs="Arial"/>
          <w:sz w:val="24"/>
          <w:szCs w:val="24"/>
        </w:rPr>
      </w:pPr>
      <w:r w:rsidRPr="00286E24">
        <w:rPr>
          <w:rFonts w:ascii="Arial" w:hAnsi="Arial" w:cs="Arial"/>
          <w:noProof/>
          <w:sz w:val="24"/>
          <w:szCs w:val="24"/>
        </w:rPr>
        <w:drawing>
          <wp:inline distT="0" distB="0" distL="0" distR="0" wp14:anchorId="09D9E163" wp14:editId="06A84625">
            <wp:extent cx="4962525" cy="2819400"/>
            <wp:effectExtent l="0" t="0" r="0" b="0"/>
            <wp:docPr id="1668445009" name="Chart 1">
              <a:extLst xmlns:a="http://schemas.openxmlformats.org/drawingml/2006/main">
                <a:ext uri="{FF2B5EF4-FFF2-40B4-BE49-F238E27FC236}">
                  <a16:creationId xmlns:a16="http://schemas.microsoft.com/office/drawing/2014/main" id="{00000000-0008-0000-04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982A2F" w14:textId="22CC1610" w:rsidR="00E26853" w:rsidRPr="00286E24" w:rsidRDefault="00E26853" w:rsidP="00286E24">
      <w:pPr>
        <w:spacing w:after="0" w:line="480" w:lineRule="auto"/>
        <w:jc w:val="both"/>
        <w:rPr>
          <w:rFonts w:ascii="Arial" w:hAnsi="Arial" w:cs="Arial"/>
          <w:b/>
          <w:bCs/>
          <w:sz w:val="24"/>
          <w:szCs w:val="24"/>
        </w:rPr>
      </w:pPr>
      <w:r w:rsidRPr="00286E24">
        <w:rPr>
          <w:rFonts w:ascii="Arial" w:hAnsi="Arial" w:cs="Arial"/>
          <w:b/>
          <w:bCs/>
          <w:sz w:val="24"/>
          <w:szCs w:val="24"/>
        </w:rPr>
        <w:t xml:space="preserve">Figure </w:t>
      </w:r>
      <w:r w:rsidR="004C1C42">
        <w:rPr>
          <w:rFonts w:ascii="Arial" w:hAnsi="Arial" w:cs="Arial"/>
          <w:b/>
          <w:bCs/>
          <w:sz w:val="24"/>
          <w:szCs w:val="24"/>
        </w:rPr>
        <w:t>5</w:t>
      </w:r>
      <w:r w:rsidRPr="00286E24">
        <w:rPr>
          <w:rFonts w:ascii="Arial" w:hAnsi="Arial" w:cs="Arial"/>
          <w:b/>
          <w:bCs/>
          <w:sz w:val="24"/>
          <w:szCs w:val="24"/>
        </w:rPr>
        <w:t xml:space="preserve">: Seasonal Variation of Chloride (mg/kg) in sediment of Douglas creek </w:t>
      </w:r>
    </w:p>
    <w:p w14:paraId="03972F02" w14:textId="77777777" w:rsidR="00E26853" w:rsidRPr="00286E24" w:rsidRDefault="00E26853" w:rsidP="00286E24">
      <w:pPr>
        <w:spacing w:after="0" w:line="480" w:lineRule="auto"/>
        <w:jc w:val="both"/>
        <w:rPr>
          <w:rFonts w:ascii="Arial" w:hAnsi="Arial" w:cs="Arial"/>
          <w:sz w:val="24"/>
          <w:szCs w:val="24"/>
        </w:rPr>
      </w:pPr>
      <w:r w:rsidRPr="00286E24">
        <w:rPr>
          <w:rFonts w:ascii="Arial" w:hAnsi="Arial" w:cs="Arial"/>
          <w:noProof/>
          <w:sz w:val="24"/>
          <w:szCs w:val="24"/>
        </w:rPr>
        <w:drawing>
          <wp:inline distT="0" distB="0" distL="0" distR="0" wp14:anchorId="0097AF3E" wp14:editId="562AA108">
            <wp:extent cx="4724400" cy="1857375"/>
            <wp:effectExtent l="0" t="0" r="0" b="0"/>
            <wp:docPr id="1134724981" name="Chart 1">
              <a:extLst xmlns:a="http://schemas.openxmlformats.org/drawingml/2006/main">
                <a:ext uri="{FF2B5EF4-FFF2-40B4-BE49-F238E27FC236}">
                  <a16:creationId xmlns:a16="http://schemas.microsoft.com/office/drawing/2014/main" id="{00000000-0008-0000-0400-00002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F322B6" w14:textId="1A4E8F4F" w:rsidR="00E26853" w:rsidRPr="00286E24" w:rsidRDefault="00E26853" w:rsidP="00286E24">
      <w:pPr>
        <w:spacing w:after="0" w:line="480" w:lineRule="auto"/>
        <w:jc w:val="both"/>
        <w:rPr>
          <w:rFonts w:ascii="Arial" w:hAnsi="Arial" w:cs="Arial"/>
          <w:b/>
          <w:bCs/>
          <w:sz w:val="24"/>
          <w:szCs w:val="24"/>
        </w:rPr>
      </w:pPr>
      <w:r w:rsidRPr="00286E24">
        <w:rPr>
          <w:rFonts w:ascii="Arial" w:hAnsi="Arial" w:cs="Arial"/>
          <w:b/>
          <w:bCs/>
          <w:sz w:val="24"/>
          <w:szCs w:val="24"/>
        </w:rPr>
        <w:t xml:space="preserve">Figure </w:t>
      </w:r>
      <w:r w:rsidR="004C1C42">
        <w:rPr>
          <w:rFonts w:ascii="Arial" w:hAnsi="Arial" w:cs="Arial"/>
          <w:b/>
          <w:bCs/>
          <w:sz w:val="24"/>
          <w:szCs w:val="24"/>
        </w:rPr>
        <w:t>6</w:t>
      </w:r>
      <w:r w:rsidRPr="00286E24">
        <w:rPr>
          <w:rFonts w:ascii="Arial" w:hAnsi="Arial" w:cs="Arial"/>
          <w:b/>
          <w:bCs/>
          <w:sz w:val="24"/>
          <w:szCs w:val="24"/>
        </w:rPr>
        <w:t>: Seasonal Variation of Sulphates (mg/kg) in sediment of Douglas creek</w:t>
      </w:r>
    </w:p>
    <w:p w14:paraId="5F8788CA" w14:textId="77777777" w:rsidR="00E26853" w:rsidRPr="00286E24" w:rsidRDefault="00E26853" w:rsidP="00286E24">
      <w:pPr>
        <w:spacing w:after="0" w:line="480" w:lineRule="auto"/>
        <w:jc w:val="both"/>
        <w:rPr>
          <w:rFonts w:ascii="Arial" w:hAnsi="Arial" w:cs="Arial"/>
          <w:sz w:val="24"/>
          <w:szCs w:val="24"/>
        </w:rPr>
      </w:pPr>
      <w:r w:rsidRPr="00286E24">
        <w:rPr>
          <w:rFonts w:ascii="Arial" w:hAnsi="Arial" w:cs="Arial"/>
          <w:noProof/>
          <w:sz w:val="24"/>
          <w:szCs w:val="24"/>
        </w:rPr>
        <w:lastRenderedPageBreak/>
        <w:drawing>
          <wp:anchor distT="0" distB="0" distL="114300" distR="114300" simplePos="0" relativeHeight="251659264" behindDoc="0" locked="0" layoutInCell="1" allowOverlap="1" wp14:anchorId="3C70A2FF" wp14:editId="4829F5F1">
            <wp:simplePos x="0" y="0"/>
            <wp:positionH relativeFrom="margin">
              <wp:align>left</wp:align>
            </wp:positionH>
            <wp:positionV relativeFrom="paragraph">
              <wp:posOffset>0</wp:posOffset>
            </wp:positionV>
            <wp:extent cx="4838700" cy="2390775"/>
            <wp:effectExtent l="0" t="0" r="0" b="0"/>
            <wp:wrapSquare wrapText="bothSides"/>
            <wp:docPr id="454250921" name="Chart 1">
              <a:extLst xmlns:a="http://schemas.openxmlformats.org/drawingml/2006/main">
                <a:ext uri="{FF2B5EF4-FFF2-40B4-BE49-F238E27FC236}">
                  <a16:creationId xmlns:a16="http://schemas.microsoft.com/office/drawing/2014/main" id="{00000000-0008-0000-04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D97A411" w14:textId="731F11F6" w:rsidR="00E26853" w:rsidRPr="00286E24" w:rsidRDefault="00E26853" w:rsidP="00286E24">
      <w:pPr>
        <w:spacing w:after="0" w:line="480" w:lineRule="auto"/>
        <w:jc w:val="both"/>
        <w:rPr>
          <w:rFonts w:ascii="Arial" w:hAnsi="Arial" w:cs="Arial"/>
          <w:b/>
          <w:bCs/>
          <w:sz w:val="24"/>
          <w:szCs w:val="24"/>
        </w:rPr>
      </w:pPr>
      <w:r w:rsidRPr="00286E24">
        <w:rPr>
          <w:rFonts w:ascii="Arial" w:hAnsi="Arial" w:cs="Arial"/>
          <w:sz w:val="24"/>
          <w:szCs w:val="24"/>
        </w:rPr>
        <w:br w:type="textWrapping" w:clear="all"/>
      </w:r>
      <w:r w:rsidRPr="00286E24">
        <w:rPr>
          <w:rFonts w:ascii="Arial" w:hAnsi="Arial" w:cs="Arial"/>
          <w:b/>
          <w:bCs/>
          <w:sz w:val="24"/>
          <w:szCs w:val="24"/>
        </w:rPr>
        <w:t xml:space="preserve">Figure </w:t>
      </w:r>
      <w:r w:rsidR="004C1C42">
        <w:rPr>
          <w:rFonts w:ascii="Arial" w:hAnsi="Arial" w:cs="Arial"/>
          <w:b/>
          <w:bCs/>
          <w:sz w:val="24"/>
          <w:szCs w:val="24"/>
        </w:rPr>
        <w:t>7</w:t>
      </w:r>
      <w:r w:rsidRPr="00286E24">
        <w:rPr>
          <w:rFonts w:ascii="Arial" w:hAnsi="Arial" w:cs="Arial"/>
          <w:b/>
          <w:bCs/>
          <w:sz w:val="24"/>
          <w:szCs w:val="24"/>
        </w:rPr>
        <w:t>: Seasonal Variation of Nitrates (mg/L) in water of Douglas creek</w:t>
      </w:r>
    </w:p>
    <w:p w14:paraId="6D7E1596" w14:textId="77777777" w:rsidR="00E26853" w:rsidRPr="00286E24" w:rsidRDefault="00E26853" w:rsidP="00286E24">
      <w:pPr>
        <w:spacing w:after="0" w:line="480" w:lineRule="auto"/>
        <w:jc w:val="both"/>
        <w:rPr>
          <w:rFonts w:ascii="Arial" w:hAnsi="Arial" w:cs="Arial"/>
          <w:sz w:val="24"/>
          <w:szCs w:val="24"/>
        </w:rPr>
      </w:pPr>
      <w:r w:rsidRPr="00286E24">
        <w:rPr>
          <w:rFonts w:ascii="Arial" w:hAnsi="Arial" w:cs="Arial"/>
          <w:noProof/>
          <w:sz w:val="24"/>
          <w:szCs w:val="24"/>
        </w:rPr>
        <w:drawing>
          <wp:anchor distT="0" distB="0" distL="114300" distR="114300" simplePos="0" relativeHeight="251660288" behindDoc="0" locked="0" layoutInCell="1" allowOverlap="1" wp14:anchorId="0CCCE835" wp14:editId="2BF501F0">
            <wp:simplePos x="0" y="0"/>
            <wp:positionH relativeFrom="margin">
              <wp:align>left</wp:align>
            </wp:positionH>
            <wp:positionV relativeFrom="paragraph">
              <wp:align>top</wp:align>
            </wp:positionV>
            <wp:extent cx="4924425" cy="2762250"/>
            <wp:effectExtent l="0" t="0" r="0" b="0"/>
            <wp:wrapSquare wrapText="bothSides"/>
            <wp:docPr id="1895150476" name="Chart 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190F0D9C" w14:textId="77777777" w:rsidR="00E26853" w:rsidRPr="00286E24" w:rsidRDefault="00E26853" w:rsidP="00286E24">
      <w:pPr>
        <w:jc w:val="both"/>
        <w:rPr>
          <w:rFonts w:ascii="Arial" w:hAnsi="Arial" w:cs="Arial"/>
          <w:sz w:val="24"/>
          <w:szCs w:val="24"/>
        </w:rPr>
      </w:pPr>
    </w:p>
    <w:p w14:paraId="7189E5B9" w14:textId="77777777" w:rsidR="00E26853" w:rsidRPr="00286E24" w:rsidRDefault="00E26853" w:rsidP="00286E24">
      <w:pPr>
        <w:jc w:val="both"/>
        <w:rPr>
          <w:rFonts w:ascii="Arial" w:hAnsi="Arial" w:cs="Arial"/>
          <w:sz w:val="24"/>
          <w:szCs w:val="24"/>
        </w:rPr>
      </w:pPr>
    </w:p>
    <w:p w14:paraId="523ED20F" w14:textId="77777777" w:rsidR="00E26853" w:rsidRPr="00286E24" w:rsidRDefault="00E26853" w:rsidP="00286E24">
      <w:pPr>
        <w:jc w:val="both"/>
        <w:rPr>
          <w:rFonts w:ascii="Arial" w:hAnsi="Arial" w:cs="Arial"/>
          <w:sz w:val="24"/>
          <w:szCs w:val="24"/>
        </w:rPr>
      </w:pPr>
    </w:p>
    <w:p w14:paraId="4F0D59FF" w14:textId="77777777" w:rsidR="00E26853" w:rsidRPr="00286E24" w:rsidRDefault="00E26853" w:rsidP="00286E24">
      <w:pPr>
        <w:jc w:val="both"/>
        <w:rPr>
          <w:rFonts w:ascii="Arial" w:hAnsi="Arial" w:cs="Arial"/>
          <w:sz w:val="24"/>
          <w:szCs w:val="24"/>
        </w:rPr>
      </w:pPr>
    </w:p>
    <w:p w14:paraId="4E426F97" w14:textId="77777777" w:rsidR="00E26853" w:rsidRPr="00286E24" w:rsidRDefault="00E26853" w:rsidP="00286E24">
      <w:pPr>
        <w:jc w:val="both"/>
        <w:rPr>
          <w:rFonts w:ascii="Arial" w:hAnsi="Arial" w:cs="Arial"/>
          <w:sz w:val="24"/>
          <w:szCs w:val="24"/>
        </w:rPr>
      </w:pPr>
    </w:p>
    <w:p w14:paraId="65BFD988" w14:textId="77777777" w:rsidR="00E26853" w:rsidRPr="00286E24" w:rsidRDefault="00E26853" w:rsidP="00286E24">
      <w:pPr>
        <w:spacing w:after="0" w:line="480" w:lineRule="auto"/>
        <w:jc w:val="both"/>
        <w:rPr>
          <w:rFonts w:ascii="Arial" w:hAnsi="Arial" w:cs="Arial"/>
          <w:sz w:val="24"/>
          <w:szCs w:val="24"/>
        </w:rPr>
      </w:pPr>
    </w:p>
    <w:p w14:paraId="0C0922E8" w14:textId="77777777" w:rsidR="00E26853" w:rsidRPr="00286E24" w:rsidRDefault="00E26853" w:rsidP="00286E24">
      <w:pPr>
        <w:spacing w:after="0" w:line="480" w:lineRule="auto"/>
        <w:jc w:val="both"/>
        <w:rPr>
          <w:rFonts w:ascii="Arial" w:hAnsi="Arial" w:cs="Arial"/>
          <w:sz w:val="24"/>
          <w:szCs w:val="24"/>
        </w:rPr>
      </w:pPr>
    </w:p>
    <w:p w14:paraId="558CD25B" w14:textId="77777777" w:rsidR="00E26853" w:rsidRPr="00286E24" w:rsidRDefault="00E26853" w:rsidP="00286E24">
      <w:pPr>
        <w:spacing w:after="0" w:line="480" w:lineRule="auto"/>
        <w:jc w:val="both"/>
        <w:rPr>
          <w:rFonts w:ascii="Arial" w:hAnsi="Arial" w:cs="Arial"/>
          <w:sz w:val="24"/>
          <w:szCs w:val="24"/>
        </w:rPr>
      </w:pPr>
    </w:p>
    <w:p w14:paraId="166ED01E" w14:textId="626472CA" w:rsidR="00E26853" w:rsidRPr="00286E24" w:rsidRDefault="00E26853" w:rsidP="00286E24">
      <w:pPr>
        <w:spacing w:after="0" w:line="480" w:lineRule="auto"/>
        <w:jc w:val="both"/>
        <w:rPr>
          <w:rFonts w:ascii="Arial" w:hAnsi="Arial" w:cs="Arial"/>
          <w:b/>
          <w:bCs/>
          <w:sz w:val="24"/>
          <w:szCs w:val="24"/>
        </w:rPr>
      </w:pPr>
      <w:r w:rsidRPr="00286E24">
        <w:rPr>
          <w:rFonts w:ascii="Arial" w:hAnsi="Arial" w:cs="Arial"/>
          <w:b/>
          <w:bCs/>
          <w:sz w:val="24"/>
          <w:szCs w:val="24"/>
        </w:rPr>
        <w:t xml:space="preserve">Figure </w:t>
      </w:r>
      <w:r w:rsidR="004C1C42">
        <w:rPr>
          <w:rFonts w:ascii="Arial" w:hAnsi="Arial" w:cs="Arial"/>
          <w:b/>
          <w:bCs/>
          <w:sz w:val="24"/>
          <w:szCs w:val="24"/>
        </w:rPr>
        <w:t>8</w:t>
      </w:r>
      <w:r w:rsidRPr="00286E24">
        <w:rPr>
          <w:rFonts w:ascii="Arial" w:hAnsi="Arial" w:cs="Arial"/>
          <w:b/>
          <w:bCs/>
          <w:sz w:val="24"/>
          <w:szCs w:val="24"/>
        </w:rPr>
        <w:t>: Seasonal variation of Phosphates (mg/kg) in sediment of Douglas creek</w:t>
      </w:r>
    </w:p>
    <w:p w14:paraId="3432C752" w14:textId="77777777" w:rsidR="00E26853" w:rsidRPr="00286E24" w:rsidRDefault="00E26853" w:rsidP="00286E24">
      <w:pPr>
        <w:spacing w:after="0" w:line="480" w:lineRule="auto"/>
        <w:jc w:val="both"/>
        <w:rPr>
          <w:rFonts w:ascii="Arial" w:hAnsi="Arial" w:cs="Arial"/>
          <w:sz w:val="24"/>
          <w:szCs w:val="24"/>
        </w:rPr>
      </w:pPr>
    </w:p>
    <w:p w14:paraId="1B156604" w14:textId="77777777" w:rsidR="00E26853" w:rsidRPr="00286E24" w:rsidRDefault="00E26853" w:rsidP="00286E24">
      <w:pPr>
        <w:spacing w:after="0" w:line="480" w:lineRule="auto"/>
        <w:jc w:val="both"/>
        <w:rPr>
          <w:rFonts w:ascii="Arial" w:hAnsi="Arial" w:cs="Arial"/>
          <w:sz w:val="24"/>
          <w:szCs w:val="24"/>
        </w:rPr>
      </w:pPr>
      <w:r w:rsidRPr="00286E24">
        <w:rPr>
          <w:rFonts w:ascii="Arial" w:hAnsi="Arial" w:cs="Arial"/>
          <w:noProof/>
          <w:sz w:val="24"/>
          <w:szCs w:val="24"/>
        </w:rPr>
        <w:lastRenderedPageBreak/>
        <mc:AlternateContent>
          <mc:Choice Requires="wpc">
            <w:drawing>
              <wp:inline distT="0" distB="0" distL="0" distR="0" wp14:anchorId="71580F01" wp14:editId="5A4489C1">
                <wp:extent cx="5742940" cy="4762500"/>
                <wp:effectExtent l="0" t="0" r="0" b="0"/>
                <wp:docPr id="2040001968"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pic:pic xmlns:pic="http://schemas.openxmlformats.org/drawingml/2006/picture">
                        <pic:nvPicPr>
                          <pic:cNvPr id="1381716403" name="Picture 1381716403"/>
                          <pic:cNvPicPr>
                            <a:picLocks noChangeAspect="1"/>
                          </pic:cNvPicPr>
                        </pic:nvPicPr>
                        <pic:blipFill>
                          <a:blip r:embed="rId14"/>
                          <a:stretch>
                            <a:fillRect/>
                          </a:stretch>
                        </pic:blipFill>
                        <pic:spPr>
                          <a:xfrm>
                            <a:off x="0" y="18"/>
                            <a:ext cx="2990850" cy="2383743"/>
                          </a:xfrm>
                          <a:prstGeom prst="rect">
                            <a:avLst/>
                          </a:prstGeom>
                        </pic:spPr>
                      </pic:pic>
                      <pic:pic xmlns:pic="http://schemas.openxmlformats.org/drawingml/2006/picture">
                        <pic:nvPicPr>
                          <pic:cNvPr id="679681863" name="Picture 679681863"/>
                          <pic:cNvPicPr>
                            <a:picLocks noChangeAspect="1"/>
                          </pic:cNvPicPr>
                        </pic:nvPicPr>
                        <pic:blipFill>
                          <a:blip r:embed="rId15"/>
                          <a:stretch>
                            <a:fillRect/>
                          </a:stretch>
                        </pic:blipFill>
                        <pic:spPr>
                          <a:xfrm>
                            <a:off x="2752724" y="36"/>
                            <a:ext cx="2990215" cy="2334970"/>
                          </a:xfrm>
                          <a:prstGeom prst="rect">
                            <a:avLst/>
                          </a:prstGeom>
                        </pic:spPr>
                      </pic:pic>
                      <pic:pic xmlns:pic="http://schemas.openxmlformats.org/drawingml/2006/picture">
                        <pic:nvPicPr>
                          <pic:cNvPr id="200342405" name="Picture 200342405"/>
                          <pic:cNvPicPr>
                            <a:picLocks noChangeAspect="1"/>
                          </pic:cNvPicPr>
                        </pic:nvPicPr>
                        <pic:blipFill>
                          <a:blip r:embed="rId16"/>
                          <a:stretch>
                            <a:fillRect/>
                          </a:stretch>
                        </pic:blipFill>
                        <pic:spPr>
                          <a:xfrm>
                            <a:off x="9525" y="2360992"/>
                            <a:ext cx="2924175" cy="2206943"/>
                          </a:xfrm>
                          <a:prstGeom prst="rect">
                            <a:avLst/>
                          </a:prstGeom>
                        </pic:spPr>
                      </pic:pic>
                      <pic:pic xmlns:pic="http://schemas.openxmlformats.org/drawingml/2006/picture">
                        <pic:nvPicPr>
                          <pic:cNvPr id="257418211" name="Picture 257418211"/>
                          <pic:cNvPicPr>
                            <a:picLocks noChangeAspect="1"/>
                          </pic:cNvPicPr>
                        </pic:nvPicPr>
                        <pic:blipFill>
                          <a:blip r:embed="rId17"/>
                          <a:stretch>
                            <a:fillRect/>
                          </a:stretch>
                        </pic:blipFill>
                        <pic:spPr>
                          <a:xfrm>
                            <a:off x="2686050" y="2322894"/>
                            <a:ext cx="3056889" cy="2334970"/>
                          </a:xfrm>
                          <a:prstGeom prst="rect">
                            <a:avLst/>
                          </a:prstGeom>
                        </pic:spPr>
                      </pic:pic>
                    </wpc:wpc>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34DE1B8" id="Canvas 2" o:spid="_x0000_s1026" editas="canvas" style="width:452.2pt;height:375pt;mso-position-horizontal-relative:char;mso-position-vertical-relative:line" coordsize="57429,476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LNI1ugIAANYLAAAOAAAAZHJzL2Uyb0RvYy54bWzslt1u2yAUx+8n7R0Q&#10;961t7PhLTaqpVadJ1RZN2wMQjGNUGxCQj779DsRu2uWi09ReRNtFHPCBw/8cfhxzdb0ferTlxgol&#10;5zi5jDHikqlGyPUc//xxd1FiZB2VDe2V5HP8yC2+Xnz8cLXTNSeqU33DDQIn0tY7Pcedc7qOIss6&#10;PlB7qTSXYGyVGaiDrllHjaE78D70EYnjPNop02ijGLcW3t4ejHgR/LctZ+5b21ruUD/HoM2FpwnP&#10;lX9Giytarw3VnWCjDPoXKgYqJCz65OqWOoo2Rpy4GgQzyqrWXTI1RKptBeMhBogmiX+L5obKLbUh&#10;GAbZmQRC6w39rtZet1W9aO5E3/uONtbd9AZtKWRt1wnHfZ6iF6MiUFH7uf5/B/vIYYgWrIbfmEho&#10;neh8fUNhltsYjkcnwx/5GKh52OgLyKmmTqxEL9xj4AOS50XJ7VKwpTl02Nft0iDRAK9pmRRJnsUp&#10;RpIOwCcM86ujZ5YxLj/r4AMSJNi9Yg8WSXXTUbnmn6wG1MBhSBSY6+PwyHdfCFj1Qk+59u0xVMDy&#10;dfwPyNwqthm4dIczYHgPUStpO6EtRqbmw4pDeOZLEwTBxjnDHev85rawyd9B7LijkyGoPArzmq32&#10;GaP1vjWD/4el0T4cnUeItDycHb53iMFbUlVxOYMjxsBI0jItsnSkZprvsfrM1YB8A9SBCNgeWtPt&#10;vR3lTEOAtqOC0ITu+fGVF1VeJmV+gtfRcNZ0kQMDb0kXKWakIBlGgFGanzJGktnEWJpVRajgUJn+&#10;XcbgK5hmJIshLS9L2NFw1oyFKvK2FayaEchWqFN5XFUjxcdKRrKkmCgjcV79r2SYzIosKUmSnFD2&#10;ZDhryrJ3qGR5mcf+ixhAI6SsxkUm0NJ4lpdl9b7lLNzT4I4W7m/jRdffTp/3of38Or74BQAA//8D&#10;AFBLAwQKAAAAAAAAACEApUzKTTQpAAA0KQAAFAAAAGRycy9tZWRpYS9pbWFnZTEucG5niVBORw0K&#10;GgoAAAANSUhEUgAAAikAAAGHCAMAAABCszIvAAAAAXNSR0IArs4c6QAAAARnQU1BAACxjwv8YQUA&#10;AAE4UExURQAAAAAAAAAAAAAAAAAAAAAAAAAAAAAAAAAAAAAAAAAAAAAAAAAAAAAAAAAAAAAAAAAA&#10;AAAAAAAAAAAAAAAAAAAAAAAAAAAAAAAAAAAAAAAAAAAAAAAAAAAAAAAAAAAAAAAAAAAAAAAAAAAA&#10;AAAAAAAAAAAAAAAAAAAAAAAAAAAAAAAAAAAAAAAAAAAAAAAAAAAAAAAAAAAAAAAAAH19fYmJiWdn&#10;Z////6enpwAAAPf39x4eHlBQUN7e3hEREQsLC+rq6nJycp2dnfv7+01NTQYGBsnJyXt7e8PDw39/&#10;fzIyMvX19a2trQBwwIqKira2tlZWVlaAnoWFhQAAAAAAAAAAAAAAAAAAAAAAAAAAAAAAAAAAAAAA&#10;AAAAAAAAAAAAAAAAAAAAAAAAAAAAAAAAAAAAAAAAAAAAAF+5FqcAAABodFJOUwA8//QVIe6NrwSy&#10;gM0KYgjhWEfS+TazZLjXnYbMwCtCxXwk2nddbZmJE6IgnlBhkpgoh5///////4T/////////////&#10;////////////////////x99IODCPYGi3788QGL/3QHB456eXIyJHOAAAAAlwSFlzAAAXEQAAFxEB&#10;yibzPwAAJxFJREFUeF7t3Qt7W9l13nHo2JIocSyIzrgt47ietHF6YdlUZN2kM/Vt7CTuxW1aggIv&#10;IEiQAvn9v0H33ucPYC3oJbCh4YAXrd/zjAjwXTzc2Gfx3HDI6YQQQgghhBBCCCGEEEIIIYTw5D1r&#10;fvBDHobPx/MXK6/2l81G59XrZpOn856/+OJHPAxPyJu02lfTfdtsLeqUFG3xMDx8P26aP2NbUdbs&#10;bbpvv/wJD2uVnc+CTkkFsVF5PN40zWRjsbBTPmGt5p3Pwk75hO4L9yZ3CutrUacsWuG3eP4iL3fh&#10;F75ceaHh3rxp/tlrNheLOuUTfvzflMUu7JS2JDwK6UD1WdN2yKJOWf2ElxZZ2CntZic8CqlT0sos&#10;bTDplFf//F+kXdL2n9sf98lPf6rdevXTF82XOf3xXzTNz/5lyTs/z1+TTbYSdMGkYX7a/CBX+rKF&#10;R0bhYcknv89flLXJeksfmi+/ejE7J0rS+m4Pe9ODv0xRXtX/6nX52G4V0uFO+Zrmqz8vddPeolNe&#10;Nl/mZc+VEYbHoKzQl2WjMumUf/1XeRXTPq3pKk0Pmi9/0Xn117lJ0nblxy9KC6XiX6QPv5jto9LC&#10;yle0X/nTtlE+KiunR+FRKJ2S1mBaY3P7ArsWp1Fa8ZOdStsJb8pan21AJkuYHNiUTnkz3fLMlb1s&#10;PxEegXbllVU51yms1iK10rRT2o3LZB23HfFxp0z6LH/BpFE+LrPfIzxs7bpKTfLFj2Ybjp//m6++&#10;SocTs7X4cadM1nHbKexWpi3hNkIJjfFRWXTK48G6ymfKk7Wbjj1a9Z2SNiHtoWobznY++Qv+bW7D&#10;8uSjsuiUx4N1lVboF/+u7ZTUNP9+Z5YUqYnalXtLpzxr/uw/pNb62W7JkulBTv6C1GftM1EWnfJY&#10;zNZ48x/bTpmsvVU65eVk/4LZJbXyBWnh5avmy2YNFR68aT+8bLbbXcxk7dmf97S+Zweo5YHrlBxP&#10;a7NZl7Vf8KYcqnxUNl1aePim6zTtItojz/Z489Xf2OOUadvoTsmdkHz51c92fdXkYfo3L3SubP5s&#10;Kzxks5/+vBrzekurr9n+i6b5ynbK5Aj1lk559Z/S+i8XX8tnzfs5fEFaaN72+DJbFx46t59o11t+&#10;Xycddbo7UiYnP7d0yqT25+2F3dlCp1+QFpCPV1yZrQtPxLRDpNk9CeUg57biubLZIVF4Qhb++E/v&#10;xm57ZLKrmjdXZjonPB0L12q+YJL76NVflx3YbZuKubLpzig8KQv3FD9NB6nbX6XD4C9/UbYYt5zR&#10;uLIFdeExW/z7Pu/+Jp/RbP9Vvri7gCuL3/cJIYQQQgghhBBCCCE8NHtNuHf7rIwH7T//MvkvjDjc&#10;E1bGg/bL5m/DPYtOCXWiU0KdR9kp7DcdovB9iU4JdaJTQp3olFAnOiXUiU4JdaJTQp3olFAnOiXU&#10;iU4JdaJTQp3olFAnOiXUiU4JdaJTQp3olFAnOiXUiU4JdaJTQp3olFAnOiXUiU4JdaJTQp3olFAn&#10;OiXUiU4JdaJTQp31dMqr/L/y5M+Gv0wPzd+FNk/nEiM65f6tpVPKH/hu/8p3923qhVevJ/9fAvN0&#10;LnGiU+7fOjrl1euypXiW/88Bb0onPH/BBsY8nUuc6JT7t45O6b4t/8+A3ASvXpeH9I59Opd40Sn3&#10;b42dkj9MNhkv252MeTqXeNEp9289nVK2E3mrEZ3yaK3liPZNOe/J/ye25y/a/xXftFOmT+cSL/9B&#10;wOTvpoP+GFH4vqylU9LBbPJfY5vymK2nU4ru241Za7THrebpXOJFp9y/NXZKPkvm4JYTHft0LvGi&#10;U+7f+jql7YF25zI5KLFP5xInOuX+ra1TuPpartSW7cezfJg7e2offiQ65f6tpVPyGzqTt326b3lc&#10;OmX21D2cF51y/9Z4nPIdRKfcv+iUUCc6JdSJTgl1olNCneiUUCc6JdSJTgl1olNCneiUUCc6JdSJ&#10;Tgl1olNCneiUUCc6JdSJTgl1olNCneiUUCc6JdSJTgl1olNCneiUUCc6JdSJTgl1olNCneiUUCc6&#10;JdSJTgl1olNCneiUUCc6JdR5JJ1i/3JkdMq9iG1KqBOdEupEp4Q60SmhTnRKqBOd8km+/oZv+9/K&#10;01/9+je/LQ9av0sBnzAPH7nolO/i26acun/ruuHrb9KT3//h7//BPXz0olO+g9//oTTI75p/bB+0&#10;vi2N8atfp82NefjoRad8B39s/nv69+tv/o6WKX7/h//xP8uH3/zWPCzRoxad8ulmuxXbC5MtyO/+&#10;/h/Mw/LxUYtO+XSzvUp0ykPxMDvld+3xbOI7Je+S6JTpw/LxwclnZmUP+vs/pAeTvk+mwexhdMon&#10;+/qbchSSPc5tyq9+PXkB5dHs6d9+mx99W1pl+jA65ZNxipzJTvnNb83D8vFh4Xi7PCoD/OPsBWXm&#10;ReWH0Smfqlwrge0UNjV5PZiHJXpYZo3BOCeNjeiUO9KeIrdsp7CvKcco5uHDM9sn0ilmd5qZp/lh&#10;dMoncldeJ53yx3xUWPb37TSbhw/P737zv/LEpS5m8+i3fV9/YzopPYxO+USlKYrJe0DpefvJ8ok2&#10;NQ8fmnS6kxvj2zy88k/6d9op36Zh0yiTh9Epnyu2g+2HP+Yp/Ed/PPXHWePkh9Epny3OyOzhit/6&#10;mSOx9DA65bNFi8w6Ze4s2Z4LpYfRKZ+tyfubk33MRyfzsU0JRXv2Nt2kcDKXD8q//ia3CCduk4fR&#10;KZ+x6Q155b2ddlfDiX7+RNmiTB9Gp4Q60SmhTnRKqBOdEupEp4Q60Smhzjo6pfuWtbmRn71MD37w&#10;wxJk5ulcYkSn3L81blPeNFu5a1IvvHr95U/az5mnc4kTnXL/1tcpr17n7cWb0gnPX5TNi3s6lzjR&#10;KfdvfZ3yrNnM7fLFj9Ljtmvc07nEe/Cd8qePkdwRXqVFsi5r65R2vzLZZLxsdzLm6VziRafwKi2S&#10;dVlbp7SdEJ3yiXiVFsm6rK1TXubj2dQaaReUn006Zfp0LvHKXwSc/U1Apsohuid0h0VyR3iVFsm6&#10;rKtTum/LYUhsUz4Rr9IiWZd1dUo5RTat0R63mqdziRedwqu0SNZlTZ1SLpaUj5zhlA/26VziRafw&#10;Ki2SO8KoLRKsqVPKKXLW7lwmByX26VziRKfwKi2SO8KoLRKsp1Nml16fv0jbjLL9eJYv7s+e2ocf&#10;iU7hVVokGjUOkcaoLRKsp1NKV7TKm0D5Wfu56VP3cF50Cq/SItGocYg0Rm2RYF1HtN9NdAqv0iLR&#10;qHGINEZtkSA65U4wtxaJxqAdIo0ai0SjxiHSGLVFguiUO8HcWiQag3aINGosEo0ah0hj1BYJolPu&#10;BHNrkWgM2iHSqLFINGocIo1RWySITrkTzK1FojFoh0ijxiLRqHGINEZtkSA65U4wtxaJxqAdIo0a&#10;i0SjxiHSGLVFguiUO8HcWiQag3aINGosEo0ah0hj1BYJolPuBHNrkWgM2iHSqLFINGocIo1RWySI&#10;TrkTzK1FojFoh0ijxiLRqHGINEZtkSA65U4wtxaJxqAdIo0ai0SjxiHSGLVFguiUO8HcWiQag3aI&#10;NGosEo0ah0hj1BYJolPuBHNrkWgM2iHSqLFINGocIo1RWySITrkTzK1FojFoh0ijxiLRqHGINEZt&#10;kSA65U4wtxaJxqAdIo0ai0SjxiHSGLVFguiUO8HcWiQag3aINGosEo0ah0hj1BYJolPuBHNrkWgM&#10;2iHSqLFINGocIo1RWySITrkTzK1FojFoh0ijxiLRqHGINEZtkSA65U4wtxaJxqAdIo0ai0SjxiHS&#10;GLVFguiUO8HcWiQag3aINGosEo0ah0hj1BYJolPuBHNrkWgM2iHSqLFINGocIo1RWySITrkTzK1F&#10;ojFoh0ijxiLRqHGINEZtkSA65U4wtxaJxqAdIo0ai0SjxiHSGLVFguiUO8HcWiQag3aINGosEo0a&#10;h0hj1BYJolPuBHNrkWgM2iHSqLFINGocIo1RWySITrkTzK1FojFoh0ijxiLRqHGINEZtkSA65U4w&#10;txaJxqAdIo0ai0SjxiHSGLVFguiUO8HcWiQag3aINGosEo0ah0hj1BYJolPuBHNrkWgM2iHSqLFI&#10;NGocIo1RWySITrkTzK1FojFoh0ijxiLRqHGINEZtkSA65U4wtxaJxqAdIo0ai0SjxiHSGLVFguiU&#10;O8HcWiQag3aINGosEo0ah0hj1BYJHkmn2L8cGZ3SItGocYg0Rm2RILYpd4K5tUg0Bu0QadRYJBo1&#10;DpHGqC0SRKfcCebWItEYtEOkUWORaNQ4RBqjtkgQnXInmFuLRGPQDpFGjUWiUeMQaYzaIkF0isIy&#10;HSKNubVINJbpEGnUWCQaNQ6RxqgtEkSnKCzTIdKYW4tEY5kOkUaNRaJR4xBpjNoiQXSKwjIdIo25&#10;tUg0lukQadRYJBo1DpHGqC0SRKcoLNMh0phbi0RjmQ6RRo1FolHjEGmM2iJBdIrCMh0ijbm1SDSW&#10;6RBp1FgkGjUOkcaoLRJEpygs0yHSmFuLRGOZDpFGjUWiUeMQaYzaIkF0isIyHSKNubVINJbpEGnU&#10;WCQaNQ6RxqgtEkSnKCzTIdKYW4tEY5kOkUaNRaJR4xBpjNoiQXSKwjIdIo25tUg0lukQadRYJBo1&#10;DpHGqC0SRKcoLNMh0phbi0RjmQ6RRo1FolHjEGmM2iJBdIrCMh0ijbm1SDSW6RBp1FgkGjUOkcao&#10;LRJEpygs0yHSmFuLRGOZDpFGjUWiUeMQaYzaIkF0isIyHSKNubVINJbpEGnUWCQaNQ6RxqgtEkSn&#10;KCzTIdKYW4tEY5kOkUaNRaJR4xBpjNoiQXSKwjIdIo25tUg0lukQadRYJBo1DpHGqC0SfB6dQo1F&#10;olHjEGnMrUWisUyHSKPGItGocYg0Rm2RIDpFocYh0phbi0RjmQ6RRo1FolHjEGmM2iJBdIpCjUOk&#10;MbcWicYyHSKNGotEo8Yh0hi1RYLoFIUah0hjbi0SjWU6RBo1FolGjUOkMWqLBNEpCjUOkcbcWiQa&#10;y3SINGosEo0ah0hj1BYJolMUahwijbm1SDSW6RBp1FgkGjUOkcaoLRJEpyjUOEQac2uRaCzTIdKo&#10;sUg0ahwijVFbJIhOUahxiDTm1iLRWKZDpFFjkWjUOEQao7ZIEJ2iUOMQacytRaKxTIdIo8Yi0ahx&#10;iDRGbZEgOkWhxiHSmFuLRGOZDpFGjUWiUeMQaYzaIkF0ikKNQ6QxtxaJxjIdIo0ai0SjxiHSGLVF&#10;gugUhRqHSGNuLRKNZTpEGjUWiUaNQ6QxaosEa+mU5y/KSL/4UX7yMj36wQ/L5zPzdC4xolOosUg0&#10;ahwijVFbJFhTp2zyqNN9m3rh1esvf/LR07nEiU6hxiLRqHGINEZtkWDdnfKmdMLzFxsfPZ1LnOgU&#10;aiwSjRqHSGPUFgnW3CmvXpdd0KvX7V7GPJ1LvOgUaiwSjRqHSGPUFgnW3CmTTcbLdidjns4lXnQK&#10;NRaJRo1DpDFqiwRrPKLNnRCd0mKZDpFGjUWiUeMQaYzaIsFaOqV4ls9rJluXaadMn84lXvmLgLO/&#10;Ccgrd4g0aiwSjRqHSGNuLRKNZTpEGjUWiUaNQ6QxaosE6+uU1CqbsU0By3SINGosEo0ah0hj1BYJ&#10;1tgpuRem/dAet5qnc4kXnUKNRaJR4xBpjNoiwZo7pfuWM5z2Kpx5Opd40SnUWCQaNQ6RxqgtEqyx&#10;U940W5Ody/RkyDydS5zoFGosEo0ah0hj1BYJ1tIpL/Paf8bJT9pmlO1HeT57ah9+JDqFGotEo8Yh&#10;0hi1RYK1dEp7lpy2KEn3bXqYe6btnOlT93BedAo1FolGjUOkMWqLBGvc+3wH0SnUWCQaNQ6Rxqgt&#10;EkSnKNQ4RBpza5FoLNMh0qixSDRqHCKNUVskiE5RqHGINObWItFYpkOkUWORaNQ4RBqjtkgQnaJQ&#10;4xBpzK1ForFMh0ijxiLRqHGINEZtkSA6RaHGIdKYW4tEY5kOkUaNRaJR4xBpjNoiQXSKQo1DpDG3&#10;FonGMh0ijRqLRKPGIdIYtUWC6BSFGodIY24tEo1lOkQaNRaJRo1DpDFqiwTRKQo1DpHG3FokGst0&#10;iDRqLBKNGodIY9QWCaJTFGocIo25tUg0lukQadRYJBo1DpHGqC0SRKco1DhEGnNrkWgs0yHSqLFI&#10;NGocIo1RWySITlGocYg05tYi0VimQ6RRY5Fo1DhEGqO2SBCdolDjEGnMrUWisUyHSKPGItGocYg0&#10;Rm2RIDpFocYh0phbi0RjmQ6RRo1FolHjEGmM2iJBdIpCjUOkMbcWicYyHSKNGotEo8Yh0hi1RYLo&#10;FIUah0hjbi0SjWU6RBo1FolGjUOkMWqLBNEpCjUOkcbcWiQay3SINGosEo0ah0hj1BYJolMUahwi&#10;jbm1SDSW6RBp1FgkGjUOkcaoLRJEpyjUOEQac2uRaCzTIdKosUg0ahwijVFbJIhOUahxiDTm1iLR&#10;WKZDpFFjkWjUOEQao7ZIEJ2iUOMQacytRaKxTIdIo8Yi0ahxiDRGbZEgOkWhxiHSmFuLRGOZDpFG&#10;jUWiUeMQaYzaIkF0ikKNQ6QxtxaJxjIdIo0ai0SjxiHSGLVFgugUhRqHSGNuLRKNZTpEGjUWiUaN&#10;Q6QxaosE0SkKNQ6RxtxaJBrLdIg0aiwSjRqHSGPUFgmiUxRqHCKNubVINJbpEGnUWCQaNQ6Rxqgt&#10;EkSnKNQ4RBpza5FoLNMh0qixSDRqHCKNUVskiE5RqHGINObWItFYpkOkUWORaNQ4RBqjtkgQnaJQ&#10;4xBpzK1ForFMh0ijxiLRqHGINEZtkSA6RaHGIdKYW4tEY5kOkUaNRaJR4xBpjNoiQXSKQo1DpDG3&#10;FonGMh0ijRqLRKPGIdIYtUWC6BSFGodIY24tEo1lOkQaNRaJRo1DpDFqiwSPpFPsX458lPM8h2U6&#10;RBo1FolGjUOkMWqLBLFNUahxiDTm1iLRWKZDpFFjkWjUOEQao7ZIEJ2iUOMQacytRaKxTIdIo8Yi&#10;0ahxiDRGbZEgOkWhxiHSmFuLRGOZDpFGjUWiUeMQaYzaIkF0ikKNQ6QxtxaJxjIdIo0ai0SjxiHS&#10;GLVFgugUhRqHSGNuLRKNZTpEGjUWiUaNQ6QxaosE0SkKNQ6RxtxaJBrLdIg0aiwSjRqHSGPUFgmi&#10;UxRqHCKNubVINJbpEGnUWCQaNQ6RxqgtEkSnKNQ4RBpza5FoLNMh0qixSDRqHCKNUVskiE5RqHGI&#10;NObWItFYpkOkUWORaNQ4RBqjtkgQnaJQ4xBpzK1ForFMh0ijxiLRqHGINEZtkSA6RaHGIdKYW4tE&#10;Y5kOkUaNRaJR4xBpjNoiQXSKQo1DpDG3FonGMh0ijRqLRKPGIdIYtUWC6BSFGodIY24tEo1lOkQa&#10;NRaJRo1DpDFqiwTRKQo1DpHG3FokGst0iDRqLBKNGodIY9QWCaJTFGocIo25tUg0lukQadRYJBo1&#10;DpHGqC0SRKco1DhEGnNrkWgs0yHSqLFINGocIo1RWySITlGocYg05tYi0VimQ6RRY5Fo1DhEGqO2&#10;SBCdolDjEGnMrUWisUyHSKPGItGocYg0Rm2RIDpFocYh0phbi0RjmQ6RRo1FolHjEGmM2iJBdIpC&#10;jUOkMbcWicYyHSKNGotEo8Yh0hi1RYLoFIUah0hjbi0SjWU6RBo1FolGjUOkMWqLBNEpCjUOkcbc&#10;WiQay3SINGosEo0ah0hj1BYJolMUahwijbm1SDSW6RBp1FgkGjUOkcaoLRJEpyjUOEQac2uRaCzT&#10;IdKosUg0ahwijVFbJIhOUahxiDTm1iLRWKZDpFFjkWjUOEQao7ZIEJ2iUOMQacytRaKxTIdIo8Yi&#10;0ahxiDRGbZEgOkWhxiHSmFuLRGOZDpFGjUWiUeMQaYzaIkF0ikKNQ6QxtxaJxjIdIo0ai0SjxiHS&#10;GLVFgugUhRqHSGNuLRKNZTpEGjUWiUaNQ6QxaosE0SkKNQ6RxtxaJBrLdIg0aiwSjRqHSGPUFgnW&#10;0ykv80A3Z49/8MP2cWKeziXG//avMi9tHhH+Dx9BjUWC5fWLv4C5tUjwXb8BNRYJvvdX8E/r6JQ3&#10;X/wo/VNapfs29cKr11/+pE3M07nEuW2b8k98TIjwSz6CGvsFJFhev/gLmNs//en/8nF+nr/rN6Bm&#10;9VdQ+wWMesErWNve59XrvL14Uzrh+YuN9pPm6Vzi3NYpv+RjQoTb5m32BSRYXl85z7/kY22nfO+v&#10;oPYLGPWCV7DeTnn1Om9e6Jr8cfp0LvGiU6hZ/RXUfgGjfgid0n2bWmGyyXjZ7mTM07nEi06hZvVX&#10;UPsFjPoBdEr3bW6B6JQWy1zDK6j9AkZ9353yJo2zdMDzF+0Z0LRTpk/nEq/8RcBwr/7f2vY+z5pP&#10;3/sctD8U4T71WBnfv2fpNHnaD+1xq3k6l4TPWO6Fclg7PeexT+eS8BnL2xR2LpODEvt0Lgmfoe7b&#10;vPafv8hbi/Jv2X48a9LuZvbUPgyfq+cv8hFRu7Hovk0P8yFJ6ZTZU/cwhBBCCCGEEEIIIYQQQggh&#10;hBBC+Cwd8rHWDh/DSt6950Gl/tHRal9xvHnCo+/J6eTXbyv1B/s8qrR/NuTRZ+z8oGm2V/kZ28w3&#10;yBzzpMJOvsf7osuzGt29YefwiCcV+s1otVbpNc1KrXLSNKu3Sv9sldf88J33BvvbzXb9izpuNi6v&#10;RqNzni7VPRtcbZ01H3haY6s52xqd8qRCd3TUW6lVLi7OVmqV3eZi9Va5aq549DRsDNL2ZKPZ5ely&#10;47wKr5rL9tlyJ6NUej664GmVtNk6XeUH8mJjZ6VWuRqcr9Qqw+Z4f+VW6Y7HT2mjMiyN32+22qfL&#10;vW/yMcpl8/74pG6zclo2DhfX707qD24OR6utl6tBt7TKZZ9PLNFvLoelVd7xiWXO9julVVY6Er5a&#10;4efv4Xs3ymvkcnTTNNdVa354nf/9MBo0zaBqu3KVj2a7g+10sHLTfma569O9lVolrflOapXrUe12&#10;YrDZya2yP6r8qT/qpaPavE9c5dC8Oz7j0ZNQfkoumt7NdnNQPlGjPxqfXH4YjatX5nWzsbu7vcpx&#10;8OZKrZLWfG6V6sOtjbQzTK1SPaDdJs3TfvVxbb93k+f16WxUhmxF9kf5eLP+YGU4OMtfuVn9BZtl&#10;H3c+qDpK3dnczJdHUqvsdI7LFmy5vObTLqv6WOUqbUy6p/VnQGUn3a/tlPdXqQn3+09mo3J+kV55&#10;bv3uQfnRulx2fnK5cXHTztRx+XC45Oime3Wx0V4S67ctdVYzcVtpv9acpm+w2Qw2Rgs7pbs3YJ+Z&#10;1vzh6KzfW/IS3t1c3JT6neYyNUpaoUta5fj6pj26Otvo9AdndYe1l6Nx9zBNbjpHfBIblZ1xk84V&#10;e7ODk60l5zMf8nUUU985ahZO2zBfR7FnisNRxTWS96O9TveoyR1ynPpg0e6km4Y/anp5EDvN3iit&#10;xJ2zhRdrt9JWp8nnep1Ob+807XqGZwu3cnmrwx7qaJAaZZi2vhWH5fvj/C36101z8CR+52ojn71u&#10;NtOVN+wt3ssfNhfDtApnL313ybb+YHTSPRw009OR4Wm7khY7zafT+4PyVV3TlsJR+olNIyqvoFfx&#10;094fnb0fpkPl/Dgdc+QOWPw1+83e5clolMey2+ROrDlZ6h9dsyHcOUqdWXk29oDttOv5bHL0398e&#10;LZ6Fi16uPM2Hdtm7myWXPNqd2e50+761PVq4Kb4clL7o7U0bZYnzdhN1Nsr/Hm4sbRR+1jfKpvP9&#10;aPnB7LvShFvlFXR7Nfud7KoZTX+ahh+ewEblfbvKr9qm758248Xb1W57CHDJ6cJlM1py9Hg0KI10&#10;xp8KuWi2F3+DrXbjcHBAoyzekST+FVQYlLP099WXTj+UKwid7e3877CyUfJ22pwTnjaLt4uPAcea&#10;7ZrvXn9YNhNXZZPTHXFRpL+s/l3aOCSTg5nzpTv4g7LKPzRnpVF2lzdAezxdf9Xwqj0Oq353sN/u&#10;mZccjk2dbIx7+/lb2BP83ZXexnjIzpt8LWnpap/p1c4zjie7q6X6ZUvdPSjblv6g8vw4X2lP/54v&#10;3BM6Fyu8o5TVvYKddGJ8kU7b9tJAbKtc1778By8frqzyJvxBnuf9+ot05ZpVf7xsV5LdNLlqZ7u5&#10;2DwaHVSv+vwKdlZo4HztpbNZ/0bvYX7/Ynix+MSwPy7XpA7Hpd1Xu2z4SKR5Lud/tS7SPO8vOeux&#10;LtM89we9hT9Zl+3+43xQTkuGN+nUNP9oVkqD2elVHQO39tNxx2b1Nbf8Ci7T6fTib9AfkA/PymFQ&#10;apX6F/BAzZ/gNJsrNUrulFUaJc/zskY5HzUH5SjmisPl7tJjGqvZXKlROvu9lRolv4JljdIZT69F&#10;7QzKWfXmSu+FP0T9+TfRmo3qRimXNy4u6hsl98dlc7WkUdJpTtqI5Gut3bMV36d/nxfc7Nc3Sq7f&#10;79U3Sp6Zy2Z3WaOkHed0Eo9X+Tl6wLqn01k6Lqf69e/vd0/zzuGi/s2Vw1E67rhsmmWNko5lLy7S&#10;WXc3Fa90ptAv571NU90o++P8T/3bPf3Bbn4Fk13LArPr/MPVbsV5uKatctx+vK5olMu8Memelvm6&#10;XqFR8hb43fJGyT+S/cPtZnzS2ai/ly6vx7KJv6hvlLJ326tolOFNPrhu98s7VZ04a5XxE+mUSavQ&#10;KO0GdrHDfFhPo3SG7aHEcm2jpJOf5Y3SOc+zezXIN4C01zBqvGsbpTOs+AZF2yidYcU9JvvN3qRR&#10;0lRVdeKkVYZPZO+TlFYZVt/009kaDcppYu1P7nC/GW8O647pDkdHZXpP8uWz4VHTjCquaaZvMDjq&#10;dnZuln+DkzLo99vNwW6nu13b5J1OL+/WNis2twatsl+OaJ+G0iq19wV2PjS9plyeq9Tt5StQ23XL&#10;3xo3g3JxvT2W3dmo2DN0NpqL9D1q1uK7suM4bMYHTVPRVxM3pys01UxplZPqNwseuGG+w8Qc1i6V&#10;3ybZOWiqG6tzkrZAaeswrjvg6G6Omu10TNDPm/uk4ufxfd7+HE0PCxY6zq1yttHt9Fe5w/q4mb3F&#10;vorUKldP4j6D7EOZ4RVa5Sif8NS/t9Ld2S9vDJ00tcd15zdNs7HTuVnyVvZE92o3n8DUXgbNrVLu&#10;Ee9ecLGmxnHNYbiQTqtq9rmPQ7s3rW+Vm/yW8Fb1+7VHg7P2gG6j+kvyG9mjvXfjuh/G982gfXe6&#10;vlXa923ORzV33OFTW+Uobb6ejGmr1B2iHzYHl8dpLb7bGHNr5ELtL0ckh6tcGrk8y4cSdXcSplXf&#10;rsTNpuqtvrQraa+fXlfdALB5sZE3QTWtcv5JzfQYcIM1rVLuHl/sON+cmH+59Hp4OBhvV+28U6uU&#10;Fjxc5Sg4fatx9RW96Ur8UHfRvxyrJNfN8p/37kFz0JSbnJa3ymrvITwqZ7z2tlUqbJS97s7BUed4&#10;tD/snJZbehZ4f5VPp0ur7By0t7BV625W9GG/3Opdv2sYHp6kyrZVdhffvd26Hr3v9HvliOa4WfJy&#10;00HJk2uV7lnZI0xnuPa3EdIuKrfK5qjdpVwvvtfgPN+ffHCeWyXJV/Lv2DB9g/LbaLWtcpg2VLlt&#10;U6tcbDflN08We1cu6/B7QMeL7zPoXDVHH7XK8OxxnyNPDh4mM9zs21vsF2hbpbt/lv+/ee+W3Hp6&#10;sH15vtmMu/nb9bZW26LU6J4Njq8GpQPrWqU/utnplxuj8mnv4s492s+7puN8Vec0/zZIxXnScHQ9&#10;2bFNDCeb7UfLt0q/5iau3bLVYauSbzI5XHJycjzKiy73RKVvt/CY4/L0U+bzQ774edlurI4HFefU&#10;5ea2TVqrvVxzm6v29Dbf7rA33kkHWTWXBW5G575VHn+j2FYZnBzW/ILWDjuotlXyHSTNkhPAvXTy&#10;Orl5bnGr7Iwq9x7gdpVe2jgMz87arcpC/fa0a5zG0DZK+tTiwR81Z6VV0jfLb3Jdjpdsgop+epG2&#10;VZ5Co8xaZXfQLLsLvzW5XHGZftrSv4PebTvg7oeL8vO9OTpvG+UqTXX6drefJB+m1fLRnO7cfo7M&#10;O3vX6ducng37S1ulPyi/LdbpbdAo7QAX6Tcf2q1n+hFJA7+pu9X2IO2sZq3yNBpl1irnV4vvwp9O&#10;Kq1yOfiwcMN9nn4Yy5p735yWRumO87/Dg9tXZ3d8sTnfKju92zd0/cHksGE37+EuBu3vh9xmeovd&#10;TXNdGqXiNv90XsiOtjseHG2Uq7q3Gk4Wt5UvAU1a5ak0yqxVFttqelesh9Qq6bA0/z2IRS7yG83F&#10;fvt/Ab7Oa3OxzaY/1yqpURb077RV8i8YdrcvF24iZvdino/LPnBnXHF6fNzs0ippqztaeJCy02vO&#10;jsscdcf5bDC1SvqGT6dRSqvcvkeYuG565Z6BLJ3I7N2UW85vN/lNsaR70JzuHtZcas2//edaZXGj&#10;zFrldPR+eLP4Dsp3k0ZJ/x6ORnuXJ+yLFuuOTyeH7+eXC79B57Q5G6SZySd3qeXTv8f5CO5ypb+V&#10;98Cdj9tfilvkstk97jWDo3KSe9IsvZHwA1v2nTRP3XxTfa/mIGgjDcS0yrJGmbZKOmhqFv/Oan5f&#10;qIxof5AW+S7/fZ/rikbJd8K9m7TKEqn/dk96abnvU8vze3JPzd7i/W+RT4yO0wTv59U4XPrnsLby&#10;iri8GTfNdio9v1xytQqX+SaOaassb5Rpqxxe7C97Ce1xw+S28P7iXVVn87TdkXTO83WX6lY57Ozm&#10;vylyfLrK3ZyPR7+3eMNd7Ja9x25a9RvLuqQ4SD+1ycW2/W3cW7w/PaHmLF8pp1VqGqW0SuWdD7lV&#10;an9/YK8ZpZ1tWdsb+Xf5u6c1d6yVVumkb5I8kfuWnMu6P8xWrrYcNxv5tycr1uBwb7t3vZUmeW/p&#10;UVB/lPYd7RuT7Z+g2czrs/avCKSz46rWzYOvfrdxr9m+yhvQtOTDstK7S0+os7ZVOud7g5qzhMen&#10;7reP01lA+i9NwO5F5XS3dpb+wb/DZrCXNkH5pLo7KBd8y5l0+weelrssf36nxnH9u0753dLD06Y5&#10;2OJvGtShVTrd/DPyueqOz6b37a/CnAXdJu8X3l+nQ5qT7tEK91vivLpTVm2Vzrv9UdM7K78WXWnS&#10;Kp+1q/rfnDKGZxV/SbIcbe4cDZrBxsp3qqbz77rD5WzVVumcb6Yjs+pOTKJV8kal3Ki6mq1e/mNg&#10;S7UnJsOrdJK5+ELrx/bGtffyZiu3Sqd7fLHSqk+tUnNB4Enbq7h45p0Pml7dD3zbKqmzDr7nKxEr&#10;7EGr7+zyDp/SPbOfZqV7k1u71T/vk1b53i1599j6xFYJnaP6++pXt7ZWWUG0yic6X3zbz3f0IFsl&#10;jjkeomU3oN2Hlc/Zwzo8uE1KCCGEEEIIIYQQQvjsdDr/H3JpADSvMWEGAAAAAElFTkSuQmCCUEsD&#10;BAoAAAAAAAAAIQAL9ynRsy0AALMtAAAUAAAAZHJzL21lZGlhL2ltYWdlMi5wbmeJUE5HDQoaCgAA&#10;AA1JSERSAAACJAAAAX8IAwAAAE6MIusAAAABc1JHQgCuzhzpAAAABGdBTUEAALGPC/xhBQAAAblQ&#10;TFRFAAAAAAAAAAAAAAAAAAAAAAAAAAAAAAAAAAAAAAAAAAAAAAAAAAAAAAAAAAAAAAAAAAAAAAAA&#10;AAAAAAAAAAAAAAAAAAAAAAAAAAAAAAAAAAAAAAAAAAAAAAAAAAAAAAAAAAAAAAAAAAAAAAAAAAAA&#10;AAAAAAAAAAAAAAAAAAAAAAAAAAAAAAAAAAAAAAAAAAAAAAAAAAAAAAAAAAAAAAAAAAAAAAAAAAAA&#10;AAAAAAAAAAAAAAAAAAAAAAAAAAAAAAAAAAAAAAAAiYmJAAAAAAAA////4uLiR0dHXV1d1NTUbW1t&#10;BgYGoqKiERERPz8/r6+v+/v7kpKSiIiI9fX13t7eWVlZZmZmYWFhCwsL6urq9/f3Hh4etra2cnJy&#10;q6url5eXMzMzp6enUFBQycnJw8PDf39/nZ2dTU1NMjIyYmJiKCgoQEBALS0tlJSUeXl5m5ubAAAA&#10;AAAAAHDAg4ODsrKye3t7urq6WlpaGBgYi4uLOjo6uLi40NDQAAAAAAAAAAAAAAAAAAAAAAAAAAAA&#10;AAAAAAAAAAAAAAAAAAAAAAAAAAAAAAAAAAAAAAAAAAAAAAAAAAAAAAAAAAAAueUTuAAAAJN0Uk5T&#10;AGL/zQqNgCHunQRosvRSWIYd4fk2K0evkl24fBVhPBMI4hnMotLXv4SY2ufFULt5ga5CWSCZc3fA&#10;iA5tSSRkPh6H/59N/////////////////////////////////////////////////////////3Qo&#10;//////////////+mnqUvx98QQGBIePenOBi3j3CXz+8wll0gBwAAAAlwSFlzAAAXEQAAFxEByibz&#10;PwAAKuRJREFUeF7t3Yt/G+eV3nFqbEEyJZeWFYd21lXR1CbSYtkrtkkdNw2NypvGUeom7u7Wl91t&#10;1+t0k+1F2W27vZdXgeKdf3Hf98wPwDw0D2dAgQoIne/nY3PA53A4887B3AAKCyGEEEIIIYQQQggh&#10;hBBCCCGEEEIIvwk3itJLL/ONhYWbfKvF4ym6dbt4hcnJLd6Z6GcX777612w9lhZee2W8duEy7r2e&#10;R/L+N3iYN2Ty6hs8nKbFu7bNLuebt1+aaJlu3V4u121p4d6b99/iu+Fyyj3HMo8Wbnwrj+zo4TQ9&#10;S5PcKJYn2x3cyL8pr1v+ha9dxX7xRXLzt/K+49W3y0eLd//6lTXJMxxublQPiE2ko01ao2GTpPaM&#10;LnkWN9/KT/DhID546W9cXZNc2oOJ90D5aDNukkvMIFTdXEojODp1vdlqz16TpEWacEdSHm3GTZJ2&#10;JcN9ZbiEm0t2rlAO5q2/+Xa1Sb5952+lB+9wxnjvTTupzfiZ1uJrRfHu8KT3m6l4pTxFvNXJP/ZW&#10;TkaT1ovp19gvSF/tZCj9Ima18Nbt4v53Xk5XMeXXinQNZju6Cyqry2aV1hOjJhnNIlzKzaVy89lz&#10;9cZyuQ3LJklnAm/kNiivfb55O1/0lBfNS+UGeyc1wDBO33jp5XQ9kc86HhTvvpHqc1CZ5GJjoZ1/&#10;Ks0hb8L8ixb/dpr4jvVMsVw2guzK8rfKTe1W6rINjzaVJkmrOOnOKIylJrG+yJux/Xe+UWmSdJ6Z&#10;no+5g/LD/DU9GVNcNoVtqpZ9sefoTft+2k7WQPknbnW/UZ0cbzO+5m1qv8g27iu5w4r7v/2dl/NV&#10;ePXgkB6Xv9KtPLtsqc56Y9wklXmEyaUmKcc+ba8H6dk2bpL83ZZtgPwkrGxhe07mx6lsuKV5qtqX&#10;PIt8A+tG2X9Myizy1zzn0S/KE/n7aVvnXUR1i6a42iTnVFZmbMvG0Wb0feufspfDZeQmscZI4zqa&#10;tm23+GY637iXjw1p5EdbLg28bQG203BLs33sGWuzeHc1z6MyOd5mfJUmyVuQ759tkvTt4Y7l/Mqv&#10;LRtHm2FZkpej/F64hNwYNppF69bfTZt53CTJvTdfvZMe5s0/HPDhhsiPx02St9PQkm3LdMaSn9SV&#10;yeos8tepNUl1xlbJ0Wb0/XKtbCcTLsOaJB/ci5f+Xh7/apPkE868KfPw5q8pz9sll9kGSBNsad0I&#10;+Ww3eTdtsMpkdVvmrw2bJD+saZIzyzY82ox+YTTJM7ImseEsN0WlSdL2XbYNYMObLjzLK4jy9bL8&#10;E9okwy2ZpcuN4c+NJ4fbjK8NmyR/u6ZJzizb8Ggz+oXRJM+obJK8wcotNm6S/L3y+rgc3ntpkxT3&#10;h3dN8gYYN0neXGyP0r030zfKbTuaHG4zvk6xSXTZhkeb0S8s14rOCZMrm2Q83OMmKYd41CS3OvJa&#10;ak7HTWKbr9yUf//t9j/I9ek7r1Ynx9uMr/lHmjRJiocPvUpZttHRZvQLy7XKPxgupWySvLHL/cWo&#10;SfIWKJbtlldO0mnLeU0y3NL2Y+++kc5B8nVv3h7pO/lqeDQ53mblz3wz/b9Rk1TucTiVumyjo02l&#10;SfJJVzkVJvcPeZ9G2o7lINq2s/eT5C1SvPuP8ilFemrao+z+b7+VNnjZQi+Pesg2Q5a2YZrXK700&#10;o7T9KpPlHdf8ij+lv5P+eyk95+0+apqH5a8Q/2NbGJN/VblsXqUu2+hoM/qF9hwY7l7ChMrRtefp&#10;jTyItulLrXyf5P53X84nhWkPMWqC7KWXKXwpbzXG314++V6+JbL4T97Lr+PkM4TKZD4wUZtfz/me&#10;XTelh8NZ2cvPaaPyi/IOA2kpbd/gVsqyvTc82lR+YZ5FZYbhquQtO/R899ypOWxn5atbtjQHOidc&#10;pVsdTgy+na6Mn/OzMu0pLmzL2mVLO5Xn29cvpvRcHI5+mnzeI37xO9Nql61ScA094GD7/XQCnw7/&#10;1alS5fHZ6PlK4zy8Zrh1u2bnfwVujH77OWqX7eZ17pF07m9rd7N45/03bXI8Vao8Phs9Z2mX/84/&#10;TV+//c3b+Tz2ebvw3fIXL9u9u9f53fLpGWAbvdyf3EzH1fFUqfL4bPTcLf7gW/kiYuUdXtN9zi78&#10;u5sLl+16/93Njfv/7PXxlr91u1WZKlUen43CCyFt8HZuEm4jt18fXuKnqbL3x8nLlUmLwgth8W6+&#10;a21NYhs+fXlvNDVsktHjyqRF4YVwIx0/rEnYO6R9xQ9HU+Wdn3HydmXSovAisLOLKTXJ2gfGbjiG&#10;mdBn0zwTa4/y/+MjyWUPN2WPRJPMEjbNM7l5/7vvv//+P7/90vtvsHdI+4rLnrh+8MHDMFOm1CQ0&#10;XH6t4ZkvgaNJZs10mqRUHnTOvZm2+AN7eX30+KKbadEks2b6TXLubfmb9ppWs9vy0SSz5gqaZPG1&#10;0Qt8o6kHt/Nt6PHj6uRZ0SSzZppNMiXRJLMmmiTUiiYJtaJJQq1oklArmiTUiiYJtaJJQq1oklAr&#10;miTUiiYJtaJJQq1oklArmiTUiiYJtaJJQq1oklArmiTUiiYJtaJJQq1oklArmiTUiiYJtaJJQq1o&#10;klArmiTUiiYJtaJJQq1oklArmiTUiiYJtaJJQq1oklArmiTUiiYJtaJJQq1oklArmiTUiiYJtaJJ&#10;Qq1okkY+/N2iKH70L2zyx0XxUTn58CePiuKn/9Ims4//1aPio5/9/Mzk9RdN0sQnjz7617/3+4/+&#10;4N88fPjpZx/96PMf2+TDL4qf/uEf/XHxb8ui/DhFxb87M3n9RZM08cVHf5L+/2Xxpw8ffmWTnzxK&#10;k/b44ce/+PfsML60prDayuQciCZpgD749LP05Qvbh3z62Z+m79rkWNkT1j+VyTkQTdKcNclXdnT5&#10;Mv3/08/0aELT5KrKpEXXXDRJc7Zj+PgXdk7yZ/Ywn8/+8ifE7G/yl8qkRddcNEljqT3sGPKrdKHz&#10;5+nq5svil8VP/0M6ceWYwn4j70UqkxZdc9EkjX3BgebPfv7w4/+Ypr8srGk+/YxOiCZ5jmazST7+&#10;wvYYlc0/PC0tr3fy94jicHP1ZrJJ0rHGzj0qnfHJo/LEtTyVLRsnfcltVJm06JqLJmmE85HcJHTG&#10;R38y3E+M7obEJfDzM4NN8uGvho2Q9hH5jrztI74aH4A+/k92Jhs30y507810zv/OG3ly8fujD2oc&#10;TZUqj89GFbPXJB9+9tHPPjc/f/jlI7sE/igdYj7+hd2Wz5NfFHmvErflL9R+/f477//n2/Y5v+d9&#10;5Gvpun7k65f5Y7GzvGew1/p+ai/wffxH+QW+PPllvnGSLnrGL/CNJ6+/KTVJ+THQt26nrX7uh0eb&#10;+PDoa2o6TbJ4N382dPnBwMN+iY+hnxtTPXF9ULRSv7z6dppsv/7Se6Op8tRjnLxcmbRIRJPMmuk1&#10;yeP338wfI85OJX15bzQ1bJLR48qkRSKaZNZMr0luFsW7q6O9Q9pX/HA0lfca1eTtyqRF4tmbpDzL&#10;VEThEqZ5uFl8LR1uptEkhgW8DPpCEIVLmOo5Sd7o4yPJ5Q830SSzZapNsnDj/jfYO6R9xW/uxJW+&#10;EEThEqbTJMNr2XxlOwOXwPSFIAqXMJ0mYZdgX869mbb4gzee4800+kIQhUuY0uHmQXH/t/Jt+aU0&#10;fd5t+ZtF7qLndVuevhBE4RKmdU5y71tpQ3yvfIHvtdELfKOpB/kWSuVxdfKsaJJZM90T16mIJpk1&#10;0SShVjRJqBVNckm/Pg/ZvIkmuSTaQpHNm2iSS6ItFNm8iSa5JNpCkc2baBJDkSBy0BaKbN5EkxiK&#10;BJGDtlBk8+YaNAnbTBA5KBJEDooEkYO2UGTzJprEUCSIHLSFIps30SSGIkHkoC0U2byJJjEUCSIH&#10;baHI5k00iaFIEDloC0U2b6JJDEWCyEFbKLJ5E01iKBJEDtpCkc2baBJDkSBy0BaKbN5EkxiKBJGD&#10;tlBk8yaaxFAkiBy0hSKbN9EkhiJB5KAtFNm8iSYxFAkiB22hyOZNNImhSBA5aAtFNm+iSQxFgshB&#10;WyiyeRNNYigSRA7aQpHNm2gSQ5EgctAWimzeRJMYigSRg7ZQZPMmmsRQJIgctIUimzfRJIYiQeSg&#10;LRTZvIkmMRQJIgdtocjmTTSJoUgQOWgLRTZvokkMRYLIQVsosnkTTWIoEkQO2kKRzZtoEkORIHLQ&#10;Fops3kSTGIoEkYO2UGQzbfT5TvnjNsoP0vj0M1vhygcGDj9ff/T5HEX+h85mSDTJVfrwV+XnSz78&#10;5NFHf/GXv2uf0/PpZ/8lf5jPfx198sro8/U/+b2sKDrRJC9Ok6QW+fP/Zk3CxwTap3998qj8FMGh&#10;s5+vXxTn/qvMv0nRJFfnk7/62c/l8wGtEz75q/IABPpnLA3GjO1IokmuWNkk5d4iPUoN8SVnKTj7&#10;+fppdGZtRxJNcsX0k0bzpxp/+Qc/+ePhR8YlKZLP10+jM2s7kmiSK1Y2CR+M/smjdHr6VfHRX3z+&#10;3x8N9ydnP1//46KYtR1JNMkV44Novyp++bO//P3if6Qm+fDzfIY6/Mjj1CTVNrLrYDbN7IgmuVo0&#10;ycP/aYeY4YfoV85Xq0ei5ONfRJMYigSRg7ZQZLNt2CSlfOKK4eSZz9fPN9TYNLMjmuRqSZPkz0fn&#10;ama0J9HP10/fjiYxFAkiB22hyGZbue3ZXeS9RWqDfGFj37HP0698vr5dK0eTGIoEkYO2UGQz7MPP&#10;P//FRz/7/H+lXil++od/+asifzJ6vkP/+Y8f5R2JfZ5+5fP1bf8STWIoEkQO2kKRzbCvynXLe5F8&#10;4sq9kA9/nL73o8rn6Y8+Xz/vSNLosGlmRzTJrIkmMRQJIgdtocjmTTSJoUgQOWgLRTZvokkMRYLI&#10;QVsosnkzrSaxz+B7p/wMvu+PPoNvNFWqPD4bVUSTzJopNcmt2/f/9+/8n9v2kdDnfZpn6XKf5sk2&#10;E0QOigSRgyJB5KAtFNm8mVKTlJ/w+6BoVT/y9+yH/17yc4HZZoLIQZEgclAkiBy0hSKbN9NpksXy&#10;7W324dHllp/iJ4yzzQSRgyJB5KBIEDloC0U2b6Z64pqbZPGuHXPS5HujqfLUY5xUis45K4kmmTVT&#10;bZK8Z2Cnkr68N5oaNsnocWXSIhFNMmum2SSLd9NBhL1D2lf8cDSV9xqj/UZ+XJm0SESTzJppNsnN&#10;/FbIaTSJYQHnqEmYryCabdNrksWb+dombXi2/zMcbqJJZsvUmiQda94qvw7PSePE9QzmK4hm27Sa&#10;xM5HTFwCe5ivIJoaZiuILm9KTXKvM+yR82+mLf7gjbiZxnwF0dQwW0HkYNEVGabTJPdev//d9006&#10;fJx3W/6m/Q3YC35bnvkKoqlhtoLIwaIrMkynSR6wOIXtNV4bvcA3mnpw+xV5XJ08K5rkGTBbQeRg&#10;0RUZpnbiOj3RJM+A2QoiB4uuyBBNYigSRA5GU5E5mK8gclAkiBwUCSIHi67IEE1iKBJEDkZTkTmY&#10;ryByUCSIHBQJIgeLrsgQTWIoEkQORlOROZivIHJQJIgcFAkiB4uuyBBNYigSRA5GU5E5mK8gclAk&#10;iBwUCSIHi67IEE1iKBJEDkZTkTmYryByUCSIHBQJIgeLrsgQTWIoEkQORlOROZivIHJQJIgcFAki&#10;B4uuyBBNYigSRA5GU5E5mK8gclAkiBwUCSIHi67IEE1iKBJEDkZTkTmYryByUCSIHBQJIgeLrsgQ&#10;TWIoEkQORlOROZivIHJQJIgcFAkiB4uuyBBNYigSRA5GU5E5mK8gclAkiBwUCSIHi67IEE1iKBJE&#10;DkZTkTmYryByUCSIHBQJIgeLrsgQTWIoEkQORlOROZivIHJQJIgcFAkiB4uuyBBNYigSRA5GU5E5&#10;mK8gclAkiBwUCSIHi67IEE1iKBJEDkZTkTmYryByUCSIHBQJIgeLrsgQTWIoEkQORlOROZivIHJQ&#10;JIgcFAkiB4uuyBBNYigSRA5GU5E5mK8gclAkiBwUCSIHi67IEE1iKBJEDkZTkTmYryByUCSIHBQJ&#10;IgeLrsgQTWIoEkQORlOROZivIHJQJIgcFAkiB4uuyBBNYigSRA5GU5E5mK8gclAkiBwUCSIHi67I&#10;EE1iKBJEDkZTkTmYryByUCSIHBQJIgeLrsgQTWIoEkQORlOROZivIHJQJIgcFAkiB4uuyBBNYigS&#10;RA5GU5E5mK8gclAkiBwUCSIHi67IEE1iKBJEDkZTkTmYryByUCSIHBQJIgeLrsgQTWIoEkQORlOR&#10;OZivIHJQJIgcFAkiB4uuyBBNYigSRA5GU5E5mK8gclAkiBwUCSIHi67IEE1iKBJEDkZTkTmYryBy&#10;UCSIHBQJIgeLrsgQTWIoEkQORlOROZivIHJQJIgcFAkiB4uuyBBNYigSRA5GU5E5mK8gclAkiBwU&#10;CSIHi67IEE1iKBJEDkZTkTmYryByUCSIHBQJIgeLrsgQTWIoEkQORlOROZivIHJQJIgcFAkiB4uu&#10;yBBNYigSRA5GU5E5mK8gclAkiBwUCSIHi67IEE1iKBJEDkZTkTmYryByUCSIHBQJIgeLrsgQTWIo&#10;EkQORlOROZivIHJQJIgcFAkiB4uuyBBNYigSRA5GU5E5mK8gclAkiBwUCSIHi67IEE1iKBJEDkZT&#10;kTmYryByUCSIHBQJIgeLrsgQTWIoEkQORlOROZivIHJQJIgcFAkiB4uuyBBNYigSRA5GU5E5mK8g&#10;clAkiBwUCSIHi67IEE1iKBJEDkZTkTmYryByUCSIHBQJIgeLrsgQTWIoEkQORlOROZivIHJQJIgc&#10;FAkiB4uuyBBNYigSRA5GU5E5mK8gclAkiBwUCSIHi67IEE1iKBJEDkZTkTmYryByUCSIHBQJIgeL&#10;rsgQTWIoEkQORlOROZivIHJQJIgcFAkiB4uuyBBNYigSRA5GU5E5mK8gclAkiBwUCSIHi67IEE1i&#10;KBJEDkZTkTmYryByUCSIHBQJIgeLrsgQTWIoEkQORlOROZivIHJQJIgcFAkiB4uuyBBNYigSRA5G&#10;U5E5mK8gclAkiBwUCSIHi67IEE1iKBJEDkZTkTmYryByUCSIHBQJIgeLrsgQTWIoEkQORlOROZiv&#10;IHJQJIgcFAkiB4uuyBBNYigSRA5GU5E5mK8gclAkiBwUCSIHi67IEE1iKBJEDkZTkTmYryByUCSI&#10;HBQJIgeLrsgQTWIoEkQORlOROZivIHJQJIgcFAkiB4uuyDC9Jhl9MvDi90cf1DiaKlUen40qoklG&#10;KBJEDooEkYNFV2SYWpPc69hHeSbnfeRrKT7y9WuIHBQJIgdFgsjBoisyTKlJUou8+3/LJjn3w6NN&#10;fHj01xE5KBJEDooEkYNFV2SYUpPc6n73ZTZ5+SU+hv7rmK8gclAkiBwUCSIHi67IMMUT13LDL959&#10;9e30pf36S++NpspTj3HycmXSIhFNMkKRIHJQJIgcLLoiwxU0iW349OW90dSwSUaPK5MWiWiSEYoE&#10;kYMiQeRg0RUZpt4k7B3SvuKHo6m816gmb1cmLRIflFjAazy2ZzFfQeSgSBA5KBJEDhZdkSGaxFAk&#10;iByMpiJzMF9B5KBIEDkoEkQOFl2RIQ43hiJB5GA0FZmD+QoiB0WCyEGRIHKw6IoMceJqKBJEDkZT&#10;kTmYryByUCSIHBQJIgeLrsgw9SbhS1wCfx3zFUQOigSRgyJB5GDRFRmm3yTn3kxb/MEbcTON+Qoi&#10;B0WCyEGRIHKw6IoM02qSe++/f/f+d9//f2nyvNvyN4t8YInb8l9D5KBIEDkoEkQOFl2RYVpNcqNc&#10;nrzVF18bvcA3mnpw+xV5XJ08K5pkhCJB5KBIEDlYdEWGKR5upiWaZIQiQeSgSBA5WHRFhmgSQ5Eg&#10;cjCaiszBfAWRgyJB5KBIEDlYdEWGaBJDkSByMJqKzMF8BZGDIkHkoEgQOVh0RYZoEkORIHIwmorM&#10;wXwFkYMiQeSgSBA5WHRFhmgSQ5EgcjCaiszBfAWRgyJB5KBIEDlYdEWGaBJDkSByMJqKzMF8BZGD&#10;IkHkoEgQOVh0RYZoEkORIHIwmorMwXwFkYMiQeSgSBA5WHRFhmgSQ5EgcjCaiszBfAWRgyJB5KBI&#10;EDlYdEWGaBJDkSByMJqKzMF8BZGDIkHkoEgQOVh0RYZoEkORIHIwmorMwXwFkYMiQeSgSBA5WHRF&#10;hmgSQ5EgcjCaiszBfAWRgyJB5KBIEDlYdEWGaBJDkSByMJqKzMF8BZGDIkHkoEgQOVh0RYZoEkOR&#10;IHIwmorMwXwFkYMiQeSgSBA5WHRFhmgSQ5EgcjCaiszBfAWRgyJB5KBIEDlYdEWGaBJDkSByMJqK&#10;zMF8BZGDIkHkoEgQOVh0RYZoEkORIHIwmorMwXwFkYMiQeSgSBA5WHRFhmgSQ5EgcjCaiszBfAWR&#10;gyJB5KBIEDlYdEWGaBJDkSByMJqKzMF8BZGDIkHkoEgQOVh0RYZoEkORIHIwmorMwXwFkYMiQeSg&#10;SBA5WHRFhmgSQ5EgcjCaiszBfAWRgyJB5KBIEDlYdEWGaBJDkSByMJqKzMF8BZGDIkHkoEgQOVh0&#10;RYZoEkORIHIwmorMwXwFkYMiQeSgSBA5WHRFhmgSQ5EgcjCaiszBfAWRgyJB5KBIEDlYdEWGaBJD&#10;kSByMJqKzMF8BZGDIkHkoEgQOVh0RYZoEkORIHIwmorMwXwFkYMiQeSgSBA5WHRFhmgSQ5EgcjCa&#10;iszBfAWRgyJB5KBIEDlYdEWGaBJDkSByMJqKzMF8BZGDIkHkoEgQOVh0RYZoEkORIHIwmorMwXwF&#10;kYMiQeSgSBA5WHRFhmgSQ5EgcjCaiszBfAWRgyJB5KBIEDlYdEWGaBJDkSByMJqKzMF8BZGDIkHk&#10;oEgQOVh0RYZoEkORIHIwmorMwXwFkYMiQeSgSBA5WHRFhmgSQ5EgcjCaiszBfAWRgyJB5KBIEDlY&#10;dEWGaBJDkSByMJqKzMF8BZGDIkHkoEgQOVh0RYZoEkORIHIwmorMwXwFkYMiQeSgSBA5WHRFhmgS&#10;Q5EgcjCaiszBfAWRgyJB5KBIEDlYdEWGaBJDkSByMJqKzMF8BZGDIkHkoEgQOVh0RYZoEkORIHIw&#10;morMwXwFkYMiQeSgSBA5WHRFhmgSQ5EgcjCaiszBfAWRgyJB5KBIEDlYdEWGaBJDkSByMJqKzMF8&#10;BZGDIkHkoEgQOVh0RYZoEkORIHIwmorMwXwFkYMiQeSgSBA5WHRFhmgSQ5EgcjCaiszBfAWRgyJB&#10;5KBIEDlYdEWGaBJDkSByMJqKzMF8BZGDIkHkoEgQOVh0RYZoEkORIHIwmorMwXwFkYMiQeSgSBA5&#10;WHRFhmgSQ5EgcjCaiszBfAWRgyJB5KBIEDlYdEWGaBJDkSByMJqKzMF8BZGDIkHkoEgQOVh0RYZo&#10;EkORIHIwmorMwXwFkYMiQeSgSBA5WHRFhmgSQ5EgcjCaiszBfAWRgyJB5KBIEDlYdEWGaBJDkSBy&#10;MJqKzMF8BZGDIkHkoEgQOVh0RYZoEkORIHIwmorMwXwFkYMiQeSgSBA5WHRFhmgSQ5EgcjCaiszB&#10;fAWRgyJB5KBIEDlYdEWGaBJDkSByMJqKzMF8BZGDIkHkoEgQOVh0RYYrbZLF7+sH7VUen40qoklG&#10;KBJEDooEkYNFV2S40iY5+5GdV/Vpnr+Jn2A0FRnmaEXYNFfg7If/XtnnAs/s2DIB5iuIMLMrwqa5&#10;AmUPTO8Txj/4gInGI3WFP8Fo/vrXH3zAREKGOVoRNs30Ld599e30pf16/txofXw2EnM0tkyA+V7H&#10;FWHTTN/iXWsBvsjjs5GYo7FlAsz3Oq4Im2b62E+w15DHZyMxR2PLBJjvdVwRNs30Xb5Jwqxh00zf&#10;2WNK5fHZSKyzYGFmbLBppo/9BHsNeXw2Ci+sS14ChxdJ5Y7Z4g/eaHwzLbxQxvfebxb5wNLstnx4&#10;oSy+NnwV78HtV+RxdTKEEEIIIYQQQgghhBBCCCGEEF5cm3x9wbS3HjPVWG/Sn2gvtVaZvDqtbSYa&#10;21npMdVUb+NSb+W67q31ZFAUu20eNPJ0pSiW93jQyOP1oig6E/2ShX5/obXPdCOPi2LSLtkvNibs&#10;ktWiuESXtK75e3sOiv2dfnHIoyZ2io3to+KAR020NzZW20cTjm6/OJ5so7dTI07YJQeDSbvkcXFy&#10;iS5ZLk6Zupae2iofr5SPmtjs5qfF8mCC/cLBIG2J9skRDxs6LjpMNXS8vDFhl2wXdybtkpPW8eRd&#10;0htc611Jf5D/n3aHjVt9254VO5P8IUDHhmj/cOdwgnOZ7aJT9JluZne/N2GXnBan2xN2yfrR5iW6&#10;5OBa70r6RT65OD4+KQYNh3e72En/f7Ky0fzo3Mk7qseDdPJTPCm/00B7Jy3cRF1y2E3nlalLlhpv&#10;9XZxJ63PRu+0+cHzYH0hd8lmp+lWt+fFnu1+r6vVvNlaRWdpqVts8b2LneYttzPoHt5ZaXoqsz04&#10;TeclJ9vtdMo70UXOZF2ykxo+dUm/WOMb9Y5Td6QuOTlufPlxJ+16U5d0Txo2yVph7XR4rXcla+nc&#10;opWfSL1BwxOTJ+mJurOeRnWz2/TE5Gn6z57fTQ/O2+vFct5h9YvdzYXDhr9lM+/jeieTnMrs5tqD&#10;YoIteFqkXcNpUTQ8wVo92U2Xgvk5cj13JY9bh/L82bXTk4vkK9m1ys88qR3c9lpnWc5DNhptwaOT&#10;tbUN2yH0i43jQe6xC+xtbZUL1U17tlYxqD8v2XzSWrKJJyd5r7hRf14yWpF22hf20q6n4bF2vb+w&#10;l66hdnur13FX0s73R7r52TrUOWbCszM4XusW6zxK1gY1e+nHK0W3SMf9kb26sbV+2Mltsblux787&#10;6+s1PfLkZLgiy7upR/rpiFOzPXbSQhV5X5iPUGmtNrfrDmuVFTleSz1yunm8UbPuWatvx5q9g5Oi&#10;fx3PSp4UB1utk3xtitXqxjzPZrfTXmhX7qk8Huwy5Tleebyw2uWXpP9vdroX34TbGuRzllY+8G03&#10;vFC5k1ZkbWC/Y+049Uj6RTWnSr1BZ/N02fpirzhKPZKapeaIVlmR3fXUI2lVxiPn6xdFWbbZSp18&#10;7XYlvUE+D1ktbDPvbKxuHdT+xV95cNk7ybdBNzvbW0sndU+mw3z8XlgqTySPBv2D7knNyfHpYCNt&#10;rqW0h7IeaVX3dOfbY0XyJl8tGp3odmy5j237nRRNzlmHK5J/1WHR9Jw16Rf7tN9m6/rdK9m21V44&#10;ttsd26nN64+xLbtaXujnHznNO+z9uuHtpyN+smJ3109X0k/I+cl51vLVVq84sh7ZbHB6OFyRvPPZ&#10;22jSIwvlXLfsQmu70XXNcEXyCVWTi99ePx3Lj/OecNwlaXKilzJmwHZhZ25H5T8iurezXb8C2+Wt&#10;eGuShc2lJ/VjdVRe8HYmuNxobwzSkrS4wd6tv5iVFWm2FYpu3m69hoezbLgiDe8gbp0U+63louik&#10;Bhx3yWrDewyzY6+84G1N8i/NdmxUWzZSjfa4vYFtZLvOrFeOZXng6BRH6eH2oHbPc5kVWSvyqfDm&#10;BE2yd1KuSLMmSafCebl7nSIf10ZdclQ5Abwmtm0zl2PbarLLHW5Fa5KGZ5XldUk/N8npcc0Q7QzK&#10;q2t7MWxzt1jpd+pOpc3kK9Iub+jZKmw3u5JlRfKqN1gRDmHpJD+vOV3SPp7kVdRZYmPbb7Qxho7S&#10;SG2Pj7QN5D3J6UndrYj9dCGbjxx7A7sUv9NZWa8/bR25xIrkJplwRdLlf+2KbA3yAdO09+1SsF/e&#10;6JngF82W1iAPbdPXYEx/ZcKhzeck9T2SLmx2j+3M9kl5ljGZyVckn5NcxYpsprUYznRv0PzYPLvW&#10;NibtkbRfmHBoFzq7DXpkYeHgZO/OyWCt3T62E8vJTL4ivWJn4hVZbrIi1S7pF82O5DOll88HS718&#10;rt3faDK0vHjStt1/J526Nx5ae0dhZ71JjyxsdvsLm0dFd7V8j0tjE6wI2gdp0/WKyuVprYlWZNwl&#10;LW6mXStro8XvbaykqX6T1/t37GogHWHtYNuZZGht7rUvjeyUbyDYzr/ndL3YXx8d1RuYYEWQViT1&#10;1VbRZEU4yW24Ihh3Sb/uhYuZNHz29DZsfRs9/XbsZlgaWtuTPJm0RxY6NUO71y2OrQ3X7ZR1u1s0&#10;+vfe2nbbYZIVKbEip42a/dDugDVckZFhl+xd03eklV3SXinXt+5ljixdjnbTzna37JEm2oedtVT8&#10;eFBuuNqXOfaOiuIoPeVOy9eFNtea/Krtk6K7NdmKtNbupHU/ZO51r9ck7b1OvoG4d9JwRUbKLtk8&#10;Pmn8E7Ol7JKtxkvf29i/0ymeLJw27pGF40GnKPrt/JJeQ0/XrRGPOM7Ub770JO0cnKTN3WhF2kep&#10;ai+/+LCSLp+aX2wsb3RsrSc4+iF3yd5x8+fVrJnkfC1ZzndAlyc5S1jt7i309ovjSX7LwlK3WH+8&#10;1617XXlkLR2aHm803Ao7+WRieX+zfTiwl5mb2hlM9k66itQlg+vZI/aGsgm7ZCPfoOoVjV93aC+1&#10;bNe/1vTNW2ivDYq1w4a/Z2d5N99M6TXtkvxG1o28BzndaHCrf2xn0PQl36/t0Tav636kVb4wnrpk&#10;s/Efla3kdxltla+1NnFQWFvl++sTPgt7y0V30Gz/k05iOG1t3iUnNufTQb4YaqKX65p2ydPB105q&#10;Nxs/r2bMqEu6+ycNDyCrxX5va/3AzkabDG/az5Yv2O/Vvifpa7ZWikGzZ+5wbzhBl/Cmn0N7t3+t&#10;zf10iZyGqGGXPC0aXh5fB3TJncFJvjtUo7eRi/L7HNfae8fFStHozy5Tl5QXA7XvhzzHYdNd9LhL&#10;Gl77Dv/AptfoBZ728fFS336iYZd0u/PQJTvl8NMljfC3Tr2tlXSOePw47eTrhsHuXdAl7a69/8S3&#10;s9xwx3+uYZc0Xhu65Gmjo2Arv8+y/IlmXXK00jrTJf2m/T4Teitpcdtd9suX6JJ2cWR/mbJa896q&#10;zX5R5HdepC5Z21rt1F0RTXJ/f2xpo1i3jdH4/Du/yT+/1T1t862F1ZWa/VvZEJ2801w7Lrukyb89&#10;sFP0tEv6l1m535zTfD+B/yf9ybuk1enmXUT/4vuH7fXjnZ3lYjmdFKfrv85u3UnPcqMb42csFcsH&#10;PLUbdknvZH+7dXKS9h/pvOS4k1+3uUDLVtjeFbCU30avewdfe/Ak/ey4+pr1yNkuaTV6Mw8vBdIl&#10;C3mMWzX3D7dt13F8kp60o/OSi2wX41fCSu3aa6i9Qbq+Pj0Zdoktm6uc935+58/TIu9A0m+se36k&#10;zs0zfbyZfktanXStVtMlW4dlwXL6NeMuuXY9cqZL9sv3ctUYvhRIlyx3+/u2N7nAk/xGwn7afu18&#10;R7q+S/aKO/vSJe39C66H7MXetJlTfa9Ll1x8dtHet8usfGa7eVx2x3btttse/XHXbl6Y1kHNseZp&#10;Oq1fOXiafzD11LBLrmGPVLrkcOFJ+ZpureHO/NSeWqfr3V33Sfh4y2a5lIbJemR/qdm+pLPcrnZJ&#10;e/+CoW2vWIcvpQvZzZWl4b7kImnetrVT51mP9NabbLjNosXOM7/Jv71Sd7Mj/ZaTdLV80j+0/XPZ&#10;JdeyR0ZdslHU/WlKe3f4RlG6pLeyUXPlm6+R8xvDe4NO7pF0eM73WjePa+9tPhm0K11yYY/ki4y8&#10;Bu3Uf/vpqmmr9q9fhj2S9omrth/ZbnY3tzP8ByyWi8Nev/7OW/o9/c2l/gkvXbfSUm4eXMseGXbJ&#10;5lqn5h9/WEvPCtqk7JLDzt7Fq5xOVXf6tj3ulDesNk/sd/h3HHc2+kt5nr1iJ49x2Rs1PTLsknwd&#10;kfbrT9e7F6/IqEfS3qA8E1lqdtf4cNAuuyT9vzhpsNfNXZK+bB2UXXvx0WnGpS5pMkinRX952Cb9&#10;onO6mv8K+yJLldPg5Xx1urnbLZvMk7Za/tOuO72FlbTLoUtqe2TUJU/yaclhzUXKqEd22vlfRknT&#10;eys17+1YLTdvr8h/EZ5/un2nVXeBZuiSubBTvg29znK3fTpsk4O0MSt/IH6u8p1CSEeejZO6v+XM&#10;2+DoIHXKyko3PUpjnDbfbm2PDLtku9jdfFzuVHz2um+ync+MHq8UK53BysVbvJWWZy3vOFbSFueI&#10;09A8dclyoz9gOs1/qLfVKdtkq1X7j4OU/5hE7+ikyH+Ve9o6Wqt/+tk2eHy4XpzkVmznf4rkcX2P&#10;DLukU3tilZR3OHirc/twt1P9NzPOs10U6fjS7a+u5c59Ybtkv/yL1jr23pFed3xucrHd4slCr5+e&#10;hp1u83/EkW3Q/K1eSF2Sjpl3+NdFLpS7ZKK3w28XJ1tLu/mdSXl/0tvIf7re1Nx0CfcSa+VdSf4n&#10;OFY3inwLrc5e/tvxYjkdYja7dTfixyZ7po7tFE1f6U8bvTtJj1iXpHPPrYNle270JmrgeemSnaZv&#10;AloePLV/gmPhTr/JGG8e7LbKAb3T7CLTXLZLnjT/sXQAaXZLaKjskstp7zd8k8OcOE1Hmkut8J3m&#10;b026dJecNrjfPzTxRn+mLpmsIa+95cv8oWUapo1G9zSHLtclB5O83+25dskL5rTR372IO08XHq9P&#10;+G8rXKZLHg8mOvRHl1ydif8t9J188roy6Q7X3ugyoQkXLG30CQ6BSXRJU6f2wvoklvZ3nzS5YH7u&#10;6l/3PWN74nV/US1POrRzZGnSmzcvKvtzghBCCCGEEEIIIYSZsbDw/wGJORyCw1csswAAAABJRU5E&#10;rkJgglBLAwQKAAAAAAAAACEAf3u+6JMoAACTKAAAFAAAAGRycy9tZWRpYS9pbWFnZTMucG5niVBO&#10;Rw0KGgoAAAANSUhEUgAAAisAAAFqCAMAAADsnOpOAAAAAXNSR0IArs4c6QAAAARnQU1BAACxjwv8&#10;YQUAAAE4UExURQAAAAAAAAAAAAAAAAAAAAAAAAAAAAAAAAAAAAAAAAAAAAAAAAAAAAAAAAAAAAAA&#10;AAAAAAAAAAAAAAAAAAAAAAAAAAAAAAAAAAAAAAAAAAAAAAAAAAAAAAAAAAAAAAAAAAAAAAAAAAAA&#10;AAAAAAAAAAAAAAAAAAAAAAAAAAAAAAAAAAAAAAAAAAAAAAAAAAAAAAAAAAAAAAAAAAAAAIODg4mJ&#10;iWdnZwAAAAAAAP///6enp52dnXJycn9/fwsLC+rq6jIyMvX19ff39x4eHvv7+01NTQYGBsnJyd7e&#10;3hEREVBQUMPDwwBwwIqKira2tlZWVlaAnoaGhgAAAAAAAAAAAAAAAAAAAAAAAAAAAAAAAAAAAAAA&#10;AAAAAAAAAAAAAAAAAAAAAAAAAAAAAAAAAAAAAAAAAAAAAAAAAE4+GugAAABodFJOUwA8/80KjVgE&#10;aJ2y9B7h+TaGs9JQR+4rIa8dkl1iCIC/FYSYxcDiGsxUonMTDhlSJGS411n0//+fN///////////&#10;//////////////////////4QGCDPSGBwp7fHQN/3MHiX74/nKDiHPfQoxgAAAAlwSFlzAAAXEQAA&#10;FxEByibzPwAAJnBJREFUeF7t3Qt7I8eV3nG6JXHGUiR7l5odyh6AcnajxFE2FzoKnZWzm/iya8dJ&#10;NgHvF4BDEJz5/t8gVdX/RtcLziGqySYH0Jzf89hs6D3TLHQfVHfjQmw455xzzjnnnHPOOeecc845&#10;55xzzn2wflQ1Pvo43PyEG5t1imfPf8xSkWeffvYvPg8r+eIn/IdFP/1x/F1u7TxL/fEX7L146y+3&#10;6uXGly8++isWi7x8sR3+d0evfPWzL37OolsraWppJpJnn97aja+q7W7TwKuwtkGYWMxeCTNLNWTJ&#10;rZO8V77aSYei3Kv66FQuHIK+XtYrzz71ZllHWa98+eLWHgypnrwsFQ9BqVdCy5i6r9atgHmvPPvp&#10;7Zkg7POO00o6BC3tlTCx3BW71dT0yjuOP3HH1weLsG+D4cbPX1Rf/OLjcGVU/4y++lk4j62ljouH&#10;oKZX4o96DQtV8xW7dUKvfPniHQ/02CJp1248+5eh6hf1NfV23TlVONbE41b12V/FXR/E0nQIaueV&#10;L6u/jBdRi1Xxt3adsNx7l3rl5z8L/3d754VL3+a4lPbzjz/+KjTBF3/9i4/jRXFshvivwwQReoPC&#10;dAhqe+VV+v9bVfma3dpIvVJLE0UuNEjeKzGPU0vY7XFqiVG8GZsj/EytVh+C5r3y8m/irVtVdYEf&#10;hNZN6pVhfXhYfH427Nu064NYEHcuu51eaVpmXlkfgppe+fJfpU67VVUX3GpNt+JSr2zWx5jFh/rS&#10;XmluzivrQ1DdK9/8tM5uV9UFfsKybuiVtD+bfYvYEEt6hTOReDOmHIJSK3zxr0NW31yoCrxX1lHT&#10;K3FHcqiYa+cBq1fiVXR9hZNeEOQQVPfKvwn/R29oVeC9so6aXkm7r+2NpKBXNr6KPfbFL+uXFzkE&#10;1b3yk+wVRKkKYoGfr6ybea/E69ggf7SHBmkmGqtXXu5kLzY2hyB6Jf2jtD6pimIBhyO3NtpeoVnS&#10;k2e17FkQo1dCRdYFzSGo6ZVUHf6TVkXxV9W/1K2N/P0rg524XH3x82ZqiR1R79H0vG2YIuJzcfHS&#10;OrXVv61bKPnir8O/ag5BdRzag59aFYUOlaOdW3lpUknCnmtvzB/yYSenmSI2TfDRt7FVwn9LPRAn&#10;GhaSj/5dfgiKE0v9sxpKVWqWsGI/BP2whB5ZcrXysp6LEvugslgV1uvTyg9NmBHsDghe7nBC87c/&#10;vWOmuFUVprA7V/uBmm+WeGJQP5japVp2ezF67+5+X1yYH5oGCYvW7r9Vlf0H14qH7LgNB5+HFnj2&#10;aXh8tUu17PZitApe3fU8SNjpTfryhdlUt6o+8VZ5l1ef/fvUK69SA8SLynaplt1ejFbCne/jD8eo&#10;X/6H8PNvv3yRXWsv0qqvbr8B3AUvXwx/VM+66VH37NPPvpkv1YeaNvk6W0zRirjz80HP/uN/ihc5&#10;u79c+KSIkir/fNC7ffLRx6lXmrniky9+NV+qjzRt8pNsMf10H5LYJ94rrkA6qNAr9dlc7JVmqemV&#10;+e1sMf0U//m75L+Eqdytij12Tg/SuWpP88p3DM+tEnbOww0+j/tee+WzX8+X6hPYNvk6W0w/xXfV&#10;f3UrpsdeaV9g2Rx8ziXOR9/Ol+qrgTb5OFtMkfBeWT099kotzSscV+IZSbtUy24vRjnvldXzSL2S&#10;nrBME0e7FKJw0MluZ4u3eK+snkfqldAC4ViUzkfapdQr2e18cZH3yurpvVd64r2yerxXXCnvFVfK&#10;e8WV8l5xpbxXXCnvFVfKe8WV8l5xpbxXXCnvFVfKe8WV8l5xpbxXXCnvFVfKe8WV8l5xpbxXXCnv&#10;FVfKe8WV8l5xpbxXXCnvFVfKe8WV8l5xpbxXXCnvFVfKe8WV8l5xpbxXXCnvFVfKe8WV8l5xpbxX&#10;XCnvFVfKe8WV8l5xpbxXXCnvFVfKe8WV8l5xpbxXXCnvFVfKe8WV8l5xpbxXXKleeyV+5X/zHeft&#10;1/+3S7Xs9mLU8l5ZPX32yqv4rVGvUrO0X//fLtWy24tRzntl9fR+DKq/xr39+v92qZbdXoxy3iur&#10;53F6he+7DMvfzJfqQ02bfJ0tpkh4r6ye3nuFLzms54qHfD8zA3Qro+9eGXwe97z3yg9Rr73yKlzW&#10;pB3ffv3/r+ZLTa/Mb2eL6afwXlk9vR+DflT1cwyq/R3DdCug914JzTJsO+KzX8+X6hPYNvk6W0w/&#10;hc8rq6f/XoktwBd0hyudb+dL8QenvvXtbDFFwntl9TzOvMJxJZ6RtEu17PZilPNeWT099srg87jT&#10;0xf/1//P5XOzVH/ve3Y7W7zFe2X19DmvvHwRroN4Paj9+v92KfVKdjtfXOS9snr6Pwb1w3tl9Xiv&#10;uFLeK66U94or5b3iSnmvuFLeK66U94or5b2yBqp3IHpK3itrgPYQRE/Je2UN0B6C6Cl5r6wB2kMQ&#10;PSXvlQ6+jzupfqtetvibuPjf0mIt/oe//4fFxQeIv2AR0VPyXin3/X//H3Hvx7ZYXPy+bZbf/i40&#10;x+//8I//JIsPQnsIoqfkvdLRb38Xe2Nx8fd/mM8e36fW+OOf/qcsPgjtIYiekvdKR1lXvHPx939I&#10;DRT/Q7aYonujPQTRU/Je6ejd80q72Mwiv/nHf8oW0897oz0E0VPyXunoz+2ZSbv429/N28F75cmt&#10;aq+847gTL4nabvjjn+oGSr0yX0w/763uDkX0lLxXuvkNF8pBthimGD8GvTcr2ivZtXG2GMyPR/MG&#10;+ft/yBbTz3ujPQTRU/Je6eL7qt77QbYYNX3RnOXGa6BsMUX3RnsIoqfkvdJBe6TJF5P2PLc+4qRz&#10;lWzxQWgPQfSUvFfK/fFP8/5oF3/7u9gJ9e0/x7kmLdZTSrb4ILSHIHpK3ivl0gs/QZwx2sU//okF&#10;eiU0R7hdH5GyxYeIv2AR0X1lr2elO1OfUqW71c6C9V1jBo3Zu/5Kwfu3oue270faYwuI7il7PSt7&#10;0Wrxpa3s6BmrqurdfwfyffNeydAegugh6qPj4otW2TNIWa/Eqqpq/gzKavFeydAegughUlfcetHq&#10;nb2Sqqrq3X8H8n3zXsnQHoLoIdK8cusJw+xcvO2VVBXObd/5N7jeN++VDO0hiB4iXecv9kr20lbI&#10;4m+KuffKukjNsYDoAeqDTTN3pF7Rl7Zqf47XSKnKe2UN1N2hiB7gN+ma+dYxaPFZxjT9rNW8whYS&#10;RD983F9BdH9cG897ZX5G2z4FXYsV815Zh3NbtpAg+uHj/gqie2tez+JUNnvRqumeRrydquJ10Dv/&#10;YNt75r2S4f4KovtqjzS3XrRanFe+j8eqWBWfX3nX34F837xXMtxfQXRPiy9tpXnj1ktbv4m36xcu&#10;4n+tqnf/Hcj3zXslw/0VRPeUvZ4VWiQspMPO4ktb9e36VaNUtYrP2nqvCO6vIHpK4dx2JXmvZLi/&#10;gugpea+sAe6vIHpK3isP8r/ehaw/3F9B9JS8Vx6E7lBk/eH+CqKn5L2SYb2CyEB3KLL+MBRB9JS8&#10;VzKsVxAZ6A5F1h+GIoiekvdKhvUKIgPdocj6w1AE0VPyXsmwXkFkoDsUWX8YiiB6Sj/cXqFIkRko&#10;EkQGukOR9YehCKKn1GuvxO9RrTbr5U/CYv0CdrtUy24vRi3vlQxDEURPqc9eeRVfWfokfdnU4PPQ&#10;As/iRwTapVp2ezHKea9kGIogekq9H4Pq76R7lRogfkSgXapltxejnPdKhqEIoqfUe6+kjwXwnpiw&#10;/M18qT7UtMnX2WKKhPdKhqEIoqf0OPNKM1c84Lu8vVdaDEUQPaXeeyV95a73Sq8YiiAyUCSILAxe&#10;EKHvXqmPKM177WKvNEtNr8xvZ4vpp/iuNv/LSdxfQWSgSJEZKBJEBrapIusPQxFEBooEkYXBCyL0&#10;3SufpGtmn1d6xVAEkYEiQWRh8IIIPffKq/rrmedt8Nmv50v1CWybfJ0tpp/CeyXDUASRgSJBZGHw&#10;ggj99sqr+Zd0c4nz0bfzpfgjTz7OFlMkvFcyDEUQGSgSRBYGL4jQa6/8qGp2e31ciWck7VItu70Y&#10;5bxXMgxFEBkoEkQWBi+I0GevvHwxnyHSIpfPzVJopTDrZLezxVu8VzIMRRAZKBJEFgYviNBnr8RX&#10;d6I4Tww+DwvpgNQupV7JbueLi7xXMgxFEBkoEkQWBi+I0PO5bW+8VzIMRRAZKBJEFgYviOC9kqFI&#10;EBnYpoqsPwxFEBkoEkQWBi+I4L2SoUgQGdimiqw/DEUQGSgSRBYGL4jgvZKhSBAZ2KaKrD8MRRAZ&#10;KBJEFgYviOC9kqFIEBnYpoqsPwxFEBkoEkQWBi+I4L2SoUgQGdimiqw/DEUQGSgSRBYGL4jgvZKh&#10;SBAZ2KaKrD8MRRAZKBJEFgYviOC9kqFIEBnYpoqsPwxFEBkoEkQWBi+I4L2SoUgQGdimiqw/DEUQ&#10;GSgSRBYGL4jgvZKhSBAZ2KaKrD8MRRAZKBJEFgYviOC9kqFIEBnYpoqsPwxFEBkoEkQWBi+I4L2S&#10;oUgQGdimiqw/DEUQGSgSRBYGL4jgvZKhSBAZ2KaKrD8MRRAZKBJEFgYviOC9kqFIEBnYpoqsPwxF&#10;EBkoEkQWBi+I4L2SoUgQGdimiqw/DEUQGSgSRBYGL4jgvZKhSBAZ2KaKrD8MRRAZKBJEFgYviOC9&#10;kqFIEBnYpoqsPwxFEBkoEkQWBi+I4L2SoUgQGdimiqw/DEUQGSgSRBYGL4jgvZKhSBAZ2KaKrD8M&#10;RRAZKBJEFgYviOC9kqFIEBnYpoqsPwxFEBkoEkQWBi+I4L2SoUgQGdimiqw/DEUQGSgSRBYGL4jg&#10;vZKhSBAZ2KaKrD8MRRAZKBJEFgYviOC9kqFIEBnYpoqsPwxFEBkoEkQWBi+I4L2SoUgQGdimiqw/&#10;DEUQGSgSRBYGL4jgvZKhSBAZ2KaKrD8MRRAZKBJEFgYviOC9kqFIEBnYpoqsPwxFEBkoEkQWBi+I&#10;4L2SoUgQGdimiqw/DEUQGSgSRBYGL4jgvZKhSBAZ2KaKrD8MRRAZKBJEFgYviOC9kqFIEBnYpoqs&#10;PwxFEBkoEkQWBi+I4L2SoUgQGdimiqw/DEUQGSgSRBYGL4jgvZKhSBAZ2KaKrD8MRRAZKBJEFgYv&#10;iOC9kqFIEBnYpoqsPwxFEBkoEkQWBi+I4L2SoUgQGdimiqw/DEUQGSgSRBYGL4jgvZKhSBAZ2KaK&#10;rD8MRRAZKBJEFgYviOC9kqFIEBnYporMwHoFkYUqQWSgSBBZGLwggvdKhiJBZGCbKjID6xVEFqoE&#10;kYEiQWRh8III3isZigSRgW2qyAysVxBZqBJEBooEkYXBCyJ4r2QoEkQGtqkiM7BeQWShShAZKBJE&#10;FgYviOC9kqFIEBnYporMwHoFkYUqQWSgSBBZGLwggvdKhiJBZGCbKjID6xVEFqoEkYEiQWRh8III&#10;3isZigSRgW2qyAysVxBZqBJEBooEkYXBCyJ4r2QoEkQGtqkiM7BeQWShShAZKBJEFgYviOC9kqFI&#10;EBnYporMwHoFkYUqQWSgSBBZGLwggvdKhiJBZGCbKjID6xVEFqoEkYEiQWRh8III3isZigSRgW2q&#10;yAysVxBZqBJEBooEkYXBCyJ4r2QoEkQGtqkiM7BeQWShShAZKBJEFgYviNBzr7x80XwhXfv1/+1S&#10;Lbu9GLW8VzJUCSIDRYLIwuAFEfrtlVfNrm+//r9dqmW3F6Oc90qGKkFkoEgQWRi8IEKvvfJJ9Qu+&#10;xL39+v92qZbdXoxy3isZqgSRgSJBZGHwggh99srg802+8L/9+v9v5kv1oaZNvs4WUyS8VzJUCSID&#10;RYLIwuAFEXo+X2HHz79O17+f+RbWK4gsVAkiA0WCyMLgBRG8VzIUCSID21SRGVivILJQJYgMFAki&#10;C4MXRHisXqm/Rzf2SrPU9Mr8draYfgrvlQxVgshAkSCyMHhBhJWdV2p/xzB72ly9b2G2qSIzsF5B&#10;ZKFKEBkoEkQWBi+I8Mi98tmv50vxv+fJ19li+il8XslQJYgMFAkiC4MXRHicXmm//v/b+VL8kScf&#10;Z4spEt4rGaoEkYEiQWRh8IIIj9MrHFfiGUm7VMtuL0Y575UMVYLIQJEgsjB4QYRH6pX26//bpfp7&#10;37Pb2eIt3isZqgSRgSJBZGHwggh99kr6yv8gnoa0X//fLqVeyW7ni4u8VzJUCSIDRYLIwuAFEXqe&#10;V3rjvZKhShAZKBJEFgYviOC9kqFIEBnYporMwHoFkYUqQWSgSBBZGLwggvdKhiJBZGCbKjID6xVE&#10;FqoEkYEiQWRh8III3isZigSRgW2qyAysVxBZqBJEBooEkYXBCyJ4r2QoEkQGtqkiM7BeQWShShAZ&#10;KBJEFgYviOC9kqFIEBnYporMwHoFkYUqQWSgSBBZGLwggvdKhiJBZGCbKjID6xVEFqoEkYEiQWRh&#10;8III3isZigSRgW2qyAysVxBZqBJEBooEkYXBCyJ4r2QoEkQGtqkiM7BeQWShShAZKBJEFgYviOC9&#10;kqFIEBnYporMwHoFkYUqQWSgSBBZGLwggvdKhiJBZGCbKjID6xVEFqoEkYEiQWRh8III3isZigSR&#10;gW2qyAysVxBZqBJEBooEkYXBCyJ4r2QoEkQGtqkiM7BeQWShShAZKBJEFgYviOC9kqFIEBnYporM&#10;wHoFkYUqQWSgSBBZGLwggvdKhiJBZGCbKjID6xVEFqoEkYEiQWRh8III3isZigSRgW2qyAysVxBZ&#10;qBJEBooEkYXBCyJ4r2QoEkQGtqkiM7BeQWShShAZKBJEFgYviOC9kqFIEBnYporMwHoFkYUqQWSg&#10;SBBZGLwggvdKhiJBZGCbKjID6xVEFqoEkYEiQWRh8III3isZigSRgW2qyAysVxBZqBJEBooEkYXB&#10;CyJ4r2QoEkQGtqkiM7BeQWShShAZKBJEFgYviOC9kqFIEBnYporMwHoFkYUqQWSgSBBZGLwggvdK&#10;hiJBZGCbKjID6xVEFqoEkYEiQWRh8III3isZigSRgW2qyAysVxBZqBJEBooEkYXBCyJ4r2QoEkQG&#10;tqkiM7BeQWShShAZKBJEFgYviOC9kqFIEBnYporMwHoFkYUqQWSgSBBZGLwggvdKhiJBZGCbKjID&#10;6xVEFqoEkYEiQWRh8III3isZigSRgW2qyAysVxBZqBJEBooEkYXBCyJ4r2QoEkQGtqkiM7BeQWSh&#10;ShAZKBJEFgYviOC9kqFIEBnYporMwHoFkYUqQWSgSBBZGLwggvdKhiJBZGCbKjID6xVEFqoEkYEi&#10;QWRh8III3isZigSRgW2qyAysVxBZqBJEBooEkYXBCyJ4r2QoEkQGtqkiM7BeQWShShAZKBJEFgYv&#10;iOC9kqFIEBnYporMwHoFkYUqQWSgSBBZGLwggvdKhiJBZGCbKjID6xVEFqoEkYEiQWRh8III3isZ&#10;igSRgW2qyAysVxBZqBJEBooEkYXBCyJ4r2QoEkQGtqkiM7BeQWShShAZKBJEFgYviOC9kqFIEBnY&#10;porMwHoFkYUqQWSgSBBZGLwggvdKhiJBZGCbKjID6xVEFqoEkYEiQWRh8III3isZigSRgW2qyAys&#10;VxBZqBJEBooEkYXBCyJ4r2QoEkQGtqkiM7BeQWShShAZKBJEFgYviOC9kqFIEBnYporMwHoFkYUq&#10;QWSgSBBZGLwggvdKhiJBZGCbKjID6xVEFqoEkYEiQWRh8III3isZigSRgW2qyAysVxBZqBJEBooE&#10;kYXBCyJ4r2QoEkQGtqkiM7BeQWShShAZKBJEFgYviOC9kqFIEBnYporMwHoFkYUqQWSgSBBZGLwg&#10;wqr2yv9euGvcX0HU+D/8BEWKDAv/4h6/hG2qyPDwX9LTnSdqLP4SBi+IUP0zO+fxfBLGmX+lYXt7&#10;McncY175jp+gSJFh4V/c45ewTRUZHv5LerrzRI3FX8LgBRGq79g5j2XweeiGZ5/Ovyu1vb2YCLNX&#10;/pmfAVHD3FzmPzH3SfEvYZsG/5efARnMX5L9FqLGw8dFUVD8Sxj8Hffk0XvlFV9q2Hz9WHt7MRFm&#10;r3zHz4CoYW4u85+Y+6T4l7BNg+/4GZDB/CXZbyFqPHxcFAXFv4TB33FPHrtX+JbU5nsQs9vfLCTK&#10;eyVD1QPvPFFj8Zcw+PfYK/MvYeZQ095e/JZv5b2SoeqBd56osfhLGPxa9orBDOykx2AxYZsG2RYm&#10;Q/G6Wg8fV6s4YPB33JPH75X625fbXmlu/2ohUd+51fP/2DmP5L7zivvwzHuDM9j29q8XEveh42vd&#10;ufzJb3+7kLgPXn2IaU5T8tuLifvQvXwR5o16NvlRFY467e0scS4afB6uttKpSeqV7Ha75Jxzzjnn&#10;nHPOOeecc84555xzzq2C0T4L5Q74+ZgODo9YKnZ8zEKx0cmApQ/P0enZJouFRttVdd5t31+Mq0nX&#10;vRJ/w2W9WCj8ko7NsllVHYc1OKzO7tMsF90fXivndfzQwRU3iox2Jzu71WGXDbZVjXeqaotbZfan&#10;ext7VaeWnJ5POjbL3nTasVkOqul9mmV/cs3S+jqu9g62ZtUNN0tcT242BttVh52yPwlb96g652aZ&#10;0WE17rgf9w6POjbLZnXUtVnGV2f3aZbDydpPLLOz8H+bXTbXaPI6/P+bqsOBazgZhf/fHte3So2m&#10;1Q6LhY6rUcdmGVXHlx2bZe9wcJ9m2arW/f3Pl9Wb8P831dZwGBdKHKTjwkV1PZtexRYocJXe0Lm9&#10;fTrd6bAjh2Fe2WO5zEE4zMVmGZbPYId7G7FZDraLD3ahIVOzdD0rPpzd5zRnhQzSmcrJZBJOWp6n&#10;/7JcOl5tV7OdcenjfhRPUW8m1eF5lXqzzM1WOAx1a5ZxuDtH4b6UP4Svw2QXmmU2LT4K74cZNTTL&#10;YflJ3kU6UduqTtKt9XY5GYfH43TS4TxyWIVTtcFOdcHt5Q7Gs1B8Mel0WKmbZVB8UrwXD3N7Xa6G&#10;tuIsudWlu+JUFK+GiqeJ/Um1G+egdZ5Y3lydpnOOwewwHkuOCyaWi+P64Tc4TBPwm+UPlcEFE8nm&#10;OLXi9jTdWmbwtqrGYTyhWc4uTif8V8voeFh3x2bY88PqtOCcZf+iviejcCl/MC66GtrnAj5ORcfl&#10;V0MnuxdXk3BnBms8sQzjxXKa4i/Tacfl0l7ZD4eQ6i03oqOlF0PhKqPazZ8k2Tlk4W5n07fDcZy7&#10;RuFae9k2vhyHmnRKFE5Vh2GKOFo6e8VnCs7S3d45Da1yGQ5DSw5C+2Egs9T3YSo6Dv/4rOwgdFMd&#10;Xm7sD2fV7GS348n9ygh39+JoN+uPq2rJRd1gt7oK97n9F4Pd8ZKH1lE1Hp5V43bFF2WT/eYk9NdB&#10;fZH9fG9JQ95MZ883D+smPpylX/BmyUn322pnuFvFS8CN4TS0Sui3JfPKKJycnVeT2FCjajvOKYOr&#10;/DFgOTiq0lgGz2NDd3uGaWXMzsN+PpjMW/146V48iXc1nHY0/XFwPllyojqY7YYN9TbOD7XNafyt&#10;dzlJW/Y0zAujw3RoXO407sHRbrouPynqxcs4C4Xz07jr3lSxVZa6moSzrc169jovv2S+mZzN/yDp&#10;1k5VNqmuGp4faSaTre3lH1Qcp4rnPDguT6vpsiPQVjr3HcxoyM3zamfJ7t+q+2pnl1bZWnJkCAb1&#10;M6Kb9bhK9vvG2/S82P4kHYG3Sv7JqP4l22mSOLgqbZV4op1N19frObGMttNe26pH/2YyjU+w3e08&#10;TdMjZonR6fWSY1ZYe30ie83m2txZevY82E278XW1mVplMFt+TjDYSRdjIzmTutt1/bg4300/ShzE&#10;g2LcXEtPmhuX4Xw7ttReNgndrPUnhw84/y+5XB7V9/nwNP0oUq+2nl7KbKXNuT+r0gFo2OE6ftzh&#10;qZh6rdcd/l51Pb/tlz7FG19erappnLvzZtlOp0jrqorzyV6Xi7mdeI2x7FRQXKReOV46DSVnVXwE&#10;X8TtHC6cl05ErcPYZEcdnicJV4JhJw46vcUgnQ7dLL0nb2aT66OtvUm6VMqa5SBN5usq3vm91DCl&#10;zsIJ2uV02RVQ7iDO3MPCX3JZX+9ezMLjctKhVVIPH026PHCPq4N4hlv+THLYXOFAdzlddkV+NNlN&#10;K30zTpf7+cyyzkKv7BVdO8ztjWOrlB8bYq8ch1ZZdoi4mtWdwQng/snZcPmJbSb0SmiVLjsl9Epo&#10;lS4zZDzQLb/zF5PmCu5gmi4V97rMjytjsLdw1l8NO7ZK6JWOrRJ7ZXmrbOxW1WE8Vo1mnd4aM7ez&#10;07FVQq/cdGyV0CsFd/5tO49s1S+ZdfslK+JyMn82Ib2gt1FNO7TKUdzhe9MurXIdfstBVfIa4FG1&#10;O6niy70nnZ8LH8Yjz86sQ6uM9sIj/ziMq3wvHsVGHp8X3Pn0MjTL55N7Nf5KOGqaZXQ4iz/GXVol&#10;nQ1cVR1aZS8eUA54LWGJ7cnlaTV5O+r8Ilt8Wj+eFHdolcP4uvJx2RsoR+nuHqVnWMZFdz5rlrfp&#10;VH1N0Sxha6U7cVGytQZncWcwxV/sdmmVtPqzklbZOJicblzuVNOTiw5PlQR1q2xc7nVplXjn98cl&#10;d35/Ng1z0FH9xN112eOkbZa9NZ5XaJYBrVJkcBZftx11ORvYH56EC8vXhVP8ST2WYbwk2RpXu7Oy&#10;9xuOXsc3aI0mJTPjoD7bfDM8DnfitMOdD3ciTI2XdasUa5plMFt2zbTaUrMsnuPe4eA8nHWG8svy&#10;Vtmchivetxv7Zc9yblbVVWyOwSy+XjJ4Pa2WvdCU3MTL6tAnRY/0s3Rp8rZ+guym/M6Phm/jK5iD&#10;rhcyNMte0T1ZUXHDzs9Zigx2d5+fTGZcBRbZn5wfHY/r13FLbI7DkSf85B0e+1dFPbZzeLRV/Ma5&#10;YXwieKvauxhOO506b1bT+73gl5pl2PEya6VspcF3apbn0/CY3+zyVuyNk/hM3eis/LQ5ziW7oUF2&#10;4u8qMxrEZ/jCL+nQLNvx5YmDcadX8IZVegG7u9AsXS4cVk/YUF2b5Tq+AHjQoVcuzq7T/hscdvh0&#10;z+i6qs5uLielb2LdH++lV3PCHilvlsM0o9xM0hVgqTQj3UcY2jq3yn2a5Xmcs6/CA/7mddmx92jC&#10;7uv2MYeD7XDBvFd8iblXxVdzujULR4TrwtcyB0ebsUvu3yxrfK6SzJul5Kgd722YHnbHk62whUs/&#10;z9k04kH7JqciF+fVpPwDZ82rLIOz0ud5m51+UXYQOjjkXZNFzXJ5Vj6Jrr7j+sU7mqXonu2li+Xr&#10;2eHlYHsy3JwVvuGDZtnq/DJIOMktP9bNm6X4Uc9Ovy76mOX+eHfzdf0u74JmOZh2eYpyhdVv/drh&#10;kHBQ/nnvy2naVte7W+fxTXDDpW/Cv9meHIa9HZplOLyadPtQajQo2Ys3Z+PTeA7c4fXbo/NqOxx4&#10;wk4fDrfLnuq7moXfsVV/fmS49Jz7stq53SwHpdt5dezXbykdHdIs4fy89BXculluJlU6xC99m9PW&#10;ZPvtbny3UjhnGe9cFz/gO7mYTg/r/VLcLG+r66tZPO+KH144X3L0HaSzmUE8SB+Mt+tHy3KHh8eL&#10;zXIwXsP31x5Ls4SLzfKJvm6W/c3YXW/T29jvsD8NJyiDw/hmtoKT5zelk4IazM5G4R7RLEVTxFF6&#10;VWoSj6DDpZ/U4GR5sD0Kd2V747LwA9In1ZuFZgmt8jgPlsfVNsvpYOP1sg93JIOdehKiWartrdPJ&#10;shbbjJcmw3rbLm2WYfkRRFzHpwXjvBX3S/22f1t9T6/CwXBwVu/I18vO6TerWXNldRJ/1XhadJY2&#10;mGw3HVxb01Zpm+W8mp6XXZ3sN08kXaRD9mnzSap3Glyk3f469EpqlfgRvSXNsh+uebo1y8F5Wt9Z&#10;GP7NdHhrxn+X4/rq+OycVnlT8CjZn+w1zwbvhh/7k+VvmUyuJ/t5s6xtq8ybZTCclb6IG66XUrMc&#10;VOndC2/ueE5ic1bP7BfV63pWuY4H6rvf0BgOJe0r943j8R3bd6u+C/v7G4P4Gffr5c1yzC8YVhf1&#10;rLJT8jC5mu7TLLuzm/3t0nOOm7i55s2yxq0yb5alBntDHkc0y9akfgOHbas6T4ed+N621CqX9ZM3&#10;F3durbfV5WKzLPk82/wubMWj6N7e6ZK90bRKOFWpd+Hzomf6LquT+jP38UXNKn6G7C6XZ832Ootv&#10;u6FZ1rpV0pYuufrZC5vnunlsVFej/d1lV76D6U6zx28m8a/CvRmXvBC/X12H08i8WZZ+9LFplmHo&#10;lcFs2QXpvFXi4iz8w+PCv8N1fhjP7GKzHG1fLdlmN/EV9fpF+6303FB9J9a7VeKjquSz1yfV6Tjc&#10;+7SJ0ofdlz4hnq4y8GZWjXeXfrqwtj0ZSLMs/5Rs0yxb1e5wvOyTBIP608cbo73Q+c8n4Uha+hdT&#10;4lkOzbLUm2r6+ixch8c2maVHVd03690q8ROWBS9QxDeRbB5W1XasHZzsnC39N0dpH4+O986ehx9v&#10;d+KPEkfVSbxAbZqloFXmzTKsqt2lk+QwHQ5Gh+ktJJdXO6ccKE3Nn4oczLbjvytrljiim71JNXs9&#10;er3O75dcsFf0UZiT9O600C2lf69rFB6ww/DYCoresXLZXFfshtPGebMUtcq8WZq/hXKn2CyhVQrv&#10;RhgJB5Nw2hyGGJqlfETxj2ZMil/FXHk3hX8wZH8SP8AXGqCqDsve6BEOPFU1vr4IDVYwpYQ54bTu&#10;2ZP4DpSwi+KzwYWtEgtn9dlUgdAsxa0SVjwJh9x0MDlI14qj07Jpom7fwfFuONNb90MPBqeFe+M6&#10;TKXx3csXO1XhW49GW5v1+U3a7Xe7rCY77JL49FX4//T3VbYLBxc7LP6rMvO3IRSIM9ybcGY/fj2q&#10;L2mKMddtHJ0VnhD9cISJhTe683eyig0KeiXuksv6+F7P9Z3tlv0ZsaQ+ZymTDofpYHJV+qZyNM3y&#10;Abqqdu93349L3lGQ7ZLNjm9wSd6k2ahU52apDyYd/6rOh9ss4TBxr3u+WfZHJutdsnEcTp/L/5jj&#10;3Ov8T4oV6N4s8WBSTbsN7MNtlu17XPwNTs5L32vY7JKL7arTH3dPBs87nj+GZine783INg6K+wvH&#10;95kifwjS31Pram9c/JdM2l1SepHyEEtfWc7MR9bZBzqtbPAHcx7P/XfJY1vdka2qrfI/OX4/K90s&#10;H9yV78Pc51q2k7BL7nGcewqDq67nKu6R1U/BOeecc84555xzzjnnnHM/TBsb/x8/qh6JGSmt0QAA&#10;AABJRU5ErkJgglBLAwQKAAAAAAAAACEAzINfi18qAABfKgAAFAAAAGRycy9tZWRpYS9pbWFnZTQu&#10;cG5niVBORw0KGgoAAAANSUhEUgAAAkQAAAF/CAMAAACfayabAAAAAXNSR0IArs4c6QAAAARnQU1B&#10;AACxjwv8YQUAAAE4UExURQAAAAAAAAAAAAAAAAAAAAAAAAAAAAAAAAAAAAAAAAAAAAAAAAAAAAAA&#10;AAAAAAAAAAAAAAAAAAAAAAAAAAAAAAAAAAAAAAAAAAAAAAAAAAAAAAAAAAAAAAAAAAAAAAAAAAAA&#10;AAAAAAAAAAAAAAAAAAAAAAAAAAAAAAAAAAAAAAAAAAAAAAAAAAAAAAAAAAAAAAAAAAAAAAAAAAAA&#10;AAAAAH19fYmJiWdnZ////6enpwAAAPf39x4eHlBQUPv7+01NTZ2dnd7e3hERETIyMvX19QsLC+rq&#10;6sPDw39/fwYGBsnJyXJycnt7ewBwwK2trVlZWYqKira2tlZWVlaAnoWFhQAAAAAAAAAAAAAAAAAA&#10;AAAAAAAAAAAAAAAAAAAAAAAAAAAAAAAAAAAAAAAAAAAAAAAAAAAAAAAAAHGcEtoAAABodFJOUwA8&#10;//QVIe6NrwSygM0KYgjhWGjMwC/5NkfSUEK/hmS4150rxXwk2nddbZmJoiCekpgdKIef//////+E&#10;///////////////////////////////////fGEAQxzCXSLd4j+/POGD353CnhvnUkgAAAAlwSFlz&#10;AAAXEQAAFxEByibzPwAAKDxJREFUeF7t3X1jG8t133FqbUmkYAsi48oxTbdMbts4bdi0FOs6tWtf&#10;u01v0tvHtODzAyiC5Pt/B52Z/WIw85MOuQtQCkGezx8SVr+DJWdwuDsLgNCKc84555xzzjnnnHPO&#10;Oeecc8519KL5wQ+56Vzw8lXvjnjdrK6svWkGbKqXr370Y2665+Ft6Ih+hu+a9buaKETr3HRPwNrG&#10;nzRN85N/wuZnDN+9/yk3u0pnszuaKBT4oejp+NNXoYUi+0Gd4wGPZ7M7m2iOxnSP1dum+dlmeLx/&#10;vnXXqcfsBcPLV7FF7rzj6947dY/Uy1fTo8zaL6wHdY6Dxtu01zubqC1xT8DrDlfi/a/W6Z47m6g9&#10;WLnlFw5E1XXX2j/9Z2F1tP1n1TFieswIPbG+9otXzfsY/2lYjf/kz1O+8vN4p2h6bKFBpr30i+YH&#10;sbIuS9dv7gl40VSPZHhgm/ffhJX2z4pDT2iFttHCjX/ersJ/9C/epL/bY0lYVqU7Nd/8WarLbUcT&#10;vW7exy8iZYRu6b2lDzD8l38RH/xwfCoe3/xohxvN+1+urP1l7J9wNArXdbG7QvUvw1+/nJ30Qi+m&#10;e7T3/EXbQ5+UpQs4t/yMJVH1+ObzTuiJ6VmqbZK36d6zw870oDZdRKUmmvbpJ2Wv89nPLTWjiaor&#10;p3AIyU3UHpKmD3/bLJ820bQH4x3yse6TsuqLuOXVHksKaz//V998E1YudzbR9OFvm4jz1OzMWB66&#10;AnrmkzJvoidC1kSfffr6viYKB552xdyGs7NZvMO/fpd3pWXeRE9EaJDpYxqFi7W/2gl/V4/vdJls&#10;NdGL5mf/JrTdTzZTFuQVVbxD+Art1mfKvImehPAwl+ez6ePaq4leT09YmD2LmO4QGjPdS8tmveaW&#10;3NumWaVf3q7mx7U6SIRWmK2T042qiWI8Kw5mHdjeIXyJ0D6flOW9uaUXVio/i+8C+flWaJV2ibT2&#10;1/VL+tOW+nwTxSYJ3n/zk826anoz/Bn3KmWz5bdbemu/SA9uEBojPLDN9p80zTdVE00XykYTrf3b&#10;0Brpqej0r8VrYtwh7DUeseqyss4tvX/31+GRff9X6U1p8aWxsPat30A0vTwzmmha/PN2kT47m+U7&#10;pOW7lJV17unLzfNZszeKpBWVVSxl+S/3TNx50Mhv4m/bZ3ruU1JWNJV7Fu58wOMTQbHF1v4yrZ+t&#10;A4yU5bObey7uPPXElfn2N2E5/v6X6ThjXHNVZXfUuSfq7t87240r82b7L+Jz3Xeoyvz3zpxzzjnn&#10;nHPOOeec+yI+NG4Z7fH4PQr//lfBf+A7c8uDx+9R+FXza7d8vIncwryJ3MK8idzCvIncwryJ3MK8&#10;idzCvIncwryJ3MK8idzCvIncwryJ3MK8idzCvIncwryJ3MK8idzCvIncwryJ3MK8idzCvIncwryJ&#10;3MK8idzCvIncwryJ3MK8idzCvIncwryJ3MK8idzCvIncwh62idbif3bK54W/DjeLT30uNiUpeBMt&#10;pQdtovTJ3u3Hew/fhTZZezP9bwyKTUkq3kRL6SGbaO1NOr68iP/RwNvUJC9fcVgqNiWpeBMtpYds&#10;ouG79F8MxP5Ye5Nu0lblpiQ1b6Kl9AWaKP41PdC8bs9axaYkNW+ipfSwTZSOLvFY4030nDzowvpt&#10;ujKL/7Xcy1ftfzuYmyhvSlKLH9kY/A3fnFsOD9pEYU0d/Ec/Ej0zD9tEyfDd6qxr2uVzsSlJzZto&#10;KX2BJoqX+KyxuRQrNyWpeRMtpYdvorY92rPVdAFUbkpS8SZaSg/eRDwXnZ63TkedF3G1Pdssb37C&#10;m2gpPWgTxRfFpi+dDd9xOzXRbLO6qbyJltIXWBMtwJtoKXkTuYV5E7mFeRPN4ze/jau/4D+Fjd/9&#10;nhtJEVVVT5k30QK+bf7m17/+wx//839p/yilqFXcfKK8ieb3u9//7X9t//j1r7+rO4V/lZtPlTfR&#10;/L5r/i6evtIx6A9/rM5ZKWoVN58qb6K5/e73f//fchPxF9pIbz5Z3kRzaw8+v/ltOlv97vdlExXH&#10;JTlEPUneRHP7vl0GfZsuvr5tyiYiioqbT5Y30bzyCey7eBX/38sjUXFuq09zT5Q30bzqK/ff/LY4&#10;az2r6/vAm2hOrIWmykv8IpKqJ8qbaE71lXu1rn5e1/eBN9F86it3tr7jZZBndX0feBPNp+2X6PvZ&#10;q2PtP86i8uZT5k3kFuZN5BbmTeQW5k3kFuZN5BbmTeQW5k3kFuZN5BbmTeQW5k3kFuZNVIgvYHyK&#10;0Jm8iQp0jSB0Jm+iAl0jCJ3pkTcRj6MgfHDsXhA60yNrIv3YTx5HQfjg2L0gdCY/EhXYvSC0/Y/P&#10;InwOvIkK7F4Q2ugaQfgceBMV2L0gtNE1gvA58CYqsHtBaKNrBOFz4E1UYPeC0EbXCMLnwJuowO4F&#10;oY2uEYTPwdNsIuoEoY06QWijawThc+BNVKBOENroGkH4HHgTFagThDa6RhA+B95EBeoEoY2uEYTP&#10;gTdRgTpBaKNrBOFz4E1UoE4Q2ugaQfgceBMVqBOENrpGEC6j9PEC8eNM0kd0F59JUWznmsCbqECd&#10;ILTRNYJw+cw+k7v9mLfv80cvFdvfxlvf0kXeRAXqBKGNrhGES6f4qKVv00Fn9tGluj39iG5vogJ1&#10;gtBG1wjCpVN85lv7WYFFE8m2N9FnUCcIbXSNIFw638/WQH/4Y2iS4oO6dHv6qabeRAXqBKGNrhGE&#10;S+f7v/2fcdRptfNd0/yvP86aSrZ/81tuehMVqBOENrpGEC6bcAHWrpnTOesPf6z/j6TZ9rdhZqbt&#10;5E1UoE4Q2ugaQbhsWOekv0JD/V24GMuHHt3+jk+A9yYqUCcIbXSNIFw637eL5bg0apdH01aZLpdm&#10;2+FmOut5ExWoE4Q2ukYQLh0W1uGv6bqZf8nr6Ol2vlDzJipQJwhtdI0gXDrt0SU2DE2T/8M23fYj&#10;0edQJwhtdI0gXDrtJXw62rTPSKc/04cpz7Z/89t4a/rctjdRgTpBaKNrBOESii+LtQeb9H/fpJPX&#10;9CO6p9vxMs1fO/sc6gShja4RhM+BN1GBOkFoo2sE4XPgTVSgThDa6BpB+Bx4ExWoE4Q2ukYQPgcP&#10;2UTDd0z7atx6HW784IcpiIpNSQreREvpCxyJ3jbrsaFCm6y9ef/T9t+KTUkq3kRL6eGbaO1NPMq8&#10;TU3y8lU6KFWbklS8iZbSwzfRi2YQO+lHPw6324aqNiWpeRN9KYxFEC7qwZuoPVFNDzSv27NWsSlJ&#10;zZvoS2EsgnBRD95EbZN4E3kTLeB1XFaHrgnntLg1baK8KUktfWZj+amNDFYQ2qgThDbqBKGNrhGE&#10;jwRjEYSLeugmGr5LSx4/EnkTzS9d3xdd0y6fi01Jat5EXwpjEYSLeuAmSk8Cpb+5Bkt/lZuS1LyJ&#10;vhTGIggX9cBNlK7vo/ZsNV0AlZuSVLyJ7sU3JQht1AnCRT1sE82eiH75Khxp0lHnRXwVZLZZ3vyE&#10;N9G9+KYEoY06QWhjLIIwe9gmSg3TSi+kxa323/JmdVN5E92Lb0oQ2qgThDbGIgizh15YL8ab6F58&#10;U4LQRp0gtDEWQZh5ExWoE4Q2plYQPjS+KUFoo04Q2hiLIMy8iQrUCUIbUysIHxrflCC0UScIbYxF&#10;EGbeRAXqBKGNqRWED41vShDaqBOENsYiCDNvogJ1gtDG1ArCh8Y3JQht1AlCG2MRhJk3UYE6QWhj&#10;agXhQ+ObEoQ26gShjbEIwsybqECdILQxtYLQxu5rZDbqBKGNOkFoYyyCMPMmKlAnCG1MrSC0sfsa&#10;mY06QWijThDaGIsgzLyJCtQJQhtTKwht7L5GZqNOENqoE4Q2xiIIM2+iAnWC0MbUCkIbu6+R2agT&#10;hDbqBKGNsQjCzJuoQJ0gtDG1gtDG7mtkNuoEoY06QWhjLIIw8yYqUCcIbUytILSx+xqZjTpBaKNO&#10;ENoYiyDMvIkK1AlCG1MrCG3svkZmo04Q2qgThDbGIggzb6ICdYLQxtQKQhu7r5HZqBOENuoEoY2x&#10;CMLMm6hAnSC0MbWC0Mbua2Q26gShjTpBaGMsgjDzJipQJwhtTK0gtLH7GpmNOkFoo04Q2hiLIMy8&#10;iQrUCUIbUysIbey+RmajThDaqBOENsYiCDNvogJ1gtDG1ApCG7uvkdmoE4Q26gShjbEIwsybqECd&#10;ILQxtYLQxu5rZDbqBKGNOkFoYyyCMPMmKlAnCG1MrSC0sfsamY06QWijThDaGIsgzLyJCtQJQhtT&#10;Kwht7L5GZqNOENqoE4Q2xiIIM2+iAnWC0MbUCkIbu6+R2agThDbqBKGNsQjCzJuoQJ0gtDG1gtDG&#10;7mtkNuoEoY06QWhjLIIw8yYqUCcIbUytILSx+xqZjTpBaKNOENoYiyDMvIkK1AlCG1MrCG3svkZm&#10;o04Q2qgThDbGIggzb6ICdYLQxtQKQhu7r5HZqBOENuoEoY2xCMLMm6hAnSC0MbWC0Mbua2Q26gSh&#10;jTpBaGMsgjDzJipQJwhtTK0gtLH7GpmNOkFoo04Q2hiLIMy8iQrUCUIbUysIbey+RmajThDaqBOE&#10;NsYiCLNH1kT1JzZ+7SmjThDamFpBaGP3NTIbdYLQRp0gtDEWQZj5kahAnSC0MbWC0Mbua2Q26gSh&#10;jTpBaGMsgjDzJipQJwhtTK0gtLH7GpmNOkFoo04Q2hiLIMy8iQrUCUIbUysIbey+RmajThDaqBOE&#10;NsYiCDNvogJ1gtDG1ApCG7uvkdmoE4Q26gShjbEIwsybqECdILQxtYLQxu5rZDbqBKGNOkFoYyyC&#10;MPMmKlAnCG1MrSC0sfsamY06QWijThDaGIsgzLyJCtQJQhtTKwht7L5GZqNOENqoE4Q2xiIIM2+i&#10;AnWC0MbUCkIbu6+R2agThDbqBKGNsQjCzJuoQJ0gtDG1gtDG7mtkNuoEoY06QWhjLIIw8yYqUCcI&#10;bUytILSx+xqZjTpBaKNOENoYiyDMvIkK1AlCG1MrCG3svkZmo04Q2qgThDbGIggzb6ICdYLQxtQK&#10;Qhu7r5HZqBOENuoEoY2xCMLMm6hAnSC0MbWC0Mbua2Q26gShjTpBaGMsgjDzJipQJwhtTK0gtLH7&#10;GpmNOkFoo04Q2hiLIMy8iQrUCUIbUysIbey+RmajThDaqBOENsYiCDNvogJ1gtDG1ApCG7uvkdmo&#10;E4Q26gShjbEIwsybqECdILQxtYLQxu5rZDbqBKGNOkFoYyyCMPMmKlAnCG1MrSC0sfsamY06QWij&#10;ThDaGIsgzLyJCtQJQhtTKwht7L5GZqNOENqoE4Q2xiIIM2+iAnWC0MbUCkIbu6+R2agThDbqBKGN&#10;sQjCzJuoQJ0gtDG1gtDG7mtkNuoEoY06QWhjLIIw8yYqUCcIbUytILSx+xqZjTpBaKNOENoYiyDM&#10;vIkK1AlCG1MrCG3svkZmo04Q2qgThDbGIggzb6ICdYLQxtQKQhu7r5HZqBOENuoEoY2xCMLMm6hA&#10;nSC0MbWC0Mbua2Q26gShjTpBaGMsgjDzJipQJwhtTK0gtLH7GpmNOkFoo04Q2hiLIMy8iQrUCUIb&#10;UysIbey+RmajThDaqBOENsYiCDNvogJ1gtDG1ApCG7uvkdmoE4Q26gShjbEIwsybqECdILQxtYLQ&#10;xu5rZDbqBKGNOkFoYyyCMPMmKlAnCG1MrSC0sfsamY06QWijThDaGIsgzB60iV6+St/aj34cN16H&#10;Wz/4Yfr3qNiUpOBNRGajThDaqBOENsYiCLMHbqIBt1aG70KbrL15/9NPNiWpeBOR2agThDbqBKGN&#10;sQjC7Es10dvUJC9frX6yKUnFm4jMRp0gtFEnCG2MRRBmX6iJ1t6kc9ram/a0VWxKUvMmIrNRJwht&#10;1AlCG2MRhNkXaqLpgeZ1e9YqNiWpeROR2agThDbqBKGNsQjC7AssrGOTeBN5Ey3iRbzymh6TchPl&#10;TUlq6YM/y4/+ZLCC0EadILRRJwhtTK0gtLH7GpmNOkFoo04Q2hiLIMwevolCFw38SORNtJjYJrlV&#10;2uVzsSlJzZuIzEadILRRJwhtjEUQZl+oiYbvuAZrn3gsNiWpeROR2agThDbqBKGNsQjC7As00dtm&#10;fXq2ypdrxaYkFW8iMht1gtBGnSC0MRZBmD1oE72OjfGCy7NwpElHnbQ92yxvfsKbiMxGnSC0UScI&#10;bYxFEGYP2kTtJX44DgXDd+FmbKe2qfJmdVN5E5HZqBOENuoEoY2xCMLsC5zOFuBNRGajThDaqBOE&#10;NsYiCDNvogJ1gtDG1ApCG7uvkdmoE4Q26gShjbEIwsybqECdILQxtYLQxu5rZDbqBKGNOkFoYyyC&#10;MPMmKlAnCG1MrSC0sfsamY06QWijThDaGIsgzLyJCtQJQhtTKwht7L5GZqNOENqoE4Q2xiIIM2+i&#10;AnWC0MbUCkIbu6+R2agThDbqBKGNsQjCzJuoQJ0gtDG1gtDG7mtkNuoEoY06QWhjLIIw8yYqUCcI&#10;bUytILSx+xqZjTpBaKNOENoYiyDMvIkK1AlCG1MrCG3svkZmo04Q2qgThDbGIggzb6ICdYLQxtQK&#10;Qhu7r5HZqBOENuoEoY2xCMLMm6hAnSC0MbWC0Mbua2Q26gShjTpBaGMsgjDzJipQJwhtTK0gtLH7&#10;GpmNOkFoo04Q2hiLIMy8iQrUCUIbUysIbey+RmajThDaqBOENsYiCDNvogJ1gtDG1ApCG7uvkdmo&#10;E4Q26gShjbEIwsybqECdILQxtYLQxu5rZDbqBKGNOkFoYyyCMPMmKlAnCG1MrSC0sfsamY06QWij&#10;ThDaGIsgzLyJCtQJQhtTKwht7L5GZqNOENqoE4Q2xiIIM2+iAnWC0MbUCkIbu6+R2agThDbqBKGN&#10;sQjCzJuoQJ0gtDG1gtDG7mtkNuoEoY06QWhjLIIw8yYqUCcIbUytILSx+xqZjTpBaKNOENoYiyDM&#10;vIkK1AlCG1MrCG3svkZmo04Q2qgThDbGIggzb6ICdYLQxtQKQhu7r5HZqBOENuoEoY2xCMLMm6hA&#10;nSC0MbWC0Mbua2Q26gShjTpBaGMsgjDzJipQJwhtTK0gtLH7GpmNOkFoo04Q2hiLIMy8iQrUCUIb&#10;UysIbey+RmajThDaqBOENsYiCDNvogJ1gtDG1ApCG7uvkdmoE4Q26gShjbEIwsybqECdILQxtYLQ&#10;xu5rZDbqBKGNOkFoYyyCMPMmKlAnCG1MrSC0sfsamY06QWijThDaGIsgzLyJCtQJQhtTKwht7L5G&#10;ZqNOENqoE4Q2xiIIs0fWRPUnNn7tKaNOENqYWkFoY/c1Mht1gtBGnSC0MRZBmPmRqECdILQxtYLQ&#10;xu5rZDbqBKGNOkFoYyyCMPMmKlAnCG1MrSC0sfsamY06QWijThDaGIsgzLyJCtQJQhtTKwht7L5G&#10;ZqNOENqoE4Q2xiIIM2+iAnWC0MbUCkIbu6+R2agThDbqBKGNsQjCzJuoQJ0gtDG1gtDG7mtkNuoE&#10;oY06QWhjLIIw8yYqUCcIbUytILSx+xqZjTpBaKNOENoYiyDMvIkK1AlCG1MrCG3svkZmo04Q2qgT&#10;hDbGIggzb6ICdYLQxtQKQhu7r5HZqBOENuoEoY2xCMLMm6hAnSC0MbWC0Mbua2Q26gShjTpBaGMs&#10;gjDzJipQJwhtTK0gtLH7GpmNOkFoo04Q2hiLIMy8iQrUCUIbUysIbey+RmajThDaqBOENsYiCDNv&#10;ogJ1gtDG1ApCG7uvkdmoE4Q26gShjbEIwsybqECdILQxtYLQxu5rZDbqBKGNOkFoYyyCMPMmKlAn&#10;CG1MrSC0sfsamY06QWijThDaGIsgzLyJCtQJQhtTKwht7L5GZqNOENqoE4Q2xiIIM2+iAnWC0MbU&#10;CkIbu6+R2agThDbqBKGNsQjCzJuoQJ0gtDG1gtDG7mtkNuoEoY06QWhjLIIw8yYqUCcIbUytILSx&#10;+xqZjTpBaKNOENoYiyDMvIkK1AlCG1MrCG3svkZmo04Q2qgThDbGIggzb6ICdYLQxtQKQhu7r5HZ&#10;qBOENuoEoY2xCMLMm6hAnSC0MbWC0Mbua2Q26gShjTpBaGMsgjDzJipQJwhtTK0gtLH7GpmNOkFo&#10;o04Q2hiLIMy8iQrUCUIbUysIbey+RmajThDaqBOENsYiCDNvogJ1gtDG1ApCG7uvkdmoE4Q26gSh&#10;jbEIwsybqECdILQxtYLQxu5rZDbqBKGNOkFoYyyCMPMmKlAnCG1MrSC0sfsamY06QWijThDaGIsg&#10;zLyJCtQJQhtTKwht7L5GZqNOENqoE4Q2xiIIM2+iAnWC0MbUCkIbu6+R2agThDbqBKGNsQjCzJuo&#10;QJ0gtDG1gtDG7mtkNuoEoY06QWhjLIIwe9gmeh2/s8Hs9g9+2N4Oik1JCv9bhxX39ynC7P/wd0ad&#10;IMwe6m5MrSDMun01smwphvYPD9lEb3/04/BH6qLhu9Ama2/e/7RNik1JKnMeiX7F3xl1gjB7qLsx&#10;tYIw6/bVyLLlGNqDn87W3sSjzNvUJC9frbb/WGxKUrmjif6BvyPC7I4p+xp3Y2qD/8vfEWHW7auR&#10;ZXfc62vcjbFExdgIsy/URGtv4kGJhop/501Janc00a/4OyLM7piyr3E3pjb4FX9HhFm3r0aW3XGv&#10;r3E3xhIVYyPMHr6Jhu9Cl0wPNK/bs1axKUnNm4gsu+NeX+NujCX6mk00fBe7w5vIm2heb8M3lprj&#10;5av2Gi03Ud6UpFY+duKO6K7sa9yNqQ3KJiLM5vtqvb6RmYe6G2OJirERZg9/OnvRLHA6c8vo/414&#10;/B7Oi3CNn1ulXT4Xm5I49zmxTdLqOl+VlZuSOPc58UjE2Wq6ACo3JXGuNHwXG+Plq3iMSX+mo86L&#10;Jpy/ZpvlTec+8fJVXKu3h5jhu3AzLn9SE802q5vOOeecc84555xzzjnnnHPOOeecc851sH+wy61e&#10;Dg+G3PoKDo/2uNXL/uoxt3rZOfmKQ3tcTs9GJ4fc7uG8aZpzbnc3vGia8TobfeyEx2eT293tNc0c&#10;XTS8bMZzdNH+qDmbt4sOPnJjOX0IzdAc9R78RXO2N26u2OpstTk6aib9H6Hdydlwr9lhq7OL67N5&#10;umi8PU8XHTTzd9H4khtL6bTZG+4f9e6Gj/Eo9HFyxmZXN004Ct00F2z2sNdc92/Zlc1md54uWt26&#10;mqOLhuPzs3m76KLpf5h9PI6Owh+704+r6ex2O/651beJLtO7dscnaaOfUXPZ//E5bK6Gc3TRzWQ4&#10;TxetboUvNl8X7ff+eXxM0o/3sLn5cLvR/kM3e6nrLreum3Gf48N2/HkbTm7HzVHPRcB5szXP4xO6&#10;NnbRVdPrIuC4OViJXTTo98iG3ktddNH/kBkORXOswh6Lm/3wx1VcFzW37b90Mox322zGeyeTMOGd&#10;7cc2uGnGJ5fNddxDd/ub4YzWv4s+jMP3etZ7eT0KPyNXzaTn3WLvhS923e+C42AQZ2J/suS/WnE8&#10;GZ2uhIXRKdsdnU6OwvB7L4yumrNwMXjT6wy6n54XSF102O8Rij/gG72baC+e5FebvkeHcRjT8LrZ&#10;7tXr283kIlwxLOmh6OPt1nka7uVlvMTfaT7EjXvtnm+0zwis76V7H3X7RfHjc3r0on1Ae/zkHYYr&#10;9Un85vaa7autSYeHaHizN0jf5HByHru247poeHrTnvaumsOVQTiBdlwXHXAwvt2K32Ova7Sr8ebV&#10;KDT5znIeiuITPe1idT/N92G3Y8Mg3Ou6nNtRl8EPT8LdjopL9MNJ90u0o+vN9bAiCrcuQjd1eJZp&#10;5zJ+k6kftsKF1llYqow6nD13j8Ld0k/STrM5CH131YSuuNfH0ATXqY2uJsO9ZhDOaN1+HIPh5DLM&#10;5Wb4wrdbTb8T/GNw2mzt7N8WV9vnTZe17qA5uzpprmc/ah86nQX3mtvBVhNPErjt/mTRxiS0w057&#10;1jwddPgmh5fjjYNBM4rf5GCSjgtpDXeP/evJxeC6SRcYo1E6dm12eGbqeDI+uW3GsWV3mqP4kzg8&#10;bw/V9zs+ZtIPwrlznmc+/pEdxTP38HIyHe/VpMuF90466A6am3Zz5fCk09CP08/man4yJHRvh4vB&#10;4Ul66ONJYmfU5xSRLjkH6c+dcec7XkzCA7ozTj8gH7qvoi7HodM22l853u73XMlwfJkvG3f2rifL&#10;dijabx/FdR7XcLpY7TLZN2mgw2ueYL0Yd5u1k/TI7PPIHO5NJl2eUDhtUl+vbtNDVx0PXuEOwXCS&#10;vlr3Z7nbn6LzdLU57PyEx277A3WZlmo7PS/uw2Xx7EnGzeU7FF2ktt9pm+BwNOo2a6ftIuGC1e3B&#10;SbfH9UPbPZf03vne9OfvbpfpimWjGaQeGl53XGpctY29lXqps2G4RA2O81G2m+OwBg82Oi0Gso+D&#10;vZs4tqtmNOvy62KVsFQ6ncQ+cdX/Zazo4pobHR2nk8ThqH1t76Tn4T4+RzSHcedVcav9eTju86LM&#10;YVwBhUuyMKqyi27meE7+URjFY8Re36vLzXiIGJ707aRB/OzBw0H3qdpLq/bdcXNzuLsXX3frI321&#10;4/hcVi9pRg76vtNgJzXRZqcj7PFocn5wcLPdbIfvreiiYdf1+GNzFC56wmUpW10dtM/N9n3R8Dwc&#10;+g8vO12XtRO7P0knwN3t8HPb+x0kN+Ga+Xjc5dq+shV+ok7br9tHXGNetYu4e4TvKZ36wvEoLg6q&#10;M9py2tqao4diE4Ue6rmKTGfB0ENdnhI4m3xIP5Y37Rc5XB9s9G2G+NXC49X7AQozEnqo90EhTGJ8&#10;RoqtO+zOvqetNPPdWu8xWZVHfmtrjh4KTXQ6Rw+F6Tru1kNhSd1cx6X+cHv+xeZVszlHD4UZmaeH&#10;QhN166GwFMjf1P51WrYdL9lSKCxSp4/9MJ0etvL/WtTR4Va4BI7vv+rXQztn7fm/Ww+Fdepo3FyG&#10;r7Q5x9snw+koPvd31Ux69tBVvMbeuu7bQ+kFneay66sdg1kXnSznC2Y700d/eDaOU7Xat4cu4wwc&#10;N317aBQfmPWmYw/FS7GPF5NmdWdldY6n4E7TU0TrfRcb7XnlrOncQx9TC7RPvTZde6jsos05DueP&#10;AV0UeijNQPenx65i07U9FB7jeXpoZX+1aw+FI/3Zys5qM/nwsceLbGh7aGUYXxzv4ap9LnRztXMP&#10;TeK5dtD+GJ507qGii86X80g07SJ6qLurNFcfev5wr6wP4juWtrqfIIYXbaNtxGu/g6PmetT9Vbbh&#10;zdlN+EJnqRm6aK/ID88H4dQ+fT69u5P4Gu/6HEvKaRcNL3s+cfZ4pC4679lD8VX4MMldXsgsDNOz&#10;ahu8T6CTq3BeSI/tZXoBdX3U/X39w/hMwHaPLv+Y+mb3Ot7teKXnjBzv7cW38Q37Ps+RtF006P0k&#10;yeMQZyqvi7q7mWxsbvVf495Mbg6urvv9rH48apqL0HQf27sNN3izzv0G1x/3i1Xr/YbpfUaXl5sH&#10;J0189bWXm2aR90XH7/NqCV+3jw7Sz17vLorv7Qo/6MVbObrZirO0f9nzuebNUTMOa9W9fkvqw/2z&#10;+IJFr+fuYhftp3XJ+qTn+3VjH6RLkzkNmuve589Hov3Z691FO+k1/9Uub9EqnOyN0lfZ6f3K4s24&#10;2T7dH/d6NWZrdJ2+Wt8uOmv/H6iN/oeFQffruM+I73pbUnN20XVYapxONlZ2zju/4Sotb9ovct73&#10;7dsrhx8mzdlJr7udTniPUt8u4j8T2+6xyN3fSL/gsFgX9VyDPSa5izq/WH0VJuq0aUbN6sr6mHfU&#10;djN9OK96N1H4Bm/DcrfXoe90whXnVXqbYUfMRziSdX/R/yAsxcdxqda5i47bY/LyW2/fdpZnraOP&#10;aaI+xrclbjS3u72uKOiieZ4wDBO/Ne7Xe7mLemE+evz64O7k7GBjnJ437dhFw/DDt+xdtJ4GcMJz&#10;quFKuFcXtRO13+zdxuulnW6r5PNw1RwKQxcNBpecZ76Yw9tmFL+rnl20H05lqzuxi1YHF+P4Ltdu&#10;LuPbm8LFWeqiTgfm4WTr0w8u2Lnofkz/xzfk19inv/23ddnv+Ym2iy6a9KpAfIPF/VbTe95Dz4V1&#10;0Xb356nnsz8ah8coPiHQq4v2x9uDk0k4LYUuut7q8mbLnfTDsBPfxHgwOWmPRd2cTD5qF+2Mlus9&#10;aMcMgC7aXu951G+76PgyNNHHeLF/r804z8d93i7D77LNZWu0H59HaLuo+3tiV+ODeB6PksOzSZcn&#10;ow7bXwEZ3oYOuB6E8XXvouPmZvoggFeClsisiy53w8qm87rznAZou2h1fNXxtyDaX9BoZ6lTF510&#10;W1t81mns2J3RJHVRl0/eOmyPpZMwJaeTeKeOL7NdzZ7auYhvWmtG3Z9tPNrOD0KyfD0066JwTurz&#10;S/e5AY7igxx2ct9x6Lhd/WxtMUun4e4dumg/PDyfTup9583hZeqAzfCADrfPOBbd7/AyHa3i77u0&#10;PdR1xbbfXFzSRfF+x81h9/NR/LWaoouWsYdmXbR5ttXnxYtpA4RlVLj7/sHdIx+Gy/J0XhhM1ttZ&#10;2m6fRL73Ybo+CgdJ2fngvl+Y3h+1bRMOPifh1HQQX6W7X35v5eX2Zuqhj51/UWP1OnRq6qLx9elx&#10;+zk5HQ2vQ3XuouXsoWIAXZyfTVfeoYviCeL6qsspcK/hqcidcXMUb5231/b33/emOdYuan/58E47&#10;dFG4Pg8XZ6eXHzqs9Wbvz91o3483vOx8Ujpt1g/bLoqfo9LpN7Mvp1cVH+IiggdhWXsoDaDrNVn4&#10;mW62eQivmvHmcNDpfS8Hs1/Z2ozvqx9+6Hxtvz/Ziwu2Ymo79NCsiw7iFzrrcpou3+O9Gj8dYPeo&#10;+7X9yvZl2EHqooNBfNPJffbH4zCTG/GIGs6F4c/jcfwmj5a1h+IAuj7nN7weDcbN6CadTtYnoaU6&#10;va500czOP5th9ppOv+faiq+2ll3UqYdyFx1eN7eX8Vf273XD51NehU6In0Ka3gTSWThgTruok+Go&#10;Of8wbsYfQp+utr8jG/95Z2l7KF7Odnpggptm8zC00XX6fJbjk71ur8IP0qsbp3tbW+Hr7J9vDbo8&#10;qki/eDrroo49lLvoeLsZdXrLyLD9QLyr9CEjKx8vbtuflLsdbnCwOpyEA0mfLoqvUQ43RuFi5uC0&#10;56/WPlIXnV/CGo7DHA9vrptx+9vW3exOJltb8R1efEBLFx+n55L0Jr9pF3XuodxFnaUu6viLGQhf&#10;ojlrpy79Fm7oos79ELso/GCdNc1lj6ewHq1wYdH9cqL93K5BM2ome92XDPH12cnt5uHBqOtTUXvh&#10;4WlXaldpxbaXjhA9eig9TL1+xEMXdf7FjFaYhlWWNsft2bPHB3+3XbSyuxdWBX3f9/YI3bSfi9ZJ&#10;+tyu+FhejTovjoPhQft5+esdu+C4Ga9OwuIrPCbD63SCSe+w7vfJmTs9P5MldFG/d5PF89fOySQt&#10;bY56/x4cXbSyP2g/We4ZCYcijgfz/Picdr0QDOev3cF1MznZ5eA3jw99Pns0YF3UXVoFHZ6HM/Xt&#10;Rd9PBJh10fMTn0Oef+hn+bOz7hNXQcOr7XBWm+sz0qPd0XWvA8u8XRROufFj/Hr/lv4z7qLVuX71&#10;NNlf7TFp7Vo6rjybzp1XCafEfgeiYN4uih+L1/uN5s+4i9rPBprD8e2kV/9xRRZWnp2e6PnUca8V&#10;USt0Ub+PIZp2UfqfanrbGXV/vfJJWZ1zjXK4etvvjtPr+v3ul4GL6/vrsbMumsscff4kfOz1EfuL&#10;mHbR47ZYFz1Xlz2u7RezNF30JJ5zfqra5xgfuz7PMbqv76L3BZZzzjnnnHPOOeecc865r2dl5f8D&#10;GG0n20SkctEAAAAASUVORK5CYIJQSwMEFAAGAAgAAAAhAHaeGaneAAAABQEAAA8AAABkcnMvZG93&#10;bnJldi54bWxMj81OwzAQhO9IvIO1SNyoDSo/DdlUCIQ4ULWlBYmjGy9xRLyOYjdJ376GC1xWGs1o&#10;5tt8PrpG9NSF2jPC5USBIC69qblCeN8+X9yBCFGz0Y1nQjhQgHlxepLrzPiB36jfxEqkEg6ZRrAx&#10;tpmUobTkdJj4ljh5X75zOibZVdJ0ekjlrpFXSt1Ip2tOC1a39Gip/N7sHcLqc/n08bpe2bUaFoft&#10;S1/K5WyBeH42PtyDiDTGvzD84Cd0KBLTzu/ZBNEgpEfi703eTE2nIHYIt9dKgSxy+Z++OAIAAP//&#10;AwBQSwMEFAAGAAgAAAAhAFd98erUAAAArQIAABkAAABkcnMvX3JlbHMvZTJvRG9jLnhtbC5yZWxz&#10;vJLBasMwDIbvg76D0X1xkpYxRp1eRqHX0T2AsBXHNJaN7ZX17WcogxVKd8tREv/3fwdtd99+FmdK&#10;2QVW0DUtCGIdjGOr4PO4f34FkQuywTkwKbhQht2wetp+0IylhvLkYhaVwlnBVEp8kzLriTzmJkTi&#10;ehlD8ljqmKyMqE9oSfZt+yLTXwYMN0xxMArSwaxBHC+xNv/PDuPoNL0H/eWJy50K6XztrkBMlooC&#10;T8bhdbluIluQ9x36ZRz6Rw7dMg7dI4fNMg6bXwd582TDDwAAAP//AwBQSwECLQAUAAYACAAAACEA&#10;sYJntgoBAAATAgAAEwAAAAAAAAAAAAAAAAAAAAAAW0NvbnRlbnRfVHlwZXNdLnhtbFBLAQItABQA&#10;BgAIAAAAIQA4/SH/1gAAAJQBAAALAAAAAAAAAAAAAAAAADsBAABfcmVscy8ucmVsc1BLAQItABQA&#10;BgAIAAAAIQAOLNI1ugIAANYLAAAOAAAAAAAAAAAAAAAAADoCAABkcnMvZTJvRG9jLnhtbFBLAQIt&#10;AAoAAAAAAAAAIQClTMpNNCkAADQpAAAUAAAAAAAAAAAAAAAAACAFAABkcnMvbWVkaWEvaW1hZ2Ux&#10;LnBuZ1BLAQItAAoAAAAAAAAAIQAL9ynRsy0AALMtAAAUAAAAAAAAAAAAAAAAAIYuAABkcnMvbWVk&#10;aWEvaW1hZ2UyLnBuZ1BLAQItAAoAAAAAAAAAIQB/e77okygAAJMoAAAUAAAAAAAAAAAAAAAAAGtc&#10;AABkcnMvbWVkaWEvaW1hZ2UzLnBuZ1BLAQItAAoAAAAAAAAAIQDMg1+LXyoAAF8qAAAUAAAAAAAA&#10;AAAAAAAAADCFAABkcnMvbWVkaWEvaW1hZ2U0LnBuZ1BLAQItABQABgAIAAAAIQB2nhmp3gAAAAUB&#10;AAAPAAAAAAAAAAAAAAAAAMGvAABkcnMvZG93bnJldi54bWxQSwECLQAUAAYACAAAACEAV33x6tQA&#10;AACtAgAAGQAAAAAAAAAAAAAAAADMsAAAZHJzL19yZWxzL2Uyb0RvYy54bWwucmVsc1BLBQYAAAAA&#10;CQAJAEICAADXs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429;height:47625;visibility:visible;mso-wrap-style:square" filled="t">
                  <v:fill o:detectmouseclick="t"/>
                  <v:path o:connecttype="none"/>
                </v:shape>
                <v:shape id="Picture 1381716403" o:spid="_x0000_s1028" type="#_x0000_t75" style="position:absolute;width:29908;height:23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sZyQAAAOMAAAAPAAAAZHJzL2Rvd25yZXYueG1sRI/NbsIw&#10;EITvSH0HaytxAzv8laYYVCFVIG6kPMAqXpK08TqKXRL69BgJiePuzHw7u9r0thYXan3lWEMyViCI&#10;c2cqLjScvr9GSxA+IBusHZOGK3nYrF8GK0yN6/hIlywUIkLYp6ihDKFJpfR5SRb92DXEUTu71mKI&#10;Y1tI02IX4baWE6UW0mLF8UKJDW1Lyn+zPxsp/+G084dEFVXX/Myv9szvE6n18LX//AARqA9P8yO9&#10;N7H+dJm8JYuZmsL9p7gAub4BAAD//wMAUEsBAi0AFAAGAAgAAAAhANvh9svuAAAAhQEAABMAAAAA&#10;AAAAAAAAAAAAAAAAAFtDb250ZW50X1R5cGVzXS54bWxQSwECLQAUAAYACAAAACEAWvQsW78AAAAV&#10;AQAACwAAAAAAAAAAAAAAAAAfAQAAX3JlbHMvLnJlbHNQSwECLQAUAAYACAAAACEApiarGckAAADj&#10;AAAADwAAAAAAAAAAAAAAAAAHAgAAZHJzL2Rvd25yZXYueG1sUEsFBgAAAAADAAMAtwAAAP0CAAAA&#10;AA==&#10;">
                  <v:imagedata r:id="rId18" o:title=""/>
                </v:shape>
                <v:shape id="Picture 679681863" o:spid="_x0000_s1029" type="#_x0000_t75" style="position:absolute;left:27527;width:29902;height:2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IGWxwAAAOIAAAAPAAAAZHJzL2Rvd25yZXYueG1sRI/RagIx&#10;FETfC/2HcAt9q1ktxHVrlFYRpE/W9gMuye1m6eZm2cR1/XsjCH0cZuYMs1yPvhUD9bEJrGE6KUAQ&#10;m2AbrjX8fO9eShAxIVtsA5OGC0VYrx4flljZcOYvGo6pFhnCsUINLqWukjIaRx7jJHTE2fsNvceU&#10;ZV9L2+M5w30rZ0WhpMeG84LDjjaOzN/x5DV8dMYdiuB3NZnPxXY74An3Suvnp/H9DUSiMf2H7+29&#10;1aDmC1VOS/UKt0v5DsjVFQAA//8DAFBLAQItABQABgAIAAAAIQDb4fbL7gAAAIUBAAATAAAAAAAA&#10;AAAAAAAAAAAAAABbQ29udGVudF9UeXBlc10ueG1sUEsBAi0AFAAGAAgAAAAhAFr0LFu/AAAAFQEA&#10;AAsAAAAAAAAAAAAAAAAAHwEAAF9yZWxzLy5yZWxzUEsBAi0AFAAGAAgAAAAhAMqQgZbHAAAA4gAA&#10;AA8AAAAAAAAAAAAAAAAABwIAAGRycy9kb3ducmV2LnhtbFBLBQYAAAAAAwADALcAAAD7AgAAAAA=&#10;">
                  <v:imagedata r:id="rId19" o:title=""/>
                </v:shape>
                <v:shape id="Picture 200342405" o:spid="_x0000_s1030" type="#_x0000_t75" style="position:absolute;left:95;top:23609;width:29242;height:22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K+DywAAAOIAAAAPAAAAZHJzL2Rvd25yZXYueG1sRI9Ba8JA&#10;FITvQv/D8gQvRTeN0bapq2hB0UMPTQutt0f2mQSzb0N21fjvu0LB4zAz3zCzRWdqcabWVZYVPI0i&#10;EMS51RUXCr6/1sMXEM4ja6wtk4IrOVjMH3ozTLW98CedM1+IAGGXooLS+yaV0uUlGXQj2xAH72Bb&#10;gz7ItpC6xUuAm1rGUTSVBisOCyU29F5SfsxORkFR/+4kX/er5/1jcnw1Pv7Y/MRKDfrd8g2Ep87f&#10;w//trVYQiOMkTqIJ3C6FOyDnfwAAAP//AwBQSwECLQAUAAYACAAAACEA2+H2y+4AAACFAQAAEwAA&#10;AAAAAAAAAAAAAAAAAAAAW0NvbnRlbnRfVHlwZXNdLnhtbFBLAQItABQABgAIAAAAIQBa9CxbvwAA&#10;ABUBAAALAAAAAAAAAAAAAAAAAB8BAABfcmVscy8ucmVsc1BLAQItABQABgAIAAAAIQCl4K+DywAA&#10;AOIAAAAPAAAAAAAAAAAAAAAAAAcCAABkcnMvZG93bnJldi54bWxQSwUGAAAAAAMAAwC3AAAA/wIA&#10;AAAA&#10;">
                  <v:imagedata r:id="rId20" o:title=""/>
                </v:shape>
                <v:shape id="Picture 257418211" o:spid="_x0000_s1031" type="#_x0000_t75" style="position:absolute;left:26860;top:23228;width:30569;height:23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V5rygAAAOIAAAAPAAAAZHJzL2Rvd25yZXYueG1sRI/NasMw&#10;EITvhbyD2EBvjWzTpsGNEkIgIaTtIT/kvFhbW621MpISu29fFQo9DjPzDTNfDrYVN/LBOFaQTzIQ&#10;xJXThmsF59PmYQYiRGSNrWNS8E0BlovR3RxL7Xo+0O0Ya5EgHEpU0MTYlVKGqiGLYeI64uR9OG8x&#10;JulrqT32CW5bWWTZVFo0nBYa7GjdUPV1vFoFnwfam52pNu+Xvp3q7fl1m715pe7Hw+oFRKQh/of/&#10;2jutoHh6fsxnRZ7D76V0B+TiBwAA//8DAFBLAQItABQABgAIAAAAIQDb4fbL7gAAAIUBAAATAAAA&#10;AAAAAAAAAAAAAAAAAABbQ29udGVudF9UeXBlc10ueG1sUEsBAi0AFAAGAAgAAAAhAFr0LFu/AAAA&#10;FQEAAAsAAAAAAAAAAAAAAAAAHwEAAF9yZWxzLy5yZWxzUEsBAi0AFAAGAAgAAAAhAJfJXmvKAAAA&#10;4gAAAA8AAAAAAAAAAAAAAAAABwIAAGRycy9kb3ducmV2LnhtbFBLBQYAAAAAAwADALcAAAD+AgAA&#10;AAA=&#10;">
                  <v:imagedata r:id="rId21" o:title=""/>
                </v:shape>
                <w10:anchorlock/>
              </v:group>
            </w:pict>
          </mc:Fallback>
        </mc:AlternateContent>
      </w:r>
    </w:p>
    <w:p w14:paraId="1EF75709" w14:textId="57E83B4D" w:rsidR="00E26853" w:rsidRPr="00286E24" w:rsidRDefault="00E26853" w:rsidP="00286E24">
      <w:pPr>
        <w:spacing w:before="100" w:beforeAutospacing="1" w:after="100" w:afterAutospacing="1" w:line="240" w:lineRule="auto"/>
        <w:jc w:val="both"/>
        <w:rPr>
          <w:rFonts w:ascii="Arial" w:eastAsia="Times New Roman" w:hAnsi="Arial" w:cs="Arial"/>
          <w:b/>
          <w:bCs/>
          <w:sz w:val="24"/>
          <w:szCs w:val="24"/>
          <w:lang w:eastAsia="en-GB"/>
        </w:rPr>
      </w:pPr>
      <w:r w:rsidRPr="00286E24">
        <w:rPr>
          <w:rFonts w:ascii="Arial" w:eastAsia="Times New Roman" w:hAnsi="Arial" w:cs="Arial"/>
          <w:b/>
          <w:bCs/>
          <w:sz w:val="24"/>
          <w:szCs w:val="24"/>
          <w:lang w:eastAsia="en-GB"/>
        </w:rPr>
        <w:t xml:space="preserve">Figure </w:t>
      </w:r>
      <w:r w:rsidR="004C1C42">
        <w:rPr>
          <w:rFonts w:ascii="Arial" w:eastAsia="Times New Roman" w:hAnsi="Arial" w:cs="Arial"/>
          <w:b/>
          <w:bCs/>
          <w:sz w:val="24"/>
          <w:szCs w:val="24"/>
          <w:lang w:eastAsia="en-GB"/>
        </w:rPr>
        <w:t>9</w:t>
      </w:r>
      <w:r w:rsidRPr="00286E24">
        <w:rPr>
          <w:rFonts w:ascii="Arial" w:eastAsia="Times New Roman" w:hAnsi="Arial" w:cs="Arial"/>
          <w:b/>
          <w:bCs/>
          <w:sz w:val="24"/>
          <w:szCs w:val="24"/>
          <w:lang w:eastAsia="en-GB"/>
        </w:rPr>
        <w:t xml:space="preserve">: </w:t>
      </w:r>
      <w:r w:rsidRPr="00286E24">
        <w:rPr>
          <w:rFonts w:ascii="Arial" w:hAnsi="Arial" w:cs="Arial"/>
          <w:b/>
          <w:bCs/>
          <w:sz w:val="24"/>
          <w:szCs w:val="24"/>
        </w:rPr>
        <w:t>Seasonal variation in the cations (mg/kg) in sediment of Douglas creek</w:t>
      </w:r>
    </w:p>
    <w:p w14:paraId="11D2B4DC" w14:textId="77777777" w:rsidR="00E26853" w:rsidRPr="00286E24" w:rsidRDefault="00E26853" w:rsidP="00286E24">
      <w:pPr>
        <w:jc w:val="both"/>
        <w:rPr>
          <w:rFonts w:ascii="Arial" w:hAnsi="Arial" w:cs="Arial"/>
          <w:sz w:val="24"/>
          <w:szCs w:val="24"/>
        </w:rPr>
      </w:pPr>
    </w:p>
    <w:p w14:paraId="5B71256D" w14:textId="04B07044" w:rsidR="00E26853" w:rsidRPr="00286E24" w:rsidRDefault="00E26853" w:rsidP="00286E24">
      <w:pPr>
        <w:pStyle w:val="NormalWeb"/>
        <w:jc w:val="both"/>
        <w:rPr>
          <w:rFonts w:ascii="Arial" w:hAnsi="Arial" w:cs="Arial"/>
        </w:rPr>
      </w:pPr>
      <w:r w:rsidRPr="00286E24">
        <w:rPr>
          <w:rFonts w:ascii="Arial" w:hAnsi="Arial" w:cs="Arial"/>
        </w:rPr>
        <w:t xml:space="preserve">The results from Douglas Creek sediments demonstrate how seasonal hydrological cycles exert strong control over physicochemical dynamics in a tropical estuarine environment. The significantly higher levels of total organic carbon (TOC) during the wet season indicate increased terrestrial input from runoff, vegetation, and erosion, consistent with evidence that rainfall-driven flows deliver organic-rich materials to aquatic sediments (Bai, 2019; Hassett, 2021). Such enrichment has important ecological implications because elevated organic matter enhances microbial activity and oxygen demand, often leading to hypoxic </w:t>
      </w:r>
      <w:proofErr w:type="spellStart"/>
      <w:r w:rsidRPr="00286E24">
        <w:rPr>
          <w:rFonts w:ascii="Arial" w:hAnsi="Arial" w:cs="Arial"/>
        </w:rPr>
        <w:t>microzones</w:t>
      </w:r>
      <w:proofErr w:type="spellEnd"/>
      <w:r w:rsidRPr="00286E24">
        <w:rPr>
          <w:rFonts w:ascii="Arial" w:hAnsi="Arial" w:cs="Arial"/>
        </w:rPr>
        <w:t xml:space="preserve"> within sediments (Chapman, 1996; Schlesinger, 2019). A similar pattern was observed in Niger Delta ecosystems where organic inputs during wet periods promoted oxygen stress and increased sediment organic load (Ikpe et al., 2020; </w:t>
      </w:r>
      <w:proofErr w:type="spellStart"/>
      <w:r w:rsidR="00400127" w:rsidRPr="00286E24">
        <w:rPr>
          <w:rFonts w:ascii="Arial" w:hAnsi="Arial" w:cs="Arial"/>
        </w:rPr>
        <w:t>Okpoji</w:t>
      </w:r>
      <w:proofErr w:type="spellEnd"/>
      <w:r w:rsidR="00400127" w:rsidRPr="00286E24">
        <w:rPr>
          <w:rFonts w:ascii="Arial" w:hAnsi="Arial" w:cs="Arial"/>
        </w:rPr>
        <w:t>, et al</w:t>
      </w:r>
      <w:r w:rsidR="00400127">
        <w:rPr>
          <w:rFonts w:ascii="Arial" w:hAnsi="Arial" w:cs="Arial"/>
        </w:rPr>
        <w:t>., 2025</w:t>
      </w:r>
      <w:r w:rsidRPr="00286E24">
        <w:rPr>
          <w:rFonts w:ascii="Arial" w:hAnsi="Arial" w:cs="Arial"/>
        </w:rPr>
        <w:t>).</w:t>
      </w:r>
    </w:p>
    <w:p w14:paraId="1EB5A7B5" w14:textId="7C64A368" w:rsidR="00E26853" w:rsidRPr="00286E24" w:rsidRDefault="00E26853" w:rsidP="00286E24">
      <w:pPr>
        <w:pStyle w:val="NormalWeb"/>
        <w:jc w:val="both"/>
        <w:rPr>
          <w:rFonts w:ascii="Arial" w:hAnsi="Arial" w:cs="Arial"/>
        </w:rPr>
      </w:pPr>
      <w:r w:rsidRPr="00286E24">
        <w:rPr>
          <w:rFonts w:ascii="Arial" w:hAnsi="Arial" w:cs="Arial"/>
        </w:rPr>
        <w:t xml:space="preserve">In addition to organic enrichment, the wet season was marked by elevated magnesium (Mg) and calcium (Ca) concentrations, reflecting enhanced weathering and mineral mobilization from catchments during rainfall events. These results are consistent with studies from arid and semi-arid regions where seasonal inflows elevate sediment mineral concentrations (Breen &amp; Maguire, 2020; Rodriguez &amp; </w:t>
      </w:r>
      <w:proofErr w:type="spellStart"/>
      <w:r w:rsidRPr="00286E24">
        <w:rPr>
          <w:rFonts w:ascii="Arial" w:hAnsi="Arial" w:cs="Arial"/>
        </w:rPr>
        <w:t>Tockner</w:t>
      </w:r>
      <w:proofErr w:type="spellEnd"/>
      <w:r w:rsidRPr="00286E24">
        <w:rPr>
          <w:rFonts w:ascii="Arial" w:hAnsi="Arial" w:cs="Arial"/>
        </w:rPr>
        <w:t xml:space="preserve">, 2020). Mineral </w:t>
      </w:r>
      <w:r w:rsidRPr="00286E24">
        <w:rPr>
          <w:rFonts w:ascii="Arial" w:hAnsi="Arial" w:cs="Arial"/>
        </w:rPr>
        <w:lastRenderedPageBreak/>
        <w:t>influx contributes to ionic strength and sediment buffering capacity, which influence geochemical partitioning and biological responses (Ma et al., 2016). Conversely, nitrate (NO</w:t>
      </w:r>
      <w:r w:rsidRPr="00286E24">
        <w:rPr>
          <w:rFonts w:ascii="Cambria Math" w:hAnsi="Cambria Math" w:cs="Cambria Math"/>
        </w:rPr>
        <w:t>₃⁻</w:t>
      </w:r>
      <w:r w:rsidRPr="00286E24">
        <w:rPr>
          <w:rFonts w:ascii="Arial" w:hAnsi="Arial" w:cs="Arial"/>
        </w:rPr>
        <w:t>) concentrations were significantly higher in the dry season, suggesting that reduced hydrological flushing and evaporative concentration intensified nutrient accumulation</w:t>
      </w:r>
      <w:r w:rsidR="00400127">
        <w:rPr>
          <w:rFonts w:ascii="Arial" w:hAnsi="Arial" w:cs="Arial"/>
        </w:rPr>
        <w:t xml:space="preserve"> (</w:t>
      </w:r>
      <w:proofErr w:type="spellStart"/>
      <w:r w:rsidR="00400127" w:rsidRPr="00286E24">
        <w:rPr>
          <w:rFonts w:ascii="Arial" w:hAnsi="Arial" w:cs="Arial"/>
        </w:rPr>
        <w:t>Okpoji</w:t>
      </w:r>
      <w:proofErr w:type="spellEnd"/>
      <w:r w:rsidR="00400127" w:rsidRPr="00286E24">
        <w:rPr>
          <w:rFonts w:ascii="Arial" w:hAnsi="Arial" w:cs="Arial"/>
        </w:rPr>
        <w:t>, et al</w:t>
      </w:r>
      <w:r w:rsidR="00400127">
        <w:rPr>
          <w:rFonts w:ascii="Arial" w:hAnsi="Arial" w:cs="Arial"/>
        </w:rPr>
        <w:t>., 2025)</w:t>
      </w:r>
      <w:r w:rsidRPr="00286E24">
        <w:rPr>
          <w:rFonts w:ascii="Arial" w:hAnsi="Arial" w:cs="Arial"/>
        </w:rPr>
        <w:t xml:space="preserve">. This trend aligns with findings from low-flow estuaries in Central Africa, where dry-season conditions </w:t>
      </w:r>
      <w:proofErr w:type="spellStart"/>
      <w:r w:rsidRPr="00286E24">
        <w:rPr>
          <w:rFonts w:ascii="Arial" w:hAnsi="Arial" w:cs="Arial"/>
        </w:rPr>
        <w:t>favored</w:t>
      </w:r>
      <w:proofErr w:type="spellEnd"/>
      <w:r w:rsidRPr="00286E24">
        <w:rPr>
          <w:rFonts w:ascii="Arial" w:hAnsi="Arial" w:cs="Arial"/>
        </w:rPr>
        <w:t xml:space="preserve"> nutrient build-up and limited dilution (</w:t>
      </w:r>
      <w:proofErr w:type="spellStart"/>
      <w:r w:rsidRPr="00286E24">
        <w:rPr>
          <w:rFonts w:ascii="Arial" w:hAnsi="Arial" w:cs="Arial"/>
        </w:rPr>
        <w:t>Nienie</w:t>
      </w:r>
      <w:proofErr w:type="spellEnd"/>
      <w:r w:rsidRPr="00286E24">
        <w:rPr>
          <w:rFonts w:ascii="Arial" w:hAnsi="Arial" w:cs="Arial"/>
        </w:rPr>
        <w:t xml:space="preserve"> et al., 2017). Such dynamics are of ecological concern because nitrate-enriched sediments can act as internal nutrient sources during resuspension events, contributing to eutrophication risk (Zhu &amp; Ma, 2020).</w:t>
      </w:r>
    </w:p>
    <w:p w14:paraId="39EF8DD1" w14:textId="77777777" w:rsidR="00E26853" w:rsidRPr="007A5402" w:rsidRDefault="00E26853" w:rsidP="00286E24">
      <w:pPr>
        <w:spacing w:before="100" w:beforeAutospacing="1" w:after="100" w:afterAutospacing="1" w:line="240" w:lineRule="auto"/>
        <w:jc w:val="both"/>
        <w:outlineLvl w:val="2"/>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3.2 Correlation Analysis of Sediment Parameters (Dry Season)</w:t>
      </w:r>
    </w:p>
    <w:p w14:paraId="36205435" w14:textId="299C9639" w:rsidR="00E26853" w:rsidRPr="007A5402" w:rsidRDefault="00E26853" w:rsidP="00286E24">
      <w:pPr>
        <w:spacing w:before="100" w:beforeAutospacing="1" w:after="100" w:afterAutospacing="1" w:line="240" w:lineRule="auto"/>
        <w:jc w:val="both"/>
        <w:rPr>
          <w:rFonts w:ascii="Arial" w:eastAsia="Times New Roman" w:hAnsi="Arial" w:cs="Arial"/>
          <w:sz w:val="24"/>
          <w:szCs w:val="24"/>
          <w:lang w:eastAsia="en-GB"/>
        </w:rPr>
      </w:pPr>
      <w:r w:rsidRPr="007A5402">
        <w:rPr>
          <w:rFonts w:ascii="Arial" w:eastAsia="Times New Roman" w:hAnsi="Arial" w:cs="Arial"/>
          <w:b/>
          <w:bCs/>
          <w:sz w:val="24"/>
          <w:szCs w:val="24"/>
          <w:lang w:eastAsia="en-GB"/>
        </w:rPr>
        <w:t xml:space="preserve">Table </w:t>
      </w:r>
      <w:r w:rsidR="004C1C42">
        <w:rPr>
          <w:rFonts w:ascii="Arial" w:eastAsia="Times New Roman" w:hAnsi="Arial" w:cs="Arial"/>
          <w:b/>
          <w:bCs/>
          <w:sz w:val="24"/>
          <w:szCs w:val="24"/>
          <w:lang w:eastAsia="en-GB"/>
        </w:rPr>
        <w:t>3</w:t>
      </w:r>
      <w:r w:rsidRPr="007A5402">
        <w:rPr>
          <w:rFonts w:ascii="Arial" w:eastAsia="Times New Roman" w:hAnsi="Arial" w:cs="Arial"/>
          <w:b/>
          <w:bCs/>
          <w:sz w:val="24"/>
          <w:szCs w:val="24"/>
          <w:lang w:eastAsia="en-GB"/>
        </w:rPr>
        <w:t>. Pearson correlation matrix of sediment physicochemical parameters (Dry Season)</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560"/>
        <w:gridCol w:w="850"/>
        <w:gridCol w:w="1418"/>
        <w:gridCol w:w="850"/>
        <w:gridCol w:w="709"/>
        <w:gridCol w:w="850"/>
        <w:gridCol w:w="709"/>
      </w:tblGrid>
      <w:tr w:rsidR="00E26853" w:rsidRPr="00286E24" w14:paraId="77A78C42" w14:textId="77777777" w:rsidTr="0079231B">
        <w:trPr>
          <w:tblHeader/>
          <w:tblCellSpacing w:w="15" w:type="dxa"/>
        </w:trPr>
        <w:tc>
          <w:tcPr>
            <w:tcW w:w="1515" w:type="dxa"/>
            <w:vAlign w:val="center"/>
            <w:hideMark/>
          </w:tcPr>
          <w:p w14:paraId="114B4176" w14:textId="77777777" w:rsidR="00E26853" w:rsidRPr="007A5402" w:rsidRDefault="00E26853" w:rsidP="00286E24">
            <w:pPr>
              <w:spacing w:after="0" w:line="240" w:lineRule="auto"/>
              <w:jc w:val="both"/>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Parameter</w:t>
            </w:r>
          </w:p>
        </w:tc>
        <w:tc>
          <w:tcPr>
            <w:tcW w:w="820" w:type="dxa"/>
            <w:vAlign w:val="center"/>
            <w:hideMark/>
          </w:tcPr>
          <w:p w14:paraId="0F1AF4EE" w14:textId="77777777" w:rsidR="00E26853" w:rsidRPr="007A5402" w:rsidRDefault="00E26853" w:rsidP="00286E24">
            <w:pPr>
              <w:spacing w:after="0" w:line="240" w:lineRule="auto"/>
              <w:jc w:val="both"/>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pH</w:t>
            </w:r>
          </w:p>
        </w:tc>
        <w:tc>
          <w:tcPr>
            <w:tcW w:w="1388" w:type="dxa"/>
            <w:vAlign w:val="center"/>
            <w:hideMark/>
          </w:tcPr>
          <w:p w14:paraId="1833169F" w14:textId="77777777" w:rsidR="00E26853" w:rsidRPr="007A5402" w:rsidRDefault="00E26853" w:rsidP="00286E24">
            <w:pPr>
              <w:spacing w:after="0" w:line="240" w:lineRule="auto"/>
              <w:jc w:val="both"/>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EC</w:t>
            </w:r>
          </w:p>
        </w:tc>
        <w:tc>
          <w:tcPr>
            <w:tcW w:w="820" w:type="dxa"/>
            <w:vAlign w:val="center"/>
            <w:hideMark/>
          </w:tcPr>
          <w:p w14:paraId="7AF7822A" w14:textId="77777777" w:rsidR="00E26853" w:rsidRPr="007A5402" w:rsidRDefault="00E26853" w:rsidP="00286E24">
            <w:pPr>
              <w:spacing w:after="0" w:line="240" w:lineRule="auto"/>
              <w:jc w:val="both"/>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Redox</w:t>
            </w:r>
          </w:p>
        </w:tc>
        <w:tc>
          <w:tcPr>
            <w:tcW w:w="679" w:type="dxa"/>
            <w:vAlign w:val="center"/>
            <w:hideMark/>
          </w:tcPr>
          <w:p w14:paraId="04496C23" w14:textId="77777777" w:rsidR="00E26853" w:rsidRPr="007A5402" w:rsidRDefault="00E26853" w:rsidP="00286E24">
            <w:pPr>
              <w:spacing w:after="0" w:line="240" w:lineRule="auto"/>
              <w:jc w:val="both"/>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Na</w:t>
            </w:r>
          </w:p>
        </w:tc>
        <w:tc>
          <w:tcPr>
            <w:tcW w:w="820" w:type="dxa"/>
            <w:vAlign w:val="center"/>
            <w:hideMark/>
          </w:tcPr>
          <w:p w14:paraId="0FC63D54" w14:textId="77777777" w:rsidR="00E26853" w:rsidRPr="007A5402" w:rsidRDefault="00E26853" w:rsidP="00286E24">
            <w:pPr>
              <w:spacing w:after="0" w:line="240" w:lineRule="auto"/>
              <w:jc w:val="both"/>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Ca</w:t>
            </w:r>
          </w:p>
        </w:tc>
        <w:tc>
          <w:tcPr>
            <w:tcW w:w="664" w:type="dxa"/>
            <w:vAlign w:val="center"/>
            <w:hideMark/>
          </w:tcPr>
          <w:p w14:paraId="432B8559" w14:textId="77777777" w:rsidR="00E26853" w:rsidRPr="007A5402" w:rsidRDefault="00E26853" w:rsidP="00286E24">
            <w:pPr>
              <w:spacing w:after="0" w:line="240" w:lineRule="auto"/>
              <w:jc w:val="both"/>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NO</w:t>
            </w:r>
            <w:r w:rsidRPr="007A5402">
              <w:rPr>
                <w:rFonts w:ascii="Cambria Math" w:eastAsia="Times New Roman" w:hAnsi="Cambria Math" w:cs="Cambria Math"/>
                <w:b/>
                <w:bCs/>
                <w:sz w:val="24"/>
                <w:szCs w:val="24"/>
                <w:lang w:eastAsia="en-GB"/>
              </w:rPr>
              <w:t>₃⁻</w:t>
            </w:r>
          </w:p>
        </w:tc>
      </w:tr>
      <w:tr w:rsidR="00E26853" w:rsidRPr="00286E24" w14:paraId="1DE3A5B5" w14:textId="77777777" w:rsidTr="0079231B">
        <w:trPr>
          <w:tblCellSpacing w:w="15" w:type="dxa"/>
        </w:trPr>
        <w:tc>
          <w:tcPr>
            <w:tcW w:w="1515" w:type="dxa"/>
            <w:vAlign w:val="center"/>
            <w:hideMark/>
          </w:tcPr>
          <w:p w14:paraId="71BCB383"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pH</w:t>
            </w:r>
          </w:p>
        </w:tc>
        <w:tc>
          <w:tcPr>
            <w:tcW w:w="820" w:type="dxa"/>
            <w:vAlign w:val="center"/>
            <w:hideMark/>
          </w:tcPr>
          <w:p w14:paraId="6F3FAC63"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1</w:t>
            </w:r>
          </w:p>
        </w:tc>
        <w:tc>
          <w:tcPr>
            <w:tcW w:w="1388" w:type="dxa"/>
            <w:vAlign w:val="center"/>
            <w:hideMark/>
          </w:tcPr>
          <w:p w14:paraId="78C53F48"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820" w:type="dxa"/>
            <w:vAlign w:val="center"/>
            <w:hideMark/>
          </w:tcPr>
          <w:p w14:paraId="4219ADF5"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679" w:type="dxa"/>
            <w:vAlign w:val="center"/>
            <w:hideMark/>
          </w:tcPr>
          <w:p w14:paraId="6E337322"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820" w:type="dxa"/>
            <w:vAlign w:val="center"/>
            <w:hideMark/>
          </w:tcPr>
          <w:p w14:paraId="46D4C51B"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664" w:type="dxa"/>
            <w:vAlign w:val="center"/>
            <w:hideMark/>
          </w:tcPr>
          <w:p w14:paraId="6B9A6A0F"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r>
      <w:tr w:rsidR="00E26853" w:rsidRPr="00286E24" w14:paraId="087FFDB6" w14:textId="77777777" w:rsidTr="0079231B">
        <w:trPr>
          <w:tblCellSpacing w:w="15" w:type="dxa"/>
        </w:trPr>
        <w:tc>
          <w:tcPr>
            <w:tcW w:w="1515" w:type="dxa"/>
            <w:vAlign w:val="center"/>
            <w:hideMark/>
          </w:tcPr>
          <w:p w14:paraId="4158C5BA"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EC</w:t>
            </w:r>
          </w:p>
        </w:tc>
        <w:tc>
          <w:tcPr>
            <w:tcW w:w="820" w:type="dxa"/>
            <w:vAlign w:val="center"/>
            <w:hideMark/>
          </w:tcPr>
          <w:p w14:paraId="05A65A86"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1388" w:type="dxa"/>
            <w:vAlign w:val="center"/>
            <w:hideMark/>
          </w:tcPr>
          <w:p w14:paraId="59EB7403"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1</w:t>
            </w:r>
          </w:p>
        </w:tc>
        <w:tc>
          <w:tcPr>
            <w:tcW w:w="820" w:type="dxa"/>
            <w:vAlign w:val="center"/>
            <w:hideMark/>
          </w:tcPr>
          <w:p w14:paraId="38CE6CCF"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679" w:type="dxa"/>
            <w:vAlign w:val="center"/>
            <w:hideMark/>
          </w:tcPr>
          <w:p w14:paraId="6231133E"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820" w:type="dxa"/>
            <w:vAlign w:val="center"/>
            <w:hideMark/>
          </w:tcPr>
          <w:p w14:paraId="0FBC2DC2"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664" w:type="dxa"/>
            <w:vAlign w:val="center"/>
            <w:hideMark/>
          </w:tcPr>
          <w:p w14:paraId="41342519"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r>
      <w:tr w:rsidR="00E26853" w:rsidRPr="00286E24" w14:paraId="52D5D0CD" w14:textId="77777777" w:rsidTr="0079231B">
        <w:trPr>
          <w:tblCellSpacing w:w="15" w:type="dxa"/>
        </w:trPr>
        <w:tc>
          <w:tcPr>
            <w:tcW w:w="1515" w:type="dxa"/>
            <w:vAlign w:val="center"/>
            <w:hideMark/>
          </w:tcPr>
          <w:p w14:paraId="3134E97D"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Redox</w:t>
            </w:r>
          </w:p>
        </w:tc>
        <w:tc>
          <w:tcPr>
            <w:tcW w:w="820" w:type="dxa"/>
            <w:vAlign w:val="center"/>
            <w:hideMark/>
          </w:tcPr>
          <w:p w14:paraId="55EE26FE"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1388" w:type="dxa"/>
            <w:vAlign w:val="center"/>
            <w:hideMark/>
          </w:tcPr>
          <w:p w14:paraId="2C5ABC29"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820" w:type="dxa"/>
            <w:vAlign w:val="center"/>
            <w:hideMark/>
          </w:tcPr>
          <w:p w14:paraId="2FF13B3A"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1</w:t>
            </w:r>
          </w:p>
        </w:tc>
        <w:tc>
          <w:tcPr>
            <w:tcW w:w="679" w:type="dxa"/>
            <w:vAlign w:val="center"/>
            <w:hideMark/>
          </w:tcPr>
          <w:p w14:paraId="5479DABD"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820" w:type="dxa"/>
            <w:vAlign w:val="center"/>
            <w:hideMark/>
          </w:tcPr>
          <w:p w14:paraId="61C9671D"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664" w:type="dxa"/>
            <w:vAlign w:val="center"/>
            <w:hideMark/>
          </w:tcPr>
          <w:p w14:paraId="0685B74E"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r>
      <w:tr w:rsidR="00E26853" w:rsidRPr="00286E24" w14:paraId="65CC0EDB" w14:textId="77777777" w:rsidTr="0079231B">
        <w:trPr>
          <w:tblCellSpacing w:w="15" w:type="dxa"/>
        </w:trPr>
        <w:tc>
          <w:tcPr>
            <w:tcW w:w="1515" w:type="dxa"/>
            <w:vAlign w:val="center"/>
            <w:hideMark/>
          </w:tcPr>
          <w:p w14:paraId="6FB81B6A"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Na</w:t>
            </w:r>
          </w:p>
        </w:tc>
        <w:tc>
          <w:tcPr>
            <w:tcW w:w="820" w:type="dxa"/>
            <w:vAlign w:val="center"/>
            <w:hideMark/>
          </w:tcPr>
          <w:p w14:paraId="0500B4A3"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0.81*</w:t>
            </w:r>
          </w:p>
        </w:tc>
        <w:tc>
          <w:tcPr>
            <w:tcW w:w="1388" w:type="dxa"/>
            <w:vAlign w:val="center"/>
            <w:hideMark/>
          </w:tcPr>
          <w:p w14:paraId="071E7FE6"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0.72*</w:t>
            </w:r>
          </w:p>
        </w:tc>
        <w:tc>
          <w:tcPr>
            <w:tcW w:w="820" w:type="dxa"/>
            <w:vAlign w:val="center"/>
            <w:hideMark/>
          </w:tcPr>
          <w:p w14:paraId="381D5440"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679" w:type="dxa"/>
            <w:vAlign w:val="center"/>
            <w:hideMark/>
          </w:tcPr>
          <w:p w14:paraId="5835EFD8"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1</w:t>
            </w:r>
          </w:p>
        </w:tc>
        <w:tc>
          <w:tcPr>
            <w:tcW w:w="820" w:type="dxa"/>
            <w:vAlign w:val="center"/>
            <w:hideMark/>
          </w:tcPr>
          <w:p w14:paraId="283F0E15"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664" w:type="dxa"/>
            <w:vAlign w:val="center"/>
            <w:hideMark/>
          </w:tcPr>
          <w:p w14:paraId="160C0297"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r>
      <w:tr w:rsidR="00E26853" w:rsidRPr="00286E24" w14:paraId="7ED5325A" w14:textId="77777777" w:rsidTr="0079231B">
        <w:trPr>
          <w:tblCellSpacing w:w="15" w:type="dxa"/>
        </w:trPr>
        <w:tc>
          <w:tcPr>
            <w:tcW w:w="1515" w:type="dxa"/>
            <w:vAlign w:val="center"/>
            <w:hideMark/>
          </w:tcPr>
          <w:p w14:paraId="6062C3A5"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Ca</w:t>
            </w:r>
          </w:p>
        </w:tc>
        <w:tc>
          <w:tcPr>
            <w:tcW w:w="820" w:type="dxa"/>
            <w:vAlign w:val="center"/>
            <w:hideMark/>
          </w:tcPr>
          <w:p w14:paraId="47F873D9"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1388" w:type="dxa"/>
            <w:vAlign w:val="center"/>
            <w:hideMark/>
          </w:tcPr>
          <w:p w14:paraId="21811CAF"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0.76*</w:t>
            </w:r>
          </w:p>
        </w:tc>
        <w:tc>
          <w:tcPr>
            <w:tcW w:w="820" w:type="dxa"/>
            <w:vAlign w:val="center"/>
            <w:hideMark/>
          </w:tcPr>
          <w:p w14:paraId="713618AC"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679" w:type="dxa"/>
            <w:vAlign w:val="center"/>
            <w:hideMark/>
          </w:tcPr>
          <w:p w14:paraId="435D7A0B"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820" w:type="dxa"/>
            <w:vAlign w:val="center"/>
            <w:hideMark/>
          </w:tcPr>
          <w:p w14:paraId="741FBFB3"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1</w:t>
            </w:r>
          </w:p>
        </w:tc>
        <w:tc>
          <w:tcPr>
            <w:tcW w:w="664" w:type="dxa"/>
            <w:vAlign w:val="center"/>
            <w:hideMark/>
          </w:tcPr>
          <w:p w14:paraId="010A2FB7"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r>
      <w:tr w:rsidR="00E26853" w:rsidRPr="00286E24" w14:paraId="3EDFF1E9" w14:textId="77777777" w:rsidTr="0079231B">
        <w:trPr>
          <w:tblCellSpacing w:w="15" w:type="dxa"/>
        </w:trPr>
        <w:tc>
          <w:tcPr>
            <w:tcW w:w="1515" w:type="dxa"/>
            <w:vAlign w:val="center"/>
            <w:hideMark/>
          </w:tcPr>
          <w:p w14:paraId="53F9B3B6"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NO</w:t>
            </w:r>
            <w:r w:rsidRPr="007A5402">
              <w:rPr>
                <w:rFonts w:ascii="Cambria Math" w:eastAsia="Times New Roman" w:hAnsi="Cambria Math" w:cs="Cambria Math"/>
                <w:sz w:val="24"/>
                <w:szCs w:val="24"/>
                <w:lang w:eastAsia="en-GB"/>
              </w:rPr>
              <w:t>₃⁻</w:t>
            </w:r>
          </w:p>
        </w:tc>
        <w:tc>
          <w:tcPr>
            <w:tcW w:w="820" w:type="dxa"/>
            <w:vAlign w:val="center"/>
            <w:hideMark/>
          </w:tcPr>
          <w:p w14:paraId="2D702CA7"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1388" w:type="dxa"/>
            <w:vAlign w:val="center"/>
            <w:hideMark/>
          </w:tcPr>
          <w:p w14:paraId="436DCCD9"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820" w:type="dxa"/>
            <w:vAlign w:val="center"/>
            <w:hideMark/>
          </w:tcPr>
          <w:p w14:paraId="665873ED"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–0.64*</w:t>
            </w:r>
          </w:p>
        </w:tc>
        <w:tc>
          <w:tcPr>
            <w:tcW w:w="679" w:type="dxa"/>
            <w:vAlign w:val="center"/>
            <w:hideMark/>
          </w:tcPr>
          <w:p w14:paraId="6A6435CB"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820" w:type="dxa"/>
            <w:vAlign w:val="center"/>
            <w:hideMark/>
          </w:tcPr>
          <w:p w14:paraId="21709FC3"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664" w:type="dxa"/>
            <w:vAlign w:val="center"/>
            <w:hideMark/>
          </w:tcPr>
          <w:p w14:paraId="78ADCEB5"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1</w:t>
            </w:r>
          </w:p>
        </w:tc>
      </w:tr>
    </w:tbl>
    <w:p w14:paraId="305050BC" w14:textId="77777777" w:rsidR="00E26853" w:rsidRPr="007A5402" w:rsidRDefault="00E26853" w:rsidP="00286E24">
      <w:pPr>
        <w:spacing w:before="100" w:beforeAutospacing="1" w:after="100" w:afterAutospacing="1" w:line="240" w:lineRule="auto"/>
        <w:jc w:val="both"/>
        <w:rPr>
          <w:rFonts w:ascii="Arial" w:eastAsia="Times New Roman" w:hAnsi="Arial" w:cs="Arial"/>
          <w:sz w:val="24"/>
          <w:szCs w:val="24"/>
          <w:lang w:eastAsia="en-GB"/>
        </w:rPr>
      </w:pPr>
      <w:r w:rsidRPr="007A5402">
        <w:rPr>
          <w:rFonts w:ascii="Arial" w:eastAsia="Times New Roman" w:hAnsi="Arial" w:cs="Arial"/>
          <w:i/>
          <w:iCs/>
          <w:sz w:val="24"/>
          <w:szCs w:val="24"/>
          <w:lang w:eastAsia="en-GB"/>
        </w:rPr>
        <w:t>Significant correlations at P &lt; .05</w:t>
      </w:r>
    </w:p>
    <w:p w14:paraId="14361504" w14:textId="77777777" w:rsidR="00E26853" w:rsidRPr="00286E24" w:rsidRDefault="00E26853" w:rsidP="00286E24">
      <w:pPr>
        <w:pStyle w:val="NormalWeb"/>
        <w:jc w:val="both"/>
        <w:rPr>
          <w:rFonts w:ascii="Arial" w:hAnsi="Arial" w:cs="Arial"/>
        </w:rPr>
      </w:pPr>
      <w:r w:rsidRPr="00286E24">
        <w:rPr>
          <w:rFonts w:ascii="Arial" w:hAnsi="Arial" w:cs="Arial"/>
        </w:rPr>
        <w:t xml:space="preserve">The correlation results for the dry season revealed strong ionic and nutrient–redox linkages within Douglas Creek sediments. Sodium (Na) displayed a strong positive correlation with both pH (r = 0.81, P &lt; .05) and electrical conductivity (EC; r = 0.72, P &lt; .05). This indicates that sodium enrichment is a key driver of ionic strength and buffering capacity during low-flow conditions. In estuarine sediments, elevated sodium often originates from saline intrusion or evaporative concentration in the dry season, processes that increase alkalinity and conductivity (Rodriguez &amp; </w:t>
      </w:r>
      <w:proofErr w:type="spellStart"/>
      <w:r w:rsidRPr="00286E24">
        <w:rPr>
          <w:rFonts w:ascii="Arial" w:hAnsi="Arial" w:cs="Arial"/>
        </w:rPr>
        <w:t>Tockner</w:t>
      </w:r>
      <w:proofErr w:type="spellEnd"/>
      <w:r w:rsidRPr="00286E24">
        <w:rPr>
          <w:rFonts w:ascii="Arial" w:hAnsi="Arial" w:cs="Arial"/>
        </w:rPr>
        <w:t>, 2020). The positive correlation with pH suggests that sodium ions contribute to stabilizing sediment acidity, thereby influencing microbial activity and nutrient solubility. Similar findings were reported by Evans et al. (2018) and Williams (2018), who observed sodium-driven buffering in estuaries with reduced freshwater inputs.</w:t>
      </w:r>
    </w:p>
    <w:p w14:paraId="79D0F053" w14:textId="77777777" w:rsidR="00E26853" w:rsidRPr="00286E24" w:rsidRDefault="00E26853" w:rsidP="00286E24">
      <w:pPr>
        <w:pStyle w:val="NormalWeb"/>
        <w:jc w:val="both"/>
        <w:rPr>
          <w:rFonts w:ascii="Arial" w:hAnsi="Arial" w:cs="Arial"/>
        </w:rPr>
      </w:pPr>
      <w:r w:rsidRPr="00286E24">
        <w:rPr>
          <w:rFonts w:ascii="Arial" w:hAnsi="Arial" w:cs="Arial"/>
        </w:rPr>
        <w:t>Calcium (Ca) also correlated significantly with EC (r = 0.76, P &lt; .05), reinforcing the role of divalent cations in controlling sediment ionic balance. Calcium is known to enhance sediment flocculation and to bind with phosphate and carbonate species, thereby influencing nutrient availability (Foster &amp; Brooks, 2018). Its strong relationship with EC highlights the importance of catchment-derived mineral inputs, which persist in sediments during low discharge periods.</w:t>
      </w:r>
    </w:p>
    <w:p w14:paraId="5FA090FE" w14:textId="77777777" w:rsidR="00E26853" w:rsidRPr="00286E24" w:rsidRDefault="00E26853" w:rsidP="00286E24">
      <w:pPr>
        <w:pStyle w:val="NormalWeb"/>
        <w:jc w:val="both"/>
        <w:rPr>
          <w:rFonts w:ascii="Arial" w:hAnsi="Arial" w:cs="Arial"/>
        </w:rPr>
      </w:pPr>
      <w:r w:rsidRPr="00286E24">
        <w:rPr>
          <w:rFonts w:ascii="Arial" w:hAnsi="Arial" w:cs="Arial"/>
        </w:rPr>
        <w:t>A notable feature of the dry-season data is the negative correlation between nitrate (NO</w:t>
      </w:r>
      <w:r w:rsidRPr="00286E24">
        <w:rPr>
          <w:rFonts w:ascii="Cambria Math" w:hAnsi="Cambria Math" w:cs="Cambria Math"/>
        </w:rPr>
        <w:t>₃⁻</w:t>
      </w:r>
      <w:r w:rsidRPr="00286E24">
        <w:rPr>
          <w:rFonts w:ascii="Arial" w:hAnsi="Arial" w:cs="Arial"/>
        </w:rPr>
        <w:t xml:space="preserve">) and redox potential (r = –0.64, P &lt; .05). This inverse relationship suggests that as redox conditions become more reducing, nitrate levels increase, reflecting the accumulation of nutrients under limited oxygen conditions. Such a trend is consistent </w:t>
      </w:r>
      <w:r w:rsidRPr="00286E24">
        <w:rPr>
          <w:rFonts w:ascii="Arial" w:hAnsi="Arial" w:cs="Arial"/>
        </w:rPr>
        <w:lastRenderedPageBreak/>
        <w:t xml:space="preserve">with microbial denitrification pathways, where reducing conditions </w:t>
      </w:r>
      <w:proofErr w:type="spellStart"/>
      <w:r w:rsidRPr="00286E24">
        <w:rPr>
          <w:rFonts w:ascii="Arial" w:hAnsi="Arial" w:cs="Arial"/>
        </w:rPr>
        <w:t>favor</w:t>
      </w:r>
      <w:proofErr w:type="spellEnd"/>
      <w:r w:rsidRPr="00286E24">
        <w:rPr>
          <w:rFonts w:ascii="Arial" w:hAnsi="Arial" w:cs="Arial"/>
        </w:rPr>
        <w:t xml:space="preserve"> nitrate persistence in sediment pore waters (</w:t>
      </w:r>
      <w:proofErr w:type="spellStart"/>
      <w:r w:rsidRPr="00286E24">
        <w:rPr>
          <w:rFonts w:ascii="Arial" w:hAnsi="Arial" w:cs="Arial"/>
        </w:rPr>
        <w:t>Nriagu</w:t>
      </w:r>
      <w:proofErr w:type="spellEnd"/>
      <w:r w:rsidRPr="00286E24">
        <w:rPr>
          <w:rFonts w:ascii="Arial" w:hAnsi="Arial" w:cs="Arial"/>
        </w:rPr>
        <w:t xml:space="preserve"> et al., 2016). This pattern indicates that dry-season nitrate enrichment is not only a result of reduced flushing but also linked to microbial processes driven by low redox status. These correlations imply that dry-season ionic dynamics are dominated by sodium and calcium inputs, which enhance conductivity and buffering, while nitrate enrichment is shaped by both reduced hydrological flushing and microbial redox interactions. Ecologically, these conditions may lead to nutrient stress in benthic communities, altering nitrogen cycling pathways and increasing the potential for eutrophication once nitrate is mobilized into the overlying water column (Zhu &amp; Ma, 2020).</w:t>
      </w:r>
    </w:p>
    <w:p w14:paraId="2DE74F65" w14:textId="77777777" w:rsidR="00E26853" w:rsidRPr="00286E24" w:rsidRDefault="00E26853" w:rsidP="00286E24">
      <w:pPr>
        <w:jc w:val="both"/>
        <w:rPr>
          <w:rFonts w:ascii="Arial" w:hAnsi="Arial" w:cs="Arial"/>
          <w:sz w:val="24"/>
          <w:szCs w:val="24"/>
        </w:rPr>
      </w:pPr>
    </w:p>
    <w:p w14:paraId="1DDD977B" w14:textId="77777777" w:rsidR="00E26853" w:rsidRPr="007A5402" w:rsidRDefault="00E26853" w:rsidP="00286E24">
      <w:pPr>
        <w:spacing w:before="100" w:beforeAutospacing="1" w:after="100" w:afterAutospacing="1" w:line="240" w:lineRule="auto"/>
        <w:jc w:val="both"/>
        <w:outlineLvl w:val="2"/>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3.3 Correlation Analysis of Sediment Parameters (Wet Season)</w:t>
      </w:r>
    </w:p>
    <w:p w14:paraId="59090F97" w14:textId="4EE4ECBD" w:rsidR="00E26853" w:rsidRPr="007A5402" w:rsidRDefault="00E26853" w:rsidP="00286E24">
      <w:pPr>
        <w:spacing w:before="100" w:beforeAutospacing="1" w:after="100" w:afterAutospacing="1" w:line="240" w:lineRule="auto"/>
        <w:jc w:val="both"/>
        <w:rPr>
          <w:rFonts w:ascii="Arial" w:eastAsia="Times New Roman" w:hAnsi="Arial" w:cs="Arial"/>
          <w:sz w:val="24"/>
          <w:szCs w:val="24"/>
          <w:lang w:eastAsia="en-GB"/>
        </w:rPr>
      </w:pPr>
      <w:r w:rsidRPr="007A5402">
        <w:rPr>
          <w:rFonts w:ascii="Arial" w:eastAsia="Times New Roman" w:hAnsi="Arial" w:cs="Arial"/>
          <w:b/>
          <w:bCs/>
          <w:sz w:val="24"/>
          <w:szCs w:val="24"/>
          <w:lang w:eastAsia="en-GB"/>
        </w:rPr>
        <w:t xml:space="preserve">Table </w:t>
      </w:r>
      <w:r w:rsidR="004C1C42">
        <w:rPr>
          <w:rFonts w:ascii="Arial" w:eastAsia="Times New Roman" w:hAnsi="Arial" w:cs="Arial"/>
          <w:b/>
          <w:bCs/>
          <w:sz w:val="24"/>
          <w:szCs w:val="24"/>
          <w:lang w:eastAsia="en-GB"/>
        </w:rPr>
        <w:t>4</w:t>
      </w:r>
      <w:r w:rsidRPr="007A5402">
        <w:rPr>
          <w:rFonts w:ascii="Arial" w:eastAsia="Times New Roman" w:hAnsi="Arial" w:cs="Arial"/>
          <w:b/>
          <w:bCs/>
          <w:sz w:val="24"/>
          <w:szCs w:val="24"/>
          <w:lang w:eastAsia="en-GB"/>
        </w:rPr>
        <w:t>. Pearson correlation matrix of sediment physicochemical parameters (Wet Season)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7"/>
        <w:gridCol w:w="1134"/>
        <w:gridCol w:w="1134"/>
        <w:gridCol w:w="708"/>
        <w:gridCol w:w="1560"/>
      </w:tblGrid>
      <w:tr w:rsidR="00E26853" w:rsidRPr="00286E24" w14:paraId="23A2B73F" w14:textId="77777777" w:rsidTr="0079231B">
        <w:trPr>
          <w:tblHeader/>
          <w:tblCellSpacing w:w="15" w:type="dxa"/>
        </w:trPr>
        <w:tc>
          <w:tcPr>
            <w:tcW w:w="2082" w:type="dxa"/>
            <w:vAlign w:val="center"/>
            <w:hideMark/>
          </w:tcPr>
          <w:p w14:paraId="4BA7FFC0" w14:textId="77777777" w:rsidR="00E26853" w:rsidRPr="007A5402" w:rsidRDefault="00E26853" w:rsidP="00286E24">
            <w:pPr>
              <w:spacing w:after="0" w:line="240" w:lineRule="auto"/>
              <w:jc w:val="both"/>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Parameter</w:t>
            </w:r>
          </w:p>
        </w:tc>
        <w:tc>
          <w:tcPr>
            <w:tcW w:w="1104" w:type="dxa"/>
            <w:vAlign w:val="center"/>
            <w:hideMark/>
          </w:tcPr>
          <w:p w14:paraId="070B582C" w14:textId="77777777" w:rsidR="00E26853" w:rsidRPr="007A5402" w:rsidRDefault="00E26853" w:rsidP="00286E24">
            <w:pPr>
              <w:spacing w:after="0" w:line="240" w:lineRule="auto"/>
              <w:jc w:val="both"/>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pH</w:t>
            </w:r>
          </w:p>
        </w:tc>
        <w:tc>
          <w:tcPr>
            <w:tcW w:w="1104" w:type="dxa"/>
            <w:vAlign w:val="center"/>
            <w:hideMark/>
          </w:tcPr>
          <w:p w14:paraId="59424748" w14:textId="77777777" w:rsidR="00E26853" w:rsidRPr="007A5402" w:rsidRDefault="00E26853" w:rsidP="00286E24">
            <w:pPr>
              <w:spacing w:after="0" w:line="240" w:lineRule="auto"/>
              <w:jc w:val="both"/>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EC</w:t>
            </w:r>
          </w:p>
        </w:tc>
        <w:tc>
          <w:tcPr>
            <w:tcW w:w="678" w:type="dxa"/>
            <w:vAlign w:val="center"/>
            <w:hideMark/>
          </w:tcPr>
          <w:p w14:paraId="5EB570F1" w14:textId="77777777" w:rsidR="00E26853" w:rsidRPr="007A5402" w:rsidRDefault="00E26853" w:rsidP="00286E24">
            <w:pPr>
              <w:spacing w:after="0" w:line="240" w:lineRule="auto"/>
              <w:jc w:val="both"/>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Na</w:t>
            </w:r>
          </w:p>
        </w:tc>
        <w:tc>
          <w:tcPr>
            <w:tcW w:w="1515" w:type="dxa"/>
            <w:vAlign w:val="center"/>
            <w:hideMark/>
          </w:tcPr>
          <w:p w14:paraId="71BABAF2" w14:textId="77777777" w:rsidR="00E26853" w:rsidRPr="007A5402" w:rsidRDefault="00E26853" w:rsidP="00286E24">
            <w:pPr>
              <w:spacing w:after="0" w:line="240" w:lineRule="auto"/>
              <w:jc w:val="both"/>
              <w:rPr>
                <w:rFonts w:ascii="Arial" w:eastAsia="Times New Roman" w:hAnsi="Arial" w:cs="Arial"/>
                <w:b/>
                <w:bCs/>
                <w:sz w:val="24"/>
                <w:szCs w:val="24"/>
                <w:lang w:eastAsia="en-GB"/>
              </w:rPr>
            </w:pPr>
            <w:r w:rsidRPr="007A5402">
              <w:rPr>
                <w:rFonts w:ascii="Arial" w:eastAsia="Times New Roman" w:hAnsi="Arial" w:cs="Arial"/>
                <w:b/>
                <w:bCs/>
                <w:sz w:val="24"/>
                <w:szCs w:val="24"/>
                <w:lang w:eastAsia="en-GB"/>
              </w:rPr>
              <w:t>Ca</w:t>
            </w:r>
          </w:p>
        </w:tc>
      </w:tr>
      <w:tr w:rsidR="00E26853" w:rsidRPr="00286E24" w14:paraId="4D495472" w14:textId="77777777" w:rsidTr="0079231B">
        <w:trPr>
          <w:tblCellSpacing w:w="15" w:type="dxa"/>
        </w:trPr>
        <w:tc>
          <w:tcPr>
            <w:tcW w:w="2082" w:type="dxa"/>
            <w:vAlign w:val="center"/>
            <w:hideMark/>
          </w:tcPr>
          <w:p w14:paraId="345CC3EE"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pH</w:t>
            </w:r>
          </w:p>
        </w:tc>
        <w:tc>
          <w:tcPr>
            <w:tcW w:w="1104" w:type="dxa"/>
            <w:vAlign w:val="center"/>
            <w:hideMark/>
          </w:tcPr>
          <w:p w14:paraId="65D54558"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1</w:t>
            </w:r>
          </w:p>
        </w:tc>
        <w:tc>
          <w:tcPr>
            <w:tcW w:w="1104" w:type="dxa"/>
            <w:vAlign w:val="center"/>
            <w:hideMark/>
          </w:tcPr>
          <w:p w14:paraId="41D2308A"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678" w:type="dxa"/>
            <w:vAlign w:val="center"/>
            <w:hideMark/>
          </w:tcPr>
          <w:p w14:paraId="379CE35E"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1515" w:type="dxa"/>
            <w:vAlign w:val="center"/>
            <w:hideMark/>
          </w:tcPr>
          <w:p w14:paraId="18CB60B2"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r>
      <w:tr w:rsidR="00E26853" w:rsidRPr="00286E24" w14:paraId="09C2F59F" w14:textId="77777777" w:rsidTr="0079231B">
        <w:trPr>
          <w:tblCellSpacing w:w="15" w:type="dxa"/>
        </w:trPr>
        <w:tc>
          <w:tcPr>
            <w:tcW w:w="2082" w:type="dxa"/>
            <w:vAlign w:val="center"/>
            <w:hideMark/>
          </w:tcPr>
          <w:p w14:paraId="113973B5"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EC</w:t>
            </w:r>
          </w:p>
        </w:tc>
        <w:tc>
          <w:tcPr>
            <w:tcW w:w="1104" w:type="dxa"/>
            <w:vAlign w:val="center"/>
            <w:hideMark/>
          </w:tcPr>
          <w:p w14:paraId="64189582"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1104" w:type="dxa"/>
            <w:vAlign w:val="center"/>
            <w:hideMark/>
          </w:tcPr>
          <w:p w14:paraId="1E2C8341"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1</w:t>
            </w:r>
          </w:p>
        </w:tc>
        <w:tc>
          <w:tcPr>
            <w:tcW w:w="678" w:type="dxa"/>
            <w:vAlign w:val="center"/>
            <w:hideMark/>
          </w:tcPr>
          <w:p w14:paraId="2CB42516"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1515" w:type="dxa"/>
            <w:vAlign w:val="center"/>
            <w:hideMark/>
          </w:tcPr>
          <w:p w14:paraId="15FF99FB"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r>
      <w:tr w:rsidR="00E26853" w:rsidRPr="00286E24" w14:paraId="5F85A6A6" w14:textId="77777777" w:rsidTr="0079231B">
        <w:trPr>
          <w:tblCellSpacing w:w="15" w:type="dxa"/>
        </w:trPr>
        <w:tc>
          <w:tcPr>
            <w:tcW w:w="2082" w:type="dxa"/>
            <w:vAlign w:val="center"/>
            <w:hideMark/>
          </w:tcPr>
          <w:p w14:paraId="17559A86"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Na</w:t>
            </w:r>
          </w:p>
        </w:tc>
        <w:tc>
          <w:tcPr>
            <w:tcW w:w="1104" w:type="dxa"/>
            <w:vAlign w:val="center"/>
            <w:hideMark/>
          </w:tcPr>
          <w:p w14:paraId="4A15BE47"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0.75*</w:t>
            </w:r>
          </w:p>
        </w:tc>
        <w:tc>
          <w:tcPr>
            <w:tcW w:w="1104" w:type="dxa"/>
            <w:vAlign w:val="center"/>
            <w:hideMark/>
          </w:tcPr>
          <w:p w14:paraId="3F317B17"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0.70*</w:t>
            </w:r>
          </w:p>
        </w:tc>
        <w:tc>
          <w:tcPr>
            <w:tcW w:w="678" w:type="dxa"/>
            <w:vAlign w:val="center"/>
            <w:hideMark/>
          </w:tcPr>
          <w:p w14:paraId="684BFE44"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1</w:t>
            </w:r>
          </w:p>
        </w:tc>
        <w:tc>
          <w:tcPr>
            <w:tcW w:w="1515" w:type="dxa"/>
            <w:vAlign w:val="center"/>
            <w:hideMark/>
          </w:tcPr>
          <w:p w14:paraId="46665989"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r>
      <w:tr w:rsidR="00E26853" w:rsidRPr="00286E24" w14:paraId="6B08BC94" w14:textId="77777777" w:rsidTr="0079231B">
        <w:trPr>
          <w:tblCellSpacing w:w="15" w:type="dxa"/>
        </w:trPr>
        <w:tc>
          <w:tcPr>
            <w:tcW w:w="2082" w:type="dxa"/>
            <w:vAlign w:val="center"/>
            <w:hideMark/>
          </w:tcPr>
          <w:p w14:paraId="25570BE4"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Ca</w:t>
            </w:r>
          </w:p>
        </w:tc>
        <w:tc>
          <w:tcPr>
            <w:tcW w:w="1104" w:type="dxa"/>
            <w:vAlign w:val="center"/>
            <w:hideMark/>
          </w:tcPr>
          <w:p w14:paraId="176FFEA6"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1104" w:type="dxa"/>
            <w:vAlign w:val="center"/>
            <w:hideMark/>
          </w:tcPr>
          <w:p w14:paraId="3E88F175"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0.68*</w:t>
            </w:r>
          </w:p>
        </w:tc>
        <w:tc>
          <w:tcPr>
            <w:tcW w:w="678" w:type="dxa"/>
            <w:vAlign w:val="center"/>
            <w:hideMark/>
          </w:tcPr>
          <w:p w14:paraId="26A3F677" w14:textId="77777777" w:rsidR="00E26853" w:rsidRPr="007A5402" w:rsidRDefault="00E26853" w:rsidP="00286E24">
            <w:pPr>
              <w:spacing w:after="0" w:line="240" w:lineRule="auto"/>
              <w:jc w:val="both"/>
              <w:rPr>
                <w:rFonts w:ascii="Arial" w:eastAsia="Times New Roman" w:hAnsi="Arial" w:cs="Arial"/>
                <w:sz w:val="24"/>
                <w:szCs w:val="24"/>
                <w:lang w:eastAsia="en-GB"/>
              </w:rPr>
            </w:pPr>
          </w:p>
        </w:tc>
        <w:tc>
          <w:tcPr>
            <w:tcW w:w="1515" w:type="dxa"/>
            <w:vAlign w:val="center"/>
            <w:hideMark/>
          </w:tcPr>
          <w:p w14:paraId="7B32E85A" w14:textId="77777777" w:rsidR="00E26853" w:rsidRPr="007A5402" w:rsidRDefault="00E26853" w:rsidP="00286E24">
            <w:pPr>
              <w:spacing w:after="0" w:line="240" w:lineRule="auto"/>
              <w:jc w:val="both"/>
              <w:rPr>
                <w:rFonts w:ascii="Arial" w:eastAsia="Times New Roman" w:hAnsi="Arial" w:cs="Arial"/>
                <w:sz w:val="24"/>
                <w:szCs w:val="24"/>
                <w:lang w:eastAsia="en-GB"/>
              </w:rPr>
            </w:pPr>
            <w:r w:rsidRPr="007A5402">
              <w:rPr>
                <w:rFonts w:ascii="Arial" w:eastAsia="Times New Roman" w:hAnsi="Arial" w:cs="Arial"/>
                <w:sz w:val="24"/>
                <w:szCs w:val="24"/>
                <w:lang w:eastAsia="en-GB"/>
              </w:rPr>
              <w:t>1</w:t>
            </w:r>
          </w:p>
        </w:tc>
      </w:tr>
    </w:tbl>
    <w:p w14:paraId="49376B95" w14:textId="77777777" w:rsidR="00E26853" w:rsidRPr="007A5402" w:rsidRDefault="00E26853" w:rsidP="00286E24">
      <w:pPr>
        <w:spacing w:before="100" w:beforeAutospacing="1" w:after="100" w:afterAutospacing="1" w:line="240" w:lineRule="auto"/>
        <w:jc w:val="both"/>
        <w:rPr>
          <w:rFonts w:ascii="Arial" w:eastAsia="Times New Roman" w:hAnsi="Arial" w:cs="Arial"/>
          <w:sz w:val="24"/>
          <w:szCs w:val="24"/>
          <w:lang w:eastAsia="en-GB"/>
        </w:rPr>
      </w:pPr>
      <w:r w:rsidRPr="007A5402">
        <w:rPr>
          <w:rFonts w:ascii="Arial" w:eastAsia="Times New Roman" w:hAnsi="Arial" w:cs="Arial"/>
          <w:i/>
          <w:iCs/>
          <w:sz w:val="24"/>
          <w:szCs w:val="24"/>
          <w:lang w:eastAsia="en-GB"/>
        </w:rPr>
        <w:t>Significant correlations at P &lt; .05</w:t>
      </w:r>
    </w:p>
    <w:p w14:paraId="6E2709AB" w14:textId="77777777" w:rsidR="00E26853" w:rsidRPr="00286E24" w:rsidRDefault="00E26853" w:rsidP="00286E24">
      <w:pPr>
        <w:pStyle w:val="NormalWeb"/>
        <w:jc w:val="both"/>
        <w:rPr>
          <w:rFonts w:ascii="Arial" w:hAnsi="Arial" w:cs="Arial"/>
        </w:rPr>
      </w:pPr>
      <w:r w:rsidRPr="00286E24">
        <w:rPr>
          <w:rFonts w:ascii="Arial" w:hAnsi="Arial" w:cs="Arial"/>
        </w:rPr>
        <w:t>The wet-season correlation analysis highlighted the dominant influence of mineral influx from rainfall-driven catchment processes on sediment ionic balance. Electrical conductivity (EC) correlated positively with both sodium (Na; r = 0.70, P &lt; .05) and calcium (Ca; r = 0.68, P &lt; .05), reflecting the increased leaching of minerals into the creek during high runoff. These results are consistent with earlier reports from humid tropical estuaries, where seasonal rainfall mobilizes base cations from upstream soils and rocks into aquatic sediments, thereby elevating conductivity (Bai, 2019; Hassett, 2021). The positive association of EC with Na and Ca suggests that these ions are the principal contributors to ionic strength during the wet months.</w:t>
      </w:r>
    </w:p>
    <w:p w14:paraId="6AAADD74" w14:textId="77777777" w:rsidR="00E26853" w:rsidRPr="00286E24" w:rsidRDefault="00E26853" w:rsidP="00286E24">
      <w:pPr>
        <w:pStyle w:val="NormalWeb"/>
        <w:jc w:val="both"/>
        <w:rPr>
          <w:rFonts w:ascii="Arial" w:hAnsi="Arial" w:cs="Arial"/>
        </w:rPr>
      </w:pPr>
      <w:r w:rsidRPr="00286E24">
        <w:rPr>
          <w:rFonts w:ascii="Arial" w:hAnsi="Arial" w:cs="Arial"/>
        </w:rPr>
        <w:t xml:space="preserve">Sodium also exhibited a strong positive correlation with pH (r = 0.75, P &lt; .05), indicating its role in buffering sediment acidity under high discharge conditions. Sodium salts, particularly carbonates and bicarbonates, are known to neutralize acidity and stabilize pH in estuarine sediments (Williams, 2018). This relationship implies that during the wet season, when inputs of organic matter might otherwise increase acidity through microbial respiration, sodium influx helps maintain near-neutral </w:t>
      </w:r>
      <w:proofErr w:type="spellStart"/>
      <w:r w:rsidRPr="00286E24">
        <w:rPr>
          <w:rFonts w:ascii="Arial" w:hAnsi="Arial" w:cs="Arial"/>
        </w:rPr>
        <w:t>pH.</w:t>
      </w:r>
      <w:proofErr w:type="spellEnd"/>
      <w:r w:rsidRPr="00286E24">
        <w:rPr>
          <w:rFonts w:ascii="Arial" w:hAnsi="Arial" w:cs="Arial"/>
        </w:rPr>
        <w:t xml:space="preserve"> Such buffering is ecologically significant, as pH stability supports benthic organisms sensitive to acidic fluctuations (Foster &amp; Brooks, 2018).</w:t>
      </w:r>
    </w:p>
    <w:p w14:paraId="37FEA08E" w14:textId="77777777" w:rsidR="00E26853" w:rsidRPr="00286E24" w:rsidRDefault="00E26853" w:rsidP="00286E24">
      <w:pPr>
        <w:pStyle w:val="NormalWeb"/>
        <w:jc w:val="both"/>
        <w:rPr>
          <w:rFonts w:ascii="Arial" w:hAnsi="Arial" w:cs="Arial"/>
        </w:rPr>
      </w:pPr>
      <w:r w:rsidRPr="00286E24">
        <w:rPr>
          <w:rFonts w:ascii="Arial" w:hAnsi="Arial" w:cs="Arial"/>
        </w:rPr>
        <w:t xml:space="preserve">Calcium’s positive correlation with EC (r = 0.68, P &lt; .05) reinforces its importance in sediment geochemistry. In addition to contributing to ionic strength, calcium plays a critical role in precipitation–dissolution dynamics of carbonate and phosphate minerals, thereby regulating nutrient retention and release (Evans et al., 2018). During </w:t>
      </w:r>
      <w:r w:rsidRPr="00286E24">
        <w:rPr>
          <w:rFonts w:ascii="Arial" w:hAnsi="Arial" w:cs="Arial"/>
        </w:rPr>
        <w:lastRenderedPageBreak/>
        <w:t>the wet season, enhanced calcium inputs likely promote sediment binding of phosphate, limiting its mobility into the water column.</w:t>
      </w:r>
    </w:p>
    <w:p w14:paraId="3E623344" w14:textId="77777777" w:rsidR="00E26853" w:rsidRPr="00286E24" w:rsidRDefault="00E26853" w:rsidP="00286E24">
      <w:pPr>
        <w:pStyle w:val="NormalWeb"/>
        <w:jc w:val="both"/>
        <w:rPr>
          <w:rFonts w:ascii="Arial" w:hAnsi="Arial" w:cs="Arial"/>
        </w:rPr>
      </w:pPr>
      <w:r w:rsidRPr="00286E24">
        <w:rPr>
          <w:rFonts w:ascii="Arial" w:hAnsi="Arial" w:cs="Arial"/>
        </w:rPr>
        <w:t>Unlike the dry season, nitrate (NO</w:t>
      </w:r>
      <w:r w:rsidRPr="00286E24">
        <w:rPr>
          <w:rFonts w:ascii="Cambria Math" w:hAnsi="Cambria Math" w:cs="Cambria Math"/>
        </w:rPr>
        <w:t>₃⁻</w:t>
      </w:r>
      <w:r w:rsidRPr="00286E24">
        <w:rPr>
          <w:rFonts w:ascii="Arial" w:hAnsi="Arial" w:cs="Arial"/>
        </w:rPr>
        <w:t xml:space="preserve">) showed no significant correlations in the wet period, likely due to dilution from increased flushing and rapid microbial turnover. This observation aligns with reports from other Niger Delta estuaries, where rainfall reduces nutrient concentrations through enhanced discharge (Ikpe et al., 2020; </w:t>
      </w:r>
      <w:proofErr w:type="spellStart"/>
      <w:r w:rsidRPr="00286E24">
        <w:rPr>
          <w:rFonts w:ascii="Arial" w:hAnsi="Arial" w:cs="Arial"/>
        </w:rPr>
        <w:t>Okpoji</w:t>
      </w:r>
      <w:proofErr w:type="spellEnd"/>
      <w:r w:rsidRPr="00286E24">
        <w:rPr>
          <w:rFonts w:ascii="Arial" w:hAnsi="Arial" w:cs="Arial"/>
        </w:rPr>
        <w:t xml:space="preserve"> et al., 2025). The lack of nitrate associations underscores the dominance of mineral rather than nutrient controls on wet-season sediment chemistry.</w:t>
      </w:r>
    </w:p>
    <w:p w14:paraId="58557CB6" w14:textId="77777777" w:rsidR="00E26853" w:rsidRPr="00286E24" w:rsidRDefault="00E26853" w:rsidP="00286E24">
      <w:pPr>
        <w:pStyle w:val="NormalWeb"/>
        <w:jc w:val="both"/>
        <w:rPr>
          <w:rFonts w:ascii="Arial" w:hAnsi="Arial" w:cs="Arial"/>
        </w:rPr>
      </w:pPr>
      <w:r w:rsidRPr="00286E24">
        <w:rPr>
          <w:rFonts w:ascii="Arial" w:hAnsi="Arial" w:cs="Arial"/>
        </w:rPr>
        <w:t xml:space="preserve">The wet-season correlation structure suggests that mineral leaching and ionic buffering processes, rather than nutrient accumulation, govern sediment quality. These conditions may temporarily reduce eutrophication risk by dispersing nitrate, while simultaneously influencing nutrient cycling through Ca-mediated phosphate retention. This pattern mirrors global findings in rainfall-dominated estuarine systems (Rodriguez &amp; </w:t>
      </w:r>
      <w:proofErr w:type="spellStart"/>
      <w:r w:rsidRPr="00286E24">
        <w:rPr>
          <w:rFonts w:ascii="Arial" w:hAnsi="Arial" w:cs="Arial"/>
        </w:rPr>
        <w:t>Tockner</w:t>
      </w:r>
      <w:proofErr w:type="spellEnd"/>
      <w:r w:rsidRPr="00286E24">
        <w:rPr>
          <w:rFonts w:ascii="Arial" w:hAnsi="Arial" w:cs="Arial"/>
        </w:rPr>
        <w:t>, 2020; Breen &amp; Maguire, 2020), reinforcing the central role of hydrological forcing in shaping sediment geochemistry.</w:t>
      </w:r>
    </w:p>
    <w:p w14:paraId="7F963571" w14:textId="77777777" w:rsidR="00E26853" w:rsidRPr="00286E24" w:rsidRDefault="00E26853" w:rsidP="00286E24">
      <w:pPr>
        <w:pStyle w:val="NormalWeb"/>
        <w:jc w:val="both"/>
        <w:rPr>
          <w:rStyle w:val="Strong"/>
          <w:rFonts w:ascii="Arial" w:hAnsi="Arial" w:cs="Arial"/>
        </w:rPr>
      </w:pPr>
    </w:p>
    <w:p w14:paraId="23B6268D" w14:textId="291401CF" w:rsidR="000C596E" w:rsidRPr="00286E24" w:rsidRDefault="00E26853" w:rsidP="00286E24">
      <w:pPr>
        <w:pStyle w:val="NormalWeb"/>
        <w:jc w:val="both"/>
        <w:rPr>
          <w:rStyle w:val="Strong"/>
          <w:rFonts w:ascii="Arial" w:hAnsi="Arial" w:cs="Arial"/>
        </w:rPr>
      </w:pPr>
      <w:r w:rsidRPr="00286E24">
        <w:rPr>
          <w:rStyle w:val="Strong"/>
          <w:rFonts w:ascii="Arial" w:hAnsi="Arial" w:cs="Arial"/>
        </w:rPr>
        <w:t xml:space="preserve">CONCLUSION </w:t>
      </w:r>
    </w:p>
    <w:p w14:paraId="4D9566B7" w14:textId="36CE4EEA" w:rsidR="000C596E" w:rsidRPr="00286E24" w:rsidRDefault="000C596E" w:rsidP="00286E24">
      <w:pPr>
        <w:pStyle w:val="NormalWeb"/>
        <w:jc w:val="both"/>
        <w:rPr>
          <w:rFonts w:ascii="Arial" w:hAnsi="Arial" w:cs="Arial"/>
        </w:rPr>
      </w:pPr>
      <w:r w:rsidRPr="00286E24">
        <w:rPr>
          <w:rFonts w:ascii="Arial" w:hAnsi="Arial" w:cs="Arial"/>
        </w:rPr>
        <w:t>This study demonstrates that sediment quality in Douglas Creek is significantly influenced by seasonal hydrology. Wet-season enrichment of total organic carbon, calcium, and magnesium reflects enhanced catchment input and organic matter deposition, processes that can intensify microbial activity and oxygen demand. Conversely, dry-season dominance of nitrate highlights nutrient concentration and accumulation risks under reduced flushing conditions. Correlation analyses revealed distinct seasonal interactions, with sodium-driven conductivity buffering in the dry season and mineral influx shaping ionic balance in the wet season. These results provide strong evidence that sediments serve as sensitive indicators of both natural hydrological cycles and anthropogenic pressures in the Niger Delta. The patterns observed underscore the ecological vulnerability of Douglas Creek, where nutrient over-enrichment and ionic stress could compromise benthic habitats and water quality. Future work should integrate trace metal and hydrocarbon monitoring, alongside ecological risk assessments, to inform more comprehensive management and policy interventions in the region.</w:t>
      </w:r>
    </w:p>
    <w:p w14:paraId="1D95F19B" w14:textId="77777777" w:rsidR="00E26853" w:rsidRPr="00286E24" w:rsidRDefault="00E26853" w:rsidP="00286E24">
      <w:pPr>
        <w:pStyle w:val="Heading2"/>
        <w:jc w:val="both"/>
        <w:rPr>
          <w:rFonts w:ascii="Arial" w:hAnsi="Arial" w:cs="Arial"/>
          <w:b/>
          <w:bCs/>
          <w:color w:val="auto"/>
          <w:sz w:val="24"/>
          <w:szCs w:val="24"/>
        </w:rPr>
      </w:pPr>
      <w:r w:rsidRPr="00286E24">
        <w:rPr>
          <w:rFonts w:ascii="Arial" w:hAnsi="Arial" w:cs="Arial"/>
          <w:b/>
          <w:bCs/>
          <w:color w:val="auto"/>
          <w:sz w:val="24"/>
          <w:szCs w:val="24"/>
        </w:rPr>
        <w:t>CONSENT</w:t>
      </w:r>
    </w:p>
    <w:p w14:paraId="1C628F9E" w14:textId="77777777" w:rsidR="00E26853" w:rsidRPr="00286E24" w:rsidRDefault="00E26853" w:rsidP="00286E24">
      <w:pPr>
        <w:pStyle w:val="NormalWeb"/>
        <w:jc w:val="both"/>
        <w:rPr>
          <w:rFonts w:ascii="Arial" w:hAnsi="Arial" w:cs="Arial"/>
        </w:rPr>
      </w:pPr>
      <w:r w:rsidRPr="00286E24">
        <w:rPr>
          <w:rFonts w:ascii="Arial" w:hAnsi="Arial" w:cs="Arial"/>
        </w:rPr>
        <w:t>Not applicable.</w:t>
      </w:r>
    </w:p>
    <w:p w14:paraId="0C2C5EBE" w14:textId="77777777" w:rsidR="00E26853" w:rsidRPr="00286E24" w:rsidRDefault="00E26853" w:rsidP="00286E24">
      <w:pPr>
        <w:pStyle w:val="Heading2"/>
        <w:jc w:val="both"/>
        <w:rPr>
          <w:rFonts w:ascii="Arial" w:hAnsi="Arial" w:cs="Arial"/>
          <w:b/>
          <w:bCs/>
          <w:color w:val="auto"/>
          <w:sz w:val="24"/>
          <w:szCs w:val="24"/>
        </w:rPr>
      </w:pPr>
      <w:r w:rsidRPr="00286E24">
        <w:rPr>
          <w:rFonts w:ascii="Arial" w:hAnsi="Arial" w:cs="Arial"/>
          <w:b/>
          <w:bCs/>
          <w:color w:val="auto"/>
          <w:sz w:val="24"/>
          <w:szCs w:val="24"/>
        </w:rPr>
        <w:t>ETHICAL APPROVAL</w:t>
      </w:r>
    </w:p>
    <w:p w14:paraId="1D3B574C" w14:textId="77777777" w:rsidR="00E26853" w:rsidRPr="00286E24" w:rsidRDefault="00E26853" w:rsidP="00286E24">
      <w:pPr>
        <w:pStyle w:val="NormalWeb"/>
        <w:jc w:val="both"/>
        <w:rPr>
          <w:rFonts w:ascii="Arial" w:hAnsi="Arial" w:cs="Arial"/>
        </w:rPr>
      </w:pPr>
      <w:r w:rsidRPr="00286E24">
        <w:rPr>
          <w:rFonts w:ascii="Arial" w:hAnsi="Arial" w:cs="Arial"/>
        </w:rPr>
        <w:t>This study did not involve human participants or experimental animals; therefore, formal ethical approval was not required.</w:t>
      </w:r>
    </w:p>
    <w:p w14:paraId="0ED47CE2" w14:textId="77777777" w:rsidR="001567A6" w:rsidRDefault="001567A6" w:rsidP="00286E24">
      <w:pPr>
        <w:pStyle w:val="NormalWeb"/>
        <w:jc w:val="both"/>
        <w:rPr>
          <w:rStyle w:val="Strong"/>
          <w:rFonts w:ascii="Arial" w:hAnsi="Arial" w:cs="Arial"/>
        </w:rPr>
      </w:pPr>
    </w:p>
    <w:p w14:paraId="6F538D26" w14:textId="77777777" w:rsidR="001567A6" w:rsidRDefault="001567A6" w:rsidP="00286E24">
      <w:pPr>
        <w:pStyle w:val="NormalWeb"/>
        <w:jc w:val="both"/>
        <w:rPr>
          <w:rStyle w:val="Strong"/>
          <w:rFonts w:ascii="Arial" w:hAnsi="Arial" w:cs="Arial"/>
        </w:rPr>
      </w:pPr>
    </w:p>
    <w:p w14:paraId="0D12BB4E" w14:textId="08C7AD64" w:rsidR="00FF43A4" w:rsidRPr="00286E24" w:rsidRDefault="00286E24" w:rsidP="00286E24">
      <w:pPr>
        <w:pStyle w:val="NormalWeb"/>
        <w:jc w:val="both"/>
        <w:rPr>
          <w:rFonts w:ascii="Arial" w:hAnsi="Arial" w:cs="Arial"/>
        </w:rPr>
      </w:pPr>
      <w:r w:rsidRPr="00286E24">
        <w:rPr>
          <w:rStyle w:val="Strong"/>
          <w:rFonts w:ascii="Arial" w:hAnsi="Arial" w:cs="Arial"/>
        </w:rPr>
        <w:lastRenderedPageBreak/>
        <w:t>REFERENCES</w:t>
      </w:r>
    </w:p>
    <w:p w14:paraId="22A86818"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American Public Health Association. (1995). </w:t>
      </w:r>
      <w:r w:rsidRPr="00286E24">
        <w:rPr>
          <w:rStyle w:val="Emphasis"/>
          <w:rFonts w:ascii="Arial" w:hAnsi="Arial" w:cs="Arial"/>
        </w:rPr>
        <w:t>Standard methods for the examination of water and wastewater</w:t>
      </w:r>
      <w:r w:rsidRPr="00286E24">
        <w:rPr>
          <w:rFonts w:ascii="Arial" w:hAnsi="Arial" w:cs="Arial"/>
        </w:rPr>
        <w:t xml:space="preserve"> (19th ed.). APHA.</w:t>
      </w:r>
    </w:p>
    <w:p w14:paraId="31AE2282" w14:textId="77777777" w:rsidR="00FF43A4" w:rsidRPr="00286E24" w:rsidRDefault="00FF43A4" w:rsidP="00286E24">
      <w:pPr>
        <w:pStyle w:val="NormalWeb"/>
        <w:ind w:left="720" w:hanging="720"/>
        <w:jc w:val="both"/>
        <w:rPr>
          <w:rFonts w:ascii="Arial" w:hAnsi="Arial" w:cs="Arial"/>
        </w:rPr>
      </w:pPr>
      <w:proofErr w:type="spellStart"/>
      <w:r w:rsidRPr="00286E24">
        <w:rPr>
          <w:rFonts w:ascii="Arial" w:hAnsi="Arial" w:cs="Arial"/>
        </w:rPr>
        <w:t>Anarado</w:t>
      </w:r>
      <w:proofErr w:type="spellEnd"/>
      <w:r w:rsidRPr="00286E24">
        <w:rPr>
          <w:rFonts w:ascii="Arial" w:hAnsi="Arial" w:cs="Arial"/>
        </w:rPr>
        <w:t xml:space="preserve">, C. J. O., </w:t>
      </w:r>
      <w:proofErr w:type="spellStart"/>
      <w:r w:rsidRPr="00286E24">
        <w:rPr>
          <w:rFonts w:ascii="Arial" w:hAnsi="Arial" w:cs="Arial"/>
        </w:rPr>
        <w:t>Okpoji</w:t>
      </w:r>
      <w:proofErr w:type="spellEnd"/>
      <w:r w:rsidRPr="00286E24">
        <w:rPr>
          <w:rFonts w:ascii="Arial" w:hAnsi="Arial" w:cs="Arial"/>
        </w:rPr>
        <w:t xml:space="preserve">, A. U., &amp; </w:t>
      </w:r>
      <w:proofErr w:type="spellStart"/>
      <w:r w:rsidRPr="00286E24">
        <w:rPr>
          <w:rFonts w:ascii="Arial" w:hAnsi="Arial" w:cs="Arial"/>
        </w:rPr>
        <w:t>Anarado</w:t>
      </w:r>
      <w:proofErr w:type="spellEnd"/>
      <w:r w:rsidRPr="00286E24">
        <w:rPr>
          <w:rFonts w:ascii="Arial" w:hAnsi="Arial" w:cs="Arial"/>
        </w:rPr>
        <w:t xml:space="preserve">, C. E. (2023). Bioaccumulation and health risk assessment of lead, cadmium, arsenic, and mercury in blue crabs found in creeks in Bayelsa State of Niger Delta region of Nigeria. </w:t>
      </w:r>
      <w:r w:rsidRPr="00286E24">
        <w:rPr>
          <w:rStyle w:val="Emphasis"/>
          <w:rFonts w:ascii="Arial" w:hAnsi="Arial" w:cs="Arial"/>
        </w:rPr>
        <w:t>Asian Journal of Environmental &amp; Ecology, 21</w:t>
      </w:r>
      <w:r w:rsidRPr="00286E24">
        <w:rPr>
          <w:rFonts w:ascii="Arial" w:hAnsi="Arial" w:cs="Arial"/>
        </w:rPr>
        <w:t>(4), 46–59.</w:t>
      </w:r>
    </w:p>
    <w:p w14:paraId="006E9B24"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ASTM International. (2016). </w:t>
      </w:r>
      <w:r w:rsidRPr="00286E24">
        <w:rPr>
          <w:rStyle w:val="Emphasis"/>
          <w:rFonts w:ascii="Arial" w:hAnsi="Arial" w:cs="Arial"/>
        </w:rPr>
        <w:t>ASTM D7066 and related standards for petroleum hydrocarbons in water</w:t>
      </w:r>
      <w:r w:rsidRPr="00286E24">
        <w:rPr>
          <w:rFonts w:ascii="Arial" w:hAnsi="Arial" w:cs="Arial"/>
        </w:rPr>
        <w:t>.</w:t>
      </w:r>
    </w:p>
    <w:p w14:paraId="2E425340"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Bai, J. (2019). Seasonal variations in chemical oxygen demand and organic load in arid and semi-arid streams. </w:t>
      </w:r>
      <w:r w:rsidRPr="00286E24">
        <w:rPr>
          <w:rStyle w:val="Emphasis"/>
          <w:rFonts w:ascii="Arial" w:hAnsi="Arial" w:cs="Arial"/>
        </w:rPr>
        <w:t>Water Research, 155,</w:t>
      </w:r>
      <w:r w:rsidRPr="00286E24">
        <w:rPr>
          <w:rFonts w:ascii="Arial" w:hAnsi="Arial" w:cs="Arial"/>
        </w:rPr>
        <w:t xml:space="preserve"> 127–135. </w:t>
      </w:r>
      <w:hyperlink r:id="rId22" w:tgtFrame="_new" w:history="1">
        <w:r w:rsidRPr="00286E24">
          <w:rPr>
            <w:rStyle w:val="Hyperlink"/>
            <w:rFonts w:ascii="Arial" w:eastAsiaTheme="majorEastAsia" w:hAnsi="Arial" w:cs="Arial"/>
            <w:color w:val="auto"/>
          </w:rPr>
          <w:t>https://doi.org/10.1016/j.watres.2019.02.020</w:t>
        </w:r>
      </w:hyperlink>
    </w:p>
    <w:p w14:paraId="4180874E"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Benson, R., Conerly, O. D., Sander, W., Batt, A. L., Boone, J. S., Furlong, E. T., Glassmeyer, S. T., Kolpin, D. W., Mash, H. E., Schenck, K. M., &amp; Simmons, J. E. (2017). Human health screening and public health significance of contaminants of emerging concern detected in public water supplies. </w:t>
      </w:r>
      <w:r w:rsidRPr="00286E24">
        <w:rPr>
          <w:rStyle w:val="Emphasis"/>
          <w:rFonts w:ascii="Arial" w:hAnsi="Arial" w:cs="Arial"/>
        </w:rPr>
        <w:t>Science of the Total Environment, 579,</w:t>
      </w:r>
      <w:r w:rsidRPr="00286E24">
        <w:rPr>
          <w:rFonts w:ascii="Arial" w:hAnsi="Arial" w:cs="Arial"/>
        </w:rPr>
        <w:t xml:space="preserve"> 1643–1648. </w:t>
      </w:r>
      <w:hyperlink r:id="rId23" w:tgtFrame="_new" w:history="1">
        <w:r w:rsidRPr="00286E24">
          <w:rPr>
            <w:rStyle w:val="Hyperlink"/>
            <w:rFonts w:ascii="Arial" w:eastAsiaTheme="majorEastAsia" w:hAnsi="Arial" w:cs="Arial"/>
            <w:color w:val="auto"/>
          </w:rPr>
          <w:t>https://doi.org/10.1016/j.scitotenv.2016.03.146</w:t>
        </w:r>
      </w:hyperlink>
    </w:p>
    <w:p w14:paraId="7AD3A47F"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Breen, J., &amp; Maguire, L. (2020). Chloride concentration variations in arid and semi-arid urban creeks: Seasonal impacts of evaporation and reduced inflow. </w:t>
      </w:r>
      <w:r w:rsidRPr="00286E24">
        <w:rPr>
          <w:rStyle w:val="Emphasis"/>
          <w:rFonts w:ascii="Arial" w:hAnsi="Arial" w:cs="Arial"/>
        </w:rPr>
        <w:t>Environmental Monitoring and Assessment, 192,</w:t>
      </w:r>
      <w:r w:rsidRPr="00286E24">
        <w:rPr>
          <w:rFonts w:ascii="Arial" w:hAnsi="Arial" w:cs="Arial"/>
        </w:rPr>
        <w:t xml:space="preserve"> 553. </w:t>
      </w:r>
      <w:hyperlink r:id="rId24" w:tgtFrame="_new" w:history="1">
        <w:r w:rsidRPr="00286E24">
          <w:rPr>
            <w:rStyle w:val="Hyperlink"/>
            <w:rFonts w:ascii="Arial" w:eastAsiaTheme="majorEastAsia" w:hAnsi="Arial" w:cs="Arial"/>
            <w:color w:val="auto"/>
          </w:rPr>
          <w:t>https://doi.org/10.1007/s10661-020-08565-1</w:t>
        </w:r>
      </w:hyperlink>
    </w:p>
    <w:p w14:paraId="245A8689"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Chapman, D. (1996). </w:t>
      </w:r>
      <w:r w:rsidRPr="00286E24">
        <w:rPr>
          <w:rStyle w:val="Emphasis"/>
          <w:rFonts w:ascii="Arial" w:hAnsi="Arial" w:cs="Arial"/>
        </w:rPr>
        <w:t>Water quality assessments: A guide to the use of biota, sediments, and water in environmental monitoring</w:t>
      </w:r>
      <w:r w:rsidRPr="00286E24">
        <w:rPr>
          <w:rFonts w:ascii="Arial" w:hAnsi="Arial" w:cs="Arial"/>
        </w:rPr>
        <w:t xml:space="preserve"> (2nd ed.). UNESCO/WHO/UNEP.</w:t>
      </w:r>
    </w:p>
    <w:p w14:paraId="3FE80CE9"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Dada, O. J., </w:t>
      </w:r>
      <w:proofErr w:type="spellStart"/>
      <w:r w:rsidRPr="00286E24">
        <w:rPr>
          <w:rFonts w:ascii="Arial" w:hAnsi="Arial" w:cs="Arial"/>
        </w:rPr>
        <w:t>Obadimu</w:t>
      </w:r>
      <w:proofErr w:type="spellEnd"/>
      <w:r w:rsidRPr="00286E24">
        <w:rPr>
          <w:rFonts w:ascii="Arial" w:hAnsi="Arial" w:cs="Arial"/>
        </w:rPr>
        <w:t xml:space="preserve">, C. O., </w:t>
      </w:r>
      <w:proofErr w:type="spellStart"/>
      <w:r w:rsidRPr="00286E24">
        <w:rPr>
          <w:rFonts w:ascii="Arial" w:hAnsi="Arial" w:cs="Arial"/>
        </w:rPr>
        <w:t>Ubuo</w:t>
      </w:r>
      <w:proofErr w:type="spellEnd"/>
      <w:r w:rsidRPr="00286E24">
        <w:rPr>
          <w:rFonts w:ascii="Arial" w:hAnsi="Arial" w:cs="Arial"/>
        </w:rPr>
        <w:t xml:space="preserve">, E. E., &amp; </w:t>
      </w:r>
      <w:proofErr w:type="spellStart"/>
      <w:r w:rsidRPr="00286E24">
        <w:rPr>
          <w:rFonts w:ascii="Arial" w:hAnsi="Arial" w:cs="Arial"/>
        </w:rPr>
        <w:t>Ekwere</w:t>
      </w:r>
      <w:proofErr w:type="spellEnd"/>
      <w:r w:rsidRPr="00286E24">
        <w:rPr>
          <w:rFonts w:ascii="Arial" w:hAnsi="Arial" w:cs="Arial"/>
        </w:rPr>
        <w:t xml:space="preserve">, I. O. (2025). Seasonal variation in some physicochemical parameters of water from Douglas Creek, </w:t>
      </w:r>
      <w:proofErr w:type="spellStart"/>
      <w:r w:rsidRPr="00286E24">
        <w:rPr>
          <w:rFonts w:ascii="Arial" w:hAnsi="Arial" w:cs="Arial"/>
        </w:rPr>
        <w:t>Ibeno</w:t>
      </w:r>
      <w:proofErr w:type="spellEnd"/>
      <w:r w:rsidRPr="00286E24">
        <w:rPr>
          <w:rFonts w:ascii="Arial" w:hAnsi="Arial" w:cs="Arial"/>
        </w:rPr>
        <w:t xml:space="preserve"> LGA, </w:t>
      </w:r>
      <w:proofErr w:type="spellStart"/>
      <w:r w:rsidRPr="00286E24">
        <w:rPr>
          <w:rFonts w:ascii="Arial" w:hAnsi="Arial" w:cs="Arial"/>
        </w:rPr>
        <w:t>Akwa</w:t>
      </w:r>
      <w:proofErr w:type="spellEnd"/>
      <w:r w:rsidRPr="00286E24">
        <w:rPr>
          <w:rFonts w:ascii="Arial" w:hAnsi="Arial" w:cs="Arial"/>
        </w:rPr>
        <w:t xml:space="preserve"> Ibom State. </w:t>
      </w:r>
      <w:r w:rsidRPr="00286E24">
        <w:rPr>
          <w:rStyle w:val="Emphasis"/>
          <w:rFonts w:ascii="Arial" w:hAnsi="Arial" w:cs="Arial"/>
        </w:rPr>
        <w:t>Journal of Environment, Climate, and Ecology, 2</w:t>
      </w:r>
      <w:r w:rsidRPr="00286E24">
        <w:rPr>
          <w:rFonts w:ascii="Arial" w:hAnsi="Arial" w:cs="Arial"/>
        </w:rPr>
        <w:t xml:space="preserve">(2), 44–55. </w:t>
      </w:r>
      <w:hyperlink r:id="rId25" w:tgtFrame="_new" w:history="1">
        <w:r w:rsidRPr="00286E24">
          <w:rPr>
            <w:rStyle w:val="Hyperlink"/>
            <w:rFonts w:ascii="Arial" w:eastAsiaTheme="majorEastAsia" w:hAnsi="Arial" w:cs="Arial"/>
            <w:color w:val="auto"/>
          </w:rPr>
          <w:t>https://doi.org/10.69739/jece.v2i2.976</w:t>
        </w:r>
      </w:hyperlink>
    </w:p>
    <w:p w14:paraId="44442A00"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Evans, M., Frick, C., &amp; Poirier, D. (2018). The effect of chloride on freshwater ecosystems: A comprehensive review. </w:t>
      </w:r>
      <w:r w:rsidRPr="00286E24">
        <w:rPr>
          <w:rStyle w:val="Emphasis"/>
          <w:rFonts w:ascii="Arial" w:hAnsi="Arial" w:cs="Arial"/>
        </w:rPr>
        <w:t>Environmental Reviews, 26</w:t>
      </w:r>
      <w:r w:rsidRPr="00286E24">
        <w:rPr>
          <w:rFonts w:ascii="Arial" w:hAnsi="Arial" w:cs="Arial"/>
        </w:rPr>
        <w:t xml:space="preserve">(2), 152–162. </w:t>
      </w:r>
      <w:hyperlink r:id="rId26" w:tgtFrame="_new" w:history="1">
        <w:r w:rsidRPr="00286E24">
          <w:rPr>
            <w:rStyle w:val="Hyperlink"/>
            <w:rFonts w:ascii="Arial" w:eastAsiaTheme="majorEastAsia" w:hAnsi="Arial" w:cs="Arial"/>
            <w:color w:val="auto"/>
          </w:rPr>
          <w:t>https://doi.org/10.1139/er-2017-0040</w:t>
        </w:r>
      </w:hyperlink>
    </w:p>
    <w:p w14:paraId="060C164C"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Foster, R. C., &amp; Brooks, M. L. (2018). Sediment dynamics and turbidity in low-flow arid streams. </w:t>
      </w:r>
      <w:r w:rsidRPr="00286E24">
        <w:rPr>
          <w:rStyle w:val="Emphasis"/>
          <w:rFonts w:ascii="Arial" w:hAnsi="Arial" w:cs="Arial"/>
        </w:rPr>
        <w:t>Hydrological Processes, 32</w:t>
      </w:r>
      <w:r w:rsidRPr="00286E24">
        <w:rPr>
          <w:rFonts w:ascii="Arial" w:hAnsi="Arial" w:cs="Arial"/>
        </w:rPr>
        <w:t xml:space="preserve">(7), 1120–1132. </w:t>
      </w:r>
      <w:hyperlink r:id="rId27" w:tgtFrame="_new" w:history="1">
        <w:r w:rsidRPr="00286E24">
          <w:rPr>
            <w:rStyle w:val="Hyperlink"/>
            <w:rFonts w:ascii="Arial" w:eastAsiaTheme="majorEastAsia" w:hAnsi="Arial" w:cs="Arial"/>
            <w:color w:val="auto"/>
          </w:rPr>
          <w:t>https://doi.org/10.1002/hyp.11481</w:t>
        </w:r>
      </w:hyperlink>
    </w:p>
    <w:p w14:paraId="18C0225A"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Hach Company. (various years). </w:t>
      </w:r>
      <w:r w:rsidRPr="00286E24">
        <w:rPr>
          <w:rStyle w:val="Emphasis"/>
          <w:rFonts w:ascii="Arial" w:hAnsi="Arial" w:cs="Arial"/>
        </w:rPr>
        <w:t>Hach methods 8000, 8039, 8048, 8051; DR 3900 procedures</w:t>
      </w:r>
      <w:r w:rsidRPr="00286E24">
        <w:rPr>
          <w:rFonts w:ascii="Arial" w:hAnsi="Arial" w:cs="Arial"/>
        </w:rPr>
        <w:t>. Loveland, CO.</w:t>
      </w:r>
    </w:p>
    <w:p w14:paraId="1DF287C7"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lastRenderedPageBreak/>
        <w:t xml:space="preserve">Hassett, B. (2021). Seasonal organic matter dynamics and oxygen demand in semi-arid watersheds. </w:t>
      </w:r>
      <w:r w:rsidRPr="00286E24">
        <w:rPr>
          <w:rStyle w:val="Emphasis"/>
          <w:rFonts w:ascii="Arial" w:hAnsi="Arial" w:cs="Arial"/>
        </w:rPr>
        <w:t>Environmental Monitoring and Assessment, 193,</w:t>
      </w:r>
      <w:r w:rsidRPr="00286E24">
        <w:rPr>
          <w:rFonts w:ascii="Arial" w:hAnsi="Arial" w:cs="Arial"/>
        </w:rPr>
        <w:t xml:space="preserve"> 470. </w:t>
      </w:r>
      <w:hyperlink r:id="rId28" w:tgtFrame="_new" w:history="1">
        <w:r w:rsidRPr="00286E24">
          <w:rPr>
            <w:rStyle w:val="Hyperlink"/>
            <w:rFonts w:ascii="Arial" w:eastAsiaTheme="majorEastAsia" w:hAnsi="Arial" w:cs="Arial"/>
            <w:color w:val="auto"/>
          </w:rPr>
          <w:t>https://doi.org/10.1007/s10661-021-09192-2</w:t>
        </w:r>
      </w:hyperlink>
    </w:p>
    <w:p w14:paraId="7C4F8FCB"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Ikpe, E. E., </w:t>
      </w:r>
      <w:proofErr w:type="spellStart"/>
      <w:r w:rsidRPr="00286E24">
        <w:rPr>
          <w:rFonts w:ascii="Arial" w:hAnsi="Arial" w:cs="Arial"/>
        </w:rPr>
        <w:t>Ekwere</w:t>
      </w:r>
      <w:proofErr w:type="spellEnd"/>
      <w:r w:rsidRPr="00286E24">
        <w:rPr>
          <w:rFonts w:ascii="Arial" w:hAnsi="Arial" w:cs="Arial"/>
        </w:rPr>
        <w:t xml:space="preserve">, I. O., Ukpong, E. G., Effiong, J. O., &amp; Okon, O. E. (2020). Assessment of heavy metals and hydrocarbons in </w:t>
      </w:r>
      <w:r w:rsidRPr="00286E24">
        <w:rPr>
          <w:rStyle w:val="Emphasis"/>
          <w:rFonts w:ascii="Arial" w:hAnsi="Arial" w:cs="Arial"/>
        </w:rPr>
        <w:t>Rhizophora mangle</w:t>
      </w:r>
      <w:r w:rsidRPr="00286E24">
        <w:rPr>
          <w:rFonts w:ascii="Arial" w:hAnsi="Arial" w:cs="Arial"/>
        </w:rPr>
        <w:t xml:space="preserve">, </w:t>
      </w:r>
      <w:r w:rsidRPr="00286E24">
        <w:rPr>
          <w:rStyle w:val="Emphasis"/>
          <w:rFonts w:ascii="Arial" w:hAnsi="Arial" w:cs="Arial"/>
        </w:rPr>
        <w:t>Callinectes sapidus</w:t>
      </w:r>
      <w:r w:rsidRPr="00286E24">
        <w:rPr>
          <w:rFonts w:ascii="Arial" w:hAnsi="Arial" w:cs="Arial"/>
        </w:rPr>
        <w:t>, &amp; sediment in Qua-</w:t>
      </w:r>
      <w:proofErr w:type="spellStart"/>
      <w:r w:rsidRPr="00286E24">
        <w:rPr>
          <w:rFonts w:ascii="Arial" w:hAnsi="Arial" w:cs="Arial"/>
        </w:rPr>
        <w:t>Iboe</w:t>
      </w:r>
      <w:proofErr w:type="spellEnd"/>
      <w:r w:rsidRPr="00286E24">
        <w:rPr>
          <w:rFonts w:ascii="Arial" w:hAnsi="Arial" w:cs="Arial"/>
        </w:rPr>
        <w:t xml:space="preserve"> River, </w:t>
      </w:r>
      <w:proofErr w:type="spellStart"/>
      <w:r w:rsidRPr="00286E24">
        <w:rPr>
          <w:rFonts w:ascii="Arial" w:hAnsi="Arial" w:cs="Arial"/>
        </w:rPr>
        <w:t>Akwa</w:t>
      </w:r>
      <w:proofErr w:type="spellEnd"/>
      <w:r w:rsidRPr="00286E24">
        <w:rPr>
          <w:rFonts w:ascii="Arial" w:hAnsi="Arial" w:cs="Arial"/>
        </w:rPr>
        <w:t xml:space="preserve"> Ibom State, Nigeria (wet and dry seasons). </w:t>
      </w:r>
      <w:r w:rsidRPr="00286E24">
        <w:rPr>
          <w:rStyle w:val="Emphasis"/>
          <w:rFonts w:ascii="Arial" w:hAnsi="Arial" w:cs="Arial"/>
        </w:rPr>
        <w:t>Global Journal of Advanced Engineering Technology and Sciences, 7</w:t>
      </w:r>
      <w:r w:rsidRPr="00286E24">
        <w:rPr>
          <w:rFonts w:ascii="Arial" w:hAnsi="Arial" w:cs="Arial"/>
        </w:rPr>
        <w:t xml:space="preserve">(3). </w:t>
      </w:r>
      <w:hyperlink r:id="rId29" w:tgtFrame="_new" w:history="1">
        <w:r w:rsidRPr="00286E24">
          <w:rPr>
            <w:rStyle w:val="Hyperlink"/>
            <w:rFonts w:ascii="Arial" w:eastAsiaTheme="majorEastAsia" w:hAnsi="Arial" w:cs="Arial"/>
            <w:color w:val="auto"/>
          </w:rPr>
          <w:t>https://doi.org/10.5281/zenodo.3712795</w:t>
        </w:r>
      </w:hyperlink>
    </w:p>
    <w:p w14:paraId="134C48EC"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Ikpe, E. E., </w:t>
      </w:r>
      <w:proofErr w:type="spellStart"/>
      <w:r w:rsidRPr="00286E24">
        <w:rPr>
          <w:rFonts w:ascii="Arial" w:hAnsi="Arial" w:cs="Arial"/>
        </w:rPr>
        <w:t>Etesin</w:t>
      </w:r>
      <w:proofErr w:type="spellEnd"/>
      <w:r w:rsidRPr="00286E24">
        <w:rPr>
          <w:rFonts w:ascii="Arial" w:hAnsi="Arial" w:cs="Arial"/>
        </w:rPr>
        <w:t xml:space="preserve">, U. M., </w:t>
      </w:r>
      <w:proofErr w:type="spellStart"/>
      <w:r w:rsidRPr="00286E24">
        <w:rPr>
          <w:rFonts w:ascii="Arial" w:hAnsi="Arial" w:cs="Arial"/>
        </w:rPr>
        <w:t>Ubuo</w:t>
      </w:r>
      <w:proofErr w:type="spellEnd"/>
      <w:r w:rsidRPr="00286E24">
        <w:rPr>
          <w:rFonts w:ascii="Arial" w:hAnsi="Arial" w:cs="Arial"/>
        </w:rPr>
        <w:t xml:space="preserve">, E. E., &amp; </w:t>
      </w:r>
      <w:proofErr w:type="spellStart"/>
      <w:r w:rsidRPr="00286E24">
        <w:rPr>
          <w:rFonts w:ascii="Arial" w:hAnsi="Arial" w:cs="Arial"/>
        </w:rPr>
        <w:t>Ekwere</w:t>
      </w:r>
      <w:proofErr w:type="spellEnd"/>
      <w:r w:rsidRPr="00286E24">
        <w:rPr>
          <w:rFonts w:ascii="Arial" w:hAnsi="Arial" w:cs="Arial"/>
        </w:rPr>
        <w:t>, I. O. (2023). Bioaccumulation of heavy metals and hydrocarbons in sediment, shell and flesh of the faunas in Qua-</w:t>
      </w:r>
      <w:proofErr w:type="spellStart"/>
      <w:r w:rsidRPr="00286E24">
        <w:rPr>
          <w:rFonts w:ascii="Arial" w:hAnsi="Arial" w:cs="Arial"/>
        </w:rPr>
        <w:t>Iboe</w:t>
      </w:r>
      <w:proofErr w:type="spellEnd"/>
      <w:r w:rsidRPr="00286E24">
        <w:rPr>
          <w:rFonts w:ascii="Arial" w:hAnsi="Arial" w:cs="Arial"/>
        </w:rPr>
        <w:t xml:space="preserve"> River at </w:t>
      </w:r>
      <w:proofErr w:type="spellStart"/>
      <w:r w:rsidRPr="00286E24">
        <w:rPr>
          <w:rFonts w:ascii="Arial" w:hAnsi="Arial" w:cs="Arial"/>
        </w:rPr>
        <w:t>Ibeno</w:t>
      </w:r>
      <w:proofErr w:type="spellEnd"/>
      <w:r w:rsidRPr="00286E24">
        <w:rPr>
          <w:rFonts w:ascii="Arial" w:hAnsi="Arial" w:cs="Arial"/>
        </w:rPr>
        <w:t xml:space="preserve">, Akwa Ibom State, Nigeria (samples collected in dry and wet seasons). </w:t>
      </w:r>
      <w:r w:rsidRPr="00286E24">
        <w:rPr>
          <w:rStyle w:val="Emphasis"/>
          <w:rFonts w:ascii="Arial" w:hAnsi="Arial" w:cs="Arial"/>
        </w:rPr>
        <w:t>Asian Journal of Chemical Sciences, 13</w:t>
      </w:r>
      <w:r w:rsidRPr="00286E24">
        <w:rPr>
          <w:rFonts w:ascii="Arial" w:hAnsi="Arial" w:cs="Arial"/>
        </w:rPr>
        <w:t xml:space="preserve">(6), 71–93. </w:t>
      </w:r>
      <w:hyperlink r:id="rId30" w:tgtFrame="_new" w:history="1">
        <w:r w:rsidRPr="00286E24">
          <w:rPr>
            <w:rStyle w:val="Hyperlink"/>
            <w:rFonts w:ascii="Arial" w:eastAsiaTheme="majorEastAsia" w:hAnsi="Arial" w:cs="Arial"/>
            <w:color w:val="auto"/>
          </w:rPr>
          <w:t>https://doi.org/10.9734/ajocs/2023/v13i6264</w:t>
        </w:r>
      </w:hyperlink>
    </w:p>
    <w:p w14:paraId="7096480B"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Ikpe, E. E., </w:t>
      </w:r>
      <w:proofErr w:type="spellStart"/>
      <w:r w:rsidRPr="00286E24">
        <w:rPr>
          <w:rFonts w:ascii="Arial" w:hAnsi="Arial" w:cs="Arial"/>
        </w:rPr>
        <w:t>Ekwere</w:t>
      </w:r>
      <w:proofErr w:type="spellEnd"/>
      <w:r w:rsidRPr="00286E24">
        <w:rPr>
          <w:rFonts w:ascii="Arial" w:hAnsi="Arial" w:cs="Arial"/>
        </w:rPr>
        <w:t xml:space="preserve">, I. O., Ukpong, E. G., Effiong, J. O., &amp; Okon, O. E. (2019). Evaluation of the levels of heavy metals, total petroleum hydrocarbon and total hydrocarbon content in </w:t>
      </w:r>
      <w:proofErr w:type="spellStart"/>
      <w:r w:rsidRPr="00286E24">
        <w:rPr>
          <w:rStyle w:val="Emphasis"/>
          <w:rFonts w:ascii="Arial" w:hAnsi="Arial" w:cs="Arial"/>
        </w:rPr>
        <w:t>Tympanotonus</w:t>
      </w:r>
      <w:proofErr w:type="spellEnd"/>
      <w:r w:rsidRPr="00286E24">
        <w:rPr>
          <w:rStyle w:val="Emphasis"/>
          <w:rFonts w:ascii="Arial" w:hAnsi="Arial" w:cs="Arial"/>
        </w:rPr>
        <w:t xml:space="preserve"> </w:t>
      </w:r>
      <w:proofErr w:type="spellStart"/>
      <w:r w:rsidRPr="00286E24">
        <w:rPr>
          <w:rStyle w:val="Emphasis"/>
          <w:rFonts w:ascii="Arial" w:hAnsi="Arial" w:cs="Arial"/>
        </w:rPr>
        <w:t>fuscatus</w:t>
      </w:r>
      <w:proofErr w:type="spellEnd"/>
      <w:r w:rsidRPr="00286E24">
        <w:rPr>
          <w:rFonts w:ascii="Arial" w:hAnsi="Arial" w:cs="Arial"/>
        </w:rPr>
        <w:t xml:space="preserve"> and sediment, Qua </w:t>
      </w:r>
      <w:proofErr w:type="spellStart"/>
      <w:r w:rsidRPr="00286E24">
        <w:rPr>
          <w:rFonts w:ascii="Arial" w:hAnsi="Arial" w:cs="Arial"/>
        </w:rPr>
        <w:t>Iboe</w:t>
      </w:r>
      <w:proofErr w:type="spellEnd"/>
      <w:r w:rsidRPr="00286E24">
        <w:rPr>
          <w:rFonts w:ascii="Arial" w:hAnsi="Arial" w:cs="Arial"/>
        </w:rPr>
        <w:t xml:space="preserve"> River, </w:t>
      </w:r>
      <w:proofErr w:type="spellStart"/>
      <w:r w:rsidRPr="00286E24">
        <w:rPr>
          <w:rFonts w:ascii="Arial" w:hAnsi="Arial" w:cs="Arial"/>
        </w:rPr>
        <w:t>Akwa</w:t>
      </w:r>
      <w:proofErr w:type="spellEnd"/>
      <w:r w:rsidRPr="00286E24">
        <w:rPr>
          <w:rFonts w:ascii="Arial" w:hAnsi="Arial" w:cs="Arial"/>
        </w:rPr>
        <w:t xml:space="preserve"> Ibom State, Nigeria (dry vs. wet season comparison). </w:t>
      </w:r>
      <w:r w:rsidRPr="00286E24">
        <w:rPr>
          <w:rStyle w:val="Emphasis"/>
          <w:rFonts w:ascii="Arial" w:hAnsi="Arial" w:cs="Arial"/>
        </w:rPr>
        <w:t>Chemical Science International Journal, 27</w:t>
      </w:r>
      <w:r w:rsidRPr="00286E24">
        <w:rPr>
          <w:rFonts w:ascii="Arial" w:hAnsi="Arial" w:cs="Arial"/>
        </w:rPr>
        <w:t xml:space="preserve">(4), 1–17. </w:t>
      </w:r>
      <w:hyperlink r:id="rId31" w:tgtFrame="_new" w:history="1">
        <w:r w:rsidRPr="00286E24">
          <w:rPr>
            <w:rStyle w:val="Hyperlink"/>
            <w:rFonts w:ascii="Arial" w:eastAsiaTheme="majorEastAsia" w:hAnsi="Arial" w:cs="Arial"/>
            <w:color w:val="auto"/>
          </w:rPr>
          <w:t>https://doi.org/10.9734/CSJI/2019/v27i430121</w:t>
        </w:r>
      </w:hyperlink>
    </w:p>
    <w:p w14:paraId="5056C4AF"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Ite, A. E., Harry, T. A., </w:t>
      </w:r>
      <w:proofErr w:type="spellStart"/>
      <w:r w:rsidRPr="00286E24">
        <w:rPr>
          <w:rFonts w:ascii="Arial" w:hAnsi="Arial" w:cs="Arial"/>
        </w:rPr>
        <w:t>Obadimu</w:t>
      </w:r>
      <w:proofErr w:type="spellEnd"/>
      <w:r w:rsidRPr="00286E24">
        <w:rPr>
          <w:rFonts w:ascii="Arial" w:hAnsi="Arial" w:cs="Arial"/>
        </w:rPr>
        <w:t xml:space="preserve">, C. O., &amp; </w:t>
      </w:r>
      <w:proofErr w:type="spellStart"/>
      <w:r w:rsidRPr="00286E24">
        <w:rPr>
          <w:rFonts w:ascii="Arial" w:hAnsi="Arial" w:cs="Arial"/>
        </w:rPr>
        <w:t>Ekwere</w:t>
      </w:r>
      <w:proofErr w:type="spellEnd"/>
      <w:r w:rsidRPr="00286E24">
        <w:rPr>
          <w:rFonts w:ascii="Arial" w:hAnsi="Arial" w:cs="Arial"/>
        </w:rPr>
        <w:t xml:space="preserve">, I. O. (2019). Comparison of indoor air quality in schools: Urban vs. industrial “oil &amp; gas” zones in Akwa Ibom State – Nigeria (rainy vs. dry seasons). </w:t>
      </w:r>
      <w:r w:rsidRPr="00286E24">
        <w:rPr>
          <w:rStyle w:val="Emphasis"/>
          <w:rFonts w:ascii="Arial" w:hAnsi="Arial" w:cs="Arial"/>
        </w:rPr>
        <w:t>Journal of Environment Pollution and Human Health, 7</w:t>
      </w:r>
      <w:r w:rsidRPr="00286E24">
        <w:rPr>
          <w:rFonts w:ascii="Arial" w:hAnsi="Arial" w:cs="Arial"/>
        </w:rPr>
        <w:t xml:space="preserve">(1), 15–26. </w:t>
      </w:r>
      <w:hyperlink r:id="rId32" w:tgtFrame="_new" w:history="1">
        <w:r w:rsidRPr="00286E24">
          <w:rPr>
            <w:rStyle w:val="Hyperlink"/>
            <w:rFonts w:ascii="Arial" w:eastAsiaTheme="majorEastAsia" w:hAnsi="Arial" w:cs="Arial"/>
            <w:color w:val="auto"/>
          </w:rPr>
          <w:t>https://doi.org/10.12691/jephh-7-1-3</w:t>
        </w:r>
      </w:hyperlink>
    </w:p>
    <w:p w14:paraId="2BC43CA0"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Ma, Y. H., Su, C. L., Liu, W. J., Zhu, Y. P., &amp; Li, J. X. (2016). Identification of </w:t>
      </w:r>
      <w:proofErr w:type="spellStart"/>
      <w:r w:rsidRPr="00286E24">
        <w:rPr>
          <w:rFonts w:ascii="Arial" w:hAnsi="Arial" w:cs="Arial"/>
        </w:rPr>
        <w:t>sulfate</w:t>
      </w:r>
      <w:proofErr w:type="spellEnd"/>
      <w:r w:rsidRPr="00286E24">
        <w:rPr>
          <w:rFonts w:ascii="Arial" w:hAnsi="Arial" w:cs="Arial"/>
        </w:rPr>
        <w:t xml:space="preserve"> sources in the groundwater system of </w:t>
      </w:r>
      <w:proofErr w:type="spellStart"/>
      <w:r w:rsidRPr="00286E24">
        <w:rPr>
          <w:rFonts w:ascii="Arial" w:hAnsi="Arial" w:cs="Arial"/>
        </w:rPr>
        <w:t>Zaozhuang</w:t>
      </w:r>
      <w:proofErr w:type="spellEnd"/>
      <w:r w:rsidRPr="00286E24">
        <w:rPr>
          <w:rFonts w:ascii="Arial" w:hAnsi="Arial" w:cs="Arial"/>
        </w:rPr>
        <w:t xml:space="preserve">: Isotopic and </w:t>
      </w:r>
      <w:proofErr w:type="spellStart"/>
      <w:r w:rsidRPr="00286E24">
        <w:rPr>
          <w:rFonts w:ascii="Arial" w:hAnsi="Arial" w:cs="Arial"/>
        </w:rPr>
        <w:t>hydrochemical</w:t>
      </w:r>
      <w:proofErr w:type="spellEnd"/>
      <w:r w:rsidRPr="00286E24">
        <w:rPr>
          <w:rFonts w:ascii="Arial" w:hAnsi="Arial" w:cs="Arial"/>
        </w:rPr>
        <w:t xml:space="preserve"> evidence. </w:t>
      </w:r>
      <w:r w:rsidRPr="00286E24">
        <w:rPr>
          <w:rStyle w:val="Emphasis"/>
          <w:rFonts w:ascii="Arial" w:hAnsi="Arial" w:cs="Arial"/>
        </w:rPr>
        <w:t>Environmental Science, 37,</w:t>
      </w:r>
      <w:r w:rsidRPr="00286E24">
        <w:rPr>
          <w:rFonts w:ascii="Arial" w:hAnsi="Arial" w:cs="Arial"/>
        </w:rPr>
        <w:t xml:space="preserve"> 4690–4699.</w:t>
      </w:r>
    </w:p>
    <w:p w14:paraId="225691CE"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Nienie, A. B., Sivalingam, P., Laffite, A., </w:t>
      </w:r>
      <w:proofErr w:type="spellStart"/>
      <w:r w:rsidRPr="00286E24">
        <w:rPr>
          <w:rFonts w:ascii="Arial" w:hAnsi="Arial" w:cs="Arial"/>
        </w:rPr>
        <w:t>Ngelinkoto</w:t>
      </w:r>
      <w:proofErr w:type="spellEnd"/>
      <w:r w:rsidRPr="00286E24">
        <w:rPr>
          <w:rFonts w:ascii="Arial" w:hAnsi="Arial" w:cs="Arial"/>
        </w:rPr>
        <w:t xml:space="preserve">, P., </w:t>
      </w:r>
      <w:proofErr w:type="spellStart"/>
      <w:r w:rsidRPr="00286E24">
        <w:rPr>
          <w:rFonts w:ascii="Arial" w:hAnsi="Arial" w:cs="Arial"/>
        </w:rPr>
        <w:t>Otamonga</w:t>
      </w:r>
      <w:proofErr w:type="spellEnd"/>
      <w:r w:rsidRPr="00286E24">
        <w:rPr>
          <w:rFonts w:ascii="Arial" w:hAnsi="Arial" w:cs="Arial"/>
        </w:rPr>
        <w:t xml:space="preserve">, J. P., </w:t>
      </w:r>
      <w:proofErr w:type="spellStart"/>
      <w:r w:rsidRPr="00286E24">
        <w:rPr>
          <w:rFonts w:ascii="Arial" w:hAnsi="Arial" w:cs="Arial"/>
        </w:rPr>
        <w:t>Matand</w:t>
      </w:r>
      <w:proofErr w:type="spellEnd"/>
      <w:r w:rsidRPr="00286E24">
        <w:rPr>
          <w:rFonts w:ascii="Arial" w:hAnsi="Arial" w:cs="Arial"/>
        </w:rPr>
        <w:t xml:space="preserve">, A., Mulaji, C. K., </w:t>
      </w:r>
      <w:proofErr w:type="spellStart"/>
      <w:r w:rsidRPr="00286E24">
        <w:rPr>
          <w:rFonts w:ascii="Arial" w:hAnsi="Arial" w:cs="Arial"/>
        </w:rPr>
        <w:t>Mubedi</w:t>
      </w:r>
      <w:proofErr w:type="spellEnd"/>
      <w:r w:rsidRPr="00286E24">
        <w:rPr>
          <w:rFonts w:ascii="Arial" w:hAnsi="Arial" w:cs="Arial"/>
        </w:rPr>
        <w:t xml:space="preserve">, J. I., Mpiana, P. T., &amp; </w:t>
      </w:r>
      <w:proofErr w:type="spellStart"/>
      <w:r w:rsidRPr="00286E24">
        <w:rPr>
          <w:rFonts w:ascii="Arial" w:hAnsi="Arial" w:cs="Arial"/>
        </w:rPr>
        <w:t>Poté</w:t>
      </w:r>
      <w:proofErr w:type="spellEnd"/>
      <w:r w:rsidRPr="00286E24">
        <w:rPr>
          <w:rFonts w:ascii="Arial" w:hAnsi="Arial" w:cs="Arial"/>
        </w:rPr>
        <w:t xml:space="preserve">, J. (2017). Seasonal variability of water quality by physicochemical indexes and traceable metals in suburban area in </w:t>
      </w:r>
      <w:proofErr w:type="spellStart"/>
      <w:r w:rsidRPr="00286E24">
        <w:rPr>
          <w:rFonts w:ascii="Arial" w:hAnsi="Arial" w:cs="Arial"/>
        </w:rPr>
        <w:t>Kikwit</w:t>
      </w:r>
      <w:proofErr w:type="spellEnd"/>
      <w:r w:rsidRPr="00286E24">
        <w:rPr>
          <w:rFonts w:ascii="Arial" w:hAnsi="Arial" w:cs="Arial"/>
        </w:rPr>
        <w:t xml:space="preserve">, DRC. </w:t>
      </w:r>
      <w:r w:rsidRPr="00286E24">
        <w:rPr>
          <w:rStyle w:val="Emphasis"/>
          <w:rFonts w:ascii="Arial" w:hAnsi="Arial" w:cs="Arial"/>
        </w:rPr>
        <w:t>International Soil and Water Conservation Research, 5</w:t>
      </w:r>
      <w:r w:rsidRPr="00286E24">
        <w:rPr>
          <w:rFonts w:ascii="Arial" w:hAnsi="Arial" w:cs="Arial"/>
        </w:rPr>
        <w:t xml:space="preserve">(2), 158–165. </w:t>
      </w:r>
      <w:hyperlink r:id="rId33" w:tgtFrame="_new" w:history="1">
        <w:r w:rsidRPr="00286E24">
          <w:rPr>
            <w:rStyle w:val="Hyperlink"/>
            <w:rFonts w:ascii="Arial" w:eastAsiaTheme="majorEastAsia" w:hAnsi="Arial" w:cs="Arial"/>
            <w:color w:val="auto"/>
          </w:rPr>
          <w:t>https://doi.org/10.1016/j.iswcr.2017.02.002</w:t>
        </w:r>
      </w:hyperlink>
    </w:p>
    <w:p w14:paraId="6E2450D8" w14:textId="77777777" w:rsidR="00FF43A4" w:rsidRPr="00286E24" w:rsidRDefault="00FF43A4" w:rsidP="00286E24">
      <w:pPr>
        <w:pStyle w:val="NormalWeb"/>
        <w:ind w:left="720" w:hanging="720"/>
        <w:jc w:val="both"/>
        <w:rPr>
          <w:rFonts w:ascii="Arial" w:hAnsi="Arial" w:cs="Arial"/>
        </w:rPr>
      </w:pPr>
      <w:proofErr w:type="spellStart"/>
      <w:r w:rsidRPr="00286E24">
        <w:rPr>
          <w:rFonts w:ascii="Arial" w:hAnsi="Arial" w:cs="Arial"/>
        </w:rPr>
        <w:t>Nriagu</w:t>
      </w:r>
      <w:proofErr w:type="spellEnd"/>
      <w:r w:rsidRPr="00286E24">
        <w:rPr>
          <w:rFonts w:ascii="Arial" w:hAnsi="Arial" w:cs="Arial"/>
        </w:rPr>
        <w:t xml:space="preserve">, J. O., Udofia, E. A., Ekong, I., &amp; </w:t>
      </w:r>
      <w:proofErr w:type="spellStart"/>
      <w:r w:rsidRPr="00286E24">
        <w:rPr>
          <w:rFonts w:ascii="Arial" w:hAnsi="Arial" w:cs="Arial"/>
        </w:rPr>
        <w:t>Ebuk</w:t>
      </w:r>
      <w:proofErr w:type="spellEnd"/>
      <w:r w:rsidRPr="00286E24">
        <w:rPr>
          <w:rFonts w:ascii="Arial" w:hAnsi="Arial" w:cs="Arial"/>
        </w:rPr>
        <w:t xml:space="preserve">, G. (2016). Health risks associated with oil pollution in the Niger Delta, Nigeria. </w:t>
      </w:r>
      <w:r w:rsidRPr="00286E24">
        <w:rPr>
          <w:rStyle w:val="Emphasis"/>
          <w:rFonts w:ascii="Arial" w:hAnsi="Arial" w:cs="Arial"/>
        </w:rPr>
        <w:t>International Journal of Environmental Research and Public Health, 13</w:t>
      </w:r>
      <w:r w:rsidRPr="00286E24">
        <w:rPr>
          <w:rFonts w:ascii="Arial" w:hAnsi="Arial" w:cs="Arial"/>
        </w:rPr>
        <w:t xml:space="preserve">(3), 346. </w:t>
      </w:r>
      <w:hyperlink r:id="rId34" w:tgtFrame="_new" w:history="1">
        <w:r w:rsidRPr="00286E24">
          <w:rPr>
            <w:rStyle w:val="Hyperlink"/>
            <w:rFonts w:ascii="Arial" w:eastAsiaTheme="majorEastAsia" w:hAnsi="Arial" w:cs="Arial"/>
            <w:color w:val="auto"/>
          </w:rPr>
          <w:t>https://doi.org/10.3390/ijerph13030346</w:t>
        </w:r>
      </w:hyperlink>
    </w:p>
    <w:p w14:paraId="023E537A" w14:textId="77777777" w:rsidR="00FF43A4" w:rsidRPr="00286E24" w:rsidRDefault="00FF43A4" w:rsidP="00286E24">
      <w:pPr>
        <w:pStyle w:val="NormalWeb"/>
        <w:ind w:left="720" w:hanging="720"/>
        <w:jc w:val="both"/>
        <w:rPr>
          <w:rFonts w:ascii="Arial" w:hAnsi="Arial" w:cs="Arial"/>
        </w:rPr>
      </w:pPr>
      <w:proofErr w:type="spellStart"/>
      <w:r w:rsidRPr="00286E24">
        <w:rPr>
          <w:rFonts w:ascii="Arial" w:hAnsi="Arial" w:cs="Arial"/>
        </w:rPr>
        <w:t>Nwilo</w:t>
      </w:r>
      <w:proofErr w:type="spellEnd"/>
      <w:r w:rsidRPr="00286E24">
        <w:rPr>
          <w:rFonts w:ascii="Arial" w:hAnsi="Arial" w:cs="Arial"/>
        </w:rPr>
        <w:t xml:space="preserve">, P. C., &amp; Badejo, O. T. (2005). Oil spill problems and management in the Niger Delta. </w:t>
      </w:r>
      <w:r w:rsidRPr="00286E24">
        <w:rPr>
          <w:rStyle w:val="Emphasis"/>
          <w:rFonts w:ascii="Arial" w:hAnsi="Arial" w:cs="Arial"/>
        </w:rPr>
        <w:t>Proceedings of the International Oil Spill Conference, 2005</w:t>
      </w:r>
      <w:r w:rsidRPr="00286E24">
        <w:rPr>
          <w:rFonts w:ascii="Arial" w:hAnsi="Arial" w:cs="Arial"/>
        </w:rPr>
        <w:t xml:space="preserve">(1), 567–573. </w:t>
      </w:r>
      <w:hyperlink r:id="rId35" w:tgtFrame="_new" w:history="1">
        <w:r w:rsidRPr="00286E24">
          <w:rPr>
            <w:rStyle w:val="Hyperlink"/>
            <w:rFonts w:ascii="Arial" w:eastAsiaTheme="majorEastAsia" w:hAnsi="Arial" w:cs="Arial"/>
            <w:color w:val="auto"/>
          </w:rPr>
          <w:t>https://doi.org/10.7901/2169-3358-2005-1-567</w:t>
        </w:r>
      </w:hyperlink>
    </w:p>
    <w:p w14:paraId="2C151D1A" w14:textId="77777777" w:rsidR="00FF43A4" w:rsidRPr="00286E24" w:rsidRDefault="00FF43A4" w:rsidP="00286E24">
      <w:pPr>
        <w:pStyle w:val="NormalWeb"/>
        <w:ind w:left="720" w:hanging="720"/>
        <w:jc w:val="both"/>
        <w:rPr>
          <w:rFonts w:ascii="Arial" w:hAnsi="Arial" w:cs="Arial"/>
        </w:rPr>
      </w:pPr>
      <w:proofErr w:type="spellStart"/>
      <w:r w:rsidRPr="00286E24">
        <w:rPr>
          <w:rFonts w:ascii="Arial" w:hAnsi="Arial" w:cs="Arial"/>
        </w:rPr>
        <w:t>Okpoji</w:t>
      </w:r>
      <w:proofErr w:type="spellEnd"/>
      <w:r w:rsidRPr="00286E24">
        <w:rPr>
          <w:rFonts w:ascii="Arial" w:hAnsi="Arial" w:cs="Arial"/>
        </w:rPr>
        <w:t xml:space="preserve">, A. U., </w:t>
      </w:r>
      <w:proofErr w:type="spellStart"/>
      <w:r w:rsidRPr="00286E24">
        <w:rPr>
          <w:rFonts w:ascii="Arial" w:hAnsi="Arial" w:cs="Arial"/>
        </w:rPr>
        <w:t>Anarado</w:t>
      </w:r>
      <w:proofErr w:type="spellEnd"/>
      <w:r w:rsidRPr="00286E24">
        <w:rPr>
          <w:rFonts w:ascii="Arial" w:hAnsi="Arial" w:cs="Arial"/>
        </w:rPr>
        <w:t xml:space="preserve">, C. O., </w:t>
      </w:r>
      <w:proofErr w:type="spellStart"/>
      <w:r w:rsidRPr="00286E24">
        <w:rPr>
          <w:rFonts w:ascii="Arial" w:hAnsi="Arial" w:cs="Arial"/>
        </w:rPr>
        <w:t>Mmuta</w:t>
      </w:r>
      <w:proofErr w:type="spellEnd"/>
      <w:r w:rsidRPr="00286E24">
        <w:rPr>
          <w:rFonts w:ascii="Arial" w:hAnsi="Arial" w:cs="Arial"/>
        </w:rPr>
        <w:t xml:space="preserve">, E. C., </w:t>
      </w:r>
      <w:proofErr w:type="spellStart"/>
      <w:r w:rsidRPr="00286E24">
        <w:rPr>
          <w:rFonts w:ascii="Arial" w:hAnsi="Arial" w:cs="Arial"/>
        </w:rPr>
        <w:t>Ekwere</w:t>
      </w:r>
      <w:proofErr w:type="spellEnd"/>
      <w:r w:rsidRPr="00286E24">
        <w:rPr>
          <w:rFonts w:ascii="Arial" w:hAnsi="Arial" w:cs="Arial"/>
        </w:rPr>
        <w:t xml:space="preserve">, I. O., </w:t>
      </w:r>
      <w:proofErr w:type="spellStart"/>
      <w:r w:rsidRPr="00286E24">
        <w:rPr>
          <w:rFonts w:ascii="Arial" w:hAnsi="Arial" w:cs="Arial"/>
        </w:rPr>
        <w:t>Alaekwe</w:t>
      </w:r>
      <w:proofErr w:type="spellEnd"/>
      <w:r w:rsidRPr="00286E24">
        <w:rPr>
          <w:rFonts w:ascii="Arial" w:hAnsi="Arial" w:cs="Arial"/>
        </w:rPr>
        <w:t xml:space="preserve">, I. O., </w:t>
      </w:r>
      <w:proofErr w:type="spellStart"/>
      <w:r w:rsidRPr="00286E24">
        <w:rPr>
          <w:rFonts w:ascii="Arial" w:hAnsi="Arial" w:cs="Arial"/>
        </w:rPr>
        <w:t>Odibo</w:t>
      </w:r>
      <w:proofErr w:type="spellEnd"/>
      <w:r w:rsidRPr="00286E24">
        <w:rPr>
          <w:rFonts w:ascii="Arial" w:hAnsi="Arial" w:cs="Arial"/>
        </w:rPr>
        <w:t xml:space="preserve">, U. E., </w:t>
      </w:r>
      <w:proofErr w:type="spellStart"/>
      <w:r w:rsidRPr="00286E24">
        <w:rPr>
          <w:rFonts w:ascii="Arial" w:hAnsi="Arial" w:cs="Arial"/>
        </w:rPr>
        <w:t>Igwegbe</w:t>
      </w:r>
      <w:proofErr w:type="spellEnd"/>
      <w:r w:rsidRPr="00286E24">
        <w:rPr>
          <w:rFonts w:ascii="Arial" w:hAnsi="Arial" w:cs="Arial"/>
        </w:rPr>
        <w:t xml:space="preserve">, K. C., </w:t>
      </w:r>
      <w:proofErr w:type="spellStart"/>
      <w:r w:rsidRPr="00286E24">
        <w:rPr>
          <w:rFonts w:ascii="Arial" w:hAnsi="Arial" w:cs="Arial"/>
        </w:rPr>
        <w:t>Eboj-Ajoku</w:t>
      </w:r>
      <w:proofErr w:type="spellEnd"/>
      <w:r w:rsidRPr="00286E24">
        <w:rPr>
          <w:rFonts w:ascii="Arial" w:hAnsi="Arial" w:cs="Arial"/>
        </w:rPr>
        <w:t xml:space="preserve">, I. O., &amp; </w:t>
      </w:r>
      <w:proofErr w:type="spellStart"/>
      <w:r w:rsidRPr="00286E24">
        <w:rPr>
          <w:rFonts w:ascii="Arial" w:hAnsi="Arial" w:cs="Arial"/>
        </w:rPr>
        <w:t>Obunezi</w:t>
      </w:r>
      <w:proofErr w:type="spellEnd"/>
      <w:r w:rsidRPr="00286E24">
        <w:rPr>
          <w:rFonts w:ascii="Arial" w:hAnsi="Arial" w:cs="Arial"/>
        </w:rPr>
        <w:t xml:space="preserve">, O. C. (2025). Toxicological evaluation of Pb, Cd, As, and Hg in blue crab from oil-polluted creeks in the </w:t>
      </w:r>
      <w:r w:rsidRPr="00286E24">
        <w:rPr>
          <w:rFonts w:ascii="Arial" w:hAnsi="Arial" w:cs="Arial"/>
        </w:rPr>
        <w:lastRenderedPageBreak/>
        <w:t xml:space="preserve">Niger Delta. </w:t>
      </w:r>
      <w:r w:rsidRPr="00286E24">
        <w:rPr>
          <w:rStyle w:val="Emphasis"/>
          <w:rFonts w:ascii="Arial" w:hAnsi="Arial" w:cs="Arial"/>
        </w:rPr>
        <w:t>Journal of Life Science and Public Health, 1</w:t>
      </w:r>
      <w:r w:rsidRPr="00286E24">
        <w:rPr>
          <w:rFonts w:ascii="Arial" w:hAnsi="Arial" w:cs="Arial"/>
        </w:rPr>
        <w:t xml:space="preserve">(1), 24–31. </w:t>
      </w:r>
      <w:hyperlink r:id="rId36" w:tgtFrame="_new" w:history="1">
        <w:r w:rsidRPr="00286E24">
          <w:rPr>
            <w:rStyle w:val="Hyperlink"/>
            <w:rFonts w:ascii="Arial" w:eastAsiaTheme="majorEastAsia" w:hAnsi="Arial" w:cs="Arial"/>
            <w:color w:val="auto"/>
          </w:rPr>
          <w:t>https://doi.org/10.69739/jlsph.v1i1.879</w:t>
        </w:r>
      </w:hyperlink>
    </w:p>
    <w:p w14:paraId="410A479D" w14:textId="77777777" w:rsidR="00FF43A4" w:rsidRPr="00286E24" w:rsidRDefault="00FF43A4" w:rsidP="00286E24">
      <w:pPr>
        <w:pStyle w:val="NormalWeb"/>
        <w:ind w:left="720" w:hanging="720"/>
        <w:jc w:val="both"/>
        <w:rPr>
          <w:rFonts w:ascii="Arial" w:hAnsi="Arial" w:cs="Arial"/>
        </w:rPr>
      </w:pPr>
      <w:proofErr w:type="spellStart"/>
      <w:r w:rsidRPr="00286E24">
        <w:rPr>
          <w:rFonts w:ascii="Arial" w:hAnsi="Arial" w:cs="Arial"/>
        </w:rPr>
        <w:t>Okpoji</w:t>
      </w:r>
      <w:proofErr w:type="spellEnd"/>
      <w:r w:rsidRPr="00286E24">
        <w:rPr>
          <w:rFonts w:ascii="Arial" w:hAnsi="Arial" w:cs="Arial"/>
        </w:rPr>
        <w:t xml:space="preserve">, A. U., Chinyere, U. E., </w:t>
      </w:r>
      <w:proofErr w:type="spellStart"/>
      <w:r w:rsidRPr="00286E24">
        <w:rPr>
          <w:rFonts w:ascii="Arial" w:hAnsi="Arial" w:cs="Arial"/>
        </w:rPr>
        <w:t>Nwokoye</w:t>
      </w:r>
      <w:proofErr w:type="spellEnd"/>
      <w:r w:rsidRPr="00286E24">
        <w:rPr>
          <w:rFonts w:ascii="Arial" w:hAnsi="Arial" w:cs="Arial"/>
        </w:rPr>
        <w:t xml:space="preserve">, J. N., </w:t>
      </w:r>
      <w:proofErr w:type="spellStart"/>
      <w:r w:rsidRPr="00286E24">
        <w:rPr>
          <w:rFonts w:ascii="Arial" w:hAnsi="Arial" w:cs="Arial"/>
        </w:rPr>
        <w:t>Ezekwuemen</w:t>
      </w:r>
      <w:proofErr w:type="spellEnd"/>
      <w:r w:rsidRPr="00286E24">
        <w:rPr>
          <w:rFonts w:ascii="Arial" w:hAnsi="Arial" w:cs="Arial"/>
        </w:rPr>
        <w:t xml:space="preserve">, O. I., </w:t>
      </w:r>
      <w:proofErr w:type="spellStart"/>
      <w:r w:rsidRPr="00286E24">
        <w:rPr>
          <w:rFonts w:ascii="Arial" w:hAnsi="Arial" w:cs="Arial"/>
        </w:rPr>
        <w:t>Alaekwe</w:t>
      </w:r>
      <w:proofErr w:type="spellEnd"/>
      <w:r w:rsidRPr="00286E24">
        <w:rPr>
          <w:rFonts w:ascii="Arial" w:hAnsi="Arial" w:cs="Arial"/>
        </w:rPr>
        <w:t xml:space="preserve">, I. O., </w:t>
      </w:r>
      <w:proofErr w:type="spellStart"/>
      <w:r w:rsidRPr="00286E24">
        <w:rPr>
          <w:rFonts w:ascii="Arial" w:hAnsi="Arial" w:cs="Arial"/>
        </w:rPr>
        <w:t>Odidika</w:t>
      </w:r>
      <w:proofErr w:type="spellEnd"/>
      <w:r w:rsidRPr="00286E24">
        <w:rPr>
          <w:rFonts w:ascii="Arial" w:hAnsi="Arial" w:cs="Arial"/>
        </w:rPr>
        <w:t xml:space="preserve">, C. C., </w:t>
      </w:r>
      <w:proofErr w:type="spellStart"/>
      <w:r w:rsidRPr="00286E24">
        <w:rPr>
          <w:rFonts w:ascii="Arial" w:hAnsi="Arial" w:cs="Arial"/>
        </w:rPr>
        <w:t>Owughara</w:t>
      </w:r>
      <w:proofErr w:type="spellEnd"/>
      <w:r w:rsidRPr="00286E24">
        <w:rPr>
          <w:rFonts w:ascii="Arial" w:hAnsi="Arial" w:cs="Arial"/>
        </w:rPr>
        <w:t xml:space="preserve">, C. N., Enyi, C. M., &amp; Kolawole, O. O. (2025). Environmental assessment of heavy metals and hydrocarbon pollution in surface waters of oil-bearing communities in Andoni, Rivers State, Nigeria. </w:t>
      </w:r>
      <w:r w:rsidRPr="00286E24">
        <w:rPr>
          <w:rStyle w:val="Emphasis"/>
          <w:rFonts w:ascii="Arial" w:hAnsi="Arial" w:cs="Arial"/>
        </w:rPr>
        <w:t>International Journal of Modern Science and Research Technology, 3</w:t>
      </w:r>
      <w:r w:rsidRPr="00286E24">
        <w:rPr>
          <w:rFonts w:ascii="Arial" w:hAnsi="Arial" w:cs="Arial"/>
        </w:rPr>
        <w:t xml:space="preserve">(8), 22–30. </w:t>
      </w:r>
      <w:hyperlink r:id="rId37" w:tgtFrame="_new" w:history="1">
        <w:r w:rsidRPr="00286E24">
          <w:rPr>
            <w:rStyle w:val="Hyperlink"/>
            <w:rFonts w:ascii="Arial" w:eastAsiaTheme="majorEastAsia" w:hAnsi="Arial" w:cs="Arial"/>
            <w:color w:val="auto"/>
          </w:rPr>
          <w:t>http://www.ijmsrt.com</w:t>
        </w:r>
      </w:hyperlink>
    </w:p>
    <w:p w14:paraId="426A225C" w14:textId="77777777" w:rsidR="00FF43A4" w:rsidRPr="00286E24" w:rsidRDefault="00FF43A4" w:rsidP="00286E24">
      <w:pPr>
        <w:pStyle w:val="NormalWeb"/>
        <w:ind w:left="720" w:hanging="720"/>
        <w:jc w:val="both"/>
        <w:rPr>
          <w:rFonts w:ascii="Arial" w:hAnsi="Arial" w:cs="Arial"/>
        </w:rPr>
      </w:pPr>
      <w:proofErr w:type="spellStart"/>
      <w:r w:rsidRPr="00286E24">
        <w:rPr>
          <w:rFonts w:ascii="Arial" w:hAnsi="Arial" w:cs="Arial"/>
        </w:rPr>
        <w:t>Okpoji</w:t>
      </w:r>
      <w:proofErr w:type="spellEnd"/>
      <w:r w:rsidRPr="00286E24">
        <w:rPr>
          <w:rFonts w:ascii="Arial" w:hAnsi="Arial" w:cs="Arial"/>
        </w:rPr>
        <w:t xml:space="preserve">, A. U., Eboh-Ajoku, I. O., </w:t>
      </w:r>
      <w:proofErr w:type="spellStart"/>
      <w:r w:rsidRPr="00286E24">
        <w:rPr>
          <w:rFonts w:ascii="Arial" w:hAnsi="Arial" w:cs="Arial"/>
        </w:rPr>
        <w:t>Mmuta</w:t>
      </w:r>
      <w:proofErr w:type="spellEnd"/>
      <w:r w:rsidRPr="00286E24">
        <w:rPr>
          <w:rFonts w:ascii="Arial" w:hAnsi="Arial" w:cs="Arial"/>
        </w:rPr>
        <w:t xml:space="preserve">, E. C., Ndubuisi, J. O., </w:t>
      </w:r>
      <w:proofErr w:type="spellStart"/>
      <w:r w:rsidRPr="00286E24">
        <w:rPr>
          <w:rFonts w:ascii="Arial" w:hAnsi="Arial" w:cs="Arial"/>
        </w:rPr>
        <w:t>Alaekwe</w:t>
      </w:r>
      <w:proofErr w:type="spellEnd"/>
      <w:r w:rsidRPr="00286E24">
        <w:rPr>
          <w:rFonts w:ascii="Arial" w:hAnsi="Arial" w:cs="Arial"/>
        </w:rPr>
        <w:t xml:space="preserve">, I. O., </w:t>
      </w:r>
      <w:proofErr w:type="spellStart"/>
      <w:r w:rsidRPr="00286E24">
        <w:rPr>
          <w:rFonts w:ascii="Arial" w:hAnsi="Arial" w:cs="Arial"/>
        </w:rPr>
        <w:t>Odibo</w:t>
      </w:r>
      <w:proofErr w:type="spellEnd"/>
      <w:r w:rsidRPr="00286E24">
        <w:rPr>
          <w:rFonts w:ascii="Arial" w:hAnsi="Arial" w:cs="Arial"/>
        </w:rPr>
        <w:t xml:space="preserve">, U. E., </w:t>
      </w:r>
      <w:proofErr w:type="spellStart"/>
      <w:r w:rsidRPr="00286E24">
        <w:rPr>
          <w:rFonts w:ascii="Arial" w:hAnsi="Arial" w:cs="Arial"/>
        </w:rPr>
        <w:t>Nwoka</w:t>
      </w:r>
      <w:proofErr w:type="spellEnd"/>
      <w:r w:rsidRPr="00286E24">
        <w:rPr>
          <w:rFonts w:ascii="Arial" w:hAnsi="Arial" w:cs="Arial"/>
        </w:rPr>
        <w:t xml:space="preserve">, N. G., Okafor, C. A., &amp; </w:t>
      </w:r>
      <w:proofErr w:type="spellStart"/>
      <w:r w:rsidRPr="00286E24">
        <w:rPr>
          <w:rFonts w:ascii="Arial" w:hAnsi="Arial" w:cs="Arial"/>
        </w:rPr>
        <w:t>Obunezi</w:t>
      </w:r>
      <w:proofErr w:type="spellEnd"/>
      <w:r w:rsidRPr="00286E24">
        <w:rPr>
          <w:rFonts w:ascii="Arial" w:hAnsi="Arial" w:cs="Arial"/>
        </w:rPr>
        <w:t xml:space="preserve">, O. C. (2025). Integrated environmental risk assessment of BTEX and PAHs in water and sediment samples from the Bonny River, Nigeria. </w:t>
      </w:r>
      <w:r w:rsidRPr="00286E24">
        <w:rPr>
          <w:rStyle w:val="Emphasis"/>
          <w:rFonts w:ascii="Arial" w:hAnsi="Arial" w:cs="Arial"/>
        </w:rPr>
        <w:t>ISA Journal of Multidisciplinary, 2</w:t>
      </w:r>
      <w:r w:rsidRPr="00286E24">
        <w:rPr>
          <w:rFonts w:ascii="Arial" w:hAnsi="Arial" w:cs="Arial"/>
        </w:rPr>
        <w:t>(4), 14–21.</w:t>
      </w:r>
    </w:p>
    <w:p w14:paraId="7CB4F278" w14:textId="77777777" w:rsidR="00FF43A4" w:rsidRPr="00286E24" w:rsidRDefault="00FF43A4" w:rsidP="00286E24">
      <w:pPr>
        <w:pStyle w:val="NormalWeb"/>
        <w:ind w:left="720" w:hanging="720"/>
        <w:jc w:val="both"/>
        <w:rPr>
          <w:rFonts w:ascii="Arial" w:hAnsi="Arial" w:cs="Arial"/>
        </w:rPr>
      </w:pPr>
      <w:proofErr w:type="spellStart"/>
      <w:r w:rsidRPr="00286E24">
        <w:rPr>
          <w:rFonts w:ascii="Arial" w:hAnsi="Arial" w:cs="Arial"/>
        </w:rPr>
        <w:t>Okpoji</w:t>
      </w:r>
      <w:proofErr w:type="spellEnd"/>
      <w:r w:rsidRPr="00286E24">
        <w:rPr>
          <w:rFonts w:ascii="Arial" w:hAnsi="Arial" w:cs="Arial"/>
        </w:rPr>
        <w:t xml:space="preserve">, A. U., Emem, J. A., </w:t>
      </w:r>
      <w:proofErr w:type="spellStart"/>
      <w:r w:rsidRPr="00286E24">
        <w:rPr>
          <w:rFonts w:ascii="Arial" w:hAnsi="Arial" w:cs="Arial"/>
        </w:rPr>
        <w:t>Ekwere</w:t>
      </w:r>
      <w:proofErr w:type="spellEnd"/>
      <w:r w:rsidRPr="00286E24">
        <w:rPr>
          <w:rFonts w:ascii="Arial" w:hAnsi="Arial" w:cs="Arial"/>
        </w:rPr>
        <w:t xml:space="preserve">, I. O., </w:t>
      </w:r>
      <w:proofErr w:type="spellStart"/>
      <w:r w:rsidRPr="00286E24">
        <w:rPr>
          <w:rFonts w:ascii="Arial" w:hAnsi="Arial" w:cs="Arial"/>
        </w:rPr>
        <w:t>Odibo</w:t>
      </w:r>
      <w:proofErr w:type="spellEnd"/>
      <w:r w:rsidRPr="00286E24">
        <w:rPr>
          <w:rFonts w:ascii="Arial" w:hAnsi="Arial" w:cs="Arial"/>
        </w:rPr>
        <w:t xml:space="preserve">, U. E., </w:t>
      </w:r>
      <w:proofErr w:type="spellStart"/>
      <w:r w:rsidRPr="00286E24">
        <w:rPr>
          <w:rFonts w:ascii="Arial" w:hAnsi="Arial" w:cs="Arial"/>
        </w:rPr>
        <w:t>Alaekwe</w:t>
      </w:r>
      <w:proofErr w:type="spellEnd"/>
      <w:r w:rsidRPr="00286E24">
        <w:rPr>
          <w:rFonts w:ascii="Arial" w:hAnsi="Arial" w:cs="Arial"/>
        </w:rPr>
        <w:t xml:space="preserve">, I. O., Warder, A. B., &amp; </w:t>
      </w:r>
      <w:proofErr w:type="spellStart"/>
      <w:r w:rsidRPr="00286E24">
        <w:rPr>
          <w:rFonts w:ascii="Arial" w:hAnsi="Arial" w:cs="Arial"/>
        </w:rPr>
        <w:t>Eboj-Ajoku</w:t>
      </w:r>
      <w:proofErr w:type="spellEnd"/>
      <w:r w:rsidRPr="00286E24">
        <w:rPr>
          <w:rFonts w:ascii="Arial" w:hAnsi="Arial" w:cs="Arial"/>
        </w:rPr>
        <w:t xml:space="preserve">, O. I. (2025). Bioaccumulation of nickel, lead, and cadmium in tissues of </w:t>
      </w:r>
      <w:r w:rsidRPr="00286E24">
        <w:rPr>
          <w:rStyle w:val="Emphasis"/>
          <w:rFonts w:ascii="Arial" w:hAnsi="Arial" w:cs="Arial"/>
        </w:rPr>
        <w:t>Callinectes sapidus</w:t>
      </w:r>
      <w:r w:rsidRPr="00286E24">
        <w:rPr>
          <w:rFonts w:ascii="Arial" w:hAnsi="Arial" w:cs="Arial"/>
        </w:rPr>
        <w:t xml:space="preserve"> from the Iko River, Nigeria: Implications for human health risk and environmental safety. </w:t>
      </w:r>
      <w:r w:rsidRPr="00286E24">
        <w:rPr>
          <w:rStyle w:val="Emphasis"/>
          <w:rFonts w:ascii="Arial" w:hAnsi="Arial" w:cs="Arial"/>
        </w:rPr>
        <w:t>Journal of Environment, Climate, and Ecology, 2</w:t>
      </w:r>
      <w:r w:rsidRPr="00286E24">
        <w:rPr>
          <w:rFonts w:ascii="Arial" w:hAnsi="Arial" w:cs="Arial"/>
        </w:rPr>
        <w:t xml:space="preserve">(2), 29–37. </w:t>
      </w:r>
      <w:hyperlink r:id="rId38" w:tgtFrame="_new" w:history="1">
        <w:r w:rsidRPr="00286E24">
          <w:rPr>
            <w:rStyle w:val="Hyperlink"/>
            <w:rFonts w:ascii="Arial" w:eastAsiaTheme="majorEastAsia" w:hAnsi="Arial" w:cs="Arial"/>
            <w:color w:val="auto"/>
          </w:rPr>
          <w:t>https://doi.org/10.69739/jece.v2i2.844</w:t>
        </w:r>
      </w:hyperlink>
    </w:p>
    <w:p w14:paraId="44C6D7A2" w14:textId="77777777" w:rsidR="00FF43A4" w:rsidRPr="00286E24" w:rsidRDefault="00FF43A4" w:rsidP="00286E24">
      <w:pPr>
        <w:pStyle w:val="NormalWeb"/>
        <w:ind w:left="720" w:hanging="720"/>
        <w:jc w:val="both"/>
        <w:rPr>
          <w:rFonts w:ascii="Arial" w:hAnsi="Arial" w:cs="Arial"/>
        </w:rPr>
      </w:pPr>
      <w:proofErr w:type="spellStart"/>
      <w:r w:rsidRPr="00286E24">
        <w:rPr>
          <w:rFonts w:ascii="Arial" w:hAnsi="Arial" w:cs="Arial"/>
        </w:rPr>
        <w:t>Okpoji</w:t>
      </w:r>
      <w:proofErr w:type="spellEnd"/>
      <w:r w:rsidRPr="00286E24">
        <w:rPr>
          <w:rFonts w:ascii="Arial" w:hAnsi="Arial" w:cs="Arial"/>
        </w:rPr>
        <w:t xml:space="preserve">, A. U., Ndubuisi, J. O., Eboh-Ajoku, I. O., Emem, J. A., </w:t>
      </w:r>
      <w:proofErr w:type="spellStart"/>
      <w:r w:rsidRPr="00286E24">
        <w:rPr>
          <w:rFonts w:ascii="Arial" w:hAnsi="Arial" w:cs="Arial"/>
        </w:rPr>
        <w:t>Ekwere</w:t>
      </w:r>
      <w:proofErr w:type="spellEnd"/>
      <w:r w:rsidRPr="00286E24">
        <w:rPr>
          <w:rFonts w:ascii="Arial" w:hAnsi="Arial" w:cs="Arial"/>
        </w:rPr>
        <w:t xml:space="preserve">, I. O., </w:t>
      </w:r>
      <w:proofErr w:type="spellStart"/>
      <w:r w:rsidRPr="00286E24">
        <w:rPr>
          <w:rFonts w:ascii="Arial" w:hAnsi="Arial" w:cs="Arial"/>
        </w:rPr>
        <w:t>Alaekwe</w:t>
      </w:r>
      <w:proofErr w:type="spellEnd"/>
      <w:r w:rsidRPr="00286E24">
        <w:rPr>
          <w:rFonts w:ascii="Arial" w:hAnsi="Arial" w:cs="Arial"/>
        </w:rPr>
        <w:t xml:space="preserve">, I. O., </w:t>
      </w:r>
      <w:proofErr w:type="spellStart"/>
      <w:r w:rsidRPr="00286E24">
        <w:rPr>
          <w:rFonts w:ascii="Arial" w:hAnsi="Arial" w:cs="Arial"/>
        </w:rPr>
        <w:t>Odibo</w:t>
      </w:r>
      <w:proofErr w:type="spellEnd"/>
      <w:r w:rsidRPr="00286E24">
        <w:rPr>
          <w:rFonts w:ascii="Arial" w:hAnsi="Arial" w:cs="Arial"/>
        </w:rPr>
        <w:t xml:space="preserve">, U. E., </w:t>
      </w:r>
      <w:proofErr w:type="spellStart"/>
      <w:r w:rsidRPr="00286E24">
        <w:rPr>
          <w:rFonts w:ascii="Arial" w:hAnsi="Arial" w:cs="Arial"/>
        </w:rPr>
        <w:t>Igwegbe</w:t>
      </w:r>
      <w:proofErr w:type="spellEnd"/>
      <w:r w:rsidRPr="00286E24">
        <w:rPr>
          <w:rFonts w:ascii="Arial" w:hAnsi="Arial" w:cs="Arial"/>
        </w:rPr>
        <w:t xml:space="preserve">, K. C., Onoja, C. R., Warder, A. B., &amp; </w:t>
      </w:r>
      <w:proofErr w:type="spellStart"/>
      <w:r w:rsidRPr="00286E24">
        <w:rPr>
          <w:rFonts w:ascii="Arial" w:hAnsi="Arial" w:cs="Arial"/>
        </w:rPr>
        <w:t>InyangAbia</w:t>
      </w:r>
      <w:proofErr w:type="spellEnd"/>
      <w:r w:rsidRPr="00286E24">
        <w:rPr>
          <w:rFonts w:ascii="Arial" w:hAnsi="Arial" w:cs="Arial"/>
        </w:rPr>
        <w:t xml:space="preserve">, A. J. (2025). Trematode infections and histopathological effects in </w:t>
      </w:r>
      <w:proofErr w:type="spellStart"/>
      <w:r w:rsidRPr="00286E24">
        <w:rPr>
          <w:rStyle w:val="Emphasis"/>
          <w:rFonts w:ascii="Arial" w:hAnsi="Arial" w:cs="Arial"/>
        </w:rPr>
        <w:t>Chrysichthys</w:t>
      </w:r>
      <w:proofErr w:type="spellEnd"/>
      <w:r w:rsidRPr="00286E24">
        <w:rPr>
          <w:rStyle w:val="Emphasis"/>
          <w:rFonts w:ascii="Arial" w:hAnsi="Arial" w:cs="Arial"/>
        </w:rPr>
        <w:t xml:space="preserve"> </w:t>
      </w:r>
      <w:proofErr w:type="spellStart"/>
      <w:r w:rsidRPr="00286E24">
        <w:rPr>
          <w:rStyle w:val="Emphasis"/>
          <w:rFonts w:ascii="Arial" w:hAnsi="Arial" w:cs="Arial"/>
        </w:rPr>
        <w:t>nigrodigitatus</w:t>
      </w:r>
      <w:proofErr w:type="spellEnd"/>
      <w:r w:rsidRPr="00286E24">
        <w:rPr>
          <w:rFonts w:ascii="Arial" w:hAnsi="Arial" w:cs="Arial"/>
        </w:rPr>
        <w:t xml:space="preserve"> from the polluted Andoni River, Niger Delta, Nigeria. </w:t>
      </w:r>
      <w:r w:rsidRPr="00286E24">
        <w:rPr>
          <w:rStyle w:val="Emphasis"/>
          <w:rFonts w:ascii="Arial" w:hAnsi="Arial" w:cs="Arial"/>
        </w:rPr>
        <w:t>Journal of Agriculture, Aquaculture, and Animal Science, 2</w:t>
      </w:r>
      <w:r w:rsidRPr="00286E24">
        <w:rPr>
          <w:rFonts w:ascii="Arial" w:hAnsi="Arial" w:cs="Arial"/>
        </w:rPr>
        <w:t xml:space="preserve">(2), 66–72. </w:t>
      </w:r>
      <w:hyperlink r:id="rId39" w:tgtFrame="_new" w:history="1">
        <w:r w:rsidRPr="00286E24">
          <w:rPr>
            <w:rStyle w:val="Hyperlink"/>
            <w:rFonts w:ascii="Arial" w:eastAsiaTheme="majorEastAsia" w:hAnsi="Arial" w:cs="Arial"/>
            <w:color w:val="auto"/>
          </w:rPr>
          <w:t>https://doi.org/10.69739/jaaas.v2i2.882</w:t>
        </w:r>
      </w:hyperlink>
    </w:p>
    <w:p w14:paraId="1B4B4D60" w14:textId="77777777" w:rsidR="00FF43A4" w:rsidRPr="00286E24" w:rsidRDefault="00FF43A4" w:rsidP="00286E24">
      <w:pPr>
        <w:pStyle w:val="NormalWeb"/>
        <w:ind w:left="720" w:hanging="720"/>
        <w:jc w:val="both"/>
        <w:rPr>
          <w:rFonts w:ascii="Arial" w:hAnsi="Arial" w:cs="Arial"/>
        </w:rPr>
      </w:pPr>
      <w:proofErr w:type="spellStart"/>
      <w:r w:rsidRPr="00286E24">
        <w:rPr>
          <w:rFonts w:ascii="Arial" w:hAnsi="Arial" w:cs="Arial"/>
        </w:rPr>
        <w:t>Okpoji</w:t>
      </w:r>
      <w:proofErr w:type="spellEnd"/>
      <w:r w:rsidRPr="00286E24">
        <w:rPr>
          <w:rFonts w:ascii="Arial" w:hAnsi="Arial" w:cs="Arial"/>
        </w:rPr>
        <w:t xml:space="preserve">, A. U., </w:t>
      </w:r>
      <w:proofErr w:type="spellStart"/>
      <w:r w:rsidRPr="00286E24">
        <w:rPr>
          <w:rFonts w:ascii="Arial" w:hAnsi="Arial" w:cs="Arial"/>
        </w:rPr>
        <w:t>Nwoka</w:t>
      </w:r>
      <w:proofErr w:type="spellEnd"/>
      <w:r w:rsidRPr="00286E24">
        <w:rPr>
          <w:rFonts w:ascii="Arial" w:hAnsi="Arial" w:cs="Arial"/>
        </w:rPr>
        <w:t xml:space="preserve">, N. G., </w:t>
      </w:r>
      <w:proofErr w:type="spellStart"/>
      <w:r w:rsidRPr="00286E24">
        <w:rPr>
          <w:rFonts w:ascii="Arial" w:hAnsi="Arial" w:cs="Arial"/>
        </w:rPr>
        <w:t>Odibo</w:t>
      </w:r>
      <w:proofErr w:type="spellEnd"/>
      <w:r w:rsidRPr="00286E24">
        <w:rPr>
          <w:rFonts w:ascii="Arial" w:hAnsi="Arial" w:cs="Arial"/>
        </w:rPr>
        <w:t xml:space="preserve">, U. E., </w:t>
      </w:r>
      <w:proofErr w:type="spellStart"/>
      <w:r w:rsidRPr="00286E24">
        <w:rPr>
          <w:rFonts w:ascii="Arial" w:hAnsi="Arial" w:cs="Arial"/>
        </w:rPr>
        <w:t>Alaekwe</w:t>
      </w:r>
      <w:proofErr w:type="spellEnd"/>
      <w:r w:rsidRPr="00286E24">
        <w:rPr>
          <w:rFonts w:ascii="Arial" w:hAnsi="Arial" w:cs="Arial"/>
        </w:rPr>
        <w:t xml:space="preserve">, I. O., Okafor, C. A., </w:t>
      </w:r>
      <w:proofErr w:type="spellStart"/>
      <w:r w:rsidRPr="00286E24">
        <w:rPr>
          <w:rFonts w:ascii="Arial" w:hAnsi="Arial" w:cs="Arial"/>
        </w:rPr>
        <w:t>Ogwu</w:t>
      </w:r>
      <w:proofErr w:type="spellEnd"/>
      <w:r w:rsidRPr="00286E24">
        <w:rPr>
          <w:rFonts w:ascii="Arial" w:hAnsi="Arial" w:cs="Arial"/>
        </w:rPr>
        <w:t xml:space="preserve">, N. G., &amp; </w:t>
      </w:r>
      <w:proofErr w:type="spellStart"/>
      <w:r w:rsidRPr="00286E24">
        <w:rPr>
          <w:rFonts w:ascii="Arial" w:hAnsi="Arial" w:cs="Arial"/>
        </w:rPr>
        <w:t>Akatakpo</w:t>
      </w:r>
      <w:proofErr w:type="spellEnd"/>
      <w:r w:rsidRPr="00286E24">
        <w:rPr>
          <w:rFonts w:ascii="Arial" w:hAnsi="Arial" w:cs="Arial"/>
        </w:rPr>
        <w:t xml:space="preserve">, C. U. (2025). Seasonal variation in </w:t>
      </w:r>
      <w:proofErr w:type="spellStart"/>
      <w:r w:rsidRPr="00286E24">
        <w:rPr>
          <w:rFonts w:ascii="Arial" w:hAnsi="Arial" w:cs="Arial"/>
        </w:rPr>
        <w:t>hydrochemical</w:t>
      </w:r>
      <w:proofErr w:type="spellEnd"/>
      <w:r w:rsidRPr="00286E24">
        <w:rPr>
          <w:rFonts w:ascii="Arial" w:hAnsi="Arial" w:cs="Arial"/>
        </w:rPr>
        <w:t xml:space="preserve"> characteristics and heavy metal risk assessment of groundwater in </w:t>
      </w:r>
      <w:proofErr w:type="spellStart"/>
      <w:r w:rsidRPr="00286E24">
        <w:rPr>
          <w:rFonts w:ascii="Arial" w:hAnsi="Arial" w:cs="Arial"/>
        </w:rPr>
        <w:t>Andoni-Isiokwan</w:t>
      </w:r>
      <w:proofErr w:type="spellEnd"/>
      <w:r w:rsidRPr="00286E24">
        <w:rPr>
          <w:rFonts w:ascii="Arial" w:hAnsi="Arial" w:cs="Arial"/>
        </w:rPr>
        <w:t xml:space="preserve"> District, Niger Delta, Nigeria. </w:t>
      </w:r>
      <w:r w:rsidRPr="00286E24">
        <w:rPr>
          <w:rStyle w:val="Emphasis"/>
          <w:rFonts w:ascii="Arial" w:hAnsi="Arial" w:cs="Arial"/>
        </w:rPr>
        <w:t>International Journal of Modern Science and Research Technology, 3</w:t>
      </w:r>
      <w:r w:rsidRPr="00286E24">
        <w:rPr>
          <w:rFonts w:ascii="Arial" w:hAnsi="Arial" w:cs="Arial"/>
        </w:rPr>
        <w:t xml:space="preserve">(8), 44–51. </w:t>
      </w:r>
      <w:hyperlink r:id="rId40" w:tgtFrame="_new" w:history="1">
        <w:r w:rsidRPr="00286E24">
          <w:rPr>
            <w:rStyle w:val="Hyperlink"/>
            <w:rFonts w:ascii="Arial" w:eastAsiaTheme="majorEastAsia" w:hAnsi="Arial" w:cs="Arial"/>
            <w:color w:val="auto"/>
          </w:rPr>
          <w:t>http://www.ijmsrt.com</w:t>
        </w:r>
      </w:hyperlink>
    </w:p>
    <w:p w14:paraId="32E42874"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Rodriguez, C., &amp; </w:t>
      </w:r>
      <w:proofErr w:type="spellStart"/>
      <w:r w:rsidRPr="00286E24">
        <w:rPr>
          <w:rFonts w:ascii="Arial" w:hAnsi="Arial" w:cs="Arial"/>
        </w:rPr>
        <w:t>Tockner</w:t>
      </w:r>
      <w:proofErr w:type="spellEnd"/>
      <w:r w:rsidRPr="00286E24">
        <w:rPr>
          <w:rFonts w:ascii="Arial" w:hAnsi="Arial" w:cs="Arial"/>
        </w:rPr>
        <w:t xml:space="preserve">, K. (2020). Impacts of seasonal hydrology on COD in arid region rivers. </w:t>
      </w:r>
      <w:r w:rsidRPr="00286E24">
        <w:rPr>
          <w:rStyle w:val="Emphasis"/>
          <w:rFonts w:ascii="Arial" w:hAnsi="Arial" w:cs="Arial"/>
        </w:rPr>
        <w:t>Journal of Environmental Quality, 49</w:t>
      </w:r>
      <w:r w:rsidRPr="00286E24">
        <w:rPr>
          <w:rFonts w:ascii="Arial" w:hAnsi="Arial" w:cs="Arial"/>
        </w:rPr>
        <w:t xml:space="preserve">(3), 824–832. </w:t>
      </w:r>
      <w:hyperlink r:id="rId41" w:tgtFrame="_new" w:history="1">
        <w:r w:rsidRPr="00286E24">
          <w:rPr>
            <w:rStyle w:val="Hyperlink"/>
            <w:rFonts w:ascii="Arial" w:eastAsiaTheme="majorEastAsia" w:hAnsi="Arial" w:cs="Arial"/>
            <w:color w:val="auto"/>
          </w:rPr>
          <w:t>https://doi.org/10.1002/jeq2.20094</w:t>
        </w:r>
      </w:hyperlink>
    </w:p>
    <w:p w14:paraId="75F0B60A"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Schlesinger, W. H. (2019). Water quality in arid regions: The role of sediment and turbidity in aquatic ecosystems. </w:t>
      </w:r>
      <w:r w:rsidRPr="00286E24">
        <w:rPr>
          <w:rStyle w:val="Emphasis"/>
          <w:rFonts w:ascii="Arial" w:hAnsi="Arial" w:cs="Arial"/>
        </w:rPr>
        <w:t>Journal of Arid Environments, 169,</w:t>
      </w:r>
      <w:r w:rsidRPr="00286E24">
        <w:rPr>
          <w:rFonts w:ascii="Arial" w:hAnsi="Arial" w:cs="Arial"/>
        </w:rPr>
        <w:t xml:space="preserve"> 101860. </w:t>
      </w:r>
      <w:hyperlink r:id="rId42" w:tgtFrame="_new" w:history="1">
        <w:r w:rsidRPr="00286E24">
          <w:rPr>
            <w:rStyle w:val="Hyperlink"/>
            <w:rFonts w:ascii="Arial" w:eastAsiaTheme="majorEastAsia" w:hAnsi="Arial" w:cs="Arial"/>
            <w:color w:val="auto"/>
          </w:rPr>
          <w:t>https://doi.org/10.1016/j.jaridenv.2019.06.005</w:t>
        </w:r>
      </w:hyperlink>
    </w:p>
    <w:p w14:paraId="2E849DE9"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Ugochukwu, C. N. C., &amp; Ertel, J. (2008). Negative impacts of oil exploration on biodiversity management in the Niger Delta area of Nigeria. </w:t>
      </w:r>
      <w:r w:rsidRPr="00286E24">
        <w:rPr>
          <w:rStyle w:val="Emphasis"/>
          <w:rFonts w:ascii="Arial" w:hAnsi="Arial" w:cs="Arial"/>
        </w:rPr>
        <w:t>Impact Assessment and Project Appraisal, 26</w:t>
      </w:r>
      <w:r w:rsidRPr="00286E24">
        <w:rPr>
          <w:rFonts w:ascii="Arial" w:hAnsi="Arial" w:cs="Arial"/>
        </w:rPr>
        <w:t xml:space="preserve">(2), 139–147. </w:t>
      </w:r>
      <w:hyperlink r:id="rId43" w:tgtFrame="_new" w:history="1">
        <w:r w:rsidRPr="00286E24">
          <w:rPr>
            <w:rStyle w:val="Hyperlink"/>
            <w:rFonts w:ascii="Arial" w:eastAsiaTheme="majorEastAsia" w:hAnsi="Arial" w:cs="Arial"/>
            <w:color w:val="auto"/>
          </w:rPr>
          <w:t>https://doi.org/10.3152/146155108X316397</w:t>
        </w:r>
      </w:hyperlink>
    </w:p>
    <w:p w14:paraId="30AACC49"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U.S. Environmental Protection Agency. (various years). </w:t>
      </w:r>
      <w:r w:rsidRPr="00286E24">
        <w:rPr>
          <w:rStyle w:val="Emphasis"/>
          <w:rFonts w:ascii="Arial" w:hAnsi="Arial" w:cs="Arial"/>
        </w:rPr>
        <w:t>Method 8015; 365.1/365.3; 375.4 and related guidance</w:t>
      </w:r>
      <w:r w:rsidRPr="00286E24">
        <w:rPr>
          <w:rFonts w:ascii="Arial" w:hAnsi="Arial" w:cs="Arial"/>
        </w:rPr>
        <w:t>.</w:t>
      </w:r>
    </w:p>
    <w:p w14:paraId="236BE1CA"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lastRenderedPageBreak/>
        <w:t xml:space="preserve">Williams, W. D. (2018). Salinity tolerance in freshwater biota of arid and semi-arid regions. </w:t>
      </w:r>
      <w:proofErr w:type="spellStart"/>
      <w:r w:rsidRPr="00286E24">
        <w:rPr>
          <w:rStyle w:val="Emphasis"/>
          <w:rFonts w:ascii="Arial" w:hAnsi="Arial" w:cs="Arial"/>
        </w:rPr>
        <w:t>Hydrobiologia</w:t>
      </w:r>
      <w:proofErr w:type="spellEnd"/>
      <w:r w:rsidRPr="00286E24">
        <w:rPr>
          <w:rStyle w:val="Emphasis"/>
          <w:rFonts w:ascii="Arial" w:hAnsi="Arial" w:cs="Arial"/>
        </w:rPr>
        <w:t>, 221</w:t>
      </w:r>
      <w:r w:rsidRPr="00286E24">
        <w:rPr>
          <w:rFonts w:ascii="Arial" w:hAnsi="Arial" w:cs="Arial"/>
        </w:rPr>
        <w:t xml:space="preserve">(1), 105–119. </w:t>
      </w:r>
      <w:hyperlink r:id="rId44" w:tgtFrame="_new" w:history="1">
        <w:r w:rsidRPr="00286E24">
          <w:rPr>
            <w:rStyle w:val="Hyperlink"/>
            <w:rFonts w:ascii="Arial" w:eastAsiaTheme="majorEastAsia" w:hAnsi="Arial" w:cs="Arial"/>
            <w:color w:val="auto"/>
          </w:rPr>
          <w:t>https://doi.org/10.1007/BF00010362</w:t>
        </w:r>
      </w:hyperlink>
    </w:p>
    <w:p w14:paraId="7CC1D0FB"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World Health Organization. (2022). </w:t>
      </w:r>
      <w:r w:rsidRPr="00286E24">
        <w:rPr>
          <w:rStyle w:val="Emphasis"/>
          <w:rFonts w:ascii="Arial" w:hAnsi="Arial" w:cs="Arial"/>
        </w:rPr>
        <w:t>World health statistics 2022: Monitoring health for the SDGs</w:t>
      </w:r>
      <w:r w:rsidRPr="00286E24">
        <w:rPr>
          <w:rFonts w:ascii="Arial" w:hAnsi="Arial" w:cs="Arial"/>
        </w:rPr>
        <w:t>. WHO.</w:t>
      </w:r>
    </w:p>
    <w:p w14:paraId="327B1BC7" w14:textId="77777777" w:rsidR="00FF43A4" w:rsidRPr="00286E24" w:rsidRDefault="00FF43A4" w:rsidP="00286E24">
      <w:pPr>
        <w:pStyle w:val="NormalWeb"/>
        <w:ind w:left="720" w:hanging="720"/>
        <w:jc w:val="both"/>
        <w:rPr>
          <w:rFonts w:ascii="Arial" w:hAnsi="Arial" w:cs="Arial"/>
        </w:rPr>
      </w:pPr>
      <w:r w:rsidRPr="00286E24">
        <w:rPr>
          <w:rFonts w:ascii="Arial" w:hAnsi="Arial" w:cs="Arial"/>
        </w:rPr>
        <w:t xml:space="preserve">Zhu, X., &amp; Ma, J. (2020). Recent advances in the determination of phosphate in environmental water samples: Insights from practical perspectives. </w:t>
      </w:r>
      <w:proofErr w:type="spellStart"/>
      <w:r w:rsidRPr="00286E24">
        <w:rPr>
          <w:rStyle w:val="Emphasis"/>
          <w:rFonts w:ascii="Arial" w:hAnsi="Arial" w:cs="Arial"/>
        </w:rPr>
        <w:t>TrAC</w:t>
      </w:r>
      <w:proofErr w:type="spellEnd"/>
      <w:r w:rsidRPr="00286E24">
        <w:rPr>
          <w:rStyle w:val="Emphasis"/>
          <w:rFonts w:ascii="Arial" w:hAnsi="Arial" w:cs="Arial"/>
        </w:rPr>
        <w:t xml:space="preserve"> Trends in Analytical Chemistry, 127,</w:t>
      </w:r>
      <w:r w:rsidRPr="00286E24">
        <w:rPr>
          <w:rFonts w:ascii="Arial" w:hAnsi="Arial" w:cs="Arial"/>
        </w:rPr>
        <w:t xml:space="preserve"> 115908. </w:t>
      </w:r>
      <w:hyperlink r:id="rId45" w:tgtFrame="_new" w:history="1">
        <w:r w:rsidRPr="00286E24">
          <w:rPr>
            <w:rStyle w:val="Hyperlink"/>
            <w:rFonts w:ascii="Arial" w:eastAsiaTheme="majorEastAsia" w:hAnsi="Arial" w:cs="Arial"/>
            <w:color w:val="auto"/>
          </w:rPr>
          <w:t>https://doi.org/10.1016/j.trac.2020.115908</w:t>
        </w:r>
      </w:hyperlink>
    </w:p>
    <w:p w14:paraId="38021DE2" w14:textId="77777777" w:rsidR="00FF43A4" w:rsidRPr="00286E24" w:rsidRDefault="00FF43A4" w:rsidP="00286E24">
      <w:pPr>
        <w:jc w:val="both"/>
        <w:rPr>
          <w:rFonts w:ascii="Arial" w:hAnsi="Arial" w:cs="Arial"/>
          <w:b/>
          <w:bCs/>
          <w:sz w:val="24"/>
          <w:szCs w:val="24"/>
        </w:rPr>
      </w:pPr>
    </w:p>
    <w:sectPr w:rsidR="00FF43A4" w:rsidRPr="00286E24">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A4204" w14:textId="77777777" w:rsidR="006B7E72" w:rsidRDefault="006B7E72" w:rsidP="00B5206C">
      <w:pPr>
        <w:spacing w:after="0" w:line="240" w:lineRule="auto"/>
      </w:pPr>
      <w:r>
        <w:separator/>
      </w:r>
    </w:p>
  </w:endnote>
  <w:endnote w:type="continuationSeparator" w:id="0">
    <w:p w14:paraId="50CEFD0E" w14:textId="77777777" w:rsidR="006B7E72" w:rsidRDefault="006B7E72" w:rsidP="00B5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0019F" w14:textId="77777777" w:rsidR="00B5206C" w:rsidRDefault="00B52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FA8D9" w14:textId="77777777" w:rsidR="00B5206C" w:rsidRDefault="00B520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5408A" w14:textId="77777777" w:rsidR="00B5206C" w:rsidRDefault="00B52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90CFD" w14:textId="77777777" w:rsidR="006B7E72" w:rsidRDefault="006B7E72" w:rsidP="00B5206C">
      <w:pPr>
        <w:spacing w:after="0" w:line="240" w:lineRule="auto"/>
      </w:pPr>
      <w:r>
        <w:separator/>
      </w:r>
    </w:p>
  </w:footnote>
  <w:footnote w:type="continuationSeparator" w:id="0">
    <w:p w14:paraId="2FA9E9F1" w14:textId="77777777" w:rsidR="006B7E72" w:rsidRDefault="006B7E72" w:rsidP="00B52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2F9E8" w14:textId="5EAA503B" w:rsidR="00B5206C" w:rsidRDefault="00B5206C">
    <w:pPr>
      <w:pStyle w:val="Header"/>
    </w:pPr>
    <w:r>
      <w:rPr>
        <w:noProof/>
      </w:rPr>
      <w:pict w14:anchorId="04417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21347" w14:textId="7D68E810" w:rsidR="00B5206C" w:rsidRDefault="00B5206C">
    <w:pPr>
      <w:pStyle w:val="Header"/>
    </w:pPr>
    <w:r>
      <w:rPr>
        <w:noProof/>
      </w:rPr>
      <w:pict w14:anchorId="4BB518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0CB2" w14:textId="0CC1EF8F" w:rsidR="00B5206C" w:rsidRDefault="00B5206C">
    <w:pPr>
      <w:pStyle w:val="Header"/>
    </w:pPr>
    <w:r>
      <w:rPr>
        <w:noProof/>
      </w:rPr>
      <w:pict w14:anchorId="7FE4E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7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6D"/>
    <w:rsid w:val="000C596E"/>
    <w:rsid w:val="001567A6"/>
    <w:rsid w:val="00286E24"/>
    <w:rsid w:val="003221E0"/>
    <w:rsid w:val="00400127"/>
    <w:rsid w:val="004C1C42"/>
    <w:rsid w:val="004D7A7A"/>
    <w:rsid w:val="00513381"/>
    <w:rsid w:val="006160BB"/>
    <w:rsid w:val="0069338C"/>
    <w:rsid w:val="006B7E72"/>
    <w:rsid w:val="00876554"/>
    <w:rsid w:val="0088081B"/>
    <w:rsid w:val="008D4479"/>
    <w:rsid w:val="0094436D"/>
    <w:rsid w:val="00A07970"/>
    <w:rsid w:val="00A742A8"/>
    <w:rsid w:val="00B5206C"/>
    <w:rsid w:val="00C36521"/>
    <w:rsid w:val="00C370C4"/>
    <w:rsid w:val="00C53445"/>
    <w:rsid w:val="00C82062"/>
    <w:rsid w:val="00CE1087"/>
    <w:rsid w:val="00E26853"/>
    <w:rsid w:val="00E310B3"/>
    <w:rsid w:val="00E42660"/>
    <w:rsid w:val="00F7732B"/>
    <w:rsid w:val="00FF4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EC0A05"/>
  <w15:chartTrackingRefBased/>
  <w15:docId w15:val="{99FF2C54-4A92-405D-87E7-7DA54EDBB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5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365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4436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436D"/>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4436D"/>
    <w:rPr>
      <w:b/>
      <w:bCs/>
    </w:rPr>
  </w:style>
  <w:style w:type="character" w:styleId="Emphasis">
    <w:name w:val="Emphasis"/>
    <w:basedOn w:val="DefaultParagraphFont"/>
    <w:uiPriority w:val="20"/>
    <w:qFormat/>
    <w:rsid w:val="0094436D"/>
    <w:rPr>
      <w:i/>
      <w:iCs/>
    </w:rPr>
  </w:style>
  <w:style w:type="paragraph" w:styleId="NormalWeb">
    <w:name w:val="Normal (Web)"/>
    <w:basedOn w:val="Normal"/>
    <w:uiPriority w:val="99"/>
    <w:semiHidden/>
    <w:unhideWhenUsed/>
    <w:rsid w:val="009443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C365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3652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F43A4"/>
    <w:rPr>
      <w:color w:val="0000FF"/>
      <w:u w:val="single"/>
    </w:rPr>
  </w:style>
  <w:style w:type="table" w:styleId="PlainTable2">
    <w:name w:val="Plain Table 2"/>
    <w:basedOn w:val="TableNormal"/>
    <w:uiPriority w:val="42"/>
    <w:rsid w:val="006933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C1C42"/>
    <w:rPr>
      <w:color w:val="605E5C"/>
      <w:shd w:val="clear" w:color="auto" w:fill="E1DFDD"/>
    </w:rPr>
  </w:style>
  <w:style w:type="paragraph" w:styleId="Header">
    <w:name w:val="header"/>
    <w:basedOn w:val="Normal"/>
    <w:link w:val="HeaderChar"/>
    <w:uiPriority w:val="99"/>
    <w:unhideWhenUsed/>
    <w:rsid w:val="00B520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06C"/>
  </w:style>
  <w:style w:type="paragraph" w:styleId="Footer">
    <w:name w:val="footer"/>
    <w:basedOn w:val="Normal"/>
    <w:link w:val="FooterChar"/>
    <w:uiPriority w:val="99"/>
    <w:unhideWhenUsed/>
    <w:rsid w:val="00B52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41566">
      <w:bodyDiv w:val="1"/>
      <w:marLeft w:val="0"/>
      <w:marRight w:val="0"/>
      <w:marTop w:val="0"/>
      <w:marBottom w:val="0"/>
      <w:divBdr>
        <w:top w:val="none" w:sz="0" w:space="0" w:color="auto"/>
        <w:left w:val="none" w:sz="0" w:space="0" w:color="auto"/>
        <w:bottom w:val="none" w:sz="0" w:space="0" w:color="auto"/>
        <w:right w:val="none" w:sz="0" w:space="0" w:color="auto"/>
      </w:divBdr>
    </w:div>
    <w:div w:id="405230701">
      <w:bodyDiv w:val="1"/>
      <w:marLeft w:val="0"/>
      <w:marRight w:val="0"/>
      <w:marTop w:val="0"/>
      <w:marBottom w:val="0"/>
      <w:divBdr>
        <w:top w:val="none" w:sz="0" w:space="0" w:color="auto"/>
        <w:left w:val="none" w:sz="0" w:space="0" w:color="auto"/>
        <w:bottom w:val="none" w:sz="0" w:space="0" w:color="auto"/>
        <w:right w:val="none" w:sz="0" w:space="0" w:color="auto"/>
      </w:divBdr>
    </w:div>
    <w:div w:id="699204121">
      <w:bodyDiv w:val="1"/>
      <w:marLeft w:val="0"/>
      <w:marRight w:val="0"/>
      <w:marTop w:val="0"/>
      <w:marBottom w:val="0"/>
      <w:divBdr>
        <w:top w:val="none" w:sz="0" w:space="0" w:color="auto"/>
        <w:left w:val="none" w:sz="0" w:space="0" w:color="auto"/>
        <w:bottom w:val="none" w:sz="0" w:space="0" w:color="auto"/>
        <w:right w:val="none" w:sz="0" w:space="0" w:color="auto"/>
      </w:divBdr>
      <w:divsChild>
        <w:div w:id="54204075">
          <w:marLeft w:val="0"/>
          <w:marRight w:val="0"/>
          <w:marTop w:val="0"/>
          <w:marBottom w:val="0"/>
          <w:divBdr>
            <w:top w:val="none" w:sz="0" w:space="0" w:color="auto"/>
            <w:left w:val="none" w:sz="0" w:space="0" w:color="auto"/>
            <w:bottom w:val="none" w:sz="0" w:space="0" w:color="auto"/>
            <w:right w:val="none" w:sz="0" w:space="0" w:color="auto"/>
          </w:divBdr>
          <w:divsChild>
            <w:div w:id="200095377">
              <w:marLeft w:val="0"/>
              <w:marRight w:val="0"/>
              <w:marTop w:val="0"/>
              <w:marBottom w:val="0"/>
              <w:divBdr>
                <w:top w:val="none" w:sz="0" w:space="0" w:color="auto"/>
                <w:left w:val="none" w:sz="0" w:space="0" w:color="auto"/>
                <w:bottom w:val="none" w:sz="0" w:space="0" w:color="auto"/>
                <w:right w:val="none" w:sz="0" w:space="0" w:color="auto"/>
              </w:divBdr>
            </w:div>
          </w:divsChild>
        </w:div>
        <w:div w:id="1375739969">
          <w:marLeft w:val="0"/>
          <w:marRight w:val="0"/>
          <w:marTop w:val="0"/>
          <w:marBottom w:val="0"/>
          <w:divBdr>
            <w:top w:val="none" w:sz="0" w:space="0" w:color="auto"/>
            <w:left w:val="none" w:sz="0" w:space="0" w:color="auto"/>
            <w:bottom w:val="none" w:sz="0" w:space="0" w:color="auto"/>
            <w:right w:val="none" w:sz="0" w:space="0" w:color="auto"/>
          </w:divBdr>
          <w:divsChild>
            <w:div w:id="958144213">
              <w:marLeft w:val="0"/>
              <w:marRight w:val="0"/>
              <w:marTop w:val="0"/>
              <w:marBottom w:val="0"/>
              <w:divBdr>
                <w:top w:val="none" w:sz="0" w:space="0" w:color="auto"/>
                <w:left w:val="none" w:sz="0" w:space="0" w:color="auto"/>
                <w:bottom w:val="none" w:sz="0" w:space="0" w:color="auto"/>
                <w:right w:val="none" w:sz="0" w:space="0" w:color="auto"/>
              </w:divBdr>
            </w:div>
          </w:divsChild>
        </w:div>
        <w:div w:id="2028602623">
          <w:marLeft w:val="0"/>
          <w:marRight w:val="0"/>
          <w:marTop w:val="0"/>
          <w:marBottom w:val="0"/>
          <w:divBdr>
            <w:top w:val="none" w:sz="0" w:space="0" w:color="auto"/>
            <w:left w:val="none" w:sz="0" w:space="0" w:color="auto"/>
            <w:bottom w:val="none" w:sz="0" w:space="0" w:color="auto"/>
            <w:right w:val="none" w:sz="0" w:space="0" w:color="auto"/>
          </w:divBdr>
          <w:divsChild>
            <w:div w:id="6618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5103">
      <w:bodyDiv w:val="1"/>
      <w:marLeft w:val="0"/>
      <w:marRight w:val="0"/>
      <w:marTop w:val="0"/>
      <w:marBottom w:val="0"/>
      <w:divBdr>
        <w:top w:val="none" w:sz="0" w:space="0" w:color="auto"/>
        <w:left w:val="none" w:sz="0" w:space="0" w:color="auto"/>
        <w:bottom w:val="none" w:sz="0" w:space="0" w:color="auto"/>
        <w:right w:val="none" w:sz="0" w:space="0" w:color="auto"/>
      </w:divBdr>
    </w:div>
    <w:div w:id="790707162">
      <w:bodyDiv w:val="1"/>
      <w:marLeft w:val="0"/>
      <w:marRight w:val="0"/>
      <w:marTop w:val="0"/>
      <w:marBottom w:val="0"/>
      <w:divBdr>
        <w:top w:val="none" w:sz="0" w:space="0" w:color="auto"/>
        <w:left w:val="none" w:sz="0" w:space="0" w:color="auto"/>
        <w:bottom w:val="none" w:sz="0" w:space="0" w:color="auto"/>
        <w:right w:val="none" w:sz="0" w:space="0" w:color="auto"/>
      </w:divBdr>
    </w:div>
    <w:div w:id="838277256">
      <w:bodyDiv w:val="1"/>
      <w:marLeft w:val="0"/>
      <w:marRight w:val="0"/>
      <w:marTop w:val="0"/>
      <w:marBottom w:val="0"/>
      <w:divBdr>
        <w:top w:val="none" w:sz="0" w:space="0" w:color="auto"/>
        <w:left w:val="none" w:sz="0" w:space="0" w:color="auto"/>
        <w:bottom w:val="none" w:sz="0" w:space="0" w:color="auto"/>
        <w:right w:val="none" w:sz="0" w:space="0" w:color="auto"/>
      </w:divBdr>
    </w:div>
    <w:div w:id="967667397">
      <w:bodyDiv w:val="1"/>
      <w:marLeft w:val="0"/>
      <w:marRight w:val="0"/>
      <w:marTop w:val="0"/>
      <w:marBottom w:val="0"/>
      <w:divBdr>
        <w:top w:val="none" w:sz="0" w:space="0" w:color="auto"/>
        <w:left w:val="none" w:sz="0" w:space="0" w:color="auto"/>
        <w:bottom w:val="none" w:sz="0" w:space="0" w:color="auto"/>
        <w:right w:val="none" w:sz="0" w:space="0" w:color="auto"/>
      </w:divBdr>
    </w:div>
    <w:div w:id="1235117146">
      <w:bodyDiv w:val="1"/>
      <w:marLeft w:val="0"/>
      <w:marRight w:val="0"/>
      <w:marTop w:val="0"/>
      <w:marBottom w:val="0"/>
      <w:divBdr>
        <w:top w:val="none" w:sz="0" w:space="0" w:color="auto"/>
        <w:left w:val="none" w:sz="0" w:space="0" w:color="auto"/>
        <w:bottom w:val="none" w:sz="0" w:space="0" w:color="auto"/>
        <w:right w:val="none" w:sz="0" w:space="0" w:color="auto"/>
      </w:divBdr>
    </w:div>
    <w:div w:id="1271274763">
      <w:bodyDiv w:val="1"/>
      <w:marLeft w:val="0"/>
      <w:marRight w:val="0"/>
      <w:marTop w:val="0"/>
      <w:marBottom w:val="0"/>
      <w:divBdr>
        <w:top w:val="none" w:sz="0" w:space="0" w:color="auto"/>
        <w:left w:val="none" w:sz="0" w:space="0" w:color="auto"/>
        <w:bottom w:val="none" w:sz="0" w:space="0" w:color="auto"/>
        <w:right w:val="none" w:sz="0" w:space="0" w:color="auto"/>
      </w:divBdr>
    </w:div>
    <w:div w:id="1309820763">
      <w:bodyDiv w:val="1"/>
      <w:marLeft w:val="0"/>
      <w:marRight w:val="0"/>
      <w:marTop w:val="0"/>
      <w:marBottom w:val="0"/>
      <w:divBdr>
        <w:top w:val="none" w:sz="0" w:space="0" w:color="auto"/>
        <w:left w:val="none" w:sz="0" w:space="0" w:color="auto"/>
        <w:bottom w:val="none" w:sz="0" w:space="0" w:color="auto"/>
        <w:right w:val="none" w:sz="0" w:space="0" w:color="auto"/>
      </w:divBdr>
    </w:div>
    <w:div w:id="1597518079">
      <w:bodyDiv w:val="1"/>
      <w:marLeft w:val="0"/>
      <w:marRight w:val="0"/>
      <w:marTop w:val="0"/>
      <w:marBottom w:val="0"/>
      <w:divBdr>
        <w:top w:val="none" w:sz="0" w:space="0" w:color="auto"/>
        <w:left w:val="none" w:sz="0" w:space="0" w:color="auto"/>
        <w:bottom w:val="none" w:sz="0" w:space="0" w:color="auto"/>
        <w:right w:val="none" w:sz="0" w:space="0" w:color="auto"/>
      </w:divBdr>
    </w:div>
    <w:div w:id="207627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image" Target="media/image6.png"/><Relationship Id="rId26" Type="http://schemas.openxmlformats.org/officeDocument/2006/relationships/hyperlink" Target="https://doi.org/10.1139/er-2017-0040" TargetMode="External"/><Relationship Id="rId39" Type="http://schemas.openxmlformats.org/officeDocument/2006/relationships/hyperlink" Target="https://doi.org/10.69739/jaaas.v2i2.882" TargetMode="External"/><Relationship Id="rId21" Type="http://schemas.openxmlformats.org/officeDocument/2006/relationships/image" Target="media/image9.png"/><Relationship Id="rId34" Type="http://schemas.openxmlformats.org/officeDocument/2006/relationships/hyperlink" Target="https://doi.org/10.3390/ijerph13030346" TargetMode="External"/><Relationship Id="rId42" Type="http://schemas.openxmlformats.org/officeDocument/2006/relationships/hyperlink" Target="https://doi.org/10.1016/j.jaridenv.2019.06.005"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image" Target="media/image4.png"/><Relationship Id="rId29" Type="http://schemas.openxmlformats.org/officeDocument/2006/relationships/hyperlink" Target="https://doi.org/10.5281/zenodo.3712795" TargetMode="External"/><Relationship Id="rId11" Type="http://schemas.openxmlformats.org/officeDocument/2006/relationships/chart" Target="charts/chart5.xml"/><Relationship Id="rId24" Type="http://schemas.openxmlformats.org/officeDocument/2006/relationships/hyperlink" Target="https://doi.org/10.1007/s10661-020-08565-1" TargetMode="External"/><Relationship Id="rId32" Type="http://schemas.openxmlformats.org/officeDocument/2006/relationships/hyperlink" Target="https://doi.org/10.12691/jephh-7-1-3" TargetMode="External"/><Relationship Id="rId37" Type="http://schemas.openxmlformats.org/officeDocument/2006/relationships/hyperlink" Target="http://www.ijmsrt.com" TargetMode="External"/><Relationship Id="rId40" Type="http://schemas.openxmlformats.org/officeDocument/2006/relationships/hyperlink" Target="http://www.ijmsrt.com" TargetMode="External"/><Relationship Id="rId45" Type="http://schemas.openxmlformats.org/officeDocument/2006/relationships/hyperlink" Target="https://doi.org/10.1016/j.trac.2020.115908"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chart" Target="charts/chart4.xml"/><Relationship Id="rId19" Type="http://schemas.openxmlformats.org/officeDocument/2006/relationships/image" Target="media/image7.png"/><Relationship Id="rId31" Type="http://schemas.openxmlformats.org/officeDocument/2006/relationships/hyperlink" Target="https://doi.org/10.9734/CSJI/2019/v27i430121" TargetMode="External"/><Relationship Id="rId44" Type="http://schemas.openxmlformats.org/officeDocument/2006/relationships/hyperlink" Target="https://doi.org/10.1007/BF00010362"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image" Target="media/image2.png"/><Relationship Id="rId22" Type="http://schemas.openxmlformats.org/officeDocument/2006/relationships/hyperlink" Target="https://doi.org/10.1016/j.watres.2019.02.020" TargetMode="External"/><Relationship Id="rId27" Type="http://schemas.openxmlformats.org/officeDocument/2006/relationships/hyperlink" Target="https://doi.org/10.1002/hyp.11481" TargetMode="External"/><Relationship Id="rId30" Type="http://schemas.openxmlformats.org/officeDocument/2006/relationships/hyperlink" Target="https://doi.org/10.9734/ajocs/2023/v13i6264" TargetMode="External"/><Relationship Id="rId35" Type="http://schemas.openxmlformats.org/officeDocument/2006/relationships/hyperlink" Target="https://doi.org/10.7901/2169-3358-2005-1-567" TargetMode="External"/><Relationship Id="rId43" Type="http://schemas.openxmlformats.org/officeDocument/2006/relationships/hyperlink" Target="https://doi.org/10.3152/146155108X316397" TargetMode="External"/><Relationship Id="rId48" Type="http://schemas.openxmlformats.org/officeDocument/2006/relationships/footer" Target="footer1.xml"/><Relationship Id="rId8" Type="http://schemas.openxmlformats.org/officeDocument/2006/relationships/chart" Target="charts/chart2.xml"/><Relationship Id="rId51"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chart" Target="charts/chart6.xml"/><Relationship Id="rId17" Type="http://schemas.openxmlformats.org/officeDocument/2006/relationships/image" Target="media/image5.png"/><Relationship Id="rId25" Type="http://schemas.openxmlformats.org/officeDocument/2006/relationships/hyperlink" Target="https://doi.org/10.69739/jece.v2i2.976" TargetMode="External"/><Relationship Id="rId33" Type="http://schemas.openxmlformats.org/officeDocument/2006/relationships/hyperlink" Target="https://doi.org/10.1016/j.iswcr.2017.02.002" TargetMode="External"/><Relationship Id="rId38" Type="http://schemas.openxmlformats.org/officeDocument/2006/relationships/hyperlink" Target="https://doi.org/10.69739/jece.v2i2.844" TargetMode="External"/><Relationship Id="rId46" Type="http://schemas.openxmlformats.org/officeDocument/2006/relationships/header" Target="header1.xml"/><Relationship Id="rId20" Type="http://schemas.openxmlformats.org/officeDocument/2006/relationships/image" Target="media/image8.png"/><Relationship Id="rId41" Type="http://schemas.openxmlformats.org/officeDocument/2006/relationships/hyperlink" Target="https://doi.org/10.1002/jeq2.20094"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image" Target="media/image3.png"/><Relationship Id="rId23" Type="http://schemas.openxmlformats.org/officeDocument/2006/relationships/hyperlink" Target="https://doi.org/10.1016/j.scitotenv.2016.03.146" TargetMode="External"/><Relationship Id="rId28" Type="http://schemas.openxmlformats.org/officeDocument/2006/relationships/hyperlink" Target="https://doi.org/10.1007/s10661-021-09192-2" TargetMode="External"/><Relationship Id="rId36" Type="http://schemas.openxmlformats.org/officeDocument/2006/relationships/hyperlink" Target="https://doi.org/10.69739/jlsph.v1i1.879" TargetMode="External"/><Relationship Id="rId4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rs.%20Ifiok\Downloads\Project%20Data%20_%20Douglas%20Cree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83405683295133E-2"/>
          <c:y val="3.4570134178772208E-2"/>
          <c:w val="0.92232117325418039"/>
          <c:h val="0.86782498722313173"/>
        </c:manualLayout>
      </c:layout>
      <c:barChart>
        <c:barDir val="col"/>
        <c:grouping val="clustered"/>
        <c:varyColors val="0"/>
        <c:ser>
          <c:idx val="0"/>
          <c:order val="0"/>
          <c:tx>
            <c:strRef>
              <c:f>Sheet5!$B$2</c:f>
              <c:strCache>
                <c:ptCount val="1"/>
                <c:pt idx="0">
                  <c:v>pH</c:v>
                </c:pt>
              </c:strCache>
            </c:strRef>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6255-47B6-9AAB-A6F8055CB371}"/>
              </c:ext>
            </c:extLst>
          </c:dPt>
          <c:dPt>
            <c:idx val="7"/>
            <c:invertIfNegative val="0"/>
            <c:bubble3D val="0"/>
            <c:spPr>
              <a:solidFill>
                <a:srgbClr val="0070C0"/>
              </a:solidFill>
            </c:spPr>
            <c:extLst>
              <c:ext xmlns:c16="http://schemas.microsoft.com/office/drawing/2014/chart" uri="{C3380CC4-5D6E-409C-BE32-E72D297353CC}">
                <c16:uniqueId val="{00000003-6255-47B6-9AAB-A6F8055CB371}"/>
              </c:ext>
            </c:extLst>
          </c:dPt>
          <c:dLbls>
            <c:dLbl>
              <c:idx val="0"/>
              <c:delete val="1"/>
              <c:extLst>
                <c:ext xmlns:c15="http://schemas.microsoft.com/office/drawing/2012/chart" uri="{CE6537A1-D6FC-4f65-9D91-7224C49458BB}"/>
                <c:ext xmlns:c16="http://schemas.microsoft.com/office/drawing/2014/chart" uri="{C3380CC4-5D6E-409C-BE32-E72D297353CC}">
                  <c16:uniqueId val="{00000004-6255-47B6-9AAB-A6F8055CB371}"/>
                </c:ext>
              </c:extLst>
            </c:dLbl>
            <c:dLbl>
              <c:idx val="1"/>
              <c:delete val="1"/>
              <c:extLst>
                <c:ext xmlns:c15="http://schemas.microsoft.com/office/drawing/2012/chart" uri="{CE6537A1-D6FC-4f65-9D91-7224C49458BB}"/>
                <c:ext xmlns:c16="http://schemas.microsoft.com/office/drawing/2014/chart" uri="{C3380CC4-5D6E-409C-BE32-E72D297353CC}">
                  <c16:uniqueId val="{00000005-6255-47B6-9AAB-A6F8055CB371}"/>
                </c:ext>
              </c:extLst>
            </c:dLbl>
            <c:dLbl>
              <c:idx val="2"/>
              <c:delete val="1"/>
              <c:extLst>
                <c:ext xmlns:c15="http://schemas.microsoft.com/office/drawing/2012/chart" uri="{CE6537A1-D6FC-4f65-9D91-7224C49458BB}"/>
                <c:ext xmlns:c16="http://schemas.microsoft.com/office/drawing/2014/chart" uri="{C3380CC4-5D6E-409C-BE32-E72D297353CC}">
                  <c16:uniqueId val="{00000006-6255-47B6-9AAB-A6F8055CB371}"/>
                </c:ext>
              </c:extLst>
            </c:dLbl>
            <c:dLbl>
              <c:idx val="4"/>
              <c:delete val="1"/>
              <c:extLst>
                <c:ext xmlns:c15="http://schemas.microsoft.com/office/drawing/2012/chart" uri="{CE6537A1-D6FC-4f65-9D91-7224C49458BB}"/>
                <c:ext xmlns:c16="http://schemas.microsoft.com/office/drawing/2014/chart" uri="{C3380CC4-5D6E-409C-BE32-E72D297353CC}">
                  <c16:uniqueId val="{00000007-6255-47B6-9AAB-A6F8055CB371}"/>
                </c:ext>
              </c:extLst>
            </c:dLbl>
            <c:dLbl>
              <c:idx val="5"/>
              <c:delete val="1"/>
              <c:extLst>
                <c:ext xmlns:c15="http://schemas.microsoft.com/office/drawing/2012/chart" uri="{CE6537A1-D6FC-4f65-9D91-7224C49458BB}"/>
                <c:ext xmlns:c16="http://schemas.microsoft.com/office/drawing/2014/chart" uri="{C3380CC4-5D6E-409C-BE32-E72D297353CC}">
                  <c16:uniqueId val="{00000008-6255-47B6-9AAB-A6F8055CB371}"/>
                </c:ext>
              </c:extLst>
            </c:dLbl>
            <c:dLbl>
              <c:idx val="6"/>
              <c:delete val="1"/>
              <c:extLst>
                <c:ext xmlns:c15="http://schemas.microsoft.com/office/drawing/2012/chart" uri="{CE6537A1-D6FC-4f65-9D91-7224C49458BB}"/>
                <c:ext xmlns:c16="http://schemas.microsoft.com/office/drawing/2014/chart" uri="{C3380CC4-5D6E-409C-BE32-E72D297353CC}">
                  <c16:uniqueId val="{00000009-6255-47B6-9AAB-A6F8055CB37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Sheet5!$A$3:$A$11</c:f>
              <c:strCache>
                <c:ptCount val="9"/>
                <c:pt idx="0">
                  <c:v>Jul-23</c:v>
                </c:pt>
                <c:pt idx="1">
                  <c:v>Aug-23</c:v>
                </c:pt>
                <c:pt idx="2">
                  <c:v>Sep-23</c:v>
                </c:pt>
                <c:pt idx="3">
                  <c:v>M_Wet</c:v>
                </c:pt>
                <c:pt idx="4">
                  <c:v>Jan-24</c:v>
                </c:pt>
                <c:pt idx="5">
                  <c:v>Feb-24</c:v>
                </c:pt>
                <c:pt idx="6">
                  <c:v>Mar-24</c:v>
                </c:pt>
                <c:pt idx="7">
                  <c:v>M_Dry</c:v>
                </c:pt>
                <c:pt idx="8">
                  <c:v>WHO</c:v>
                </c:pt>
              </c:strCache>
            </c:strRef>
          </c:cat>
          <c:val>
            <c:numRef>
              <c:f>Sheet5!$I$71:$I$78</c:f>
              <c:numCache>
                <c:formatCode>0.00</c:formatCode>
                <c:ptCount val="8"/>
                <c:pt idx="0">
                  <c:v>6.53</c:v>
                </c:pt>
                <c:pt idx="1">
                  <c:v>7</c:v>
                </c:pt>
                <c:pt idx="2">
                  <c:v>7.5</c:v>
                </c:pt>
                <c:pt idx="3">
                  <c:v>7.0100000000000007</c:v>
                </c:pt>
                <c:pt idx="4">
                  <c:v>6.52</c:v>
                </c:pt>
                <c:pt idx="5">
                  <c:v>6.57</c:v>
                </c:pt>
                <c:pt idx="6">
                  <c:v>6.7</c:v>
                </c:pt>
                <c:pt idx="7">
                  <c:v>6.5966666666666667</c:v>
                </c:pt>
              </c:numCache>
            </c:numRef>
          </c:val>
          <c:extLst>
            <c:ext xmlns:c16="http://schemas.microsoft.com/office/drawing/2014/chart" uri="{C3380CC4-5D6E-409C-BE32-E72D297353CC}">
              <c16:uniqueId val="{0000000A-6255-47B6-9AAB-A6F8055CB371}"/>
            </c:ext>
          </c:extLst>
        </c:ser>
        <c:dLbls>
          <c:showLegendKey val="0"/>
          <c:showVal val="0"/>
          <c:showCatName val="0"/>
          <c:showSerName val="0"/>
          <c:showPercent val="0"/>
          <c:showBubbleSize val="0"/>
        </c:dLbls>
        <c:gapWidth val="150"/>
        <c:axId val="247190656"/>
        <c:axId val="247192192"/>
      </c:barChart>
      <c:catAx>
        <c:axId val="247190656"/>
        <c:scaling>
          <c:orientation val="minMax"/>
        </c:scaling>
        <c:delete val="0"/>
        <c:axPos val="b"/>
        <c:numFmt formatCode="General" sourceLinked="0"/>
        <c:majorTickMark val="in"/>
        <c:minorTickMark val="in"/>
        <c:tickLblPos val="nextTo"/>
        <c:crossAx val="247192192"/>
        <c:crossesAt val="0"/>
        <c:auto val="1"/>
        <c:lblAlgn val="ctr"/>
        <c:lblOffset val="100"/>
        <c:noMultiLvlLbl val="0"/>
      </c:catAx>
      <c:valAx>
        <c:axId val="247192192"/>
        <c:scaling>
          <c:orientation val="minMax"/>
          <c:max val="10"/>
          <c:min val="0"/>
        </c:scaling>
        <c:delete val="0"/>
        <c:axPos val="l"/>
        <c:numFmt formatCode="0.00" sourceLinked="1"/>
        <c:majorTickMark val="in"/>
        <c:minorTickMark val="in"/>
        <c:tickLblPos val="nextTo"/>
        <c:crossAx val="247190656"/>
        <c:crosses val="autoZero"/>
        <c:crossBetween val="between"/>
        <c:majorUnit val="2"/>
        <c:minorUnit val="1"/>
      </c:valAx>
      <c:spPr>
        <a:solidFill>
          <a:schemeClr val="bg1"/>
        </a:solidFill>
        <a:ln>
          <a:solidFill>
            <a:schemeClr val="tx1"/>
          </a:solidFill>
        </a:ln>
      </c:spPr>
    </c:plotArea>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284438042858121E-2"/>
          <c:y val="4.1420901932712959E-2"/>
          <c:w val="0.88840711247666804"/>
          <c:h val="0.83755189692197562"/>
        </c:manualLayout>
      </c:layout>
      <c:barChart>
        <c:barDir val="col"/>
        <c:grouping val="clustered"/>
        <c:varyColors val="0"/>
        <c:ser>
          <c:idx val="0"/>
          <c:order val="0"/>
          <c:tx>
            <c:v>Temp, (C)</c:v>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0297-4CD8-B8C6-70BB174ACA3E}"/>
              </c:ext>
            </c:extLst>
          </c:dPt>
          <c:dPt>
            <c:idx val="7"/>
            <c:invertIfNegative val="0"/>
            <c:bubble3D val="0"/>
            <c:spPr>
              <a:solidFill>
                <a:srgbClr val="0070C0"/>
              </a:solidFill>
            </c:spPr>
            <c:extLst>
              <c:ext xmlns:c16="http://schemas.microsoft.com/office/drawing/2014/chart" uri="{C3380CC4-5D6E-409C-BE32-E72D297353CC}">
                <c16:uniqueId val="{00000003-0297-4CD8-B8C6-70BB174ACA3E}"/>
              </c:ext>
            </c:extLst>
          </c:dPt>
          <c:dLbls>
            <c:dLbl>
              <c:idx val="0"/>
              <c:delete val="1"/>
              <c:extLst>
                <c:ext xmlns:c15="http://schemas.microsoft.com/office/drawing/2012/chart" uri="{CE6537A1-D6FC-4f65-9D91-7224C49458BB}"/>
                <c:ext xmlns:c16="http://schemas.microsoft.com/office/drawing/2014/chart" uri="{C3380CC4-5D6E-409C-BE32-E72D297353CC}">
                  <c16:uniqueId val="{00000004-0297-4CD8-B8C6-70BB174ACA3E}"/>
                </c:ext>
              </c:extLst>
            </c:dLbl>
            <c:dLbl>
              <c:idx val="1"/>
              <c:delete val="1"/>
              <c:extLst>
                <c:ext xmlns:c15="http://schemas.microsoft.com/office/drawing/2012/chart" uri="{CE6537A1-D6FC-4f65-9D91-7224C49458BB}"/>
                <c:ext xmlns:c16="http://schemas.microsoft.com/office/drawing/2014/chart" uri="{C3380CC4-5D6E-409C-BE32-E72D297353CC}">
                  <c16:uniqueId val="{00000005-0297-4CD8-B8C6-70BB174ACA3E}"/>
                </c:ext>
              </c:extLst>
            </c:dLbl>
            <c:dLbl>
              <c:idx val="2"/>
              <c:delete val="1"/>
              <c:extLst>
                <c:ext xmlns:c15="http://schemas.microsoft.com/office/drawing/2012/chart" uri="{CE6537A1-D6FC-4f65-9D91-7224C49458BB}"/>
                <c:ext xmlns:c16="http://schemas.microsoft.com/office/drawing/2014/chart" uri="{C3380CC4-5D6E-409C-BE32-E72D297353CC}">
                  <c16:uniqueId val="{00000006-0297-4CD8-B8C6-70BB174ACA3E}"/>
                </c:ext>
              </c:extLst>
            </c:dLbl>
            <c:dLbl>
              <c:idx val="4"/>
              <c:delete val="1"/>
              <c:extLst>
                <c:ext xmlns:c15="http://schemas.microsoft.com/office/drawing/2012/chart" uri="{CE6537A1-D6FC-4f65-9D91-7224C49458BB}"/>
                <c:ext xmlns:c16="http://schemas.microsoft.com/office/drawing/2014/chart" uri="{C3380CC4-5D6E-409C-BE32-E72D297353CC}">
                  <c16:uniqueId val="{00000007-0297-4CD8-B8C6-70BB174ACA3E}"/>
                </c:ext>
              </c:extLst>
            </c:dLbl>
            <c:dLbl>
              <c:idx val="5"/>
              <c:delete val="1"/>
              <c:extLst>
                <c:ext xmlns:c15="http://schemas.microsoft.com/office/drawing/2012/chart" uri="{CE6537A1-D6FC-4f65-9D91-7224C49458BB}"/>
                <c:ext xmlns:c16="http://schemas.microsoft.com/office/drawing/2014/chart" uri="{C3380CC4-5D6E-409C-BE32-E72D297353CC}">
                  <c16:uniqueId val="{00000008-0297-4CD8-B8C6-70BB174ACA3E}"/>
                </c:ext>
              </c:extLst>
            </c:dLbl>
            <c:dLbl>
              <c:idx val="6"/>
              <c:delete val="1"/>
              <c:extLst>
                <c:ext xmlns:c15="http://schemas.microsoft.com/office/drawing/2012/chart" uri="{CE6537A1-D6FC-4f65-9D91-7224C49458BB}"/>
                <c:ext xmlns:c16="http://schemas.microsoft.com/office/drawing/2014/chart" uri="{C3380CC4-5D6E-409C-BE32-E72D297353CC}">
                  <c16:uniqueId val="{00000009-0297-4CD8-B8C6-70BB174ACA3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Sheet5!$A$3:$A$11</c:f>
              <c:strCache>
                <c:ptCount val="9"/>
                <c:pt idx="0">
                  <c:v>Jul-23</c:v>
                </c:pt>
                <c:pt idx="1">
                  <c:v>Aug-23</c:v>
                </c:pt>
                <c:pt idx="2">
                  <c:v>Sep-23</c:v>
                </c:pt>
                <c:pt idx="3">
                  <c:v>M_Wet</c:v>
                </c:pt>
                <c:pt idx="4">
                  <c:v>Jan-24</c:v>
                </c:pt>
                <c:pt idx="5">
                  <c:v>Feb-24</c:v>
                </c:pt>
                <c:pt idx="6">
                  <c:v>Mar-24</c:v>
                </c:pt>
                <c:pt idx="7">
                  <c:v>M_Dry</c:v>
                </c:pt>
                <c:pt idx="8">
                  <c:v>WHO</c:v>
                </c:pt>
              </c:strCache>
            </c:strRef>
          </c:cat>
          <c:val>
            <c:numRef>
              <c:f>Sheet5!$J$71:$J$78</c:f>
              <c:numCache>
                <c:formatCode>0.00</c:formatCode>
                <c:ptCount val="8"/>
                <c:pt idx="0">
                  <c:v>24.2</c:v>
                </c:pt>
                <c:pt idx="1">
                  <c:v>25.4</c:v>
                </c:pt>
                <c:pt idx="2">
                  <c:v>26</c:v>
                </c:pt>
                <c:pt idx="3">
                  <c:v>25.2</c:v>
                </c:pt>
                <c:pt idx="4">
                  <c:v>24.6</c:v>
                </c:pt>
                <c:pt idx="5">
                  <c:v>25</c:v>
                </c:pt>
                <c:pt idx="6">
                  <c:v>24.8</c:v>
                </c:pt>
                <c:pt idx="7">
                  <c:v>24.8</c:v>
                </c:pt>
              </c:numCache>
            </c:numRef>
          </c:val>
          <c:extLst>
            <c:ext xmlns:c16="http://schemas.microsoft.com/office/drawing/2014/chart" uri="{C3380CC4-5D6E-409C-BE32-E72D297353CC}">
              <c16:uniqueId val="{0000000A-0297-4CD8-B8C6-70BB174ACA3E}"/>
            </c:ext>
          </c:extLst>
        </c:ser>
        <c:dLbls>
          <c:showLegendKey val="0"/>
          <c:showVal val="0"/>
          <c:showCatName val="0"/>
          <c:showSerName val="0"/>
          <c:showPercent val="0"/>
          <c:showBubbleSize val="0"/>
        </c:dLbls>
        <c:gapWidth val="150"/>
        <c:axId val="247370112"/>
        <c:axId val="247371648"/>
      </c:barChart>
      <c:catAx>
        <c:axId val="247370112"/>
        <c:scaling>
          <c:orientation val="minMax"/>
        </c:scaling>
        <c:delete val="0"/>
        <c:axPos val="b"/>
        <c:numFmt formatCode="General" sourceLinked="0"/>
        <c:majorTickMark val="in"/>
        <c:minorTickMark val="in"/>
        <c:tickLblPos val="nextTo"/>
        <c:crossAx val="247371648"/>
        <c:crossesAt val="0"/>
        <c:auto val="1"/>
        <c:lblAlgn val="ctr"/>
        <c:lblOffset val="100"/>
        <c:noMultiLvlLbl val="0"/>
      </c:catAx>
      <c:valAx>
        <c:axId val="247371648"/>
        <c:scaling>
          <c:orientation val="minMax"/>
          <c:max val="30"/>
          <c:min val="0"/>
        </c:scaling>
        <c:delete val="0"/>
        <c:axPos val="l"/>
        <c:numFmt formatCode="0.00" sourceLinked="1"/>
        <c:majorTickMark val="in"/>
        <c:minorTickMark val="in"/>
        <c:tickLblPos val="nextTo"/>
        <c:crossAx val="247370112"/>
        <c:crosses val="autoZero"/>
        <c:crossBetween val="between"/>
        <c:majorUnit val="5"/>
        <c:minorUnit val="5"/>
      </c:valAx>
      <c:spPr>
        <a:solidFill>
          <a:schemeClr val="bg1"/>
        </a:solidFill>
        <a:ln>
          <a:solidFill>
            <a:schemeClr val="tx1"/>
          </a:solidFill>
        </a:ln>
      </c:spPr>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3638920134982"/>
          <c:y val="5.9879605362512509E-2"/>
          <c:w val="0.85263852285404773"/>
          <c:h val="0.80925077373339982"/>
        </c:manualLayout>
      </c:layout>
      <c:barChart>
        <c:barDir val="col"/>
        <c:grouping val="clustered"/>
        <c:varyColors val="0"/>
        <c:ser>
          <c:idx val="0"/>
          <c:order val="0"/>
          <c:tx>
            <c:v>Electrical Conductivity</c:v>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54B9-4630-AAFD-209B3CC605D9}"/>
              </c:ext>
            </c:extLst>
          </c:dPt>
          <c:dPt>
            <c:idx val="7"/>
            <c:invertIfNegative val="0"/>
            <c:bubble3D val="0"/>
            <c:spPr>
              <a:solidFill>
                <a:srgbClr val="0070C0"/>
              </a:solidFill>
            </c:spPr>
            <c:extLst>
              <c:ext xmlns:c16="http://schemas.microsoft.com/office/drawing/2014/chart" uri="{C3380CC4-5D6E-409C-BE32-E72D297353CC}">
                <c16:uniqueId val="{00000003-54B9-4630-AAFD-209B3CC605D9}"/>
              </c:ext>
            </c:extLst>
          </c:dPt>
          <c:dLbls>
            <c:dLbl>
              <c:idx val="0"/>
              <c:delete val="1"/>
              <c:extLst>
                <c:ext xmlns:c15="http://schemas.microsoft.com/office/drawing/2012/chart" uri="{CE6537A1-D6FC-4f65-9D91-7224C49458BB}"/>
                <c:ext xmlns:c16="http://schemas.microsoft.com/office/drawing/2014/chart" uri="{C3380CC4-5D6E-409C-BE32-E72D297353CC}">
                  <c16:uniqueId val="{00000004-54B9-4630-AAFD-209B3CC605D9}"/>
                </c:ext>
              </c:extLst>
            </c:dLbl>
            <c:dLbl>
              <c:idx val="1"/>
              <c:delete val="1"/>
              <c:extLst>
                <c:ext xmlns:c15="http://schemas.microsoft.com/office/drawing/2012/chart" uri="{CE6537A1-D6FC-4f65-9D91-7224C49458BB}"/>
                <c:ext xmlns:c16="http://schemas.microsoft.com/office/drawing/2014/chart" uri="{C3380CC4-5D6E-409C-BE32-E72D297353CC}">
                  <c16:uniqueId val="{00000005-54B9-4630-AAFD-209B3CC605D9}"/>
                </c:ext>
              </c:extLst>
            </c:dLbl>
            <c:dLbl>
              <c:idx val="2"/>
              <c:delete val="1"/>
              <c:extLst>
                <c:ext xmlns:c15="http://schemas.microsoft.com/office/drawing/2012/chart" uri="{CE6537A1-D6FC-4f65-9D91-7224C49458BB}"/>
                <c:ext xmlns:c16="http://schemas.microsoft.com/office/drawing/2014/chart" uri="{C3380CC4-5D6E-409C-BE32-E72D297353CC}">
                  <c16:uniqueId val="{00000006-54B9-4630-AAFD-209B3CC605D9}"/>
                </c:ext>
              </c:extLst>
            </c:dLbl>
            <c:dLbl>
              <c:idx val="4"/>
              <c:delete val="1"/>
              <c:extLst>
                <c:ext xmlns:c15="http://schemas.microsoft.com/office/drawing/2012/chart" uri="{CE6537A1-D6FC-4f65-9D91-7224C49458BB}"/>
                <c:ext xmlns:c16="http://schemas.microsoft.com/office/drawing/2014/chart" uri="{C3380CC4-5D6E-409C-BE32-E72D297353CC}">
                  <c16:uniqueId val="{00000007-54B9-4630-AAFD-209B3CC605D9}"/>
                </c:ext>
              </c:extLst>
            </c:dLbl>
            <c:dLbl>
              <c:idx val="5"/>
              <c:delete val="1"/>
              <c:extLst>
                <c:ext xmlns:c15="http://schemas.microsoft.com/office/drawing/2012/chart" uri="{CE6537A1-D6FC-4f65-9D91-7224C49458BB}"/>
                <c:ext xmlns:c16="http://schemas.microsoft.com/office/drawing/2014/chart" uri="{C3380CC4-5D6E-409C-BE32-E72D297353CC}">
                  <c16:uniqueId val="{00000008-54B9-4630-AAFD-209B3CC605D9}"/>
                </c:ext>
              </c:extLst>
            </c:dLbl>
            <c:dLbl>
              <c:idx val="6"/>
              <c:delete val="1"/>
              <c:extLst>
                <c:ext xmlns:c15="http://schemas.microsoft.com/office/drawing/2012/chart" uri="{CE6537A1-D6FC-4f65-9D91-7224C49458BB}"/>
                <c:ext xmlns:c16="http://schemas.microsoft.com/office/drawing/2014/chart" uri="{C3380CC4-5D6E-409C-BE32-E72D297353CC}">
                  <c16:uniqueId val="{00000009-54B9-4630-AAFD-209B3CC605D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Sheet5!$A$3:$A$11</c:f>
              <c:strCache>
                <c:ptCount val="9"/>
                <c:pt idx="0">
                  <c:v>Jul-23</c:v>
                </c:pt>
                <c:pt idx="1">
                  <c:v>Aug-23</c:v>
                </c:pt>
                <c:pt idx="2">
                  <c:v>Sep-23</c:v>
                </c:pt>
                <c:pt idx="3">
                  <c:v>M_Wet</c:v>
                </c:pt>
                <c:pt idx="4">
                  <c:v>Jan-24</c:v>
                </c:pt>
                <c:pt idx="5">
                  <c:v>Feb-24</c:v>
                </c:pt>
                <c:pt idx="6">
                  <c:v>Mar-24</c:v>
                </c:pt>
                <c:pt idx="7">
                  <c:v>M_Dry</c:v>
                </c:pt>
                <c:pt idx="8">
                  <c:v>WHO</c:v>
                </c:pt>
              </c:strCache>
            </c:strRef>
          </c:cat>
          <c:val>
            <c:numRef>
              <c:f>Sheet5!$L$71:$L$78</c:f>
              <c:numCache>
                <c:formatCode>0.00</c:formatCode>
                <c:ptCount val="8"/>
                <c:pt idx="0">
                  <c:v>7733</c:v>
                </c:pt>
                <c:pt idx="1">
                  <c:v>1149</c:v>
                </c:pt>
                <c:pt idx="2">
                  <c:v>6743</c:v>
                </c:pt>
                <c:pt idx="3">
                  <c:v>5208.333333333333</c:v>
                </c:pt>
                <c:pt idx="4">
                  <c:v>1702.6</c:v>
                </c:pt>
                <c:pt idx="5">
                  <c:v>12562</c:v>
                </c:pt>
                <c:pt idx="6">
                  <c:v>16082</c:v>
                </c:pt>
                <c:pt idx="7">
                  <c:v>10115.533333333333</c:v>
                </c:pt>
              </c:numCache>
            </c:numRef>
          </c:val>
          <c:extLst>
            <c:ext xmlns:c16="http://schemas.microsoft.com/office/drawing/2014/chart" uri="{C3380CC4-5D6E-409C-BE32-E72D297353CC}">
              <c16:uniqueId val="{0000000A-54B9-4630-AAFD-209B3CC605D9}"/>
            </c:ext>
          </c:extLst>
        </c:ser>
        <c:dLbls>
          <c:showLegendKey val="0"/>
          <c:showVal val="0"/>
          <c:showCatName val="0"/>
          <c:showSerName val="0"/>
          <c:showPercent val="0"/>
          <c:showBubbleSize val="0"/>
        </c:dLbls>
        <c:gapWidth val="150"/>
        <c:axId val="247405952"/>
        <c:axId val="247460992"/>
      </c:barChart>
      <c:catAx>
        <c:axId val="247405952"/>
        <c:scaling>
          <c:orientation val="minMax"/>
        </c:scaling>
        <c:delete val="0"/>
        <c:axPos val="b"/>
        <c:numFmt formatCode="General" sourceLinked="0"/>
        <c:majorTickMark val="in"/>
        <c:minorTickMark val="in"/>
        <c:tickLblPos val="nextTo"/>
        <c:crossAx val="247460992"/>
        <c:crossesAt val="0"/>
        <c:auto val="1"/>
        <c:lblAlgn val="ctr"/>
        <c:lblOffset val="100"/>
        <c:noMultiLvlLbl val="0"/>
      </c:catAx>
      <c:valAx>
        <c:axId val="247460992"/>
        <c:scaling>
          <c:orientation val="minMax"/>
          <c:max val="4000"/>
          <c:min val="0"/>
        </c:scaling>
        <c:delete val="0"/>
        <c:axPos val="l"/>
        <c:numFmt formatCode="0.00" sourceLinked="1"/>
        <c:majorTickMark val="in"/>
        <c:minorTickMark val="in"/>
        <c:tickLblPos val="nextTo"/>
        <c:crossAx val="247405952"/>
        <c:crosses val="autoZero"/>
        <c:crossBetween val="between"/>
        <c:majorUnit val="1000"/>
        <c:minorUnit val="1000"/>
      </c:valAx>
      <c:spPr>
        <a:solidFill>
          <a:schemeClr val="bg1"/>
        </a:solidFill>
        <a:ln>
          <a:solidFill>
            <a:schemeClr val="tx1"/>
          </a:solidFill>
        </a:ln>
      </c:spPr>
    </c:plotArea>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992453438521724"/>
          <c:y val="0.10829816830666393"/>
          <c:w val="0.84455373020790825"/>
          <c:h val="0.80137901681208767"/>
        </c:manualLayout>
      </c:layout>
      <c:barChart>
        <c:barDir val="col"/>
        <c:grouping val="clustered"/>
        <c:varyColors val="0"/>
        <c:ser>
          <c:idx val="0"/>
          <c:order val="0"/>
          <c:tx>
            <c:strRef>
              <c:f>Sheet5!$E$2</c:f>
              <c:strCache>
                <c:ptCount val="1"/>
                <c:pt idx="0">
                  <c:v>Chloride (mg/l)</c:v>
                </c:pt>
              </c:strCache>
            </c:strRef>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9472-4854-A1C4-53256C9115DE}"/>
              </c:ext>
            </c:extLst>
          </c:dPt>
          <c:dPt>
            <c:idx val="7"/>
            <c:invertIfNegative val="0"/>
            <c:bubble3D val="0"/>
            <c:spPr>
              <a:solidFill>
                <a:srgbClr val="0070C0"/>
              </a:solidFill>
            </c:spPr>
            <c:extLst>
              <c:ext xmlns:c16="http://schemas.microsoft.com/office/drawing/2014/chart" uri="{C3380CC4-5D6E-409C-BE32-E72D297353CC}">
                <c16:uniqueId val="{00000003-9472-4854-A1C4-53256C9115DE}"/>
              </c:ext>
            </c:extLst>
          </c:dPt>
          <c:dLbls>
            <c:dLbl>
              <c:idx val="0"/>
              <c:delete val="1"/>
              <c:extLst>
                <c:ext xmlns:c15="http://schemas.microsoft.com/office/drawing/2012/chart" uri="{CE6537A1-D6FC-4f65-9D91-7224C49458BB}"/>
                <c:ext xmlns:c16="http://schemas.microsoft.com/office/drawing/2014/chart" uri="{C3380CC4-5D6E-409C-BE32-E72D297353CC}">
                  <c16:uniqueId val="{00000004-9472-4854-A1C4-53256C9115DE}"/>
                </c:ext>
              </c:extLst>
            </c:dLbl>
            <c:dLbl>
              <c:idx val="1"/>
              <c:delete val="1"/>
              <c:extLst>
                <c:ext xmlns:c15="http://schemas.microsoft.com/office/drawing/2012/chart" uri="{CE6537A1-D6FC-4f65-9D91-7224C49458BB}"/>
                <c:ext xmlns:c16="http://schemas.microsoft.com/office/drawing/2014/chart" uri="{C3380CC4-5D6E-409C-BE32-E72D297353CC}">
                  <c16:uniqueId val="{00000005-9472-4854-A1C4-53256C9115DE}"/>
                </c:ext>
              </c:extLst>
            </c:dLbl>
            <c:dLbl>
              <c:idx val="2"/>
              <c:delete val="1"/>
              <c:extLst>
                <c:ext xmlns:c15="http://schemas.microsoft.com/office/drawing/2012/chart" uri="{CE6537A1-D6FC-4f65-9D91-7224C49458BB}"/>
                <c:ext xmlns:c16="http://schemas.microsoft.com/office/drawing/2014/chart" uri="{C3380CC4-5D6E-409C-BE32-E72D297353CC}">
                  <c16:uniqueId val="{00000006-9472-4854-A1C4-53256C9115DE}"/>
                </c:ext>
              </c:extLst>
            </c:dLbl>
            <c:dLbl>
              <c:idx val="4"/>
              <c:delete val="1"/>
              <c:extLst>
                <c:ext xmlns:c15="http://schemas.microsoft.com/office/drawing/2012/chart" uri="{CE6537A1-D6FC-4f65-9D91-7224C49458BB}"/>
                <c:ext xmlns:c16="http://schemas.microsoft.com/office/drawing/2014/chart" uri="{C3380CC4-5D6E-409C-BE32-E72D297353CC}">
                  <c16:uniqueId val="{00000007-9472-4854-A1C4-53256C9115DE}"/>
                </c:ext>
              </c:extLst>
            </c:dLbl>
            <c:dLbl>
              <c:idx val="5"/>
              <c:delete val="1"/>
              <c:extLst>
                <c:ext xmlns:c15="http://schemas.microsoft.com/office/drawing/2012/chart" uri="{CE6537A1-D6FC-4f65-9D91-7224C49458BB}"/>
                <c:ext xmlns:c16="http://schemas.microsoft.com/office/drawing/2014/chart" uri="{C3380CC4-5D6E-409C-BE32-E72D297353CC}">
                  <c16:uniqueId val="{00000008-9472-4854-A1C4-53256C9115DE}"/>
                </c:ext>
              </c:extLst>
            </c:dLbl>
            <c:dLbl>
              <c:idx val="6"/>
              <c:delete val="1"/>
              <c:extLst>
                <c:ext xmlns:c15="http://schemas.microsoft.com/office/drawing/2012/chart" uri="{CE6537A1-D6FC-4f65-9D91-7224C49458BB}"/>
                <c:ext xmlns:c16="http://schemas.microsoft.com/office/drawing/2014/chart" uri="{C3380CC4-5D6E-409C-BE32-E72D297353CC}">
                  <c16:uniqueId val="{00000009-9472-4854-A1C4-53256C9115DE}"/>
                </c:ext>
              </c:extLst>
            </c:dLbl>
            <c:dLbl>
              <c:idx val="8"/>
              <c:tx>
                <c:rich>
                  <a:bodyPr/>
                  <a:lstStyle/>
                  <a:p>
                    <a:r>
                      <a:rPr lang="en-US"/>
                      <a:t>250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472-4854-A1C4-53256C9115DE}"/>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Sheet5!$A$3:$A$11</c:f>
              <c:strCache>
                <c:ptCount val="9"/>
                <c:pt idx="0">
                  <c:v>Jul-23</c:v>
                </c:pt>
                <c:pt idx="1">
                  <c:v>Aug-23</c:v>
                </c:pt>
                <c:pt idx="2">
                  <c:v>Sep-23</c:v>
                </c:pt>
                <c:pt idx="3">
                  <c:v>M_Wet</c:v>
                </c:pt>
                <c:pt idx="4">
                  <c:v>Jan-24</c:v>
                </c:pt>
                <c:pt idx="5">
                  <c:v>Feb-24</c:v>
                </c:pt>
                <c:pt idx="6">
                  <c:v>Mar-24</c:v>
                </c:pt>
                <c:pt idx="7">
                  <c:v>M_Dry</c:v>
                </c:pt>
                <c:pt idx="8">
                  <c:v>WHO</c:v>
                </c:pt>
              </c:strCache>
            </c:strRef>
          </c:cat>
          <c:val>
            <c:numRef>
              <c:f>Sheet5!$K$71:$K$78</c:f>
              <c:numCache>
                <c:formatCode>0.00</c:formatCode>
                <c:ptCount val="8"/>
                <c:pt idx="0">
                  <c:v>7573.5</c:v>
                </c:pt>
                <c:pt idx="1">
                  <c:v>1622</c:v>
                </c:pt>
                <c:pt idx="2">
                  <c:v>6534</c:v>
                </c:pt>
                <c:pt idx="3">
                  <c:v>5243.166666666667</c:v>
                </c:pt>
                <c:pt idx="4">
                  <c:v>11464.3</c:v>
                </c:pt>
                <c:pt idx="5">
                  <c:v>12001</c:v>
                </c:pt>
                <c:pt idx="6">
                  <c:v>11900</c:v>
                </c:pt>
                <c:pt idx="7">
                  <c:v>11788.433333333334</c:v>
                </c:pt>
              </c:numCache>
            </c:numRef>
          </c:val>
          <c:extLst>
            <c:ext xmlns:c16="http://schemas.microsoft.com/office/drawing/2014/chart" uri="{C3380CC4-5D6E-409C-BE32-E72D297353CC}">
              <c16:uniqueId val="{0000000B-9472-4854-A1C4-53256C9115DE}"/>
            </c:ext>
          </c:extLst>
        </c:ser>
        <c:dLbls>
          <c:showLegendKey val="0"/>
          <c:showVal val="0"/>
          <c:showCatName val="0"/>
          <c:showSerName val="0"/>
          <c:showPercent val="0"/>
          <c:showBubbleSize val="0"/>
        </c:dLbls>
        <c:gapWidth val="150"/>
        <c:axId val="149960192"/>
        <c:axId val="149961728"/>
      </c:barChart>
      <c:catAx>
        <c:axId val="149960192"/>
        <c:scaling>
          <c:orientation val="minMax"/>
        </c:scaling>
        <c:delete val="0"/>
        <c:axPos val="b"/>
        <c:numFmt formatCode="General" sourceLinked="0"/>
        <c:majorTickMark val="in"/>
        <c:minorTickMark val="in"/>
        <c:tickLblPos val="nextTo"/>
        <c:crossAx val="149961728"/>
        <c:crossesAt val="0"/>
        <c:auto val="1"/>
        <c:lblAlgn val="ctr"/>
        <c:lblOffset val="100"/>
        <c:noMultiLvlLbl val="0"/>
      </c:catAx>
      <c:valAx>
        <c:axId val="149961728"/>
        <c:scaling>
          <c:orientation val="minMax"/>
          <c:max val="15500"/>
          <c:min val="3000"/>
        </c:scaling>
        <c:delete val="0"/>
        <c:axPos val="l"/>
        <c:numFmt formatCode="0.00" sourceLinked="1"/>
        <c:majorTickMark val="in"/>
        <c:minorTickMark val="in"/>
        <c:tickLblPos val="nextTo"/>
        <c:crossAx val="149960192"/>
        <c:crosses val="autoZero"/>
        <c:crossBetween val="between"/>
        <c:majorUnit val="2000"/>
        <c:minorUnit val="1000"/>
      </c:valAx>
      <c:spPr>
        <a:solidFill>
          <a:schemeClr val="bg1"/>
        </a:solidFill>
        <a:ln>
          <a:solidFill>
            <a:schemeClr val="tx1"/>
          </a:solidFill>
        </a:ln>
      </c:spPr>
    </c:plotArea>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822192846332174E-2"/>
          <c:y val="4.1606584891174324E-2"/>
          <c:w val="0.88685269268348754"/>
          <c:h val="0.84627171603549556"/>
        </c:manualLayout>
      </c:layout>
      <c:barChart>
        <c:barDir val="col"/>
        <c:grouping val="clustered"/>
        <c:varyColors val="0"/>
        <c:ser>
          <c:idx val="0"/>
          <c:order val="0"/>
          <c:tx>
            <c:strRef>
              <c:f>Sheet5!$S$70</c:f>
              <c:strCache>
                <c:ptCount val="1"/>
                <c:pt idx="0">
                  <c:v>Sulphate (mg/kg)</c:v>
                </c:pt>
              </c:strCache>
            </c:strRef>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5A0D-4A50-B2CE-41AA93BC1AF0}"/>
              </c:ext>
            </c:extLst>
          </c:dPt>
          <c:dPt>
            <c:idx val="7"/>
            <c:invertIfNegative val="0"/>
            <c:bubble3D val="0"/>
            <c:spPr>
              <a:solidFill>
                <a:srgbClr val="0070C0"/>
              </a:solidFill>
            </c:spPr>
            <c:extLst>
              <c:ext xmlns:c16="http://schemas.microsoft.com/office/drawing/2014/chart" uri="{C3380CC4-5D6E-409C-BE32-E72D297353CC}">
                <c16:uniqueId val="{00000003-5A0D-4A50-B2CE-41AA93BC1AF0}"/>
              </c:ext>
            </c:extLst>
          </c:dPt>
          <c:dLbls>
            <c:dLbl>
              <c:idx val="0"/>
              <c:delete val="1"/>
              <c:extLst>
                <c:ext xmlns:c15="http://schemas.microsoft.com/office/drawing/2012/chart" uri="{CE6537A1-D6FC-4f65-9D91-7224C49458BB}"/>
                <c:ext xmlns:c16="http://schemas.microsoft.com/office/drawing/2014/chart" uri="{C3380CC4-5D6E-409C-BE32-E72D297353CC}">
                  <c16:uniqueId val="{00000004-5A0D-4A50-B2CE-41AA93BC1AF0}"/>
                </c:ext>
              </c:extLst>
            </c:dLbl>
            <c:dLbl>
              <c:idx val="1"/>
              <c:delete val="1"/>
              <c:extLst>
                <c:ext xmlns:c15="http://schemas.microsoft.com/office/drawing/2012/chart" uri="{CE6537A1-D6FC-4f65-9D91-7224C49458BB}"/>
                <c:ext xmlns:c16="http://schemas.microsoft.com/office/drawing/2014/chart" uri="{C3380CC4-5D6E-409C-BE32-E72D297353CC}">
                  <c16:uniqueId val="{00000005-5A0D-4A50-B2CE-41AA93BC1AF0}"/>
                </c:ext>
              </c:extLst>
            </c:dLbl>
            <c:dLbl>
              <c:idx val="2"/>
              <c:delete val="1"/>
              <c:extLst>
                <c:ext xmlns:c15="http://schemas.microsoft.com/office/drawing/2012/chart" uri="{CE6537A1-D6FC-4f65-9D91-7224C49458BB}"/>
                <c:ext xmlns:c16="http://schemas.microsoft.com/office/drawing/2014/chart" uri="{C3380CC4-5D6E-409C-BE32-E72D297353CC}">
                  <c16:uniqueId val="{00000006-5A0D-4A50-B2CE-41AA93BC1AF0}"/>
                </c:ext>
              </c:extLst>
            </c:dLbl>
            <c:dLbl>
              <c:idx val="4"/>
              <c:delete val="1"/>
              <c:extLst>
                <c:ext xmlns:c15="http://schemas.microsoft.com/office/drawing/2012/chart" uri="{CE6537A1-D6FC-4f65-9D91-7224C49458BB}"/>
                <c:ext xmlns:c16="http://schemas.microsoft.com/office/drawing/2014/chart" uri="{C3380CC4-5D6E-409C-BE32-E72D297353CC}">
                  <c16:uniqueId val="{00000007-5A0D-4A50-B2CE-41AA93BC1AF0}"/>
                </c:ext>
              </c:extLst>
            </c:dLbl>
            <c:dLbl>
              <c:idx val="5"/>
              <c:delete val="1"/>
              <c:extLst>
                <c:ext xmlns:c15="http://schemas.microsoft.com/office/drawing/2012/chart" uri="{CE6537A1-D6FC-4f65-9D91-7224C49458BB}"/>
                <c:ext xmlns:c16="http://schemas.microsoft.com/office/drawing/2014/chart" uri="{C3380CC4-5D6E-409C-BE32-E72D297353CC}">
                  <c16:uniqueId val="{00000008-5A0D-4A50-B2CE-41AA93BC1AF0}"/>
                </c:ext>
              </c:extLst>
            </c:dLbl>
            <c:dLbl>
              <c:idx val="6"/>
              <c:delete val="1"/>
              <c:extLst>
                <c:ext xmlns:c15="http://schemas.microsoft.com/office/drawing/2012/chart" uri="{CE6537A1-D6FC-4f65-9D91-7224C49458BB}"/>
                <c:ext xmlns:c16="http://schemas.microsoft.com/office/drawing/2014/chart" uri="{C3380CC4-5D6E-409C-BE32-E72D297353CC}">
                  <c16:uniqueId val="{00000009-5A0D-4A50-B2CE-41AA93BC1AF0}"/>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Sheet5!$A$3:$A$11</c:f>
              <c:strCache>
                <c:ptCount val="9"/>
                <c:pt idx="0">
                  <c:v>Jul-23</c:v>
                </c:pt>
                <c:pt idx="1">
                  <c:v>Aug-23</c:v>
                </c:pt>
                <c:pt idx="2">
                  <c:v>Sep-23</c:v>
                </c:pt>
                <c:pt idx="3">
                  <c:v>M_Wet</c:v>
                </c:pt>
                <c:pt idx="4">
                  <c:v>Jan-24</c:v>
                </c:pt>
                <c:pt idx="5">
                  <c:v>Feb-24</c:v>
                </c:pt>
                <c:pt idx="6">
                  <c:v>Mar-24</c:v>
                </c:pt>
                <c:pt idx="7">
                  <c:v>M_Dry</c:v>
                </c:pt>
                <c:pt idx="8">
                  <c:v>WHO</c:v>
                </c:pt>
              </c:strCache>
            </c:strRef>
          </c:cat>
          <c:val>
            <c:numRef>
              <c:f>Sheet5!$S$71:$S$78</c:f>
              <c:numCache>
                <c:formatCode>0.00</c:formatCode>
                <c:ptCount val="8"/>
                <c:pt idx="0">
                  <c:v>13.45</c:v>
                </c:pt>
                <c:pt idx="1">
                  <c:v>15</c:v>
                </c:pt>
                <c:pt idx="2">
                  <c:v>16</c:v>
                </c:pt>
                <c:pt idx="3">
                  <c:v>14.816666666666668</c:v>
                </c:pt>
                <c:pt idx="4">
                  <c:v>14.1</c:v>
                </c:pt>
                <c:pt idx="5">
                  <c:v>16</c:v>
                </c:pt>
                <c:pt idx="6">
                  <c:v>15.7</c:v>
                </c:pt>
                <c:pt idx="7">
                  <c:v>15.266666666666666</c:v>
                </c:pt>
              </c:numCache>
            </c:numRef>
          </c:val>
          <c:extLst>
            <c:ext xmlns:c16="http://schemas.microsoft.com/office/drawing/2014/chart" uri="{C3380CC4-5D6E-409C-BE32-E72D297353CC}">
              <c16:uniqueId val="{0000000A-5A0D-4A50-B2CE-41AA93BC1AF0}"/>
            </c:ext>
          </c:extLst>
        </c:ser>
        <c:dLbls>
          <c:showLegendKey val="0"/>
          <c:showVal val="0"/>
          <c:showCatName val="0"/>
          <c:showSerName val="0"/>
          <c:showPercent val="0"/>
          <c:showBubbleSize val="0"/>
        </c:dLbls>
        <c:gapWidth val="150"/>
        <c:axId val="151503616"/>
        <c:axId val="151505152"/>
      </c:barChart>
      <c:catAx>
        <c:axId val="151503616"/>
        <c:scaling>
          <c:orientation val="minMax"/>
        </c:scaling>
        <c:delete val="0"/>
        <c:axPos val="b"/>
        <c:numFmt formatCode="General" sourceLinked="0"/>
        <c:majorTickMark val="in"/>
        <c:minorTickMark val="in"/>
        <c:tickLblPos val="nextTo"/>
        <c:crossAx val="151505152"/>
        <c:crossesAt val="0"/>
        <c:auto val="1"/>
        <c:lblAlgn val="ctr"/>
        <c:lblOffset val="100"/>
        <c:noMultiLvlLbl val="0"/>
      </c:catAx>
      <c:valAx>
        <c:axId val="151505152"/>
        <c:scaling>
          <c:orientation val="minMax"/>
          <c:max val="20"/>
          <c:min val="0"/>
        </c:scaling>
        <c:delete val="0"/>
        <c:axPos val="l"/>
        <c:numFmt formatCode="0.00" sourceLinked="1"/>
        <c:majorTickMark val="in"/>
        <c:minorTickMark val="in"/>
        <c:tickLblPos val="nextTo"/>
        <c:crossAx val="151503616"/>
        <c:crosses val="autoZero"/>
        <c:crossBetween val="between"/>
        <c:majorUnit val="5"/>
        <c:minorUnit val="1"/>
      </c:valAx>
      <c:spPr>
        <a:solidFill>
          <a:schemeClr val="bg1"/>
        </a:solidFill>
        <a:ln>
          <a:solidFill>
            <a:schemeClr val="tx1"/>
          </a:solidFill>
        </a:ln>
      </c:spPr>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5807910144591626E-2"/>
          <c:y val="3.2417103240580981E-2"/>
          <c:w val="0.8806838613677227"/>
          <c:h val="0.86106680887996567"/>
        </c:manualLayout>
      </c:layout>
      <c:barChart>
        <c:barDir val="col"/>
        <c:grouping val="clustered"/>
        <c:varyColors val="0"/>
        <c:ser>
          <c:idx val="0"/>
          <c:order val="0"/>
          <c:tx>
            <c:strRef>
              <c:f>Sheet5!$M$2</c:f>
              <c:strCache>
                <c:ptCount val="1"/>
                <c:pt idx="0">
                  <c:v>Nitrate (mg/l)</c:v>
                </c:pt>
              </c:strCache>
            </c:strRef>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4A70-4862-8FF1-35B46188BF5B}"/>
              </c:ext>
            </c:extLst>
          </c:dPt>
          <c:dPt>
            <c:idx val="7"/>
            <c:invertIfNegative val="0"/>
            <c:bubble3D val="0"/>
            <c:spPr>
              <a:solidFill>
                <a:srgbClr val="0070C0"/>
              </a:solidFill>
            </c:spPr>
            <c:extLst>
              <c:ext xmlns:c16="http://schemas.microsoft.com/office/drawing/2014/chart" uri="{C3380CC4-5D6E-409C-BE32-E72D297353CC}">
                <c16:uniqueId val="{00000003-4A70-4862-8FF1-35B46188BF5B}"/>
              </c:ext>
            </c:extLst>
          </c:dPt>
          <c:dPt>
            <c:idx val="8"/>
            <c:invertIfNegative val="0"/>
            <c:bubble3D val="0"/>
            <c:spPr>
              <a:solidFill>
                <a:schemeClr val="accent2">
                  <a:lumMod val="50000"/>
                </a:schemeClr>
              </a:solidFill>
            </c:spPr>
            <c:extLst>
              <c:ext xmlns:c16="http://schemas.microsoft.com/office/drawing/2014/chart" uri="{C3380CC4-5D6E-409C-BE32-E72D297353CC}">
                <c16:uniqueId val="{00000005-4A70-4862-8FF1-35B46188BF5B}"/>
              </c:ext>
            </c:extLst>
          </c:dPt>
          <c:dLbls>
            <c:dLbl>
              <c:idx val="0"/>
              <c:delete val="1"/>
              <c:extLst>
                <c:ext xmlns:c15="http://schemas.microsoft.com/office/drawing/2012/chart" uri="{CE6537A1-D6FC-4f65-9D91-7224C49458BB}"/>
                <c:ext xmlns:c16="http://schemas.microsoft.com/office/drawing/2014/chart" uri="{C3380CC4-5D6E-409C-BE32-E72D297353CC}">
                  <c16:uniqueId val="{00000006-4A70-4862-8FF1-35B46188BF5B}"/>
                </c:ext>
              </c:extLst>
            </c:dLbl>
            <c:dLbl>
              <c:idx val="1"/>
              <c:delete val="1"/>
              <c:extLst>
                <c:ext xmlns:c15="http://schemas.microsoft.com/office/drawing/2012/chart" uri="{CE6537A1-D6FC-4f65-9D91-7224C49458BB}"/>
                <c:ext xmlns:c16="http://schemas.microsoft.com/office/drawing/2014/chart" uri="{C3380CC4-5D6E-409C-BE32-E72D297353CC}">
                  <c16:uniqueId val="{00000007-4A70-4862-8FF1-35B46188BF5B}"/>
                </c:ext>
              </c:extLst>
            </c:dLbl>
            <c:dLbl>
              <c:idx val="2"/>
              <c:delete val="1"/>
              <c:extLst>
                <c:ext xmlns:c15="http://schemas.microsoft.com/office/drawing/2012/chart" uri="{CE6537A1-D6FC-4f65-9D91-7224C49458BB}"/>
                <c:ext xmlns:c16="http://schemas.microsoft.com/office/drawing/2014/chart" uri="{C3380CC4-5D6E-409C-BE32-E72D297353CC}">
                  <c16:uniqueId val="{00000008-4A70-4862-8FF1-35B46188BF5B}"/>
                </c:ext>
              </c:extLst>
            </c:dLbl>
            <c:dLbl>
              <c:idx val="4"/>
              <c:delete val="1"/>
              <c:extLst>
                <c:ext xmlns:c15="http://schemas.microsoft.com/office/drawing/2012/chart" uri="{CE6537A1-D6FC-4f65-9D91-7224C49458BB}"/>
                <c:ext xmlns:c16="http://schemas.microsoft.com/office/drawing/2014/chart" uri="{C3380CC4-5D6E-409C-BE32-E72D297353CC}">
                  <c16:uniqueId val="{00000009-4A70-4862-8FF1-35B46188BF5B}"/>
                </c:ext>
              </c:extLst>
            </c:dLbl>
            <c:dLbl>
              <c:idx val="5"/>
              <c:delete val="1"/>
              <c:extLst>
                <c:ext xmlns:c15="http://schemas.microsoft.com/office/drawing/2012/chart" uri="{CE6537A1-D6FC-4f65-9D91-7224C49458BB}"/>
                <c:ext xmlns:c16="http://schemas.microsoft.com/office/drawing/2014/chart" uri="{C3380CC4-5D6E-409C-BE32-E72D297353CC}">
                  <c16:uniqueId val="{0000000A-4A70-4862-8FF1-35B46188BF5B}"/>
                </c:ext>
              </c:extLst>
            </c:dLbl>
            <c:dLbl>
              <c:idx val="6"/>
              <c:delete val="1"/>
              <c:extLst>
                <c:ext xmlns:c15="http://schemas.microsoft.com/office/drawing/2012/chart" uri="{CE6537A1-D6FC-4f65-9D91-7224C49458BB}"/>
                <c:ext xmlns:c16="http://schemas.microsoft.com/office/drawing/2014/chart" uri="{C3380CC4-5D6E-409C-BE32-E72D297353CC}">
                  <c16:uniqueId val="{0000000B-4A70-4862-8FF1-35B46188BF5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Sheet5!$A$3:$A$11</c:f>
              <c:strCache>
                <c:ptCount val="9"/>
                <c:pt idx="0">
                  <c:v>Jul-23</c:v>
                </c:pt>
                <c:pt idx="1">
                  <c:v>Aug-23</c:v>
                </c:pt>
                <c:pt idx="2">
                  <c:v>Sep-23</c:v>
                </c:pt>
                <c:pt idx="3">
                  <c:v>M_Wet</c:v>
                </c:pt>
                <c:pt idx="4">
                  <c:v>Jan-24</c:v>
                </c:pt>
                <c:pt idx="5">
                  <c:v>Feb-24</c:v>
                </c:pt>
                <c:pt idx="6">
                  <c:v>Mar-24</c:v>
                </c:pt>
                <c:pt idx="7">
                  <c:v>M_Dry</c:v>
                </c:pt>
                <c:pt idx="8">
                  <c:v>WHO</c:v>
                </c:pt>
              </c:strCache>
            </c:strRef>
          </c:cat>
          <c:val>
            <c:numRef>
              <c:f>Sheet5!$M$3:$M$11</c:f>
              <c:numCache>
                <c:formatCode>0.00</c:formatCode>
                <c:ptCount val="9"/>
                <c:pt idx="0">
                  <c:v>0.23</c:v>
                </c:pt>
                <c:pt idx="1">
                  <c:v>0.24</c:v>
                </c:pt>
                <c:pt idx="2">
                  <c:v>0.2</c:v>
                </c:pt>
                <c:pt idx="3">
                  <c:v>0.2233333333333333</c:v>
                </c:pt>
                <c:pt idx="4">
                  <c:v>0.36</c:v>
                </c:pt>
                <c:pt idx="5">
                  <c:v>0.24</c:v>
                </c:pt>
                <c:pt idx="6">
                  <c:v>0.4</c:v>
                </c:pt>
                <c:pt idx="7">
                  <c:v>0.33333333333333331</c:v>
                </c:pt>
                <c:pt idx="8">
                  <c:v>50</c:v>
                </c:pt>
              </c:numCache>
            </c:numRef>
          </c:val>
          <c:extLst>
            <c:ext xmlns:c16="http://schemas.microsoft.com/office/drawing/2014/chart" uri="{C3380CC4-5D6E-409C-BE32-E72D297353CC}">
              <c16:uniqueId val="{0000000C-4A70-4862-8FF1-35B46188BF5B}"/>
            </c:ext>
          </c:extLst>
        </c:ser>
        <c:dLbls>
          <c:showLegendKey val="0"/>
          <c:showVal val="0"/>
          <c:showCatName val="0"/>
          <c:showSerName val="0"/>
          <c:showPercent val="0"/>
          <c:showBubbleSize val="0"/>
        </c:dLbls>
        <c:gapWidth val="150"/>
        <c:axId val="232417152"/>
        <c:axId val="232418688"/>
      </c:barChart>
      <c:catAx>
        <c:axId val="232417152"/>
        <c:scaling>
          <c:orientation val="minMax"/>
        </c:scaling>
        <c:delete val="0"/>
        <c:axPos val="b"/>
        <c:numFmt formatCode="General" sourceLinked="0"/>
        <c:majorTickMark val="in"/>
        <c:minorTickMark val="in"/>
        <c:tickLblPos val="nextTo"/>
        <c:crossAx val="232418688"/>
        <c:crossesAt val="0"/>
        <c:auto val="1"/>
        <c:lblAlgn val="ctr"/>
        <c:lblOffset val="100"/>
        <c:noMultiLvlLbl val="0"/>
      </c:catAx>
      <c:valAx>
        <c:axId val="232418688"/>
        <c:scaling>
          <c:orientation val="minMax"/>
          <c:max val="10"/>
          <c:min val="0"/>
        </c:scaling>
        <c:delete val="0"/>
        <c:axPos val="l"/>
        <c:numFmt formatCode="0.00" sourceLinked="1"/>
        <c:majorTickMark val="in"/>
        <c:minorTickMark val="in"/>
        <c:tickLblPos val="nextTo"/>
        <c:crossAx val="232417152"/>
        <c:crosses val="autoZero"/>
        <c:crossBetween val="between"/>
        <c:majorUnit val="2"/>
        <c:minorUnit val="1"/>
      </c:valAx>
      <c:spPr>
        <a:solidFill>
          <a:schemeClr val="bg1"/>
        </a:solidFill>
        <a:ln>
          <a:solidFill>
            <a:schemeClr val="tx1"/>
          </a:solidFill>
        </a:ln>
      </c:spPr>
    </c:plotArea>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375363621133419E-2"/>
          <c:y val="3.1285365191420042E-2"/>
          <c:w val="0.90110297141290607"/>
          <c:h val="0.77122237306543584"/>
        </c:manualLayout>
      </c:layout>
      <c:barChart>
        <c:barDir val="col"/>
        <c:grouping val="clustered"/>
        <c:varyColors val="0"/>
        <c:ser>
          <c:idx val="0"/>
          <c:order val="0"/>
          <c:tx>
            <c:strRef>
              <c:f>Sheet5!$U$70</c:f>
              <c:strCache>
                <c:ptCount val="1"/>
                <c:pt idx="0">
                  <c:v>Phosphate (mg/kg)</c:v>
                </c:pt>
              </c:strCache>
            </c:strRef>
          </c:tx>
          <c:spPr>
            <a:solidFill>
              <a:schemeClr val="tx1"/>
            </a:solidFill>
          </c:spPr>
          <c:invertIfNegative val="0"/>
          <c:dPt>
            <c:idx val="3"/>
            <c:invertIfNegative val="0"/>
            <c:bubble3D val="0"/>
            <c:spPr>
              <a:solidFill>
                <a:srgbClr val="0070C0"/>
              </a:solidFill>
            </c:spPr>
            <c:extLst>
              <c:ext xmlns:c16="http://schemas.microsoft.com/office/drawing/2014/chart" uri="{C3380CC4-5D6E-409C-BE32-E72D297353CC}">
                <c16:uniqueId val="{00000001-E269-471E-807B-FAC1DDDFFBAF}"/>
              </c:ext>
            </c:extLst>
          </c:dPt>
          <c:dPt>
            <c:idx val="7"/>
            <c:invertIfNegative val="0"/>
            <c:bubble3D val="0"/>
            <c:spPr>
              <a:solidFill>
                <a:srgbClr val="0070C0"/>
              </a:solidFill>
            </c:spPr>
            <c:extLst>
              <c:ext xmlns:c16="http://schemas.microsoft.com/office/drawing/2014/chart" uri="{C3380CC4-5D6E-409C-BE32-E72D297353CC}">
                <c16:uniqueId val="{00000003-E269-471E-807B-FAC1DDDFFBAF}"/>
              </c:ext>
            </c:extLst>
          </c:dPt>
          <c:dLbls>
            <c:dLbl>
              <c:idx val="0"/>
              <c:delete val="1"/>
              <c:extLst>
                <c:ext xmlns:c15="http://schemas.microsoft.com/office/drawing/2012/chart" uri="{CE6537A1-D6FC-4f65-9D91-7224C49458BB}"/>
                <c:ext xmlns:c16="http://schemas.microsoft.com/office/drawing/2014/chart" uri="{C3380CC4-5D6E-409C-BE32-E72D297353CC}">
                  <c16:uniqueId val="{00000004-E269-471E-807B-FAC1DDDFFBAF}"/>
                </c:ext>
              </c:extLst>
            </c:dLbl>
            <c:dLbl>
              <c:idx val="1"/>
              <c:delete val="1"/>
              <c:extLst>
                <c:ext xmlns:c15="http://schemas.microsoft.com/office/drawing/2012/chart" uri="{CE6537A1-D6FC-4f65-9D91-7224C49458BB}"/>
                <c:ext xmlns:c16="http://schemas.microsoft.com/office/drawing/2014/chart" uri="{C3380CC4-5D6E-409C-BE32-E72D297353CC}">
                  <c16:uniqueId val="{00000005-E269-471E-807B-FAC1DDDFFBAF}"/>
                </c:ext>
              </c:extLst>
            </c:dLbl>
            <c:dLbl>
              <c:idx val="2"/>
              <c:delete val="1"/>
              <c:extLst>
                <c:ext xmlns:c15="http://schemas.microsoft.com/office/drawing/2012/chart" uri="{CE6537A1-D6FC-4f65-9D91-7224C49458BB}"/>
                <c:ext xmlns:c16="http://schemas.microsoft.com/office/drawing/2014/chart" uri="{C3380CC4-5D6E-409C-BE32-E72D297353CC}">
                  <c16:uniqueId val="{00000006-E269-471E-807B-FAC1DDDFFBAF}"/>
                </c:ext>
              </c:extLst>
            </c:dLbl>
            <c:dLbl>
              <c:idx val="4"/>
              <c:delete val="1"/>
              <c:extLst>
                <c:ext xmlns:c15="http://schemas.microsoft.com/office/drawing/2012/chart" uri="{CE6537A1-D6FC-4f65-9D91-7224C49458BB}"/>
                <c:ext xmlns:c16="http://schemas.microsoft.com/office/drawing/2014/chart" uri="{C3380CC4-5D6E-409C-BE32-E72D297353CC}">
                  <c16:uniqueId val="{00000007-E269-471E-807B-FAC1DDDFFBAF}"/>
                </c:ext>
              </c:extLst>
            </c:dLbl>
            <c:dLbl>
              <c:idx val="5"/>
              <c:delete val="1"/>
              <c:extLst>
                <c:ext xmlns:c15="http://schemas.microsoft.com/office/drawing/2012/chart" uri="{CE6537A1-D6FC-4f65-9D91-7224C49458BB}"/>
                <c:ext xmlns:c16="http://schemas.microsoft.com/office/drawing/2014/chart" uri="{C3380CC4-5D6E-409C-BE32-E72D297353CC}">
                  <c16:uniqueId val="{00000008-E269-471E-807B-FAC1DDDFFBAF}"/>
                </c:ext>
              </c:extLst>
            </c:dLbl>
            <c:dLbl>
              <c:idx val="6"/>
              <c:delete val="1"/>
              <c:extLst>
                <c:ext xmlns:c15="http://schemas.microsoft.com/office/drawing/2012/chart" uri="{CE6537A1-D6FC-4f65-9D91-7224C49458BB}"/>
                <c:ext xmlns:c16="http://schemas.microsoft.com/office/drawing/2014/chart" uri="{C3380CC4-5D6E-409C-BE32-E72D297353CC}">
                  <c16:uniqueId val="{00000009-E269-471E-807B-FAC1DDDFFBA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Sheet5!$H$71:$H$78</c:f>
              <c:strCache>
                <c:ptCount val="8"/>
                <c:pt idx="0">
                  <c:v>Jul-23</c:v>
                </c:pt>
                <c:pt idx="1">
                  <c:v>Aug-23</c:v>
                </c:pt>
                <c:pt idx="2">
                  <c:v>Sep-23</c:v>
                </c:pt>
                <c:pt idx="3">
                  <c:v>Mean_Wet</c:v>
                </c:pt>
                <c:pt idx="4">
                  <c:v>Jan-24</c:v>
                </c:pt>
                <c:pt idx="5">
                  <c:v>Feb-24</c:v>
                </c:pt>
                <c:pt idx="6">
                  <c:v>Mar-24</c:v>
                </c:pt>
                <c:pt idx="7">
                  <c:v>Mean_Wet</c:v>
                </c:pt>
              </c:strCache>
            </c:strRef>
          </c:cat>
          <c:val>
            <c:numRef>
              <c:f>Sheet5!$U$71:$U$78</c:f>
              <c:numCache>
                <c:formatCode>0.00</c:formatCode>
                <c:ptCount val="8"/>
                <c:pt idx="0">
                  <c:v>0.24</c:v>
                </c:pt>
                <c:pt idx="1">
                  <c:v>0.17</c:v>
                </c:pt>
                <c:pt idx="2">
                  <c:v>0.22</c:v>
                </c:pt>
                <c:pt idx="3">
                  <c:v>0.21</c:v>
                </c:pt>
                <c:pt idx="4">
                  <c:v>0.2</c:v>
                </c:pt>
                <c:pt idx="5">
                  <c:v>0.22</c:v>
                </c:pt>
                <c:pt idx="6">
                  <c:v>0.2</c:v>
                </c:pt>
                <c:pt idx="7">
                  <c:v>0.20666666666666669</c:v>
                </c:pt>
              </c:numCache>
            </c:numRef>
          </c:val>
          <c:extLst>
            <c:ext xmlns:c16="http://schemas.microsoft.com/office/drawing/2014/chart" uri="{C3380CC4-5D6E-409C-BE32-E72D297353CC}">
              <c16:uniqueId val="{0000000A-E269-471E-807B-FAC1DDDFFBAF}"/>
            </c:ext>
          </c:extLst>
        </c:ser>
        <c:dLbls>
          <c:showLegendKey val="0"/>
          <c:showVal val="0"/>
          <c:showCatName val="0"/>
          <c:showSerName val="0"/>
          <c:showPercent val="0"/>
          <c:showBubbleSize val="0"/>
        </c:dLbls>
        <c:gapWidth val="150"/>
        <c:axId val="248110464"/>
        <c:axId val="248112256"/>
      </c:barChart>
      <c:catAx>
        <c:axId val="248110464"/>
        <c:scaling>
          <c:orientation val="minMax"/>
        </c:scaling>
        <c:delete val="0"/>
        <c:axPos val="b"/>
        <c:numFmt formatCode="General" sourceLinked="0"/>
        <c:majorTickMark val="in"/>
        <c:minorTickMark val="in"/>
        <c:tickLblPos val="nextTo"/>
        <c:crossAx val="248112256"/>
        <c:crossesAt val="0"/>
        <c:auto val="1"/>
        <c:lblAlgn val="ctr"/>
        <c:lblOffset val="100"/>
        <c:noMultiLvlLbl val="0"/>
      </c:catAx>
      <c:valAx>
        <c:axId val="248112256"/>
        <c:scaling>
          <c:orientation val="minMax"/>
          <c:max val="0.4"/>
          <c:min val="0"/>
        </c:scaling>
        <c:delete val="0"/>
        <c:axPos val="l"/>
        <c:numFmt formatCode="0.00" sourceLinked="1"/>
        <c:majorTickMark val="in"/>
        <c:minorTickMark val="in"/>
        <c:tickLblPos val="nextTo"/>
        <c:crossAx val="248110464"/>
        <c:crosses val="autoZero"/>
        <c:crossBetween val="between"/>
        <c:majorUnit val="0.2"/>
        <c:minorUnit val="0.1"/>
      </c:valAx>
      <c:spPr>
        <a:solidFill>
          <a:schemeClr val="bg1"/>
        </a:solidFill>
        <a:ln>
          <a:solidFill>
            <a:schemeClr val="tx1"/>
          </a:solidFill>
        </a:ln>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4406</Words>
  <Characters>25119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1180</cp:lastModifiedBy>
  <cp:revision>14</cp:revision>
  <dcterms:created xsi:type="dcterms:W3CDTF">2025-10-01T17:21:00Z</dcterms:created>
  <dcterms:modified xsi:type="dcterms:W3CDTF">2025-10-15T11:33:00Z</dcterms:modified>
</cp:coreProperties>
</file>