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8FD53" w14:textId="77777777" w:rsidR="00C354A6" w:rsidRPr="0036423A" w:rsidRDefault="00C354A6" w:rsidP="00875C8B">
      <w:pPr>
        <w:pStyle w:val="NoSpacing"/>
        <w:jc w:val="center"/>
        <w:rPr>
          <w:rFonts w:ascii="Arial Black" w:hAnsi="Arial Black"/>
          <w:b/>
          <w:sz w:val="24"/>
          <w:szCs w:val="24"/>
        </w:rPr>
      </w:pPr>
      <w:r w:rsidRPr="0036423A">
        <w:rPr>
          <w:rFonts w:ascii="Arial Black" w:hAnsi="Arial Black"/>
          <w:b/>
          <w:sz w:val="24"/>
          <w:szCs w:val="24"/>
        </w:rPr>
        <w:t>CORNEAL CHANGES INDUCED BY TOPICAL ADMINISTRATION OF BRYOPHYLLUM PINNATUM</w:t>
      </w:r>
    </w:p>
    <w:p w14:paraId="593AFC5E" w14:textId="77777777" w:rsidR="00222A0A" w:rsidRDefault="00222A0A" w:rsidP="00461D50">
      <w:pPr>
        <w:pStyle w:val="NoSpacing"/>
        <w:jc w:val="both"/>
        <w:rPr>
          <w:rFonts w:ascii="Arial Black" w:hAnsi="Arial Black"/>
          <w:b/>
          <w:sz w:val="24"/>
          <w:szCs w:val="24"/>
        </w:rPr>
      </w:pPr>
    </w:p>
    <w:p w14:paraId="3FAB1FEB" w14:textId="77777777" w:rsidR="00FE4652" w:rsidRDefault="00FE4652" w:rsidP="007603E5">
      <w:pPr>
        <w:spacing w:line="240" w:lineRule="auto"/>
        <w:rPr>
          <w:rFonts w:ascii="Arial Black" w:eastAsia="Times New Roman" w:hAnsi="Arial Black" w:cs="Times New Roman"/>
          <w:b/>
          <w:sz w:val="24"/>
          <w:szCs w:val="24"/>
        </w:rPr>
      </w:pPr>
    </w:p>
    <w:p w14:paraId="6E0C2B5B" w14:textId="26F9291E" w:rsidR="004F0ADB" w:rsidRPr="0036423A" w:rsidRDefault="001C3831" w:rsidP="007603E5">
      <w:pPr>
        <w:spacing w:line="240" w:lineRule="auto"/>
        <w:rPr>
          <w:rFonts w:ascii="Arial Black" w:eastAsia="Times New Roman" w:hAnsi="Arial Black" w:cs="Times New Roman"/>
          <w:b/>
          <w:sz w:val="24"/>
          <w:szCs w:val="24"/>
        </w:rPr>
      </w:pPr>
      <w:r w:rsidRPr="0036423A">
        <w:rPr>
          <w:rFonts w:ascii="Arial Black" w:eastAsia="Times New Roman" w:hAnsi="Arial Black" w:cs="Times New Roman"/>
          <w:b/>
          <w:sz w:val="24"/>
          <w:szCs w:val="24"/>
        </w:rPr>
        <w:t>ABSTRACT</w:t>
      </w:r>
    </w:p>
    <w:p w14:paraId="63E83273" w14:textId="77777777" w:rsidR="004F0ADB" w:rsidRPr="0036423A" w:rsidRDefault="001C3831" w:rsidP="007603E5">
      <w:pPr>
        <w:spacing w:line="240" w:lineRule="auto"/>
        <w:rPr>
          <w:rFonts w:ascii="Arial Black" w:eastAsia="Times New Roman" w:hAnsi="Arial Black" w:cs="Times New Roman"/>
        </w:rPr>
      </w:pPr>
      <w:r w:rsidRPr="0036423A">
        <w:rPr>
          <w:rFonts w:ascii="Arial Black" w:eastAsia="Times New Roman" w:hAnsi="Arial Black" w:cs="Times New Roman"/>
        </w:rPr>
        <w:t>The cornea is an avascular, transparent eye</w:t>
      </w:r>
      <w:r w:rsidR="00C97744" w:rsidRPr="0036423A">
        <w:rPr>
          <w:rFonts w:ascii="Arial Black" w:eastAsia="Times New Roman" w:hAnsi="Arial Black" w:cs="Times New Roman"/>
        </w:rPr>
        <w:t xml:space="preserve"> structure. It </w:t>
      </w:r>
      <w:r w:rsidRPr="0036423A">
        <w:rPr>
          <w:rFonts w:ascii="Arial Black" w:eastAsia="Times New Roman" w:hAnsi="Arial Black" w:cs="Times New Roman"/>
        </w:rPr>
        <w:t>is responsible for uniform refraction of light that enters the eye and constitutes the anterior-most part of the eyeball. Topically administered drugs are absorbed primarily through the corneal route making the cornea the tissue most susceptible to toxic side e</w:t>
      </w:r>
      <w:r w:rsidR="00C97744" w:rsidRPr="0036423A">
        <w:rPr>
          <w:rFonts w:ascii="Arial Black" w:eastAsia="Times New Roman" w:hAnsi="Arial Black" w:cs="Times New Roman"/>
        </w:rPr>
        <w:t xml:space="preserve">ffects of topical drugs in the </w:t>
      </w:r>
      <w:r w:rsidRPr="0036423A">
        <w:rPr>
          <w:rFonts w:ascii="Arial Black" w:eastAsia="Times New Roman" w:hAnsi="Arial Black" w:cs="Times New Roman"/>
        </w:rPr>
        <w:t xml:space="preserve">management of ocular diseases. This study assesses visual changes caused by instillation of the perennial herb, </w:t>
      </w:r>
      <w:proofErr w:type="spellStart"/>
      <w:r w:rsidRPr="0036423A">
        <w:rPr>
          <w:rFonts w:ascii="Arial Black" w:eastAsia="Times New Roman" w:hAnsi="Arial Black" w:cs="Times New Roman"/>
          <w:i/>
        </w:rPr>
        <w:t>Bryophyllum</w:t>
      </w:r>
      <w:proofErr w:type="spellEnd"/>
      <w:r w:rsidRPr="0036423A">
        <w:rPr>
          <w:rFonts w:ascii="Arial Black" w:eastAsia="Times New Roman" w:hAnsi="Arial Black" w:cs="Times New Roman"/>
          <w:i/>
        </w:rPr>
        <w:t xml:space="preserve"> </w:t>
      </w:r>
      <w:proofErr w:type="spellStart"/>
      <w:r w:rsidRPr="0036423A">
        <w:rPr>
          <w:rFonts w:ascii="Arial Black" w:eastAsia="Times New Roman" w:hAnsi="Arial Black" w:cs="Times New Roman"/>
          <w:i/>
        </w:rPr>
        <w:t>pinnatum</w:t>
      </w:r>
      <w:proofErr w:type="spellEnd"/>
      <w:r w:rsidRPr="0036423A">
        <w:rPr>
          <w:rFonts w:ascii="Arial Black" w:eastAsia="Times New Roman" w:hAnsi="Arial Black" w:cs="Times New Roman"/>
          <w:i/>
        </w:rPr>
        <w:t xml:space="preserve"> </w:t>
      </w:r>
      <w:r w:rsidRPr="0036423A">
        <w:rPr>
          <w:rFonts w:ascii="Arial Black" w:eastAsia="Times New Roman" w:hAnsi="Arial Black" w:cs="Times New Roman"/>
        </w:rPr>
        <w:t xml:space="preserve">(Lam.) </w:t>
      </w:r>
      <w:proofErr w:type="spellStart"/>
      <w:r w:rsidRPr="0036423A">
        <w:rPr>
          <w:rFonts w:ascii="Arial Black" w:eastAsia="Times New Roman" w:hAnsi="Arial Black" w:cs="Times New Roman"/>
        </w:rPr>
        <w:t>Kurz</w:t>
      </w:r>
      <w:proofErr w:type="spellEnd"/>
      <w:r w:rsidRPr="0036423A">
        <w:rPr>
          <w:rFonts w:ascii="Arial Black" w:eastAsia="Times New Roman" w:hAnsi="Arial Black" w:cs="Times New Roman"/>
        </w:rPr>
        <w:t xml:space="preserve"> (Crassulaceae) also known as the African never-die plant on patients diagnosed with corneal-related conditions.</w:t>
      </w:r>
    </w:p>
    <w:p w14:paraId="5DE4514C" w14:textId="77777777" w:rsidR="004F0ADB" w:rsidRPr="0036423A" w:rsidRDefault="001C3831" w:rsidP="007603E5">
      <w:pPr>
        <w:spacing w:line="240" w:lineRule="auto"/>
        <w:rPr>
          <w:rFonts w:ascii="Arial Black" w:eastAsia="Times New Roman" w:hAnsi="Arial Black" w:cs="Times New Roman"/>
        </w:rPr>
      </w:pPr>
      <w:r w:rsidRPr="0036423A">
        <w:rPr>
          <w:rFonts w:ascii="Arial Black" w:eastAsia="Times New Roman" w:hAnsi="Arial Black" w:cs="Times New Roman"/>
        </w:rPr>
        <w:t xml:space="preserve">The results show that patients who instilled the herb extract showed significant visual changes, including reduction in visual acuity. However, there is a general improvement in visual acuity post management though not statistically significant. The margin of visual acuity </w:t>
      </w:r>
      <w:proofErr w:type="gramStart"/>
      <w:r w:rsidRPr="0036423A">
        <w:rPr>
          <w:rFonts w:ascii="Arial Black" w:eastAsia="Times New Roman" w:hAnsi="Arial Black" w:cs="Times New Roman"/>
        </w:rPr>
        <w:t>change</w:t>
      </w:r>
      <w:proofErr w:type="gramEnd"/>
      <w:r w:rsidRPr="0036423A">
        <w:rPr>
          <w:rFonts w:ascii="Arial Black" w:eastAsia="Times New Roman" w:hAnsi="Arial Black" w:cs="Times New Roman"/>
        </w:rPr>
        <w:t xml:space="preserve"> before and after management is wider in the group of patients that instilled </w:t>
      </w:r>
      <w:proofErr w:type="spellStart"/>
      <w:r w:rsidRPr="0036423A">
        <w:rPr>
          <w:rFonts w:ascii="Arial Black" w:eastAsia="Times New Roman" w:hAnsi="Arial Black" w:cs="Times New Roman"/>
          <w:i/>
        </w:rPr>
        <w:t>Bryophyllum</w:t>
      </w:r>
      <w:proofErr w:type="spellEnd"/>
      <w:r w:rsidRPr="0036423A">
        <w:rPr>
          <w:rFonts w:ascii="Arial Black" w:eastAsia="Times New Roman" w:hAnsi="Arial Black" w:cs="Times New Roman"/>
          <w:i/>
        </w:rPr>
        <w:t xml:space="preserve"> </w:t>
      </w:r>
      <w:proofErr w:type="spellStart"/>
      <w:r w:rsidRPr="0036423A">
        <w:rPr>
          <w:rFonts w:ascii="Arial Black" w:eastAsia="Times New Roman" w:hAnsi="Arial Black" w:cs="Times New Roman"/>
          <w:i/>
        </w:rPr>
        <w:t>pinnatum</w:t>
      </w:r>
      <w:proofErr w:type="spellEnd"/>
      <w:r w:rsidRPr="0036423A">
        <w:rPr>
          <w:rFonts w:ascii="Arial Black" w:eastAsia="Times New Roman" w:hAnsi="Arial Black" w:cs="Times New Roman"/>
          <w:i/>
        </w:rPr>
        <w:t xml:space="preserve"> </w:t>
      </w:r>
      <w:r w:rsidRPr="0036423A">
        <w:rPr>
          <w:rFonts w:ascii="Arial Black" w:eastAsia="Times New Roman" w:hAnsi="Arial Black" w:cs="Times New Roman"/>
        </w:rPr>
        <w:t>than those that did not instill the herb showing better prognosis for the group that instilled the herb than the group that did not.</w:t>
      </w:r>
    </w:p>
    <w:p w14:paraId="1B0FC38D" w14:textId="77777777" w:rsidR="004F0ADB" w:rsidRPr="0036423A" w:rsidRDefault="001C3831" w:rsidP="007603E5">
      <w:pPr>
        <w:spacing w:line="240" w:lineRule="auto"/>
        <w:rPr>
          <w:rFonts w:ascii="Arial Black" w:eastAsia="Times New Roman" w:hAnsi="Arial Black" w:cs="Times New Roman"/>
          <w:sz w:val="24"/>
          <w:szCs w:val="24"/>
        </w:rPr>
      </w:pPr>
      <w:r w:rsidRPr="0036423A">
        <w:rPr>
          <w:rFonts w:ascii="Arial Black" w:eastAsia="Times New Roman" w:hAnsi="Arial Black" w:cs="Times New Roman"/>
          <w:sz w:val="24"/>
          <w:szCs w:val="24"/>
        </w:rPr>
        <w:t xml:space="preserve">Key words: </w:t>
      </w:r>
      <w:proofErr w:type="spellStart"/>
      <w:r w:rsidRPr="0036423A">
        <w:rPr>
          <w:rFonts w:ascii="Arial Black" w:eastAsia="Times New Roman" w:hAnsi="Arial Black" w:cs="Times New Roman"/>
          <w:i/>
          <w:sz w:val="20"/>
          <w:szCs w:val="20"/>
        </w:rPr>
        <w:t>Bryophyllum</w:t>
      </w:r>
      <w:proofErr w:type="spellEnd"/>
      <w:r w:rsidRPr="0036423A">
        <w:rPr>
          <w:rFonts w:ascii="Arial Black" w:eastAsia="Times New Roman" w:hAnsi="Arial Black" w:cs="Times New Roman"/>
          <w:i/>
          <w:sz w:val="20"/>
          <w:szCs w:val="20"/>
        </w:rPr>
        <w:t xml:space="preserve"> </w:t>
      </w:r>
      <w:proofErr w:type="spellStart"/>
      <w:r w:rsidRPr="0036423A">
        <w:rPr>
          <w:rFonts w:ascii="Arial Black" w:eastAsia="Times New Roman" w:hAnsi="Arial Black" w:cs="Times New Roman"/>
          <w:i/>
          <w:sz w:val="20"/>
          <w:szCs w:val="20"/>
        </w:rPr>
        <w:t>pinnatum</w:t>
      </w:r>
      <w:proofErr w:type="spellEnd"/>
      <w:r w:rsidRPr="0036423A">
        <w:rPr>
          <w:rFonts w:ascii="Arial Black" w:eastAsia="Times New Roman" w:hAnsi="Arial Black" w:cs="Times New Roman"/>
          <w:i/>
          <w:sz w:val="20"/>
          <w:szCs w:val="20"/>
        </w:rPr>
        <w:t xml:space="preserve">, </w:t>
      </w:r>
      <w:r w:rsidRPr="0036423A">
        <w:rPr>
          <w:rFonts w:ascii="Arial Black" w:eastAsia="Times New Roman" w:hAnsi="Arial Black" w:cs="Times New Roman"/>
          <w:sz w:val="20"/>
          <w:szCs w:val="20"/>
        </w:rPr>
        <w:t>African never-die plant, Cornea</w:t>
      </w:r>
    </w:p>
    <w:p w14:paraId="46CDC420" w14:textId="77777777" w:rsidR="00C354A6" w:rsidRPr="0036423A" w:rsidRDefault="00C354A6" w:rsidP="007603E5">
      <w:pPr>
        <w:spacing w:line="240" w:lineRule="auto"/>
        <w:rPr>
          <w:rFonts w:ascii="Arial Black" w:eastAsia="Times New Roman" w:hAnsi="Arial Black" w:cs="Times New Roman"/>
          <w:b/>
          <w:sz w:val="24"/>
          <w:szCs w:val="24"/>
        </w:rPr>
      </w:pPr>
    </w:p>
    <w:p w14:paraId="5EE9D98A" w14:textId="77777777" w:rsidR="004F0ADB" w:rsidRPr="00F904A0" w:rsidRDefault="001C3831" w:rsidP="007603E5">
      <w:pPr>
        <w:spacing w:line="240" w:lineRule="auto"/>
        <w:rPr>
          <w:rFonts w:ascii="Times New Roman" w:eastAsia="Times New Roman" w:hAnsi="Times New Roman" w:cs="Times New Roman"/>
          <w:b/>
          <w:sz w:val="24"/>
          <w:szCs w:val="24"/>
        </w:rPr>
      </w:pPr>
      <w:r w:rsidRPr="00F904A0">
        <w:rPr>
          <w:rFonts w:ascii="Times New Roman" w:eastAsia="Times New Roman" w:hAnsi="Times New Roman" w:cs="Times New Roman"/>
          <w:b/>
          <w:sz w:val="24"/>
          <w:szCs w:val="24"/>
        </w:rPr>
        <w:t>INTRODUCTION</w:t>
      </w:r>
    </w:p>
    <w:p w14:paraId="4C4B5BC6" w14:textId="77777777" w:rsidR="005272F9" w:rsidRPr="00F904A0" w:rsidRDefault="005272F9" w:rsidP="005272F9">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In the management of ocular diseases, especially those that affect the anterior segment, topical administration in the form of ointment, eyedrop, or suspension is the most preferred mode of drug delivery </w:t>
      </w:r>
      <w:r w:rsidRPr="00F904A0">
        <w:rPr>
          <w:rFonts w:ascii="Times New Roman" w:eastAsia="Times New Roman" w:hAnsi="Times New Roman" w:cs="Times New Roman"/>
          <w:color w:val="FF0000"/>
          <w:sz w:val="24"/>
          <w:szCs w:val="24"/>
        </w:rPr>
        <w:t>[1]</w:t>
      </w:r>
      <w:r w:rsidRPr="00F904A0">
        <w:rPr>
          <w:rFonts w:ascii="Times New Roman" w:eastAsia="Times New Roman" w:hAnsi="Times New Roman" w:cs="Times New Roman"/>
          <w:sz w:val="24"/>
          <w:szCs w:val="24"/>
        </w:rPr>
        <w:t xml:space="preserve">. Topically administered drugs are absorbed through the non-corneal or corneal absorption route </w:t>
      </w:r>
      <w:r w:rsidRPr="00F904A0">
        <w:rPr>
          <w:rFonts w:ascii="Times New Roman" w:eastAsia="Times New Roman" w:hAnsi="Times New Roman" w:cs="Times New Roman"/>
          <w:color w:val="FF0000"/>
          <w:sz w:val="24"/>
          <w:szCs w:val="24"/>
        </w:rPr>
        <w:t>[2]</w:t>
      </w:r>
      <w:r w:rsidRPr="00F904A0">
        <w:rPr>
          <w:rFonts w:ascii="Times New Roman" w:eastAsia="Times New Roman" w:hAnsi="Times New Roman" w:cs="Times New Roman"/>
          <w:sz w:val="24"/>
          <w:szCs w:val="24"/>
        </w:rPr>
        <w:t>. The corneal absorption route starts with passively diffusing the drug mol</w:t>
      </w:r>
      <w:r w:rsidR="0036423A" w:rsidRPr="00F904A0">
        <w:rPr>
          <w:rFonts w:ascii="Times New Roman" w:eastAsia="Times New Roman" w:hAnsi="Times New Roman" w:cs="Times New Roman"/>
          <w:sz w:val="24"/>
          <w:szCs w:val="24"/>
        </w:rPr>
        <w:t xml:space="preserve">ecules through the epithelium, </w:t>
      </w:r>
      <w:r w:rsidRPr="00F904A0">
        <w:rPr>
          <w:rFonts w:ascii="Times New Roman" w:eastAsia="Times New Roman" w:hAnsi="Times New Roman" w:cs="Times New Roman"/>
          <w:sz w:val="24"/>
          <w:szCs w:val="24"/>
        </w:rPr>
        <w:t xml:space="preserve">stroma, endothelium and then into the anterior chamber, where the drug begins to exert its pharmacological effects </w:t>
      </w:r>
      <w:r w:rsidR="00F904A0" w:rsidRPr="00F904A0">
        <w:rPr>
          <w:rFonts w:ascii="Times New Roman" w:eastAsia="Times New Roman" w:hAnsi="Times New Roman" w:cs="Times New Roman"/>
          <w:color w:val="FF0000"/>
          <w:sz w:val="24"/>
          <w:szCs w:val="24"/>
        </w:rPr>
        <w:t>[2]</w:t>
      </w:r>
      <w:r w:rsidRPr="00F904A0">
        <w:rPr>
          <w:rFonts w:ascii="Times New Roman" w:eastAsia="Times New Roman" w:hAnsi="Times New Roman" w:cs="Times New Roman"/>
          <w:sz w:val="24"/>
          <w:szCs w:val="24"/>
        </w:rPr>
        <w:t xml:space="preserve">. In the context of drug administration, toxicity arises when a pharmacological effect of a drug adversely impacts a tissue structure or disrupts its normal </w:t>
      </w:r>
      <w:r w:rsidR="00F771B3" w:rsidRPr="00F904A0">
        <w:rPr>
          <w:rFonts w:ascii="Times New Roman" w:eastAsia="Times New Roman" w:hAnsi="Times New Roman" w:cs="Times New Roman"/>
          <w:sz w:val="24"/>
          <w:szCs w:val="24"/>
        </w:rPr>
        <w:t>function [</w:t>
      </w:r>
      <w:r w:rsidRPr="00F904A0">
        <w:rPr>
          <w:rFonts w:ascii="Times New Roman" w:eastAsia="Times New Roman" w:hAnsi="Times New Roman" w:cs="Times New Roman"/>
          <w:color w:val="FF0000"/>
          <w:sz w:val="24"/>
          <w:szCs w:val="24"/>
        </w:rPr>
        <w:t>3]</w:t>
      </w:r>
      <w:r w:rsidRPr="00F904A0">
        <w:rPr>
          <w:rFonts w:ascii="Times New Roman" w:eastAsia="Times New Roman" w:hAnsi="Times New Roman" w:cs="Times New Roman"/>
          <w:sz w:val="24"/>
          <w:szCs w:val="24"/>
        </w:rPr>
        <w:t xml:space="preserve">. When considering topical drug application to the cornea, toxic effects may manifest as superficial punctate keratitis or intraepithelial microcysts, which are frequently observed in cases of chemical toxicity. In severe instances, corneal ulceration and neovascularization can occur </w:t>
      </w:r>
      <w:r w:rsidRPr="00F904A0">
        <w:rPr>
          <w:rFonts w:ascii="Times New Roman" w:eastAsia="Times New Roman" w:hAnsi="Times New Roman" w:cs="Times New Roman"/>
          <w:color w:val="FF0000"/>
          <w:sz w:val="24"/>
          <w:szCs w:val="24"/>
        </w:rPr>
        <w:t>[3]</w:t>
      </w:r>
      <w:r w:rsidRPr="00F904A0">
        <w:rPr>
          <w:rFonts w:ascii="Times New Roman" w:eastAsia="Times New Roman" w:hAnsi="Times New Roman" w:cs="Times New Roman"/>
          <w:sz w:val="24"/>
          <w:szCs w:val="24"/>
        </w:rPr>
        <w:t xml:space="preserve">. Topical administration of over 200 plant extracts have shown good prognosis in the management of certain eye diseases and some of these herbs have been adopted by different systems of traditional medicine </w:t>
      </w:r>
      <w:r w:rsidRPr="00F904A0">
        <w:rPr>
          <w:rFonts w:ascii="Times New Roman" w:eastAsia="Times New Roman" w:hAnsi="Times New Roman" w:cs="Times New Roman"/>
          <w:color w:val="FF0000"/>
          <w:sz w:val="24"/>
          <w:szCs w:val="24"/>
        </w:rPr>
        <w:t>[4]</w:t>
      </w:r>
      <w:r w:rsidRPr="00F904A0">
        <w:rPr>
          <w:rFonts w:ascii="Times New Roman" w:eastAsia="Times New Roman" w:hAnsi="Times New Roman" w:cs="Times New Roman"/>
          <w:sz w:val="24"/>
          <w:szCs w:val="24"/>
        </w:rPr>
        <w:t xml:space="preserve">. </w:t>
      </w:r>
      <w:r w:rsidRPr="00F904A0">
        <w:rPr>
          <w:rFonts w:ascii="Times New Roman" w:eastAsia="Times New Roman" w:hAnsi="Times New Roman" w:cs="Times New Roman"/>
          <w:color w:val="FF0000"/>
          <w:sz w:val="24"/>
          <w:szCs w:val="24"/>
        </w:rPr>
        <w:t xml:space="preserve"> </w:t>
      </w:r>
      <w:r w:rsidRPr="00F904A0">
        <w:rPr>
          <w:rFonts w:ascii="Times New Roman" w:eastAsia="Times New Roman" w:hAnsi="Times New Roman" w:cs="Times New Roman"/>
          <w:i/>
          <w:sz w:val="24"/>
          <w:szCs w:val="24"/>
        </w:rPr>
        <w:t>Euphrasia officinalis L</w:t>
      </w:r>
      <w:r w:rsidRPr="00F904A0">
        <w:rPr>
          <w:rFonts w:ascii="Times New Roman" w:eastAsia="Times New Roman" w:hAnsi="Times New Roman" w:cs="Times New Roman"/>
          <w:sz w:val="24"/>
          <w:szCs w:val="24"/>
        </w:rPr>
        <w:t xml:space="preserve">, more commonly referred to as eye bright grass, has been successfully utilized in the treatment of eye conditions such as conjunctivitis and hordeolum </w:t>
      </w:r>
      <w:r w:rsidRPr="00F904A0">
        <w:rPr>
          <w:rFonts w:ascii="Times New Roman" w:eastAsia="Times New Roman" w:hAnsi="Times New Roman" w:cs="Times New Roman"/>
          <w:color w:val="FF0000"/>
          <w:sz w:val="24"/>
          <w:szCs w:val="24"/>
        </w:rPr>
        <w:t>[5]</w:t>
      </w:r>
      <w:r w:rsidRPr="00F904A0">
        <w:rPr>
          <w:rFonts w:ascii="Times New Roman" w:eastAsia="Times New Roman" w:hAnsi="Times New Roman" w:cs="Times New Roman"/>
          <w:sz w:val="24"/>
          <w:szCs w:val="24"/>
        </w:rPr>
        <w:t xml:space="preserve">. Eye drops made from its extracts are thought to be effective and secure for treating ocular allergy problems </w:t>
      </w:r>
      <w:r w:rsidRPr="00F904A0">
        <w:rPr>
          <w:rFonts w:ascii="Times New Roman" w:eastAsia="Times New Roman" w:hAnsi="Times New Roman" w:cs="Times New Roman"/>
          <w:color w:val="FF0000"/>
          <w:sz w:val="24"/>
          <w:szCs w:val="24"/>
        </w:rPr>
        <w:t>[5]</w:t>
      </w:r>
      <w:r w:rsidRPr="00F904A0">
        <w:rPr>
          <w:rFonts w:ascii="Times New Roman" w:eastAsia="Times New Roman" w:hAnsi="Times New Roman" w:cs="Times New Roman"/>
          <w:sz w:val="24"/>
          <w:szCs w:val="24"/>
        </w:rPr>
        <w:t xml:space="preserve">. One clinical trial </w:t>
      </w:r>
      <w:r w:rsidRPr="00F904A0">
        <w:rPr>
          <w:rFonts w:ascii="Times New Roman" w:eastAsia="Times New Roman" w:hAnsi="Times New Roman" w:cs="Times New Roman"/>
          <w:color w:val="FF0000"/>
          <w:sz w:val="24"/>
          <w:szCs w:val="24"/>
        </w:rPr>
        <w:t>[6]</w:t>
      </w:r>
      <w:r w:rsidRPr="00F904A0">
        <w:rPr>
          <w:rFonts w:ascii="Times New Roman" w:eastAsia="Times New Roman" w:hAnsi="Times New Roman" w:cs="Times New Roman"/>
          <w:sz w:val="24"/>
          <w:szCs w:val="24"/>
        </w:rPr>
        <w:t xml:space="preserve"> assessed </w:t>
      </w:r>
      <w:r w:rsidR="00F771B3" w:rsidRPr="00F904A0">
        <w:rPr>
          <w:rFonts w:ascii="Times New Roman" w:eastAsia="Times New Roman" w:hAnsi="Times New Roman" w:cs="Times New Roman"/>
          <w:sz w:val="24"/>
          <w:szCs w:val="24"/>
        </w:rPr>
        <w:t>the effect</w:t>
      </w:r>
      <w:r w:rsidRPr="00F904A0">
        <w:rPr>
          <w:rFonts w:ascii="Times New Roman" w:eastAsia="Times New Roman" w:hAnsi="Times New Roman" w:cs="Times New Roman"/>
          <w:sz w:val="24"/>
          <w:szCs w:val="24"/>
        </w:rPr>
        <w:t xml:space="preserve"> of </w:t>
      </w:r>
      <w:proofErr w:type="gramStart"/>
      <w:r w:rsidRPr="00F904A0">
        <w:rPr>
          <w:rFonts w:ascii="Times New Roman" w:eastAsia="Times New Roman" w:hAnsi="Times New Roman" w:cs="Times New Roman"/>
          <w:sz w:val="24"/>
          <w:szCs w:val="24"/>
        </w:rPr>
        <w:t>a</w:t>
      </w:r>
      <w:proofErr w:type="gramEnd"/>
      <w:r w:rsidRPr="00F904A0">
        <w:rPr>
          <w:rFonts w:ascii="Times New Roman" w:eastAsia="Times New Roman" w:hAnsi="Times New Roman" w:cs="Times New Roman"/>
          <w:sz w:val="24"/>
          <w:szCs w:val="24"/>
        </w:rPr>
        <w:t xml:space="preserve"> herbal eye drop preparation on certain eye conditions. The herbal eye drop preparation contained extracts of </w:t>
      </w:r>
      <w:proofErr w:type="spellStart"/>
      <w:r w:rsidRPr="00F904A0">
        <w:rPr>
          <w:rFonts w:ascii="Times New Roman" w:eastAsia="Times New Roman" w:hAnsi="Times New Roman" w:cs="Times New Roman"/>
          <w:i/>
          <w:sz w:val="24"/>
          <w:szCs w:val="24"/>
        </w:rPr>
        <w:t>Ocimum</w:t>
      </w:r>
      <w:proofErr w:type="spellEnd"/>
      <w:r w:rsidRPr="00F904A0">
        <w:rPr>
          <w:rFonts w:ascii="Times New Roman" w:eastAsia="Times New Roman" w:hAnsi="Times New Roman" w:cs="Times New Roman"/>
          <w:i/>
          <w:sz w:val="24"/>
          <w:szCs w:val="24"/>
        </w:rPr>
        <w:t xml:space="preserve"> sanctum, </w:t>
      </w:r>
      <w:proofErr w:type="spellStart"/>
      <w:r w:rsidRPr="00F904A0">
        <w:rPr>
          <w:rFonts w:ascii="Times New Roman" w:eastAsia="Times New Roman" w:hAnsi="Times New Roman" w:cs="Times New Roman"/>
          <w:i/>
          <w:sz w:val="24"/>
          <w:szCs w:val="24"/>
        </w:rPr>
        <w:t>Cinnamomum</w:t>
      </w:r>
      <w:proofErr w:type="spellEnd"/>
      <w:r w:rsidRPr="00F904A0">
        <w:rPr>
          <w:rFonts w:ascii="Times New Roman" w:eastAsia="Times New Roman" w:hAnsi="Times New Roman" w:cs="Times New Roman"/>
          <w:i/>
          <w:sz w:val="24"/>
          <w:szCs w:val="24"/>
        </w:rPr>
        <w:t xml:space="preserve"> </w:t>
      </w:r>
      <w:proofErr w:type="spellStart"/>
      <w:proofErr w:type="gramStart"/>
      <w:r w:rsidRPr="00F904A0">
        <w:rPr>
          <w:rFonts w:ascii="Times New Roman" w:eastAsia="Times New Roman" w:hAnsi="Times New Roman" w:cs="Times New Roman"/>
          <w:i/>
          <w:sz w:val="24"/>
          <w:szCs w:val="24"/>
        </w:rPr>
        <w:t>camphora,Carum</w:t>
      </w:r>
      <w:proofErr w:type="spellEnd"/>
      <w:proofErr w:type="gramEnd"/>
      <w:r w:rsidRPr="00F904A0">
        <w:rPr>
          <w:rFonts w:ascii="Times New Roman" w:eastAsia="Times New Roman" w:hAnsi="Times New Roman" w:cs="Times New Roman"/>
          <w:i/>
          <w:sz w:val="24"/>
          <w:szCs w:val="24"/>
        </w:rPr>
        <w:t xml:space="preserve"> </w:t>
      </w:r>
      <w:proofErr w:type="spellStart"/>
      <w:r w:rsidRPr="00F904A0">
        <w:rPr>
          <w:rFonts w:ascii="Times New Roman" w:eastAsia="Times New Roman" w:hAnsi="Times New Roman" w:cs="Times New Roman"/>
          <w:i/>
          <w:sz w:val="24"/>
          <w:szCs w:val="24"/>
        </w:rPr>
        <w:t>copticum</w:t>
      </w:r>
      <w:proofErr w:type="spellEnd"/>
      <w:r w:rsidRPr="00F904A0">
        <w:rPr>
          <w:rFonts w:ascii="Times New Roman" w:eastAsia="Times New Roman" w:hAnsi="Times New Roman" w:cs="Times New Roman"/>
          <w:i/>
          <w:sz w:val="24"/>
          <w:szCs w:val="24"/>
        </w:rPr>
        <w:t xml:space="preserve">, </w:t>
      </w:r>
      <w:proofErr w:type="spellStart"/>
      <w:r w:rsidRPr="00F904A0">
        <w:rPr>
          <w:rFonts w:ascii="Times New Roman" w:eastAsia="Times New Roman" w:hAnsi="Times New Roman" w:cs="Times New Roman"/>
          <w:i/>
          <w:sz w:val="24"/>
          <w:szCs w:val="24"/>
        </w:rPr>
        <w:lastRenderedPageBreak/>
        <w:t>Emblica</w:t>
      </w:r>
      <w:proofErr w:type="spellEnd"/>
      <w:r w:rsidRPr="00F904A0">
        <w:rPr>
          <w:rFonts w:ascii="Times New Roman" w:eastAsia="Times New Roman" w:hAnsi="Times New Roman" w:cs="Times New Roman"/>
          <w:i/>
          <w:sz w:val="24"/>
          <w:szCs w:val="24"/>
        </w:rPr>
        <w:t xml:space="preserve"> officinalis, Curcuma longa, Rosa </w:t>
      </w:r>
      <w:proofErr w:type="spellStart"/>
      <w:r w:rsidRPr="00F904A0">
        <w:rPr>
          <w:rFonts w:ascii="Times New Roman" w:eastAsia="Times New Roman" w:hAnsi="Times New Roman" w:cs="Times New Roman"/>
          <w:i/>
          <w:sz w:val="24"/>
          <w:szCs w:val="24"/>
        </w:rPr>
        <w:t>damascena</w:t>
      </w:r>
      <w:proofErr w:type="spellEnd"/>
      <w:r w:rsidRPr="00F904A0">
        <w:rPr>
          <w:rFonts w:ascii="Times New Roman" w:eastAsia="Times New Roman" w:hAnsi="Times New Roman" w:cs="Times New Roman"/>
          <w:i/>
          <w:sz w:val="24"/>
          <w:szCs w:val="24"/>
        </w:rPr>
        <w:t xml:space="preserve">, Terminalia </w:t>
      </w:r>
      <w:proofErr w:type="spellStart"/>
      <w:r w:rsidRPr="00F904A0">
        <w:rPr>
          <w:rFonts w:ascii="Times New Roman" w:eastAsia="Times New Roman" w:hAnsi="Times New Roman" w:cs="Times New Roman"/>
          <w:i/>
          <w:sz w:val="24"/>
          <w:szCs w:val="24"/>
        </w:rPr>
        <w:t>bellirica</w:t>
      </w:r>
      <w:proofErr w:type="spellEnd"/>
      <w:r w:rsidRPr="00F904A0">
        <w:rPr>
          <w:rFonts w:ascii="Times New Roman" w:eastAsia="Times New Roman" w:hAnsi="Times New Roman" w:cs="Times New Roman"/>
          <w:i/>
          <w:sz w:val="24"/>
          <w:szCs w:val="24"/>
        </w:rPr>
        <w:t xml:space="preserve"> , and </w:t>
      </w:r>
      <w:proofErr w:type="spellStart"/>
      <w:r w:rsidRPr="00F904A0">
        <w:rPr>
          <w:rFonts w:ascii="Times New Roman" w:eastAsia="Times New Roman" w:hAnsi="Times New Roman" w:cs="Times New Roman"/>
          <w:i/>
          <w:sz w:val="24"/>
          <w:szCs w:val="24"/>
        </w:rPr>
        <w:t>meldespumapum</w:t>
      </w:r>
      <w:proofErr w:type="spellEnd"/>
      <w:r w:rsidRPr="00F904A0">
        <w:rPr>
          <w:rFonts w:ascii="Times New Roman" w:eastAsia="Times New Roman" w:hAnsi="Times New Roman" w:cs="Times New Roman"/>
          <w:i/>
          <w:sz w:val="24"/>
          <w:szCs w:val="24"/>
        </w:rPr>
        <w:t xml:space="preserve">. </w:t>
      </w:r>
      <w:r w:rsidRPr="00F904A0">
        <w:rPr>
          <w:rFonts w:ascii="Times New Roman" w:eastAsia="Times New Roman" w:hAnsi="Times New Roman" w:cs="Times New Roman"/>
          <w:sz w:val="24"/>
          <w:szCs w:val="24"/>
        </w:rPr>
        <w:t xml:space="preserve">Patients included in the trial were managed for the following ocular conditions, dry eye syndrome, conjunctivitis, acute </w:t>
      </w:r>
      <w:proofErr w:type="spellStart"/>
      <w:proofErr w:type="gramStart"/>
      <w:r w:rsidRPr="00F904A0">
        <w:rPr>
          <w:rFonts w:ascii="Times New Roman" w:eastAsia="Times New Roman" w:hAnsi="Times New Roman" w:cs="Times New Roman"/>
          <w:sz w:val="24"/>
          <w:szCs w:val="24"/>
        </w:rPr>
        <w:t>dacryocystitis</w:t>
      </w:r>
      <w:proofErr w:type="spellEnd"/>
      <w:r w:rsidRPr="00F904A0">
        <w:rPr>
          <w:rFonts w:ascii="Times New Roman" w:eastAsia="Times New Roman" w:hAnsi="Times New Roman" w:cs="Times New Roman"/>
          <w:sz w:val="24"/>
          <w:szCs w:val="24"/>
        </w:rPr>
        <w:t xml:space="preserve">,  </w:t>
      </w:r>
      <w:proofErr w:type="spellStart"/>
      <w:r w:rsidRPr="00F904A0">
        <w:rPr>
          <w:rFonts w:ascii="Times New Roman" w:eastAsia="Times New Roman" w:hAnsi="Times New Roman" w:cs="Times New Roman"/>
          <w:sz w:val="24"/>
          <w:szCs w:val="24"/>
        </w:rPr>
        <w:t>pingueculum</w:t>
      </w:r>
      <w:proofErr w:type="spellEnd"/>
      <w:proofErr w:type="gramEnd"/>
      <w:r w:rsidRPr="00F904A0">
        <w:rPr>
          <w:rFonts w:ascii="Times New Roman" w:eastAsia="Times New Roman" w:hAnsi="Times New Roman" w:cs="Times New Roman"/>
          <w:sz w:val="24"/>
          <w:szCs w:val="24"/>
        </w:rPr>
        <w:t xml:space="preserve">, pterygium, and postoperative cataract patients. At the end of the trial no side effects were observed as the eye drop was well tolerated by the patients. </w:t>
      </w:r>
    </w:p>
    <w:p w14:paraId="020C9034" w14:textId="77777777" w:rsidR="005272F9" w:rsidRPr="00F904A0" w:rsidRDefault="005272F9" w:rsidP="005272F9">
      <w:pPr>
        <w:spacing w:line="240" w:lineRule="auto"/>
        <w:ind w:left="-44"/>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The perennial herb, </w:t>
      </w:r>
      <w:proofErr w:type="spellStart"/>
      <w:r w:rsidRPr="00F904A0">
        <w:rPr>
          <w:rFonts w:ascii="Times New Roman" w:eastAsia="Times New Roman" w:hAnsi="Times New Roman" w:cs="Times New Roman"/>
          <w:i/>
          <w:sz w:val="24"/>
          <w:szCs w:val="24"/>
        </w:rPr>
        <w:t>Bryophyllum</w:t>
      </w:r>
      <w:proofErr w:type="spellEnd"/>
      <w:r w:rsidRPr="00F904A0">
        <w:rPr>
          <w:rFonts w:ascii="Times New Roman" w:eastAsia="Times New Roman" w:hAnsi="Times New Roman" w:cs="Times New Roman"/>
          <w:i/>
          <w:sz w:val="24"/>
          <w:szCs w:val="24"/>
        </w:rPr>
        <w:t xml:space="preserve"> </w:t>
      </w:r>
      <w:proofErr w:type="spellStart"/>
      <w:r w:rsidRPr="00F904A0">
        <w:rPr>
          <w:rFonts w:ascii="Times New Roman" w:eastAsia="Times New Roman" w:hAnsi="Times New Roman" w:cs="Times New Roman"/>
          <w:i/>
          <w:sz w:val="24"/>
          <w:szCs w:val="24"/>
        </w:rPr>
        <w:t>pinnatum</w:t>
      </w:r>
      <w:proofErr w:type="spellEnd"/>
      <w:r w:rsidRPr="00F904A0">
        <w:rPr>
          <w:rFonts w:ascii="Times New Roman" w:eastAsia="Times New Roman" w:hAnsi="Times New Roman" w:cs="Times New Roman"/>
          <w:i/>
          <w:sz w:val="24"/>
          <w:szCs w:val="24"/>
        </w:rPr>
        <w:t xml:space="preserve"> </w:t>
      </w:r>
      <w:r w:rsidRPr="00F904A0">
        <w:rPr>
          <w:rFonts w:ascii="Times New Roman" w:eastAsia="Times New Roman" w:hAnsi="Times New Roman" w:cs="Times New Roman"/>
          <w:sz w:val="24"/>
          <w:szCs w:val="24"/>
        </w:rPr>
        <w:t xml:space="preserve">(Lam.) </w:t>
      </w:r>
      <w:proofErr w:type="spellStart"/>
      <w:r w:rsidRPr="00F904A0">
        <w:rPr>
          <w:rFonts w:ascii="Times New Roman" w:eastAsia="Times New Roman" w:hAnsi="Times New Roman" w:cs="Times New Roman"/>
          <w:sz w:val="24"/>
          <w:szCs w:val="24"/>
        </w:rPr>
        <w:t>Kurz</w:t>
      </w:r>
      <w:proofErr w:type="spellEnd"/>
      <w:r w:rsidRPr="00F904A0">
        <w:rPr>
          <w:rFonts w:ascii="Times New Roman" w:eastAsia="Times New Roman" w:hAnsi="Times New Roman" w:cs="Times New Roman"/>
          <w:sz w:val="24"/>
          <w:szCs w:val="24"/>
        </w:rPr>
        <w:t xml:space="preserve"> (Crassulaceae) is utilized in folk medicine in tropical Africa, tropical America, India, China, and Australia. </w:t>
      </w:r>
      <w:r w:rsidRPr="00F904A0">
        <w:rPr>
          <w:rFonts w:ascii="Times New Roman" w:eastAsia="Times New Roman" w:hAnsi="Times New Roman" w:cs="Times New Roman"/>
          <w:color w:val="FF0000"/>
          <w:sz w:val="24"/>
          <w:szCs w:val="24"/>
        </w:rPr>
        <w:t>[7]</w:t>
      </w:r>
      <w:r w:rsidRPr="00F904A0">
        <w:rPr>
          <w:rFonts w:ascii="Times New Roman" w:eastAsia="Times New Roman" w:hAnsi="Times New Roman" w:cs="Times New Roman"/>
          <w:sz w:val="24"/>
          <w:szCs w:val="24"/>
        </w:rPr>
        <w:t xml:space="preserve">. It is popularly called the African never die plant </w:t>
      </w:r>
      <w:r w:rsidRPr="00F904A0">
        <w:rPr>
          <w:rFonts w:ascii="Times New Roman" w:eastAsia="Times New Roman" w:hAnsi="Times New Roman" w:cs="Times New Roman"/>
          <w:color w:val="FF0000"/>
          <w:sz w:val="24"/>
          <w:szCs w:val="24"/>
        </w:rPr>
        <w:t>[8]</w:t>
      </w:r>
      <w:r w:rsidRPr="00F904A0">
        <w:rPr>
          <w:rFonts w:ascii="Times New Roman" w:eastAsia="Times New Roman" w:hAnsi="Times New Roman" w:cs="Times New Roman"/>
          <w:sz w:val="24"/>
          <w:szCs w:val="24"/>
        </w:rPr>
        <w:t xml:space="preserve">. Other common names for </w:t>
      </w:r>
      <w:proofErr w:type="spellStart"/>
      <w:r w:rsidRPr="00F904A0">
        <w:rPr>
          <w:rFonts w:ascii="Times New Roman" w:eastAsia="Times New Roman" w:hAnsi="Times New Roman" w:cs="Times New Roman"/>
          <w:sz w:val="24"/>
          <w:szCs w:val="24"/>
        </w:rPr>
        <w:t>Bryophyllum</w:t>
      </w:r>
      <w:proofErr w:type="spellEnd"/>
      <w:r w:rsidRPr="00F904A0">
        <w:rPr>
          <w:rFonts w:ascii="Times New Roman" w:eastAsia="Times New Roman" w:hAnsi="Times New Roman" w:cs="Times New Roman"/>
          <w:sz w:val="24"/>
          <w:szCs w:val="24"/>
        </w:rPr>
        <w:t xml:space="preserve"> </w:t>
      </w:r>
      <w:proofErr w:type="spellStart"/>
      <w:r w:rsidRPr="00F904A0">
        <w:rPr>
          <w:rFonts w:ascii="Times New Roman" w:eastAsia="Times New Roman" w:hAnsi="Times New Roman" w:cs="Times New Roman"/>
          <w:sz w:val="24"/>
          <w:szCs w:val="24"/>
        </w:rPr>
        <w:t>pinnatum</w:t>
      </w:r>
      <w:proofErr w:type="spellEnd"/>
      <w:r w:rsidRPr="00F904A0">
        <w:rPr>
          <w:rFonts w:ascii="Times New Roman" w:eastAsia="Times New Roman" w:hAnsi="Times New Roman" w:cs="Times New Roman"/>
          <w:sz w:val="24"/>
          <w:szCs w:val="24"/>
        </w:rPr>
        <w:t xml:space="preserve"> include air plant, miracle leaf, and love plant </w:t>
      </w:r>
      <w:r w:rsidRPr="00F904A0">
        <w:rPr>
          <w:rFonts w:ascii="Times New Roman" w:eastAsia="Times New Roman" w:hAnsi="Times New Roman" w:cs="Times New Roman"/>
          <w:color w:val="FF0000"/>
          <w:sz w:val="24"/>
          <w:szCs w:val="24"/>
        </w:rPr>
        <w:t>[9]</w:t>
      </w:r>
      <w:r w:rsidRPr="00F904A0">
        <w:rPr>
          <w:rFonts w:ascii="Times New Roman" w:eastAsia="Times New Roman" w:hAnsi="Times New Roman" w:cs="Times New Roman"/>
          <w:sz w:val="24"/>
          <w:szCs w:val="24"/>
        </w:rPr>
        <w:t xml:space="preserve">. </w:t>
      </w:r>
      <w:r w:rsidRPr="00F904A0">
        <w:rPr>
          <w:rFonts w:ascii="Times New Roman" w:eastAsia="Times New Roman" w:hAnsi="Times New Roman" w:cs="Times New Roman"/>
          <w:sz w:val="24"/>
          <w:szCs w:val="24"/>
          <w:highlight w:val="white"/>
        </w:rPr>
        <w:t xml:space="preserve">A study </w:t>
      </w:r>
      <w:r w:rsidRPr="00F904A0">
        <w:rPr>
          <w:rFonts w:ascii="Times New Roman" w:eastAsia="Times New Roman" w:hAnsi="Times New Roman" w:cs="Times New Roman"/>
          <w:color w:val="FF0000"/>
          <w:sz w:val="24"/>
          <w:szCs w:val="24"/>
          <w:highlight w:val="white"/>
        </w:rPr>
        <w:t>[10]</w:t>
      </w:r>
      <w:r w:rsidRPr="00F904A0">
        <w:rPr>
          <w:rFonts w:ascii="Times New Roman" w:eastAsia="Times New Roman" w:hAnsi="Times New Roman" w:cs="Times New Roman"/>
          <w:sz w:val="24"/>
          <w:szCs w:val="24"/>
          <w:highlight w:val="white"/>
        </w:rPr>
        <w:t xml:space="preserve"> supporting the use of</w:t>
      </w:r>
      <w:r w:rsidRPr="00F904A0">
        <w:rPr>
          <w:rFonts w:ascii="Times New Roman" w:eastAsia="Times New Roman" w:hAnsi="Times New Roman" w:cs="Times New Roman"/>
          <w:i/>
          <w:sz w:val="24"/>
          <w:szCs w:val="24"/>
          <w:highlight w:val="white"/>
        </w:rPr>
        <w:t xml:space="preserve"> </w:t>
      </w:r>
      <w:proofErr w:type="spellStart"/>
      <w:r w:rsidRPr="00F904A0">
        <w:rPr>
          <w:rFonts w:ascii="Times New Roman" w:eastAsia="Times New Roman" w:hAnsi="Times New Roman" w:cs="Times New Roman"/>
          <w:i/>
          <w:sz w:val="24"/>
          <w:szCs w:val="24"/>
          <w:highlight w:val="white"/>
        </w:rPr>
        <w:t>Bryophyllum</w:t>
      </w:r>
      <w:proofErr w:type="spellEnd"/>
      <w:r w:rsidRPr="00F904A0">
        <w:rPr>
          <w:rFonts w:ascii="Times New Roman" w:eastAsia="Times New Roman" w:hAnsi="Times New Roman" w:cs="Times New Roman"/>
          <w:i/>
          <w:sz w:val="24"/>
          <w:szCs w:val="24"/>
          <w:highlight w:val="white"/>
        </w:rPr>
        <w:t xml:space="preserve"> </w:t>
      </w:r>
      <w:proofErr w:type="spellStart"/>
      <w:r w:rsidRPr="00F904A0">
        <w:rPr>
          <w:rFonts w:ascii="Times New Roman" w:eastAsia="Times New Roman" w:hAnsi="Times New Roman" w:cs="Times New Roman"/>
          <w:i/>
          <w:sz w:val="24"/>
          <w:szCs w:val="24"/>
          <w:highlight w:val="white"/>
        </w:rPr>
        <w:t>pinnatum</w:t>
      </w:r>
      <w:proofErr w:type="spellEnd"/>
      <w:r w:rsidRPr="00F904A0">
        <w:rPr>
          <w:rFonts w:ascii="Times New Roman" w:eastAsia="Times New Roman" w:hAnsi="Times New Roman" w:cs="Times New Roman"/>
          <w:i/>
          <w:sz w:val="24"/>
          <w:szCs w:val="24"/>
          <w:highlight w:val="white"/>
        </w:rPr>
        <w:t xml:space="preserve"> </w:t>
      </w:r>
      <w:r w:rsidRPr="00F904A0">
        <w:rPr>
          <w:rFonts w:ascii="Times New Roman" w:eastAsia="Times New Roman" w:hAnsi="Times New Roman" w:cs="Times New Roman"/>
          <w:sz w:val="24"/>
          <w:szCs w:val="24"/>
          <w:highlight w:val="white"/>
        </w:rPr>
        <w:t xml:space="preserve">stem extracts in traditional medicine showed that the plant has antibacterial activities as it contains antibacterial and antifungal properties. In Nigeria and other West African nations, its thick leaves are extensively used as </w:t>
      </w:r>
      <w:proofErr w:type="gramStart"/>
      <w:r w:rsidRPr="00F904A0">
        <w:rPr>
          <w:rFonts w:ascii="Times New Roman" w:eastAsia="Times New Roman" w:hAnsi="Times New Roman" w:cs="Times New Roman"/>
          <w:sz w:val="24"/>
          <w:szCs w:val="24"/>
          <w:highlight w:val="white"/>
        </w:rPr>
        <w:t>a</w:t>
      </w:r>
      <w:proofErr w:type="gramEnd"/>
      <w:r w:rsidRPr="00F904A0">
        <w:rPr>
          <w:rFonts w:ascii="Times New Roman" w:eastAsia="Times New Roman" w:hAnsi="Times New Roman" w:cs="Times New Roman"/>
          <w:sz w:val="24"/>
          <w:szCs w:val="24"/>
          <w:highlight w:val="white"/>
        </w:rPr>
        <w:t xml:space="preserve"> herbal cure for a variety of human illnesses, such as hypertension, diabetes mellitus, bruises, wounds, boils, abscesses, insect bites, and arthritis </w:t>
      </w:r>
      <w:r w:rsidRPr="00F904A0">
        <w:rPr>
          <w:rFonts w:ascii="Times New Roman" w:eastAsia="Times New Roman" w:hAnsi="Times New Roman" w:cs="Times New Roman"/>
          <w:color w:val="FF0000"/>
          <w:sz w:val="24"/>
          <w:szCs w:val="24"/>
        </w:rPr>
        <w:t>[7]</w:t>
      </w:r>
      <w:r w:rsidRPr="00F904A0">
        <w:rPr>
          <w:rFonts w:ascii="Times New Roman" w:eastAsia="Times New Roman" w:hAnsi="Times New Roman" w:cs="Times New Roman"/>
          <w:sz w:val="24"/>
          <w:szCs w:val="24"/>
          <w:highlight w:val="white"/>
        </w:rPr>
        <w:t xml:space="preserve">. It is also used to aid the dropping of the placenta of a newborn infant in South Eastern Nigeria </w:t>
      </w:r>
      <w:r w:rsidRPr="00F904A0">
        <w:rPr>
          <w:rFonts w:ascii="Times New Roman" w:eastAsia="Times New Roman" w:hAnsi="Times New Roman" w:cs="Times New Roman"/>
          <w:color w:val="FF0000"/>
          <w:sz w:val="24"/>
          <w:szCs w:val="24"/>
        </w:rPr>
        <w:t>[9]</w:t>
      </w:r>
      <w:r w:rsidRPr="00F904A0">
        <w:rPr>
          <w:rFonts w:ascii="Times New Roman" w:eastAsia="Times New Roman" w:hAnsi="Times New Roman" w:cs="Times New Roman"/>
          <w:sz w:val="24"/>
          <w:szCs w:val="24"/>
        </w:rPr>
        <w:t>.</w:t>
      </w:r>
    </w:p>
    <w:p w14:paraId="3704C321" w14:textId="77777777" w:rsidR="005272F9" w:rsidRPr="00F904A0" w:rsidRDefault="005272F9" w:rsidP="005272F9">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While certain herbs are potent in the management of various ophthalmic diseases, many others pose threat to either the integrity of the cornea, other ocular tissues, or to vision in its entirety. In light of the possible cytotoxic properties associated with </w:t>
      </w:r>
      <w:proofErr w:type="spellStart"/>
      <w:r w:rsidRPr="00F904A0">
        <w:rPr>
          <w:rFonts w:ascii="Times New Roman" w:eastAsia="Times New Roman" w:hAnsi="Times New Roman" w:cs="Times New Roman"/>
          <w:sz w:val="24"/>
          <w:szCs w:val="24"/>
        </w:rPr>
        <w:t>Bryophyllum</w:t>
      </w:r>
      <w:proofErr w:type="spellEnd"/>
      <w:r w:rsidRPr="00F904A0">
        <w:rPr>
          <w:rFonts w:ascii="Times New Roman" w:eastAsia="Times New Roman" w:hAnsi="Times New Roman" w:cs="Times New Roman"/>
          <w:sz w:val="24"/>
          <w:szCs w:val="24"/>
        </w:rPr>
        <w:t xml:space="preserve"> </w:t>
      </w:r>
      <w:proofErr w:type="spellStart"/>
      <w:r w:rsidRPr="00F904A0">
        <w:rPr>
          <w:rFonts w:ascii="Times New Roman" w:eastAsia="Times New Roman" w:hAnsi="Times New Roman" w:cs="Times New Roman"/>
          <w:sz w:val="24"/>
          <w:szCs w:val="24"/>
        </w:rPr>
        <w:t>pinnatum</w:t>
      </w:r>
      <w:proofErr w:type="spellEnd"/>
      <w:r w:rsidRPr="00F904A0">
        <w:rPr>
          <w:rFonts w:ascii="Times New Roman" w:eastAsia="Times New Roman" w:hAnsi="Times New Roman" w:cs="Times New Roman"/>
          <w:sz w:val="24"/>
          <w:szCs w:val="24"/>
        </w:rPr>
        <w:t xml:space="preserve"> </w:t>
      </w:r>
      <w:r w:rsidRPr="00F904A0">
        <w:rPr>
          <w:rFonts w:ascii="Times New Roman" w:eastAsia="Times New Roman" w:hAnsi="Times New Roman" w:cs="Times New Roman"/>
          <w:color w:val="FF0000"/>
          <w:sz w:val="24"/>
          <w:szCs w:val="24"/>
        </w:rPr>
        <w:t>[8]</w:t>
      </w:r>
      <w:r w:rsidRPr="00F904A0">
        <w:rPr>
          <w:rFonts w:ascii="Times New Roman" w:eastAsia="Times New Roman" w:hAnsi="Times New Roman" w:cs="Times New Roman"/>
          <w:sz w:val="24"/>
          <w:szCs w:val="24"/>
        </w:rPr>
        <w:t xml:space="preserve"> and its prevalent utilization within traditional medicinal practices in certain regions of Nigeria, it is imperative to evaluate its effects on visual acuity, and this investigation undertakes that assessment.</w:t>
      </w:r>
    </w:p>
    <w:p w14:paraId="4CBE9139" w14:textId="77777777" w:rsidR="004F0ADB" w:rsidRPr="00F904A0" w:rsidRDefault="001C3831" w:rsidP="007603E5">
      <w:pPr>
        <w:spacing w:line="240" w:lineRule="auto"/>
        <w:rPr>
          <w:rFonts w:ascii="Times New Roman" w:eastAsia="Times New Roman" w:hAnsi="Times New Roman" w:cs="Times New Roman"/>
          <w:b/>
          <w:sz w:val="24"/>
          <w:szCs w:val="24"/>
        </w:rPr>
      </w:pPr>
      <w:r w:rsidRPr="00F904A0">
        <w:rPr>
          <w:rFonts w:ascii="Times New Roman" w:eastAsia="Times New Roman" w:hAnsi="Times New Roman" w:cs="Times New Roman"/>
          <w:b/>
          <w:sz w:val="24"/>
          <w:szCs w:val="24"/>
        </w:rPr>
        <w:t>METHODOLOGY</w:t>
      </w:r>
    </w:p>
    <w:p w14:paraId="45D60615" w14:textId="77777777" w:rsidR="00EF748C" w:rsidRPr="00F904A0" w:rsidRDefault="00C354A6" w:rsidP="00C354A6">
      <w:pPr>
        <w:spacing w:line="240" w:lineRule="auto"/>
        <w:rPr>
          <w:rFonts w:ascii="Times New Roman" w:eastAsia="Times New Roman" w:hAnsi="Times New Roman" w:cs="Times New Roman"/>
          <w:sz w:val="24"/>
          <w:szCs w:val="24"/>
        </w:rPr>
      </w:pPr>
      <w:r w:rsidRPr="00F904A0">
        <w:rPr>
          <w:rStyle w:val="Strong"/>
          <w:rFonts w:ascii="Times New Roman" w:hAnsi="Times New Roman" w:cs="Times New Roman"/>
          <w:color w:val="333333"/>
          <w:sz w:val="24"/>
          <w:szCs w:val="24"/>
          <w:shd w:val="clear" w:color="auto" w:fill="FFFFFF"/>
        </w:rPr>
        <w:t>Ethical approval</w:t>
      </w:r>
      <w:r w:rsidRPr="00F904A0">
        <w:rPr>
          <w:rFonts w:ascii="Times New Roman" w:hAnsi="Times New Roman" w:cs="Times New Roman"/>
          <w:color w:val="333333"/>
          <w:sz w:val="24"/>
          <w:szCs w:val="24"/>
          <w:shd w:val="clear" w:color="auto" w:fill="FFFFFF"/>
        </w:rPr>
        <w:t>:</w:t>
      </w:r>
      <w:r w:rsidRPr="00F904A0">
        <w:rPr>
          <w:rFonts w:ascii="Times New Roman" w:eastAsia="Times New Roman" w:hAnsi="Times New Roman" w:cs="Times New Roman"/>
          <w:b/>
          <w:sz w:val="24"/>
          <w:szCs w:val="24"/>
        </w:rPr>
        <w:t xml:space="preserve"> </w:t>
      </w:r>
      <w:r w:rsidR="001C3831" w:rsidRPr="00F904A0">
        <w:rPr>
          <w:rFonts w:ascii="Times New Roman" w:eastAsia="Times New Roman" w:hAnsi="Times New Roman" w:cs="Times New Roman"/>
          <w:sz w:val="24"/>
          <w:szCs w:val="24"/>
        </w:rPr>
        <w:t xml:space="preserve">This is a retrospective cohort study of patients diagnosed with corneal pathologies at the ophthalmology unit of </w:t>
      </w:r>
      <w:proofErr w:type="spellStart"/>
      <w:r w:rsidR="001C3831" w:rsidRPr="00F904A0">
        <w:rPr>
          <w:rFonts w:ascii="Times New Roman" w:eastAsia="Times New Roman" w:hAnsi="Times New Roman" w:cs="Times New Roman"/>
          <w:sz w:val="24"/>
          <w:szCs w:val="24"/>
        </w:rPr>
        <w:t>Diete</w:t>
      </w:r>
      <w:proofErr w:type="spellEnd"/>
      <w:r w:rsidR="001C3831" w:rsidRPr="00F904A0">
        <w:rPr>
          <w:rFonts w:ascii="Times New Roman" w:eastAsia="Times New Roman" w:hAnsi="Times New Roman" w:cs="Times New Roman"/>
          <w:sz w:val="24"/>
          <w:szCs w:val="24"/>
        </w:rPr>
        <w:t xml:space="preserve">-Koki Memorial Hospital between September 2020 and September 2023. The study was approved by the Research Ethics Committee of the Hospital.  </w:t>
      </w:r>
    </w:p>
    <w:p w14:paraId="3EB42D52" w14:textId="77777777" w:rsidR="004F0ADB" w:rsidRPr="00F904A0" w:rsidRDefault="00EF748C" w:rsidP="00C354A6">
      <w:pPr>
        <w:spacing w:line="240" w:lineRule="auto"/>
        <w:rPr>
          <w:rFonts w:ascii="Times New Roman" w:eastAsia="Times New Roman" w:hAnsi="Times New Roman" w:cs="Times New Roman"/>
          <w:b/>
          <w:sz w:val="24"/>
          <w:szCs w:val="24"/>
        </w:rPr>
      </w:pPr>
      <w:r w:rsidRPr="00F904A0">
        <w:rPr>
          <w:rFonts w:ascii="Times New Roman" w:eastAsia="Times New Roman" w:hAnsi="Times New Roman" w:cs="Times New Roman"/>
          <w:b/>
          <w:sz w:val="24"/>
          <w:szCs w:val="24"/>
        </w:rPr>
        <w:t>Data Collection</w:t>
      </w:r>
      <w:r w:rsidRPr="00F904A0">
        <w:rPr>
          <w:rFonts w:ascii="Times New Roman" w:eastAsia="Times New Roman" w:hAnsi="Times New Roman" w:cs="Times New Roman"/>
          <w:sz w:val="24"/>
          <w:szCs w:val="24"/>
        </w:rPr>
        <w:t xml:space="preserve">: </w:t>
      </w:r>
      <w:r w:rsidR="001C3831" w:rsidRPr="00F904A0">
        <w:rPr>
          <w:rFonts w:ascii="Times New Roman" w:eastAsia="Times New Roman" w:hAnsi="Times New Roman" w:cs="Times New Roman"/>
          <w:sz w:val="24"/>
          <w:szCs w:val="24"/>
        </w:rPr>
        <w:t xml:space="preserve">The medical records of all patients seen at </w:t>
      </w:r>
      <w:r w:rsidR="00FA545F" w:rsidRPr="00F904A0">
        <w:rPr>
          <w:rFonts w:ascii="Times New Roman" w:eastAsia="Times New Roman" w:hAnsi="Times New Roman" w:cs="Times New Roman"/>
          <w:sz w:val="24"/>
          <w:szCs w:val="24"/>
        </w:rPr>
        <w:t xml:space="preserve">the ophthalmology unit between </w:t>
      </w:r>
      <w:r w:rsidR="001C3831" w:rsidRPr="00F904A0">
        <w:rPr>
          <w:rFonts w:ascii="Times New Roman" w:eastAsia="Times New Roman" w:hAnsi="Times New Roman" w:cs="Times New Roman"/>
          <w:sz w:val="24"/>
          <w:szCs w:val="24"/>
        </w:rPr>
        <w:t xml:space="preserve">September 2020 and September 2023 were retrieved for data collection. The inclusion criteria used for the study was patients who were diagnosed with and or were treated for corneal pathologies in the hospital between September 2020 and September 2023. Patients were excluded from the study if they </w:t>
      </w:r>
      <w:proofErr w:type="gramStart"/>
      <w:r w:rsidR="001C3831" w:rsidRPr="00F904A0">
        <w:rPr>
          <w:rFonts w:ascii="Times New Roman" w:eastAsia="Times New Roman" w:hAnsi="Times New Roman" w:cs="Times New Roman"/>
          <w:sz w:val="24"/>
          <w:szCs w:val="24"/>
        </w:rPr>
        <w:t>were  not</w:t>
      </w:r>
      <w:proofErr w:type="gramEnd"/>
      <w:r w:rsidR="001C3831" w:rsidRPr="00F904A0">
        <w:rPr>
          <w:rFonts w:ascii="Times New Roman" w:eastAsia="Times New Roman" w:hAnsi="Times New Roman" w:cs="Times New Roman"/>
          <w:sz w:val="24"/>
          <w:szCs w:val="24"/>
        </w:rPr>
        <w:t xml:space="preserve"> diagnosed with a corneal pathology, diagnosed with any corneal pathology before September 2020 or after September 2023, or had incomplete medical records.</w:t>
      </w:r>
    </w:p>
    <w:p w14:paraId="213B6687"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Data of patients collected from the medical records include: date of diagnosis, folder number, diagnosis, age, sex, phone number, medical history, ocular history, visual acuity (VA) before management, treatment regimen, date of first management, </w:t>
      </w:r>
      <w:proofErr w:type="gramStart"/>
      <w:r w:rsidRPr="00F904A0">
        <w:rPr>
          <w:rFonts w:ascii="Times New Roman" w:eastAsia="Times New Roman" w:hAnsi="Times New Roman" w:cs="Times New Roman"/>
          <w:sz w:val="24"/>
          <w:szCs w:val="24"/>
        </w:rPr>
        <w:t>VA  after</w:t>
      </w:r>
      <w:proofErr w:type="gramEnd"/>
      <w:r w:rsidRPr="00F904A0">
        <w:rPr>
          <w:rFonts w:ascii="Times New Roman" w:eastAsia="Times New Roman" w:hAnsi="Times New Roman" w:cs="Times New Roman"/>
          <w:sz w:val="24"/>
          <w:szCs w:val="24"/>
        </w:rPr>
        <w:t xml:space="preserve"> management, date of follow-up, and </w:t>
      </w:r>
      <w:proofErr w:type="spellStart"/>
      <w:r w:rsidRPr="00F904A0">
        <w:rPr>
          <w:rFonts w:ascii="Times New Roman" w:eastAsia="Times New Roman" w:hAnsi="Times New Roman" w:cs="Times New Roman"/>
          <w:i/>
          <w:sz w:val="24"/>
          <w:szCs w:val="24"/>
        </w:rPr>
        <w:t>Bryophyllum</w:t>
      </w:r>
      <w:proofErr w:type="spellEnd"/>
      <w:r w:rsidRPr="00F904A0">
        <w:rPr>
          <w:rFonts w:ascii="Times New Roman" w:eastAsia="Times New Roman" w:hAnsi="Times New Roman" w:cs="Times New Roman"/>
          <w:i/>
          <w:sz w:val="24"/>
          <w:szCs w:val="24"/>
        </w:rPr>
        <w:t xml:space="preserve"> </w:t>
      </w:r>
      <w:proofErr w:type="spellStart"/>
      <w:r w:rsidRPr="00F904A0">
        <w:rPr>
          <w:rFonts w:ascii="Times New Roman" w:eastAsia="Times New Roman" w:hAnsi="Times New Roman" w:cs="Times New Roman"/>
          <w:i/>
          <w:sz w:val="24"/>
          <w:szCs w:val="24"/>
        </w:rPr>
        <w:t>pinnatum</w:t>
      </w:r>
      <w:proofErr w:type="spellEnd"/>
      <w:r w:rsidRPr="00F904A0">
        <w:rPr>
          <w:rFonts w:ascii="Times New Roman" w:eastAsia="Times New Roman" w:hAnsi="Times New Roman" w:cs="Times New Roman"/>
          <w:sz w:val="24"/>
          <w:szCs w:val="24"/>
        </w:rPr>
        <w:t xml:space="preserve"> ( never-die) instillation.</w:t>
      </w:r>
    </w:p>
    <w:p w14:paraId="7ED9044F" w14:textId="77777777" w:rsidR="00F904A0" w:rsidRPr="00F904A0" w:rsidRDefault="00EF748C" w:rsidP="007603E5">
      <w:pPr>
        <w:spacing w:line="240" w:lineRule="auto"/>
        <w:rPr>
          <w:rFonts w:ascii="Times New Roman" w:eastAsia="Times New Roman" w:hAnsi="Times New Roman" w:cs="Times New Roman"/>
          <w:b/>
          <w:sz w:val="24"/>
          <w:szCs w:val="24"/>
        </w:rPr>
      </w:pPr>
      <w:r w:rsidRPr="00F904A0">
        <w:rPr>
          <w:rFonts w:ascii="Times New Roman" w:eastAsia="Times New Roman" w:hAnsi="Times New Roman" w:cs="Times New Roman"/>
          <w:b/>
          <w:sz w:val="24"/>
          <w:szCs w:val="24"/>
        </w:rPr>
        <w:t xml:space="preserve">Statistical Analysis: </w:t>
      </w:r>
    </w:p>
    <w:p w14:paraId="66873E89" w14:textId="77777777" w:rsidR="00F771B3"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Statistical calculations were performed using Microsoft Excel software, 2021 version. All visual acuity measurements were converted from Snellen to </w:t>
      </w:r>
      <w:proofErr w:type="spellStart"/>
      <w:r w:rsidRPr="00F904A0">
        <w:rPr>
          <w:rFonts w:ascii="Times New Roman" w:eastAsia="Times New Roman" w:hAnsi="Times New Roman" w:cs="Times New Roman"/>
          <w:sz w:val="24"/>
          <w:szCs w:val="24"/>
        </w:rPr>
        <w:t>LogMAR</w:t>
      </w:r>
      <w:proofErr w:type="spellEnd"/>
      <w:r w:rsidRPr="00F904A0">
        <w:rPr>
          <w:rFonts w:ascii="Times New Roman" w:eastAsia="Times New Roman" w:hAnsi="Times New Roman" w:cs="Times New Roman"/>
          <w:sz w:val="24"/>
          <w:szCs w:val="24"/>
        </w:rPr>
        <w:t xml:space="preserve"> values for statistical analysis. Note that </w:t>
      </w:r>
      <w:proofErr w:type="spellStart"/>
      <w:r w:rsidRPr="00F904A0">
        <w:rPr>
          <w:rFonts w:ascii="Times New Roman" w:eastAsia="Times New Roman" w:hAnsi="Times New Roman" w:cs="Times New Roman"/>
          <w:sz w:val="24"/>
          <w:szCs w:val="24"/>
        </w:rPr>
        <w:t>LogMAR</w:t>
      </w:r>
      <w:proofErr w:type="spellEnd"/>
      <w:r w:rsidRPr="00F904A0">
        <w:rPr>
          <w:rFonts w:ascii="Times New Roman" w:eastAsia="Times New Roman" w:hAnsi="Times New Roman" w:cs="Times New Roman"/>
          <w:sz w:val="24"/>
          <w:szCs w:val="24"/>
        </w:rPr>
        <w:t xml:space="preserve"> values are inversely proportional to visual acuity. This means that the smaller the </w:t>
      </w:r>
      <w:proofErr w:type="spellStart"/>
      <w:r w:rsidRPr="00F904A0">
        <w:rPr>
          <w:rFonts w:ascii="Times New Roman" w:eastAsia="Times New Roman" w:hAnsi="Times New Roman" w:cs="Times New Roman"/>
          <w:sz w:val="24"/>
          <w:szCs w:val="24"/>
        </w:rPr>
        <w:t>LogMAR</w:t>
      </w:r>
      <w:proofErr w:type="spellEnd"/>
      <w:r w:rsidRPr="00F904A0">
        <w:rPr>
          <w:rFonts w:ascii="Times New Roman" w:eastAsia="Times New Roman" w:hAnsi="Times New Roman" w:cs="Times New Roman"/>
          <w:sz w:val="24"/>
          <w:szCs w:val="24"/>
        </w:rPr>
        <w:t xml:space="preserve"> value, the better the visual acuity. For instance, a </w:t>
      </w:r>
      <w:proofErr w:type="spellStart"/>
      <w:r w:rsidRPr="00F904A0">
        <w:rPr>
          <w:rFonts w:ascii="Times New Roman" w:eastAsia="Times New Roman" w:hAnsi="Times New Roman" w:cs="Times New Roman"/>
          <w:sz w:val="24"/>
          <w:szCs w:val="24"/>
        </w:rPr>
        <w:t>LogMAR</w:t>
      </w:r>
      <w:proofErr w:type="spellEnd"/>
      <w:r w:rsidRPr="00F904A0">
        <w:rPr>
          <w:rFonts w:ascii="Times New Roman" w:eastAsia="Times New Roman" w:hAnsi="Times New Roman" w:cs="Times New Roman"/>
          <w:sz w:val="24"/>
          <w:szCs w:val="24"/>
        </w:rPr>
        <w:t xml:space="preserve"> value of 0.5 is better visual acuity than a </w:t>
      </w:r>
      <w:proofErr w:type="spellStart"/>
      <w:r w:rsidRPr="00F904A0">
        <w:rPr>
          <w:rFonts w:ascii="Times New Roman" w:eastAsia="Times New Roman" w:hAnsi="Times New Roman" w:cs="Times New Roman"/>
          <w:sz w:val="24"/>
          <w:szCs w:val="24"/>
        </w:rPr>
        <w:t>LogMAR</w:t>
      </w:r>
      <w:proofErr w:type="spellEnd"/>
      <w:r w:rsidRPr="00F904A0">
        <w:rPr>
          <w:rFonts w:ascii="Times New Roman" w:eastAsia="Times New Roman" w:hAnsi="Times New Roman" w:cs="Times New Roman"/>
          <w:sz w:val="24"/>
          <w:szCs w:val="24"/>
        </w:rPr>
        <w:t xml:space="preserve"> value of 1.0.  </w:t>
      </w:r>
      <w:r w:rsidR="00FA545F" w:rsidRPr="00F904A0">
        <w:rPr>
          <w:rFonts w:ascii="Times New Roman" w:eastAsia="Times New Roman" w:hAnsi="Times New Roman" w:cs="Times New Roman"/>
          <w:sz w:val="24"/>
          <w:szCs w:val="24"/>
        </w:rPr>
        <w:t>Measurements</w:t>
      </w:r>
      <w:r w:rsidRPr="00F904A0">
        <w:rPr>
          <w:rFonts w:ascii="Times New Roman" w:eastAsia="Times New Roman" w:hAnsi="Times New Roman" w:cs="Times New Roman"/>
          <w:sz w:val="24"/>
          <w:szCs w:val="24"/>
        </w:rPr>
        <w:t xml:space="preserve"> Paired t-tests were used to compare pre- and post-treatment VA using a significance level of 0.05.</w:t>
      </w:r>
    </w:p>
    <w:p w14:paraId="2747D02F" w14:textId="77777777" w:rsidR="00323080" w:rsidRPr="004D3038" w:rsidRDefault="001C3831" w:rsidP="00323080">
      <w:pPr>
        <w:spacing w:line="240" w:lineRule="auto"/>
        <w:rPr>
          <w:rFonts w:ascii="Times New Roman" w:eastAsia="Times New Roman" w:hAnsi="Times New Roman" w:cs="Times New Roman"/>
          <w:b/>
          <w:sz w:val="24"/>
          <w:szCs w:val="24"/>
        </w:rPr>
      </w:pPr>
      <w:proofErr w:type="gramStart"/>
      <w:r w:rsidRPr="00F904A0">
        <w:rPr>
          <w:rFonts w:ascii="Times New Roman" w:eastAsia="Times New Roman" w:hAnsi="Times New Roman" w:cs="Times New Roman"/>
          <w:b/>
          <w:sz w:val="24"/>
          <w:szCs w:val="24"/>
        </w:rPr>
        <w:t>RESULTS</w:t>
      </w:r>
      <w:r w:rsidR="00323080">
        <w:rPr>
          <w:rFonts w:ascii="Times New Roman" w:eastAsia="Times New Roman" w:hAnsi="Times New Roman" w:cs="Times New Roman"/>
          <w:b/>
          <w:sz w:val="24"/>
          <w:szCs w:val="24"/>
        </w:rPr>
        <w:t xml:space="preserve">  AND</w:t>
      </w:r>
      <w:proofErr w:type="gramEnd"/>
      <w:r w:rsidR="00323080">
        <w:rPr>
          <w:rFonts w:ascii="Times New Roman" w:eastAsia="Times New Roman" w:hAnsi="Times New Roman" w:cs="Times New Roman"/>
          <w:b/>
          <w:sz w:val="24"/>
          <w:szCs w:val="24"/>
        </w:rPr>
        <w:t xml:space="preserve"> </w:t>
      </w:r>
      <w:r w:rsidR="00323080" w:rsidRPr="004D3038">
        <w:rPr>
          <w:rFonts w:ascii="Times New Roman" w:eastAsia="Times New Roman" w:hAnsi="Times New Roman" w:cs="Times New Roman"/>
          <w:b/>
          <w:sz w:val="24"/>
          <w:szCs w:val="24"/>
        </w:rPr>
        <w:t>DISCUSSION</w:t>
      </w:r>
    </w:p>
    <w:p w14:paraId="6D770713" w14:textId="090A663B" w:rsidR="00C354A6" w:rsidRPr="00F904A0" w:rsidRDefault="00C354A6" w:rsidP="007603E5">
      <w:pPr>
        <w:spacing w:line="240" w:lineRule="auto"/>
        <w:rPr>
          <w:rFonts w:ascii="Times New Roman" w:eastAsia="Times New Roman" w:hAnsi="Times New Roman" w:cs="Times New Roman"/>
          <w:b/>
          <w:sz w:val="24"/>
          <w:szCs w:val="24"/>
        </w:rPr>
      </w:pPr>
    </w:p>
    <w:p w14:paraId="0A576708" w14:textId="77777777" w:rsidR="004F0ADB" w:rsidRPr="00F904A0" w:rsidRDefault="001C3831" w:rsidP="007603E5">
      <w:pPr>
        <w:spacing w:line="240" w:lineRule="auto"/>
        <w:rPr>
          <w:rFonts w:ascii="Times New Roman" w:eastAsia="Times New Roman" w:hAnsi="Times New Roman" w:cs="Times New Roman"/>
          <w:b/>
          <w:sz w:val="24"/>
          <w:szCs w:val="24"/>
        </w:rPr>
      </w:pPr>
      <w:r w:rsidRPr="00F904A0">
        <w:rPr>
          <w:rFonts w:ascii="Times New Roman" w:eastAsia="Times New Roman" w:hAnsi="Times New Roman" w:cs="Times New Roman"/>
          <w:sz w:val="24"/>
          <w:szCs w:val="24"/>
        </w:rPr>
        <w:lastRenderedPageBreak/>
        <w:t xml:space="preserve">A total of 74 patients met the inclusion criteria of the study from the search in the clinic’s database. Of this group, 5 patients had missing folder records and 69 had sufficient records </w:t>
      </w:r>
      <w:r w:rsidR="00FA545F" w:rsidRPr="00F904A0">
        <w:rPr>
          <w:rFonts w:ascii="Times New Roman" w:eastAsia="Times New Roman" w:hAnsi="Times New Roman" w:cs="Times New Roman"/>
          <w:sz w:val="24"/>
          <w:szCs w:val="24"/>
        </w:rPr>
        <w:t xml:space="preserve">in their folder for the study. </w:t>
      </w:r>
      <w:r w:rsidRPr="00F904A0">
        <w:rPr>
          <w:rFonts w:ascii="Times New Roman" w:eastAsia="Times New Roman" w:hAnsi="Times New Roman" w:cs="Times New Roman"/>
          <w:sz w:val="24"/>
          <w:szCs w:val="24"/>
        </w:rPr>
        <w:t>Table 1 and 2 show</w:t>
      </w:r>
      <w:r w:rsidR="008C6D6A" w:rsidRPr="00F904A0">
        <w:rPr>
          <w:rFonts w:ascii="Times New Roman" w:eastAsia="Times New Roman" w:hAnsi="Times New Roman" w:cs="Times New Roman"/>
          <w:sz w:val="24"/>
          <w:szCs w:val="24"/>
        </w:rPr>
        <w:t>s</w:t>
      </w:r>
      <w:r w:rsidRPr="00F904A0">
        <w:rPr>
          <w:rFonts w:ascii="Times New Roman" w:eastAsia="Times New Roman" w:hAnsi="Times New Roman" w:cs="Times New Roman"/>
          <w:sz w:val="24"/>
          <w:szCs w:val="24"/>
        </w:rPr>
        <w:t xml:space="preserve"> the distribution of the patients according to gender and age, respectively.</w:t>
      </w:r>
    </w:p>
    <w:p w14:paraId="56184C96" w14:textId="77777777" w:rsidR="004F0ADB" w:rsidRPr="00F904A0" w:rsidRDefault="004F0ADB" w:rsidP="007603E5">
      <w:pPr>
        <w:spacing w:line="240" w:lineRule="auto"/>
        <w:rPr>
          <w:rFonts w:ascii="Times New Roman" w:eastAsia="Times New Roman" w:hAnsi="Times New Roman" w:cs="Times New Roman"/>
          <w:sz w:val="24"/>
          <w:szCs w:val="24"/>
        </w:rPr>
      </w:pPr>
    </w:p>
    <w:p w14:paraId="7D3EF68C" w14:textId="0ADFA041"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Table </w:t>
      </w:r>
      <w:proofErr w:type="gramStart"/>
      <w:r w:rsidRPr="00F904A0">
        <w:rPr>
          <w:rFonts w:ascii="Times New Roman" w:eastAsia="Times New Roman" w:hAnsi="Times New Roman" w:cs="Times New Roman"/>
          <w:sz w:val="24"/>
          <w:szCs w:val="24"/>
        </w:rPr>
        <w:t>1</w:t>
      </w:r>
      <w:r w:rsidR="00482E8C">
        <w:rPr>
          <w:rFonts w:ascii="Times New Roman" w:eastAsia="Times New Roman" w:hAnsi="Times New Roman" w:cs="Times New Roman"/>
          <w:sz w:val="24"/>
          <w:szCs w:val="24"/>
        </w:rPr>
        <w:t xml:space="preserve"> :</w:t>
      </w:r>
      <w:proofErr w:type="gramEnd"/>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Gender distribution of participants</w:t>
      </w:r>
      <w:r w:rsidR="008651D6">
        <w:rPr>
          <w:rFonts w:ascii="Times New Roman" w:hAnsi="Times New Roman" w:cs="Times New Roman"/>
          <w:sz w:val="24"/>
          <w:szCs w:val="24"/>
        </w:rPr>
        <w:pict w14:anchorId="1D420276">
          <v:rect id="_x0000_i1025" style="width:0;height:1.5pt" o:hrstd="t" o:hr="t" fillcolor="#a0a0a0" stroked="f"/>
        </w:pict>
      </w:r>
    </w:p>
    <w:p w14:paraId="738553D0"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GENDER             </w:t>
      </w:r>
      <w:r w:rsidRPr="00F904A0">
        <w:rPr>
          <w:rFonts w:ascii="Times New Roman" w:eastAsia="Times New Roman" w:hAnsi="Times New Roman" w:cs="Times New Roman"/>
          <w:sz w:val="24"/>
          <w:szCs w:val="24"/>
        </w:rPr>
        <w:tab/>
      </w:r>
      <w:proofErr w:type="gramStart"/>
      <w:r w:rsidRPr="00F904A0">
        <w:rPr>
          <w:rFonts w:ascii="Times New Roman" w:eastAsia="Times New Roman" w:hAnsi="Times New Roman" w:cs="Times New Roman"/>
          <w:sz w:val="24"/>
          <w:szCs w:val="24"/>
        </w:rPr>
        <w:tab/>
        <w:t xml:space="preserve">  COUNT</w:t>
      </w:r>
      <w:proofErr w:type="gramEnd"/>
      <w:r w:rsidRPr="00F904A0">
        <w:rPr>
          <w:rFonts w:ascii="Times New Roman" w:eastAsia="Times New Roman" w:hAnsi="Times New Roman" w:cs="Times New Roman"/>
          <w:sz w:val="24"/>
          <w:szCs w:val="24"/>
        </w:rPr>
        <w:t xml:space="preserve">                            </w:t>
      </w:r>
      <w:r w:rsidRPr="00F904A0">
        <w:rPr>
          <w:rFonts w:ascii="Times New Roman" w:eastAsia="Times New Roman" w:hAnsi="Times New Roman" w:cs="Times New Roman"/>
          <w:sz w:val="24"/>
          <w:szCs w:val="24"/>
        </w:rPr>
        <w:tab/>
        <w:t xml:space="preserve">   PERCENTAGE ( %)</w:t>
      </w:r>
    </w:p>
    <w:p w14:paraId="5CED559C"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8652364">
          <v:rect id="_x0000_i1026" style="width:0;height:1.5pt" o:hrstd="t" o:hr="t" fillcolor="#a0a0a0" stroked="f"/>
        </w:pict>
      </w:r>
    </w:p>
    <w:p w14:paraId="17FA360A"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Male</w:t>
      </w:r>
      <w:r w:rsidRPr="00F904A0">
        <w:rPr>
          <w:rFonts w:ascii="Times New Roman" w:eastAsia="Times New Roman" w:hAnsi="Times New Roman" w:cs="Times New Roman"/>
          <w:sz w:val="24"/>
          <w:szCs w:val="24"/>
        </w:rPr>
        <w:tab/>
        <w:t xml:space="preserve">               </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39</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56.2</w:t>
      </w:r>
    </w:p>
    <w:p w14:paraId="74F7D47A"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Female</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30</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43.48</w:t>
      </w:r>
    </w:p>
    <w:p w14:paraId="629F4B06"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2B0B617C">
          <v:rect id="_x0000_i1027" style="width:0;height:1.5pt" o:hrstd="t" o:hr="t" fillcolor="#a0a0a0" stroked="f"/>
        </w:pict>
      </w:r>
    </w:p>
    <w:p w14:paraId="140E0504" w14:textId="1BDE74EF"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Table 2</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Age distribution of participants</w:t>
      </w:r>
    </w:p>
    <w:p w14:paraId="78E32A24"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6EA7A7B0">
          <v:rect id="_x0000_i1028" style="width:0;height:1.5pt" o:hrstd="t" o:hr="t" fillcolor="#a0a0a0" stroked="f"/>
        </w:pict>
      </w:r>
    </w:p>
    <w:p w14:paraId="3DD4900E"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 xml:space="preserve">AGE               </w:t>
      </w:r>
      <w:r w:rsidRPr="00F904A0">
        <w:rPr>
          <w:rFonts w:ascii="Times New Roman" w:eastAsia="Times New Roman" w:hAnsi="Times New Roman" w:cs="Times New Roman"/>
          <w:sz w:val="24"/>
          <w:szCs w:val="24"/>
        </w:rPr>
        <w:tab/>
      </w:r>
      <w:proofErr w:type="gramStart"/>
      <w:r w:rsidRPr="00F904A0">
        <w:rPr>
          <w:rFonts w:ascii="Times New Roman" w:eastAsia="Times New Roman" w:hAnsi="Times New Roman" w:cs="Times New Roman"/>
          <w:sz w:val="24"/>
          <w:szCs w:val="24"/>
        </w:rPr>
        <w:tab/>
        <w:t xml:space="preserve">  COUNT</w:t>
      </w:r>
      <w:proofErr w:type="gramEnd"/>
      <w:r w:rsidRPr="00F904A0">
        <w:rPr>
          <w:rFonts w:ascii="Times New Roman" w:eastAsia="Times New Roman" w:hAnsi="Times New Roman" w:cs="Times New Roman"/>
          <w:sz w:val="24"/>
          <w:szCs w:val="24"/>
        </w:rPr>
        <w:t xml:space="preserve">                            </w:t>
      </w:r>
      <w:r w:rsidRPr="00F904A0">
        <w:rPr>
          <w:rFonts w:ascii="Times New Roman" w:eastAsia="Times New Roman" w:hAnsi="Times New Roman" w:cs="Times New Roman"/>
          <w:sz w:val="24"/>
          <w:szCs w:val="24"/>
        </w:rPr>
        <w:tab/>
        <w:t xml:space="preserve">   PERCENTAGE ( %)</w:t>
      </w:r>
    </w:p>
    <w:p w14:paraId="1EA72EFF"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30D8FC61">
          <v:rect id="_x0000_i1029" style="width:0;height:1.5pt" o:hrstd="t" o:hr="t" fillcolor="#a0a0a0" stroked="f"/>
        </w:pict>
      </w:r>
    </w:p>
    <w:p w14:paraId="0EC2B22C"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Below 25</w:t>
      </w:r>
      <w:r w:rsidRPr="00F904A0">
        <w:rPr>
          <w:rFonts w:ascii="Times New Roman" w:eastAsia="Times New Roman" w:hAnsi="Times New Roman" w:cs="Times New Roman"/>
          <w:sz w:val="24"/>
          <w:szCs w:val="24"/>
        </w:rPr>
        <w:tab/>
        <w:t xml:space="preserve">               23.00</w:t>
      </w:r>
      <w:r w:rsidRPr="00F904A0">
        <w:rPr>
          <w:rFonts w:ascii="Times New Roman" w:eastAsia="Times New Roman" w:hAnsi="Times New Roman" w:cs="Times New Roman"/>
          <w:sz w:val="24"/>
          <w:szCs w:val="24"/>
        </w:rPr>
        <w:tab/>
        <w:t xml:space="preserve">                                  33.33</w:t>
      </w:r>
    </w:p>
    <w:p w14:paraId="5E3A0B0A"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25-34</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15.00        </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21.74</w:t>
      </w:r>
    </w:p>
    <w:p w14:paraId="73C65C4A"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35-44</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10.00</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14.49</w:t>
      </w:r>
    </w:p>
    <w:p w14:paraId="1BCF8509"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45-54</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w:t>
      </w:r>
      <w:r w:rsidR="00DD7A9C" w:rsidRPr="00F904A0">
        <w:rPr>
          <w:rFonts w:ascii="Times New Roman" w:eastAsia="Times New Roman" w:hAnsi="Times New Roman" w:cs="Times New Roman"/>
          <w:sz w:val="24"/>
          <w:szCs w:val="24"/>
        </w:rPr>
        <w:t xml:space="preserve">             11.00</w:t>
      </w:r>
      <w:r w:rsidR="00DD7A9C" w:rsidRPr="00F904A0">
        <w:rPr>
          <w:rFonts w:ascii="Times New Roman" w:eastAsia="Times New Roman" w:hAnsi="Times New Roman" w:cs="Times New Roman"/>
          <w:sz w:val="24"/>
          <w:szCs w:val="24"/>
        </w:rPr>
        <w:tab/>
      </w:r>
      <w:r w:rsidR="00DD7A9C" w:rsidRPr="00F904A0">
        <w:rPr>
          <w:rFonts w:ascii="Times New Roman" w:eastAsia="Times New Roman" w:hAnsi="Times New Roman" w:cs="Times New Roman"/>
          <w:sz w:val="24"/>
          <w:szCs w:val="24"/>
        </w:rPr>
        <w:tab/>
      </w:r>
      <w:r w:rsidR="00DD7A9C" w:rsidRPr="00F904A0">
        <w:rPr>
          <w:rFonts w:ascii="Times New Roman" w:eastAsia="Times New Roman" w:hAnsi="Times New Roman" w:cs="Times New Roman"/>
          <w:sz w:val="24"/>
          <w:szCs w:val="24"/>
        </w:rPr>
        <w:tab/>
        <w:t xml:space="preserve">          </w:t>
      </w:r>
      <w:r w:rsidRPr="00F904A0">
        <w:rPr>
          <w:rFonts w:ascii="Times New Roman" w:eastAsia="Times New Roman" w:hAnsi="Times New Roman" w:cs="Times New Roman"/>
          <w:sz w:val="24"/>
          <w:szCs w:val="24"/>
        </w:rPr>
        <w:t>15.94</w:t>
      </w:r>
    </w:p>
    <w:p w14:paraId="032F7161"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55-64</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4.00</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5.80</w:t>
      </w:r>
    </w:p>
    <w:p w14:paraId="4E1D582D"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65-74</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5.00</w:t>
      </w:r>
      <w:r w:rsidRPr="00F904A0">
        <w:rPr>
          <w:rFonts w:ascii="Times New Roman" w:eastAsia="Times New Roman" w:hAnsi="Times New Roman" w:cs="Times New Roman"/>
          <w:sz w:val="24"/>
          <w:szCs w:val="24"/>
        </w:rPr>
        <w:tab/>
        <w:t xml:space="preserve">                                              7.25</w:t>
      </w:r>
    </w:p>
    <w:p w14:paraId="56CC8A32"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75-84</w:t>
      </w:r>
      <w:r w:rsidRPr="00F904A0">
        <w:rPr>
          <w:rFonts w:ascii="Times New Roman" w:eastAsia="Times New Roman" w:hAnsi="Times New Roman" w:cs="Times New Roman"/>
          <w:sz w:val="24"/>
          <w:szCs w:val="24"/>
        </w:rPr>
        <w:tab/>
        <w:t xml:space="preserve"> </w:t>
      </w:r>
      <w:r w:rsidRPr="00F904A0">
        <w:rPr>
          <w:rFonts w:ascii="Times New Roman" w:eastAsia="Times New Roman" w:hAnsi="Times New Roman" w:cs="Times New Roman"/>
          <w:sz w:val="24"/>
          <w:szCs w:val="24"/>
        </w:rPr>
        <w:tab/>
        <w:t xml:space="preserve">               1.00</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1.45</w:t>
      </w:r>
    </w:p>
    <w:p w14:paraId="7FDE7474"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85 and above</w:t>
      </w:r>
      <w:r w:rsidRPr="00F904A0">
        <w:rPr>
          <w:rFonts w:ascii="Times New Roman" w:eastAsia="Times New Roman" w:hAnsi="Times New Roman" w:cs="Times New Roman"/>
          <w:sz w:val="24"/>
          <w:szCs w:val="24"/>
        </w:rPr>
        <w:tab/>
        <w:t xml:space="preserve">               0.00</w:t>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r>
      <w:r w:rsidRPr="00F904A0">
        <w:rPr>
          <w:rFonts w:ascii="Times New Roman" w:eastAsia="Times New Roman" w:hAnsi="Times New Roman" w:cs="Times New Roman"/>
          <w:sz w:val="24"/>
          <w:szCs w:val="24"/>
        </w:rPr>
        <w:tab/>
        <w:t xml:space="preserve">          0.00</w:t>
      </w:r>
    </w:p>
    <w:p w14:paraId="1426939C"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F56EF61">
          <v:rect id="_x0000_i1030" style="width:0;height:1.5pt" o:hrstd="t" o:hr="t" fillcolor="#a0a0a0" stroked="f"/>
        </w:pict>
      </w:r>
    </w:p>
    <w:p w14:paraId="26F978C0" w14:textId="77777777" w:rsidR="005272F9"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Accounting for eyes diagnosed with corneal changes, 113 eyes were diagnosed with corneal changes and 20 had positive history of never-die instillation. Table 3 shows the gender distribution of eyes with corneal changes and the history of never-die herb instillation. Table 4 shows the age distribution of eyes with corneal changes and the history of never-die herb instillation</w:t>
      </w:r>
      <w:r w:rsidR="00EC675D" w:rsidRPr="00F904A0">
        <w:rPr>
          <w:rFonts w:ascii="Times New Roman" w:eastAsia="Times New Roman" w:hAnsi="Times New Roman" w:cs="Times New Roman"/>
          <w:sz w:val="24"/>
          <w:szCs w:val="24"/>
        </w:rPr>
        <w:t>.</w:t>
      </w:r>
    </w:p>
    <w:p w14:paraId="4B9A369D" w14:textId="77777777" w:rsidR="00114399" w:rsidRDefault="00114399" w:rsidP="007603E5">
      <w:pPr>
        <w:spacing w:line="240" w:lineRule="auto"/>
        <w:rPr>
          <w:rFonts w:ascii="Times New Roman" w:eastAsia="Times New Roman" w:hAnsi="Times New Roman" w:cs="Times New Roman"/>
          <w:sz w:val="24"/>
          <w:szCs w:val="24"/>
        </w:rPr>
      </w:pPr>
    </w:p>
    <w:p w14:paraId="762E0F35" w14:textId="77777777" w:rsidR="00114399" w:rsidRDefault="00114399" w:rsidP="007603E5">
      <w:pPr>
        <w:spacing w:line="240" w:lineRule="auto"/>
        <w:rPr>
          <w:rFonts w:ascii="Times New Roman" w:eastAsia="Times New Roman" w:hAnsi="Times New Roman" w:cs="Times New Roman"/>
          <w:sz w:val="24"/>
          <w:szCs w:val="24"/>
        </w:rPr>
      </w:pPr>
    </w:p>
    <w:p w14:paraId="600A4CDA" w14:textId="77777777" w:rsidR="00114399" w:rsidRDefault="00114399" w:rsidP="007603E5">
      <w:pPr>
        <w:spacing w:line="240" w:lineRule="auto"/>
        <w:rPr>
          <w:rFonts w:ascii="Times New Roman" w:eastAsia="Times New Roman" w:hAnsi="Times New Roman" w:cs="Times New Roman"/>
          <w:sz w:val="24"/>
          <w:szCs w:val="24"/>
        </w:rPr>
      </w:pPr>
    </w:p>
    <w:p w14:paraId="063336EB" w14:textId="77777777" w:rsidR="00114399" w:rsidRDefault="00114399" w:rsidP="007603E5">
      <w:pPr>
        <w:spacing w:line="240" w:lineRule="auto"/>
        <w:rPr>
          <w:rFonts w:ascii="Times New Roman" w:eastAsia="Times New Roman" w:hAnsi="Times New Roman" w:cs="Times New Roman"/>
          <w:sz w:val="24"/>
          <w:szCs w:val="24"/>
        </w:rPr>
      </w:pPr>
    </w:p>
    <w:p w14:paraId="75CE822D" w14:textId="6DDA66DB"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Table 3</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Gender-wise distribution of Never-Die instillation</w:t>
      </w:r>
    </w:p>
    <w:p w14:paraId="0E64EA04"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52A236C">
          <v:rect id="_x0000_i1031" style="width:0;height:1.5pt" o:hrstd="t" o:hr="t" fillcolor="#a0a0a0" stroked="f"/>
        </w:pict>
      </w:r>
    </w:p>
    <w:p w14:paraId="5072640F"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Gender           Count                        Sum of Never-Die Instillation</w:t>
      </w:r>
    </w:p>
    <w:p w14:paraId="4F756DAA"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pict w14:anchorId="0C9DAF25">
          <v:rect id="_x0000_i1032" style="width:0;height:1.5pt" o:hrstd="t" o:hr="t" fillcolor="#a0a0a0" stroked="f"/>
        </w:pict>
      </w:r>
    </w:p>
    <w:p w14:paraId="66FCE0E8"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F                    50                                    11</w:t>
      </w:r>
    </w:p>
    <w:p w14:paraId="0E4D0F6F" w14:textId="77777777"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M                   63                                    9</w:t>
      </w:r>
    </w:p>
    <w:p w14:paraId="3D55BF0F" w14:textId="77777777" w:rsidR="004F0ADB" w:rsidRPr="00F904A0" w:rsidRDefault="0036423A"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Total</w:t>
      </w:r>
      <w:r w:rsidRPr="00F904A0">
        <w:rPr>
          <w:rFonts w:ascii="Times New Roman" w:eastAsia="Times New Roman" w:hAnsi="Times New Roman" w:cs="Times New Roman"/>
          <w:sz w:val="24"/>
          <w:szCs w:val="24"/>
        </w:rPr>
        <w:tab/>
        <w:t xml:space="preserve">       113</w:t>
      </w:r>
      <w:r w:rsidRPr="00F904A0">
        <w:rPr>
          <w:rFonts w:ascii="Times New Roman" w:eastAsia="Times New Roman" w:hAnsi="Times New Roman" w:cs="Times New Roman"/>
          <w:sz w:val="24"/>
          <w:szCs w:val="24"/>
        </w:rPr>
        <w:tab/>
        <w:t xml:space="preserve">                                 </w:t>
      </w:r>
      <w:r w:rsidR="001C3831" w:rsidRPr="00F904A0">
        <w:rPr>
          <w:rFonts w:ascii="Times New Roman" w:eastAsia="Times New Roman" w:hAnsi="Times New Roman" w:cs="Times New Roman"/>
          <w:sz w:val="24"/>
          <w:szCs w:val="24"/>
        </w:rPr>
        <w:t>20</w:t>
      </w:r>
    </w:p>
    <w:p w14:paraId="1D8F82F6"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854C7CE">
          <v:rect id="_x0000_i1033" style="width:0;height:1.5pt" o:hrstd="t" o:hr="t" fillcolor="#a0a0a0" stroked="f"/>
        </w:pict>
      </w:r>
    </w:p>
    <w:p w14:paraId="259FC90C" w14:textId="77777777" w:rsidR="004F0ADB" w:rsidRPr="00F904A0" w:rsidRDefault="004F0ADB" w:rsidP="007603E5">
      <w:pPr>
        <w:spacing w:line="240" w:lineRule="auto"/>
        <w:rPr>
          <w:rFonts w:ascii="Times New Roman" w:eastAsia="Times New Roman" w:hAnsi="Times New Roman" w:cs="Times New Roman"/>
          <w:sz w:val="24"/>
          <w:szCs w:val="24"/>
        </w:rPr>
      </w:pPr>
    </w:p>
    <w:p w14:paraId="7DF0953E" w14:textId="71D78245" w:rsidR="004F0ADB" w:rsidRPr="00F904A0" w:rsidRDefault="001C3831" w:rsidP="007603E5">
      <w:pPr>
        <w:spacing w:line="240" w:lineRule="auto"/>
        <w:rPr>
          <w:rFonts w:ascii="Times New Roman" w:eastAsia="Times New Roman" w:hAnsi="Times New Roman" w:cs="Times New Roman"/>
          <w:sz w:val="24"/>
          <w:szCs w:val="24"/>
        </w:rPr>
      </w:pPr>
      <w:r w:rsidRPr="00F904A0">
        <w:rPr>
          <w:rFonts w:ascii="Times New Roman" w:eastAsia="Times New Roman" w:hAnsi="Times New Roman" w:cs="Times New Roman"/>
          <w:sz w:val="24"/>
          <w:szCs w:val="24"/>
        </w:rPr>
        <w:t>Table 4</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Age-wise distribution of participants</w:t>
      </w:r>
    </w:p>
    <w:p w14:paraId="119A5B18" w14:textId="77777777" w:rsidR="004F0ADB" w:rsidRPr="00F904A0"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781E781">
          <v:rect id="_x0000_i1034" style="width:0;height:1.5pt" o:hrstd="t" o:hr="t" fillcolor="#a0a0a0" stroked="f"/>
        </w:pict>
      </w:r>
    </w:p>
    <w:p w14:paraId="69A56D06"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AGE               </w:t>
      </w:r>
      <w:r w:rsidRPr="004D3038">
        <w:rPr>
          <w:rFonts w:ascii="Times New Roman" w:eastAsia="Times New Roman" w:hAnsi="Times New Roman" w:cs="Times New Roman"/>
          <w:sz w:val="24"/>
          <w:szCs w:val="24"/>
        </w:rPr>
        <w:tab/>
      </w:r>
      <w:proofErr w:type="gramStart"/>
      <w:r w:rsidRPr="004D3038">
        <w:rPr>
          <w:rFonts w:ascii="Times New Roman" w:eastAsia="Times New Roman" w:hAnsi="Times New Roman" w:cs="Times New Roman"/>
          <w:sz w:val="24"/>
          <w:szCs w:val="24"/>
        </w:rPr>
        <w:tab/>
        <w:t xml:space="preserve">  COUNT</w:t>
      </w:r>
      <w:proofErr w:type="gramEnd"/>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ab/>
        <w:t xml:space="preserve">   PERCENTAGE ( %)</w:t>
      </w:r>
    </w:p>
    <w:p w14:paraId="0A54800F" w14:textId="77777777" w:rsidR="004F0ADB"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D9B0626">
          <v:rect id="_x0000_i1035" style="width:0;height:1.5pt" o:hrstd="t" o:hr="t" fillcolor="#a0a0a0" stroked="f"/>
        </w:pict>
      </w:r>
    </w:p>
    <w:p w14:paraId="66C1831C"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Below 25</w:t>
      </w:r>
      <w:r w:rsidRPr="004D3038">
        <w:rPr>
          <w:rFonts w:ascii="Times New Roman" w:eastAsia="Times New Roman" w:hAnsi="Times New Roman" w:cs="Times New Roman"/>
          <w:sz w:val="24"/>
          <w:szCs w:val="24"/>
        </w:rPr>
        <w:tab/>
        <w:t xml:space="preserve">               3.00</w:t>
      </w:r>
      <w:r w:rsidRPr="004D3038">
        <w:rPr>
          <w:rFonts w:ascii="Times New Roman" w:eastAsia="Times New Roman" w:hAnsi="Times New Roman" w:cs="Times New Roman"/>
          <w:sz w:val="24"/>
          <w:szCs w:val="24"/>
        </w:rPr>
        <w:tab/>
        <w:t xml:space="preserve">                                 </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15.0</w:t>
      </w:r>
    </w:p>
    <w:p w14:paraId="28CFA3D6"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25-34</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5.00        </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25.0</w:t>
      </w:r>
    </w:p>
    <w:p w14:paraId="40CD1A57"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35-44</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5.00</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25.0</w:t>
      </w:r>
    </w:p>
    <w:p w14:paraId="17784E08"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45-54</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1.00</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0036423A"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5.0</w:t>
      </w:r>
    </w:p>
    <w:p w14:paraId="7D5634E3"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55-64</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4.00</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0036423A"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20.0</w:t>
      </w:r>
    </w:p>
    <w:p w14:paraId="6F37DA34"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65-74</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0.00</w:t>
      </w:r>
      <w:r w:rsidRPr="004D3038">
        <w:rPr>
          <w:rFonts w:ascii="Times New Roman" w:eastAsia="Times New Roman" w:hAnsi="Times New Roman" w:cs="Times New Roman"/>
          <w:sz w:val="24"/>
          <w:szCs w:val="24"/>
        </w:rPr>
        <w:tab/>
        <w:t xml:space="preserve">                                               </w:t>
      </w:r>
      <w:r w:rsidR="0036423A"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 xml:space="preserve"> 0.0</w:t>
      </w:r>
    </w:p>
    <w:p w14:paraId="4CBAF2E7"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75-84</w:t>
      </w:r>
      <w:r w:rsidRPr="004D3038">
        <w:rPr>
          <w:rFonts w:ascii="Times New Roman" w:eastAsia="Times New Roman" w:hAnsi="Times New Roman" w:cs="Times New Roman"/>
          <w:sz w:val="24"/>
          <w:szCs w:val="24"/>
        </w:rPr>
        <w:tab/>
        <w:t xml:space="preserve"> </w:t>
      </w:r>
      <w:r w:rsidRPr="004D3038">
        <w:rPr>
          <w:rFonts w:ascii="Times New Roman" w:eastAsia="Times New Roman" w:hAnsi="Times New Roman" w:cs="Times New Roman"/>
          <w:sz w:val="24"/>
          <w:szCs w:val="24"/>
        </w:rPr>
        <w:tab/>
        <w:t xml:space="preserve">               2.00</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0036423A"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 xml:space="preserve"> 10.0</w:t>
      </w:r>
    </w:p>
    <w:p w14:paraId="3B05650E"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85 and above</w:t>
      </w:r>
      <w:r w:rsidRPr="004D3038">
        <w:rPr>
          <w:rFonts w:ascii="Times New Roman" w:eastAsia="Times New Roman" w:hAnsi="Times New Roman" w:cs="Times New Roman"/>
          <w:sz w:val="24"/>
          <w:szCs w:val="24"/>
        </w:rPr>
        <w:tab/>
        <w:t xml:space="preserve">               0.00</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 xml:space="preserve">           </w:t>
      </w:r>
      <w:r w:rsidR="0036423A"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 xml:space="preserve">  0.0</w:t>
      </w:r>
    </w:p>
    <w:p w14:paraId="59029B75" w14:textId="77777777" w:rsidR="00FA545F"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5F47A1D1">
          <v:rect id="_x0000_i1036" style="width:0;height:1.5pt" o:hrstd="t" o:hr="t" fillcolor="#a0a0a0" stroked="f"/>
        </w:pict>
      </w:r>
    </w:p>
    <w:p w14:paraId="5412BB62"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To calculate the risk ratio of never-die herb instillation in the population the formula used = Risk of Event in Exposed Group / Risk of Event in Unexposed Group. Table 5 shows the risk ratio based on gender and the risk ratio based on age</w:t>
      </w:r>
    </w:p>
    <w:p w14:paraId="6DAB7D4F" w14:textId="77777777" w:rsidR="00FA545F" w:rsidRPr="004D3038" w:rsidRDefault="00FA545F" w:rsidP="007603E5">
      <w:pPr>
        <w:spacing w:line="240" w:lineRule="auto"/>
        <w:rPr>
          <w:rFonts w:ascii="Times New Roman" w:eastAsia="Times New Roman" w:hAnsi="Times New Roman" w:cs="Times New Roman"/>
          <w:sz w:val="24"/>
          <w:szCs w:val="24"/>
        </w:rPr>
      </w:pPr>
    </w:p>
    <w:p w14:paraId="66F33050" w14:textId="5123AF63"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Table 5</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Gender- and age-wise risk distribution</w:t>
      </w:r>
    </w:p>
    <w:p w14:paraId="1A916D91" w14:textId="77777777" w:rsidR="004F0ADB"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5A17A9BD">
          <v:rect id="_x0000_i1037" style="width:0;height:1.5pt" o:hrstd="t" o:hr="t" fillcolor="#a0a0a0" stroked="f"/>
        </w:pict>
      </w:r>
    </w:p>
    <w:p w14:paraId="58251ADB"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Gender Risk:</w:t>
      </w:r>
      <w:r w:rsidRPr="004D3038">
        <w:rPr>
          <w:rFonts w:ascii="Times New Roman" w:eastAsia="Times New Roman" w:hAnsi="Times New Roman" w:cs="Times New Roman"/>
          <w:sz w:val="24"/>
          <w:szCs w:val="24"/>
        </w:rPr>
        <w:tab/>
        <w:t xml:space="preserve">             </w:t>
      </w:r>
      <w:r w:rsidRPr="004D3038">
        <w:rPr>
          <w:rFonts w:ascii="Times New Roman" w:eastAsia="Times New Roman" w:hAnsi="Times New Roman" w:cs="Times New Roman"/>
          <w:sz w:val="24"/>
          <w:szCs w:val="24"/>
        </w:rPr>
        <w:tab/>
        <w:t xml:space="preserve">    Age Risk:</w:t>
      </w:r>
    </w:p>
    <w:p w14:paraId="228432D4" w14:textId="77777777" w:rsidR="004F0ADB" w:rsidRPr="004D3038" w:rsidRDefault="008651D6"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58D79731">
          <v:rect id="_x0000_i1038" style="width:0;height:1.5pt" o:hrstd="t" o:hr="t" fillcolor="#a0a0a0" stroked="f"/>
        </w:pict>
      </w:r>
    </w:p>
    <w:p w14:paraId="449EBEBD" w14:textId="77777777" w:rsidR="004F0ADB" w:rsidRPr="004D3038" w:rsidRDefault="001C3831" w:rsidP="007603E5">
      <w:pPr>
        <w:spacing w:line="240" w:lineRule="auto"/>
        <w:ind w:left="720"/>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M</w:t>
      </w:r>
      <w:r w:rsidRPr="004D3038">
        <w:rPr>
          <w:rFonts w:ascii="Times New Roman" w:eastAsia="Times New Roman" w:hAnsi="Times New Roman" w:cs="Times New Roman"/>
          <w:sz w:val="24"/>
          <w:szCs w:val="24"/>
        </w:rPr>
        <w:tab/>
        <w:t>0.167</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Child (Below 18)</w:t>
      </w:r>
      <w:r w:rsidRPr="004D3038">
        <w:rPr>
          <w:rFonts w:ascii="Times New Roman" w:eastAsia="Times New Roman" w:hAnsi="Times New Roman" w:cs="Times New Roman"/>
          <w:sz w:val="24"/>
          <w:szCs w:val="24"/>
        </w:rPr>
        <w:tab/>
        <w:t>0.125</w:t>
      </w:r>
    </w:p>
    <w:p w14:paraId="19083CB1" w14:textId="77777777" w:rsidR="004F0ADB" w:rsidRPr="004D3038" w:rsidRDefault="001C3831" w:rsidP="007603E5">
      <w:pPr>
        <w:spacing w:line="240" w:lineRule="auto"/>
        <w:ind w:firstLine="720"/>
        <w:rPr>
          <w:rFonts w:ascii="Times New Roman" w:eastAsia="Times New Roman" w:hAnsi="Times New Roman" w:cs="Times New Roman"/>
          <w:b/>
          <w:sz w:val="24"/>
          <w:szCs w:val="24"/>
        </w:rPr>
      </w:pPr>
      <w:r w:rsidRPr="004D3038">
        <w:rPr>
          <w:rFonts w:ascii="Times New Roman" w:eastAsia="Times New Roman" w:hAnsi="Times New Roman" w:cs="Times New Roman"/>
          <w:sz w:val="24"/>
          <w:szCs w:val="24"/>
        </w:rPr>
        <w:t>F</w:t>
      </w:r>
      <w:r w:rsidRPr="004D3038">
        <w:rPr>
          <w:rFonts w:ascii="Times New Roman" w:eastAsia="Times New Roman" w:hAnsi="Times New Roman" w:cs="Times New Roman"/>
          <w:sz w:val="24"/>
          <w:szCs w:val="24"/>
        </w:rPr>
        <w:tab/>
        <w:t>0.282</w:t>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r>
      <w:r w:rsidRPr="004D3038">
        <w:rPr>
          <w:rFonts w:ascii="Times New Roman" w:eastAsia="Times New Roman" w:hAnsi="Times New Roman" w:cs="Times New Roman"/>
          <w:sz w:val="24"/>
          <w:szCs w:val="24"/>
        </w:rPr>
        <w:tab/>
        <w:t>Adult (Above 18)</w:t>
      </w:r>
      <w:r w:rsidRPr="004D3038">
        <w:rPr>
          <w:rFonts w:ascii="Times New Roman" w:eastAsia="Times New Roman" w:hAnsi="Times New Roman" w:cs="Times New Roman"/>
          <w:sz w:val="24"/>
          <w:szCs w:val="24"/>
        </w:rPr>
        <w:tab/>
        <w:t>0.246</w:t>
      </w:r>
    </w:p>
    <w:p w14:paraId="6C0D1895" w14:textId="77777777" w:rsidR="004F0ADB" w:rsidRPr="004D3038" w:rsidRDefault="008651D6"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61D02357">
          <v:rect id="_x0000_i1039" style="width:0;height:1.5pt" o:hrstd="t" o:hr="t" fillcolor="#a0a0a0" stroked="f"/>
        </w:pict>
      </w:r>
    </w:p>
    <w:p w14:paraId="4D74F481" w14:textId="77777777" w:rsidR="00114399"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All visual acuity </w:t>
      </w:r>
      <w:proofErr w:type="gramStart"/>
      <w:r w:rsidRPr="004D3038">
        <w:rPr>
          <w:rFonts w:ascii="Times New Roman" w:eastAsia="Times New Roman" w:hAnsi="Times New Roman" w:cs="Times New Roman"/>
          <w:sz w:val="24"/>
          <w:szCs w:val="24"/>
        </w:rPr>
        <w:t>were</w:t>
      </w:r>
      <w:proofErr w:type="gramEnd"/>
      <w:r w:rsidRPr="004D3038">
        <w:rPr>
          <w:rFonts w:ascii="Times New Roman" w:eastAsia="Times New Roman" w:hAnsi="Times New Roman" w:cs="Times New Roman"/>
          <w:sz w:val="24"/>
          <w:szCs w:val="24"/>
        </w:rPr>
        <w:t xml:space="preserve"> converted from Snellen to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and the changes in visual acuity post-management for the population that instilled never-die herb and the population that did not instill the herb are shown in table 6 and 7 respectively.</w:t>
      </w:r>
    </w:p>
    <w:p w14:paraId="1AD4D3C1" w14:textId="77777777" w:rsidR="00114399" w:rsidRDefault="00114399" w:rsidP="007603E5">
      <w:pPr>
        <w:spacing w:line="240" w:lineRule="auto"/>
        <w:rPr>
          <w:rFonts w:ascii="Times New Roman" w:eastAsia="Times New Roman" w:hAnsi="Times New Roman" w:cs="Times New Roman"/>
          <w:sz w:val="24"/>
          <w:szCs w:val="24"/>
        </w:rPr>
      </w:pPr>
    </w:p>
    <w:p w14:paraId="71CC5340" w14:textId="590107E4" w:rsidR="004F0ADB" w:rsidRPr="004D3038" w:rsidRDefault="001C3831" w:rsidP="007603E5">
      <w:pPr>
        <w:spacing w:line="240" w:lineRule="auto"/>
        <w:rPr>
          <w:rFonts w:ascii="Times New Roman" w:eastAsia="Times New Roman" w:hAnsi="Times New Roman" w:cs="Times New Roman"/>
          <w:b/>
          <w:sz w:val="24"/>
          <w:szCs w:val="24"/>
        </w:rPr>
      </w:pPr>
      <w:r w:rsidRPr="004D3038">
        <w:rPr>
          <w:rFonts w:ascii="Times New Roman" w:eastAsia="Times New Roman" w:hAnsi="Times New Roman" w:cs="Times New Roman"/>
          <w:sz w:val="24"/>
          <w:szCs w:val="24"/>
        </w:rPr>
        <w:t>Table 6</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Visual acuity outcomes before and after Never-Die instillation</w:t>
      </w:r>
    </w:p>
    <w:p w14:paraId="46A2AAAC" w14:textId="77777777" w:rsidR="004F0ADB" w:rsidRPr="004D3038" w:rsidRDefault="008651D6"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08E8BA11">
          <v:rect id="_x0000_i1040" style="width:0;height:1.5pt" o:hrstd="t" o:hr="t" fillcolor="#a0a0a0" stroked="f"/>
        </w:pict>
      </w:r>
    </w:p>
    <w:tbl>
      <w:tblPr>
        <w:tblStyle w:val="Style10"/>
        <w:tblW w:w="12660" w:type="dxa"/>
        <w:tblInd w:w="-19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00"/>
        <w:gridCol w:w="1350"/>
        <w:gridCol w:w="1575"/>
        <w:gridCol w:w="1170"/>
        <w:gridCol w:w="1395"/>
        <w:gridCol w:w="1770"/>
        <w:gridCol w:w="1560"/>
        <w:gridCol w:w="1425"/>
        <w:gridCol w:w="795"/>
        <w:gridCol w:w="120"/>
      </w:tblGrid>
      <w:tr w:rsidR="004F0ADB" w:rsidRPr="004D3038" w14:paraId="2499335E" w14:textId="77777777">
        <w:trPr>
          <w:trHeight w:val="1035"/>
        </w:trPr>
        <w:tc>
          <w:tcPr>
            <w:tcW w:w="1500" w:type="dxa"/>
            <w:tcBorders>
              <w:bottom w:val="nil"/>
              <w:right w:val="nil"/>
            </w:tcBorders>
            <w:shd w:val="clear" w:color="auto" w:fill="FFFFFF"/>
            <w:tcMar>
              <w:top w:w="40" w:type="dxa"/>
              <w:left w:w="40" w:type="dxa"/>
              <w:bottom w:w="40" w:type="dxa"/>
              <w:right w:w="40" w:type="dxa"/>
            </w:tcMar>
            <w:vAlign w:val="bottom"/>
          </w:tcPr>
          <w:p w14:paraId="697A5C07"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lastRenderedPageBreak/>
              <w:t>Group</w:t>
            </w:r>
          </w:p>
        </w:tc>
        <w:tc>
          <w:tcPr>
            <w:tcW w:w="1350" w:type="dxa"/>
            <w:tcBorders>
              <w:left w:val="nil"/>
              <w:bottom w:val="nil"/>
              <w:right w:val="nil"/>
            </w:tcBorders>
            <w:shd w:val="clear" w:color="auto" w:fill="FFFFFF"/>
            <w:tcMar>
              <w:top w:w="40" w:type="dxa"/>
              <w:left w:w="40" w:type="dxa"/>
              <w:bottom w:w="40" w:type="dxa"/>
              <w:right w:w="40" w:type="dxa"/>
            </w:tcMar>
            <w:vAlign w:val="bottom"/>
          </w:tcPr>
          <w:p w14:paraId="162966B1"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Visual Acuity (</w:t>
            </w:r>
            <w:proofErr w:type="spellStart"/>
            <w:r w:rsidRPr="004D3038">
              <w:rPr>
                <w:rFonts w:ascii="Times New Roman" w:eastAsia="Times New Roman" w:hAnsi="Times New Roman" w:cs="Times New Roman"/>
                <w:color w:val="1C2B33"/>
                <w:sz w:val="24"/>
                <w:szCs w:val="24"/>
              </w:rPr>
              <w:t>LogMAR</w:t>
            </w:r>
            <w:proofErr w:type="spellEnd"/>
            <w:r w:rsidRPr="004D3038">
              <w:rPr>
                <w:rFonts w:ascii="Times New Roman" w:eastAsia="Times New Roman" w:hAnsi="Times New Roman" w:cs="Times New Roman"/>
                <w:color w:val="1C2B33"/>
                <w:sz w:val="24"/>
                <w:szCs w:val="24"/>
              </w:rPr>
              <w:t>) Before Management</w:t>
            </w:r>
          </w:p>
        </w:tc>
        <w:tc>
          <w:tcPr>
            <w:tcW w:w="1575" w:type="dxa"/>
            <w:tcBorders>
              <w:left w:val="nil"/>
              <w:bottom w:val="nil"/>
              <w:right w:val="nil"/>
            </w:tcBorders>
            <w:shd w:val="clear" w:color="auto" w:fill="FFFFFF"/>
            <w:tcMar>
              <w:top w:w="40" w:type="dxa"/>
              <w:left w:w="40" w:type="dxa"/>
              <w:bottom w:w="40" w:type="dxa"/>
              <w:right w:w="40" w:type="dxa"/>
            </w:tcMar>
            <w:vAlign w:val="bottom"/>
          </w:tcPr>
          <w:p w14:paraId="4D55483A"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Visual Acuity (</w:t>
            </w:r>
            <w:proofErr w:type="spellStart"/>
            <w:r w:rsidRPr="004D3038">
              <w:rPr>
                <w:rFonts w:ascii="Times New Roman" w:eastAsia="Times New Roman" w:hAnsi="Times New Roman" w:cs="Times New Roman"/>
                <w:color w:val="1C2B33"/>
                <w:sz w:val="24"/>
                <w:szCs w:val="24"/>
              </w:rPr>
              <w:t>LogMAR</w:t>
            </w:r>
            <w:proofErr w:type="spellEnd"/>
            <w:r w:rsidRPr="004D3038">
              <w:rPr>
                <w:rFonts w:ascii="Times New Roman" w:eastAsia="Times New Roman" w:hAnsi="Times New Roman" w:cs="Times New Roman"/>
                <w:color w:val="1C2B33"/>
                <w:sz w:val="24"/>
                <w:szCs w:val="24"/>
              </w:rPr>
              <w:t>) After Management</w:t>
            </w:r>
          </w:p>
        </w:tc>
        <w:tc>
          <w:tcPr>
            <w:tcW w:w="1170" w:type="dxa"/>
            <w:tcBorders>
              <w:left w:val="nil"/>
              <w:bottom w:val="nil"/>
              <w:right w:val="nil"/>
            </w:tcBorders>
            <w:shd w:val="clear" w:color="auto" w:fill="FFFFFF"/>
            <w:tcMar>
              <w:top w:w="40" w:type="dxa"/>
              <w:left w:w="40" w:type="dxa"/>
              <w:bottom w:w="40" w:type="dxa"/>
              <w:right w:w="40" w:type="dxa"/>
            </w:tcMar>
            <w:vAlign w:val="bottom"/>
          </w:tcPr>
          <w:p w14:paraId="5BC0AE30"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Mean Change in Visual Acuity (</w:t>
            </w:r>
            <w:proofErr w:type="spellStart"/>
            <w:r w:rsidRPr="004D3038">
              <w:rPr>
                <w:rFonts w:ascii="Times New Roman" w:eastAsia="Times New Roman" w:hAnsi="Times New Roman" w:cs="Times New Roman"/>
                <w:color w:val="1C2B33"/>
                <w:sz w:val="24"/>
                <w:szCs w:val="24"/>
              </w:rPr>
              <w:t>LogMAR</w:t>
            </w:r>
            <w:proofErr w:type="spellEnd"/>
            <w:r w:rsidRPr="004D3038">
              <w:rPr>
                <w:rFonts w:ascii="Times New Roman" w:eastAsia="Times New Roman" w:hAnsi="Times New Roman" w:cs="Times New Roman"/>
                <w:color w:val="1C2B33"/>
                <w:sz w:val="24"/>
                <w:szCs w:val="24"/>
              </w:rPr>
              <w:t>)</w:t>
            </w:r>
          </w:p>
        </w:tc>
        <w:tc>
          <w:tcPr>
            <w:tcW w:w="1395" w:type="dxa"/>
            <w:tcBorders>
              <w:left w:val="nil"/>
              <w:bottom w:val="nil"/>
              <w:right w:val="nil"/>
            </w:tcBorders>
            <w:shd w:val="clear" w:color="auto" w:fill="FFFFFF"/>
            <w:tcMar>
              <w:top w:w="40" w:type="dxa"/>
              <w:left w:w="40" w:type="dxa"/>
              <w:bottom w:w="40" w:type="dxa"/>
              <w:right w:w="40" w:type="dxa"/>
            </w:tcMar>
            <w:vAlign w:val="bottom"/>
          </w:tcPr>
          <w:p w14:paraId="09E74E78"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Standard Deviation (STD) Before management</w:t>
            </w:r>
          </w:p>
        </w:tc>
        <w:tc>
          <w:tcPr>
            <w:tcW w:w="1770" w:type="dxa"/>
            <w:tcBorders>
              <w:left w:val="nil"/>
              <w:bottom w:val="nil"/>
              <w:right w:val="nil"/>
            </w:tcBorders>
            <w:shd w:val="clear" w:color="auto" w:fill="FFFFFF"/>
            <w:tcMar>
              <w:top w:w="40" w:type="dxa"/>
              <w:left w:w="40" w:type="dxa"/>
              <w:bottom w:w="40" w:type="dxa"/>
              <w:right w:w="40" w:type="dxa"/>
            </w:tcMar>
            <w:vAlign w:val="bottom"/>
          </w:tcPr>
          <w:p w14:paraId="09B9FBB5"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Standard Deviation (STD) After management</w:t>
            </w:r>
          </w:p>
        </w:tc>
        <w:tc>
          <w:tcPr>
            <w:tcW w:w="1560" w:type="dxa"/>
            <w:tcBorders>
              <w:left w:val="nil"/>
              <w:bottom w:val="nil"/>
              <w:right w:val="nil"/>
            </w:tcBorders>
            <w:shd w:val="clear" w:color="auto" w:fill="FFFFFF"/>
            <w:tcMar>
              <w:top w:w="40" w:type="dxa"/>
              <w:left w:w="40" w:type="dxa"/>
              <w:bottom w:w="40" w:type="dxa"/>
              <w:right w:w="40" w:type="dxa"/>
            </w:tcMar>
            <w:vAlign w:val="bottom"/>
          </w:tcPr>
          <w:p w14:paraId="3EFA0561"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Variance Before management</w:t>
            </w:r>
          </w:p>
        </w:tc>
        <w:tc>
          <w:tcPr>
            <w:tcW w:w="1425" w:type="dxa"/>
            <w:tcBorders>
              <w:left w:val="nil"/>
              <w:bottom w:val="nil"/>
              <w:right w:val="nil"/>
            </w:tcBorders>
            <w:shd w:val="clear" w:color="auto" w:fill="FFFFFF"/>
            <w:tcMar>
              <w:top w:w="40" w:type="dxa"/>
              <w:left w:w="40" w:type="dxa"/>
              <w:bottom w:w="40" w:type="dxa"/>
              <w:right w:w="40" w:type="dxa"/>
            </w:tcMar>
            <w:vAlign w:val="bottom"/>
          </w:tcPr>
          <w:p w14:paraId="18AD1DAD"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Variance After management</w:t>
            </w:r>
          </w:p>
        </w:tc>
        <w:tc>
          <w:tcPr>
            <w:tcW w:w="795" w:type="dxa"/>
            <w:tcBorders>
              <w:left w:val="nil"/>
              <w:bottom w:val="nil"/>
              <w:right w:val="nil"/>
            </w:tcBorders>
            <w:shd w:val="clear" w:color="auto" w:fill="FFFFFF"/>
            <w:tcMar>
              <w:top w:w="40" w:type="dxa"/>
              <w:left w:w="40" w:type="dxa"/>
              <w:bottom w:w="40" w:type="dxa"/>
              <w:right w:w="40" w:type="dxa"/>
            </w:tcMar>
            <w:vAlign w:val="bottom"/>
          </w:tcPr>
          <w:p w14:paraId="44583B9B"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color w:val="1C2B33"/>
                <w:sz w:val="24"/>
                <w:szCs w:val="24"/>
              </w:rPr>
              <w:t>t-test Value</w:t>
            </w:r>
          </w:p>
        </w:tc>
        <w:tc>
          <w:tcPr>
            <w:tcW w:w="120" w:type="dxa"/>
            <w:tcBorders>
              <w:left w:val="nil"/>
              <w:bottom w:val="nil"/>
            </w:tcBorders>
            <w:shd w:val="clear" w:color="auto" w:fill="FFFFFF"/>
            <w:tcMar>
              <w:top w:w="40" w:type="dxa"/>
              <w:left w:w="40" w:type="dxa"/>
              <w:bottom w:w="40" w:type="dxa"/>
              <w:right w:w="40" w:type="dxa"/>
            </w:tcMar>
            <w:vAlign w:val="bottom"/>
          </w:tcPr>
          <w:p w14:paraId="07F38746" w14:textId="77777777" w:rsidR="004F0ADB" w:rsidRPr="004D3038" w:rsidRDefault="004F0ADB" w:rsidP="007603E5">
            <w:pPr>
              <w:widowControl w:val="0"/>
              <w:spacing w:line="240" w:lineRule="auto"/>
              <w:rPr>
                <w:rFonts w:ascii="Times New Roman" w:hAnsi="Times New Roman" w:cs="Times New Roman"/>
                <w:sz w:val="24"/>
                <w:szCs w:val="24"/>
              </w:rPr>
            </w:pPr>
          </w:p>
        </w:tc>
      </w:tr>
    </w:tbl>
    <w:p w14:paraId="245453B3" w14:textId="77777777" w:rsidR="004F0ADB"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6336E282">
          <v:rect id="_x0000_i1041" style="width:0;height:1.5pt" o:hrstd="t" o:hr="t" fillcolor="#a0a0a0" stroked="f"/>
        </w:pict>
      </w:r>
    </w:p>
    <w:p w14:paraId="521BB67E"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Never-die</w:t>
      </w:r>
    </w:p>
    <w:p w14:paraId="0C34F005"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Instillation     0.151              0.0938              0.0572              0.2427              7.6616               0.1071              0.1022            0.3049</w:t>
      </w:r>
    </w:p>
    <w:p w14:paraId="65E8A709" w14:textId="77777777" w:rsidR="004F0ADB"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4B9C883E">
          <v:rect id="_x0000_i1042" style="width:0;height:1.5pt" o:hrstd="t" o:hr="t" fillcolor="#a0a0a0" stroked="f"/>
        </w:pict>
      </w:r>
    </w:p>
    <w:p w14:paraId="295CFF74" w14:textId="77777777" w:rsidR="004F0ADB" w:rsidRPr="004D3038" w:rsidRDefault="004F0ADB" w:rsidP="007603E5">
      <w:pPr>
        <w:spacing w:line="240" w:lineRule="auto"/>
        <w:rPr>
          <w:rFonts w:ascii="Times New Roman" w:eastAsia="Times New Roman" w:hAnsi="Times New Roman" w:cs="Times New Roman"/>
          <w:sz w:val="24"/>
          <w:szCs w:val="24"/>
        </w:rPr>
      </w:pPr>
    </w:p>
    <w:p w14:paraId="6FC0D04B" w14:textId="43AE13AE"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Table 7</w:t>
      </w:r>
      <w:r w:rsidR="00482E8C">
        <w:rPr>
          <w:rFonts w:ascii="Times New Roman" w:eastAsia="Times New Roman" w:hAnsi="Times New Roman" w:cs="Times New Roman"/>
          <w:sz w:val="24"/>
          <w:szCs w:val="24"/>
        </w:rPr>
        <w:t xml:space="preserve">: </w:t>
      </w:r>
      <w:r w:rsidR="00482E8C" w:rsidRPr="00482E8C">
        <w:rPr>
          <w:rFonts w:ascii="Times New Roman" w:eastAsia="Times New Roman" w:hAnsi="Times New Roman" w:cs="Times New Roman"/>
          <w:sz w:val="24"/>
          <w:szCs w:val="24"/>
        </w:rPr>
        <w:t>Visual acuity outcomes before and after no-herb instillation</w:t>
      </w:r>
    </w:p>
    <w:p w14:paraId="5303AE34" w14:textId="77777777" w:rsidR="004F0ADB" w:rsidRPr="004D3038" w:rsidRDefault="008651D6"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4F238565">
          <v:rect id="_x0000_i1043" style="width:0;height:1.5pt" o:hrstd="t" o:hr="t" fillcolor="#a0a0a0" stroked="f"/>
        </w:pict>
      </w:r>
    </w:p>
    <w:tbl>
      <w:tblPr>
        <w:tblStyle w:val="Style11"/>
        <w:tblW w:w="1305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200"/>
        <w:gridCol w:w="1470"/>
        <w:gridCol w:w="1710"/>
        <w:gridCol w:w="1380"/>
        <w:gridCol w:w="1440"/>
        <w:gridCol w:w="1515"/>
        <w:gridCol w:w="1425"/>
        <w:gridCol w:w="1530"/>
        <w:gridCol w:w="705"/>
        <w:gridCol w:w="675"/>
      </w:tblGrid>
      <w:tr w:rsidR="004F0ADB" w:rsidRPr="004D3038" w14:paraId="4D24896C" w14:textId="77777777">
        <w:trPr>
          <w:trHeight w:val="1035"/>
        </w:trPr>
        <w:tc>
          <w:tcPr>
            <w:tcW w:w="1200" w:type="dxa"/>
            <w:tcBorders>
              <w:bottom w:val="nil"/>
              <w:right w:val="nil"/>
            </w:tcBorders>
            <w:shd w:val="clear" w:color="auto" w:fill="FFFFFF"/>
            <w:tcMar>
              <w:top w:w="40" w:type="dxa"/>
              <w:left w:w="40" w:type="dxa"/>
              <w:bottom w:w="40" w:type="dxa"/>
              <w:right w:w="40" w:type="dxa"/>
            </w:tcMar>
            <w:vAlign w:val="bottom"/>
          </w:tcPr>
          <w:p w14:paraId="4F3EDC87"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Group</w:t>
            </w:r>
          </w:p>
        </w:tc>
        <w:tc>
          <w:tcPr>
            <w:tcW w:w="1470" w:type="dxa"/>
            <w:tcBorders>
              <w:left w:val="nil"/>
              <w:bottom w:val="nil"/>
              <w:right w:val="nil"/>
            </w:tcBorders>
            <w:shd w:val="clear" w:color="auto" w:fill="FFFFFF"/>
            <w:tcMar>
              <w:top w:w="40" w:type="dxa"/>
              <w:left w:w="40" w:type="dxa"/>
              <w:bottom w:w="40" w:type="dxa"/>
              <w:right w:w="40" w:type="dxa"/>
            </w:tcMar>
            <w:vAlign w:val="bottom"/>
          </w:tcPr>
          <w:p w14:paraId="399F0681"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Visual Acuity (</w:t>
            </w:r>
            <w:proofErr w:type="spellStart"/>
            <w:r w:rsidRPr="004D3038">
              <w:rPr>
                <w:rFonts w:ascii="Times New Roman" w:eastAsia="Times New Roman" w:hAnsi="Times New Roman" w:cs="Times New Roman"/>
                <w:b/>
                <w:color w:val="1C2B33"/>
                <w:sz w:val="24"/>
                <w:szCs w:val="24"/>
              </w:rPr>
              <w:t>LogMAR</w:t>
            </w:r>
            <w:proofErr w:type="spellEnd"/>
            <w:r w:rsidRPr="004D3038">
              <w:rPr>
                <w:rFonts w:ascii="Times New Roman" w:eastAsia="Times New Roman" w:hAnsi="Times New Roman" w:cs="Times New Roman"/>
                <w:b/>
                <w:color w:val="1C2B33"/>
                <w:sz w:val="24"/>
                <w:szCs w:val="24"/>
              </w:rPr>
              <w:t>) Before Management</w:t>
            </w:r>
          </w:p>
        </w:tc>
        <w:tc>
          <w:tcPr>
            <w:tcW w:w="1710" w:type="dxa"/>
            <w:tcBorders>
              <w:left w:val="nil"/>
              <w:bottom w:val="nil"/>
              <w:right w:val="nil"/>
            </w:tcBorders>
            <w:shd w:val="clear" w:color="auto" w:fill="FFFFFF"/>
            <w:tcMar>
              <w:top w:w="40" w:type="dxa"/>
              <w:left w:w="40" w:type="dxa"/>
              <w:bottom w:w="40" w:type="dxa"/>
              <w:right w:w="40" w:type="dxa"/>
            </w:tcMar>
            <w:vAlign w:val="bottom"/>
          </w:tcPr>
          <w:p w14:paraId="24C94613"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Visual Acuity (</w:t>
            </w:r>
            <w:proofErr w:type="spellStart"/>
            <w:r w:rsidRPr="004D3038">
              <w:rPr>
                <w:rFonts w:ascii="Times New Roman" w:eastAsia="Times New Roman" w:hAnsi="Times New Roman" w:cs="Times New Roman"/>
                <w:b/>
                <w:color w:val="1C2B33"/>
                <w:sz w:val="24"/>
                <w:szCs w:val="24"/>
              </w:rPr>
              <w:t>LogMAR</w:t>
            </w:r>
            <w:proofErr w:type="spellEnd"/>
            <w:r w:rsidRPr="004D3038">
              <w:rPr>
                <w:rFonts w:ascii="Times New Roman" w:eastAsia="Times New Roman" w:hAnsi="Times New Roman" w:cs="Times New Roman"/>
                <w:b/>
                <w:color w:val="1C2B33"/>
                <w:sz w:val="24"/>
                <w:szCs w:val="24"/>
              </w:rPr>
              <w:t>) After Management</w:t>
            </w:r>
          </w:p>
        </w:tc>
        <w:tc>
          <w:tcPr>
            <w:tcW w:w="1380" w:type="dxa"/>
            <w:tcBorders>
              <w:left w:val="nil"/>
              <w:bottom w:val="nil"/>
              <w:right w:val="nil"/>
            </w:tcBorders>
            <w:shd w:val="clear" w:color="auto" w:fill="FFFFFF"/>
            <w:tcMar>
              <w:top w:w="40" w:type="dxa"/>
              <w:left w:w="40" w:type="dxa"/>
              <w:bottom w:w="40" w:type="dxa"/>
              <w:right w:w="40" w:type="dxa"/>
            </w:tcMar>
            <w:vAlign w:val="bottom"/>
          </w:tcPr>
          <w:p w14:paraId="58921E1E"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Mean Change in Visual Acuity (</w:t>
            </w:r>
            <w:proofErr w:type="spellStart"/>
            <w:r w:rsidRPr="004D3038">
              <w:rPr>
                <w:rFonts w:ascii="Times New Roman" w:eastAsia="Times New Roman" w:hAnsi="Times New Roman" w:cs="Times New Roman"/>
                <w:b/>
                <w:color w:val="1C2B33"/>
                <w:sz w:val="24"/>
                <w:szCs w:val="24"/>
              </w:rPr>
              <w:t>LogMAR</w:t>
            </w:r>
            <w:proofErr w:type="spellEnd"/>
            <w:r w:rsidRPr="004D3038">
              <w:rPr>
                <w:rFonts w:ascii="Times New Roman" w:eastAsia="Times New Roman" w:hAnsi="Times New Roman" w:cs="Times New Roman"/>
                <w:b/>
                <w:color w:val="1C2B33"/>
                <w:sz w:val="24"/>
                <w:szCs w:val="24"/>
              </w:rPr>
              <w:t>)</w:t>
            </w:r>
          </w:p>
        </w:tc>
        <w:tc>
          <w:tcPr>
            <w:tcW w:w="1440" w:type="dxa"/>
            <w:tcBorders>
              <w:left w:val="nil"/>
              <w:bottom w:val="nil"/>
              <w:right w:val="nil"/>
            </w:tcBorders>
            <w:shd w:val="clear" w:color="auto" w:fill="FFFFFF"/>
            <w:tcMar>
              <w:top w:w="40" w:type="dxa"/>
              <w:left w:w="40" w:type="dxa"/>
              <w:bottom w:w="40" w:type="dxa"/>
              <w:right w:w="40" w:type="dxa"/>
            </w:tcMar>
            <w:vAlign w:val="bottom"/>
          </w:tcPr>
          <w:p w14:paraId="789A4F38"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Standard Deviation (STD) Before management</w:t>
            </w:r>
          </w:p>
        </w:tc>
        <w:tc>
          <w:tcPr>
            <w:tcW w:w="1515" w:type="dxa"/>
            <w:tcBorders>
              <w:left w:val="nil"/>
              <w:bottom w:val="nil"/>
              <w:right w:val="nil"/>
            </w:tcBorders>
            <w:shd w:val="clear" w:color="auto" w:fill="FFFFFF"/>
            <w:tcMar>
              <w:top w:w="40" w:type="dxa"/>
              <w:left w:w="40" w:type="dxa"/>
              <w:bottom w:w="40" w:type="dxa"/>
              <w:right w:w="40" w:type="dxa"/>
            </w:tcMar>
            <w:vAlign w:val="bottom"/>
          </w:tcPr>
          <w:p w14:paraId="52DE0DE1"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Standard Deviation (STD) After management</w:t>
            </w:r>
          </w:p>
        </w:tc>
        <w:tc>
          <w:tcPr>
            <w:tcW w:w="1425" w:type="dxa"/>
            <w:tcBorders>
              <w:left w:val="nil"/>
              <w:bottom w:val="nil"/>
              <w:right w:val="nil"/>
            </w:tcBorders>
            <w:shd w:val="clear" w:color="auto" w:fill="FFFFFF"/>
            <w:tcMar>
              <w:top w:w="40" w:type="dxa"/>
              <w:left w:w="40" w:type="dxa"/>
              <w:bottom w:w="40" w:type="dxa"/>
              <w:right w:w="40" w:type="dxa"/>
            </w:tcMar>
            <w:vAlign w:val="bottom"/>
          </w:tcPr>
          <w:p w14:paraId="2BC7585E"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Variance Before management</w:t>
            </w:r>
          </w:p>
        </w:tc>
        <w:tc>
          <w:tcPr>
            <w:tcW w:w="1530" w:type="dxa"/>
            <w:tcBorders>
              <w:left w:val="nil"/>
              <w:bottom w:val="nil"/>
              <w:right w:val="nil"/>
            </w:tcBorders>
            <w:shd w:val="clear" w:color="auto" w:fill="FFFFFF"/>
            <w:tcMar>
              <w:top w:w="40" w:type="dxa"/>
              <w:left w:w="40" w:type="dxa"/>
              <w:bottom w:w="40" w:type="dxa"/>
              <w:right w:w="40" w:type="dxa"/>
            </w:tcMar>
            <w:vAlign w:val="bottom"/>
          </w:tcPr>
          <w:p w14:paraId="1995C9A5"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Variance After management</w:t>
            </w:r>
          </w:p>
        </w:tc>
        <w:tc>
          <w:tcPr>
            <w:tcW w:w="705" w:type="dxa"/>
            <w:tcBorders>
              <w:left w:val="nil"/>
              <w:bottom w:val="nil"/>
              <w:right w:val="nil"/>
            </w:tcBorders>
            <w:shd w:val="clear" w:color="auto" w:fill="FFFFFF"/>
            <w:tcMar>
              <w:top w:w="40" w:type="dxa"/>
              <w:left w:w="40" w:type="dxa"/>
              <w:bottom w:w="40" w:type="dxa"/>
              <w:right w:w="40" w:type="dxa"/>
            </w:tcMar>
            <w:vAlign w:val="bottom"/>
          </w:tcPr>
          <w:p w14:paraId="22657AF6" w14:textId="77777777" w:rsidR="004F0ADB" w:rsidRPr="004D3038" w:rsidRDefault="001C3831" w:rsidP="007603E5">
            <w:pPr>
              <w:widowControl w:val="0"/>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b/>
                <w:color w:val="1C2B33"/>
                <w:sz w:val="24"/>
                <w:szCs w:val="24"/>
              </w:rPr>
              <w:t>t-test Value</w:t>
            </w:r>
          </w:p>
        </w:tc>
        <w:tc>
          <w:tcPr>
            <w:tcW w:w="675" w:type="dxa"/>
            <w:tcBorders>
              <w:left w:val="nil"/>
              <w:bottom w:val="nil"/>
            </w:tcBorders>
            <w:shd w:val="clear" w:color="auto" w:fill="FFFFFF"/>
            <w:tcMar>
              <w:top w:w="40" w:type="dxa"/>
              <w:left w:w="40" w:type="dxa"/>
              <w:bottom w:w="40" w:type="dxa"/>
              <w:right w:w="40" w:type="dxa"/>
            </w:tcMar>
            <w:vAlign w:val="bottom"/>
          </w:tcPr>
          <w:p w14:paraId="2A2AF5CD" w14:textId="77777777" w:rsidR="004F0ADB" w:rsidRPr="004D3038" w:rsidRDefault="004F0ADB" w:rsidP="007603E5">
            <w:pPr>
              <w:widowControl w:val="0"/>
              <w:spacing w:line="240" w:lineRule="auto"/>
              <w:rPr>
                <w:rFonts w:ascii="Times New Roman" w:hAnsi="Times New Roman" w:cs="Times New Roman"/>
                <w:sz w:val="24"/>
                <w:szCs w:val="24"/>
              </w:rPr>
            </w:pPr>
          </w:p>
        </w:tc>
      </w:tr>
    </w:tbl>
    <w:p w14:paraId="0DB8C6CF" w14:textId="77777777" w:rsidR="004F0ADB" w:rsidRPr="004D3038" w:rsidRDefault="008651D6"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20C1497D">
          <v:rect id="_x0000_i1044" style="width:0;height:1.5pt" o:hrstd="t" o:hr="t" fillcolor="#a0a0a0" stroked="f"/>
        </w:pict>
      </w:r>
    </w:p>
    <w:p w14:paraId="04AFAD1F"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No herb</w:t>
      </w:r>
    </w:p>
    <w:p w14:paraId="62914165"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Instillation     0.2183    </w:t>
      </w:r>
      <w:r w:rsidRPr="004D3038">
        <w:rPr>
          <w:rFonts w:ascii="Times New Roman" w:eastAsia="Times New Roman" w:hAnsi="Times New Roman" w:cs="Times New Roman"/>
          <w:sz w:val="24"/>
          <w:szCs w:val="24"/>
        </w:rPr>
        <w:tab/>
        <w:t>0.2007</w:t>
      </w:r>
      <w:r w:rsidRPr="004D3038">
        <w:rPr>
          <w:rFonts w:ascii="Times New Roman" w:eastAsia="Times New Roman" w:hAnsi="Times New Roman" w:cs="Times New Roman"/>
          <w:sz w:val="24"/>
          <w:szCs w:val="24"/>
        </w:rPr>
        <w:tab/>
        <w:t xml:space="preserve">               0.0176</w:t>
      </w:r>
      <w:r w:rsidRPr="004D3038">
        <w:rPr>
          <w:rFonts w:ascii="Times New Roman" w:eastAsia="Times New Roman" w:hAnsi="Times New Roman" w:cs="Times New Roman"/>
          <w:sz w:val="24"/>
          <w:szCs w:val="24"/>
        </w:rPr>
        <w:tab/>
        <w:t xml:space="preserve">     0.3273</w:t>
      </w:r>
      <w:r w:rsidRPr="004D3038">
        <w:rPr>
          <w:rFonts w:ascii="Times New Roman" w:eastAsia="Times New Roman" w:hAnsi="Times New Roman" w:cs="Times New Roman"/>
          <w:sz w:val="24"/>
          <w:szCs w:val="24"/>
        </w:rPr>
        <w:tab/>
        <w:t xml:space="preserve">    0.3197            0.1127             0.07183         0.3717</w:t>
      </w:r>
    </w:p>
    <w:p w14:paraId="7986B64D" w14:textId="77777777" w:rsidR="004F0ADB" w:rsidRPr="004D3038" w:rsidRDefault="008651D6"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322CF310">
          <v:rect id="_x0000_i1045" style="width:0;height:1.5pt" o:hrstd="t" o:hr="t" fillcolor="#a0a0a0" stroked="f"/>
        </w:pict>
      </w:r>
    </w:p>
    <w:p w14:paraId="400C966B"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The bar chart in fig I shows the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visual acuity changes before and after management in the group that instilled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proofErr w:type="gramStart"/>
      <w:r w:rsidRPr="004D3038">
        <w:rPr>
          <w:rFonts w:ascii="Times New Roman" w:eastAsia="Times New Roman" w:hAnsi="Times New Roman" w:cs="Times New Roman"/>
          <w:i/>
          <w:sz w:val="24"/>
          <w:szCs w:val="24"/>
        </w:rPr>
        <w:t>pinnatum</w:t>
      </w:r>
      <w:proofErr w:type="spellEnd"/>
      <w:r w:rsidRPr="004D3038">
        <w:rPr>
          <w:rFonts w:ascii="Times New Roman" w:eastAsia="Times New Roman" w:hAnsi="Times New Roman" w:cs="Times New Roman"/>
          <w:sz w:val="24"/>
          <w:szCs w:val="24"/>
        </w:rPr>
        <w:t xml:space="preserve">  and</w:t>
      </w:r>
      <w:proofErr w:type="gramEnd"/>
      <w:r w:rsidRPr="004D3038">
        <w:rPr>
          <w:rFonts w:ascii="Times New Roman" w:eastAsia="Times New Roman" w:hAnsi="Times New Roman" w:cs="Times New Roman"/>
          <w:sz w:val="24"/>
          <w:szCs w:val="24"/>
        </w:rPr>
        <w:t xml:space="preserve"> the group that did not instill.</w:t>
      </w:r>
    </w:p>
    <w:p w14:paraId="3DF356D2"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noProof/>
          <w:sz w:val="24"/>
          <w:szCs w:val="24"/>
        </w:rPr>
        <w:lastRenderedPageBreak/>
        <w:drawing>
          <wp:inline distT="114300" distB="114300" distL="114300" distR="114300" wp14:anchorId="01757E90" wp14:editId="1385144F">
            <wp:extent cx="4829175" cy="25920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t="13313"/>
                    <a:stretch>
                      <a:fillRect/>
                    </a:stretch>
                  </pic:blipFill>
                  <pic:spPr>
                    <a:xfrm>
                      <a:off x="0" y="0"/>
                      <a:ext cx="4829175" cy="2592660"/>
                    </a:xfrm>
                    <a:prstGeom prst="rect">
                      <a:avLst/>
                    </a:prstGeom>
                  </pic:spPr>
                </pic:pic>
              </a:graphicData>
            </a:graphic>
          </wp:inline>
        </w:drawing>
      </w:r>
    </w:p>
    <w:p w14:paraId="3B5688DC" w14:textId="77777777" w:rsidR="004F0ADB" w:rsidRPr="004D3038" w:rsidRDefault="001C3831" w:rsidP="007603E5">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Fig I. Graph showing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visual acuity change in both groups</w:t>
      </w:r>
    </w:p>
    <w:p w14:paraId="01CD4035" w14:textId="77777777" w:rsidR="004F0ADB" w:rsidRPr="004D3038" w:rsidRDefault="004F0ADB" w:rsidP="007603E5">
      <w:pPr>
        <w:spacing w:line="240" w:lineRule="auto"/>
        <w:rPr>
          <w:rFonts w:ascii="Times New Roman" w:eastAsia="Times New Roman" w:hAnsi="Times New Roman" w:cs="Times New Roman"/>
          <w:sz w:val="24"/>
          <w:szCs w:val="24"/>
        </w:rPr>
      </w:pPr>
    </w:p>
    <w:p w14:paraId="36C07094" w14:textId="77777777" w:rsidR="001C7FA2" w:rsidRPr="004D3038" w:rsidRDefault="001C7FA2" w:rsidP="001C7FA2">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This study is the first to investigate the visual changes associated with corneal changes post instillation </w:t>
      </w:r>
      <w:proofErr w:type="gramStart"/>
      <w:r w:rsidRPr="004D3038">
        <w:rPr>
          <w:rFonts w:ascii="Times New Roman" w:eastAsia="Times New Roman" w:hAnsi="Times New Roman" w:cs="Times New Roman"/>
          <w:sz w:val="24"/>
          <w:szCs w:val="24"/>
        </w:rPr>
        <w:t xml:space="preserve">of  </w:t>
      </w:r>
      <w:proofErr w:type="spellStart"/>
      <w:r w:rsidRPr="004D3038">
        <w:rPr>
          <w:rFonts w:ascii="Times New Roman" w:eastAsia="Times New Roman" w:hAnsi="Times New Roman" w:cs="Times New Roman"/>
          <w:i/>
          <w:sz w:val="24"/>
          <w:szCs w:val="24"/>
        </w:rPr>
        <w:t>Bryophyllum</w:t>
      </w:r>
      <w:proofErr w:type="spellEnd"/>
      <w:proofErr w:type="gramEnd"/>
      <w:r w:rsidRPr="004D3038">
        <w:rPr>
          <w:rFonts w:ascii="Times New Roman" w:eastAsia="Times New Roman" w:hAnsi="Times New Roman" w:cs="Times New Roman"/>
          <w:i/>
          <w:sz w:val="24"/>
          <w:szCs w:val="24"/>
        </w:rPr>
        <w:t xml:space="preserve"> </w:t>
      </w:r>
      <w:proofErr w:type="spellStart"/>
      <w:r w:rsidRPr="004D3038">
        <w:rPr>
          <w:rFonts w:ascii="Times New Roman" w:eastAsia="Times New Roman" w:hAnsi="Times New Roman" w:cs="Times New Roman"/>
          <w:i/>
          <w:sz w:val="24"/>
          <w:szCs w:val="24"/>
        </w:rPr>
        <w:t>pinnatum</w:t>
      </w:r>
      <w:proofErr w:type="spellEnd"/>
      <w:r w:rsidRPr="004D3038">
        <w:rPr>
          <w:rFonts w:ascii="Times New Roman" w:eastAsia="Times New Roman" w:hAnsi="Times New Roman" w:cs="Times New Roman"/>
          <w:sz w:val="24"/>
          <w:szCs w:val="24"/>
        </w:rPr>
        <w:t xml:space="preserve"> . The results show that the plant extract causes significant visual changes, including reduction in visual acuity. However, there </w:t>
      </w:r>
      <w:r w:rsidR="00F771B3" w:rsidRPr="004D3038">
        <w:rPr>
          <w:rFonts w:ascii="Times New Roman" w:eastAsia="Times New Roman" w:hAnsi="Times New Roman" w:cs="Times New Roman"/>
          <w:sz w:val="24"/>
          <w:szCs w:val="24"/>
        </w:rPr>
        <w:t>is general</w:t>
      </w:r>
      <w:r w:rsidRPr="004D3038">
        <w:rPr>
          <w:rFonts w:ascii="Times New Roman" w:eastAsia="Times New Roman" w:hAnsi="Times New Roman" w:cs="Times New Roman"/>
          <w:sz w:val="24"/>
          <w:szCs w:val="24"/>
        </w:rPr>
        <w:t xml:space="preserve"> improvement in visual acuity post management though not statistically significant. The margin of visual acuity </w:t>
      </w:r>
      <w:proofErr w:type="gramStart"/>
      <w:r w:rsidRPr="004D3038">
        <w:rPr>
          <w:rFonts w:ascii="Times New Roman" w:eastAsia="Times New Roman" w:hAnsi="Times New Roman" w:cs="Times New Roman"/>
          <w:sz w:val="24"/>
          <w:szCs w:val="24"/>
        </w:rPr>
        <w:t>change</w:t>
      </w:r>
      <w:proofErr w:type="gramEnd"/>
      <w:r w:rsidRPr="004D3038">
        <w:rPr>
          <w:rFonts w:ascii="Times New Roman" w:eastAsia="Times New Roman" w:hAnsi="Times New Roman" w:cs="Times New Roman"/>
          <w:sz w:val="24"/>
          <w:szCs w:val="24"/>
        </w:rPr>
        <w:t xml:space="preserve"> before and after management is wider in the group of patient that instilled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r w:rsidR="00F771B3" w:rsidRPr="004D3038">
        <w:rPr>
          <w:rFonts w:ascii="Times New Roman" w:eastAsia="Times New Roman" w:hAnsi="Times New Roman" w:cs="Times New Roman"/>
          <w:i/>
          <w:sz w:val="24"/>
          <w:szCs w:val="24"/>
        </w:rPr>
        <w:t>pinnatum</w:t>
      </w:r>
      <w:proofErr w:type="spellEnd"/>
      <w:r w:rsidR="00F771B3" w:rsidRPr="004D3038">
        <w:rPr>
          <w:rFonts w:ascii="Times New Roman" w:eastAsia="Times New Roman" w:hAnsi="Times New Roman" w:cs="Times New Roman"/>
          <w:sz w:val="24"/>
          <w:szCs w:val="24"/>
        </w:rPr>
        <w:t xml:space="preserve"> than</w:t>
      </w:r>
      <w:r w:rsidRPr="004D3038">
        <w:rPr>
          <w:rFonts w:ascii="Times New Roman" w:eastAsia="Times New Roman" w:hAnsi="Times New Roman" w:cs="Times New Roman"/>
          <w:sz w:val="24"/>
          <w:szCs w:val="24"/>
        </w:rPr>
        <w:t xml:space="preserve"> those that did not instill the herb showing better prognosis for the group that instilled than the group that did not. 50% of the patients that instilled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r w:rsidRPr="004D3038">
        <w:rPr>
          <w:rFonts w:ascii="Times New Roman" w:eastAsia="Times New Roman" w:hAnsi="Times New Roman" w:cs="Times New Roman"/>
          <w:i/>
          <w:sz w:val="24"/>
          <w:szCs w:val="24"/>
        </w:rPr>
        <w:t>pinatum</w:t>
      </w:r>
      <w:proofErr w:type="spellEnd"/>
      <w:r w:rsidRPr="004D3038">
        <w:rPr>
          <w:rFonts w:ascii="Times New Roman" w:eastAsia="Times New Roman" w:hAnsi="Times New Roman" w:cs="Times New Roman"/>
          <w:sz w:val="24"/>
          <w:szCs w:val="24"/>
        </w:rPr>
        <w:t xml:space="preserve"> were between the ages of 25 and 44 (Table 2). </w:t>
      </w:r>
      <w:r w:rsidRPr="004D3038">
        <w:rPr>
          <w:rFonts w:ascii="Times New Roman" w:eastAsia="Times New Roman" w:hAnsi="Times New Roman" w:cs="Times New Roman"/>
          <w:b/>
          <w:sz w:val="24"/>
          <w:szCs w:val="24"/>
        </w:rPr>
        <w:t xml:space="preserve"> </w:t>
      </w:r>
      <w:r w:rsidRPr="004D3038">
        <w:rPr>
          <w:rFonts w:ascii="Times New Roman" w:eastAsia="Times New Roman" w:hAnsi="Times New Roman" w:cs="Times New Roman"/>
          <w:sz w:val="24"/>
          <w:szCs w:val="24"/>
        </w:rPr>
        <w:t xml:space="preserve">Males have a 16.7% likelihood of instilling the herb while females have 28.2% likelihood of instilling the herb (Table 5). Children below 18 are at </w:t>
      </w:r>
      <w:r w:rsidR="001B31F3" w:rsidRPr="004D3038">
        <w:rPr>
          <w:rFonts w:ascii="Times New Roman" w:eastAsia="Times New Roman" w:hAnsi="Times New Roman" w:cs="Times New Roman"/>
          <w:sz w:val="24"/>
          <w:szCs w:val="24"/>
        </w:rPr>
        <w:t>12.5</w:t>
      </w:r>
      <w:r w:rsidRPr="004D3038">
        <w:rPr>
          <w:rFonts w:ascii="Times New Roman" w:eastAsia="Times New Roman" w:hAnsi="Times New Roman" w:cs="Times New Roman"/>
          <w:sz w:val="24"/>
          <w:szCs w:val="24"/>
        </w:rPr>
        <w:t xml:space="preserve">% likelihood and adults above 18 have </w:t>
      </w:r>
      <w:r w:rsidR="001B31F3" w:rsidRPr="004D3038">
        <w:rPr>
          <w:rFonts w:ascii="Times New Roman" w:eastAsia="Times New Roman" w:hAnsi="Times New Roman" w:cs="Times New Roman"/>
          <w:sz w:val="24"/>
          <w:szCs w:val="24"/>
        </w:rPr>
        <w:t>24.6</w:t>
      </w:r>
      <w:r w:rsidRPr="004D3038">
        <w:rPr>
          <w:rFonts w:ascii="Times New Roman" w:eastAsia="Times New Roman" w:hAnsi="Times New Roman" w:cs="Times New Roman"/>
          <w:sz w:val="24"/>
          <w:szCs w:val="24"/>
        </w:rPr>
        <w:t>% likelihood (Table 5). The average visual acuity before management and after management was signific</w:t>
      </w:r>
      <w:r w:rsidR="000D3BC2" w:rsidRPr="004D3038">
        <w:rPr>
          <w:rFonts w:ascii="Times New Roman" w:eastAsia="Times New Roman" w:hAnsi="Times New Roman" w:cs="Times New Roman"/>
          <w:sz w:val="24"/>
          <w:szCs w:val="24"/>
        </w:rPr>
        <w:t xml:space="preserve">antly higher in the group that </w:t>
      </w:r>
      <w:r w:rsidRPr="004D3038">
        <w:rPr>
          <w:rFonts w:ascii="Times New Roman" w:eastAsia="Times New Roman" w:hAnsi="Times New Roman" w:cs="Times New Roman"/>
          <w:sz w:val="24"/>
          <w:szCs w:val="24"/>
        </w:rPr>
        <w:t xml:space="preserve">instilled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r w:rsidRPr="004D3038">
        <w:rPr>
          <w:rFonts w:ascii="Times New Roman" w:eastAsia="Times New Roman" w:hAnsi="Times New Roman" w:cs="Times New Roman"/>
          <w:i/>
          <w:sz w:val="24"/>
          <w:szCs w:val="24"/>
        </w:rPr>
        <w:t>pinatum</w:t>
      </w:r>
      <w:proofErr w:type="spellEnd"/>
      <w:r w:rsidRPr="004D3038">
        <w:rPr>
          <w:rFonts w:ascii="Times New Roman" w:eastAsia="Times New Roman" w:hAnsi="Times New Roman" w:cs="Times New Roman"/>
          <w:i/>
          <w:sz w:val="24"/>
          <w:szCs w:val="24"/>
        </w:rPr>
        <w:t xml:space="preserve"> </w:t>
      </w:r>
      <w:r w:rsidRPr="004D3038">
        <w:rPr>
          <w:rFonts w:ascii="Times New Roman" w:eastAsia="Times New Roman" w:hAnsi="Times New Roman" w:cs="Times New Roman"/>
          <w:sz w:val="24"/>
          <w:szCs w:val="24"/>
        </w:rPr>
        <w:t xml:space="preserve">herb than the group that did not. The group that instilled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r w:rsidR="00F771B3" w:rsidRPr="004D3038">
        <w:rPr>
          <w:rFonts w:ascii="Times New Roman" w:eastAsia="Times New Roman" w:hAnsi="Times New Roman" w:cs="Times New Roman"/>
          <w:i/>
          <w:sz w:val="24"/>
          <w:szCs w:val="24"/>
        </w:rPr>
        <w:t>pinatum</w:t>
      </w:r>
      <w:proofErr w:type="spellEnd"/>
      <w:r w:rsidR="00F771B3" w:rsidRPr="004D3038">
        <w:rPr>
          <w:rFonts w:ascii="Times New Roman" w:eastAsia="Times New Roman" w:hAnsi="Times New Roman" w:cs="Times New Roman"/>
          <w:i/>
          <w:sz w:val="24"/>
          <w:szCs w:val="24"/>
        </w:rPr>
        <w:t xml:space="preserve"> </w:t>
      </w:r>
      <w:r w:rsidR="00F771B3" w:rsidRPr="004D3038">
        <w:rPr>
          <w:rFonts w:ascii="Times New Roman" w:eastAsia="Times New Roman" w:hAnsi="Times New Roman" w:cs="Times New Roman"/>
          <w:sz w:val="24"/>
          <w:szCs w:val="24"/>
        </w:rPr>
        <w:t>had</w:t>
      </w:r>
      <w:r w:rsidRPr="004D3038">
        <w:rPr>
          <w:rFonts w:ascii="Times New Roman" w:eastAsia="Times New Roman" w:hAnsi="Times New Roman" w:cs="Times New Roman"/>
          <w:sz w:val="24"/>
          <w:szCs w:val="24"/>
        </w:rPr>
        <w:t xml:space="preserve"> an average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VA of </w:t>
      </w:r>
      <w:r w:rsidR="00F771B3" w:rsidRPr="004D3038">
        <w:rPr>
          <w:rFonts w:ascii="Times New Roman" w:eastAsia="Times New Roman" w:hAnsi="Times New Roman" w:cs="Times New Roman"/>
          <w:sz w:val="24"/>
          <w:szCs w:val="24"/>
        </w:rPr>
        <w:t>0.151 before</w:t>
      </w:r>
      <w:r w:rsidRPr="004D3038">
        <w:rPr>
          <w:rFonts w:ascii="Times New Roman" w:eastAsia="Times New Roman" w:hAnsi="Times New Roman" w:cs="Times New Roman"/>
          <w:sz w:val="24"/>
          <w:szCs w:val="24"/>
        </w:rPr>
        <w:t xml:space="preserve"> management and an average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VA of   0.0938 after management (Table 6).   On the other hand, the group that did not instill the herb had </w:t>
      </w:r>
      <w:r w:rsidR="000D3BC2" w:rsidRPr="004D3038">
        <w:rPr>
          <w:rFonts w:ascii="Times New Roman" w:eastAsia="Times New Roman" w:hAnsi="Times New Roman" w:cs="Times New Roman"/>
          <w:sz w:val="24"/>
          <w:szCs w:val="24"/>
        </w:rPr>
        <w:t xml:space="preserve">an average </w:t>
      </w:r>
      <w:proofErr w:type="spellStart"/>
      <w:r w:rsidR="000D3BC2" w:rsidRPr="004D3038">
        <w:rPr>
          <w:rFonts w:ascii="Times New Roman" w:eastAsia="Times New Roman" w:hAnsi="Times New Roman" w:cs="Times New Roman"/>
          <w:sz w:val="24"/>
          <w:szCs w:val="24"/>
        </w:rPr>
        <w:t>LogMAR</w:t>
      </w:r>
      <w:proofErr w:type="spellEnd"/>
      <w:r w:rsidR="000D3BC2" w:rsidRPr="004D3038">
        <w:rPr>
          <w:rFonts w:ascii="Times New Roman" w:eastAsia="Times New Roman" w:hAnsi="Times New Roman" w:cs="Times New Roman"/>
          <w:sz w:val="24"/>
          <w:szCs w:val="24"/>
        </w:rPr>
        <w:t xml:space="preserve"> VA of 0.2183 </w:t>
      </w:r>
      <w:r w:rsidRPr="004D3038">
        <w:rPr>
          <w:rFonts w:ascii="Times New Roman" w:eastAsia="Times New Roman" w:hAnsi="Times New Roman" w:cs="Times New Roman"/>
          <w:sz w:val="24"/>
          <w:szCs w:val="24"/>
        </w:rPr>
        <w:t xml:space="preserve">before management and an average </w:t>
      </w:r>
      <w:proofErr w:type="spellStart"/>
      <w:r w:rsidRPr="004D3038">
        <w:rPr>
          <w:rFonts w:ascii="Times New Roman" w:eastAsia="Times New Roman" w:hAnsi="Times New Roman" w:cs="Times New Roman"/>
          <w:sz w:val="24"/>
          <w:szCs w:val="24"/>
        </w:rPr>
        <w:t>LogMAR</w:t>
      </w:r>
      <w:proofErr w:type="spellEnd"/>
      <w:r w:rsidRPr="004D3038">
        <w:rPr>
          <w:rFonts w:ascii="Times New Roman" w:eastAsia="Times New Roman" w:hAnsi="Times New Roman" w:cs="Times New Roman"/>
          <w:sz w:val="24"/>
          <w:szCs w:val="24"/>
        </w:rPr>
        <w:t xml:space="preserve"> VA of   0.2007 after management (Table 7).  A p value of   0.3049 and 0.3717 shows that there was no statistically significant difference between the visual acuities before and after management in the groups that in the group that instilled the herb and those that did not respectively (Tables 6 and 7).</w:t>
      </w:r>
    </w:p>
    <w:p w14:paraId="0FABBCDA" w14:textId="77777777" w:rsidR="001C7FA2" w:rsidRPr="004D3038" w:rsidRDefault="001C7FA2" w:rsidP="001C7FA2">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While the exact mechanisms behind these visual changes and their prognosis post-management are unclear, they may be related to the plant's known anti-inflammatory and antioxidant properties. Further research using larger samples is needed to fully understand the effects of </w:t>
      </w:r>
      <w:proofErr w:type="spellStart"/>
      <w:r w:rsidRPr="004D3038">
        <w:rPr>
          <w:rFonts w:ascii="Times New Roman" w:eastAsia="Times New Roman" w:hAnsi="Times New Roman" w:cs="Times New Roman"/>
          <w:i/>
          <w:sz w:val="24"/>
          <w:szCs w:val="24"/>
        </w:rPr>
        <w:t>Bryophyllum</w:t>
      </w:r>
      <w:proofErr w:type="spellEnd"/>
      <w:r w:rsidRPr="004D3038">
        <w:rPr>
          <w:rFonts w:ascii="Times New Roman" w:eastAsia="Times New Roman" w:hAnsi="Times New Roman" w:cs="Times New Roman"/>
          <w:i/>
          <w:sz w:val="24"/>
          <w:szCs w:val="24"/>
        </w:rPr>
        <w:t xml:space="preserve"> </w:t>
      </w:r>
      <w:proofErr w:type="spellStart"/>
      <w:r w:rsidRPr="004D3038">
        <w:rPr>
          <w:rFonts w:ascii="Times New Roman" w:eastAsia="Times New Roman" w:hAnsi="Times New Roman" w:cs="Times New Roman"/>
          <w:i/>
          <w:sz w:val="24"/>
          <w:szCs w:val="24"/>
        </w:rPr>
        <w:t>pinnatum</w:t>
      </w:r>
      <w:proofErr w:type="spellEnd"/>
      <w:r w:rsidRPr="004D3038">
        <w:rPr>
          <w:rFonts w:ascii="Times New Roman" w:eastAsia="Times New Roman" w:hAnsi="Times New Roman" w:cs="Times New Roman"/>
          <w:sz w:val="24"/>
          <w:szCs w:val="24"/>
        </w:rPr>
        <w:t xml:space="preserve"> on visual changes and to explore its potential applications. </w:t>
      </w:r>
    </w:p>
    <w:p w14:paraId="4A78BDED" w14:textId="77777777" w:rsidR="001C7FA2" w:rsidRPr="004D3038" w:rsidRDefault="001C7FA2" w:rsidP="001C7FA2">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lastRenderedPageBreak/>
        <w:t xml:space="preserve">While no study measures the visual changes caused by the African never die herb, other herbs have been reported to cause visual changes and their prognosis post management documented. A good example is the case of acanthamoeba keratitis (AK) induced by instilling natural honey in a normal eye of a 32-year old male patient reported in a study </w:t>
      </w:r>
      <w:r w:rsidRPr="004D3038">
        <w:rPr>
          <w:rFonts w:ascii="Times New Roman" w:eastAsia="Times New Roman" w:hAnsi="Times New Roman" w:cs="Times New Roman"/>
          <w:color w:val="FF0000"/>
          <w:sz w:val="24"/>
          <w:szCs w:val="24"/>
        </w:rPr>
        <w:t>[11]</w:t>
      </w:r>
      <w:r w:rsidRPr="004D3038">
        <w:rPr>
          <w:rFonts w:ascii="Times New Roman" w:eastAsia="Times New Roman" w:hAnsi="Times New Roman" w:cs="Times New Roman"/>
          <w:sz w:val="24"/>
          <w:szCs w:val="24"/>
        </w:rPr>
        <w:t xml:space="preserve">. The patient’s instillation of the honey was in adherence to the advice of a traditional medicine-man for improvement of vision. The authors reported that clinical management of the AK showed total resolution of the condition. Similarly, another study </w:t>
      </w:r>
      <w:r w:rsidRPr="004D3038">
        <w:rPr>
          <w:rFonts w:ascii="Times New Roman" w:eastAsia="Times New Roman" w:hAnsi="Times New Roman" w:cs="Times New Roman"/>
          <w:color w:val="FF0000"/>
          <w:sz w:val="24"/>
          <w:szCs w:val="24"/>
        </w:rPr>
        <w:t>[12]</w:t>
      </w:r>
      <w:r w:rsidRPr="004D3038">
        <w:rPr>
          <w:rFonts w:ascii="Times New Roman" w:eastAsia="Times New Roman" w:hAnsi="Times New Roman" w:cs="Times New Roman"/>
          <w:sz w:val="24"/>
          <w:szCs w:val="24"/>
        </w:rPr>
        <w:t xml:space="preserve"> reports a case of corneal toxicity development after instilling the latex from </w:t>
      </w:r>
      <w:r w:rsidRPr="004D3038">
        <w:rPr>
          <w:rFonts w:ascii="Times New Roman" w:eastAsia="Times New Roman" w:hAnsi="Times New Roman" w:cs="Times New Roman"/>
          <w:i/>
          <w:sz w:val="24"/>
          <w:szCs w:val="24"/>
        </w:rPr>
        <w:t xml:space="preserve">Calotropis </w:t>
      </w:r>
      <w:proofErr w:type="spellStart"/>
      <w:r w:rsidRPr="004D3038">
        <w:rPr>
          <w:rFonts w:ascii="Times New Roman" w:eastAsia="Times New Roman" w:hAnsi="Times New Roman" w:cs="Times New Roman"/>
          <w:i/>
          <w:sz w:val="24"/>
          <w:szCs w:val="24"/>
        </w:rPr>
        <w:t>procera</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ushaar</w:t>
      </w:r>
      <w:proofErr w:type="spellEnd"/>
      <w:r w:rsidRPr="004D3038">
        <w:rPr>
          <w:rFonts w:ascii="Times New Roman" w:eastAsia="Times New Roman" w:hAnsi="Times New Roman" w:cs="Times New Roman"/>
          <w:sz w:val="24"/>
          <w:szCs w:val="24"/>
        </w:rPr>
        <w:t>) in the eyes. Clinical management with topical steroids improved visual acuity from hand movement to 20/80.</w:t>
      </w:r>
    </w:p>
    <w:p w14:paraId="151B18EC" w14:textId="77777777" w:rsidR="004F0ADB" w:rsidRPr="004D3038" w:rsidRDefault="001C7FA2" w:rsidP="001C7FA2">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 A similar case of complications from </w:t>
      </w:r>
      <w:r w:rsidRPr="004D3038">
        <w:rPr>
          <w:rFonts w:ascii="Times New Roman" w:eastAsia="Times New Roman" w:hAnsi="Times New Roman" w:cs="Times New Roman"/>
          <w:i/>
          <w:sz w:val="24"/>
          <w:szCs w:val="24"/>
        </w:rPr>
        <w:t xml:space="preserve">Calotropis </w:t>
      </w:r>
      <w:proofErr w:type="spellStart"/>
      <w:r w:rsidRPr="004D3038">
        <w:rPr>
          <w:rFonts w:ascii="Times New Roman" w:eastAsia="Times New Roman" w:hAnsi="Times New Roman" w:cs="Times New Roman"/>
          <w:i/>
          <w:sz w:val="24"/>
          <w:szCs w:val="24"/>
        </w:rPr>
        <w:t>procera</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ushaar</w:t>
      </w:r>
      <w:proofErr w:type="spellEnd"/>
      <w:r w:rsidRPr="004D3038">
        <w:rPr>
          <w:rFonts w:ascii="Times New Roman" w:eastAsia="Times New Roman" w:hAnsi="Times New Roman" w:cs="Times New Roman"/>
          <w:sz w:val="24"/>
          <w:szCs w:val="24"/>
        </w:rPr>
        <w:t xml:space="preserve"> or </w:t>
      </w:r>
      <w:proofErr w:type="spellStart"/>
      <w:proofErr w:type="gramStart"/>
      <w:r w:rsidRPr="004D3038">
        <w:rPr>
          <w:rFonts w:ascii="Times New Roman" w:eastAsia="Times New Roman" w:hAnsi="Times New Roman" w:cs="Times New Roman"/>
          <w:sz w:val="24"/>
          <w:szCs w:val="24"/>
        </w:rPr>
        <w:t>C.procera</w:t>
      </w:r>
      <w:proofErr w:type="spellEnd"/>
      <w:proofErr w:type="gramEnd"/>
      <w:r w:rsidRPr="004D3038">
        <w:rPr>
          <w:rFonts w:ascii="Times New Roman" w:eastAsia="Times New Roman" w:hAnsi="Times New Roman" w:cs="Times New Roman"/>
          <w:sz w:val="24"/>
          <w:szCs w:val="24"/>
        </w:rPr>
        <w:t xml:space="preserve">) latex in the eyes in 29 patients was reported in another study </w:t>
      </w:r>
      <w:r w:rsidRPr="004D3038">
        <w:rPr>
          <w:rFonts w:ascii="Times New Roman" w:eastAsia="Times New Roman" w:hAnsi="Times New Roman" w:cs="Times New Roman"/>
          <w:color w:val="FF0000"/>
          <w:sz w:val="24"/>
          <w:szCs w:val="24"/>
        </w:rPr>
        <w:t xml:space="preserve">[13] </w:t>
      </w:r>
      <w:r w:rsidRPr="004D3038">
        <w:rPr>
          <w:rFonts w:ascii="Times New Roman" w:eastAsia="Times New Roman" w:hAnsi="Times New Roman" w:cs="Times New Roman"/>
          <w:sz w:val="24"/>
          <w:szCs w:val="24"/>
        </w:rPr>
        <w:t xml:space="preserve">. Each of the patients presented with quick, painless dimming of their vision as well as photophobia. 25 (86%) of the patients had initial visual acuities that were less than 20/60. Conjunctival congestion, medium to severe corneal edema, and Descemet's folds were present in every eye. Nine eyes (31%) had iridocyclitis, three (10%) had epithelial defects, and seven (24%) had secondary glaucoma that was also present. 27 (93%). Clinical management showed full healing within 3-14 days following treatment with topical corticosteroids, antiglaucoma medications, cycloplegics, hypertonic saline, and tears supplements. </w:t>
      </w:r>
      <w:r w:rsidRPr="004D3038">
        <w:rPr>
          <w:rFonts w:ascii="Times New Roman" w:eastAsia="Times New Roman" w:hAnsi="Times New Roman" w:cs="Times New Roman"/>
          <w:color w:val="38761D"/>
          <w:sz w:val="24"/>
          <w:szCs w:val="24"/>
        </w:rPr>
        <w:t xml:space="preserve"> </w:t>
      </w:r>
      <w:r w:rsidRPr="004D3038">
        <w:rPr>
          <w:rFonts w:ascii="Times New Roman" w:eastAsia="Times New Roman" w:hAnsi="Times New Roman" w:cs="Times New Roman"/>
          <w:sz w:val="24"/>
          <w:szCs w:val="24"/>
        </w:rPr>
        <w:t xml:space="preserve">Another study </w:t>
      </w:r>
      <w:r w:rsidRPr="004D3038">
        <w:rPr>
          <w:rFonts w:ascii="Times New Roman" w:eastAsia="Times New Roman" w:hAnsi="Times New Roman" w:cs="Times New Roman"/>
          <w:color w:val="FF0000"/>
          <w:sz w:val="24"/>
          <w:szCs w:val="24"/>
        </w:rPr>
        <w:t xml:space="preserve">[14] </w:t>
      </w:r>
      <w:r w:rsidRPr="004D3038">
        <w:rPr>
          <w:rFonts w:ascii="Times New Roman" w:eastAsia="Times New Roman" w:hAnsi="Times New Roman" w:cs="Times New Roman"/>
          <w:sz w:val="24"/>
          <w:szCs w:val="24"/>
        </w:rPr>
        <w:t xml:space="preserve">reported a similar case of keratitis induced by ocular administration of </w:t>
      </w:r>
      <w:proofErr w:type="spellStart"/>
      <w:proofErr w:type="gramStart"/>
      <w:r w:rsidRPr="004D3038">
        <w:rPr>
          <w:rFonts w:ascii="Times New Roman" w:eastAsia="Times New Roman" w:hAnsi="Times New Roman" w:cs="Times New Roman"/>
          <w:sz w:val="24"/>
          <w:szCs w:val="24"/>
        </w:rPr>
        <w:t>C.procera</w:t>
      </w:r>
      <w:proofErr w:type="spellEnd"/>
      <w:proofErr w:type="gramEnd"/>
      <w:r w:rsidRPr="004D3038">
        <w:rPr>
          <w:rFonts w:ascii="Times New Roman" w:eastAsia="Times New Roman" w:hAnsi="Times New Roman" w:cs="Times New Roman"/>
          <w:sz w:val="24"/>
          <w:szCs w:val="24"/>
        </w:rPr>
        <w:t xml:space="preserve"> in 10 eyes. All 10 patients presented with corneal </w:t>
      </w:r>
      <w:proofErr w:type="gramStart"/>
      <w:r w:rsidRPr="004D3038">
        <w:rPr>
          <w:rFonts w:ascii="Times New Roman" w:eastAsia="Times New Roman" w:hAnsi="Times New Roman" w:cs="Times New Roman"/>
          <w:sz w:val="24"/>
          <w:szCs w:val="24"/>
        </w:rPr>
        <w:t>edema  under</w:t>
      </w:r>
      <w:proofErr w:type="gramEnd"/>
      <w:r w:rsidRPr="004D3038">
        <w:rPr>
          <w:rFonts w:ascii="Times New Roman" w:eastAsia="Times New Roman" w:hAnsi="Times New Roman" w:cs="Times New Roman"/>
          <w:sz w:val="24"/>
          <w:szCs w:val="24"/>
        </w:rPr>
        <w:t xml:space="preserve"> slit-lamp examination. Striate keratopathy without any evidence of intraocular inflammation was also observed. Management with topical corticosteroids reversed the inflammation. </w:t>
      </w:r>
      <w:proofErr w:type="spellStart"/>
      <w:r w:rsidRPr="004D3038">
        <w:rPr>
          <w:rFonts w:ascii="Times New Roman" w:eastAsia="Times New Roman" w:hAnsi="Times New Roman" w:cs="Times New Roman"/>
          <w:sz w:val="24"/>
          <w:szCs w:val="24"/>
        </w:rPr>
        <w:t>C.Procera</w:t>
      </w:r>
      <w:proofErr w:type="spellEnd"/>
      <w:r w:rsidRPr="004D3038">
        <w:rPr>
          <w:rFonts w:ascii="Times New Roman" w:eastAsia="Times New Roman" w:hAnsi="Times New Roman" w:cs="Times New Roman"/>
          <w:sz w:val="24"/>
          <w:szCs w:val="24"/>
        </w:rPr>
        <w:t xml:space="preserve"> is also implicated </w:t>
      </w:r>
      <w:r w:rsidR="001B31F3" w:rsidRPr="004D3038">
        <w:rPr>
          <w:rFonts w:ascii="Times New Roman" w:eastAsia="Times New Roman" w:hAnsi="Times New Roman" w:cs="Times New Roman"/>
          <w:sz w:val="24"/>
          <w:szCs w:val="24"/>
        </w:rPr>
        <w:t>in another</w:t>
      </w:r>
      <w:r w:rsidRPr="004D3038">
        <w:rPr>
          <w:rFonts w:ascii="Times New Roman" w:eastAsia="Times New Roman" w:hAnsi="Times New Roman" w:cs="Times New Roman"/>
          <w:sz w:val="24"/>
          <w:szCs w:val="24"/>
        </w:rPr>
        <w:t xml:space="preserve"> study </w:t>
      </w:r>
      <w:r w:rsidRPr="004D3038">
        <w:rPr>
          <w:rFonts w:ascii="Times New Roman" w:eastAsia="Times New Roman" w:hAnsi="Times New Roman" w:cs="Times New Roman"/>
          <w:color w:val="FF0000"/>
          <w:sz w:val="24"/>
          <w:szCs w:val="24"/>
        </w:rPr>
        <w:t>[15]</w:t>
      </w:r>
      <w:r w:rsidRPr="004D3038">
        <w:rPr>
          <w:rFonts w:ascii="Times New Roman" w:eastAsia="Times New Roman" w:hAnsi="Times New Roman" w:cs="Times New Roman"/>
          <w:sz w:val="24"/>
          <w:szCs w:val="24"/>
        </w:rPr>
        <w:t xml:space="preserve"> that reports a case of decreased vision and corneal edema following </w:t>
      </w:r>
      <w:r w:rsidR="001B31F3" w:rsidRPr="004D3038">
        <w:rPr>
          <w:rFonts w:ascii="Times New Roman" w:eastAsia="Times New Roman" w:hAnsi="Times New Roman" w:cs="Times New Roman"/>
          <w:sz w:val="24"/>
          <w:szCs w:val="24"/>
        </w:rPr>
        <w:t>self-administration</w:t>
      </w:r>
      <w:r w:rsidRPr="004D3038">
        <w:rPr>
          <w:rFonts w:ascii="Times New Roman" w:eastAsia="Times New Roman" w:hAnsi="Times New Roman" w:cs="Times New Roman"/>
          <w:sz w:val="24"/>
          <w:szCs w:val="24"/>
        </w:rPr>
        <w:t xml:space="preserve"> of the extract in the treatment of chalazion. Management with steroids and antibiotics showed complete healing of the cornea and improvement in visual acuity.</w:t>
      </w:r>
    </w:p>
    <w:p w14:paraId="4B97D7D2" w14:textId="77777777" w:rsidR="004F0ADB" w:rsidRPr="004D3038" w:rsidRDefault="001C3831" w:rsidP="00C354A6">
      <w:pPr>
        <w:spacing w:line="240" w:lineRule="auto"/>
        <w:rPr>
          <w:rFonts w:ascii="Times New Roman" w:eastAsia="Times New Roman" w:hAnsi="Times New Roman" w:cs="Times New Roman"/>
          <w:b/>
          <w:sz w:val="24"/>
          <w:szCs w:val="24"/>
        </w:rPr>
      </w:pPr>
      <w:r w:rsidRPr="004D3038">
        <w:rPr>
          <w:rFonts w:ascii="Times New Roman" w:eastAsia="Times New Roman" w:hAnsi="Times New Roman" w:cs="Times New Roman"/>
          <w:b/>
          <w:sz w:val="24"/>
          <w:szCs w:val="24"/>
        </w:rPr>
        <w:t>CONCLUSION</w:t>
      </w:r>
    </w:p>
    <w:p w14:paraId="1B3F7513" w14:textId="77777777" w:rsidR="004F0ADB" w:rsidRPr="004D3038" w:rsidRDefault="001C3831" w:rsidP="007603E5">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While certain herbs can provide good prognosis in the management of certain ocular conditions, the potential for toxicity to the cornea and surrounding ocular tissues cannot be ruled out in certain others.  In the effort to reduce the global burden of preventable vision loss, it is therefore important that studies that assess the visual changes and likely threats vision caused by herbs instilled to manage ocular pathologies are carried out. These st</w:t>
      </w:r>
      <w:r w:rsidR="0074359E" w:rsidRPr="004D3038">
        <w:rPr>
          <w:rFonts w:ascii="Times New Roman" w:eastAsia="Times New Roman" w:hAnsi="Times New Roman" w:cs="Times New Roman"/>
          <w:sz w:val="24"/>
          <w:szCs w:val="24"/>
        </w:rPr>
        <w:t xml:space="preserve">udies are important especially </w:t>
      </w:r>
      <w:r w:rsidRPr="004D3038">
        <w:rPr>
          <w:rFonts w:ascii="Times New Roman" w:eastAsia="Times New Roman" w:hAnsi="Times New Roman" w:cs="Times New Roman"/>
          <w:sz w:val="24"/>
          <w:szCs w:val="24"/>
        </w:rPr>
        <w:t>in developing nations where traditional medicine is still actively practi</w:t>
      </w:r>
      <w:r w:rsidR="00C354A6" w:rsidRPr="004D3038">
        <w:rPr>
          <w:rFonts w:ascii="Times New Roman" w:eastAsia="Times New Roman" w:hAnsi="Times New Roman" w:cs="Times New Roman"/>
          <w:sz w:val="24"/>
          <w:szCs w:val="24"/>
        </w:rPr>
        <w:t xml:space="preserve">ced as they form a framework for </w:t>
      </w:r>
      <w:r w:rsidRPr="004D3038">
        <w:rPr>
          <w:rFonts w:ascii="Times New Roman" w:eastAsia="Times New Roman" w:hAnsi="Times New Roman" w:cs="Times New Roman"/>
          <w:sz w:val="24"/>
          <w:szCs w:val="24"/>
        </w:rPr>
        <w:t>both clinical management of the ocular conditions</w:t>
      </w:r>
      <w:r w:rsidR="0074359E" w:rsidRPr="004D3038">
        <w:rPr>
          <w:rFonts w:ascii="Times New Roman" w:eastAsia="Times New Roman" w:hAnsi="Times New Roman" w:cs="Times New Roman"/>
          <w:sz w:val="24"/>
          <w:szCs w:val="24"/>
        </w:rPr>
        <w:t>,</w:t>
      </w:r>
      <w:r w:rsidRPr="004D3038">
        <w:rPr>
          <w:rFonts w:ascii="Times New Roman" w:eastAsia="Times New Roman" w:hAnsi="Times New Roman" w:cs="Times New Roman"/>
          <w:sz w:val="24"/>
          <w:szCs w:val="24"/>
        </w:rPr>
        <w:t xml:space="preserve"> induced by these herbs and other public healt</w:t>
      </w:r>
      <w:r w:rsidR="001C7FA2" w:rsidRPr="004D3038">
        <w:rPr>
          <w:rFonts w:ascii="Times New Roman" w:eastAsia="Times New Roman" w:hAnsi="Times New Roman" w:cs="Times New Roman"/>
          <w:sz w:val="24"/>
          <w:szCs w:val="24"/>
        </w:rPr>
        <w:t>h interventions where necessary.</w:t>
      </w:r>
    </w:p>
    <w:p w14:paraId="55B8611E" w14:textId="7AE36796" w:rsidR="005272F9" w:rsidRDefault="005272F9" w:rsidP="005272F9">
      <w:pPr>
        <w:spacing w:line="240" w:lineRule="auto"/>
        <w:ind w:left="-44"/>
        <w:rPr>
          <w:rFonts w:ascii="Times New Roman" w:eastAsia="Times New Roman" w:hAnsi="Times New Roman" w:cs="Times New Roman"/>
          <w:sz w:val="24"/>
          <w:szCs w:val="24"/>
        </w:rPr>
      </w:pPr>
    </w:p>
    <w:p w14:paraId="0109EC24" w14:textId="77777777" w:rsidR="00FE4652" w:rsidRPr="004D3038" w:rsidRDefault="00FE4652" w:rsidP="005272F9">
      <w:pPr>
        <w:spacing w:line="240" w:lineRule="auto"/>
        <w:ind w:left="-44"/>
        <w:rPr>
          <w:rFonts w:ascii="Times New Roman" w:eastAsia="Times New Roman" w:hAnsi="Times New Roman" w:cs="Times New Roman"/>
          <w:sz w:val="24"/>
          <w:szCs w:val="24"/>
        </w:rPr>
      </w:pPr>
      <w:bookmarkStart w:id="0" w:name="_GoBack"/>
      <w:bookmarkEnd w:id="0"/>
    </w:p>
    <w:p w14:paraId="1D72A134" w14:textId="77777777" w:rsidR="005272F9" w:rsidRPr="004D3038" w:rsidRDefault="005272F9" w:rsidP="005272F9">
      <w:pPr>
        <w:spacing w:line="240" w:lineRule="auto"/>
        <w:ind w:left="-44"/>
        <w:rPr>
          <w:rFonts w:ascii="Times New Roman" w:eastAsia="Times New Roman" w:hAnsi="Times New Roman" w:cs="Times New Roman"/>
          <w:b/>
          <w:sz w:val="24"/>
          <w:szCs w:val="24"/>
        </w:rPr>
      </w:pPr>
      <w:r w:rsidRPr="004D3038">
        <w:rPr>
          <w:rFonts w:ascii="Times New Roman" w:eastAsia="Times New Roman" w:hAnsi="Times New Roman" w:cs="Times New Roman"/>
          <w:b/>
          <w:sz w:val="24"/>
          <w:szCs w:val="24"/>
        </w:rPr>
        <w:t>COMPLIANCE WITH ETHICAL STANDARDS</w:t>
      </w:r>
    </w:p>
    <w:p w14:paraId="519F118B" w14:textId="77777777" w:rsidR="005272F9" w:rsidRPr="004D3038" w:rsidRDefault="005272F9" w:rsidP="005272F9">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The study was approved by the Research Ethics Committee of the Hospital.</w:t>
      </w:r>
    </w:p>
    <w:p w14:paraId="4EFB5DAA" w14:textId="77777777" w:rsidR="004F0ADB" w:rsidRPr="004D3038" w:rsidRDefault="001C3831" w:rsidP="007603E5">
      <w:pPr>
        <w:spacing w:line="240" w:lineRule="auto"/>
        <w:rPr>
          <w:rFonts w:ascii="Times New Roman" w:eastAsia="Times New Roman" w:hAnsi="Times New Roman" w:cs="Times New Roman"/>
          <w:b/>
          <w:sz w:val="24"/>
          <w:szCs w:val="24"/>
        </w:rPr>
      </w:pPr>
      <w:r w:rsidRPr="004D3038">
        <w:rPr>
          <w:rFonts w:ascii="Times New Roman" w:eastAsia="Times New Roman" w:hAnsi="Times New Roman" w:cs="Times New Roman"/>
          <w:b/>
          <w:sz w:val="24"/>
          <w:szCs w:val="24"/>
        </w:rPr>
        <w:t>REFERENCES</w:t>
      </w:r>
    </w:p>
    <w:p w14:paraId="1C450F56" w14:textId="77777777" w:rsidR="005272F9" w:rsidRPr="004D3038" w:rsidRDefault="005272F9" w:rsidP="005272F9">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[1</w:t>
      </w:r>
      <w:proofErr w:type="gramStart"/>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sz w:val="24"/>
          <w:szCs w:val="24"/>
        </w:rPr>
        <w:tab/>
      </w:r>
      <w:proofErr w:type="spellStart"/>
      <w:proofErr w:type="gramEnd"/>
      <w:r w:rsidRPr="004D3038">
        <w:rPr>
          <w:rFonts w:ascii="Times New Roman" w:eastAsia="Times New Roman" w:hAnsi="Times New Roman" w:cs="Times New Roman"/>
          <w:sz w:val="24"/>
          <w:szCs w:val="24"/>
        </w:rPr>
        <w:t>Johannsdottir</w:t>
      </w:r>
      <w:proofErr w:type="spellEnd"/>
      <w:r w:rsidRPr="004D3038">
        <w:rPr>
          <w:rFonts w:ascii="Times New Roman" w:eastAsia="Times New Roman" w:hAnsi="Times New Roman" w:cs="Times New Roman"/>
          <w:sz w:val="24"/>
          <w:szCs w:val="24"/>
        </w:rPr>
        <w:t xml:space="preserve">, S., </w:t>
      </w:r>
      <w:proofErr w:type="spellStart"/>
      <w:r w:rsidRPr="004D3038">
        <w:rPr>
          <w:rFonts w:ascii="Times New Roman" w:eastAsia="Times New Roman" w:hAnsi="Times New Roman" w:cs="Times New Roman"/>
          <w:sz w:val="24"/>
          <w:szCs w:val="24"/>
        </w:rPr>
        <w:t>Jansook</w:t>
      </w:r>
      <w:proofErr w:type="spellEnd"/>
      <w:r w:rsidRPr="004D3038">
        <w:rPr>
          <w:rFonts w:ascii="Times New Roman" w:eastAsia="Times New Roman" w:hAnsi="Times New Roman" w:cs="Times New Roman"/>
          <w:sz w:val="24"/>
          <w:szCs w:val="24"/>
        </w:rPr>
        <w:t xml:space="preserve">, P., Stefansson, E., </w:t>
      </w:r>
      <w:proofErr w:type="spellStart"/>
      <w:r w:rsidRPr="004D3038">
        <w:rPr>
          <w:rFonts w:ascii="Times New Roman" w:eastAsia="Times New Roman" w:hAnsi="Times New Roman" w:cs="Times New Roman"/>
          <w:sz w:val="24"/>
          <w:szCs w:val="24"/>
        </w:rPr>
        <w:t>Kristinsdottir</w:t>
      </w:r>
      <w:proofErr w:type="spellEnd"/>
      <w:r w:rsidRPr="004D3038">
        <w:rPr>
          <w:rFonts w:ascii="Times New Roman" w:eastAsia="Times New Roman" w:hAnsi="Times New Roman" w:cs="Times New Roman"/>
          <w:sz w:val="24"/>
          <w:szCs w:val="24"/>
        </w:rPr>
        <w:t xml:space="preserve">, I. M., </w:t>
      </w:r>
      <w:proofErr w:type="spellStart"/>
      <w:r w:rsidRPr="004D3038">
        <w:rPr>
          <w:rFonts w:ascii="Times New Roman" w:eastAsia="Times New Roman" w:hAnsi="Times New Roman" w:cs="Times New Roman"/>
          <w:sz w:val="24"/>
          <w:szCs w:val="24"/>
        </w:rPr>
        <w:t>Fulop</w:t>
      </w:r>
      <w:proofErr w:type="spellEnd"/>
      <w:r w:rsidRPr="004D3038">
        <w:rPr>
          <w:rFonts w:ascii="Times New Roman" w:eastAsia="Times New Roman" w:hAnsi="Times New Roman" w:cs="Times New Roman"/>
          <w:sz w:val="24"/>
          <w:szCs w:val="24"/>
        </w:rPr>
        <w:t xml:space="preserve">, Z., </w:t>
      </w:r>
      <w:proofErr w:type="spellStart"/>
      <w:r w:rsidRPr="004D3038">
        <w:rPr>
          <w:rFonts w:ascii="Times New Roman" w:eastAsia="Times New Roman" w:hAnsi="Times New Roman" w:cs="Times New Roman"/>
          <w:sz w:val="24"/>
          <w:szCs w:val="24"/>
        </w:rPr>
        <w:t>Asgrimsdottir</w:t>
      </w:r>
      <w:proofErr w:type="spellEnd"/>
      <w:r w:rsidRPr="004D3038">
        <w:rPr>
          <w:rFonts w:ascii="Times New Roman" w:eastAsia="Times New Roman" w:hAnsi="Times New Roman" w:cs="Times New Roman"/>
          <w:sz w:val="24"/>
          <w:szCs w:val="24"/>
        </w:rPr>
        <w:t xml:space="preserve">, G. M., ... &amp; </w:t>
      </w:r>
      <w:proofErr w:type="spellStart"/>
      <w:r w:rsidRPr="004D3038">
        <w:rPr>
          <w:rFonts w:ascii="Times New Roman" w:eastAsia="Times New Roman" w:hAnsi="Times New Roman" w:cs="Times New Roman"/>
          <w:sz w:val="24"/>
          <w:szCs w:val="24"/>
        </w:rPr>
        <w:t>Loftsson</w:t>
      </w:r>
      <w:proofErr w:type="spellEnd"/>
      <w:r w:rsidRPr="004D3038">
        <w:rPr>
          <w:rFonts w:ascii="Times New Roman" w:eastAsia="Times New Roman" w:hAnsi="Times New Roman" w:cs="Times New Roman"/>
          <w:sz w:val="24"/>
          <w:szCs w:val="24"/>
        </w:rPr>
        <w:t xml:space="preserve">, T. (2018). Topical drug delivery to the posterior segment of the eye: Dexamethasone concentrations in various eye tissues after topical administration for up to 15 days to rabbits. </w:t>
      </w:r>
      <w:r w:rsidRPr="004D3038">
        <w:rPr>
          <w:rFonts w:ascii="Times New Roman" w:eastAsia="Times New Roman" w:hAnsi="Times New Roman" w:cs="Times New Roman"/>
          <w:i/>
          <w:sz w:val="24"/>
          <w:szCs w:val="24"/>
        </w:rPr>
        <w:t>Journal of Drug Delivery Science and Technology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i/>
          <w:sz w:val="24"/>
          <w:szCs w:val="24"/>
        </w:rPr>
        <w:t>45</w:t>
      </w:r>
      <w:r w:rsidRPr="004D3038">
        <w:rPr>
          <w:rFonts w:ascii="Times New Roman" w:eastAsia="Times New Roman" w:hAnsi="Times New Roman" w:cs="Times New Roman"/>
          <w:b/>
          <w:sz w:val="24"/>
          <w:szCs w:val="24"/>
        </w:rPr>
        <w:t>, 449-454</w:t>
      </w:r>
      <w:r w:rsidRPr="004D3038">
        <w:rPr>
          <w:rFonts w:ascii="Times New Roman" w:eastAsia="Times New Roman" w:hAnsi="Times New Roman" w:cs="Times New Roman"/>
          <w:sz w:val="24"/>
          <w:szCs w:val="24"/>
        </w:rPr>
        <w:t>.</w:t>
      </w:r>
    </w:p>
    <w:p w14:paraId="206A2226" w14:textId="77777777" w:rsidR="005272F9" w:rsidRPr="004D3038" w:rsidRDefault="005272F9" w:rsidP="005272F9">
      <w:pPr>
        <w:spacing w:line="240" w:lineRule="auto"/>
        <w:rPr>
          <w:rFonts w:ascii="Times New Roman" w:eastAsia="Times New Roman" w:hAnsi="Times New Roman" w:cs="Times New Roman"/>
          <w:sz w:val="24"/>
          <w:szCs w:val="24"/>
        </w:rPr>
      </w:pPr>
    </w:p>
    <w:p w14:paraId="22ACBF5C" w14:textId="77777777" w:rsidR="005272F9" w:rsidRPr="004D3038" w:rsidRDefault="005272F9" w:rsidP="005272F9">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lastRenderedPageBreak/>
        <w:t>[2]</w:t>
      </w:r>
      <w:r w:rsidRPr="004D3038">
        <w:rPr>
          <w:rFonts w:ascii="Times New Roman" w:eastAsia="Times New Roman" w:hAnsi="Times New Roman" w:cs="Times New Roman"/>
          <w:sz w:val="24"/>
          <w:szCs w:val="24"/>
        </w:rPr>
        <w:tab/>
        <w:t xml:space="preserve"> </w:t>
      </w:r>
      <w:proofErr w:type="spellStart"/>
      <w:r w:rsidRPr="004D3038">
        <w:rPr>
          <w:rFonts w:ascii="Times New Roman" w:eastAsia="Times New Roman" w:hAnsi="Times New Roman" w:cs="Times New Roman"/>
          <w:sz w:val="24"/>
          <w:szCs w:val="24"/>
        </w:rPr>
        <w:t>Bertens</w:t>
      </w:r>
      <w:proofErr w:type="spellEnd"/>
      <w:r w:rsidRPr="004D3038">
        <w:rPr>
          <w:rFonts w:ascii="Times New Roman" w:eastAsia="Times New Roman" w:hAnsi="Times New Roman" w:cs="Times New Roman"/>
          <w:sz w:val="24"/>
          <w:szCs w:val="24"/>
        </w:rPr>
        <w:t xml:space="preserve">, C. J., Gijs, M., van den </w:t>
      </w:r>
      <w:proofErr w:type="spellStart"/>
      <w:r w:rsidRPr="004D3038">
        <w:rPr>
          <w:rFonts w:ascii="Times New Roman" w:eastAsia="Times New Roman" w:hAnsi="Times New Roman" w:cs="Times New Roman"/>
          <w:sz w:val="24"/>
          <w:szCs w:val="24"/>
        </w:rPr>
        <w:t>Biggelaar</w:t>
      </w:r>
      <w:proofErr w:type="spellEnd"/>
      <w:r w:rsidRPr="004D3038">
        <w:rPr>
          <w:rFonts w:ascii="Times New Roman" w:eastAsia="Times New Roman" w:hAnsi="Times New Roman" w:cs="Times New Roman"/>
          <w:sz w:val="24"/>
          <w:szCs w:val="24"/>
        </w:rPr>
        <w:t xml:space="preserve">, F. J., &amp; </w:t>
      </w:r>
      <w:proofErr w:type="spellStart"/>
      <w:r w:rsidRPr="004D3038">
        <w:rPr>
          <w:rFonts w:ascii="Times New Roman" w:eastAsia="Times New Roman" w:hAnsi="Times New Roman" w:cs="Times New Roman"/>
          <w:sz w:val="24"/>
          <w:szCs w:val="24"/>
        </w:rPr>
        <w:t>Nuijts</w:t>
      </w:r>
      <w:proofErr w:type="spellEnd"/>
      <w:r w:rsidRPr="004D3038">
        <w:rPr>
          <w:rFonts w:ascii="Times New Roman" w:eastAsia="Times New Roman" w:hAnsi="Times New Roman" w:cs="Times New Roman"/>
          <w:sz w:val="24"/>
          <w:szCs w:val="24"/>
        </w:rPr>
        <w:t xml:space="preserve">, R. M. (2018). Topical drug delivery devices: A review. </w:t>
      </w:r>
      <w:r w:rsidRPr="004D3038">
        <w:rPr>
          <w:rFonts w:ascii="Times New Roman" w:eastAsia="Times New Roman" w:hAnsi="Times New Roman" w:cs="Times New Roman"/>
          <w:i/>
          <w:sz w:val="24"/>
          <w:szCs w:val="24"/>
        </w:rPr>
        <w:t>Experimental eye research</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i/>
          <w:sz w:val="24"/>
          <w:szCs w:val="24"/>
        </w:rPr>
        <w:t>168</w:t>
      </w:r>
      <w:r w:rsidRPr="004D3038">
        <w:rPr>
          <w:rFonts w:ascii="Times New Roman" w:eastAsia="Times New Roman" w:hAnsi="Times New Roman" w:cs="Times New Roman"/>
          <w:b/>
          <w:sz w:val="24"/>
          <w:szCs w:val="24"/>
        </w:rPr>
        <w:t>, 149-160</w:t>
      </w:r>
    </w:p>
    <w:p w14:paraId="5835DEB3" w14:textId="77777777" w:rsidR="005272F9" w:rsidRPr="004D3038" w:rsidRDefault="005272F9" w:rsidP="005272F9">
      <w:pPr>
        <w:spacing w:line="240" w:lineRule="auto"/>
        <w:rPr>
          <w:rFonts w:ascii="Times New Roman" w:eastAsia="Times New Roman" w:hAnsi="Times New Roman" w:cs="Times New Roman"/>
          <w:sz w:val="24"/>
          <w:szCs w:val="24"/>
        </w:rPr>
      </w:pPr>
    </w:p>
    <w:p w14:paraId="25AD4E4C" w14:textId="77777777" w:rsidR="005272F9" w:rsidRPr="004D3038" w:rsidRDefault="005272F9" w:rsidP="005272F9">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[3]</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Fraunfelder</w:t>
      </w:r>
      <w:proofErr w:type="spellEnd"/>
      <w:r w:rsidRPr="004D3038">
        <w:rPr>
          <w:rFonts w:ascii="Times New Roman" w:eastAsia="Times New Roman" w:hAnsi="Times New Roman" w:cs="Times New Roman"/>
          <w:sz w:val="24"/>
          <w:szCs w:val="24"/>
        </w:rPr>
        <w:t xml:space="preserve">, F. T., &amp; </w:t>
      </w:r>
      <w:proofErr w:type="spellStart"/>
      <w:r w:rsidRPr="004D3038">
        <w:rPr>
          <w:rFonts w:ascii="Times New Roman" w:eastAsia="Times New Roman" w:hAnsi="Times New Roman" w:cs="Times New Roman"/>
          <w:sz w:val="24"/>
          <w:szCs w:val="24"/>
        </w:rPr>
        <w:t>Fraunfelder</w:t>
      </w:r>
      <w:proofErr w:type="spellEnd"/>
      <w:r w:rsidRPr="004D3038">
        <w:rPr>
          <w:rFonts w:ascii="Times New Roman" w:eastAsia="Times New Roman" w:hAnsi="Times New Roman" w:cs="Times New Roman"/>
          <w:sz w:val="24"/>
          <w:szCs w:val="24"/>
        </w:rPr>
        <w:t xml:space="preserve">, F. W. (2020). </w:t>
      </w:r>
      <w:r w:rsidRPr="004D3038">
        <w:rPr>
          <w:rFonts w:ascii="Times New Roman" w:eastAsia="Times New Roman" w:hAnsi="Times New Roman" w:cs="Times New Roman"/>
          <w:i/>
          <w:sz w:val="24"/>
          <w:szCs w:val="24"/>
        </w:rPr>
        <w:t>Drug-Induced Ocular Side Effects: Clinical Ocular Toxicology E-Book: Drug-Induced Ocular Side Effects: Clinical Ocular Toxicology E-Book</w:t>
      </w:r>
      <w:r w:rsidR="001C7FA2" w:rsidRPr="004D3038">
        <w:rPr>
          <w:rFonts w:ascii="Times New Roman" w:eastAsia="Times New Roman" w:hAnsi="Times New Roman" w:cs="Times New Roman"/>
          <w:sz w:val="24"/>
          <w:szCs w:val="24"/>
        </w:rPr>
        <w:t>. Elsevier Health Sciences</w:t>
      </w:r>
    </w:p>
    <w:p w14:paraId="04A18837" w14:textId="77777777" w:rsidR="005272F9" w:rsidRPr="004D3038" w:rsidRDefault="005272F9" w:rsidP="005272F9">
      <w:pPr>
        <w:spacing w:line="240" w:lineRule="auto"/>
        <w:rPr>
          <w:rFonts w:ascii="Times New Roman" w:eastAsia="Times New Roman" w:hAnsi="Times New Roman" w:cs="Times New Roman"/>
          <w:sz w:val="24"/>
          <w:szCs w:val="24"/>
        </w:rPr>
      </w:pPr>
    </w:p>
    <w:p w14:paraId="43F347D9" w14:textId="77777777" w:rsidR="005272F9" w:rsidRPr="004D3038" w:rsidRDefault="005272F9" w:rsidP="005272F9">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[4] </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Shirkhedkar</w:t>
      </w:r>
      <w:proofErr w:type="spellEnd"/>
      <w:r w:rsidRPr="004D3038">
        <w:rPr>
          <w:rFonts w:ascii="Times New Roman" w:eastAsia="Times New Roman" w:hAnsi="Times New Roman" w:cs="Times New Roman"/>
          <w:sz w:val="24"/>
          <w:szCs w:val="24"/>
        </w:rPr>
        <w:t xml:space="preserve">, A. A., Patil, M. S., Patil, A. S., &amp; Singh, I. (2022). Herbal Drugs for the Treatment of Ocular Infections. </w:t>
      </w:r>
      <w:r w:rsidRPr="004D3038">
        <w:rPr>
          <w:rFonts w:ascii="Times New Roman" w:eastAsia="Times New Roman" w:hAnsi="Times New Roman" w:cs="Times New Roman"/>
          <w:i/>
          <w:sz w:val="24"/>
          <w:szCs w:val="24"/>
        </w:rPr>
        <w:t>Herbal Drugs for the Management of Infectious Diseases</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157-177</w:t>
      </w:r>
    </w:p>
    <w:p w14:paraId="67182D91" w14:textId="77777777" w:rsidR="005272F9" w:rsidRPr="004D3038" w:rsidRDefault="005272F9" w:rsidP="005272F9">
      <w:pPr>
        <w:spacing w:line="240" w:lineRule="auto"/>
        <w:rPr>
          <w:rFonts w:ascii="Times New Roman" w:eastAsia="Times New Roman" w:hAnsi="Times New Roman" w:cs="Times New Roman"/>
          <w:sz w:val="24"/>
          <w:szCs w:val="24"/>
        </w:rPr>
      </w:pPr>
    </w:p>
    <w:p w14:paraId="2598F66F" w14:textId="77777777" w:rsidR="001C7FA2" w:rsidRPr="004D3038" w:rsidRDefault="005272F9" w:rsidP="001C7FA2">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[5]</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Paduch</w:t>
      </w:r>
      <w:proofErr w:type="spellEnd"/>
      <w:r w:rsidRPr="004D3038">
        <w:rPr>
          <w:rFonts w:ascii="Times New Roman" w:eastAsia="Times New Roman" w:hAnsi="Times New Roman" w:cs="Times New Roman"/>
          <w:sz w:val="24"/>
          <w:szCs w:val="24"/>
        </w:rPr>
        <w:t xml:space="preserve">, R., </w:t>
      </w:r>
      <w:proofErr w:type="spellStart"/>
      <w:r w:rsidRPr="004D3038">
        <w:rPr>
          <w:rFonts w:ascii="Times New Roman" w:eastAsia="Times New Roman" w:hAnsi="Times New Roman" w:cs="Times New Roman"/>
          <w:sz w:val="24"/>
          <w:szCs w:val="24"/>
        </w:rPr>
        <w:t>Woźniak</w:t>
      </w:r>
      <w:proofErr w:type="spellEnd"/>
      <w:r w:rsidRPr="004D3038">
        <w:rPr>
          <w:rFonts w:ascii="Times New Roman" w:eastAsia="Times New Roman" w:hAnsi="Times New Roman" w:cs="Times New Roman"/>
          <w:sz w:val="24"/>
          <w:szCs w:val="24"/>
        </w:rPr>
        <w:t xml:space="preserve">, A., </w:t>
      </w:r>
      <w:proofErr w:type="spellStart"/>
      <w:r w:rsidRPr="004D3038">
        <w:rPr>
          <w:rFonts w:ascii="Times New Roman" w:eastAsia="Times New Roman" w:hAnsi="Times New Roman" w:cs="Times New Roman"/>
          <w:sz w:val="24"/>
          <w:szCs w:val="24"/>
        </w:rPr>
        <w:t>Niedziela</w:t>
      </w:r>
      <w:proofErr w:type="spellEnd"/>
      <w:r w:rsidRPr="004D3038">
        <w:rPr>
          <w:rFonts w:ascii="Times New Roman" w:eastAsia="Times New Roman" w:hAnsi="Times New Roman" w:cs="Times New Roman"/>
          <w:sz w:val="24"/>
          <w:szCs w:val="24"/>
        </w:rPr>
        <w:t xml:space="preserve">, P., &amp; </w:t>
      </w:r>
      <w:proofErr w:type="spellStart"/>
      <w:r w:rsidRPr="004D3038">
        <w:rPr>
          <w:rFonts w:ascii="Times New Roman" w:eastAsia="Times New Roman" w:hAnsi="Times New Roman" w:cs="Times New Roman"/>
          <w:sz w:val="24"/>
          <w:szCs w:val="24"/>
        </w:rPr>
        <w:t>Rejdak</w:t>
      </w:r>
      <w:proofErr w:type="spellEnd"/>
      <w:r w:rsidRPr="004D3038">
        <w:rPr>
          <w:rFonts w:ascii="Times New Roman" w:eastAsia="Times New Roman" w:hAnsi="Times New Roman" w:cs="Times New Roman"/>
          <w:sz w:val="24"/>
          <w:szCs w:val="24"/>
        </w:rPr>
        <w:t>, R. (2014). Assessment of eyebright (</w:t>
      </w:r>
      <w:proofErr w:type="spellStart"/>
      <w:r w:rsidRPr="004D3038">
        <w:rPr>
          <w:rFonts w:ascii="Times New Roman" w:eastAsia="Times New Roman" w:hAnsi="Times New Roman" w:cs="Times New Roman"/>
          <w:sz w:val="24"/>
          <w:szCs w:val="24"/>
        </w:rPr>
        <w:t>euphrasia</w:t>
      </w:r>
      <w:proofErr w:type="spellEnd"/>
      <w:r w:rsidRPr="004D3038">
        <w:rPr>
          <w:rFonts w:ascii="Times New Roman" w:eastAsia="Times New Roman" w:hAnsi="Times New Roman" w:cs="Times New Roman"/>
          <w:sz w:val="24"/>
          <w:szCs w:val="24"/>
        </w:rPr>
        <w:t xml:space="preserve"> officinalis L.) extract activity in relation to human corneal cells using in vitro tests. </w:t>
      </w:r>
      <w:r w:rsidRPr="004D3038">
        <w:rPr>
          <w:rFonts w:ascii="Times New Roman" w:eastAsia="Times New Roman" w:hAnsi="Times New Roman" w:cs="Times New Roman"/>
          <w:i/>
          <w:sz w:val="24"/>
          <w:szCs w:val="24"/>
        </w:rPr>
        <w:t>Balkan medical journa</w:t>
      </w:r>
      <w:r w:rsidRPr="004D3038">
        <w:rPr>
          <w:rFonts w:ascii="Times New Roman" w:eastAsia="Times New Roman" w:hAnsi="Times New Roman" w:cs="Times New Roman"/>
          <w:sz w:val="24"/>
          <w:szCs w:val="24"/>
        </w:rPr>
        <w:t xml:space="preserve">l, </w:t>
      </w:r>
      <w:r w:rsidR="001C7FA2" w:rsidRPr="004D3038">
        <w:rPr>
          <w:rFonts w:ascii="Times New Roman" w:eastAsia="Times New Roman" w:hAnsi="Times New Roman" w:cs="Times New Roman"/>
          <w:b/>
          <w:sz w:val="24"/>
          <w:szCs w:val="24"/>
        </w:rPr>
        <w:t xml:space="preserve">31(1), 29 36. </w:t>
      </w:r>
      <w:hyperlink r:id="rId7" w:history="1">
        <w:r w:rsidR="001C7FA2" w:rsidRPr="004D3038">
          <w:rPr>
            <w:rStyle w:val="Hyperlink"/>
            <w:rFonts w:ascii="Times New Roman" w:eastAsia="Times New Roman" w:hAnsi="Times New Roman" w:cs="Times New Roman"/>
            <w:sz w:val="24"/>
            <w:szCs w:val="24"/>
          </w:rPr>
          <w:t>https://doi.org/10.5152/balkanmedj 2014.8377</w:t>
        </w:r>
      </w:hyperlink>
    </w:p>
    <w:p w14:paraId="7832C33B" w14:textId="77777777" w:rsidR="001C7FA2" w:rsidRPr="004D3038" w:rsidRDefault="001C7FA2" w:rsidP="005272F9">
      <w:pPr>
        <w:spacing w:line="240" w:lineRule="auto"/>
        <w:rPr>
          <w:rFonts w:ascii="Times New Roman" w:eastAsia="Times New Roman" w:hAnsi="Times New Roman" w:cs="Times New Roman"/>
          <w:b/>
          <w:sz w:val="24"/>
          <w:szCs w:val="24"/>
        </w:rPr>
      </w:pPr>
    </w:p>
    <w:p w14:paraId="4E78B681" w14:textId="77777777" w:rsidR="005272F9" w:rsidRPr="004D3038" w:rsidRDefault="005272F9" w:rsidP="005272F9">
      <w:pPr>
        <w:spacing w:line="240" w:lineRule="auto"/>
        <w:rPr>
          <w:rFonts w:ascii="Times New Roman" w:eastAsia="Times New Roman" w:hAnsi="Times New Roman" w:cs="Times New Roman"/>
          <w:b/>
          <w:sz w:val="24"/>
          <w:szCs w:val="24"/>
        </w:rPr>
      </w:pPr>
      <w:r w:rsidRPr="004D3038">
        <w:rPr>
          <w:rFonts w:ascii="Times New Roman" w:eastAsia="Times New Roman" w:hAnsi="Times New Roman" w:cs="Times New Roman"/>
          <w:sz w:val="24"/>
          <w:szCs w:val="24"/>
        </w:rPr>
        <w:t>[6]</w:t>
      </w:r>
      <w:r w:rsidRPr="004D3038">
        <w:rPr>
          <w:rFonts w:ascii="Times New Roman" w:eastAsia="Times New Roman" w:hAnsi="Times New Roman" w:cs="Times New Roman"/>
          <w:sz w:val="24"/>
          <w:szCs w:val="24"/>
        </w:rPr>
        <w:tab/>
        <w:t xml:space="preserve"> Biswas, N. R., Gupta, S. K., Das, G. K., Kumar, N., </w:t>
      </w:r>
      <w:proofErr w:type="spellStart"/>
      <w:r w:rsidRPr="004D3038">
        <w:rPr>
          <w:rFonts w:ascii="Times New Roman" w:eastAsia="Times New Roman" w:hAnsi="Times New Roman" w:cs="Times New Roman"/>
          <w:sz w:val="24"/>
          <w:szCs w:val="24"/>
        </w:rPr>
        <w:t>Mongre</w:t>
      </w:r>
      <w:proofErr w:type="spellEnd"/>
      <w:r w:rsidRPr="004D3038">
        <w:rPr>
          <w:rFonts w:ascii="Times New Roman" w:eastAsia="Times New Roman" w:hAnsi="Times New Roman" w:cs="Times New Roman"/>
          <w:sz w:val="24"/>
          <w:szCs w:val="24"/>
        </w:rPr>
        <w:t xml:space="preserve">, P. K., </w:t>
      </w:r>
      <w:proofErr w:type="spellStart"/>
      <w:r w:rsidRPr="004D3038">
        <w:rPr>
          <w:rFonts w:ascii="Times New Roman" w:eastAsia="Times New Roman" w:hAnsi="Times New Roman" w:cs="Times New Roman"/>
          <w:sz w:val="24"/>
          <w:szCs w:val="24"/>
        </w:rPr>
        <w:t>Haldar</w:t>
      </w:r>
      <w:proofErr w:type="spellEnd"/>
      <w:r w:rsidRPr="004D3038">
        <w:rPr>
          <w:rFonts w:ascii="Times New Roman" w:eastAsia="Times New Roman" w:hAnsi="Times New Roman" w:cs="Times New Roman"/>
          <w:sz w:val="24"/>
          <w:szCs w:val="24"/>
        </w:rPr>
        <w:t xml:space="preserve">, D., &amp; Beri, S. (2001). Evaluation of </w:t>
      </w:r>
      <w:proofErr w:type="spellStart"/>
      <w:r w:rsidRPr="004D3038">
        <w:rPr>
          <w:rFonts w:ascii="Times New Roman" w:eastAsia="Times New Roman" w:hAnsi="Times New Roman" w:cs="Times New Roman"/>
          <w:sz w:val="24"/>
          <w:szCs w:val="24"/>
        </w:rPr>
        <w:t>Ophthacare</w:t>
      </w:r>
      <w:proofErr w:type="spellEnd"/>
      <w:r w:rsidRPr="004D3038">
        <w:rPr>
          <w:rFonts w:ascii="Times New Roman" w:eastAsia="Times New Roman" w:hAnsi="Times New Roman" w:cs="Times New Roman"/>
          <w:sz w:val="24"/>
          <w:szCs w:val="24"/>
        </w:rPr>
        <w:t xml:space="preserve">® eye drops—a herbal formulation in the management of various ophthalmic disorders. </w:t>
      </w:r>
      <w:proofErr w:type="spellStart"/>
      <w:r w:rsidRPr="004D3038">
        <w:rPr>
          <w:rFonts w:ascii="Times New Roman" w:eastAsia="Times New Roman" w:hAnsi="Times New Roman" w:cs="Times New Roman"/>
          <w:i/>
          <w:sz w:val="24"/>
          <w:szCs w:val="24"/>
        </w:rPr>
        <w:t>Phytotherapy</w:t>
      </w:r>
      <w:proofErr w:type="spellEnd"/>
      <w:r w:rsidRPr="004D3038">
        <w:rPr>
          <w:rFonts w:ascii="Times New Roman" w:eastAsia="Times New Roman" w:hAnsi="Times New Roman" w:cs="Times New Roman"/>
          <w:i/>
          <w:sz w:val="24"/>
          <w:szCs w:val="24"/>
        </w:rPr>
        <w:t xml:space="preserve"> Research</w:t>
      </w:r>
      <w:r w:rsidRPr="004D3038">
        <w:rPr>
          <w:rFonts w:ascii="Times New Roman" w:eastAsia="Times New Roman" w:hAnsi="Times New Roman" w:cs="Times New Roman"/>
          <w:sz w:val="24"/>
          <w:szCs w:val="24"/>
        </w:rPr>
        <w:t xml:space="preserve">, </w:t>
      </w:r>
      <w:r w:rsidR="001C7FA2" w:rsidRPr="004D3038">
        <w:rPr>
          <w:rFonts w:ascii="Times New Roman" w:eastAsia="Times New Roman" w:hAnsi="Times New Roman" w:cs="Times New Roman"/>
          <w:b/>
          <w:sz w:val="24"/>
          <w:szCs w:val="24"/>
        </w:rPr>
        <w:t>15(7), 618-620</w:t>
      </w:r>
    </w:p>
    <w:p w14:paraId="07FE4750" w14:textId="77777777" w:rsidR="005272F9" w:rsidRPr="004D3038" w:rsidRDefault="005272F9" w:rsidP="005272F9">
      <w:pPr>
        <w:spacing w:line="240" w:lineRule="auto"/>
        <w:rPr>
          <w:rFonts w:ascii="Times New Roman" w:eastAsia="Times New Roman" w:hAnsi="Times New Roman" w:cs="Times New Roman"/>
          <w:sz w:val="24"/>
          <w:szCs w:val="24"/>
        </w:rPr>
      </w:pPr>
    </w:p>
    <w:p w14:paraId="41027060" w14:textId="77777777" w:rsidR="005272F9" w:rsidRPr="004D3038" w:rsidRDefault="005272F9" w:rsidP="005272F9">
      <w:pPr>
        <w:spacing w:line="240" w:lineRule="auto"/>
        <w:rPr>
          <w:rFonts w:ascii="Times New Roman" w:eastAsia="Times New Roman" w:hAnsi="Times New Roman" w:cs="Times New Roman"/>
          <w:b/>
          <w:sz w:val="24"/>
          <w:szCs w:val="24"/>
        </w:rPr>
      </w:pPr>
      <w:r w:rsidRPr="004D3038">
        <w:rPr>
          <w:rFonts w:ascii="Times New Roman" w:eastAsia="Times New Roman" w:hAnsi="Times New Roman" w:cs="Times New Roman"/>
          <w:sz w:val="24"/>
          <w:szCs w:val="24"/>
        </w:rPr>
        <w:t xml:space="preserve">[7] </w:t>
      </w:r>
      <w:r w:rsidRPr="004D3038">
        <w:rPr>
          <w:rFonts w:ascii="Times New Roman" w:eastAsia="Times New Roman" w:hAnsi="Times New Roman" w:cs="Times New Roman"/>
          <w:sz w:val="24"/>
          <w:szCs w:val="24"/>
        </w:rPr>
        <w:tab/>
        <w:t xml:space="preserve">Kamboj, A., &amp; </w:t>
      </w:r>
      <w:proofErr w:type="spellStart"/>
      <w:r w:rsidRPr="004D3038">
        <w:rPr>
          <w:rFonts w:ascii="Times New Roman" w:eastAsia="Times New Roman" w:hAnsi="Times New Roman" w:cs="Times New Roman"/>
          <w:sz w:val="24"/>
          <w:szCs w:val="24"/>
        </w:rPr>
        <w:t>Saluja</w:t>
      </w:r>
      <w:proofErr w:type="spellEnd"/>
      <w:r w:rsidRPr="004D3038">
        <w:rPr>
          <w:rFonts w:ascii="Times New Roman" w:eastAsia="Times New Roman" w:hAnsi="Times New Roman" w:cs="Times New Roman"/>
          <w:sz w:val="24"/>
          <w:szCs w:val="24"/>
        </w:rPr>
        <w:t xml:space="preserve">, A. (2009). </w:t>
      </w:r>
      <w:proofErr w:type="spellStart"/>
      <w:r w:rsidRPr="004D3038">
        <w:rPr>
          <w:rFonts w:ascii="Times New Roman" w:eastAsia="Times New Roman" w:hAnsi="Times New Roman" w:cs="Times New Roman"/>
          <w:sz w:val="24"/>
          <w:szCs w:val="24"/>
        </w:rPr>
        <w:t>Bryophyllum</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pinnatum</w:t>
      </w:r>
      <w:proofErr w:type="spellEnd"/>
      <w:r w:rsidRPr="004D3038">
        <w:rPr>
          <w:rFonts w:ascii="Times New Roman" w:eastAsia="Times New Roman" w:hAnsi="Times New Roman" w:cs="Times New Roman"/>
          <w:sz w:val="24"/>
          <w:szCs w:val="24"/>
        </w:rPr>
        <w:t xml:space="preserve"> (Lam.) </w:t>
      </w:r>
      <w:proofErr w:type="spellStart"/>
      <w:r w:rsidRPr="004D3038">
        <w:rPr>
          <w:rFonts w:ascii="Times New Roman" w:eastAsia="Times New Roman" w:hAnsi="Times New Roman" w:cs="Times New Roman"/>
          <w:sz w:val="24"/>
          <w:szCs w:val="24"/>
        </w:rPr>
        <w:t>Kurz</w:t>
      </w:r>
      <w:proofErr w:type="spellEnd"/>
      <w:r w:rsidRPr="004D3038">
        <w:rPr>
          <w:rFonts w:ascii="Times New Roman" w:eastAsia="Times New Roman" w:hAnsi="Times New Roman" w:cs="Times New Roman"/>
          <w:sz w:val="24"/>
          <w:szCs w:val="24"/>
        </w:rPr>
        <w:t xml:space="preserve">.: Phytochemical and pharmacological profile: A review. </w:t>
      </w:r>
      <w:r w:rsidRPr="004D3038">
        <w:rPr>
          <w:rFonts w:ascii="Times New Roman" w:eastAsia="Times New Roman" w:hAnsi="Times New Roman" w:cs="Times New Roman"/>
          <w:i/>
          <w:sz w:val="24"/>
          <w:szCs w:val="24"/>
        </w:rPr>
        <w:t>Pharmacognosy Reviews</w:t>
      </w:r>
      <w:r w:rsidRPr="004D3038">
        <w:rPr>
          <w:rFonts w:ascii="Times New Roman" w:eastAsia="Times New Roman" w:hAnsi="Times New Roman" w:cs="Times New Roman"/>
          <w:sz w:val="24"/>
          <w:szCs w:val="24"/>
        </w:rPr>
        <w:t>,</w:t>
      </w:r>
      <w:r w:rsidR="001C7FA2" w:rsidRPr="004D3038">
        <w:rPr>
          <w:rFonts w:ascii="Times New Roman" w:eastAsia="Times New Roman" w:hAnsi="Times New Roman" w:cs="Times New Roman"/>
          <w:b/>
          <w:sz w:val="24"/>
          <w:szCs w:val="24"/>
        </w:rPr>
        <w:t xml:space="preserve"> 3(6), 364</w:t>
      </w:r>
    </w:p>
    <w:p w14:paraId="159DE214" w14:textId="77777777" w:rsidR="005272F9" w:rsidRPr="004D3038" w:rsidRDefault="005272F9" w:rsidP="005272F9">
      <w:pPr>
        <w:spacing w:line="240" w:lineRule="auto"/>
        <w:rPr>
          <w:rFonts w:ascii="Times New Roman" w:eastAsia="Times New Roman" w:hAnsi="Times New Roman" w:cs="Times New Roman"/>
          <w:sz w:val="24"/>
          <w:szCs w:val="24"/>
        </w:rPr>
      </w:pPr>
    </w:p>
    <w:p w14:paraId="64F6CC84" w14:textId="77777777" w:rsidR="005272F9" w:rsidRPr="004D3038" w:rsidRDefault="005272F9" w:rsidP="005272F9">
      <w:pPr>
        <w:spacing w:line="240" w:lineRule="auto"/>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[8] </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Odimegwu</w:t>
      </w:r>
      <w:proofErr w:type="spellEnd"/>
      <w:r w:rsidRPr="004D3038">
        <w:rPr>
          <w:rFonts w:ascii="Times New Roman" w:eastAsia="Times New Roman" w:hAnsi="Times New Roman" w:cs="Times New Roman"/>
          <w:sz w:val="24"/>
          <w:szCs w:val="24"/>
        </w:rPr>
        <w:t xml:space="preserve">, J., &amp; </w:t>
      </w:r>
      <w:proofErr w:type="spellStart"/>
      <w:r w:rsidRPr="004D3038">
        <w:rPr>
          <w:rFonts w:ascii="Times New Roman" w:eastAsia="Times New Roman" w:hAnsi="Times New Roman" w:cs="Times New Roman"/>
          <w:sz w:val="24"/>
          <w:szCs w:val="24"/>
        </w:rPr>
        <w:t>Iboi</w:t>
      </w:r>
      <w:proofErr w:type="spellEnd"/>
      <w:r w:rsidRPr="004D3038">
        <w:rPr>
          <w:rFonts w:ascii="Times New Roman" w:eastAsia="Times New Roman" w:hAnsi="Times New Roman" w:cs="Times New Roman"/>
          <w:sz w:val="24"/>
          <w:szCs w:val="24"/>
        </w:rPr>
        <w:t xml:space="preserve">, V. (2016). Cytotoxic potentials of Africa never die plant: </w:t>
      </w:r>
      <w:proofErr w:type="spellStart"/>
      <w:r w:rsidRPr="004D3038">
        <w:rPr>
          <w:rFonts w:ascii="Times New Roman" w:eastAsia="Times New Roman" w:hAnsi="Times New Roman" w:cs="Times New Roman"/>
          <w:sz w:val="24"/>
          <w:szCs w:val="24"/>
        </w:rPr>
        <w:t>Bryophyllum</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pinnatum</w:t>
      </w:r>
      <w:proofErr w:type="spellEnd"/>
      <w:r w:rsidRPr="004D3038">
        <w:rPr>
          <w:rFonts w:ascii="Times New Roman" w:eastAsia="Times New Roman" w:hAnsi="Times New Roman" w:cs="Times New Roman"/>
          <w:sz w:val="24"/>
          <w:szCs w:val="24"/>
        </w:rPr>
        <w:t xml:space="preserve"> [Lam] leaf oi</w:t>
      </w:r>
      <w:r w:rsidR="001C7FA2" w:rsidRPr="004D3038">
        <w:rPr>
          <w:rFonts w:ascii="Times New Roman" w:eastAsia="Times New Roman" w:hAnsi="Times New Roman" w:cs="Times New Roman"/>
          <w:sz w:val="24"/>
          <w:szCs w:val="24"/>
        </w:rPr>
        <w:t>ls. Gordon Research Conferences</w:t>
      </w:r>
    </w:p>
    <w:p w14:paraId="6B10C715" w14:textId="77777777" w:rsidR="00E30190" w:rsidRPr="004D3038" w:rsidRDefault="00E30190" w:rsidP="005272F9">
      <w:pPr>
        <w:spacing w:line="240" w:lineRule="auto"/>
        <w:rPr>
          <w:rFonts w:ascii="Times New Roman" w:eastAsia="Times New Roman" w:hAnsi="Times New Roman" w:cs="Times New Roman"/>
          <w:sz w:val="24"/>
          <w:szCs w:val="24"/>
        </w:rPr>
      </w:pPr>
    </w:p>
    <w:p w14:paraId="7DB25661" w14:textId="77777777" w:rsidR="005272F9" w:rsidRPr="004D3038" w:rsidRDefault="005272F9" w:rsidP="00E30190">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[9] </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Ogidi</w:t>
      </w:r>
      <w:proofErr w:type="spellEnd"/>
      <w:r w:rsidRPr="004D3038">
        <w:rPr>
          <w:rFonts w:ascii="Times New Roman" w:eastAsia="Times New Roman" w:hAnsi="Times New Roman" w:cs="Times New Roman"/>
          <w:sz w:val="24"/>
          <w:szCs w:val="24"/>
        </w:rPr>
        <w:t xml:space="preserve">, O. I., </w:t>
      </w:r>
      <w:proofErr w:type="spellStart"/>
      <w:r w:rsidRPr="004D3038">
        <w:rPr>
          <w:rFonts w:ascii="Times New Roman" w:eastAsia="Times New Roman" w:hAnsi="Times New Roman" w:cs="Times New Roman"/>
          <w:sz w:val="24"/>
          <w:szCs w:val="24"/>
        </w:rPr>
        <w:t>Esie</w:t>
      </w:r>
      <w:proofErr w:type="spellEnd"/>
      <w:r w:rsidRPr="004D3038">
        <w:rPr>
          <w:rFonts w:ascii="Times New Roman" w:eastAsia="Times New Roman" w:hAnsi="Times New Roman" w:cs="Times New Roman"/>
          <w:sz w:val="24"/>
          <w:szCs w:val="24"/>
        </w:rPr>
        <w:t xml:space="preserve">, N. G., &amp; Dike, O. G. (2019). Phytochemical, Proximate and Mineral compositions of </w:t>
      </w:r>
      <w:proofErr w:type="spellStart"/>
      <w:r w:rsidRPr="004D3038">
        <w:rPr>
          <w:rFonts w:ascii="Times New Roman" w:eastAsia="Times New Roman" w:hAnsi="Times New Roman" w:cs="Times New Roman"/>
          <w:sz w:val="24"/>
          <w:szCs w:val="24"/>
        </w:rPr>
        <w:t>Bryophyllum</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pinnatum</w:t>
      </w:r>
      <w:proofErr w:type="spellEnd"/>
      <w:r w:rsidRPr="004D3038">
        <w:rPr>
          <w:rFonts w:ascii="Times New Roman" w:eastAsia="Times New Roman" w:hAnsi="Times New Roman" w:cs="Times New Roman"/>
          <w:sz w:val="24"/>
          <w:szCs w:val="24"/>
        </w:rPr>
        <w:t xml:space="preserve"> (Never die) Medicinal plant. </w:t>
      </w:r>
      <w:r w:rsidRPr="004D3038">
        <w:rPr>
          <w:rFonts w:ascii="Times New Roman" w:eastAsia="Times New Roman" w:hAnsi="Times New Roman" w:cs="Times New Roman"/>
          <w:i/>
          <w:sz w:val="24"/>
          <w:szCs w:val="24"/>
        </w:rPr>
        <w:t>Journal of Pharmacognosy and Phytochemistry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8(1), 629-635</w:t>
      </w:r>
    </w:p>
    <w:p w14:paraId="3DA8BADA" w14:textId="77777777" w:rsidR="00E30190" w:rsidRPr="004D3038" w:rsidRDefault="00E30190" w:rsidP="00E30190">
      <w:pPr>
        <w:spacing w:line="240" w:lineRule="auto"/>
        <w:ind w:left="-44"/>
        <w:rPr>
          <w:rFonts w:ascii="Times New Roman" w:eastAsia="Times New Roman" w:hAnsi="Times New Roman" w:cs="Times New Roman"/>
          <w:sz w:val="24"/>
          <w:szCs w:val="24"/>
        </w:rPr>
      </w:pPr>
    </w:p>
    <w:p w14:paraId="0D152187" w14:textId="77777777" w:rsidR="005272F9" w:rsidRPr="004D3038" w:rsidRDefault="005272F9" w:rsidP="005272F9">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[10]</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Akacha</w:t>
      </w:r>
      <w:proofErr w:type="spellEnd"/>
      <w:r w:rsidRPr="004D3038">
        <w:rPr>
          <w:rFonts w:ascii="Times New Roman" w:eastAsia="Times New Roman" w:hAnsi="Times New Roman" w:cs="Times New Roman"/>
          <w:sz w:val="24"/>
          <w:szCs w:val="24"/>
        </w:rPr>
        <w:t xml:space="preserve">, L., </w:t>
      </w:r>
      <w:proofErr w:type="spellStart"/>
      <w:r w:rsidRPr="004D3038">
        <w:rPr>
          <w:rFonts w:ascii="Times New Roman" w:eastAsia="Times New Roman" w:hAnsi="Times New Roman" w:cs="Times New Roman"/>
          <w:sz w:val="24"/>
          <w:szCs w:val="24"/>
        </w:rPr>
        <w:t>Dikko</w:t>
      </w:r>
      <w:proofErr w:type="spellEnd"/>
      <w:r w:rsidRPr="004D3038">
        <w:rPr>
          <w:rFonts w:ascii="Times New Roman" w:eastAsia="Times New Roman" w:hAnsi="Times New Roman" w:cs="Times New Roman"/>
          <w:sz w:val="24"/>
          <w:szCs w:val="24"/>
        </w:rPr>
        <w:t xml:space="preserve">, J., Khan, M., </w:t>
      </w:r>
      <w:proofErr w:type="spellStart"/>
      <w:r w:rsidRPr="004D3038">
        <w:rPr>
          <w:rFonts w:ascii="Times New Roman" w:eastAsia="Times New Roman" w:hAnsi="Times New Roman" w:cs="Times New Roman"/>
          <w:sz w:val="24"/>
          <w:szCs w:val="24"/>
        </w:rPr>
        <w:t>Anyam</w:t>
      </w:r>
      <w:proofErr w:type="spellEnd"/>
      <w:r w:rsidRPr="004D3038">
        <w:rPr>
          <w:rFonts w:ascii="Times New Roman" w:eastAsia="Times New Roman" w:hAnsi="Times New Roman" w:cs="Times New Roman"/>
          <w:sz w:val="24"/>
          <w:szCs w:val="24"/>
        </w:rPr>
        <w:t xml:space="preserve">, J., &amp; </w:t>
      </w:r>
      <w:proofErr w:type="spellStart"/>
      <w:r w:rsidRPr="004D3038">
        <w:rPr>
          <w:rFonts w:ascii="Times New Roman" w:eastAsia="Times New Roman" w:hAnsi="Times New Roman" w:cs="Times New Roman"/>
          <w:sz w:val="24"/>
          <w:szCs w:val="24"/>
        </w:rPr>
        <w:t>Igoli</w:t>
      </w:r>
      <w:proofErr w:type="spellEnd"/>
      <w:r w:rsidRPr="004D3038">
        <w:rPr>
          <w:rFonts w:ascii="Times New Roman" w:eastAsia="Times New Roman" w:hAnsi="Times New Roman" w:cs="Times New Roman"/>
          <w:sz w:val="24"/>
          <w:szCs w:val="24"/>
        </w:rPr>
        <w:t xml:space="preserve">, J. (2016). Phytochemical screening and antimicrobial activity of </w:t>
      </w:r>
      <w:proofErr w:type="spellStart"/>
      <w:r w:rsidRPr="004D3038">
        <w:rPr>
          <w:rFonts w:ascii="Times New Roman" w:eastAsia="Times New Roman" w:hAnsi="Times New Roman" w:cs="Times New Roman"/>
          <w:sz w:val="24"/>
          <w:szCs w:val="24"/>
        </w:rPr>
        <w:t>bryophyllum</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pinnatum</w:t>
      </w:r>
      <w:proofErr w:type="spellEnd"/>
      <w:r w:rsidRPr="004D3038">
        <w:rPr>
          <w:rFonts w:ascii="Times New Roman" w:eastAsia="Times New Roman" w:hAnsi="Times New Roman" w:cs="Times New Roman"/>
          <w:sz w:val="24"/>
          <w:szCs w:val="24"/>
        </w:rPr>
        <w:t xml:space="preserve"> extracts. </w:t>
      </w:r>
      <w:r w:rsidRPr="004D3038">
        <w:rPr>
          <w:rFonts w:ascii="Times New Roman" w:eastAsia="Times New Roman" w:hAnsi="Times New Roman" w:cs="Times New Roman"/>
          <w:i/>
          <w:sz w:val="24"/>
          <w:szCs w:val="24"/>
        </w:rPr>
        <w:t>British Biotechnology Journal</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16(2), 1-8</w:t>
      </w:r>
    </w:p>
    <w:p w14:paraId="7EB3F3D5" w14:textId="77777777" w:rsidR="005272F9" w:rsidRPr="004D3038" w:rsidRDefault="005272F9" w:rsidP="005272F9">
      <w:pPr>
        <w:spacing w:line="240" w:lineRule="auto"/>
        <w:ind w:left="-44"/>
        <w:rPr>
          <w:rFonts w:ascii="Times New Roman" w:eastAsia="Times New Roman" w:hAnsi="Times New Roman" w:cs="Times New Roman"/>
          <w:sz w:val="24"/>
          <w:szCs w:val="24"/>
        </w:rPr>
      </w:pPr>
    </w:p>
    <w:p w14:paraId="589E30A2" w14:textId="77777777" w:rsidR="005272F9" w:rsidRPr="004D3038" w:rsidRDefault="005272F9" w:rsidP="005272F9">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[11] </w:t>
      </w:r>
      <w:r w:rsidRPr="004D3038">
        <w:rPr>
          <w:rFonts w:ascii="Times New Roman" w:eastAsia="Times New Roman" w:hAnsi="Times New Roman" w:cs="Times New Roman"/>
          <w:sz w:val="24"/>
          <w:szCs w:val="24"/>
        </w:rPr>
        <w:tab/>
        <w:t xml:space="preserve">Peyman, A., </w:t>
      </w:r>
      <w:proofErr w:type="spellStart"/>
      <w:r w:rsidRPr="004D3038">
        <w:rPr>
          <w:rFonts w:ascii="Times New Roman" w:eastAsia="Times New Roman" w:hAnsi="Times New Roman" w:cs="Times New Roman"/>
          <w:sz w:val="24"/>
          <w:szCs w:val="24"/>
        </w:rPr>
        <w:t>Pourazizi</w:t>
      </w:r>
      <w:proofErr w:type="spellEnd"/>
      <w:r w:rsidRPr="004D3038">
        <w:rPr>
          <w:rFonts w:ascii="Times New Roman" w:eastAsia="Times New Roman" w:hAnsi="Times New Roman" w:cs="Times New Roman"/>
          <w:sz w:val="24"/>
          <w:szCs w:val="24"/>
        </w:rPr>
        <w:t xml:space="preserve">, M., Peyman, M., &amp; </w:t>
      </w:r>
      <w:proofErr w:type="spellStart"/>
      <w:r w:rsidRPr="004D3038">
        <w:rPr>
          <w:rFonts w:ascii="Times New Roman" w:eastAsia="Times New Roman" w:hAnsi="Times New Roman" w:cs="Times New Roman"/>
          <w:sz w:val="24"/>
          <w:szCs w:val="24"/>
        </w:rPr>
        <w:t>Kianersi</w:t>
      </w:r>
      <w:proofErr w:type="spellEnd"/>
      <w:r w:rsidRPr="004D3038">
        <w:rPr>
          <w:rFonts w:ascii="Times New Roman" w:eastAsia="Times New Roman" w:hAnsi="Times New Roman" w:cs="Times New Roman"/>
          <w:sz w:val="24"/>
          <w:szCs w:val="24"/>
        </w:rPr>
        <w:t xml:space="preserve">, F. (2020). Natural Honey-Induced Acanthamoeba keratitis. </w:t>
      </w:r>
      <w:r w:rsidRPr="004D3038">
        <w:rPr>
          <w:rFonts w:ascii="Times New Roman" w:eastAsia="Times New Roman" w:hAnsi="Times New Roman" w:cs="Times New Roman"/>
          <w:i/>
          <w:sz w:val="24"/>
          <w:szCs w:val="24"/>
        </w:rPr>
        <w:t>Middle East African journal of ophthalmology,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26(4), 243–245</w:t>
      </w:r>
      <w:r w:rsidRPr="004D3038">
        <w:rPr>
          <w:rFonts w:ascii="Times New Roman" w:eastAsia="Times New Roman" w:hAnsi="Times New Roman" w:cs="Times New Roman"/>
          <w:sz w:val="24"/>
          <w:szCs w:val="24"/>
        </w:rPr>
        <w:t xml:space="preserve">. </w:t>
      </w:r>
      <w:hyperlink r:id="rId8">
        <w:r w:rsidRPr="004D3038">
          <w:rPr>
            <w:rFonts w:ascii="Times New Roman" w:eastAsia="Times New Roman" w:hAnsi="Times New Roman" w:cs="Times New Roman"/>
            <w:color w:val="1155CC"/>
            <w:sz w:val="24"/>
            <w:szCs w:val="24"/>
            <w:u w:val="single"/>
          </w:rPr>
          <w:t>https://doi.org/10.4103/meajo.MEAJO_56_18</w:t>
        </w:r>
      </w:hyperlink>
    </w:p>
    <w:p w14:paraId="47BC933D" w14:textId="77777777" w:rsidR="005272F9" w:rsidRPr="004D3038" w:rsidRDefault="005272F9" w:rsidP="005272F9">
      <w:pPr>
        <w:spacing w:line="240" w:lineRule="auto"/>
        <w:ind w:left="-44"/>
        <w:rPr>
          <w:rFonts w:ascii="Times New Roman" w:eastAsia="Times New Roman" w:hAnsi="Times New Roman" w:cs="Times New Roman"/>
          <w:sz w:val="24"/>
          <w:szCs w:val="24"/>
        </w:rPr>
      </w:pPr>
    </w:p>
    <w:p w14:paraId="28696394" w14:textId="77777777" w:rsidR="005272F9" w:rsidRPr="004D3038" w:rsidRDefault="005272F9" w:rsidP="005272F9">
      <w:pPr>
        <w:spacing w:line="240" w:lineRule="auto"/>
        <w:ind w:left="-44"/>
        <w:rPr>
          <w:rFonts w:ascii="Times New Roman" w:eastAsia="Times New Roman" w:hAnsi="Times New Roman" w:cs="Times New Roman"/>
          <w:b/>
          <w:sz w:val="24"/>
          <w:szCs w:val="24"/>
        </w:rPr>
      </w:pPr>
      <w:r w:rsidRPr="004D3038">
        <w:rPr>
          <w:rFonts w:ascii="Times New Roman" w:eastAsia="Times New Roman" w:hAnsi="Times New Roman" w:cs="Times New Roman"/>
          <w:sz w:val="24"/>
          <w:szCs w:val="24"/>
        </w:rPr>
        <w:t xml:space="preserve">[12] </w:t>
      </w:r>
      <w:r w:rsidRPr="004D3038">
        <w:rPr>
          <w:rFonts w:ascii="Times New Roman" w:eastAsia="Times New Roman" w:hAnsi="Times New Roman" w:cs="Times New Roman"/>
          <w:sz w:val="24"/>
          <w:szCs w:val="24"/>
        </w:rPr>
        <w:tab/>
        <w:t xml:space="preserve">Al Ghadeer, H., Al </w:t>
      </w:r>
      <w:proofErr w:type="spellStart"/>
      <w:r w:rsidRPr="004D3038">
        <w:rPr>
          <w:rFonts w:ascii="Times New Roman" w:eastAsia="Times New Roman" w:hAnsi="Times New Roman" w:cs="Times New Roman"/>
          <w:sz w:val="24"/>
          <w:szCs w:val="24"/>
        </w:rPr>
        <w:t>Gethami</w:t>
      </w:r>
      <w:proofErr w:type="spellEnd"/>
      <w:r w:rsidRPr="004D3038">
        <w:rPr>
          <w:rFonts w:ascii="Times New Roman" w:eastAsia="Times New Roman" w:hAnsi="Times New Roman" w:cs="Times New Roman"/>
          <w:sz w:val="24"/>
          <w:szCs w:val="24"/>
        </w:rPr>
        <w:t xml:space="preserve">, A., Al </w:t>
      </w:r>
      <w:proofErr w:type="spellStart"/>
      <w:r w:rsidRPr="004D3038">
        <w:rPr>
          <w:rFonts w:ascii="Times New Roman" w:eastAsia="Times New Roman" w:hAnsi="Times New Roman" w:cs="Times New Roman"/>
          <w:sz w:val="24"/>
          <w:szCs w:val="24"/>
        </w:rPr>
        <w:t>Sulaiman</w:t>
      </w:r>
      <w:proofErr w:type="spellEnd"/>
      <w:r w:rsidRPr="004D3038">
        <w:rPr>
          <w:rFonts w:ascii="Times New Roman" w:eastAsia="Times New Roman" w:hAnsi="Times New Roman" w:cs="Times New Roman"/>
          <w:sz w:val="24"/>
          <w:szCs w:val="24"/>
        </w:rPr>
        <w:t xml:space="preserve">, H., &amp; Bukhari, T. (2019). Corneal Toxicity after Self-Application of Calotropis </w:t>
      </w:r>
      <w:proofErr w:type="spellStart"/>
      <w:r w:rsidRPr="004D3038">
        <w:rPr>
          <w:rFonts w:ascii="Times New Roman" w:eastAsia="Times New Roman" w:hAnsi="Times New Roman" w:cs="Times New Roman"/>
          <w:sz w:val="24"/>
          <w:szCs w:val="24"/>
        </w:rPr>
        <w:t>procera</w:t>
      </w:r>
      <w:proofErr w:type="spellEnd"/>
      <w:r w:rsidRPr="004D3038">
        <w:rPr>
          <w:rFonts w:ascii="Times New Roman" w:eastAsia="Times New Roman" w:hAnsi="Times New Roman" w:cs="Times New Roman"/>
          <w:sz w:val="24"/>
          <w:szCs w:val="24"/>
        </w:rPr>
        <w:t xml:space="preserve"> (</w:t>
      </w:r>
      <w:proofErr w:type="spellStart"/>
      <w:r w:rsidRPr="004D3038">
        <w:rPr>
          <w:rFonts w:ascii="Times New Roman" w:eastAsia="Times New Roman" w:hAnsi="Times New Roman" w:cs="Times New Roman"/>
          <w:sz w:val="24"/>
          <w:szCs w:val="24"/>
        </w:rPr>
        <w:t>Ushaar</w:t>
      </w:r>
      <w:proofErr w:type="spellEnd"/>
      <w:r w:rsidRPr="004D3038">
        <w:rPr>
          <w:rFonts w:ascii="Times New Roman" w:eastAsia="Times New Roman" w:hAnsi="Times New Roman" w:cs="Times New Roman"/>
          <w:sz w:val="24"/>
          <w:szCs w:val="24"/>
        </w:rPr>
        <w:t xml:space="preserve">) Latex: Case Report and Analysis of the Active Components. </w:t>
      </w:r>
      <w:r w:rsidRPr="004D3038">
        <w:rPr>
          <w:rFonts w:ascii="Times New Roman" w:eastAsia="Times New Roman" w:hAnsi="Times New Roman" w:cs="Times New Roman"/>
          <w:i/>
          <w:sz w:val="24"/>
          <w:szCs w:val="24"/>
        </w:rPr>
        <w:t>Middle East African journal of ophthalmology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 xml:space="preserve">26(1), 40–42 </w:t>
      </w:r>
    </w:p>
    <w:p w14:paraId="6E1DE520" w14:textId="77777777" w:rsidR="005272F9" w:rsidRPr="004D3038" w:rsidRDefault="008651D6" w:rsidP="005272F9">
      <w:pPr>
        <w:spacing w:line="240" w:lineRule="auto"/>
        <w:ind w:left="-44"/>
        <w:rPr>
          <w:rFonts w:ascii="Times New Roman" w:eastAsia="Times New Roman" w:hAnsi="Times New Roman" w:cs="Times New Roman"/>
          <w:sz w:val="24"/>
          <w:szCs w:val="24"/>
        </w:rPr>
      </w:pPr>
      <w:hyperlink r:id="rId9">
        <w:r w:rsidR="005272F9" w:rsidRPr="004D3038">
          <w:rPr>
            <w:rFonts w:ascii="Times New Roman" w:eastAsia="Times New Roman" w:hAnsi="Times New Roman" w:cs="Times New Roman"/>
            <w:color w:val="1155CC"/>
            <w:sz w:val="24"/>
            <w:szCs w:val="24"/>
            <w:u w:val="single"/>
          </w:rPr>
          <w:t>https://doi.org/10.4103/meajo.MEAJO_180_18</w:t>
        </w:r>
      </w:hyperlink>
    </w:p>
    <w:p w14:paraId="0BEBFDF4" w14:textId="77777777" w:rsidR="005272F9" w:rsidRPr="004D3038" w:rsidRDefault="005272F9" w:rsidP="005272F9">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[13] </w:t>
      </w:r>
      <w:r w:rsidRPr="004D3038">
        <w:rPr>
          <w:rFonts w:ascii="Times New Roman" w:eastAsia="Times New Roman" w:hAnsi="Times New Roman" w:cs="Times New Roman"/>
          <w:sz w:val="24"/>
          <w:szCs w:val="24"/>
        </w:rPr>
        <w:tab/>
      </w:r>
      <w:proofErr w:type="spellStart"/>
      <w:r w:rsidRPr="004D3038">
        <w:rPr>
          <w:rFonts w:ascii="Times New Roman" w:eastAsia="Times New Roman" w:hAnsi="Times New Roman" w:cs="Times New Roman"/>
          <w:sz w:val="24"/>
          <w:szCs w:val="24"/>
        </w:rPr>
        <w:t>Basak</w:t>
      </w:r>
      <w:proofErr w:type="spellEnd"/>
      <w:r w:rsidRPr="004D3038">
        <w:rPr>
          <w:rFonts w:ascii="Times New Roman" w:eastAsia="Times New Roman" w:hAnsi="Times New Roman" w:cs="Times New Roman"/>
          <w:sz w:val="24"/>
          <w:szCs w:val="24"/>
        </w:rPr>
        <w:t xml:space="preserve">, S. K., </w:t>
      </w:r>
      <w:proofErr w:type="spellStart"/>
      <w:r w:rsidRPr="004D3038">
        <w:rPr>
          <w:rFonts w:ascii="Times New Roman" w:eastAsia="Times New Roman" w:hAnsi="Times New Roman" w:cs="Times New Roman"/>
          <w:sz w:val="24"/>
          <w:szCs w:val="24"/>
        </w:rPr>
        <w:t>Bhaumik</w:t>
      </w:r>
      <w:proofErr w:type="spellEnd"/>
      <w:r w:rsidRPr="004D3038">
        <w:rPr>
          <w:rFonts w:ascii="Times New Roman" w:eastAsia="Times New Roman" w:hAnsi="Times New Roman" w:cs="Times New Roman"/>
          <w:sz w:val="24"/>
          <w:szCs w:val="24"/>
        </w:rPr>
        <w:t xml:space="preserve">, A., </w:t>
      </w:r>
      <w:proofErr w:type="spellStart"/>
      <w:r w:rsidRPr="004D3038">
        <w:rPr>
          <w:rFonts w:ascii="Times New Roman" w:eastAsia="Times New Roman" w:hAnsi="Times New Roman" w:cs="Times New Roman"/>
          <w:sz w:val="24"/>
          <w:szCs w:val="24"/>
        </w:rPr>
        <w:t>Mohanta</w:t>
      </w:r>
      <w:proofErr w:type="spellEnd"/>
      <w:r w:rsidRPr="004D3038">
        <w:rPr>
          <w:rFonts w:ascii="Times New Roman" w:eastAsia="Times New Roman" w:hAnsi="Times New Roman" w:cs="Times New Roman"/>
          <w:sz w:val="24"/>
          <w:szCs w:val="24"/>
        </w:rPr>
        <w:t xml:space="preserve">, A., &amp; Singhal, P. (2009). Ocular toxicity by latex of Calotropis </w:t>
      </w:r>
      <w:proofErr w:type="spellStart"/>
      <w:r w:rsidRPr="004D3038">
        <w:rPr>
          <w:rFonts w:ascii="Times New Roman" w:eastAsia="Times New Roman" w:hAnsi="Times New Roman" w:cs="Times New Roman"/>
          <w:sz w:val="24"/>
          <w:szCs w:val="24"/>
        </w:rPr>
        <w:t>procera</w:t>
      </w:r>
      <w:proofErr w:type="spellEnd"/>
      <w:r w:rsidRPr="004D3038">
        <w:rPr>
          <w:rFonts w:ascii="Times New Roman" w:eastAsia="Times New Roman" w:hAnsi="Times New Roman" w:cs="Times New Roman"/>
          <w:sz w:val="24"/>
          <w:szCs w:val="24"/>
        </w:rPr>
        <w:t xml:space="preserve"> (Sodom apple).</w:t>
      </w:r>
      <w:r w:rsidRPr="004D3038">
        <w:rPr>
          <w:rFonts w:ascii="Times New Roman" w:eastAsia="Times New Roman" w:hAnsi="Times New Roman" w:cs="Times New Roman"/>
          <w:i/>
          <w:sz w:val="24"/>
          <w:szCs w:val="24"/>
        </w:rPr>
        <w:t xml:space="preserve"> Indian journal of ophthalmology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57(3), 232–234</w:t>
      </w:r>
      <w:r w:rsidRPr="004D3038">
        <w:rPr>
          <w:rFonts w:ascii="Times New Roman" w:eastAsia="Times New Roman" w:hAnsi="Times New Roman" w:cs="Times New Roman"/>
          <w:sz w:val="24"/>
          <w:szCs w:val="24"/>
        </w:rPr>
        <w:t xml:space="preserve">. </w:t>
      </w:r>
      <w:hyperlink r:id="rId10">
        <w:r w:rsidRPr="004D3038">
          <w:rPr>
            <w:rFonts w:ascii="Times New Roman" w:eastAsia="Times New Roman" w:hAnsi="Times New Roman" w:cs="Times New Roman"/>
            <w:color w:val="1155CC"/>
            <w:sz w:val="24"/>
            <w:szCs w:val="24"/>
            <w:u w:val="single"/>
          </w:rPr>
          <w:t>https://doi.org/10.4103/0301-4738.49402</w:t>
        </w:r>
      </w:hyperlink>
    </w:p>
    <w:p w14:paraId="777A40E5" w14:textId="77777777" w:rsidR="005272F9" w:rsidRPr="004D3038" w:rsidRDefault="005272F9" w:rsidP="005272F9">
      <w:pPr>
        <w:spacing w:line="240" w:lineRule="auto"/>
        <w:ind w:left="-44"/>
        <w:rPr>
          <w:rFonts w:ascii="Times New Roman" w:eastAsia="Times New Roman" w:hAnsi="Times New Roman" w:cs="Times New Roman"/>
          <w:sz w:val="24"/>
          <w:szCs w:val="24"/>
        </w:rPr>
      </w:pPr>
    </w:p>
    <w:p w14:paraId="2818876E" w14:textId="77777777" w:rsidR="005272F9" w:rsidRPr="004D3038" w:rsidRDefault="005272F9" w:rsidP="005272F9">
      <w:pPr>
        <w:spacing w:line="240" w:lineRule="auto"/>
        <w:ind w:left="-44"/>
        <w:rPr>
          <w:rFonts w:ascii="Times New Roman" w:eastAsia="Times New Roman" w:hAnsi="Times New Roman" w:cs="Times New Roman"/>
          <w:sz w:val="24"/>
          <w:szCs w:val="24"/>
        </w:rPr>
      </w:pPr>
      <w:r w:rsidRPr="004D3038">
        <w:rPr>
          <w:rFonts w:ascii="Times New Roman" w:eastAsia="Times New Roman" w:hAnsi="Times New Roman" w:cs="Times New Roman"/>
          <w:sz w:val="24"/>
          <w:szCs w:val="24"/>
        </w:rPr>
        <w:t xml:space="preserve">[14] </w:t>
      </w:r>
      <w:r w:rsidRPr="004D3038">
        <w:rPr>
          <w:rFonts w:ascii="Times New Roman" w:eastAsia="Times New Roman" w:hAnsi="Times New Roman" w:cs="Times New Roman"/>
          <w:sz w:val="24"/>
          <w:szCs w:val="24"/>
        </w:rPr>
        <w:tab/>
        <w:t xml:space="preserve">Pandey, N., </w:t>
      </w:r>
      <w:proofErr w:type="spellStart"/>
      <w:r w:rsidRPr="004D3038">
        <w:rPr>
          <w:rFonts w:ascii="Times New Roman" w:eastAsia="Times New Roman" w:hAnsi="Times New Roman" w:cs="Times New Roman"/>
          <w:sz w:val="24"/>
          <w:szCs w:val="24"/>
        </w:rPr>
        <w:t>Chandrakar</w:t>
      </w:r>
      <w:proofErr w:type="spellEnd"/>
      <w:r w:rsidRPr="004D3038">
        <w:rPr>
          <w:rFonts w:ascii="Times New Roman" w:eastAsia="Times New Roman" w:hAnsi="Times New Roman" w:cs="Times New Roman"/>
          <w:sz w:val="24"/>
          <w:szCs w:val="24"/>
        </w:rPr>
        <w:t xml:space="preserve">, A. K., Garg, M. L., &amp; Patel, S. S. (2009). Calotropis </w:t>
      </w:r>
      <w:proofErr w:type="spellStart"/>
      <w:r w:rsidRPr="004D3038">
        <w:rPr>
          <w:rFonts w:ascii="Times New Roman" w:eastAsia="Times New Roman" w:hAnsi="Times New Roman" w:cs="Times New Roman"/>
          <w:sz w:val="24"/>
          <w:szCs w:val="24"/>
        </w:rPr>
        <w:t>procera</w:t>
      </w:r>
      <w:proofErr w:type="spellEnd"/>
      <w:r w:rsidRPr="004D3038">
        <w:rPr>
          <w:rFonts w:ascii="Times New Roman" w:eastAsia="Times New Roman" w:hAnsi="Times New Roman" w:cs="Times New Roman"/>
          <w:sz w:val="24"/>
          <w:szCs w:val="24"/>
        </w:rPr>
        <w:t xml:space="preserve"> -induced keratitis. </w:t>
      </w:r>
      <w:r w:rsidRPr="004D3038">
        <w:rPr>
          <w:rFonts w:ascii="Times New Roman" w:eastAsia="Times New Roman" w:hAnsi="Times New Roman" w:cs="Times New Roman"/>
          <w:i/>
          <w:sz w:val="24"/>
          <w:szCs w:val="24"/>
        </w:rPr>
        <w:t>Indian journal of ophthalmology</w:t>
      </w:r>
      <w:r w:rsidRPr="004D3038">
        <w:rPr>
          <w:rFonts w:ascii="Times New Roman" w:eastAsia="Times New Roman" w:hAnsi="Times New Roman" w:cs="Times New Roman"/>
          <w:sz w:val="24"/>
          <w:szCs w:val="24"/>
        </w:rPr>
        <w:t xml:space="preserve">, </w:t>
      </w:r>
      <w:r w:rsidRPr="004D3038">
        <w:rPr>
          <w:rFonts w:ascii="Times New Roman" w:eastAsia="Times New Roman" w:hAnsi="Times New Roman" w:cs="Times New Roman"/>
          <w:b/>
          <w:sz w:val="24"/>
          <w:szCs w:val="24"/>
        </w:rPr>
        <w:t>57(1), 58–60</w:t>
      </w:r>
      <w:r w:rsidRPr="004D3038">
        <w:rPr>
          <w:rFonts w:ascii="Times New Roman" w:eastAsia="Times New Roman" w:hAnsi="Times New Roman" w:cs="Times New Roman"/>
          <w:sz w:val="24"/>
          <w:szCs w:val="24"/>
        </w:rPr>
        <w:t xml:space="preserve">. </w:t>
      </w:r>
      <w:hyperlink r:id="rId11">
        <w:r w:rsidRPr="004D3038">
          <w:rPr>
            <w:rFonts w:ascii="Times New Roman" w:eastAsia="Times New Roman" w:hAnsi="Times New Roman" w:cs="Times New Roman"/>
            <w:color w:val="1155CC"/>
            <w:sz w:val="24"/>
            <w:szCs w:val="24"/>
            <w:u w:val="single"/>
          </w:rPr>
          <w:t>https://doi.org/10.4103/0301-4738.44492</w:t>
        </w:r>
      </w:hyperlink>
    </w:p>
    <w:p w14:paraId="501052B6" w14:textId="77777777" w:rsidR="005272F9" w:rsidRPr="004D3038" w:rsidRDefault="005272F9" w:rsidP="005272F9">
      <w:pPr>
        <w:spacing w:line="240" w:lineRule="auto"/>
        <w:rPr>
          <w:rFonts w:ascii="Times New Roman" w:eastAsia="Times New Roman" w:hAnsi="Times New Roman" w:cs="Times New Roman"/>
          <w:b/>
          <w:sz w:val="24"/>
          <w:szCs w:val="24"/>
        </w:rPr>
      </w:pPr>
    </w:p>
    <w:sectPr w:rsidR="005272F9" w:rsidRPr="004D3038" w:rsidSect="007603E5">
      <w:headerReference w:type="even" r:id="rId12"/>
      <w:headerReference w:type="default" r:id="rId13"/>
      <w:footerReference w:type="even" r:id="rId14"/>
      <w:footerReference w:type="default" r:id="rId15"/>
      <w:headerReference w:type="first" r:id="rId16"/>
      <w:footerReference w:type="first" r:id="rId17"/>
      <w:pgSz w:w="15840" w:h="12240" w:orient="landscape"/>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B8FC2" w14:textId="77777777" w:rsidR="008651D6" w:rsidRDefault="008651D6">
      <w:pPr>
        <w:spacing w:line="240" w:lineRule="auto"/>
      </w:pPr>
      <w:r>
        <w:separator/>
      </w:r>
    </w:p>
  </w:endnote>
  <w:endnote w:type="continuationSeparator" w:id="0">
    <w:p w14:paraId="60889163" w14:textId="77777777" w:rsidR="008651D6" w:rsidRDefault="00865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D8FA" w14:textId="77777777" w:rsidR="00FE4652" w:rsidRDefault="00FE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E4BF" w14:textId="77777777" w:rsidR="00FE4652" w:rsidRDefault="00FE4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A2E4" w14:textId="77777777" w:rsidR="00FE4652" w:rsidRDefault="00FE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386F5" w14:textId="77777777" w:rsidR="008651D6" w:rsidRDefault="008651D6">
      <w:r>
        <w:separator/>
      </w:r>
    </w:p>
  </w:footnote>
  <w:footnote w:type="continuationSeparator" w:id="0">
    <w:p w14:paraId="3C1D8FCE" w14:textId="77777777" w:rsidR="008651D6" w:rsidRDefault="0086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AF72" w14:textId="02A969EC" w:rsidR="00FE4652" w:rsidRDefault="00FE4652">
    <w:pPr>
      <w:pStyle w:val="Header"/>
    </w:pPr>
    <w:r>
      <w:rPr>
        <w:noProof/>
      </w:rPr>
      <w:pict w14:anchorId="6BFD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2" o:spid="_x0000_s2050" type="#_x0000_t136" style="position:absolute;margin-left:0;margin-top:0;width:605.2pt;height:67.2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EFBC" w14:textId="6C9D7757" w:rsidR="00FE4652" w:rsidRDefault="00FE4652">
    <w:pPr>
      <w:pStyle w:val="Header"/>
    </w:pPr>
    <w:r>
      <w:rPr>
        <w:noProof/>
      </w:rPr>
      <w:pict w14:anchorId="1B036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3" o:spid="_x0000_s2051" type="#_x0000_t136" style="position:absolute;margin-left:0;margin-top:0;width:605.2pt;height:67.2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C56D" w14:textId="54CCB774" w:rsidR="00FE4652" w:rsidRDefault="00FE4652">
    <w:pPr>
      <w:pStyle w:val="Header"/>
    </w:pPr>
    <w:r>
      <w:rPr>
        <w:noProof/>
      </w:rPr>
      <w:pict w14:anchorId="434BF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1" o:spid="_x0000_s2049" type="#_x0000_t136" style="position:absolute;margin-left:0;margin-top:0;width:605.2pt;height:67.2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IwMbQwMjcxNzI2NDRS0lEKTi0uzszPAykwrAUA6E6lpCwAAAA="/>
  </w:docVars>
  <w:rsids>
    <w:rsidRoot w:val="004F0ADB"/>
    <w:rsid w:val="0008011A"/>
    <w:rsid w:val="000D3BC2"/>
    <w:rsid w:val="00114399"/>
    <w:rsid w:val="0012745A"/>
    <w:rsid w:val="00194306"/>
    <w:rsid w:val="001A6380"/>
    <w:rsid w:val="001B31F3"/>
    <w:rsid w:val="001B386B"/>
    <w:rsid w:val="001C3831"/>
    <w:rsid w:val="001C7FA2"/>
    <w:rsid w:val="00222A0A"/>
    <w:rsid w:val="00276823"/>
    <w:rsid w:val="002D3098"/>
    <w:rsid w:val="00323080"/>
    <w:rsid w:val="0036423A"/>
    <w:rsid w:val="003A19F3"/>
    <w:rsid w:val="00461D50"/>
    <w:rsid w:val="00482E8C"/>
    <w:rsid w:val="004D3038"/>
    <w:rsid w:val="004F0ADB"/>
    <w:rsid w:val="005272F9"/>
    <w:rsid w:val="005918BF"/>
    <w:rsid w:val="00595F94"/>
    <w:rsid w:val="005C44F9"/>
    <w:rsid w:val="00674EBF"/>
    <w:rsid w:val="006B6EB1"/>
    <w:rsid w:val="0074359E"/>
    <w:rsid w:val="007603E5"/>
    <w:rsid w:val="00841B98"/>
    <w:rsid w:val="008651D6"/>
    <w:rsid w:val="00875C8B"/>
    <w:rsid w:val="008C6D6A"/>
    <w:rsid w:val="0090191D"/>
    <w:rsid w:val="009857FC"/>
    <w:rsid w:val="00A02039"/>
    <w:rsid w:val="00A034DC"/>
    <w:rsid w:val="00AE4753"/>
    <w:rsid w:val="00B00193"/>
    <w:rsid w:val="00BA6211"/>
    <w:rsid w:val="00BC2499"/>
    <w:rsid w:val="00BE00C7"/>
    <w:rsid w:val="00BF1BF3"/>
    <w:rsid w:val="00C354A6"/>
    <w:rsid w:val="00C63EBC"/>
    <w:rsid w:val="00C97744"/>
    <w:rsid w:val="00DA7D27"/>
    <w:rsid w:val="00DD7A9C"/>
    <w:rsid w:val="00E30190"/>
    <w:rsid w:val="00E619CC"/>
    <w:rsid w:val="00EC675D"/>
    <w:rsid w:val="00EE2BF1"/>
    <w:rsid w:val="00EF748C"/>
    <w:rsid w:val="00F16292"/>
    <w:rsid w:val="00F65F47"/>
    <w:rsid w:val="00F771B3"/>
    <w:rsid w:val="00F904A0"/>
    <w:rsid w:val="00FA545F"/>
    <w:rsid w:val="00FD0C82"/>
    <w:rsid w:val="00FD3379"/>
    <w:rsid w:val="00FD5E8F"/>
    <w:rsid w:val="00FE4652"/>
    <w:rsid w:val="00FF2106"/>
    <w:rsid w:val="02DC400F"/>
    <w:rsid w:val="15872F4B"/>
    <w:rsid w:val="1B54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4C33F"/>
  <w15:docId w15:val="{97899053-4772-471B-AA9A-D3BB89AC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0" w:defSemiHidden="0" w:defUnhideWhenUsed="0" w:defQFormat="0" w:count="375">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tblPr>
      <w:tblCellMar>
        <w:top w:w="100" w:type="dxa"/>
        <w:left w:w="100" w:type="dxa"/>
        <w:bottom w:w="100" w:type="dxa"/>
        <w:right w:w="100" w:type="dxa"/>
      </w:tblCellMar>
    </w:tblPr>
  </w:style>
  <w:style w:type="paragraph" w:styleId="BalloonText">
    <w:name w:val="Balloon Text"/>
    <w:basedOn w:val="Normal"/>
    <w:link w:val="BalloonTextChar"/>
    <w:rsid w:val="00FA545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545F"/>
    <w:rPr>
      <w:rFonts w:ascii="Tahoma" w:hAnsi="Tahoma" w:cs="Tahoma"/>
      <w:sz w:val="16"/>
      <w:szCs w:val="16"/>
    </w:rPr>
  </w:style>
  <w:style w:type="character" w:styleId="Hyperlink">
    <w:name w:val="Hyperlink"/>
    <w:basedOn w:val="DefaultParagraphFont"/>
    <w:uiPriority w:val="99"/>
    <w:unhideWhenUsed/>
    <w:rsid w:val="00461D50"/>
    <w:rPr>
      <w:color w:val="0000FF"/>
      <w:u w:val="single"/>
    </w:rPr>
  </w:style>
  <w:style w:type="paragraph" w:styleId="NoSpacing">
    <w:name w:val="No Spacing"/>
    <w:uiPriority w:val="1"/>
    <w:qFormat/>
    <w:rsid w:val="00461D50"/>
    <w:rPr>
      <w:rFonts w:asciiTheme="minorHAnsi" w:eastAsiaTheme="minorHAnsi" w:hAnsiTheme="minorHAnsi" w:cstheme="minorBidi"/>
      <w:sz w:val="22"/>
      <w:szCs w:val="22"/>
    </w:rPr>
  </w:style>
  <w:style w:type="paragraph" w:styleId="Header">
    <w:name w:val="header"/>
    <w:basedOn w:val="Normal"/>
    <w:link w:val="HeaderChar"/>
    <w:rsid w:val="00C354A6"/>
    <w:pPr>
      <w:tabs>
        <w:tab w:val="center" w:pos="4680"/>
        <w:tab w:val="right" w:pos="9360"/>
      </w:tabs>
      <w:spacing w:line="240" w:lineRule="auto"/>
    </w:pPr>
  </w:style>
  <w:style w:type="character" w:customStyle="1" w:styleId="HeaderChar">
    <w:name w:val="Header Char"/>
    <w:basedOn w:val="DefaultParagraphFont"/>
    <w:link w:val="Header"/>
    <w:rsid w:val="00C354A6"/>
    <w:rPr>
      <w:sz w:val="22"/>
      <w:szCs w:val="22"/>
    </w:rPr>
  </w:style>
  <w:style w:type="paragraph" w:styleId="Footer">
    <w:name w:val="footer"/>
    <w:basedOn w:val="Normal"/>
    <w:link w:val="FooterChar"/>
    <w:rsid w:val="00C354A6"/>
    <w:pPr>
      <w:tabs>
        <w:tab w:val="center" w:pos="4680"/>
        <w:tab w:val="right" w:pos="9360"/>
      </w:tabs>
      <w:spacing w:line="240" w:lineRule="auto"/>
    </w:pPr>
  </w:style>
  <w:style w:type="character" w:customStyle="1" w:styleId="FooterChar">
    <w:name w:val="Footer Char"/>
    <w:basedOn w:val="DefaultParagraphFont"/>
    <w:link w:val="Footer"/>
    <w:rsid w:val="00C354A6"/>
    <w:rPr>
      <w:sz w:val="22"/>
      <w:szCs w:val="22"/>
    </w:rPr>
  </w:style>
  <w:style w:type="character" w:styleId="Strong">
    <w:name w:val="Strong"/>
    <w:basedOn w:val="DefaultParagraphFont"/>
    <w:uiPriority w:val="22"/>
    <w:qFormat/>
    <w:rsid w:val="00C354A6"/>
    <w:rPr>
      <w:b/>
      <w:bCs/>
    </w:rPr>
  </w:style>
  <w:style w:type="character" w:styleId="UnresolvedMention">
    <w:name w:val="Unresolved Mention"/>
    <w:basedOn w:val="DefaultParagraphFont"/>
    <w:uiPriority w:val="99"/>
    <w:semiHidden/>
    <w:unhideWhenUsed/>
    <w:rsid w:val="00C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103/meajo.MEAJO_56_1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5152/balkanmedj%202014.837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4103/0301-4738.4449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4103/0301-4738.4940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4103/meajo.MEAJO_180_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9</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odoya</dc:creator>
  <cp:lastModifiedBy>SDI 1084</cp:lastModifiedBy>
  <cp:revision>35</cp:revision>
  <dcterms:created xsi:type="dcterms:W3CDTF">2025-08-30T14:51:00Z</dcterms:created>
  <dcterms:modified xsi:type="dcterms:W3CDTF">2025-09-11T07:41:00Z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0A35157A3806427FA00EC8E5868F47FA_12</vt:lpwstr>
  </property>
  <property fmtid="{D5CDD505-2E9C-101B-9397-08002B2CF9AE}" pid="4" name="GrammarlyDocumentId">
    <vt:lpwstr>28d29692-9fde-4478-a691-abef4f289bc4</vt:lpwstr>
  </property>
</Properties>
</file>