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DFD00" w14:textId="77777777" w:rsidR="00B02AAC" w:rsidRPr="00B02AAC" w:rsidRDefault="00B02AAC" w:rsidP="00B02AAC">
      <w:pPr>
        <w:pStyle w:val="Author"/>
        <w:spacing w:line="240" w:lineRule="auto"/>
        <w:jc w:val="left"/>
        <w:rPr>
          <w:rFonts w:ascii="Arial" w:hAnsi="Arial" w:cs="Arial"/>
          <w:kern w:val="28"/>
          <w:sz w:val="36"/>
          <w:u w:val="single"/>
        </w:rPr>
      </w:pPr>
      <w:r w:rsidRPr="00B02AAC">
        <w:rPr>
          <w:rFonts w:ascii="Arial" w:hAnsi="Arial" w:cs="Arial"/>
          <w:kern w:val="28"/>
          <w:sz w:val="36"/>
          <w:u w:val="single"/>
        </w:rPr>
        <w:t>Original Research Article</w:t>
      </w:r>
    </w:p>
    <w:p w14:paraId="0F2BE1A2" w14:textId="34F848CF" w:rsidR="00A258C3" w:rsidRDefault="0043612F" w:rsidP="0043612F">
      <w:pPr>
        <w:pStyle w:val="Author"/>
        <w:spacing w:line="240" w:lineRule="auto"/>
        <w:rPr>
          <w:rFonts w:ascii="Arial" w:hAnsi="Arial" w:cs="Arial"/>
          <w:bCs/>
          <w:iCs/>
          <w:kern w:val="28"/>
          <w:sz w:val="36"/>
        </w:rPr>
      </w:pPr>
      <w:r w:rsidRPr="0043612F">
        <w:rPr>
          <w:rFonts w:ascii="Arial" w:hAnsi="Arial" w:cs="Arial"/>
          <w:bCs/>
          <w:iCs/>
          <w:kern w:val="28"/>
          <w:sz w:val="36"/>
        </w:rPr>
        <w:t>Functional, Clinical, and Cognitive Profiles of Hospitalized Older Adults in a General Hospital in the Brazilian Amazon</w:t>
      </w:r>
    </w:p>
    <w:p w14:paraId="2B91E926" w14:textId="77777777" w:rsidR="00C41B92" w:rsidRPr="00790ADA" w:rsidRDefault="00C41B92" w:rsidP="0043612F">
      <w:pPr>
        <w:pStyle w:val="Author"/>
        <w:spacing w:line="240" w:lineRule="auto"/>
        <w:rPr>
          <w:rFonts w:ascii="Arial" w:hAnsi="Arial" w:cs="Arial"/>
          <w:sz w:val="36"/>
        </w:rPr>
      </w:pPr>
    </w:p>
    <w:p w14:paraId="55120BE6" w14:textId="77777777" w:rsidR="00844444" w:rsidRPr="001246C7" w:rsidRDefault="00844444" w:rsidP="00C76679">
      <w:pPr>
        <w:pStyle w:val="Affiliation"/>
        <w:spacing w:after="0" w:line="240" w:lineRule="auto"/>
        <w:rPr>
          <w:rFonts w:ascii="Arial" w:hAnsi="Arial" w:cs="Arial"/>
          <w:i/>
          <w:lang w:val="en"/>
        </w:rPr>
      </w:pPr>
    </w:p>
    <w:p w14:paraId="47EDE634" w14:textId="1933B326" w:rsidR="00B01FCD" w:rsidRPr="00FB3A86" w:rsidRDefault="00AF1D51" w:rsidP="00441B6F">
      <w:pPr>
        <w:pStyle w:val="Copyright"/>
        <w:spacing w:after="0" w:line="240" w:lineRule="auto"/>
        <w:jc w:val="both"/>
        <w:rPr>
          <w:rFonts w:ascii="Arial" w:hAnsi="Arial" w:cs="Arial"/>
        </w:rPr>
        <w:sectPr w:rsidR="00B01FCD" w:rsidRPr="00FB3A86" w:rsidSect="00B469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A5411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266782F" w14:textId="5713A603" w:rsidR="00B01FCD" w:rsidRDefault="00B01FCD" w:rsidP="00991177">
      <w:pPr>
        <w:pStyle w:val="AbstHead"/>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1E8A510" w14:textId="77777777" w:rsidTr="00604E06">
        <w:tc>
          <w:tcPr>
            <w:tcW w:w="8424" w:type="dxa"/>
            <w:shd w:val="clear" w:color="auto" w:fill="F2F2F2"/>
          </w:tcPr>
          <w:p w14:paraId="7FD7B6EE" w14:textId="77777777" w:rsidR="00682B1F" w:rsidRPr="00682B1F" w:rsidRDefault="00682B1F" w:rsidP="00682B1F">
            <w:pPr>
              <w:pStyle w:val="Body"/>
              <w:spacing w:after="0"/>
              <w:rPr>
                <w:rFonts w:ascii="Arial" w:eastAsia="Calibri" w:hAnsi="Arial" w:cs="Arial"/>
                <w:b/>
                <w:szCs w:val="22"/>
                <w:lang w:val="pt-BR"/>
              </w:rPr>
            </w:pPr>
            <w:r w:rsidRPr="00682B1F">
              <w:rPr>
                <w:rFonts w:ascii="Arial" w:eastAsia="Calibri" w:hAnsi="Arial" w:cs="Arial"/>
                <w:b/>
                <w:bCs/>
                <w:szCs w:val="22"/>
                <w:lang w:val="pt-BR"/>
              </w:rPr>
              <w:t>Aims:</w:t>
            </w:r>
            <w:r w:rsidRPr="00682B1F">
              <w:rPr>
                <w:rFonts w:ascii="Arial" w:eastAsia="Calibri" w:hAnsi="Arial" w:cs="Arial"/>
                <w:b/>
                <w:szCs w:val="22"/>
                <w:lang w:val="pt-BR"/>
              </w:rPr>
              <w:t xml:space="preserve"> </w:t>
            </w:r>
            <w:r w:rsidRPr="00682B1F">
              <w:rPr>
                <w:rFonts w:ascii="Arial" w:eastAsia="Calibri" w:hAnsi="Arial" w:cs="Arial"/>
                <w:bCs/>
                <w:szCs w:val="22"/>
                <w:lang w:val="pt-BR"/>
              </w:rPr>
              <w:t>This study aimed to evaluate the functional, clinical, and cognitive profiles of hospitalized older adults in a general hospital in the Brazilian Amazon, contributing to understanding the relationship between frailty, cognitive decline, and functionality during hospitalization.</w:t>
            </w:r>
          </w:p>
          <w:p w14:paraId="1191CA77" w14:textId="77777777" w:rsidR="00682B1F" w:rsidRPr="00682B1F" w:rsidRDefault="00682B1F" w:rsidP="00682B1F">
            <w:pPr>
              <w:pStyle w:val="Body"/>
              <w:spacing w:after="0"/>
              <w:rPr>
                <w:rFonts w:ascii="Arial" w:eastAsia="Calibri" w:hAnsi="Arial" w:cs="Arial"/>
                <w:b/>
                <w:szCs w:val="22"/>
                <w:lang w:val="pt-BR"/>
              </w:rPr>
            </w:pPr>
            <w:r w:rsidRPr="00682B1F">
              <w:rPr>
                <w:rFonts w:ascii="Arial" w:eastAsia="Calibri" w:hAnsi="Arial" w:cs="Arial"/>
                <w:b/>
                <w:bCs/>
                <w:szCs w:val="22"/>
                <w:lang w:val="pt-BR"/>
              </w:rPr>
              <w:t>Study design:</w:t>
            </w:r>
            <w:r w:rsidRPr="00682B1F">
              <w:rPr>
                <w:rFonts w:ascii="Arial" w:eastAsia="Calibri" w:hAnsi="Arial" w:cs="Arial"/>
                <w:b/>
                <w:szCs w:val="22"/>
                <w:lang w:val="pt-BR"/>
              </w:rPr>
              <w:t xml:space="preserve"> </w:t>
            </w:r>
            <w:r w:rsidRPr="00682B1F">
              <w:rPr>
                <w:rFonts w:ascii="Arial" w:eastAsia="Calibri" w:hAnsi="Arial" w:cs="Arial"/>
                <w:bCs/>
                <w:szCs w:val="22"/>
                <w:lang w:val="pt-BR"/>
              </w:rPr>
              <w:t>Prospective, descriptive, and analytical cohort study.</w:t>
            </w:r>
          </w:p>
          <w:p w14:paraId="2110F067" w14:textId="77777777" w:rsidR="00682B1F" w:rsidRPr="00682B1F" w:rsidRDefault="00682B1F" w:rsidP="00682B1F">
            <w:pPr>
              <w:pStyle w:val="Body"/>
              <w:spacing w:after="0"/>
              <w:rPr>
                <w:rFonts w:ascii="Arial" w:eastAsia="Calibri" w:hAnsi="Arial" w:cs="Arial"/>
                <w:b/>
                <w:szCs w:val="22"/>
                <w:lang w:val="pt-BR"/>
              </w:rPr>
            </w:pPr>
            <w:r w:rsidRPr="00682B1F">
              <w:rPr>
                <w:rFonts w:ascii="Arial" w:eastAsia="Calibri" w:hAnsi="Arial" w:cs="Arial"/>
                <w:b/>
                <w:bCs/>
                <w:szCs w:val="22"/>
                <w:lang w:val="pt-BR"/>
              </w:rPr>
              <w:t>Place and Duration of Study:</w:t>
            </w:r>
            <w:r w:rsidRPr="00682B1F">
              <w:rPr>
                <w:rFonts w:ascii="Arial" w:eastAsia="Calibri" w:hAnsi="Arial" w:cs="Arial"/>
                <w:b/>
                <w:szCs w:val="22"/>
                <w:lang w:val="pt-BR"/>
              </w:rPr>
              <w:t xml:space="preserve"> </w:t>
            </w:r>
            <w:r w:rsidRPr="00682B1F">
              <w:rPr>
                <w:rFonts w:ascii="Arial" w:eastAsia="Calibri" w:hAnsi="Arial" w:cs="Arial"/>
                <w:bCs/>
                <w:szCs w:val="22"/>
                <w:lang w:val="pt-BR"/>
              </w:rPr>
              <w:t>Conducted at Hospital Jean Bitar, Belém, Pará, Brazil, from March to June 2023.</w:t>
            </w:r>
          </w:p>
          <w:p w14:paraId="21E36999" w14:textId="77777777" w:rsidR="00682B1F" w:rsidRPr="00682B1F" w:rsidRDefault="00682B1F" w:rsidP="00682B1F">
            <w:pPr>
              <w:pStyle w:val="Body"/>
              <w:spacing w:after="0"/>
              <w:rPr>
                <w:rFonts w:ascii="Arial" w:eastAsia="Calibri" w:hAnsi="Arial" w:cs="Arial"/>
                <w:b/>
                <w:szCs w:val="22"/>
                <w:lang w:val="pt-BR"/>
              </w:rPr>
            </w:pPr>
            <w:r w:rsidRPr="00682B1F">
              <w:rPr>
                <w:rFonts w:ascii="Arial" w:eastAsia="Calibri" w:hAnsi="Arial" w:cs="Arial"/>
                <w:b/>
                <w:bCs/>
                <w:szCs w:val="22"/>
                <w:lang w:val="pt-BR"/>
              </w:rPr>
              <w:t>Methodology:</w:t>
            </w:r>
            <w:r w:rsidRPr="00682B1F">
              <w:rPr>
                <w:rFonts w:ascii="Arial" w:eastAsia="Calibri" w:hAnsi="Arial" w:cs="Arial"/>
                <w:b/>
                <w:szCs w:val="22"/>
                <w:lang w:val="pt-BR"/>
              </w:rPr>
              <w:t xml:space="preserve"> </w:t>
            </w:r>
            <w:r w:rsidRPr="00682B1F">
              <w:rPr>
                <w:rFonts w:ascii="Arial" w:eastAsia="Calibri" w:hAnsi="Arial" w:cs="Arial"/>
                <w:bCs/>
                <w:szCs w:val="22"/>
                <w:lang w:val="pt-BR"/>
              </w:rPr>
              <w:t>The study included 45 patients aged 65 years or older, assessed within 48 hours of admission using validated instruments such as the Clinical Frailty Scale (CFS), 10-Point Cognitive Screener (10-CS), Katz Index for Basic Activities of Daily Living (BADL), and Lawton Scale for Instrumental Activities of Daily Living (IADL). Statistical analyses were performed using the BioEstat® 5.4 software, applying G and Chi-Square tests (α = 0.05).</w:t>
            </w:r>
          </w:p>
          <w:p w14:paraId="2C56E5AE" w14:textId="77777777" w:rsidR="00682B1F" w:rsidRPr="00682B1F" w:rsidRDefault="00682B1F" w:rsidP="00682B1F">
            <w:pPr>
              <w:pStyle w:val="Body"/>
              <w:spacing w:after="0"/>
              <w:rPr>
                <w:rFonts w:ascii="Arial" w:eastAsia="Calibri" w:hAnsi="Arial" w:cs="Arial"/>
                <w:bCs/>
                <w:szCs w:val="22"/>
                <w:lang w:val="pt-BR"/>
              </w:rPr>
            </w:pPr>
            <w:r w:rsidRPr="00682B1F">
              <w:rPr>
                <w:rFonts w:ascii="Arial" w:eastAsia="Calibri" w:hAnsi="Arial" w:cs="Arial"/>
                <w:b/>
                <w:bCs/>
                <w:szCs w:val="22"/>
                <w:lang w:val="pt-BR"/>
              </w:rPr>
              <w:t>Results:</w:t>
            </w:r>
            <w:r w:rsidRPr="00682B1F">
              <w:rPr>
                <w:rFonts w:ascii="Arial" w:eastAsia="Calibri" w:hAnsi="Arial" w:cs="Arial"/>
                <w:b/>
                <w:szCs w:val="22"/>
                <w:lang w:val="pt-BR"/>
              </w:rPr>
              <w:t xml:space="preserve"> </w:t>
            </w:r>
            <w:r w:rsidRPr="00682B1F">
              <w:rPr>
                <w:rFonts w:ascii="Arial" w:eastAsia="Calibri" w:hAnsi="Arial" w:cs="Arial"/>
                <w:bCs/>
                <w:szCs w:val="22"/>
                <w:lang w:val="pt-BR"/>
              </w:rPr>
              <w:t>The mean age was 76.3 years, with a slight predominance of females (51.1%). The most frequent admission diagnoses were gastrointestinal bleeding (24.4%) and consumptive syndrome (22.2%). Most patients showed some degree of frailty and dependence in ADLs and IADLs, and 60% had probable cognitive impairment, predominantly among females.</w:t>
            </w:r>
          </w:p>
          <w:p w14:paraId="1CB6088C" w14:textId="77777777" w:rsidR="00682B1F" w:rsidRPr="00682B1F" w:rsidRDefault="00682B1F" w:rsidP="00682B1F">
            <w:pPr>
              <w:pStyle w:val="Body"/>
              <w:spacing w:after="0"/>
              <w:rPr>
                <w:rFonts w:ascii="Arial" w:eastAsia="Calibri" w:hAnsi="Arial" w:cs="Arial"/>
                <w:bCs/>
                <w:szCs w:val="22"/>
                <w:lang w:val="pt-BR"/>
              </w:rPr>
            </w:pPr>
            <w:r w:rsidRPr="00682B1F">
              <w:rPr>
                <w:rFonts w:ascii="Arial" w:eastAsia="Calibri" w:hAnsi="Arial" w:cs="Arial"/>
                <w:b/>
                <w:bCs/>
                <w:szCs w:val="22"/>
                <w:lang w:val="pt-BR"/>
              </w:rPr>
              <w:t>Conclusion:</w:t>
            </w:r>
            <w:r w:rsidRPr="00682B1F">
              <w:rPr>
                <w:rFonts w:ascii="Arial" w:eastAsia="Calibri" w:hAnsi="Arial" w:cs="Arial"/>
                <w:b/>
                <w:szCs w:val="22"/>
                <w:lang w:val="pt-BR"/>
              </w:rPr>
              <w:t xml:space="preserve"> </w:t>
            </w:r>
            <w:r w:rsidRPr="00682B1F">
              <w:rPr>
                <w:rFonts w:ascii="Arial" w:eastAsia="Calibri" w:hAnsi="Arial" w:cs="Arial"/>
                <w:bCs/>
                <w:szCs w:val="22"/>
                <w:lang w:val="pt-BR"/>
              </w:rPr>
              <w:t>Functional dependence and cognitive decline were prevalent among hospitalized older adults, reinforcing the need for comprehensive geriatric assessments to guide care strategies and improve quality of life in this population.</w:t>
            </w:r>
          </w:p>
          <w:p w14:paraId="4C7E3CA0" w14:textId="75E57C1F" w:rsidR="00505F06" w:rsidRPr="00BA1B01" w:rsidRDefault="00505F06" w:rsidP="00441B6F">
            <w:pPr>
              <w:pStyle w:val="Body"/>
              <w:spacing w:after="0"/>
              <w:rPr>
                <w:rFonts w:ascii="Arial" w:eastAsia="Calibri" w:hAnsi="Arial" w:cs="Arial"/>
                <w:szCs w:val="22"/>
              </w:rPr>
            </w:pPr>
          </w:p>
        </w:tc>
      </w:tr>
    </w:tbl>
    <w:p w14:paraId="434E8E2F" w14:textId="77777777" w:rsidR="00991177" w:rsidRDefault="00A24E7E" w:rsidP="008C524F">
      <w:pPr>
        <w:pStyle w:val="Body"/>
        <w:spacing w:before="240"/>
        <w:rPr>
          <w:rFonts w:ascii="Arial" w:hAnsi="Arial" w:cs="Arial"/>
          <w:i/>
        </w:rPr>
      </w:pPr>
      <w:r>
        <w:rPr>
          <w:rFonts w:ascii="Arial" w:hAnsi="Arial" w:cs="Arial"/>
          <w:i/>
        </w:rPr>
        <w:t xml:space="preserve">Keywords: </w:t>
      </w:r>
      <w:r w:rsidR="00AE4D71" w:rsidRPr="00AE4D71">
        <w:rPr>
          <w:rFonts w:ascii="Arial" w:hAnsi="Arial" w:cs="Arial"/>
          <w:i/>
        </w:rPr>
        <w:t>Older adults</w:t>
      </w:r>
      <w:r w:rsidR="00AE4D71">
        <w:rPr>
          <w:rFonts w:ascii="Arial" w:hAnsi="Arial" w:cs="Arial"/>
          <w:i/>
        </w:rPr>
        <w:t>,</w:t>
      </w:r>
      <w:r w:rsidR="00AE4D71" w:rsidRPr="00AE4D71">
        <w:rPr>
          <w:rFonts w:ascii="Arial" w:hAnsi="Arial" w:cs="Arial"/>
          <w:i/>
        </w:rPr>
        <w:t xml:space="preserve"> Frailty</w:t>
      </w:r>
      <w:r w:rsidR="00AE4D71">
        <w:rPr>
          <w:rFonts w:ascii="Arial" w:hAnsi="Arial" w:cs="Arial"/>
          <w:i/>
        </w:rPr>
        <w:t>,</w:t>
      </w:r>
      <w:r w:rsidR="00AE4D71" w:rsidRPr="00AE4D71">
        <w:rPr>
          <w:rFonts w:ascii="Arial" w:hAnsi="Arial" w:cs="Arial"/>
          <w:i/>
        </w:rPr>
        <w:t xml:space="preserve"> Cognitive impairment</w:t>
      </w:r>
      <w:r w:rsidR="00AE4D71">
        <w:rPr>
          <w:rFonts w:ascii="Arial" w:hAnsi="Arial" w:cs="Arial"/>
          <w:i/>
        </w:rPr>
        <w:t>,</w:t>
      </w:r>
      <w:r w:rsidR="00AE4D71" w:rsidRPr="00AE4D71">
        <w:rPr>
          <w:rFonts w:ascii="Arial" w:hAnsi="Arial" w:cs="Arial"/>
          <w:i/>
        </w:rPr>
        <w:t xml:space="preserve"> Functional dependence.</w:t>
      </w:r>
    </w:p>
    <w:p w14:paraId="40466155" w14:textId="15218AB5" w:rsidR="008C524F" w:rsidRDefault="008C524F" w:rsidP="008C524F">
      <w:pPr>
        <w:pStyle w:val="AbstHead"/>
        <w:spacing w:after="0"/>
        <w:jc w:val="both"/>
        <w:rPr>
          <w:rFonts w:ascii="Arial" w:hAnsi="Arial" w:cs="Arial"/>
        </w:rPr>
      </w:pPr>
      <w:r>
        <w:rPr>
          <w:rFonts w:ascii="Arial" w:hAnsi="Arial" w:cs="Arial"/>
        </w:rPr>
        <w:t>1. INTRODUCTION</w:t>
      </w:r>
    </w:p>
    <w:p w14:paraId="5D785870" w14:textId="77777777" w:rsidR="00F640D3" w:rsidRDefault="005C22D3" w:rsidP="00F640D3">
      <w:pPr>
        <w:pStyle w:val="Body"/>
        <w:spacing w:before="240"/>
        <w:rPr>
          <w:rFonts w:ascii="Arial" w:hAnsi="Arial" w:cs="Arial"/>
        </w:rPr>
      </w:pPr>
      <w:r w:rsidRPr="00F640D3">
        <w:rPr>
          <w:rFonts w:ascii="Arial" w:hAnsi="Arial" w:cs="Arial"/>
        </w:rPr>
        <w:t>With the aging of the population and the rapid demographic transition observed in countries around the world, health care for older adults has become an increasing challenge. Health systems that were originally structured to serve predominantly young and generally healthy adults, only occasionally affected by acute conditions, have become ineffective and are now under pressure due to the specific demands associated with aging. Chronic diseases, multimorbidity, polypharmacy, atypical presentations of illness, and cognitive and functional changes are only a few of the issues that take center stage in this context (Cassel, 2009).</w:t>
      </w:r>
    </w:p>
    <w:p w14:paraId="44C1DBF4" w14:textId="77777777" w:rsidR="00F640D3" w:rsidRDefault="005C22D3" w:rsidP="00F640D3">
      <w:pPr>
        <w:pStyle w:val="Body"/>
        <w:spacing w:before="240"/>
        <w:rPr>
          <w:rFonts w:ascii="Arial" w:hAnsi="Arial" w:cs="Arial"/>
        </w:rPr>
      </w:pPr>
      <w:r w:rsidRPr="005C22D3">
        <w:rPr>
          <w:rFonts w:ascii="Arial" w:hAnsi="Arial" w:cs="Arial"/>
        </w:rPr>
        <w:t>Moreover, the aging process is heterogeneous, determined by genetic factors, lifestyle habits, access to health care, and social support networks, among others. As a result, different demands and individual characteristics combine to confer high complexity to the clinical assessment of older adults. The Comprehensive Geriatric Assessment (CGA) represents an essential strategy to address this complexity and to facilitate the design of personalized and integrated care plans for this population (Ellis et al., 2011).</w:t>
      </w:r>
    </w:p>
    <w:p w14:paraId="5182DE1A" w14:textId="77777777" w:rsidR="00F640D3" w:rsidRDefault="005C22D3" w:rsidP="00F640D3">
      <w:pPr>
        <w:pStyle w:val="Body"/>
        <w:spacing w:before="240"/>
        <w:rPr>
          <w:rFonts w:ascii="Arial" w:hAnsi="Arial" w:cs="Arial"/>
        </w:rPr>
      </w:pPr>
      <w:r w:rsidRPr="005C22D3">
        <w:rPr>
          <w:rFonts w:ascii="Arial" w:hAnsi="Arial" w:cs="Arial"/>
        </w:rPr>
        <w:lastRenderedPageBreak/>
        <w:t>The CGA is a multidimensional diagnostic instrument grounded in a global view of the health of older adults. It was first conceived by Marjory Warren during her work in the rehabilitation of disabled patients at a London hospital in the first half of the 20th century. Warren demonstrated that a broad and standardized evaluation of her patients</w:t>
      </w:r>
      <w:r>
        <w:rPr>
          <w:rFonts w:ascii="Arial" w:hAnsi="Arial" w:cs="Arial"/>
        </w:rPr>
        <w:t xml:space="preserve"> </w:t>
      </w:r>
      <w:r w:rsidRPr="005C22D3">
        <w:rPr>
          <w:rFonts w:ascii="Arial" w:hAnsi="Arial" w:cs="Arial"/>
        </w:rPr>
        <w:t>focused on the identification of problems and the development of therapeutic plans</w:t>
      </w:r>
      <w:r>
        <w:rPr>
          <w:rFonts w:ascii="Arial" w:hAnsi="Arial" w:cs="Arial"/>
        </w:rPr>
        <w:t xml:space="preserve"> </w:t>
      </w:r>
      <w:r w:rsidRPr="005C22D3">
        <w:rPr>
          <w:rFonts w:ascii="Arial" w:hAnsi="Arial" w:cs="Arial"/>
        </w:rPr>
        <w:t>resulted in improved clinical outcomes, including functional recovery and hospital discharge rates.</w:t>
      </w:r>
    </w:p>
    <w:p w14:paraId="476AF46C" w14:textId="77777777" w:rsidR="00F640D3" w:rsidRDefault="005C22D3" w:rsidP="00F640D3">
      <w:pPr>
        <w:pStyle w:val="Body"/>
        <w:spacing w:before="240"/>
        <w:rPr>
          <w:rFonts w:ascii="Arial" w:hAnsi="Arial" w:cs="Arial"/>
        </w:rPr>
      </w:pPr>
      <w:r w:rsidRPr="005C22D3">
        <w:rPr>
          <w:rFonts w:ascii="Arial" w:hAnsi="Arial" w:cs="Arial"/>
        </w:rPr>
        <w:t>Over the past decades, randomized controlled trials have confirmed the positive impact of CGA on clinical outcomes in older adults, and the role of multidimensional instruments based on it has become particularly relevant in hospital settings (Avelino et al., 2014). Rubinstein et al. were the first to demonstrate, in a randomized clinical trial involving 123 hospitalized older adults, that CGA could improve outcomes such as length of hospital stay and post-discharge functionality. Subsequent studies and systematic reviews confirmed similar benefits among older adults hospitalized for acute clinical conditions, as well as in surgical and oncological patients (Partridge et al., 2014). These analyses suggest that the use of CGA may assist in prognostic assessment and therapeutic planning for hospitalized older adults, contributing to the maintenance of physical and cognitive capacity, while also reducing the risk of mortality and post-discharge institutionalization (Ellis &amp; Langhorne, 2005). Importantly, CGA is capable of identifying prognostic information often missed by traditional risk models, which are typically based on sociodemographic data, comorbidities, and disease-specific criteria (</w:t>
      </w:r>
      <w:proofErr w:type="spellStart"/>
      <w:r w:rsidRPr="005C22D3">
        <w:rPr>
          <w:rFonts w:ascii="Arial" w:hAnsi="Arial" w:cs="Arial"/>
        </w:rPr>
        <w:t>Pilotto</w:t>
      </w:r>
      <w:proofErr w:type="spellEnd"/>
      <w:r w:rsidRPr="005C22D3">
        <w:rPr>
          <w:rFonts w:ascii="Arial" w:hAnsi="Arial" w:cs="Arial"/>
        </w:rPr>
        <w:t xml:space="preserve"> et al., 2018).</w:t>
      </w:r>
    </w:p>
    <w:p w14:paraId="07D6083A" w14:textId="77777777" w:rsidR="00F640D3" w:rsidRDefault="005C22D3" w:rsidP="00F640D3">
      <w:pPr>
        <w:pStyle w:val="Body"/>
        <w:spacing w:before="240"/>
        <w:rPr>
          <w:rFonts w:ascii="Arial" w:hAnsi="Arial" w:cs="Arial"/>
        </w:rPr>
      </w:pPr>
      <w:r w:rsidRPr="005C22D3">
        <w:rPr>
          <w:rFonts w:ascii="Arial" w:hAnsi="Arial" w:cs="Arial"/>
        </w:rPr>
        <w:t xml:space="preserve">More recently, </w:t>
      </w:r>
      <w:proofErr w:type="spellStart"/>
      <w:r w:rsidRPr="005C22D3">
        <w:rPr>
          <w:rFonts w:ascii="Arial" w:hAnsi="Arial" w:cs="Arial"/>
        </w:rPr>
        <w:t>Pilotto</w:t>
      </w:r>
      <w:proofErr w:type="spellEnd"/>
      <w:r w:rsidRPr="005C22D3">
        <w:rPr>
          <w:rFonts w:ascii="Arial" w:hAnsi="Arial" w:cs="Arial"/>
        </w:rPr>
        <w:t xml:space="preserve"> et al. developed the Multidimensional Prognostic Index (MPI), a CGA-based tool that has been used in several studies and assesses eight health domains: functionality, cognition, comorbidity burden, nutritional status, risk of pressure ulcers, polypharmacy, and social support. Robust evidence suggests that the MPI is useful for predicting mortality among older adults hospitalized for acute conditions such as pneumonia and decompensated heart failure. However, its use in busy and resource-limited healthcare environments is restricted, as its application is time-consuming and relies on complex scales requiring specialized geriatric training (</w:t>
      </w:r>
      <w:proofErr w:type="spellStart"/>
      <w:r w:rsidRPr="005C22D3">
        <w:rPr>
          <w:rFonts w:ascii="Arial" w:hAnsi="Arial" w:cs="Arial"/>
        </w:rPr>
        <w:t>Pilotto</w:t>
      </w:r>
      <w:proofErr w:type="spellEnd"/>
      <w:r w:rsidRPr="005C22D3">
        <w:rPr>
          <w:rFonts w:ascii="Arial" w:hAnsi="Arial" w:cs="Arial"/>
        </w:rPr>
        <w:t xml:space="preserve"> et al., 2008).</w:t>
      </w:r>
    </w:p>
    <w:p w14:paraId="15AE6009" w14:textId="77777777" w:rsidR="00F640D3" w:rsidRDefault="005C22D3" w:rsidP="00F640D3">
      <w:pPr>
        <w:pStyle w:val="Body"/>
        <w:spacing w:before="240"/>
        <w:rPr>
          <w:rFonts w:ascii="Arial" w:hAnsi="Arial" w:cs="Arial"/>
        </w:rPr>
      </w:pPr>
      <w:r w:rsidRPr="005C22D3">
        <w:rPr>
          <w:rFonts w:ascii="Arial" w:hAnsi="Arial" w:cs="Arial"/>
        </w:rPr>
        <w:t xml:space="preserve">As with the MPI, the excessive time required for administration and the lack of adequately trained healthcare professionals are limitations that hinder the implementation of other CGA-based models in clinical practice (Conroy et al., 2011). In an effort to preserve the multidimensional concept of assessment while providing a faster and easier-to-train alternative, Aliberti et al. developed and validated the 10-Minute Geriatric Assessment (10-TaGA). The 10-TaGA is a brief multidimensional assessment tool encompassing 10 essential domains of older adults’ health: social support, healthcare utilization, risk of falls, number of medications in use, functionality, cognition, self-rated health, depressive symptoms, nutritional status, and gait speed. </w:t>
      </w:r>
    </w:p>
    <w:p w14:paraId="0024CAB4" w14:textId="0EC77A60" w:rsidR="005C22D3" w:rsidRPr="005C22D3" w:rsidRDefault="005C22D3" w:rsidP="00F640D3">
      <w:pPr>
        <w:pStyle w:val="Body"/>
        <w:spacing w:before="240"/>
        <w:rPr>
          <w:rFonts w:ascii="Arial" w:hAnsi="Arial" w:cs="Arial"/>
          <w:b/>
          <w:caps/>
        </w:rPr>
      </w:pPr>
      <w:r w:rsidRPr="005C22D3">
        <w:rPr>
          <w:rFonts w:ascii="Arial" w:hAnsi="Arial" w:cs="Arial"/>
        </w:rPr>
        <w:t xml:space="preserve">This new instrument proved to be practical (rapid and feasible even with limited resources) and capable of distinguishing between different risk categories for adverse outcomes (functional decline, hospitalization, mortality) in samples of older adults evaluated in a geriatric day hospital and an outpatient clinic. Although its results were promising, the 10-TaGA was developed for older adults with health characteristics and care settings that differ from those of hospitalized patients, and therefore its performance in hospital environments remains uncertain (Aliberti et al., 2019; </w:t>
      </w:r>
      <w:proofErr w:type="spellStart"/>
      <w:r w:rsidRPr="005C22D3">
        <w:rPr>
          <w:rFonts w:ascii="Arial" w:hAnsi="Arial" w:cs="Arial"/>
        </w:rPr>
        <w:t>Angleman</w:t>
      </w:r>
      <w:proofErr w:type="spellEnd"/>
      <w:r w:rsidRPr="005C22D3">
        <w:rPr>
          <w:rFonts w:ascii="Arial" w:hAnsi="Arial" w:cs="Arial"/>
        </w:rPr>
        <w:t xml:space="preserve"> et al., 2015).</w:t>
      </w:r>
    </w:p>
    <w:p w14:paraId="5846AAC5" w14:textId="08645677" w:rsidR="005C22D3" w:rsidRPr="005C22D3" w:rsidRDefault="005C22D3" w:rsidP="005C22D3">
      <w:pPr>
        <w:pStyle w:val="AbstHead"/>
        <w:jc w:val="both"/>
        <w:rPr>
          <w:rFonts w:ascii="Arial" w:hAnsi="Arial" w:cs="Arial"/>
          <w:b w:val="0"/>
          <w:caps w:val="0"/>
          <w:sz w:val="20"/>
        </w:rPr>
      </w:pPr>
      <w:r w:rsidRPr="005C22D3">
        <w:rPr>
          <w:rFonts w:ascii="Arial" w:hAnsi="Arial" w:cs="Arial"/>
          <w:b w:val="0"/>
          <w:caps w:val="0"/>
          <w:sz w:val="20"/>
        </w:rPr>
        <w:t xml:space="preserve">A detailed description of the 10-TaGA can be found in the literature. The original instrument evaluates the following domains: social support (living arrangements and availability of a caregiver); recent use of the healthcare system (emergency visits or hospitalizations within the past six months); number of falls in the previous year; number of medications used; </w:t>
      </w:r>
      <w:r w:rsidRPr="005C22D3">
        <w:rPr>
          <w:rFonts w:ascii="Arial" w:hAnsi="Arial" w:cs="Arial"/>
          <w:b w:val="0"/>
          <w:caps w:val="0"/>
          <w:sz w:val="20"/>
        </w:rPr>
        <w:lastRenderedPageBreak/>
        <w:t>functionality in basic activities of daily living (BADLs; Katz Index); cognitive screening (10-point Cognitive Screener); self-rated health; depressive symptoms (4-item Geriatric Depression Scale); nutritional status (weight loss over the past year, body mass index); and gait speed. Each parameter is rated on three levels (normal = 0 points, mild impairment = 0.5 points, severe impairment = 1 point), and the score is calculated as the mean of the deficits identified across the 10 domains. The final score ranges from 0 (no impairment) to 1 (maximum impairment), classifying individuals into low-, medium-, or high-risk categories for adverse outcomes (Apolinario et al., 2016).</w:t>
      </w:r>
    </w:p>
    <w:p w14:paraId="15059F8B" w14:textId="66E6F4E3" w:rsidR="005C22D3" w:rsidRPr="005C22D3" w:rsidRDefault="005C22D3" w:rsidP="005C22D3">
      <w:pPr>
        <w:pStyle w:val="AbstHead"/>
        <w:jc w:val="both"/>
        <w:rPr>
          <w:rFonts w:ascii="Arial" w:hAnsi="Arial" w:cs="Arial"/>
          <w:b w:val="0"/>
          <w:caps w:val="0"/>
          <w:sz w:val="20"/>
        </w:rPr>
      </w:pPr>
      <w:r w:rsidRPr="005C22D3">
        <w:rPr>
          <w:rFonts w:ascii="Arial" w:hAnsi="Arial" w:cs="Arial"/>
          <w:b w:val="0"/>
          <w:caps w:val="0"/>
          <w:sz w:val="20"/>
        </w:rPr>
        <w:t xml:space="preserve">The CHANGE Project (Creating a Hospital Assessment Network in Geriatrics) is a multicenter study initiated at Hospital das </w:t>
      </w:r>
      <w:proofErr w:type="spellStart"/>
      <w:r w:rsidRPr="005C22D3">
        <w:rPr>
          <w:rFonts w:ascii="Arial" w:hAnsi="Arial" w:cs="Arial"/>
          <w:b w:val="0"/>
          <w:caps w:val="0"/>
          <w:sz w:val="20"/>
        </w:rPr>
        <w:t>Clínicas</w:t>
      </w:r>
      <w:proofErr w:type="spellEnd"/>
      <w:r w:rsidRPr="005C22D3">
        <w:rPr>
          <w:rFonts w:ascii="Arial" w:hAnsi="Arial" w:cs="Arial"/>
          <w:b w:val="0"/>
          <w:caps w:val="0"/>
          <w:sz w:val="20"/>
        </w:rPr>
        <w:t xml:space="preserve"> in São Paulo that aims to develop a brief multidimensional assessment model for hospitalized older adults by adapting and validating the 10-TaGA for the hospital environment. The domains described above will be maintained in the adapted instrument, referred to as TaGA-Hosp. Considering the particularities of the hospital setting and existing evidence on predictors of adverse outcomes among hospitalized older adults, TaGA-Hosp will additionally assess parameters related to social support through the presence of caregivers during hospitalization, as well as the presence of delirium using the Confusion Assessment Method. This approach could represent an ideal method for optimizing geriatric hospital care, even in time- and resource-constrained settings. The MPI, mentioned earlier, will serve as the reference model for comprehensive geriatric assessment validation of the TaGA-Hosp (Silva et al., 2009).</w:t>
      </w:r>
    </w:p>
    <w:p w14:paraId="0519FFBD" w14:textId="1B16052F" w:rsidR="003143D4" w:rsidRDefault="005C22D3" w:rsidP="003143D4">
      <w:pPr>
        <w:pStyle w:val="AbstHead"/>
        <w:jc w:val="both"/>
        <w:rPr>
          <w:rFonts w:ascii="Arial" w:hAnsi="Arial" w:cs="Arial"/>
          <w:b w:val="0"/>
          <w:caps w:val="0"/>
          <w:sz w:val="20"/>
        </w:rPr>
      </w:pPr>
      <w:r w:rsidRPr="005C22D3">
        <w:rPr>
          <w:rFonts w:ascii="Arial" w:hAnsi="Arial" w:cs="Arial"/>
          <w:b w:val="0"/>
          <w:caps w:val="0"/>
          <w:sz w:val="20"/>
        </w:rPr>
        <w:t>Based on the above, the present study aims to evaluate older adults aged 65 years and over in terms of their functional, clinical, and cognitive profiles during hospitalization in the Internal Medicine Ward of Hospital Jean Bitar, located in the municipality of Belém, in the State of Pará, within the Brazilian Amazon region.</w:t>
      </w:r>
    </w:p>
    <w:p w14:paraId="58926E71" w14:textId="4983A6A3" w:rsidR="007F7B32" w:rsidRDefault="00902823" w:rsidP="00600409">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4A3BFA5" w14:textId="77777777" w:rsidR="00790ADA" w:rsidRPr="00FB3A86" w:rsidRDefault="00790ADA" w:rsidP="00441B6F">
      <w:pPr>
        <w:pStyle w:val="AbstHead"/>
        <w:spacing w:after="0"/>
        <w:jc w:val="both"/>
        <w:rPr>
          <w:rFonts w:ascii="Arial" w:hAnsi="Arial" w:cs="Arial"/>
        </w:rPr>
      </w:pPr>
    </w:p>
    <w:p w14:paraId="3AD4770C" w14:textId="07870A29" w:rsidR="003143D4" w:rsidRPr="003143D4" w:rsidRDefault="003143D4" w:rsidP="003143D4">
      <w:pPr>
        <w:pStyle w:val="Body"/>
        <w:rPr>
          <w:rFonts w:ascii="Arial" w:hAnsi="Arial" w:cs="Arial"/>
        </w:rPr>
      </w:pPr>
      <w:r w:rsidRPr="003143D4">
        <w:rPr>
          <w:rFonts w:ascii="Arial" w:hAnsi="Arial" w:cs="Arial"/>
        </w:rPr>
        <w:t>The present study is a branch of the multicenter CHANGE Project (Creating a Hospital Assessment Network in Geriatrics). It is a prospective, cohort, descriptive, and analytical study including individuals aged ≥65 years who were hospitalized at Hospital Jean Bitar, in Belém, Pará, Brazil. The sample consisted of 45 patients, and data collection was conducted between March and June 2023.</w:t>
      </w:r>
    </w:p>
    <w:p w14:paraId="7107DB16" w14:textId="47D77E6F" w:rsidR="003143D4" w:rsidRPr="003143D4" w:rsidRDefault="003143D4" w:rsidP="003143D4">
      <w:pPr>
        <w:pStyle w:val="Body"/>
        <w:rPr>
          <w:rFonts w:ascii="Arial" w:hAnsi="Arial" w:cs="Arial"/>
        </w:rPr>
      </w:pPr>
      <w:r w:rsidRPr="003143D4">
        <w:rPr>
          <w:rFonts w:ascii="Arial" w:hAnsi="Arial" w:cs="Arial"/>
        </w:rPr>
        <w:t>For inclusion, candidates were required to be hospitalized in the Internal Medicine Ward, with baseline assessments performed within the first 48 hours of admission. Only individuals who provided informed consent were included in the study, in accordance with the Informed Consent Form (ICF). Participants with an admission score of nine on the Clinical Frailty Scale (CFS)</w:t>
      </w:r>
      <w:r>
        <w:rPr>
          <w:rFonts w:ascii="Arial" w:hAnsi="Arial" w:cs="Arial"/>
        </w:rPr>
        <w:t xml:space="preserve"> </w:t>
      </w:r>
      <w:r w:rsidRPr="003143D4">
        <w:rPr>
          <w:rFonts w:ascii="Arial" w:hAnsi="Arial" w:cs="Arial"/>
        </w:rPr>
        <w:t>indicating terminal illness under exclusive palliative care</w:t>
      </w:r>
      <w:r>
        <w:rPr>
          <w:rFonts w:ascii="Arial" w:hAnsi="Arial" w:cs="Arial"/>
        </w:rPr>
        <w:t xml:space="preserve"> </w:t>
      </w:r>
      <w:r w:rsidRPr="003143D4">
        <w:rPr>
          <w:rFonts w:ascii="Arial" w:hAnsi="Arial" w:cs="Arial"/>
        </w:rPr>
        <w:t>were excluded due to limited life expectancy, as well as those who remained hospitalized for ≤48 hours, whether due to death, transfer, or hospital discharge.</w:t>
      </w:r>
    </w:p>
    <w:p w14:paraId="497E5D3A" w14:textId="46B7D575" w:rsidR="003143D4" w:rsidRPr="003143D4" w:rsidRDefault="003143D4" w:rsidP="003143D4">
      <w:pPr>
        <w:pStyle w:val="Body"/>
        <w:rPr>
          <w:rFonts w:ascii="Arial" w:hAnsi="Arial" w:cs="Arial"/>
        </w:rPr>
      </w:pPr>
      <w:r w:rsidRPr="003143D4">
        <w:rPr>
          <w:rFonts w:ascii="Arial" w:hAnsi="Arial" w:cs="Arial"/>
        </w:rPr>
        <w:t>Clinical, functional, and cognitive characteristics, as well as sex, age, and physical examination findings at admission, were collected for all participants. At the end of hospitalization, additional information regarding the hospital stay, including new diagnoses and complications, was recorded. All data were entered into standardized electronic forms developed and managed using the Research Electronic Data Capture (</w:t>
      </w:r>
      <w:proofErr w:type="spellStart"/>
      <w:r w:rsidRPr="003143D4">
        <w:rPr>
          <w:rFonts w:ascii="Arial" w:hAnsi="Arial" w:cs="Arial"/>
        </w:rPr>
        <w:t>REDCap</w:t>
      </w:r>
      <w:proofErr w:type="spellEnd"/>
      <w:r w:rsidRPr="003143D4">
        <w:rPr>
          <w:rFonts w:ascii="Arial" w:hAnsi="Arial" w:cs="Arial"/>
        </w:rPr>
        <w:t>) platform. Investigators were trained through periodic meetings, online educational seminars, and instructional videos and handbooks related to both the platform and the assessment scales used.</w:t>
      </w:r>
    </w:p>
    <w:p w14:paraId="07B4F3EE" w14:textId="15CEFBEF" w:rsidR="003143D4" w:rsidRPr="003143D4" w:rsidRDefault="003143D4" w:rsidP="003143D4">
      <w:pPr>
        <w:pStyle w:val="Body"/>
        <w:rPr>
          <w:rFonts w:ascii="Arial" w:hAnsi="Arial" w:cs="Arial"/>
        </w:rPr>
      </w:pPr>
      <w:r w:rsidRPr="003143D4">
        <w:rPr>
          <w:rFonts w:ascii="Arial" w:hAnsi="Arial" w:cs="Arial"/>
        </w:rPr>
        <w:lastRenderedPageBreak/>
        <w:t>The baseline evaluations included: eligibility screening; obtaining informed consent; patient identification data; anamnesis; application of the TaGA-Hosp and MPI instruments; assessment of frailty and intrinsic capacity (using the Frail Scale and the CFS); source of admission (e.g., emergency department, outpatient clinic); initial diagnostic hypotheses; and initial management. Basic Activities of Daily Living (BADLs) and Instrumental Activities of Daily Living (IADLs) were analyzed using the Katz Index and Lawton Scale, respectively.</w:t>
      </w:r>
    </w:p>
    <w:p w14:paraId="1C382F48" w14:textId="0119AD6C" w:rsidR="003143D4" w:rsidRPr="003143D4" w:rsidRDefault="003143D4" w:rsidP="003143D4">
      <w:pPr>
        <w:pStyle w:val="Body"/>
        <w:rPr>
          <w:rFonts w:ascii="Arial" w:hAnsi="Arial" w:cs="Arial"/>
        </w:rPr>
      </w:pPr>
      <w:r w:rsidRPr="003143D4">
        <w:rPr>
          <w:rFonts w:ascii="Arial" w:hAnsi="Arial" w:cs="Arial"/>
        </w:rPr>
        <w:t>The discharge evaluations were performed at the end of hospitalization and included: date and type of outcome (discharge, transfer, or death); post-discharge destination; length of hospital stay; major in-hospital events and diagnoses; functionality; and cognition. Discharge assessments were conducted through review of the electronic medical records (TCUD – Appendix I) and by consulting the attending physician regarding the estimated probability of death among patients who were discharged.</w:t>
      </w:r>
    </w:p>
    <w:p w14:paraId="271ED994" w14:textId="31737E41" w:rsidR="003143D4" w:rsidRPr="003143D4" w:rsidRDefault="003143D4" w:rsidP="003143D4">
      <w:pPr>
        <w:pStyle w:val="Body"/>
        <w:rPr>
          <w:rFonts w:ascii="Arial" w:hAnsi="Arial" w:cs="Arial"/>
        </w:rPr>
      </w:pPr>
      <w:r w:rsidRPr="003143D4">
        <w:rPr>
          <w:rFonts w:ascii="Arial" w:hAnsi="Arial" w:cs="Arial"/>
        </w:rPr>
        <w:t xml:space="preserve">Sample characterization data were organized and entered into Microsoft® Excel® 2016 spreadsheets. Descriptive statistics were presented in tables and graphs. Analytical or inferential statistics were applied to assess the results of sample variables using the G Test and Chi-Square Goodness-of-Fit Test for univariate tables. Descriptive and analytical statistical analyses were performed using the </w:t>
      </w:r>
      <w:proofErr w:type="spellStart"/>
      <w:r w:rsidRPr="003143D4">
        <w:rPr>
          <w:rFonts w:ascii="Arial" w:hAnsi="Arial" w:cs="Arial"/>
        </w:rPr>
        <w:t>BioEstat</w:t>
      </w:r>
      <w:proofErr w:type="spellEnd"/>
      <w:r w:rsidRPr="003143D4">
        <w:rPr>
          <w:rFonts w:ascii="Arial" w:hAnsi="Arial" w:cs="Arial"/>
        </w:rPr>
        <w:t>® 5.4 software. The level of statistical significance was set at α = 0.05 (5%), with significant values marked by an asterisk (*).</w:t>
      </w:r>
    </w:p>
    <w:p w14:paraId="0E4C585F" w14:textId="22EBE76D" w:rsidR="003143D4" w:rsidRPr="003143D4" w:rsidRDefault="003143D4" w:rsidP="003143D4">
      <w:pPr>
        <w:pStyle w:val="Body"/>
        <w:rPr>
          <w:rFonts w:ascii="Arial" w:hAnsi="Arial" w:cs="Arial"/>
        </w:rPr>
      </w:pPr>
      <w:r w:rsidRPr="003143D4">
        <w:rPr>
          <w:rFonts w:ascii="Arial" w:hAnsi="Arial" w:cs="Arial"/>
        </w:rPr>
        <w:t>All collected clinical data were analyzed in a manner ensuring full confidentiality of participants’ identities and any information not relevant to the research objectives, in order to protect the moral integrity of the patients. The study protocol was submitted to and approved by the Research Ethics Committee of Hospital Ophir Loyola, under approval number CAAE 75023723.0.0000.5550, and data collection commenced only after the ethics approval was granted.</w:t>
      </w:r>
    </w:p>
    <w:p w14:paraId="228CCFD9" w14:textId="4F2B2294" w:rsidR="003143D4" w:rsidRPr="00FB3A86" w:rsidRDefault="003143D4" w:rsidP="003143D4">
      <w:pPr>
        <w:pStyle w:val="Body"/>
        <w:rPr>
          <w:rFonts w:ascii="Arial" w:hAnsi="Arial" w:cs="Arial"/>
        </w:rPr>
      </w:pPr>
      <w:r w:rsidRPr="003143D4">
        <w:rPr>
          <w:rFonts w:ascii="Arial" w:hAnsi="Arial" w:cs="Arial"/>
        </w:rPr>
        <w:t xml:space="preserve">All data collected during the study were compiled into electronic spreadsheets, and the results were presented in descriptive text, tables, and/or quantitative charts. The data will remain securely stored for five (5) years to safeguard participants’ personal information, in </w:t>
      </w:r>
      <w:proofErr w:type="spellStart"/>
      <w:r w:rsidRPr="003143D4">
        <w:rPr>
          <w:rFonts w:ascii="Arial" w:hAnsi="Arial" w:cs="Arial"/>
        </w:rPr>
        <w:t>ccordance</w:t>
      </w:r>
      <w:proofErr w:type="spellEnd"/>
      <w:r w:rsidRPr="003143D4">
        <w:rPr>
          <w:rFonts w:ascii="Arial" w:hAnsi="Arial" w:cs="Arial"/>
        </w:rPr>
        <w:t xml:space="preserve"> with Resolution CNS 466/12. After this five-year period, the data will be permanently deleted or destroyed.</w:t>
      </w:r>
    </w:p>
    <w:p w14:paraId="047C8C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DA8C25" w14:textId="77777777" w:rsidR="00BA6F46" w:rsidRDefault="00BA6F46" w:rsidP="00BA6F46">
      <w:pPr>
        <w:spacing w:before="240" w:after="240"/>
        <w:contextualSpacing/>
        <w:jc w:val="both"/>
        <w:rPr>
          <w:rFonts w:ascii="Arial" w:hAnsi="Arial" w:cs="Arial"/>
        </w:rPr>
      </w:pPr>
      <w:r w:rsidRPr="00BA6F46">
        <w:rPr>
          <w:rFonts w:ascii="Arial" w:hAnsi="Arial" w:cs="Arial"/>
        </w:rPr>
        <w:t xml:space="preserve">The sample consisted of 45 patients, with no statistically significant difference (p = 0.8815) between the proportions of females (51.1%) and males (48.9%). Patient age ranged from 65 to 107 years, with a mean of 76.3 years. The age group of 70–79 years was the most frequent (51.1%), showing a statistically significant difference compared with the other age ranges. The length of hospital stay varied from 1 to 65 days, with a mean of 20.8 days. The most frequent duration of hospitalization was between 10 and 19 days (35.6%). A statistically significant majority of patients (p &lt; 0.0001) were admitted through the Emergency Department (57.8%), as shown in Table 1. </w:t>
      </w:r>
    </w:p>
    <w:p w14:paraId="6D815353" w14:textId="77777777" w:rsidR="00BA6F46" w:rsidRDefault="00BA6F46" w:rsidP="00BA6F46">
      <w:pPr>
        <w:spacing w:before="240" w:after="240"/>
        <w:contextualSpacing/>
        <w:jc w:val="both"/>
        <w:rPr>
          <w:rFonts w:ascii="Arial" w:hAnsi="Arial" w:cs="Arial"/>
        </w:rPr>
      </w:pPr>
    </w:p>
    <w:p w14:paraId="612BA135" w14:textId="2FB2EDA5" w:rsidR="00B913BE" w:rsidRPr="0009010C" w:rsidRDefault="00622769" w:rsidP="009857B1">
      <w:pPr>
        <w:contextualSpacing/>
        <w:jc w:val="center"/>
        <w:rPr>
          <w:rFonts w:ascii="Arial" w:hAnsi="Arial" w:cs="Arial"/>
          <w:b/>
          <w:bCs/>
          <w:sz w:val="16"/>
          <w:szCs w:val="16"/>
        </w:rPr>
      </w:pPr>
      <w:r w:rsidRPr="00622769">
        <w:rPr>
          <w:rFonts w:ascii="Arial" w:hAnsi="Arial" w:cs="Arial"/>
          <w:b/>
          <w:bCs/>
        </w:rPr>
        <w:t>Table 1. Profile of the Study Participants – Jean Bitar Hospital (HJB), 2023</w:t>
      </w:r>
      <w:r>
        <w:rPr>
          <w:rFonts w:ascii="Arial" w:hAnsi="Arial" w:cs="Arial"/>
          <w:b/>
          <w:bCs/>
        </w:rPr>
        <w:t>.</w:t>
      </w:r>
    </w:p>
    <w:tbl>
      <w:tblPr>
        <w:tblW w:w="7508" w:type="dxa"/>
        <w:jc w:val="center"/>
        <w:tblCellMar>
          <w:left w:w="70" w:type="dxa"/>
          <w:right w:w="70" w:type="dxa"/>
        </w:tblCellMar>
        <w:tblLook w:val="04A0" w:firstRow="1" w:lastRow="0" w:firstColumn="1" w:lastColumn="0" w:noHBand="0" w:noVBand="1"/>
      </w:tblPr>
      <w:tblGrid>
        <w:gridCol w:w="3119"/>
        <w:gridCol w:w="2126"/>
        <w:gridCol w:w="1355"/>
        <w:gridCol w:w="908"/>
      </w:tblGrid>
      <w:tr w:rsidR="00B913BE" w:rsidRPr="009857B1" w14:paraId="40374474" w14:textId="77777777" w:rsidTr="0045025E">
        <w:trPr>
          <w:trHeight w:val="351"/>
          <w:jc w:val="center"/>
        </w:trPr>
        <w:tc>
          <w:tcPr>
            <w:tcW w:w="3119" w:type="dxa"/>
            <w:tcBorders>
              <w:top w:val="single" w:sz="4" w:space="0" w:color="auto"/>
              <w:bottom w:val="single" w:sz="4" w:space="0" w:color="auto"/>
            </w:tcBorders>
            <w:shd w:val="clear" w:color="000000" w:fill="D9D9D9"/>
            <w:noWrap/>
            <w:vAlign w:val="bottom"/>
            <w:hideMark/>
          </w:tcPr>
          <w:p w14:paraId="61D44F6F" w14:textId="076C7585" w:rsidR="00B913BE" w:rsidRPr="00BE66AC" w:rsidRDefault="00BE66AC" w:rsidP="00BE66AC">
            <w:pPr>
              <w:jc w:val="center"/>
              <w:rPr>
                <w:rFonts w:ascii="Times New Roman" w:hAnsi="Times New Roman"/>
                <w:b/>
                <w:bCs/>
              </w:rPr>
            </w:pPr>
            <w:r>
              <w:rPr>
                <w:rStyle w:val="Strong"/>
              </w:rPr>
              <w:t>Variables</w:t>
            </w:r>
          </w:p>
        </w:tc>
        <w:tc>
          <w:tcPr>
            <w:tcW w:w="2126" w:type="dxa"/>
            <w:tcBorders>
              <w:top w:val="single" w:sz="4" w:space="0" w:color="auto"/>
              <w:bottom w:val="single" w:sz="4" w:space="0" w:color="auto"/>
            </w:tcBorders>
            <w:shd w:val="clear" w:color="000000" w:fill="D9D9D9"/>
            <w:noWrap/>
            <w:vAlign w:val="bottom"/>
            <w:hideMark/>
          </w:tcPr>
          <w:p w14:paraId="28F845B8" w14:textId="77777777"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N</w:t>
            </w:r>
          </w:p>
        </w:tc>
        <w:tc>
          <w:tcPr>
            <w:tcW w:w="1355" w:type="dxa"/>
            <w:tcBorders>
              <w:top w:val="single" w:sz="4" w:space="0" w:color="auto"/>
              <w:bottom w:val="single" w:sz="4" w:space="0" w:color="auto"/>
            </w:tcBorders>
            <w:shd w:val="clear" w:color="000000" w:fill="D9D9D9"/>
            <w:noWrap/>
            <w:vAlign w:val="bottom"/>
            <w:hideMark/>
          </w:tcPr>
          <w:p w14:paraId="57976900" w14:textId="77777777"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w:t>
            </w:r>
          </w:p>
        </w:tc>
        <w:tc>
          <w:tcPr>
            <w:tcW w:w="908" w:type="dxa"/>
            <w:tcBorders>
              <w:top w:val="single" w:sz="4" w:space="0" w:color="auto"/>
              <w:bottom w:val="single" w:sz="4" w:space="0" w:color="auto"/>
            </w:tcBorders>
            <w:shd w:val="clear" w:color="000000" w:fill="D9D9D9"/>
            <w:noWrap/>
            <w:vAlign w:val="bottom"/>
            <w:hideMark/>
          </w:tcPr>
          <w:p w14:paraId="66A417F0" w14:textId="44931ABE"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p-</w:t>
            </w:r>
            <w:r w:rsidR="00BE66AC" w:rsidRPr="00BE66AC">
              <w:t xml:space="preserve"> </w:t>
            </w:r>
            <w:r w:rsidR="00BE66AC" w:rsidRPr="00BE66AC">
              <w:rPr>
                <w:rFonts w:ascii="Arial" w:hAnsi="Arial" w:cs="Arial"/>
                <w:b/>
                <w:bCs/>
                <w:color w:val="000000"/>
                <w:lang w:eastAsia="pt-BR"/>
              </w:rPr>
              <w:t>value</w:t>
            </w:r>
          </w:p>
        </w:tc>
      </w:tr>
      <w:tr w:rsidR="00B913BE" w:rsidRPr="009857B1" w14:paraId="3AC00EFD" w14:textId="77777777" w:rsidTr="0045025E">
        <w:trPr>
          <w:trHeight w:val="313"/>
          <w:jc w:val="center"/>
        </w:trPr>
        <w:tc>
          <w:tcPr>
            <w:tcW w:w="3119" w:type="dxa"/>
            <w:tcBorders>
              <w:top w:val="single" w:sz="4" w:space="0" w:color="auto"/>
            </w:tcBorders>
            <w:shd w:val="clear" w:color="000000" w:fill="FFFFFF"/>
            <w:noWrap/>
            <w:vAlign w:val="bottom"/>
            <w:hideMark/>
          </w:tcPr>
          <w:p w14:paraId="2349F00F" w14:textId="7ABDE550" w:rsidR="00B913BE" w:rsidRPr="009857B1" w:rsidRDefault="00BE66AC" w:rsidP="003D375C">
            <w:pPr>
              <w:rPr>
                <w:rFonts w:ascii="Arial" w:hAnsi="Arial" w:cs="Arial"/>
                <w:b/>
                <w:bCs/>
                <w:color w:val="000000"/>
                <w:lang w:eastAsia="pt-BR"/>
              </w:rPr>
            </w:pPr>
            <w:r w:rsidRPr="00BE66AC">
              <w:rPr>
                <w:rFonts w:ascii="Arial" w:hAnsi="Arial" w:cs="Arial"/>
                <w:b/>
                <w:bCs/>
                <w:color w:val="000000"/>
                <w:lang w:eastAsia="pt-BR"/>
              </w:rPr>
              <w:t>Sex</w:t>
            </w:r>
          </w:p>
        </w:tc>
        <w:tc>
          <w:tcPr>
            <w:tcW w:w="2126" w:type="dxa"/>
            <w:tcBorders>
              <w:top w:val="single" w:sz="4" w:space="0" w:color="auto"/>
            </w:tcBorders>
            <w:shd w:val="clear" w:color="000000" w:fill="FFFFFF"/>
            <w:noWrap/>
            <w:vAlign w:val="bottom"/>
            <w:hideMark/>
          </w:tcPr>
          <w:p w14:paraId="668B21B9"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1355" w:type="dxa"/>
            <w:tcBorders>
              <w:top w:val="single" w:sz="4" w:space="0" w:color="auto"/>
            </w:tcBorders>
            <w:shd w:val="clear" w:color="000000" w:fill="FFFFFF"/>
            <w:noWrap/>
            <w:vAlign w:val="bottom"/>
            <w:hideMark/>
          </w:tcPr>
          <w:p w14:paraId="0299B1D8"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908" w:type="dxa"/>
            <w:tcBorders>
              <w:top w:val="single" w:sz="4" w:space="0" w:color="auto"/>
            </w:tcBorders>
            <w:shd w:val="clear" w:color="000000" w:fill="FFFFFF"/>
            <w:noWrap/>
            <w:vAlign w:val="bottom"/>
            <w:hideMark/>
          </w:tcPr>
          <w:p w14:paraId="5D4853B4"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0.8815</w:t>
            </w:r>
          </w:p>
        </w:tc>
      </w:tr>
      <w:tr w:rsidR="00B913BE" w:rsidRPr="009857B1" w14:paraId="03C306E3" w14:textId="77777777" w:rsidTr="0045025E">
        <w:trPr>
          <w:trHeight w:val="313"/>
          <w:jc w:val="center"/>
        </w:trPr>
        <w:tc>
          <w:tcPr>
            <w:tcW w:w="3119" w:type="dxa"/>
            <w:shd w:val="clear" w:color="000000" w:fill="FFFFFF"/>
            <w:noWrap/>
            <w:vAlign w:val="bottom"/>
            <w:hideMark/>
          </w:tcPr>
          <w:p w14:paraId="750BCE48" w14:textId="706088BE" w:rsidR="00B913BE" w:rsidRPr="009857B1" w:rsidRDefault="00BE66AC" w:rsidP="003D375C">
            <w:pPr>
              <w:rPr>
                <w:rFonts w:ascii="Arial" w:hAnsi="Arial" w:cs="Arial"/>
                <w:color w:val="000000"/>
                <w:lang w:eastAsia="pt-BR"/>
              </w:rPr>
            </w:pPr>
            <w:r w:rsidRPr="00BE66AC">
              <w:rPr>
                <w:rFonts w:ascii="Arial" w:hAnsi="Arial" w:cs="Arial"/>
                <w:color w:val="000000"/>
                <w:lang w:eastAsia="pt-BR"/>
              </w:rPr>
              <w:t>Female</w:t>
            </w:r>
          </w:p>
        </w:tc>
        <w:tc>
          <w:tcPr>
            <w:tcW w:w="2126" w:type="dxa"/>
            <w:shd w:val="clear" w:color="000000" w:fill="FFFFFF"/>
            <w:noWrap/>
            <w:vAlign w:val="bottom"/>
            <w:hideMark/>
          </w:tcPr>
          <w:p w14:paraId="60F5A035"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23</w:t>
            </w:r>
          </w:p>
        </w:tc>
        <w:tc>
          <w:tcPr>
            <w:tcW w:w="1355" w:type="dxa"/>
            <w:shd w:val="clear" w:color="000000" w:fill="FFFFFF"/>
            <w:noWrap/>
            <w:vAlign w:val="bottom"/>
            <w:hideMark/>
          </w:tcPr>
          <w:p w14:paraId="4A0FFB6D"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51.1%</w:t>
            </w:r>
          </w:p>
        </w:tc>
        <w:tc>
          <w:tcPr>
            <w:tcW w:w="908" w:type="dxa"/>
            <w:shd w:val="clear" w:color="000000" w:fill="FFFFFF"/>
            <w:noWrap/>
            <w:vAlign w:val="bottom"/>
            <w:hideMark/>
          </w:tcPr>
          <w:p w14:paraId="622D6D32"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146A8981" w14:textId="77777777" w:rsidTr="0045025E">
        <w:trPr>
          <w:trHeight w:val="313"/>
          <w:jc w:val="center"/>
        </w:trPr>
        <w:tc>
          <w:tcPr>
            <w:tcW w:w="3119" w:type="dxa"/>
            <w:shd w:val="clear" w:color="000000" w:fill="FFFFFF"/>
            <w:noWrap/>
            <w:vAlign w:val="bottom"/>
            <w:hideMark/>
          </w:tcPr>
          <w:p w14:paraId="6BEBDF45" w14:textId="0E0A9159" w:rsidR="00B913BE" w:rsidRPr="009857B1" w:rsidRDefault="00F871AB" w:rsidP="003D375C">
            <w:pPr>
              <w:rPr>
                <w:rFonts w:ascii="Arial" w:hAnsi="Arial" w:cs="Arial"/>
                <w:color w:val="000000"/>
                <w:lang w:eastAsia="pt-BR"/>
              </w:rPr>
            </w:pPr>
            <w:r w:rsidRPr="00F871AB">
              <w:rPr>
                <w:rFonts w:ascii="Arial" w:hAnsi="Arial" w:cs="Arial"/>
                <w:color w:val="000000"/>
                <w:lang w:eastAsia="pt-BR"/>
              </w:rPr>
              <w:t>Male</w:t>
            </w:r>
          </w:p>
        </w:tc>
        <w:tc>
          <w:tcPr>
            <w:tcW w:w="2126" w:type="dxa"/>
            <w:shd w:val="clear" w:color="000000" w:fill="FFFFFF"/>
            <w:noWrap/>
            <w:vAlign w:val="bottom"/>
            <w:hideMark/>
          </w:tcPr>
          <w:p w14:paraId="52E14BBB" w14:textId="77777777" w:rsidR="00B913BE" w:rsidRPr="009857B1" w:rsidRDefault="00B913BE" w:rsidP="00604874">
            <w:pPr>
              <w:ind w:right="24"/>
              <w:jc w:val="center"/>
              <w:rPr>
                <w:rFonts w:ascii="Arial" w:hAnsi="Arial" w:cs="Arial"/>
                <w:color w:val="000000"/>
                <w:lang w:eastAsia="pt-BR"/>
              </w:rPr>
            </w:pPr>
            <w:r w:rsidRPr="009857B1">
              <w:rPr>
                <w:rFonts w:ascii="Arial" w:hAnsi="Arial" w:cs="Arial"/>
                <w:color w:val="000000"/>
                <w:lang w:eastAsia="pt-BR"/>
              </w:rPr>
              <w:t>22</w:t>
            </w:r>
          </w:p>
        </w:tc>
        <w:tc>
          <w:tcPr>
            <w:tcW w:w="1355" w:type="dxa"/>
            <w:shd w:val="clear" w:color="000000" w:fill="FFFFFF"/>
            <w:noWrap/>
            <w:vAlign w:val="bottom"/>
            <w:hideMark/>
          </w:tcPr>
          <w:p w14:paraId="282333E7"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48.9%</w:t>
            </w:r>
          </w:p>
        </w:tc>
        <w:tc>
          <w:tcPr>
            <w:tcW w:w="908" w:type="dxa"/>
            <w:shd w:val="clear" w:color="000000" w:fill="FFFFFF"/>
            <w:noWrap/>
            <w:vAlign w:val="bottom"/>
            <w:hideMark/>
          </w:tcPr>
          <w:p w14:paraId="698AFF21"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439549F7" w14:textId="77777777" w:rsidTr="0045025E">
        <w:trPr>
          <w:trHeight w:val="313"/>
          <w:jc w:val="center"/>
        </w:trPr>
        <w:tc>
          <w:tcPr>
            <w:tcW w:w="3119" w:type="dxa"/>
            <w:shd w:val="clear" w:color="000000" w:fill="FFFFFF"/>
            <w:noWrap/>
            <w:vAlign w:val="bottom"/>
            <w:hideMark/>
          </w:tcPr>
          <w:p w14:paraId="5629DEA5" w14:textId="0C69FBE5" w:rsidR="00B913BE" w:rsidRPr="009857B1" w:rsidRDefault="00F871AB" w:rsidP="003D375C">
            <w:pPr>
              <w:rPr>
                <w:rFonts w:ascii="Arial" w:hAnsi="Arial" w:cs="Arial"/>
                <w:b/>
                <w:bCs/>
                <w:color w:val="000000"/>
                <w:lang w:eastAsia="pt-BR"/>
              </w:rPr>
            </w:pPr>
            <w:r w:rsidRPr="00F871AB">
              <w:rPr>
                <w:rFonts w:ascii="Arial" w:hAnsi="Arial" w:cs="Arial"/>
                <w:b/>
                <w:bCs/>
                <w:color w:val="000000"/>
                <w:lang w:eastAsia="pt-BR"/>
              </w:rPr>
              <w:t>Age group*</w:t>
            </w:r>
          </w:p>
        </w:tc>
        <w:tc>
          <w:tcPr>
            <w:tcW w:w="2126" w:type="dxa"/>
            <w:shd w:val="clear" w:color="000000" w:fill="FFFFFF"/>
            <w:noWrap/>
            <w:vAlign w:val="bottom"/>
            <w:hideMark/>
          </w:tcPr>
          <w:p w14:paraId="1F4F5668"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1355" w:type="dxa"/>
            <w:shd w:val="clear" w:color="000000" w:fill="FFFFFF"/>
            <w:noWrap/>
            <w:vAlign w:val="bottom"/>
            <w:hideMark/>
          </w:tcPr>
          <w:p w14:paraId="41B28DED"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908" w:type="dxa"/>
            <w:shd w:val="clear" w:color="000000" w:fill="FFFFFF"/>
            <w:noWrap/>
            <w:vAlign w:val="bottom"/>
            <w:hideMark/>
          </w:tcPr>
          <w:p w14:paraId="79FB9523" w14:textId="77777777"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0.0408*</w:t>
            </w:r>
          </w:p>
        </w:tc>
      </w:tr>
      <w:tr w:rsidR="00B913BE" w:rsidRPr="009857B1" w14:paraId="2E0770B7" w14:textId="77777777" w:rsidTr="0045025E">
        <w:trPr>
          <w:trHeight w:val="313"/>
          <w:jc w:val="center"/>
        </w:trPr>
        <w:tc>
          <w:tcPr>
            <w:tcW w:w="3119" w:type="dxa"/>
            <w:shd w:val="clear" w:color="000000" w:fill="FFFFFF"/>
            <w:noWrap/>
            <w:vAlign w:val="bottom"/>
            <w:hideMark/>
          </w:tcPr>
          <w:p w14:paraId="51435216"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lastRenderedPageBreak/>
              <w:t>65 a 69</w:t>
            </w:r>
          </w:p>
        </w:tc>
        <w:tc>
          <w:tcPr>
            <w:tcW w:w="2126" w:type="dxa"/>
            <w:shd w:val="clear" w:color="000000" w:fill="FFFFFF"/>
            <w:noWrap/>
            <w:vAlign w:val="bottom"/>
            <w:hideMark/>
          </w:tcPr>
          <w:p w14:paraId="1EB0E92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11</w:t>
            </w:r>
          </w:p>
        </w:tc>
        <w:tc>
          <w:tcPr>
            <w:tcW w:w="1355" w:type="dxa"/>
            <w:shd w:val="clear" w:color="000000" w:fill="FFFFFF"/>
            <w:noWrap/>
            <w:vAlign w:val="bottom"/>
            <w:hideMark/>
          </w:tcPr>
          <w:p w14:paraId="03EDBB91"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24.4%</w:t>
            </w:r>
          </w:p>
        </w:tc>
        <w:tc>
          <w:tcPr>
            <w:tcW w:w="908" w:type="dxa"/>
            <w:shd w:val="clear" w:color="000000" w:fill="FFFFFF"/>
            <w:noWrap/>
            <w:vAlign w:val="bottom"/>
            <w:hideMark/>
          </w:tcPr>
          <w:p w14:paraId="52414BD8"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27B4D744" w14:textId="77777777" w:rsidTr="0045025E">
        <w:trPr>
          <w:trHeight w:val="313"/>
          <w:jc w:val="center"/>
        </w:trPr>
        <w:tc>
          <w:tcPr>
            <w:tcW w:w="3119" w:type="dxa"/>
            <w:shd w:val="clear" w:color="000000" w:fill="FFFFFF"/>
            <w:noWrap/>
            <w:vAlign w:val="bottom"/>
            <w:hideMark/>
          </w:tcPr>
          <w:p w14:paraId="6E7BEEC0"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70 a 79</w:t>
            </w:r>
          </w:p>
        </w:tc>
        <w:tc>
          <w:tcPr>
            <w:tcW w:w="2126" w:type="dxa"/>
            <w:shd w:val="clear" w:color="000000" w:fill="FFFFFF"/>
            <w:noWrap/>
            <w:vAlign w:val="bottom"/>
            <w:hideMark/>
          </w:tcPr>
          <w:p w14:paraId="23832686"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23</w:t>
            </w:r>
          </w:p>
        </w:tc>
        <w:tc>
          <w:tcPr>
            <w:tcW w:w="1355" w:type="dxa"/>
            <w:shd w:val="clear" w:color="000000" w:fill="FFFFFF"/>
            <w:noWrap/>
            <w:vAlign w:val="bottom"/>
            <w:hideMark/>
          </w:tcPr>
          <w:p w14:paraId="7969B65F"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51.1%</w:t>
            </w:r>
          </w:p>
        </w:tc>
        <w:tc>
          <w:tcPr>
            <w:tcW w:w="908" w:type="dxa"/>
            <w:shd w:val="clear" w:color="000000" w:fill="FFFFFF"/>
            <w:noWrap/>
            <w:vAlign w:val="bottom"/>
            <w:hideMark/>
          </w:tcPr>
          <w:p w14:paraId="67865697"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75444B9E" w14:textId="77777777" w:rsidTr="0045025E">
        <w:trPr>
          <w:trHeight w:val="313"/>
          <w:jc w:val="center"/>
        </w:trPr>
        <w:tc>
          <w:tcPr>
            <w:tcW w:w="3119" w:type="dxa"/>
            <w:tcBorders>
              <w:bottom w:val="single" w:sz="4" w:space="0" w:color="auto"/>
            </w:tcBorders>
            <w:shd w:val="clear" w:color="000000" w:fill="FFFFFF"/>
            <w:noWrap/>
            <w:vAlign w:val="bottom"/>
            <w:hideMark/>
          </w:tcPr>
          <w:p w14:paraId="5FB32192"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&gt; = 80</w:t>
            </w:r>
          </w:p>
        </w:tc>
        <w:tc>
          <w:tcPr>
            <w:tcW w:w="2126" w:type="dxa"/>
            <w:tcBorders>
              <w:bottom w:val="single" w:sz="4" w:space="0" w:color="auto"/>
            </w:tcBorders>
            <w:shd w:val="clear" w:color="000000" w:fill="FFFFFF"/>
            <w:noWrap/>
            <w:vAlign w:val="bottom"/>
            <w:hideMark/>
          </w:tcPr>
          <w:p w14:paraId="761BBE05"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11</w:t>
            </w:r>
          </w:p>
        </w:tc>
        <w:tc>
          <w:tcPr>
            <w:tcW w:w="1355" w:type="dxa"/>
            <w:tcBorders>
              <w:bottom w:val="single" w:sz="4" w:space="0" w:color="auto"/>
            </w:tcBorders>
            <w:shd w:val="clear" w:color="000000" w:fill="FFFFFF"/>
            <w:noWrap/>
            <w:vAlign w:val="bottom"/>
            <w:hideMark/>
          </w:tcPr>
          <w:p w14:paraId="2155B9CF"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24.4%</w:t>
            </w:r>
          </w:p>
        </w:tc>
        <w:tc>
          <w:tcPr>
            <w:tcW w:w="908" w:type="dxa"/>
            <w:tcBorders>
              <w:bottom w:val="single" w:sz="4" w:space="0" w:color="auto"/>
            </w:tcBorders>
            <w:shd w:val="clear" w:color="000000" w:fill="FFFFFF"/>
            <w:noWrap/>
            <w:vAlign w:val="bottom"/>
            <w:hideMark/>
          </w:tcPr>
          <w:p w14:paraId="70C5F491"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57090D89" w14:textId="77777777" w:rsidTr="0045025E">
        <w:trPr>
          <w:trHeight w:val="313"/>
          <w:jc w:val="center"/>
        </w:trPr>
        <w:tc>
          <w:tcPr>
            <w:tcW w:w="3119" w:type="dxa"/>
            <w:tcBorders>
              <w:top w:val="single" w:sz="4" w:space="0" w:color="auto"/>
              <w:bottom w:val="single" w:sz="4" w:space="0" w:color="auto"/>
            </w:tcBorders>
            <w:shd w:val="clear" w:color="000000" w:fill="FFFFFF"/>
            <w:noWrap/>
            <w:vAlign w:val="bottom"/>
            <w:hideMark/>
          </w:tcPr>
          <w:p w14:paraId="5815F0CC" w14:textId="5949BE52" w:rsidR="00B913BE" w:rsidRPr="009857B1" w:rsidRDefault="003D49B8" w:rsidP="003D375C">
            <w:pPr>
              <w:rPr>
                <w:rFonts w:ascii="Arial" w:hAnsi="Arial" w:cs="Arial"/>
                <w:b/>
                <w:bCs/>
                <w:color w:val="000000"/>
                <w:lang w:eastAsia="pt-BR"/>
              </w:rPr>
            </w:pPr>
            <w:r w:rsidRPr="003D49B8">
              <w:rPr>
                <w:rFonts w:ascii="Arial" w:hAnsi="Arial" w:cs="Arial"/>
                <w:b/>
                <w:bCs/>
                <w:color w:val="000000"/>
                <w:lang w:eastAsia="pt-BR"/>
              </w:rPr>
              <w:t>Minimum / Mean / Maximum</w:t>
            </w:r>
          </w:p>
        </w:tc>
        <w:tc>
          <w:tcPr>
            <w:tcW w:w="4389" w:type="dxa"/>
            <w:gridSpan w:val="3"/>
            <w:tcBorders>
              <w:top w:val="single" w:sz="4" w:space="0" w:color="auto"/>
              <w:bottom w:val="single" w:sz="4" w:space="0" w:color="auto"/>
            </w:tcBorders>
            <w:shd w:val="clear" w:color="000000" w:fill="FFFFFF"/>
            <w:noWrap/>
            <w:vAlign w:val="bottom"/>
            <w:hideMark/>
          </w:tcPr>
          <w:p w14:paraId="5CC39A73" w14:textId="49B70911"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 xml:space="preserve">65 / 76.3 / 107 </w:t>
            </w:r>
            <w:r w:rsidR="003D49B8">
              <w:rPr>
                <w:rFonts w:ascii="Arial" w:hAnsi="Arial" w:cs="Arial"/>
                <w:b/>
                <w:bCs/>
                <w:color w:val="000000"/>
                <w:lang w:eastAsia="pt-BR"/>
              </w:rPr>
              <w:t>years</w:t>
            </w:r>
          </w:p>
        </w:tc>
      </w:tr>
      <w:tr w:rsidR="00B913BE" w:rsidRPr="009857B1" w14:paraId="3542AFE3" w14:textId="77777777" w:rsidTr="0045025E">
        <w:trPr>
          <w:trHeight w:val="313"/>
          <w:jc w:val="center"/>
        </w:trPr>
        <w:tc>
          <w:tcPr>
            <w:tcW w:w="3119" w:type="dxa"/>
            <w:tcBorders>
              <w:top w:val="single" w:sz="4" w:space="0" w:color="auto"/>
            </w:tcBorders>
            <w:shd w:val="clear" w:color="000000" w:fill="FFFFFF"/>
            <w:noWrap/>
            <w:vAlign w:val="bottom"/>
            <w:hideMark/>
          </w:tcPr>
          <w:p w14:paraId="11591FDB" w14:textId="497D4C1E" w:rsidR="00B913BE" w:rsidRPr="009857B1" w:rsidRDefault="003D49B8" w:rsidP="003D375C">
            <w:pPr>
              <w:rPr>
                <w:rFonts w:ascii="Arial" w:hAnsi="Arial" w:cs="Arial"/>
                <w:b/>
                <w:bCs/>
                <w:color w:val="000000"/>
                <w:lang w:eastAsia="pt-BR"/>
              </w:rPr>
            </w:pPr>
            <w:r w:rsidRPr="003D49B8">
              <w:rPr>
                <w:rFonts w:ascii="Arial" w:hAnsi="Arial" w:cs="Arial"/>
                <w:b/>
                <w:bCs/>
                <w:color w:val="000000"/>
                <w:lang w:eastAsia="pt-BR"/>
              </w:rPr>
              <w:t>Length of hospital stay</w:t>
            </w:r>
          </w:p>
        </w:tc>
        <w:tc>
          <w:tcPr>
            <w:tcW w:w="2126" w:type="dxa"/>
            <w:tcBorders>
              <w:top w:val="single" w:sz="4" w:space="0" w:color="auto"/>
            </w:tcBorders>
            <w:shd w:val="clear" w:color="000000" w:fill="FFFFFF"/>
            <w:noWrap/>
            <w:vAlign w:val="bottom"/>
            <w:hideMark/>
          </w:tcPr>
          <w:p w14:paraId="2327DB4B"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1355" w:type="dxa"/>
            <w:tcBorders>
              <w:top w:val="single" w:sz="4" w:space="0" w:color="auto"/>
            </w:tcBorders>
            <w:shd w:val="clear" w:color="000000" w:fill="FFFFFF"/>
            <w:noWrap/>
            <w:vAlign w:val="bottom"/>
            <w:hideMark/>
          </w:tcPr>
          <w:p w14:paraId="4B1491B4"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908" w:type="dxa"/>
            <w:tcBorders>
              <w:top w:val="single" w:sz="4" w:space="0" w:color="auto"/>
            </w:tcBorders>
            <w:shd w:val="clear" w:color="000000" w:fill="FFFFFF"/>
            <w:noWrap/>
            <w:vAlign w:val="bottom"/>
            <w:hideMark/>
          </w:tcPr>
          <w:p w14:paraId="6F268ED7"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0.0730</w:t>
            </w:r>
          </w:p>
        </w:tc>
      </w:tr>
      <w:tr w:rsidR="00B913BE" w:rsidRPr="009857B1" w14:paraId="38DBB37F" w14:textId="77777777" w:rsidTr="0045025E">
        <w:trPr>
          <w:trHeight w:val="313"/>
          <w:jc w:val="center"/>
        </w:trPr>
        <w:tc>
          <w:tcPr>
            <w:tcW w:w="3119" w:type="dxa"/>
            <w:shd w:val="clear" w:color="000000" w:fill="FFFFFF"/>
            <w:noWrap/>
            <w:vAlign w:val="bottom"/>
            <w:hideMark/>
          </w:tcPr>
          <w:p w14:paraId="5A6272F3"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&lt; 10</w:t>
            </w:r>
          </w:p>
        </w:tc>
        <w:tc>
          <w:tcPr>
            <w:tcW w:w="2126" w:type="dxa"/>
            <w:shd w:val="clear" w:color="000000" w:fill="FFFFFF"/>
            <w:noWrap/>
            <w:vAlign w:val="bottom"/>
            <w:hideMark/>
          </w:tcPr>
          <w:p w14:paraId="0DE0CC2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11</w:t>
            </w:r>
          </w:p>
        </w:tc>
        <w:tc>
          <w:tcPr>
            <w:tcW w:w="1355" w:type="dxa"/>
            <w:shd w:val="clear" w:color="000000" w:fill="FFFFFF"/>
            <w:noWrap/>
            <w:vAlign w:val="bottom"/>
            <w:hideMark/>
          </w:tcPr>
          <w:p w14:paraId="040532B7"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24.4%</w:t>
            </w:r>
          </w:p>
        </w:tc>
        <w:tc>
          <w:tcPr>
            <w:tcW w:w="908" w:type="dxa"/>
            <w:shd w:val="clear" w:color="000000" w:fill="FFFFFF"/>
            <w:noWrap/>
            <w:vAlign w:val="bottom"/>
            <w:hideMark/>
          </w:tcPr>
          <w:p w14:paraId="56774695"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0F338A39" w14:textId="77777777" w:rsidTr="0045025E">
        <w:trPr>
          <w:trHeight w:val="313"/>
          <w:jc w:val="center"/>
        </w:trPr>
        <w:tc>
          <w:tcPr>
            <w:tcW w:w="3119" w:type="dxa"/>
            <w:shd w:val="clear" w:color="000000" w:fill="FFFFFF"/>
            <w:noWrap/>
            <w:vAlign w:val="bottom"/>
            <w:hideMark/>
          </w:tcPr>
          <w:p w14:paraId="5F81E228"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10 a 19</w:t>
            </w:r>
          </w:p>
        </w:tc>
        <w:tc>
          <w:tcPr>
            <w:tcW w:w="2126" w:type="dxa"/>
            <w:shd w:val="clear" w:color="000000" w:fill="FFFFFF"/>
            <w:noWrap/>
            <w:vAlign w:val="bottom"/>
            <w:hideMark/>
          </w:tcPr>
          <w:p w14:paraId="14CDFC44"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16</w:t>
            </w:r>
          </w:p>
        </w:tc>
        <w:tc>
          <w:tcPr>
            <w:tcW w:w="1355" w:type="dxa"/>
            <w:shd w:val="clear" w:color="000000" w:fill="FFFFFF"/>
            <w:noWrap/>
            <w:vAlign w:val="bottom"/>
            <w:hideMark/>
          </w:tcPr>
          <w:p w14:paraId="3D53671D"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35.6%</w:t>
            </w:r>
          </w:p>
        </w:tc>
        <w:tc>
          <w:tcPr>
            <w:tcW w:w="908" w:type="dxa"/>
            <w:shd w:val="clear" w:color="000000" w:fill="FFFFFF"/>
            <w:noWrap/>
            <w:vAlign w:val="bottom"/>
            <w:hideMark/>
          </w:tcPr>
          <w:p w14:paraId="43A79608"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1BFDD77C" w14:textId="77777777" w:rsidTr="0045025E">
        <w:trPr>
          <w:trHeight w:val="313"/>
          <w:jc w:val="center"/>
        </w:trPr>
        <w:tc>
          <w:tcPr>
            <w:tcW w:w="3119" w:type="dxa"/>
            <w:shd w:val="clear" w:color="000000" w:fill="FFFFFF"/>
            <w:noWrap/>
            <w:vAlign w:val="bottom"/>
            <w:hideMark/>
          </w:tcPr>
          <w:p w14:paraId="474A73F7"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20 a 29</w:t>
            </w:r>
          </w:p>
        </w:tc>
        <w:tc>
          <w:tcPr>
            <w:tcW w:w="2126" w:type="dxa"/>
            <w:shd w:val="clear" w:color="000000" w:fill="FFFFFF"/>
            <w:noWrap/>
            <w:vAlign w:val="bottom"/>
            <w:hideMark/>
          </w:tcPr>
          <w:p w14:paraId="0E4F9A9B"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7</w:t>
            </w:r>
          </w:p>
        </w:tc>
        <w:tc>
          <w:tcPr>
            <w:tcW w:w="1355" w:type="dxa"/>
            <w:shd w:val="clear" w:color="000000" w:fill="FFFFFF"/>
            <w:noWrap/>
            <w:vAlign w:val="bottom"/>
            <w:hideMark/>
          </w:tcPr>
          <w:p w14:paraId="1EEAF7E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15.6%</w:t>
            </w:r>
          </w:p>
        </w:tc>
        <w:tc>
          <w:tcPr>
            <w:tcW w:w="908" w:type="dxa"/>
            <w:shd w:val="clear" w:color="000000" w:fill="FFFFFF"/>
            <w:noWrap/>
            <w:vAlign w:val="bottom"/>
            <w:hideMark/>
          </w:tcPr>
          <w:p w14:paraId="37358A0D"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4BC17B06" w14:textId="77777777" w:rsidTr="0045025E">
        <w:trPr>
          <w:trHeight w:val="313"/>
          <w:jc w:val="center"/>
        </w:trPr>
        <w:tc>
          <w:tcPr>
            <w:tcW w:w="3119" w:type="dxa"/>
            <w:shd w:val="clear" w:color="000000" w:fill="FFFFFF"/>
            <w:noWrap/>
            <w:vAlign w:val="bottom"/>
            <w:hideMark/>
          </w:tcPr>
          <w:p w14:paraId="744083D0"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30 a 39</w:t>
            </w:r>
          </w:p>
        </w:tc>
        <w:tc>
          <w:tcPr>
            <w:tcW w:w="2126" w:type="dxa"/>
            <w:shd w:val="clear" w:color="000000" w:fill="FFFFFF"/>
            <w:noWrap/>
            <w:vAlign w:val="bottom"/>
            <w:hideMark/>
          </w:tcPr>
          <w:p w14:paraId="6A0DC59C"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6</w:t>
            </w:r>
          </w:p>
        </w:tc>
        <w:tc>
          <w:tcPr>
            <w:tcW w:w="1355" w:type="dxa"/>
            <w:shd w:val="clear" w:color="000000" w:fill="FFFFFF"/>
            <w:noWrap/>
            <w:vAlign w:val="bottom"/>
            <w:hideMark/>
          </w:tcPr>
          <w:p w14:paraId="2D62E609"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13.3%</w:t>
            </w:r>
          </w:p>
        </w:tc>
        <w:tc>
          <w:tcPr>
            <w:tcW w:w="908" w:type="dxa"/>
            <w:shd w:val="clear" w:color="000000" w:fill="FFFFFF"/>
            <w:noWrap/>
            <w:vAlign w:val="bottom"/>
            <w:hideMark/>
          </w:tcPr>
          <w:p w14:paraId="461FC47B"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18056AEF" w14:textId="77777777" w:rsidTr="0045025E">
        <w:trPr>
          <w:trHeight w:val="313"/>
          <w:jc w:val="center"/>
        </w:trPr>
        <w:tc>
          <w:tcPr>
            <w:tcW w:w="3119" w:type="dxa"/>
            <w:tcBorders>
              <w:bottom w:val="single" w:sz="4" w:space="0" w:color="auto"/>
            </w:tcBorders>
            <w:shd w:val="clear" w:color="000000" w:fill="FFFFFF"/>
            <w:noWrap/>
            <w:vAlign w:val="bottom"/>
            <w:hideMark/>
          </w:tcPr>
          <w:p w14:paraId="589974F0"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&gt; = 40</w:t>
            </w:r>
          </w:p>
        </w:tc>
        <w:tc>
          <w:tcPr>
            <w:tcW w:w="2126" w:type="dxa"/>
            <w:tcBorders>
              <w:bottom w:val="single" w:sz="4" w:space="0" w:color="auto"/>
            </w:tcBorders>
            <w:shd w:val="clear" w:color="000000" w:fill="FFFFFF"/>
            <w:noWrap/>
            <w:vAlign w:val="bottom"/>
            <w:hideMark/>
          </w:tcPr>
          <w:p w14:paraId="1227FA46"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5</w:t>
            </w:r>
          </w:p>
        </w:tc>
        <w:tc>
          <w:tcPr>
            <w:tcW w:w="1355" w:type="dxa"/>
            <w:tcBorders>
              <w:bottom w:val="single" w:sz="4" w:space="0" w:color="auto"/>
            </w:tcBorders>
            <w:shd w:val="clear" w:color="000000" w:fill="FFFFFF"/>
            <w:noWrap/>
            <w:vAlign w:val="bottom"/>
            <w:hideMark/>
          </w:tcPr>
          <w:p w14:paraId="22B9162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11.1%</w:t>
            </w:r>
          </w:p>
        </w:tc>
        <w:tc>
          <w:tcPr>
            <w:tcW w:w="908" w:type="dxa"/>
            <w:tcBorders>
              <w:bottom w:val="single" w:sz="4" w:space="0" w:color="auto"/>
            </w:tcBorders>
            <w:shd w:val="clear" w:color="000000" w:fill="FFFFFF"/>
            <w:noWrap/>
            <w:vAlign w:val="bottom"/>
            <w:hideMark/>
          </w:tcPr>
          <w:p w14:paraId="31940EB8"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711F30BD" w14:textId="77777777" w:rsidTr="0045025E">
        <w:trPr>
          <w:trHeight w:val="313"/>
          <w:jc w:val="center"/>
        </w:trPr>
        <w:tc>
          <w:tcPr>
            <w:tcW w:w="3119" w:type="dxa"/>
            <w:tcBorders>
              <w:top w:val="single" w:sz="4" w:space="0" w:color="auto"/>
              <w:bottom w:val="single" w:sz="4" w:space="0" w:color="auto"/>
            </w:tcBorders>
            <w:shd w:val="clear" w:color="000000" w:fill="FFFFFF"/>
            <w:noWrap/>
            <w:vAlign w:val="bottom"/>
            <w:hideMark/>
          </w:tcPr>
          <w:p w14:paraId="22E40E3F" w14:textId="267CF031" w:rsidR="00B913BE" w:rsidRPr="009857B1" w:rsidRDefault="003D49B8" w:rsidP="003D375C">
            <w:pPr>
              <w:rPr>
                <w:rFonts w:ascii="Arial" w:hAnsi="Arial" w:cs="Arial"/>
                <w:b/>
                <w:bCs/>
                <w:color w:val="000000"/>
                <w:lang w:eastAsia="pt-BR"/>
              </w:rPr>
            </w:pPr>
            <w:r w:rsidRPr="003D49B8">
              <w:rPr>
                <w:rFonts w:ascii="Arial" w:hAnsi="Arial" w:cs="Arial"/>
                <w:b/>
                <w:bCs/>
                <w:color w:val="000000"/>
                <w:lang w:eastAsia="pt-BR"/>
              </w:rPr>
              <w:t>Minimum / Mean / Maximum</w:t>
            </w:r>
          </w:p>
        </w:tc>
        <w:tc>
          <w:tcPr>
            <w:tcW w:w="4389" w:type="dxa"/>
            <w:gridSpan w:val="3"/>
            <w:tcBorders>
              <w:top w:val="single" w:sz="4" w:space="0" w:color="auto"/>
              <w:bottom w:val="single" w:sz="4" w:space="0" w:color="auto"/>
            </w:tcBorders>
            <w:shd w:val="clear" w:color="000000" w:fill="FFFFFF"/>
            <w:noWrap/>
            <w:vAlign w:val="bottom"/>
            <w:hideMark/>
          </w:tcPr>
          <w:p w14:paraId="22033BF0" w14:textId="777A6EE0"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 xml:space="preserve">01 / 20.8 / 55 </w:t>
            </w:r>
            <w:r w:rsidR="003D49B8">
              <w:rPr>
                <w:rFonts w:ascii="Arial" w:hAnsi="Arial" w:cs="Arial"/>
                <w:b/>
                <w:bCs/>
                <w:color w:val="000000"/>
                <w:lang w:eastAsia="pt-BR"/>
              </w:rPr>
              <w:t>days</w:t>
            </w:r>
          </w:p>
        </w:tc>
      </w:tr>
      <w:tr w:rsidR="00B913BE" w:rsidRPr="009857B1" w14:paraId="2B2CAF0E" w14:textId="77777777" w:rsidTr="0045025E">
        <w:trPr>
          <w:trHeight w:val="313"/>
          <w:jc w:val="center"/>
        </w:trPr>
        <w:tc>
          <w:tcPr>
            <w:tcW w:w="3119" w:type="dxa"/>
            <w:tcBorders>
              <w:top w:val="single" w:sz="4" w:space="0" w:color="auto"/>
            </w:tcBorders>
            <w:shd w:val="clear" w:color="000000" w:fill="FFFFFF"/>
            <w:noWrap/>
            <w:vAlign w:val="bottom"/>
            <w:hideMark/>
          </w:tcPr>
          <w:p w14:paraId="549DB899" w14:textId="7089BF19" w:rsidR="00B913BE" w:rsidRPr="009857B1" w:rsidRDefault="005F44C2" w:rsidP="003D375C">
            <w:pPr>
              <w:rPr>
                <w:rFonts w:ascii="Arial" w:hAnsi="Arial" w:cs="Arial"/>
                <w:b/>
                <w:bCs/>
                <w:color w:val="000000"/>
                <w:lang w:eastAsia="pt-BR"/>
              </w:rPr>
            </w:pPr>
            <w:r w:rsidRPr="005F44C2">
              <w:rPr>
                <w:rFonts w:ascii="Arial" w:hAnsi="Arial" w:cs="Arial"/>
                <w:b/>
                <w:bCs/>
                <w:color w:val="000000"/>
                <w:lang w:eastAsia="pt-BR"/>
              </w:rPr>
              <w:t>Admission source*</w:t>
            </w:r>
          </w:p>
        </w:tc>
        <w:tc>
          <w:tcPr>
            <w:tcW w:w="2126" w:type="dxa"/>
            <w:tcBorders>
              <w:top w:val="single" w:sz="4" w:space="0" w:color="auto"/>
            </w:tcBorders>
            <w:shd w:val="clear" w:color="000000" w:fill="FFFFFF"/>
            <w:noWrap/>
            <w:vAlign w:val="bottom"/>
            <w:hideMark/>
          </w:tcPr>
          <w:p w14:paraId="41BF9BD3"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1355" w:type="dxa"/>
            <w:tcBorders>
              <w:top w:val="single" w:sz="4" w:space="0" w:color="auto"/>
            </w:tcBorders>
            <w:shd w:val="clear" w:color="000000" w:fill="FFFFFF"/>
            <w:noWrap/>
            <w:vAlign w:val="bottom"/>
            <w:hideMark/>
          </w:tcPr>
          <w:p w14:paraId="6EC9CA1C"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908" w:type="dxa"/>
            <w:tcBorders>
              <w:top w:val="single" w:sz="4" w:space="0" w:color="auto"/>
            </w:tcBorders>
            <w:shd w:val="clear" w:color="000000" w:fill="FFFFFF"/>
            <w:noWrap/>
            <w:vAlign w:val="bottom"/>
            <w:hideMark/>
          </w:tcPr>
          <w:p w14:paraId="4E5B99EB" w14:textId="77777777"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&lt; 0.0001**</w:t>
            </w:r>
          </w:p>
        </w:tc>
      </w:tr>
      <w:tr w:rsidR="00B913BE" w:rsidRPr="009857B1" w14:paraId="4B2605F3" w14:textId="77777777" w:rsidTr="0045025E">
        <w:trPr>
          <w:trHeight w:val="313"/>
          <w:jc w:val="center"/>
        </w:trPr>
        <w:tc>
          <w:tcPr>
            <w:tcW w:w="3119" w:type="dxa"/>
            <w:shd w:val="clear" w:color="000000" w:fill="FFFFFF"/>
            <w:noWrap/>
            <w:vAlign w:val="bottom"/>
            <w:hideMark/>
          </w:tcPr>
          <w:p w14:paraId="6C446807" w14:textId="77777777" w:rsidR="00B913BE" w:rsidRPr="009857B1" w:rsidRDefault="00B913BE" w:rsidP="003D375C">
            <w:pPr>
              <w:rPr>
                <w:rFonts w:ascii="Arial" w:hAnsi="Arial" w:cs="Arial"/>
                <w:color w:val="000000"/>
                <w:lang w:eastAsia="pt-BR"/>
              </w:rPr>
            </w:pPr>
          </w:p>
          <w:p w14:paraId="1757BA60" w14:textId="474E6840" w:rsidR="00B913BE" w:rsidRPr="009857B1" w:rsidRDefault="005F44C2" w:rsidP="003D375C">
            <w:pPr>
              <w:rPr>
                <w:rFonts w:ascii="Arial" w:hAnsi="Arial" w:cs="Arial"/>
                <w:color w:val="000000"/>
                <w:lang w:eastAsia="pt-BR"/>
              </w:rPr>
            </w:pPr>
            <w:r w:rsidRPr="005F44C2">
              <w:rPr>
                <w:rFonts w:ascii="Arial" w:hAnsi="Arial" w:cs="Arial"/>
                <w:color w:val="000000"/>
                <w:lang w:eastAsia="pt-BR"/>
              </w:rPr>
              <w:t>Emergency Department</w:t>
            </w:r>
          </w:p>
        </w:tc>
        <w:tc>
          <w:tcPr>
            <w:tcW w:w="2126" w:type="dxa"/>
            <w:shd w:val="clear" w:color="000000" w:fill="FFFFFF"/>
            <w:noWrap/>
            <w:vAlign w:val="bottom"/>
            <w:hideMark/>
          </w:tcPr>
          <w:p w14:paraId="1B95A2A9"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37</w:t>
            </w:r>
          </w:p>
        </w:tc>
        <w:tc>
          <w:tcPr>
            <w:tcW w:w="1355" w:type="dxa"/>
            <w:shd w:val="clear" w:color="000000" w:fill="FFFFFF"/>
            <w:noWrap/>
            <w:vAlign w:val="bottom"/>
            <w:hideMark/>
          </w:tcPr>
          <w:p w14:paraId="568DE032"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82.2%</w:t>
            </w:r>
          </w:p>
        </w:tc>
        <w:tc>
          <w:tcPr>
            <w:tcW w:w="908" w:type="dxa"/>
            <w:shd w:val="clear" w:color="000000" w:fill="FFFFFF"/>
            <w:noWrap/>
            <w:vAlign w:val="bottom"/>
            <w:hideMark/>
          </w:tcPr>
          <w:p w14:paraId="1BDEBDD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3EEB5C64" w14:textId="77777777" w:rsidTr="0045025E">
        <w:trPr>
          <w:trHeight w:val="313"/>
          <w:jc w:val="center"/>
        </w:trPr>
        <w:tc>
          <w:tcPr>
            <w:tcW w:w="3119" w:type="dxa"/>
            <w:shd w:val="clear" w:color="000000" w:fill="FFFFFF"/>
            <w:noWrap/>
            <w:vAlign w:val="bottom"/>
            <w:hideMark/>
          </w:tcPr>
          <w:p w14:paraId="0CBF0622" w14:textId="77777777" w:rsidR="00B913BE" w:rsidRPr="009857B1" w:rsidRDefault="00B913BE" w:rsidP="003D375C">
            <w:pPr>
              <w:rPr>
                <w:rFonts w:ascii="Arial" w:hAnsi="Arial" w:cs="Arial"/>
                <w:color w:val="000000"/>
                <w:lang w:eastAsia="pt-BR"/>
              </w:rPr>
            </w:pPr>
          </w:p>
        </w:tc>
        <w:tc>
          <w:tcPr>
            <w:tcW w:w="2126" w:type="dxa"/>
            <w:shd w:val="clear" w:color="000000" w:fill="FFFFFF"/>
            <w:noWrap/>
            <w:vAlign w:val="bottom"/>
            <w:hideMark/>
          </w:tcPr>
          <w:p w14:paraId="175B0B70" w14:textId="77777777" w:rsidR="00B913BE" w:rsidRPr="009857B1" w:rsidRDefault="00B913BE" w:rsidP="001B71DC">
            <w:pPr>
              <w:jc w:val="center"/>
              <w:rPr>
                <w:rFonts w:ascii="Arial" w:hAnsi="Arial" w:cs="Arial"/>
                <w:color w:val="000000"/>
                <w:lang w:eastAsia="pt-BR"/>
              </w:rPr>
            </w:pPr>
          </w:p>
        </w:tc>
        <w:tc>
          <w:tcPr>
            <w:tcW w:w="1355" w:type="dxa"/>
            <w:shd w:val="clear" w:color="000000" w:fill="FFFFFF"/>
            <w:noWrap/>
            <w:vAlign w:val="bottom"/>
            <w:hideMark/>
          </w:tcPr>
          <w:p w14:paraId="1AD28D4C" w14:textId="77777777" w:rsidR="00B913BE" w:rsidRPr="009857B1" w:rsidRDefault="00B913BE" w:rsidP="001B71DC">
            <w:pPr>
              <w:jc w:val="center"/>
              <w:rPr>
                <w:rFonts w:ascii="Arial" w:hAnsi="Arial" w:cs="Arial"/>
                <w:color w:val="000000"/>
                <w:lang w:eastAsia="pt-BR"/>
              </w:rPr>
            </w:pPr>
          </w:p>
        </w:tc>
        <w:tc>
          <w:tcPr>
            <w:tcW w:w="908" w:type="dxa"/>
            <w:shd w:val="clear" w:color="000000" w:fill="FFFFFF"/>
            <w:noWrap/>
            <w:vAlign w:val="bottom"/>
            <w:hideMark/>
          </w:tcPr>
          <w:p w14:paraId="1A836CA3"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4507B53E" w14:textId="77777777" w:rsidTr="0045025E">
        <w:trPr>
          <w:trHeight w:val="351"/>
          <w:jc w:val="center"/>
        </w:trPr>
        <w:tc>
          <w:tcPr>
            <w:tcW w:w="3119" w:type="dxa"/>
            <w:shd w:val="clear" w:color="000000" w:fill="FFFFFF"/>
            <w:noWrap/>
            <w:vAlign w:val="bottom"/>
            <w:hideMark/>
          </w:tcPr>
          <w:p w14:paraId="6644447D" w14:textId="55F2306D" w:rsidR="00B913BE" w:rsidRPr="009857B1" w:rsidRDefault="005F44C2" w:rsidP="003D375C">
            <w:pPr>
              <w:rPr>
                <w:rFonts w:ascii="Arial" w:hAnsi="Arial" w:cs="Arial"/>
                <w:color w:val="000000"/>
                <w:lang w:eastAsia="pt-BR"/>
              </w:rPr>
            </w:pPr>
            <w:r w:rsidRPr="005F44C2">
              <w:rPr>
                <w:rFonts w:ascii="Arial" w:hAnsi="Arial" w:cs="Arial"/>
                <w:color w:val="000000"/>
                <w:lang w:eastAsia="pt-BR"/>
              </w:rPr>
              <w:t>Outpatient Clinic / Consultation</w:t>
            </w:r>
          </w:p>
        </w:tc>
        <w:tc>
          <w:tcPr>
            <w:tcW w:w="2126" w:type="dxa"/>
            <w:shd w:val="clear" w:color="000000" w:fill="FFFFFF"/>
            <w:noWrap/>
            <w:vAlign w:val="bottom"/>
            <w:hideMark/>
          </w:tcPr>
          <w:p w14:paraId="64045948"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5</w:t>
            </w:r>
          </w:p>
        </w:tc>
        <w:tc>
          <w:tcPr>
            <w:tcW w:w="1355" w:type="dxa"/>
            <w:shd w:val="clear" w:color="000000" w:fill="FFFFFF"/>
            <w:noWrap/>
            <w:vAlign w:val="bottom"/>
            <w:hideMark/>
          </w:tcPr>
          <w:p w14:paraId="15E21240"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11.1%</w:t>
            </w:r>
          </w:p>
        </w:tc>
        <w:tc>
          <w:tcPr>
            <w:tcW w:w="908" w:type="dxa"/>
            <w:shd w:val="clear" w:color="000000" w:fill="FFFFFF"/>
            <w:noWrap/>
            <w:vAlign w:val="bottom"/>
            <w:hideMark/>
          </w:tcPr>
          <w:p w14:paraId="1CE2D4B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0772EE6A" w14:textId="77777777" w:rsidTr="0045025E">
        <w:trPr>
          <w:trHeight w:val="351"/>
          <w:jc w:val="center"/>
        </w:trPr>
        <w:tc>
          <w:tcPr>
            <w:tcW w:w="3119" w:type="dxa"/>
            <w:tcBorders>
              <w:bottom w:val="single" w:sz="4" w:space="0" w:color="auto"/>
            </w:tcBorders>
            <w:shd w:val="clear" w:color="000000" w:fill="FFFFFF"/>
            <w:noWrap/>
            <w:vAlign w:val="bottom"/>
            <w:hideMark/>
          </w:tcPr>
          <w:p w14:paraId="53C0E4E9" w14:textId="59007A2A" w:rsidR="00B913BE" w:rsidRPr="009857B1" w:rsidRDefault="005F44C2" w:rsidP="003D375C">
            <w:pPr>
              <w:rPr>
                <w:rFonts w:ascii="Arial" w:hAnsi="Arial" w:cs="Arial"/>
                <w:color w:val="000000"/>
                <w:lang w:eastAsia="pt-BR"/>
              </w:rPr>
            </w:pPr>
            <w:r w:rsidRPr="005F44C2">
              <w:rPr>
                <w:rFonts w:ascii="Arial" w:hAnsi="Arial" w:cs="Arial"/>
                <w:color w:val="000000"/>
                <w:lang w:eastAsia="pt-BR"/>
              </w:rPr>
              <w:t>Intensive Care Unit (ICU)</w:t>
            </w:r>
          </w:p>
        </w:tc>
        <w:tc>
          <w:tcPr>
            <w:tcW w:w="2126" w:type="dxa"/>
            <w:tcBorders>
              <w:bottom w:val="single" w:sz="4" w:space="0" w:color="auto"/>
            </w:tcBorders>
            <w:shd w:val="clear" w:color="000000" w:fill="FFFFFF"/>
            <w:noWrap/>
            <w:vAlign w:val="bottom"/>
            <w:hideMark/>
          </w:tcPr>
          <w:p w14:paraId="2A1AB33C"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3</w:t>
            </w:r>
          </w:p>
        </w:tc>
        <w:tc>
          <w:tcPr>
            <w:tcW w:w="1355" w:type="dxa"/>
            <w:tcBorders>
              <w:bottom w:val="single" w:sz="4" w:space="0" w:color="auto"/>
            </w:tcBorders>
            <w:shd w:val="clear" w:color="000000" w:fill="FFFFFF"/>
            <w:noWrap/>
            <w:vAlign w:val="bottom"/>
            <w:hideMark/>
          </w:tcPr>
          <w:p w14:paraId="5D5AD08C"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6.7%</w:t>
            </w:r>
          </w:p>
        </w:tc>
        <w:tc>
          <w:tcPr>
            <w:tcW w:w="908" w:type="dxa"/>
            <w:tcBorders>
              <w:bottom w:val="single" w:sz="4" w:space="0" w:color="auto"/>
            </w:tcBorders>
            <w:shd w:val="clear" w:color="000000" w:fill="FFFFFF"/>
            <w:noWrap/>
            <w:vAlign w:val="bottom"/>
            <w:hideMark/>
          </w:tcPr>
          <w:p w14:paraId="7FFF7D32"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bl>
    <w:p w14:paraId="29EC61CC" w14:textId="26C59A1A" w:rsidR="00626A0B" w:rsidRPr="00626A0B" w:rsidRDefault="00B913BE" w:rsidP="001B71DC">
      <w:pPr>
        <w:rPr>
          <w:rFonts w:ascii="Arial" w:hAnsi="Arial" w:cs="Arial"/>
          <w:sz w:val="16"/>
          <w:szCs w:val="16"/>
        </w:rPr>
      </w:pPr>
      <w:r w:rsidRPr="002048A2">
        <w:rPr>
          <w:rFonts w:ascii="Arial" w:hAnsi="Arial" w:cs="Arial"/>
          <w:sz w:val="16"/>
          <w:szCs w:val="16"/>
        </w:rPr>
        <w:t xml:space="preserve">      </w:t>
      </w:r>
      <w:r w:rsidR="00626A0B" w:rsidRPr="00626A0B">
        <w:rPr>
          <w:rFonts w:ascii="Arial" w:hAnsi="Arial" w:cs="Arial"/>
          <w:sz w:val="16"/>
          <w:szCs w:val="16"/>
        </w:rPr>
        <w:t xml:space="preserve">Source: Applied protocol; *Chi-square Goodness-of-Fit Test; </w:t>
      </w:r>
      <w:r w:rsidR="00626A0B">
        <w:rPr>
          <w:rFonts w:ascii="Arial" w:hAnsi="Arial" w:cs="Arial"/>
          <w:sz w:val="16"/>
          <w:szCs w:val="16"/>
        </w:rPr>
        <w:t>**</w:t>
      </w:r>
      <w:r w:rsidR="00626A0B" w:rsidRPr="00626A0B">
        <w:rPr>
          <w:rFonts w:ascii="Arial" w:hAnsi="Arial" w:cs="Arial"/>
          <w:sz w:val="16"/>
          <w:szCs w:val="16"/>
        </w:rPr>
        <w:t>G Test of Goodness-of-Fit.</w:t>
      </w:r>
    </w:p>
    <w:p w14:paraId="1FED8F0B" w14:textId="77777777" w:rsidR="001B71DC" w:rsidRDefault="001B71DC" w:rsidP="001B71DC">
      <w:pPr>
        <w:jc w:val="both"/>
        <w:rPr>
          <w:rFonts w:ascii="Arial" w:hAnsi="Arial" w:cs="Arial"/>
        </w:rPr>
      </w:pPr>
    </w:p>
    <w:p w14:paraId="70E46FB6" w14:textId="77777777" w:rsidR="004F477E" w:rsidRDefault="004F477E" w:rsidP="004F477E">
      <w:pPr>
        <w:contextualSpacing/>
        <w:jc w:val="both"/>
        <w:rPr>
          <w:rFonts w:ascii="Arial" w:hAnsi="Arial" w:cs="Arial"/>
        </w:rPr>
      </w:pPr>
      <w:r w:rsidRPr="004F477E">
        <w:rPr>
          <w:rFonts w:ascii="Arial" w:hAnsi="Arial" w:cs="Arial"/>
        </w:rPr>
        <w:t>At the time of hospital admission, patients presented a variety of complaints. The most frequent were dyspnea (22.2%), hematemesis and weakness (both 17.8%), followed by abdominal pain (15.6%) and diarrhea (11.1%), as shown in Table 2.</w:t>
      </w:r>
    </w:p>
    <w:p w14:paraId="52F4C4B4" w14:textId="24732879" w:rsidR="001B71DC" w:rsidRDefault="00B913BE" w:rsidP="00B913BE">
      <w:pPr>
        <w:contextualSpacing/>
        <w:rPr>
          <w:rFonts w:ascii="Times New Roman" w:hAnsi="Times New Roman"/>
          <w:b/>
          <w:bCs/>
        </w:rPr>
      </w:pPr>
      <w:r>
        <w:rPr>
          <w:rFonts w:ascii="Times New Roman" w:hAnsi="Times New Roman"/>
          <w:b/>
          <w:bCs/>
        </w:rPr>
        <w:t xml:space="preserve">                   </w:t>
      </w:r>
    </w:p>
    <w:p w14:paraId="7EB44AF2" w14:textId="77777777" w:rsidR="00844444" w:rsidRDefault="00844444" w:rsidP="00B913BE">
      <w:pPr>
        <w:contextualSpacing/>
        <w:rPr>
          <w:rFonts w:ascii="Times New Roman" w:hAnsi="Times New Roman"/>
          <w:b/>
          <w:bCs/>
        </w:rPr>
      </w:pPr>
    </w:p>
    <w:p w14:paraId="6F545E66" w14:textId="77777777" w:rsidR="00844444" w:rsidRDefault="00844444" w:rsidP="00B913BE">
      <w:pPr>
        <w:contextualSpacing/>
        <w:rPr>
          <w:rFonts w:ascii="Times New Roman" w:hAnsi="Times New Roman"/>
          <w:b/>
          <w:bCs/>
        </w:rPr>
      </w:pPr>
    </w:p>
    <w:p w14:paraId="462C1B9D" w14:textId="4F9ED9EA" w:rsidR="00B913BE" w:rsidRPr="00FA4006" w:rsidRDefault="00FA4006" w:rsidP="001B71DC">
      <w:pPr>
        <w:contextualSpacing/>
        <w:jc w:val="center"/>
        <w:rPr>
          <w:rFonts w:ascii="Arial" w:hAnsi="Arial" w:cs="Arial"/>
          <w:b/>
          <w:bCs/>
        </w:rPr>
      </w:pPr>
      <w:r w:rsidRPr="00FA4006">
        <w:rPr>
          <w:rFonts w:ascii="Arial" w:hAnsi="Arial" w:cs="Arial"/>
          <w:b/>
          <w:bCs/>
        </w:rPr>
        <w:t>Table 2. Main Admission Complaints – Jean Bitar Hospital (HJB), 2023.</w:t>
      </w:r>
    </w:p>
    <w:tbl>
      <w:tblPr>
        <w:tblW w:w="4975" w:type="dxa"/>
        <w:tblInd w:w="1625" w:type="dxa"/>
        <w:tblCellMar>
          <w:left w:w="70" w:type="dxa"/>
          <w:right w:w="70" w:type="dxa"/>
        </w:tblCellMar>
        <w:tblLook w:val="04A0" w:firstRow="1" w:lastRow="0" w:firstColumn="1" w:lastColumn="0" w:noHBand="0" w:noVBand="1"/>
      </w:tblPr>
      <w:tblGrid>
        <w:gridCol w:w="2928"/>
        <w:gridCol w:w="667"/>
        <w:gridCol w:w="1380"/>
      </w:tblGrid>
      <w:tr w:rsidR="00B913BE" w:rsidRPr="00A60FE5" w14:paraId="5A63E881" w14:textId="77777777" w:rsidTr="00B9759B">
        <w:trPr>
          <w:trHeight w:val="360"/>
        </w:trPr>
        <w:tc>
          <w:tcPr>
            <w:tcW w:w="2928" w:type="dxa"/>
            <w:tcBorders>
              <w:top w:val="single" w:sz="4" w:space="0" w:color="auto"/>
              <w:left w:val="nil"/>
              <w:bottom w:val="double" w:sz="6" w:space="0" w:color="auto"/>
              <w:right w:val="nil"/>
            </w:tcBorders>
            <w:shd w:val="clear" w:color="000000" w:fill="D9D9D9"/>
            <w:noWrap/>
            <w:vAlign w:val="bottom"/>
            <w:hideMark/>
          </w:tcPr>
          <w:p w14:paraId="252C2323" w14:textId="65031B81" w:rsidR="00B913BE" w:rsidRPr="00A60FE5" w:rsidRDefault="00327243" w:rsidP="00774045">
            <w:pPr>
              <w:rPr>
                <w:rFonts w:ascii="Arial" w:hAnsi="Arial" w:cs="Arial"/>
                <w:b/>
                <w:bCs/>
                <w:color w:val="000000"/>
                <w:lang w:eastAsia="pt-BR"/>
              </w:rPr>
            </w:pPr>
            <w:r w:rsidRPr="00A60FE5">
              <w:rPr>
                <w:rFonts w:ascii="Arial" w:hAnsi="Arial" w:cs="Arial"/>
                <w:b/>
                <w:bCs/>
                <w:color w:val="000000"/>
                <w:lang w:eastAsia="pt-BR"/>
              </w:rPr>
              <w:t>Admission Complaint</w:t>
            </w:r>
          </w:p>
        </w:tc>
        <w:tc>
          <w:tcPr>
            <w:tcW w:w="667" w:type="dxa"/>
            <w:tcBorders>
              <w:top w:val="single" w:sz="4" w:space="0" w:color="auto"/>
              <w:left w:val="nil"/>
              <w:bottom w:val="double" w:sz="6" w:space="0" w:color="auto"/>
              <w:right w:val="nil"/>
            </w:tcBorders>
            <w:shd w:val="clear" w:color="000000" w:fill="D9D9D9"/>
            <w:noWrap/>
            <w:vAlign w:val="bottom"/>
            <w:hideMark/>
          </w:tcPr>
          <w:p w14:paraId="294CCC09" w14:textId="77777777" w:rsidR="00B913BE" w:rsidRPr="00A60FE5" w:rsidRDefault="00B913BE" w:rsidP="00774045">
            <w:pPr>
              <w:rPr>
                <w:rFonts w:ascii="Arial" w:hAnsi="Arial" w:cs="Arial"/>
                <w:b/>
                <w:bCs/>
                <w:color w:val="000000"/>
                <w:lang w:eastAsia="pt-BR"/>
              </w:rPr>
            </w:pPr>
            <w:r w:rsidRPr="00A60FE5">
              <w:rPr>
                <w:rFonts w:ascii="Arial" w:hAnsi="Arial" w:cs="Arial"/>
                <w:b/>
                <w:bCs/>
                <w:color w:val="000000"/>
                <w:lang w:eastAsia="pt-BR"/>
              </w:rPr>
              <w:t>N</w:t>
            </w:r>
          </w:p>
        </w:tc>
        <w:tc>
          <w:tcPr>
            <w:tcW w:w="1380" w:type="dxa"/>
            <w:tcBorders>
              <w:top w:val="single" w:sz="4" w:space="0" w:color="auto"/>
              <w:left w:val="nil"/>
              <w:bottom w:val="double" w:sz="6" w:space="0" w:color="auto"/>
              <w:right w:val="nil"/>
            </w:tcBorders>
            <w:shd w:val="clear" w:color="000000" w:fill="D9D9D9"/>
            <w:noWrap/>
            <w:vAlign w:val="bottom"/>
            <w:hideMark/>
          </w:tcPr>
          <w:p w14:paraId="023C3257" w14:textId="77777777" w:rsidR="00B913BE" w:rsidRPr="00A60FE5" w:rsidRDefault="00B913BE" w:rsidP="00774045">
            <w:pPr>
              <w:rPr>
                <w:rFonts w:ascii="Arial" w:hAnsi="Arial" w:cs="Arial"/>
                <w:b/>
                <w:bCs/>
                <w:color w:val="000000"/>
                <w:lang w:eastAsia="pt-BR"/>
              </w:rPr>
            </w:pPr>
            <w:r w:rsidRPr="00A60FE5">
              <w:rPr>
                <w:rFonts w:ascii="Arial" w:hAnsi="Arial" w:cs="Arial"/>
                <w:b/>
                <w:bCs/>
                <w:color w:val="000000"/>
                <w:lang w:eastAsia="pt-BR"/>
              </w:rPr>
              <w:t>%</w:t>
            </w:r>
          </w:p>
        </w:tc>
      </w:tr>
      <w:tr w:rsidR="00B913BE" w:rsidRPr="00A60FE5" w14:paraId="3F5E624A" w14:textId="77777777" w:rsidTr="00B9759B">
        <w:trPr>
          <w:trHeight w:val="321"/>
        </w:trPr>
        <w:tc>
          <w:tcPr>
            <w:tcW w:w="2928" w:type="dxa"/>
            <w:tcBorders>
              <w:top w:val="nil"/>
              <w:left w:val="nil"/>
              <w:bottom w:val="nil"/>
              <w:right w:val="nil"/>
            </w:tcBorders>
            <w:shd w:val="clear" w:color="000000" w:fill="FFFFFF"/>
            <w:noWrap/>
            <w:vAlign w:val="bottom"/>
            <w:hideMark/>
          </w:tcPr>
          <w:p w14:paraId="45DB7FD9" w14:textId="1872A6D8" w:rsidR="00B913BE" w:rsidRPr="00A60FE5" w:rsidRDefault="00327243" w:rsidP="00774045">
            <w:pPr>
              <w:rPr>
                <w:rFonts w:ascii="Arial" w:hAnsi="Arial" w:cs="Arial"/>
                <w:color w:val="000000"/>
                <w:lang w:eastAsia="pt-BR"/>
              </w:rPr>
            </w:pPr>
            <w:r w:rsidRPr="00A60FE5">
              <w:rPr>
                <w:rFonts w:ascii="Arial" w:hAnsi="Arial" w:cs="Arial"/>
                <w:color w:val="000000"/>
                <w:lang w:eastAsia="pt-BR"/>
              </w:rPr>
              <w:t>Dyspnea</w:t>
            </w:r>
          </w:p>
        </w:tc>
        <w:tc>
          <w:tcPr>
            <w:tcW w:w="667" w:type="dxa"/>
            <w:tcBorders>
              <w:top w:val="nil"/>
              <w:left w:val="nil"/>
              <w:bottom w:val="nil"/>
              <w:right w:val="nil"/>
            </w:tcBorders>
            <w:shd w:val="clear" w:color="000000" w:fill="FFFFFF"/>
            <w:noWrap/>
            <w:vAlign w:val="bottom"/>
            <w:hideMark/>
          </w:tcPr>
          <w:p w14:paraId="10C4704A"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10</w:t>
            </w:r>
          </w:p>
        </w:tc>
        <w:tc>
          <w:tcPr>
            <w:tcW w:w="1380" w:type="dxa"/>
            <w:tcBorders>
              <w:top w:val="nil"/>
              <w:left w:val="nil"/>
              <w:bottom w:val="nil"/>
              <w:right w:val="nil"/>
            </w:tcBorders>
            <w:shd w:val="clear" w:color="000000" w:fill="FFFFFF"/>
            <w:noWrap/>
            <w:vAlign w:val="bottom"/>
            <w:hideMark/>
          </w:tcPr>
          <w:p w14:paraId="5B149329"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22,2%</w:t>
            </w:r>
          </w:p>
        </w:tc>
      </w:tr>
      <w:tr w:rsidR="00B913BE" w:rsidRPr="00A60FE5" w14:paraId="5BED4E35" w14:textId="77777777" w:rsidTr="00B9759B">
        <w:trPr>
          <w:trHeight w:val="321"/>
        </w:trPr>
        <w:tc>
          <w:tcPr>
            <w:tcW w:w="2928" w:type="dxa"/>
            <w:tcBorders>
              <w:top w:val="nil"/>
              <w:left w:val="nil"/>
              <w:bottom w:val="nil"/>
              <w:right w:val="nil"/>
            </w:tcBorders>
            <w:shd w:val="clear" w:color="000000" w:fill="FFFFFF"/>
            <w:noWrap/>
            <w:vAlign w:val="bottom"/>
            <w:hideMark/>
          </w:tcPr>
          <w:p w14:paraId="22ED74EB" w14:textId="2909FE1F" w:rsidR="00B913BE" w:rsidRPr="00A60FE5" w:rsidRDefault="00327243" w:rsidP="00774045">
            <w:pPr>
              <w:rPr>
                <w:rFonts w:ascii="Arial" w:hAnsi="Arial" w:cs="Arial"/>
                <w:color w:val="000000"/>
                <w:lang w:eastAsia="pt-BR"/>
              </w:rPr>
            </w:pPr>
            <w:r w:rsidRPr="00A60FE5">
              <w:rPr>
                <w:rFonts w:ascii="Arial" w:hAnsi="Arial" w:cs="Arial"/>
                <w:color w:val="000000"/>
                <w:lang w:eastAsia="pt-BR"/>
              </w:rPr>
              <w:t>Hematemesis</w:t>
            </w:r>
          </w:p>
        </w:tc>
        <w:tc>
          <w:tcPr>
            <w:tcW w:w="667" w:type="dxa"/>
            <w:tcBorders>
              <w:top w:val="nil"/>
              <w:left w:val="nil"/>
              <w:bottom w:val="nil"/>
              <w:right w:val="nil"/>
            </w:tcBorders>
            <w:shd w:val="clear" w:color="000000" w:fill="FFFFFF"/>
            <w:noWrap/>
            <w:vAlign w:val="bottom"/>
            <w:hideMark/>
          </w:tcPr>
          <w:p w14:paraId="0AAB3284"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8</w:t>
            </w:r>
          </w:p>
        </w:tc>
        <w:tc>
          <w:tcPr>
            <w:tcW w:w="1380" w:type="dxa"/>
            <w:tcBorders>
              <w:top w:val="nil"/>
              <w:left w:val="nil"/>
              <w:bottom w:val="nil"/>
              <w:right w:val="nil"/>
            </w:tcBorders>
            <w:shd w:val="clear" w:color="000000" w:fill="FFFFFF"/>
            <w:noWrap/>
            <w:vAlign w:val="bottom"/>
            <w:hideMark/>
          </w:tcPr>
          <w:p w14:paraId="64BDAEF1"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17,8%</w:t>
            </w:r>
          </w:p>
        </w:tc>
      </w:tr>
      <w:tr w:rsidR="00B913BE" w:rsidRPr="00A60FE5" w14:paraId="2FEA14F6" w14:textId="77777777" w:rsidTr="00B9759B">
        <w:trPr>
          <w:trHeight w:val="321"/>
        </w:trPr>
        <w:tc>
          <w:tcPr>
            <w:tcW w:w="2928" w:type="dxa"/>
            <w:tcBorders>
              <w:top w:val="nil"/>
              <w:left w:val="nil"/>
              <w:bottom w:val="nil"/>
              <w:right w:val="nil"/>
            </w:tcBorders>
            <w:shd w:val="clear" w:color="000000" w:fill="FFFFFF"/>
            <w:noWrap/>
            <w:vAlign w:val="bottom"/>
            <w:hideMark/>
          </w:tcPr>
          <w:p w14:paraId="39DE2E5B" w14:textId="08DAA202" w:rsidR="00B913BE" w:rsidRPr="00A60FE5" w:rsidRDefault="00C44CC7" w:rsidP="00774045">
            <w:pPr>
              <w:rPr>
                <w:rFonts w:ascii="Arial" w:hAnsi="Arial" w:cs="Arial"/>
                <w:color w:val="000000"/>
                <w:lang w:eastAsia="pt-BR"/>
              </w:rPr>
            </w:pPr>
            <w:r w:rsidRPr="00A60FE5">
              <w:rPr>
                <w:rFonts w:ascii="Arial" w:hAnsi="Arial" w:cs="Arial"/>
                <w:color w:val="000000"/>
                <w:lang w:eastAsia="pt-BR"/>
              </w:rPr>
              <w:t>Weakness</w:t>
            </w:r>
          </w:p>
        </w:tc>
        <w:tc>
          <w:tcPr>
            <w:tcW w:w="667" w:type="dxa"/>
            <w:tcBorders>
              <w:top w:val="nil"/>
              <w:left w:val="nil"/>
              <w:bottom w:val="nil"/>
              <w:right w:val="nil"/>
            </w:tcBorders>
            <w:shd w:val="clear" w:color="000000" w:fill="FFFFFF"/>
            <w:noWrap/>
            <w:vAlign w:val="bottom"/>
            <w:hideMark/>
          </w:tcPr>
          <w:p w14:paraId="1BA53081"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8</w:t>
            </w:r>
          </w:p>
        </w:tc>
        <w:tc>
          <w:tcPr>
            <w:tcW w:w="1380" w:type="dxa"/>
            <w:tcBorders>
              <w:top w:val="nil"/>
              <w:left w:val="nil"/>
              <w:bottom w:val="nil"/>
              <w:right w:val="nil"/>
            </w:tcBorders>
            <w:shd w:val="clear" w:color="000000" w:fill="FFFFFF"/>
            <w:noWrap/>
            <w:vAlign w:val="bottom"/>
            <w:hideMark/>
          </w:tcPr>
          <w:p w14:paraId="2B42775E"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17,8%</w:t>
            </w:r>
          </w:p>
        </w:tc>
      </w:tr>
      <w:tr w:rsidR="00B913BE" w:rsidRPr="00A60FE5" w14:paraId="6F35DBC3" w14:textId="77777777" w:rsidTr="00B9759B">
        <w:trPr>
          <w:trHeight w:val="321"/>
        </w:trPr>
        <w:tc>
          <w:tcPr>
            <w:tcW w:w="2928" w:type="dxa"/>
            <w:tcBorders>
              <w:top w:val="nil"/>
              <w:left w:val="nil"/>
              <w:bottom w:val="nil"/>
              <w:right w:val="nil"/>
            </w:tcBorders>
            <w:shd w:val="clear" w:color="000000" w:fill="FFFFFF"/>
            <w:noWrap/>
            <w:vAlign w:val="bottom"/>
            <w:hideMark/>
          </w:tcPr>
          <w:p w14:paraId="4232E39B" w14:textId="2DB31359" w:rsidR="00B913BE" w:rsidRPr="00A60FE5" w:rsidRDefault="00C44CC7" w:rsidP="00774045">
            <w:pPr>
              <w:rPr>
                <w:rFonts w:ascii="Arial" w:hAnsi="Arial" w:cs="Arial"/>
                <w:color w:val="000000"/>
                <w:lang w:eastAsia="pt-BR"/>
              </w:rPr>
            </w:pPr>
            <w:r w:rsidRPr="00A60FE5">
              <w:rPr>
                <w:rFonts w:ascii="Arial" w:hAnsi="Arial" w:cs="Arial"/>
                <w:color w:val="000000"/>
                <w:lang w:eastAsia="pt-BR"/>
              </w:rPr>
              <w:t>Abdominal pain</w:t>
            </w:r>
          </w:p>
        </w:tc>
        <w:tc>
          <w:tcPr>
            <w:tcW w:w="667" w:type="dxa"/>
            <w:tcBorders>
              <w:top w:val="nil"/>
              <w:left w:val="nil"/>
              <w:bottom w:val="nil"/>
              <w:right w:val="nil"/>
            </w:tcBorders>
            <w:shd w:val="clear" w:color="000000" w:fill="FFFFFF"/>
            <w:noWrap/>
            <w:vAlign w:val="bottom"/>
            <w:hideMark/>
          </w:tcPr>
          <w:p w14:paraId="35527AAA"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7</w:t>
            </w:r>
          </w:p>
        </w:tc>
        <w:tc>
          <w:tcPr>
            <w:tcW w:w="1380" w:type="dxa"/>
            <w:tcBorders>
              <w:top w:val="nil"/>
              <w:left w:val="nil"/>
              <w:bottom w:val="nil"/>
              <w:right w:val="nil"/>
            </w:tcBorders>
            <w:shd w:val="clear" w:color="000000" w:fill="FFFFFF"/>
            <w:noWrap/>
            <w:vAlign w:val="bottom"/>
            <w:hideMark/>
          </w:tcPr>
          <w:p w14:paraId="38389EEE"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15,6%</w:t>
            </w:r>
          </w:p>
        </w:tc>
      </w:tr>
      <w:tr w:rsidR="00B913BE" w:rsidRPr="00A60FE5" w14:paraId="3EDA6B5D" w14:textId="77777777" w:rsidTr="00B9759B">
        <w:trPr>
          <w:trHeight w:val="321"/>
        </w:trPr>
        <w:tc>
          <w:tcPr>
            <w:tcW w:w="2928" w:type="dxa"/>
            <w:tcBorders>
              <w:top w:val="nil"/>
              <w:left w:val="nil"/>
              <w:bottom w:val="nil"/>
              <w:right w:val="nil"/>
            </w:tcBorders>
            <w:shd w:val="clear" w:color="000000" w:fill="FFFFFF"/>
            <w:noWrap/>
            <w:vAlign w:val="bottom"/>
            <w:hideMark/>
          </w:tcPr>
          <w:p w14:paraId="003CB6BD" w14:textId="30DD849A" w:rsidR="00B913BE" w:rsidRPr="00A60FE5" w:rsidRDefault="00C44CC7" w:rsidP="00774045">
            <w:pPr>
              <w:rPr>
                <w:rFonts w:ascii="Arial" w:hAnsi="Arial" w:cs="Arial"/>
                <w:color w:val="000000"/>
                <w:lang w:eastAsia="pt-BR"/>
              </w:rPr>
            </w:pPr>
            <w:r w:rsidRPr="00A60FE5">
              <w:rPr>
                <w:rFonts w:ascii="Arial" w:hAnsi="Arial" w:cs="Arial"/>
                <w:color w:val="000000"/>
                <w:lang w:eastAsia="pt-BR"/>
              </w:rPr>
              <w:t>Diarrhea</w:t>
            </w:r>
          </w:p>
        </w:tc>
        <w:tc>
          <w:tcPr>
            <w:tcW w:w="667" w:type="dxa"/>
            <w:tcBorders>
              <w:top w:val="nil"/>
              <w:left w:val="nil"/>
              <w:bottom w:val="nil"/>
              <w:right w:val="nil"/>
            </w:tcBorders>
            <w:shd w:val="clear" w:color="000000" w:fill="FFFFFF"/>
            <w:noWrap/>
            <w:vAlign w:val="bottom"/>
            <w:hideMark/>
          </w:tcPr>
          <w:p w14:paraId="343B1D8B"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5</w:t>
            </w:r>
          </w:p>
        </w:tc>
        <w:tc>
          <w:tcPr>
            <w:tcW w:w="1380" w:type="dxa"/>
            <w:tcBorders>
              <w:top w:val="nil"/>
              <w:left w:val="nil"/>
              <w:bottom w:val="nil"/>
              <w:right w:val="nil"/>
            </w:tcBorders>
            <w:shd w:val="clear" w:color="000000" w:fill="FFFFFF"/>
            <w:noWrap/>
            <w:vAlign w:val="bottom"/>
            <w:hideMark/>
          </w:tcPr>
          <w:p w14:paraId="5AE92FC4"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11,1%</w:t>
            </w:r>
          </w:p>
        </w:tc>
      </w:tr>
      <w:tr w:rsidR="00B913BE" w:rsidRPr="00A60FE5" w14:paraId="26A478EC" w14:textId="77777777" w:rsidTr="00B9759B">
        <w:trPr>
          <w:trHeight w:val="321"/>
        </w:trPr>
        <w:tc>
          <w:tcPr>
            <w:tcW w:w="2928" w:type="dxa"/>
            <w:tcBorders>
              <w:top w:val="nil"/>
              <w:left w:val="nil"/>
              <w:bottom w:val="nil"/>
              <w:right w:val="nil"/>
            </w:tcBorders>
            <w:shd w:val="clear" w:color="000000" w:fill="FFFFFF"/>
            <w:noWrap/>
            <w:vAlign w:val="bottom"/>
            <w:hideMark/>
          </w:tcPr>
          <w:p w14:paraId="5C559D9C" w14:textId="6540E3C3" w:rsidR="00B913BE" w:rsidRPr="00A60FE5" w:rsidRDefault="00C44CC7" w:rsidP="00774045">
            <w:pPr>
              <w:rPr>
                <w:rFonts w:ascii="Arial" w:hAnsi="Arial" w:cs="Arial"/>
                <w:color w:val="000000"/>
                <w:lang w:eastAsia="pt-BR"/>
              </w:rPr>
            </w:pPr>
            <w:r w:rsidRPr="00A60FE5">
              <w:rPr>
                <w:rFonts w:ascii="Arial" w:hAnsi="Arial" w:cs="Arial"/>
                <w:color w:val="000000"/>
                <w:lang w:eastAsia="pt-BR"/>
              </w:rPr>
              <w:t>Cough</w:t>
            </w:r>
          </w:p>
        </w:tc>
        <w:tc>
          <w:tcPr>
            <w:tcW w:w="667" w:type="dxa"/>
            <w:tcBorders>
              <w:top w:val="nil"/>
              <w:left w:val="nil"/>
              <w:bottom w:val="nil"/>
              <w:right w:val="nil"/>
            </w:tcBorders>
            <w:shd w:val="clear" w:color="000000" w:fill="FFFFFF"/>
            <w:noWrap/>
            <w:vAlign w:val="bottom"/>
            <w:hideMark/>
          </w:tcPr>
          <w:p w14:paraId="5B8C46CE"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4</w:t>
            </w:r>
          </w:p>
        </w:tc>
        <w:tc>
          <w:tcPr>
            <w:tcW w:w="1380" w:type="dxa"/>
            <w:tcBorders>
              <w:top w:val="nil"/>
              <w:left w:val="nil"/>
              <w:bottom w:val="nil"/>
              <w:right w:val="nil"/>
            </w:tcBorders>
            <w:shd w:val="clear" w:color="000000" w:fill="FFFFFF"/>
            <w:noWrap/>
            <w:vAlign w:val="bottom"/>
            <w:hideMark/>
          </w:tcPr>
          <w:p w14:paraId="2F854493"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8,9%</w:t>
            </w:r>
          </w:p>
        </w:tc>
      </w:tr>
      <w:tr w:rsidR="00B913BE" w:rsidRPr="00A60FE5" w14:paraId="320016D6" w14:textId="77777777" w:rsidTr="00B9759B">
        <w:trPr>
          <w:trHeight w:val="321"/>
        </w:trPr>
        <w:tc>
          <w:tcPr>
            <w:tcW w:w="2928" w:type="dxa"/>
            <w:tcBorders>
              <w:top w:val="nil"/>
              <w:left w:val="nil"/>
              <w:bottom w:val="nil"/>
              <w:right w:val="nil"/>
            </w:tcBorders>
            <w:shd w:val="clear" w:color="000000" w:fill="FFFFFF"/>
            <w:noWrap/>
            <w:vAlign w:val="bottom"/>
            <w:hideMark/>
          </w:tcPr>
          <w:p w14:paraId="0EBFAE15" w14:textId="6ED9F952" w:rsidR="00B913BE" w:rsidRPr="00A60FE5" w:rsidRDefault="00C44CC7" w:rsidP="00774045">
            <w:pPr>
              <w:rPr>
                <w:rFonts w:ascii="Arial" w:hAnsi="Arial" w:cs="Arial"/>
                <w:color w:val="000000"/>
                <w:lang w:eastAsia="pt-BR"/>
              </w:rPr>
            </w:pPr>
            <w:r w:rsidRPr="00A60FE5">
              <w:rPr>
                <w:rFonts w:ascii="Arial" w:hAnsi="Arial" w:cs="Arial"/>
                <w:color w:val="000000"/>
                <w:lang w:eastAsia="pt-BR"/>
              </w:rPr>
              <w:t>Knee pain</w:t>
            </w:r>
          </w:p>
        </w:tc>
        <w:tc>
          <w:tcPr>
            <w:tcW w:w="667" w:type="dxa"/>
            <w:tcBorders>
              <w:top w:val="nil"/>
              <w:left w:val="nil"/>
              <w:bottom w:val="nil"/>
              <w:right w:val="nil"/>
            </w:tcBorders>
            <w:shd w:val="clear" w:color="000000" w:fill="FFFFFF"/>
            <w:noWrap/>
            <w:vAlign w:val="bottom"/>
            <w:hideMark/>
          </w:tcPr>
          <w:p w14:paraId="6A8625E1"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2</w:t>
            </w:r>
          </w:p>
        </w:tc>
        <w:tc>
          <w:tcPr>
            <w:tcW w:w="1380" w:type="dxa"/>
            <w:tcBorders>
              <w:top w:val="nil"/>
              <w:left w:val="nil"/>
              <w:bottom w:val="nil"/>
              <w:right w:val="nil"/>
            </w:tcBorders>
            <w:shd w:val="clear" w:color="000000" w:fill="FFFFFF"/>
            <w:noWrap/>
            <w:vAlign w:val="bottom"/>
            <w:hideMark/>
          </w:tcPr>
          <w:p w14:paraId="3768292B"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4,4%</w:t>
            </w:r>
          </w:p>
        </w:tc>
      </w:tr>
      <w:tr w:rsidR="00B913BE" w:rsidRPr="00A60FE5" w14:paraId="04DBA0D7" w14:textId="77777777" w:rsidTr="00B9759B">
        <w:trPr>
          <w:trHeight w:val="321"/>
        </w:trPr>
        <w:tc>
          <w:tcPr>
            <w:tcW w:w="2928" w:type="dxa"/>
            <w:tcBorders>
              <w:top w:val="nil"/>
              <w:left w:val="nil"/>
              <w:bottom w:val="nil"/>
              <w:right w:val="nil"/>
            </w:tcBorders>
            <w:shd w:val="clear" w:color="000000" w:fill="FFFFFF"/>
            <w:noWrap/>
            <w:vAlign w:val="bottom"/>
            <w:hideMark/>
          </w:tcPr>
          <w:p w14:paraId="4878DCC5" w14:textId="3C625558" w:rsidR="00B913BE" w:rsidRPr="00A60FE5" w:rsidRDefault="00774045" w:rsidP="00774045">
            <w:pPr>
              <w:rPr>
                <w:rFonts w:ascii="Arial" w:hAnsi="Arial" w:cs="Arial"/>
                <w:color w:val="000000"/>
                <w:lang w:eastAsia="pt-BR"/>
              </w:rPr>
            </w:pPr>
            <w:r w:rsidRPr="00A60FE5">
              <w:rPr>
                <w:rFonts w:ascii="Arial" w:hAnsi="Arial" w:cs="Arial"/>
                <w:color w:val="000000"/>
                <w:lang w:eastAsia="pt-BR"/>
              </w:rPr>
              <w:t>Fever</w:t>
            </w:r>
          </w:p>
        </w:tc>
        <w:tc>
          <w:tcPr>
            <w:tcW w:w="667" w:type="dxa"/>
            <w:tcBorders>
              <w:top w:val="nil"/>
              <w:left w:val="nil"/>
              <w:bottom w:val="nil"/>
              <w:right w:val="nil"/>
            </w:tcBorders>
            <w:shd w:val="clear" w:color="000000" w:fill="FFFFFF"/>
            <w:noWrap/>
            <w:vAlign w:val="bottom"/>
            <w:hideMark/>
          </w:tcPr>
          <w:p w14:paraId="5FBA40EA"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2</w:t>
            </w:r>
          </w:p>
        </w:tc>
        <w:tc>
          <w:tcPr>
            <w:tcW w:w="1380" w:type="dxa"/>
            <w:tcBorders>
              <w:top w:val="nil"/>
              <w:left w:val="nil"/>
              <w:bottom w:val="nil"/>
              <w:right w:val="nil"/>
            </w:tcBorders>
            <w:shd w:val="clear" w:color="000000" w:fill="FFFFFF"/>
            <w:noWrap/>
            <w:vAlign w:val="bottom"/>
            <w:hideMark/>
          </w:tcPr>
          <w:p w14:paraId="07593890"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4,4%</w:t>
            </w:r>
          </w:p>
        </w:tc>
      </w:tr>
      <w:tr w:rsidR="00B913BE" w:rsidRPr="00A60FE5" w14:paraId="1FFAAFBA" w14:textId="77777777" w:rsidTr="00B9759B">
        <w:trPr>
          <w:trHeight w:val="321"/>
        </w:trPr>
        <w:tc>
          <w:tcPr>
            <w:tcW w:w="2928" w:type="dxa"/>
            <w:tcBorders>
              <w:top w:val="nil"/>
              <w:left w:val="nil"/>
              <w:bottom w:val="nil"/>
              <w:right w:val="nil"/>
            </w:tcBorders>
            <w:shd w:val="clear" w:color="000000" w:fill="FFFFFF"/>
            <w:noWrap/>
            <w:vAlign w:val="bottom"/>
            <w:hideMark/>
          </w:tcPr>
          <w:p w14:paraId="78B6183E" w14:textId="230BB9BB" w:rsidR="00B913BE" w:rsidRPr="00A60FE5" w:rsidRDefault="00774045" w:rsidP="00774045">
            <w:pPr>
              <w:rPr>
                <w:rFonts w:ascii="Arial" w:hAnsi="Arial" w:cs="Arial"/>
                <w:color w:val="000000"/>
                <w:lang w:eastAsia="pt-BR"/>
              </w:rPr>
            </w:pPr>
            <w:r w:rsidRPr="00A60FE5">
              <w:rPr>
                <w:rFonts w:ascii="Arial" w:hAnsi="Arial" w:cs="Arial"/>
                <w:color w:val="000000"/>
                <w:lang w:eastAsia="pt-BR"/>
              </w:rPr>
              <w:t>Melena</w:t>
            </w:r>
          </w:p>
        </w:tc>
        <w:tc>
          <w:tcPr>
            <w:tcW w:w="667" w:type="dxa"/>
            <w:tcBorders>
              <w:top w:val="nil"/>
              <w:left w:val="nil"/>
              <w:bottom w:val="nil"/>
              <w:right w:val="nil"/>
            </w:tcBorders>
            <w:shd w:val="clear" w:color="000000" w:fill="FFFFFF"/>
            <w:noWrap/>
            <w:vAlign w:val="bottom"/>
            <w:hideMark/>
          </w:tcPr>
          <w:p w14:paraId="7CCCEEF1"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2</w:t>
            </w:r>
          </w:p>
        </w:tc>
        <w:tc>
          <w:tcPr>
            <w:tcW w:w="1380" w:type="dxa"/>
            <w:tcBorders>
              <w:top w:val="nil"/>
              <w:left w:val="nil"/>
              <w:bottom w:val="nil"/>
              <w:right w:val="nil"/>
            </w:tcBorders>
            <w:shd w:val="clear" w:color="000000" w:fill="FFFFFF"/>
            <w:noWrap/>
            <w:vAlign w:val="bottom"/>
            <w:hideMark/>
          </w:tcPr>
          <w:p w14:paraId="5CF78D75"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4,4%</w:t>
            </w:r>
          </w:p>
        </w:tc>
      </w:tr>
      <w:tr w:rsidR="00B913BE" w:rsidRPr="00A60FE5" w14:paraId="72553DC7" w14:textId="77777777" w:rsidTr="00B9759B">
        <w:trPr>
          <w:trHeight w:val="321"/>
        </w:trPr>
        <w:tc>
          <w:tcPr>
            <w:tcW w:w="2928" w:type="dxa"/>
            <w:tcBorders>
              <w:top w:val="nil"/>
              <w:left w:val="nil"/>
              <w:bottom w:val="single" w:sz="8" w:space="0" w:color="auto"/>
              <w:right w:val="nil"/>
            </w:tcBorders>
            <w:shd w:val="clear" w:color="000000" w:fill="FFFFFF"/>
            <w:noWrap/>
            <w:vAlign w:val="bottom"/>
            <w:hideMark/>
          </w:tcPr>
          <w:p w14:paraId="6F342D76" w14:textId="19C4A91D" w:rsidR="00B913BE" w:rsidRPr="00A60FE5" w:rsidRDefault="00774045" w:rsidP="00774045">
            <w:pPr>
              <w:rPr>
                <w:rFonts w:ascii="Arial" w:hAnsi="Arial" w:cs="Arial"/>
                <w:color w:val="000000"/>
                <w:lang w:eastAsia="pt-BR"/>
              </w:rPr>
            </w:pPr>
            <w:r w:rsidRPr="00A60FE5">
              <w:rPr>
                <w:rFonts w:ascii="Arial" w:hAnsi="Arial" w:cs="Arial"/>
                <w:color w:val="000000"/>
                <w:lang w:eastAsia="pt-BR"/>
              </w:rPr>
              <w:t>Others</w:t>
            </w:r>
          </w:p>
        </w:tc>
        <w:tc>
          <w:tcPr>
            <w:tcW w:w="667" w:type="dxa"/>
            <w:tcBorders>
              <w:top w:val="nil"/>
              <w:left w:val="nil"/>
              <w:bottom w:val="single" w:sz="8" w:space="0" w:color="auto"/>
              <w:right w:val="nil"/>
            </w:tcBorders>
            <w:shd w:val="clear" w:color="000000" w:fill="FFFFFF"/>
            <w:noWrap/>
            <w:vAlign w:val="bottom"/>
            <w:hideMark/>
          </w:tcPr>
          <w:p w14:paraId="3FC0FF3A"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10</w:t>
            </w:r>
          </w:p>
        </w:tc>
        <w:tc>
          <w:tcPr>
            <w:tcW w:w="1380" w:type="dxa"/>
            <w:tcBorders>
              <w:top w:val="nil"/>
              <w:left w:val="nil"/>
              <w:bottom w:val="single" w:sz="8" w:space="0" w:color="auto"/>
              <w:right w:val="nil"/>
            </w:tcBorders>
            <w:shd w:val="clear" w:color="000000" w:fill="FFFFFF"/>
            <w:noWrap/>
            <w:vAlign w:val="bottom"/>
            <w:hideMark/>
          </w:tcPr>
          <w:p w14:paraId="6A0C3B8B"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22,2%</w:t>
            </w:r>
          </w:p>
        </w:tc>
      </w:tr>
    </w:tbl>
    <w:p w14:paraId="4B2FE5EA" w14:textId="2D736A55" w:rsidR="00B913BE" w:rsidRPr="001B71DC" w:rsidRDefault="00B913BE" w:rsidP="001B71DC">
      <w:pPr>
        <w:rPr>
          <w:rFonts w:ascii="Arial" w:hAnsi="Arial" w:cs="Arial"/>
          <w:sz w:val="16"/>
          <w:szCs w:val="16"/>
        </w:rPr>
      </w:pPr>
      <w:r w:rsidRPr="001B71DC">
        <w:rPr>
          <w:rFonts w:ascii="Arial" w:hAnsi="Arial" w:cs="Arial"/>
          <w:sz w:val="16"/>
          <w:szCs w:val="16"/>
        </w:rPr>
        <w:t xml:space="preserve">                    </w:t>
      </w:r>
      <w:r w:rsidR="00A60FE5" w:rsidRPr="00A60FE5">
        <w:rPr>
          <w:rFonts w:ascii="Arial" w:hAnsi="Arial" w:cs="Arial"/>
          <w:sz w:val="16"/>
          <w:szCs w:val="16"/>
        </w:rPr>
        <w:t>Source: Applied protocol. p &lt; 0.0001 (G Test for Goodness-of-Fit).</w:t>
      </w:r>
    </w:p>
    <w:p w14:paraId="406A0A46" w14:textId="77777777" w:rsidR="00A84518" w:rsidRPr="00A84518" w:rsidRDefault="00A84518" w:rsidP="00A84518">
      <w:pPr>
        <w:spacing w:before="240"/>
        <w:rPr>
          <w:rFonts w:ascii="Arial" w:hAnsi="Arial" w:cs="Arial"/>
        </w:rPr>
      </w:pPr>
      <w:r w:rsidRPr="00A84518">
        <w:rPr>
          <w:rFonts w:ascii="Arial" w:hAnsi="Arial" w:cs="Arial"/>
        </w:rPr>
        <w:t>At admission, all patients underwent clinical stabilization (100.0%), followed by etiological investigation (93.3%). Antibiotic therapy was also administered in 40.0% of the patients.</w:t>
      </w:r>
    </w:p>
    <w:p w14:paraId="3F18FEAA" w14:textId="77777777" w:rsidR="00A84518" w:rsidRPr="00A84518" w:rsidRDefault="00A84518" w:rsidP="00A84518">
      <w:pPr>
        <w:rPr>
          <w:rFonts w:ascii="Arial" w:hAnsi="Arial" w:cs="Arial"/>
        </w:rPr>
      </w:pPr>
    </w:p>
    <w:p w14:paraId="78609FE4" w14:textId="3CEE946D" w:rsidR="00B913BE" w:rsidRDefault="00A84518" w:rsidP="00A84518">
      <w:pPr>
        <w:rPr>
          <w:rFonts w:ascii="Arial" w:hAnsi="Arial" w:cs="Arial"/>
        </w:rPr>
      </w:pPr>
      <w:r w:rsidRPr="00A84518">
        <w:rPr>
          <w:rFonts w:ascii="Arial" w:hAnsi="Arial" w:cs="Arial"/>
        </w:rPr>
        <w:lastRenderedPageBreak/>
        <w:t>Admission diagnoses varied widely, with gastrointestinal bleeding (24.4%) and consumptive syndrome (22.2%) being the most frequent. Other diagnoses included decompensated heart failure (15.6%), chronic obstructive pulmonary disease (COPD, 13.3%), and infection (13.3%), as shown in Table 3.</w:t>
      </w:r>
    </w:p>
    <w:p w14:paraId="02959081" w14:textId="77777777" w:rsidR="00A84518" w:rsidRDefault="00A84518" w:rsidP="00A84518">
      <w:pPr>
        <w:rPr>
          <w:rFonts w:ascii="Times New Roman" w:hAnsi="Times New Roman"/>
          <w:b/>
          <w:bCs/>
        </w:rPr>
      </w:pPr>
    </w:p>
    <w:p w14:paraId="2DE2DE26" w14:textId="3304D160" w:rsidR="00B913BE" w:rsidRPr="00D30C6B" w:rsidRDefault="00D30C6B" w:rsidP="00D30C6B">
      <w:pPr>
        <w:contextualSpacing/>
        <w:jc w:val="both"/>
        <w:rPr>
          <w:rFonts w:ascii="Arial" w:hAnsi="Arial" w:cs="Arial"/>
        </w:rPr>
      </w:pPr>
      <w:r w:rsidRPr="00D30C6B">
        <w:rPr>
          <w:rFonts w:ascii="Arial" w:hAnsi="Arial" w:cs="Arial"/>
          <w:b/>
          <w:bCs/>
        </w:rPr>
        <w:t>Table 3. Clinical Management and Admission Diagnoses – Jean Bitar Hospital (HJB), 2023</w:t>
      </w:r>
    </w:p>
    <w:tbl>
      <w:tblPr>
        <w:tblW w:w="6858" w:type="dxa"/>
        <w:jc w:val="center"/>
        <w:tblCellMar>
          <w:left w:w="70" w:type="dxa"/>
          <w:right w:w="70" w:type="dxa"/>
        </w:tblCellMar>
        <w:tblLook w:val="04A0" w:firstRow="1" w:lastRow="0" w:firstColumn="1" w:lastColumn="0" w:noHBand="0" w:noVBand="1"/>
      </w:tblPr>
      <w:tblGrid>
        <w:gridCol w:w="3815"/>
        <w:gridCol w:w="1559"/>
        <w:gridCol w:w="1484"/>
      </w:tblGrid>
      <w:tr w:rsidR="00B913BE" w:rsidRPr="00CB586A" w14:paraId="6F7D90F2" w14:textId="77777777" w:rsidTr="00CB586A">
        <w:trPr>
          <w:trHeight w:val="355"/>
          <w:jc w:val="center"/>
        </w:trPr>
        <w:tc>
          <w:tcPr>
            <w:tcW w:w="3815" w:type="dxa"/>
            <w:tcBorders>
              <w:top w:val="single" w:sz="4" w:space="0" w:color="auto"/>
              <w:left w:val="nil"/>
              <w:bottom w:val="double" w:sz="6" w:space="0" w:color="auto"/>
              <w:right w:val="nil"/>
            </w:tcBorders>
            <w:shd w:val="clear" w:color="000000" w:fill="D9D9D9"/>
            <w:noWrap/>
            <w:vAlign w:val="bottom"/>
            <w:hideMark/>
          </w:tcPr>
          <w:p w14:paraId="73711611" w14:textId="26E54028" w:rsidR="00B913BE" w:rsidRPr="00CB586A" w:rsidRDefault="00746ABF" w:rsidP="002A3BBB">
            <w:pPr>
              <w:jc w:val="center"/>
              <w:rPr>
                <w:rFonts w:ascii="Times New Roman" w:hAnsi="Times New Roman"/>
                <w:b/>
                <w:bCs/>
              </w:rPr>
            </w:pPr>
            <w:r w:rsidRPr="00CB586A">
              <w:rPr>
                <w:rStyle w:val="Strong"/>
              </w:rPr>
              <w:t>Variables</w:t>
            </w:r>
          </w:p>
        </w:tc>
        <w:tc>
          <w:tcPr>
            <w:tcW w:w="1559" w:type="dxa"/>
            <w:tcBorders>
              <w:top w:val="single" w:sz="4" w:space="0" w:color="auto"/>
              <w:left w:val="nil"/>
              <w:bottom w:val="double" w:sz="6" w:space="0" w:color="auto"/>
              <w:right w:val="nil"/>
            </w:tcBorders>
            <w:shd w:val="clear" w:color="000000" w:fill="D9D9D9"/>
            <w:noWrap/>
            <w:vAlign w:val="bottom"/>
            <w:hideMark/>
          </w:tcPr>
          <w:p w14:paraId="54688834" w14:textId="77777777" w:rsidR="00B913BE" w:rsidRPr="00CB586A" w:rsidRDefault="00B913BE" w:rsidP="00A65B88">
            <w:pPr>
              <w:jc w:val="center"/>
              <w:rPr>
                <w:rFonts w:ascii="Arial" w:hAnsi="Arial" w:cs="Arial"/>
                <w:b/>
                <w:bCs/>
                <w:color w:val="000000"/>
                <w:lang w:eastAsia="pt-BR"/>
              </w:rPr>
            </w:pPr>
            <w:r w:rsidRPr="00CB586A">
              <w:rPr>
                <w:rFonts w:ascii="Arial" w:hAnsi="Arial" w:cs="Arial"/>
                <w:b/>
                <w:bCs/>
                <w:color w:val="000000"/>
                <w:lang w:eastAsia="pt-BR"/>
              </w:rPr>
              <w:t>N</w:t>
            </w:r>
          </w:p>
        </w:tc>
        <w:tc>
          <w:tcPr>
            <w:tcW w:w="1484" w:type="dxa"/>
            <w:tcBorders>
              <w:top w:val="single" w:sz="4" w:space="0" w:color="auto"/>
              <w:left w:val="nil"/>
              <w:bottom w:val="double" w:sz="6" w:space="0" w:color="auto"/>
              <w:right w:val="nil"/>
            </w:tcBorders>
            <w:shd w:val="clear" w:color="000000" w:fill="D9D9D9"/>
            <w:noWrap/>
            <w:vAlign w:val="bottom"/>
            <w:hideMark/>
          </w:tcPr>
          <w:p w14:paraId="493E20CF" w14:textId="77777777" w:rsidR="00B913BE" w:rsidRPr="00CB586A" w:rsidRDefault="00B913BE" w:rsidP="00A65B88">
            <w:pPr>
              <w:jc w:val="center"/>
              <w:rPr>
                <w:rFonts w:ascii="Arial" w:hAnsi="Arial" w:cs="Arial"/>
                <w:b/>
                <w:bCs/>
                <w:color w:val="000000"/>
                <w:lang w:eastAsia="pt-BR"/>
              </w:rPr>
            </w:pPr>
            <w:r w:rsidRPr="00CB586A">
              <w:rPr>
                <w:rFonts w:ascii="Arial" w:hAnsi="Arial" w:cs="Arial"/>
                <w:b/>
                <w:bCs/>
                <w:color w:val="000000"/>
                <w:lang w:eastAsia="pt-BR"/>
              </w:rPr>
              <w:t>%</w:t>
            </w:r>
          </w:p>
        </w:tc>
      </w:tr>
      <w:tr w:rsidR="00B913BE" w:rsidRPr="00CB586A" w14:paraId="189586F2"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3F2E7565" w14:textId="0ECB5818" w:rsidR="00B913BE" w:rsidRPr="00CB586A" w:rsidRDefault="00746ABF" w:rsidP="00CB586A">
            <w:pPr>
              <w:rPr>
                <w:rFonts w:ascii="Arial" w:hAnsi="Arial" w:cs="Arial"/>
                <w:b/>
                <w:bCs/>
                <w:color w:val="000000"/>
                <w:lang w:eastAsia="pt-BR"/>
              </w:rPr>
            </w:pPr>
            <w:r w:rsidRPr="00CB586A">
              <w:rPr>
                <w:rFonts w:ascii="Arial" w:hAnsi="Arial" w:cs="Arial"/>
                <w:b/>
                <w:bCs/>
                <w:color w:val="000000"/>
                <w:lang w:eastAsia="pt-BR"/>
              </w:rPr>
              <w:t>Admission Management</w:t>
            </w:r>
          </w:p>
        </w:tc>
        <w:tc>
          <w:tcPr>
            <w:tcW w:w="1559" w:type="dxa"/>
            <w:tcBorders>
              <w:top w:val="nil"/>
              <w:left w:val="nil"/>
              <w:bottom w:val="nil"/>
              <w:right w:val="nil"/>
            </w:tcBorders>
            <w:shd w:val="clear" w:color="000000" w:fill="FFFFFF"/>
            <w:noWrap/>
            <w:vAlign w:val="bottom"/>
            <w:hideMark/>
          </w:tcPr>
          <w:p w14:paraId="745A89AA" w14:textId="77777777" w:rsidR="00B913BE" w:rsidRPr="00CB586A" w:rsidRDefault="00B913BE" w:rsidP="00A65B88">
            <w:pPr>
              <w:jc w:val="center"/>
              <w:rPr>
                <w:rFonts w:ascii="Arial" w:hAnsi="Arial" w:cs="Arial"/>
                <w:b/>
                <w:bCs/>
                <w:color w:val="000000"/>
                <w:lang w:eastAsia="pt-BR"/>
              </w:rPr>
            </w:pPr>
          </w:p>
        </w:tc>
        <w:tc>
          <w:tcPr>
            <w:tcW w:w="1484" w:type="dxa"/>
            <w:tcBorders>
              <w:top w:val="nil"/>
              <w:left w:val="nil"/>
              <w:bottom w:val="nil"/>
              <w:right w:val="nil"/>
            </w:tcBorders>
            <w:shd w:val="clear" w:color="000000" w:fill="FFFFFF"/>
            <w:noWrap/>
            <w:vAlign w:val="bottom"/>
            <w:hideMark/>
          </w:tcPr>
          <w:p w14:paraId="50604720" w14:textId="77777777" w:rsidR="00B913BE" w:rsidRPr="00CB586A" w:rsidRDefault="00B913BE" w:rsidP="00A65B88">
            <w:pPr>
              <w:jc w:val="center"/>
              <w:rPr>
                <w:rFonts w:ascii="Arial" w:hAnsi="Arial" w:cs="Arial"/>
                <w:b/>
                <w:bCs/>
                <w:color w:val="000000"/>
                <w:lang w:eastAsia="pt-BR"/>
              </w:rPr>
            </w:pPr>
          </w:p>
        </w:tc>
      </w:tr>
      <w:tr w:rsidR="00B913BE" w:rsidRPr="00CB586A" w14:paraId="0971638D"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3B66B01B" w14:textId="79B93BB0" w:rsidR="00B913BE" w:rsidRPr="00CB586A" w:rsidRDefault="00746ABF" w:rsidP="00CB586A">
            <w:pPr>
              <w:rPr>
                <w:rFonts w:ascii="Arial" w:hAnsi="Arial" w:cs="Arial"/>
                <w:color w:val="000000"/>
                <w:lang w:eastAsia="pt-BR"/>
              </w:rPr>
            </w:pPr>
            <w:r w:rsidRPr="00CB586A">
              <w:rPr>
                <w:rFonts w:ascii="Arial" w:hAnsi="Arial" w:cs="Arial"/>
                <w:color w:val="000000"/>
                <w:lang w:eastAsia="pt-BR"/>
              </w:rPr>
              <w:t>Clinical stabilization*</w:t>
            </w:r>
          </w:p>
        </w:tc>
        <w:tc>
          <w:tcPr>
            <w:tcW w:w="1559" w:type="dxa"/>
            <w:tcBorders>
              <w:top w:val="nil"/>
              <w:left w:val="nil"/>
              <w:bottom w:val="nil"/>
              <w:right w:val="nil"/>
            </w:tcBorders>
            <w:shd w:val="clear" w:color="000000" w:fill="FFFFFF"/>
            <w:noWrap/>
            <w:vAlign w:val="bottom"/>
            <w:hideMark/>
          </w:tcPr>
          <w:p w14:paraId="6D7ECC81"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45</w:t>
            </w:r>
          </w:p>
        </w:tc>
        <w:tc>
          <w:tcPr>
            <w:tcW w:w="1484" w:type="dxa"/>
            <w:tcBorders>
              <w:top w:val="nil"/>
              <w:left w:val="nil"/>
              <w:bottom w:val="nil"/>
              <w:right w:val="nil"/>
            </w:tcBorders>
            <w:shd w:val="clear" w:color="000000" w:fill="FFFFFF"/>
            <w:noWrap/>
            <w:vAlign w:val="bottom"/>
            <w:hideMark/>
          </w:tcPr>
          <w:p w14:paraId="347862C1"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100.0%</w:t>
            </w:r>
          </w:p>
        </w:tc>
      </w:tr>
      <w:tr w:rsidR="00B913BE" w:rsidRPr="00CB586A" w14:paraId="0A27329E"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5E04DF1A" w14:textId="10F6D6CE" w:rsidR="00B913BE" w:rsidRPr="00CB586A" w:rsidRDefault="00DF3185" w:rsidP="00CB586A">
            <w:pPr>
              <w:rPr>
                <w:rFonts w:ascii="Arial" w:hAnsi="Arial" w:cs="Arial"/>
                <w:color w:val="000000"/>
                <w:lang w:eastAsia="pt-BR"/>
              </w:rPr>
            </w:pPr>
            <w:r w:rsidRPr="00CB586A">
              <w:rPr>
                <w:rFonts w:ascii="Arial" w:hAnsi="Arial" w:cs="Arial"/>
                <w:color w:val="000000"/>
                <w:lang w:eastAsia="pt-BR"/>
              </w:rPr>
              <w:t>Etiological investigation*</w:t>
            </w:r>
          </w:p>
        </w:tc>
        <w:tc>
          <w:tcPr>
            <w:tcW w:w="1559" w:type="dxa"/>
            <w:tcBorders>
              <w:top w:val="nil"/>
              <w:left w:val="nil"/>
              <w:bottom w:val="nil"/>
              <w:right w:val="nil"/>
            </w:tcBorders>
            <w:shd w:val="clear" w:color="000000" w:fill="FFFFFF"/>
            <w:noWrap/>
            <w:vAlign w:val="bottom"/>
            <w:hideMark/>
          </w:tcPr>
          <w:p w14:paraId="7BEFE233"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42</w:t>
            </w:r>
          </w:p>
        </w:tc>
        <w:tc>
          <w:tcPr>
            <w:tcW w:w="1484" w:type="dxa"/>
            <w:tcBorders>
              <w:top w:val="nil"/>
              <w:left w:val="nil"/>
              <w:bottom w:val="nil"/>
              <w:right w:val="nil"/>
            </w:tcBorders>
            <w:shd w:val="clear" w:color="000000" w:fill="FFFFFF"/>
            <w:noWrap/>
            <w:vAlign w:val="bottom"/>
            <w:hideMark/>
          </w:tcPr>
          <w:p w14:paraId="3CC5C519"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93.3%</w:t>
            </w:r>
          </w:p>
        </w:tc>
      </w:tr>
      <w:tr w:rsidR="00B913BE" w:rsidRPr="00CB586A" w14:paraId="008D132D"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1CCD8568" w14:textId="6461CBB1" w:rsidR="00B913BE" w:rsidRPr="00CB586A" w:rsidRDefault="00DF3185" w:rsidP="00CB586A">
            <w:pPr>
              <w:rPr>
                <w:rFonts w:ascii="Arial" w:hAnsi="Arial" w:cs="Arial"/>
                <w:color w:val="000000"/>
                <w:lang w:eastAsia="pt-BR"/>
              </w:rPr>
            </w:pPr>
            <w:r w:rsidRPr="00CB586A">
              <w:rPr>
                <w:rFonts w:ascii="Arial" w:hAnsi="Arial" w:cs="Arial"/>
                <w:color w:val="000000"/>
                <w:lang w:eastAsia="pt-BR"/>
              </w:rPr>
              <w:t>Antibiotic therapy</w:t>
            </w:r>
          </w:p>
        </w:tc>
        <w:tc>
          <w:tcPr>
            <w:tcW w:w="1559" w:type="dxa"/>
            <w:tcBorders>
              <w:top w:val="nil"/>
              <w:left w:val="nil"/>
              <w:bottom w:val="nil"/>
              <w:right w:val="nil"/>
            </w:tcBorders>
            <w:shd w:val="clear" w:color="000000" w:fill="FFFFFF"/>
            <w:noWrap/>
            <w:vAlign w:val="bottom"/>
            <w:hideMark/>
          </w:tcPr>
          <w:p w14:paraId="1383AE7E"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18</w:t>
            </w:r>
          </w:p>
        </w:tc>
        <w:tc>
          <w:tcPr>
            <w:tcW w:w="1484" w:type="dxa"/>
            <w:tcBorders>
              <w:top w:val="nil"/>
              <w:left w:val="nil"/>
              <w:bottom w:val="nil"/>
              <w:right w:val="nil"/>
            </w:tcBorders>
            <w:shd w:val="clear" w:color="000000" w:fill="FFFFFF"/>
            <w:noWrap/>
            <w:vAlign w:val="bottom"/>
            <w:hideMark/>
          </w:tcPr>
          <w:p w14:paraId="3DC9C4BB"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40.0%</w:t>
            </w:r>
          </w:p>
        </w:tc>
      </w:tr>
      <w:tr w:rsidR="00B913BE" w:rsidRPr="00CB586A" w14:paraId="0EE72E9C"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3F2565A3" w14:textId="0C74177D" w:rsidR="00B913BE" w:rsidRPr="00CB586A" w:rsidRDefault="00DF3185" w:rsidP="00CB586A">
            <w:pPr>
              <w:rPr>
                <w:rFonts w:ascii="Arial" w:hAnsi="Arial" w:cs="Arial"/>
                <w:b/>
                <w:bCs/>
                <w:color w:val="000000"/>
                <w:lang w:eastAsia="pt-BR"/>
              </w:rPr>
            </w:pPr>
            <w:r w:rsidRPr="00CB586A">
              <w:rPr>
                <w:rFonts w:ascii="Arial" w:hAnsi="Arial" w:cs="Arial"/>
                <w:b/>
                <w:bCs/>
                <w:color w:val="000000"/>
                <w:lang w:eastAsia="pt-BR"/>
              </w:rPr>
              <w:t>Admission Diagnosis</w:t>
            </w:r>
          </w:p>
        </w:tc>
        <w:tc>
          <w:tcPr>
            <w:tcW w:w="1559" w:type="dxa"/>
            <w:tcBorders>
              <w:top w:val="nil"/>
              <w:left w:val="nil"/>
              <w:bottom w:val="nil"/>
              <w:right w:val="nil"/>
            </w:tcBorders>
            <w:shd w:val="clear" w:color="000000" w:fill="FFFFFF"/>
            <w:noWrap/>
            <w:vAlign w:val="bottom"/>
            <w:hideMark/>
          </w:tcPr>
          <w:p w14:paraId="18B8F237" w14:textId="77777777" w:rsidR="00B913BE" w:rsidRPr="00CB586A" w:rsidRDefault="00B913BE" w:rsidP="00A65B88">
            <w:pPr>
              <w:jc w:val="center"/>
              <w:rPr>
                <w:rFonts w:ascii="Arial" w:hAnsi="Arial" w:cs="Arial"/>
                <w:b/>
                <w:bCs/>
                <w:color w:val="000000"/>
                <w:lang w:eastAsia="pt-BR"/>
              </w:rPr>
            </w:pPr>
          </w:p>
        </w:tc>
        <w:tc>
          <w:tcPr>
            <w:tcW w:w="1484" w:type="dxa"/>
            <w:tcBorders>
              <w:top w:val="nil"/>
              <w:left w:val="nil"/>
              <w:bottom w:val="nil"/>
              <w:right w:val="nil"/>
            </w:tcBorders>
            <w:shd w:val="clear" w:color="000000" w:fill="FFFFFF"/>
            <w:noWrap/>
            <w:vAlign w:val="bottom"/>
            <w:hideMark/>
          </w:tcPr>
          <w:p w14:paraId="0A30D850" w14:textId="77777777" w:rsidR="00B913BE" w:rsidRPr="00CB586A" w:rsidRDefault="00B913BE" w:rsidP="00A65B88">
            <w:pPr>
              <w:jc w:val="center"/>
              <w:rPr>
                <w:rFonts w:ascii="Arial" w:hAnsi="Arial" w:cs="Arial"/>
                <w:b/>
                <w:bCs/>
                <w:color w:val="000000"/>
                <w:lang w:eastAsia="pt-BR"/>
              </w:rPr>
            </w:pPr>
          </w:p>
        </w:tc>
      </w:tr>
      <w:tr w:rsidR="00B913BE" w:rsidRPr="00CB586A" w14:paraId="2B801241"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55F3DD54" w14:textId="07731ED4" w:rsidR="00B913BE" w:rsidRPr="00CB586A" w:rsidRDefault="00752080" w:rsidP="00CB586A">
            <w:pPr>
              <w:rPr>
                <w:rFonts w:ascii="Arial" w:hAnsi="Arial" w:cs="Arial"/>
                <w:lang w:eastAsia="pt-BR"/>
              </w:rPr>
            </w:pPr>
            <w:r w:rsidRPr="00CB586A">
              <w:rPr>
                <w:rFonts w:ascii="Arial" w:hAnsi="Arial" w:cs="Arial"/>
                <w:lang w:eastAsia="pt-BR"/>
              </w:rPr>
              <w:t>Gastrointestinal bleeding</w:t>
            </w:r>
          </w:p>
        </w:tc>
        <w:tc>
          <w:tcPr>
            <w:tcW w:w="1559" w:type="dxa"/>
            <w:tcBorders>
              <w:top w:val="nil"/>
              <w:left w:val="nil"/>
              <w:bottom w:val="nil"/>
              <w:right w:val="nil"/>
            </w:tcBorders>
            <w:shd w:val="clear" w:color="000000" w:fill="FFFFFF"/>
            <w:noWrap/>
            <w:vAlign w:val="bottom"/>
            <w:hideMark/>
          </w:tcPr>
          <w:p w14:paraId="077EC45F" w14:textId="77777777" w:rsidR="00B913BE" w:rsidRPr="00CB586A" w:rsidRDefault="00B913BE" w:rsidP="00A65B88">
            <w:pPr>
              <w:jc w:val="center"/>
              <w:rPr>
                <w:rFonts w:ascii="Arial" w:hAnsi="Arial" w:cs="Arial"/>
                <w:lang w:eastAsia="pt-BR"/>
              </w:rPr>
            </w:pPr>
            <w:r w:rsidRPr="00CB586A">
              <w:rPr>
                <w:rFonts w:ascii="Arial" w:hAnsi="Arial" w:cs="Arial"/>
                <w:lang w:eastAsia="pt-BR"/>
              </w:rPr>
              <w:t>11</w:t>
            </w:r>
          </w:p>
        </w:tc>
        <w:tc>
          <w:tcPr>
            <w:tcW w:w="1484" w:type="dxa"/>
            <w:tcBorders>
              <w:top w:val="nil"/>
              <w:left w:val="nil"/>
              <w:bottom w:val="nil"/>
              <w:right w:val="nil"/>
            </w:tcBorders>
            <w:shd w:val="clear" w:color="000000" w:fill="FFFFFF"/>
            <w:noWrap/>
            <w:vAlign w:val="bottom"/>
            <w:hideMark/>
          </w:tcPr>
          <w:p w14:paraId="254036B9" w14:textId="77777777" w:rsidR="00B913BE" w:rsidRPr="00CB586A" w:rsidRDefault="00B913BE" w:rsidP="00A65B88">
            <w:pPr>
              <w:jc w:val="center"/>
              <w:rPr>
                <w:rFonts w:ascii="Arial" w:hAnsi="Arial" w:cs="Arial"/>
                <w:lang w:eastAsia="pt-BR"/>
              </w:rPr>
            </w:pPr>
            <w:r w:rsidRPr="00CB586A">
              <w:rPr>
                <w:rFonts w:ascii="Arial" w:hAnsi="Arial" w:cs="Arial"/>
                <w:lang w:eastAsia="pt-BR"/>
              </w:rPr>
              <w:t>24.4%</w:t>
            </w:r>
          </w:p>
        </w:tc>
      </w:tr>
      <w:tr w:rsidR="00B913BE" w:rsidRPr="00CB586A" w14:paraId="5B042894"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6B49002F" w14:textId="08D9F9BC" w:rsidR="00B913BE" w:rsidRPr="00CB586A" w:rsidRDefault="00752080" w:rsidP="00CB586A">
            <w:pPr>
              <w:rPr>
                <w:rFonts w:ascii="Arial" w:hAnsi="Arial" w:cs="Arial"/>
                <w:lang w:eastAsia="pt-BR"/>
              </w:rPr>
            </w:pPr>
            <w:r w:rsidRPr="00CB586A">
              <w:rPr>
                <w:rFonts w:ascii="Arial" w:hAnsi="Arial" w:cs="Arial"/>
                <w:lang w:eastAsia="pt-BR"/>
              </w:rPr>
              <w:t>Consumptive syndrome</w:t>
            </w:r>
          </w:p>
        </w:tc>
        <w:tc>
          <w:tcPr>
            <w:tcW w:w="1559" w:type="dxa"/>
            <w:tcBorders>
              <w:top w:val="nil"/>
              <w:left w:val="nil"/>
              <w:bottom w:val="nil"/>
              <w:right w:val="nil"/>
            </w:tcBorders>
            <w:shd w:val="clear" w:color="000000" w:fill="FFFFFF"/>
            <w:noWrap/>
            <w:vAlign w:val="bottom"/>
            <w:hideMark/>
          </w:tcPr>
          <w:p w14:paraId="6A98EA3B" w14:textId="77777777" w:rsidR="00B913BE" w:rsidRPr="00CB586A" w:rsidRDefault="00B913BE" w:rsidP="00A65B88">
            <w:pPr>
              <w:jc w:val="center"/>
              <w:rPr>
                <w:rFonts w:ascii="Arial" w:hAnsi="Arial" w:cs="Arial"/>
                <w:lang w:eastAsia="pt-BR"/>
              </w:rPr>
            </w:pPr>
            <w:r w:rsidRPr="00CB586A">
              <w:rPr>
                <w:rFonts w:ascii="Arial" w:hAnsi="Arial" w:cs="Arial"/>
                <w:lang w:eastAsia="pt-BR"/>
              </w:rPr>
              <w:t>10</w:t>
            </w:r>
          </w:p>
        </w:tc>
        <w:tc>
          <w:tcPr>
            <w:tcW w:w="1484" w:type="dxa"/>
            <w:tcBorders>
              <w:top w:val="nil"/>
              <w:left w:val="nil"/>
              <w:bottom w:val="nil"/>
              <w:right w:val="nil"/>
            </w:tcBorders>
            <w:shd w:val="clear" w:color="000000" w:fill="FFFFFF"/>
            <w:noWrap/>
            <w:vAlign w:val="bottom"/>
            <w:hideMark/>
          </w:tcPr>
          <w:p w14:paraId="075ECDA7" w14:textId="77777777" w:rsidR="00B913BE" w:rsidRPr="00CB586A" w:rsidRDefault="00B913BE" w:rsidP="00A65B88">
            <w:pPr>
              <w:jc w:val="center"/>
              <w:rPr>
                <w:rFonts w:ascii="Arial" w:hAnsi="Arial" w:cs="Arial"/>
                <w:lang w:eastAsia="pt-BR"/>
              </w:rPr>
            </w:pPr>
            <w:r w:rsidRPr="00CB586A">
              <w:rPr>
                <w:rFonts w:ascii="Arial" w:hAnsi="Arial" w:cs="Arial"/>
                <w:lang w:eastAsia="pt-BR"/>
              </w:rPr>
              <w:t>22.2%</w:t>
            </w:r>
          </w:p>
        </w:tc>
      </w:tr>
      <w:tr w:rsidR="00B913BE" w:rsidRPr="00CB586A" w14:paraId="67DF53E0"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49959659" w14:textId="3219B54B" w:rsidR="00B913BE" w:rsidRPr="00CB586A" w:rsidRDefault="00752080" w:rsidP="00CB586A">
            <w:pPr>
              <w:rPr>
                <w:rFonts w:ascii="Arial" w:hAnsi="Arial" w:cs="Arial"/>
                <w:lang w:eastAsia="pt-BR"/>
              </w:rPr>
            </w:pPr>
            <w:r w:rsidRPr="00CB586A">
              <w:rPr>
                <w:rFonts w:ascii="Arial" w:hAnsi="Arial" w:cs="Arial"/>
                <w:lang w:eastAsia="pt-BR"/>
              </w:rPr>
              <w:t>Decompensated heart failure</w:t>
            </w:r>
          </w:p>
        </w:tc>
        <w:tc>
          <w:tcPr>
            <w:tcW w:w="1559" w:type="dxa"/>
            <w:tcBorders>
              <w:top w:val="nil"/>
              <w:left w:val="nil"/>
              <w:bottom w:val="nil"/>
              <w:right w:val="nil"/>
            </w:tcBorders>
            <w:shd w:val="clear" w:color="000000" w:fill="FFFFFF"/>
            <w:noWrap/>
            <w:vAlign w:val="bottom"/>
            <w:hideMark/>
          </w:tcPr>
          <w:p w14:paraId="0AB5B358" w14:textId="77777777" w:rsidR="00B913BE" w:rsidRPr="00CB586A" w:rsidRDefault="00B913BE" w:rsidP="00A65B88">
            <w:pPr>
              <w:jc w:val="center"/>
              <w:rPr>
                <w:rFonts w:ascii="Arial" w:hAnsi="Arial" w:cs="Arial"/>
                <w:lang w:eastAsia="pt-BR"/>
              </w:rPr>
            </w:pPr>
            <w:r w:rsidRPr="00CB586A">
              <w:rPr>
                <w:rFonts w:ascii="Arial" w:hAnsi="Arial" w:cs="Arial"/>
                <w:lang w:eastAsia="pt-BR"/>
              </w:rPr>
              <w:t>7</w:t>
            </w:r>
          </w:p>
        </w:tc>
        <w:tc>
          <w:tcPr>
            <w:tcW w:w="1484" w:type="dxa"/>
            <w:tcBorders>
              <w:top w:val="nil"/>
              <w:left w:val="nil"/>
              <w:bottom w:val="nil"/>
              <w:right w:val="nil"/>
            </w:tcBorders>
            <w:shd w:val="clear" w:color="000000" w:fill="FFFFFF"/>
            <w:noWrap/>
            <w:vAlign w:val="bottom"/>
            <w:hideMark/>
          </w:tcPr>
          <w:p w14:paraId="77ADF6BB" w14:textId="77777777" w:rsidR="00B913BE" w:rsidRPr="00CB586A" w:rsidRDefault="00B913BE" w:rsidP="00A65B88">
            <w:pPr>
              <w:jc w:val="center"/>
              <w:rPr>
                <w:rFonts w:ascii="Arial" w:hAnsi="Arial" w:cs="Arial"/>
                <w:lang w:eastAsia="pt-BR"/>
              </w:rPr>
            </w:pPr>
            <w:r w:rsidRPr="00CB586A">
              <w:rPr>
                <w:rFonts w:ascii="Arial" w:hAnsi="Arial" w:cs="Arial"/>
                <w:lang w:eastAsia="pt-BR"/>
              </w:rPr>
              <w:t>15.6%</w:t>
            </w:r>
          </w:p>
        </w:tc>
      </w:tr>
      <w:tr w:rsidR="00B913BE" w:rsidRPr="00CB586A" w14:paraId="1526F55A"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7DA1A099" w14:textId="2A9EC2F4" w:rsidR="00B913BE" w:rsidRPr="00CB586A" w:rsidRDefault="00752080" w:rsidP="00CB586A">
            <w:pPr>
              <w:rPr>
                <w:rFonts w:ascii="Arial" w:hAnsi="Arial" w:cs="Arial"/>
                <w:lang w:eastAsia="pt-BR"/>
              </w:rPr>
            </w:pPr>
            <w:r w:rsidRPr="00CB586A">
              <w:rPr>
                <w:rFonts w:ascii="Arial" w:hAnsi="Arial" w:cs="Arial"/>
                <w:lang w:eastAsia="pt-BR"/>
              </w:rPr>
              <w:t>COPD</w:t>
            </w:r>
          </w:p>
        </w:tc>
        <w:tc>
          <w:tcPr>
            <w:tcW w:w="1559" w:type="dxa"/>
            <w:tcBorders>
              <w:top w:val="nil"/>
              <w:left w:val="nil"/>
              <w:bottom w:val="nil"/>
              <w:right w:val="nil"/>
            </w:tcBorders>
            <w:shd w:val="clear" w:color="000000" w:fill="FFFFFF"/>
            <w:noWrap/>
            <w:vAlign w:val="bottom"/>
            <w:hideMark/>
          </w:tcPr>
          <w:p w14:paraId="3C9B00D3" w14:textId="77777777" w:rsidR="00B913BE" w:rsidRPr="00CB586A" w:rsidRDefault="00B913BE" w:rsidP="00A65B88">
            <w:pPr>
              <w:jc w:val="center"/>
              <w:rPr>
                <w:rFonts w:ascii="Arial" w:hAnsi="Arial" w:cs="Arial"/>
                <w:lang w:eastAsia="pt-BR"/>
              </w:rPr>
            </w:pPr>
            <w:r w:rsidRPr="00CB586A">
              <w:rPr>
                <w:rFonts w:ascii="Arial" w:hAnsi="Arial" w:cs="Arial"/>
                <w:lang w:eastAsia="pt-BR"/>
              </w:rPr>
              <w:t>6</w:t>
            </w:r>
          </w:p>
        </w:tc>
        <w:tc>
          <w:tcPr>
            <w:tcW w:w="1484" w:type="dxa"/>
            <w:tcBorders>
              <w:top w:val="nil"/>
              <w:left w:val="nil"/>
              <w:bottom w:val="nil"/>
              <w:right w:val="nil"/>
            </w:tcBorders>
            <w:shd w:val="clear" w:color="000000" w:fill="FFFFFF"/>
            <w:noWrap/>
            <w:vAlign w:val="bottom"/>
            <w:hideMark/>
          </w:tcPr>
          <w:p w14:paraId="217B6037" w14:textId="77777777" w:rsidR="00B913BE" w:rsidRPr="00CB586A" w:rsidRDefault="00B913BE" w:rsidP="00A65B88">
            <w:pPr>
              <w:jc w:val="center"/>
              <w:rPr>
                <w:rFonts w:ascii="Arial" w:hAnsi="Arial" w:cs="Arial"/>
                <w:lang w:eastAsia="pt-BR"/>
              </w:rPr>
            </w:pPr>
            <w:r w:rsidRPr="00CB586A">
              <w:rPr>
                <w:rFonts w:ascii="Arial" w:hAnsi="Arial" w:cs="Arial"/>
                <w:lang w:eastAsia="pt-BR"/>
              </w:rPr>
              <w:t>13.3%</w:t>
            </w:r>
          </w:p>
        </w:tc>
      </w:tr>
      <w:tr w:rsidR="00B913BE" w:rsidRPr="00CB586A" w14:paraId="4B5E5C0A"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129F293B" w14:textId="7EAD5D60" w:rsidR="00B913BE" w:rsidRPr="00CB586A" w:rsidRDefault="00257741" w:rsidP="00CB586A">
            <w:pPr>
              <w:rPr>
                <w:rFonts w:ascii="Arial" w:hAnsi="Arial" w:cs="Arial"/>
                <w:lang w:eastAsia="pt-BR"/>
              </w:rPr>
            </w:pPr>
            <w:r w:rsidRPr="00CB586A">
              <w:rPr>
                <w:rFonts w:ascii="Arial" w:hAnsi="Arial" w:cs="Arial"/>
                <w:lang w:eastAsia="pt-BR"/>
              </w:rPr>
              <w:t>Infection</w:t>
            </w:r>
          </w:p>
        </w:tc>
        <w:tc>
          <w:tcPr>
            <w:tcW w:w="1559" w:type="dxa"/>
            <w:tcBorders>
              <w:top w:val="nil"/>
              <w:left w:val="nil"/>
              <w:bottom w:val="nil"/>
              <w:right w:val="nil"/>
            </w:tcBorders>
            <w:shd w:val="clear" w:color="000000" w:fill="FFFFFF"/>
            <w:noWrap/>
            <w:vAlign w:val="bottom"/>
            <w:hideMark/>
          </w:tcPr>
          <w:p w14:paraId="7EFD845C" w14:textId="77777777" w:rsidR="00B913BE" w:rsidRPr="00CB586A" w:rsidRDefault="00B913BE" w:rsidP="00A65B88">
            <w:pPr>
              <w:jc w:val="center"/>
              <w:rPr>
                <w:rFonts w:ascii="Arial" w:hAnsi="Arial" w:cs="Arial"/>
                <w:lang w:eastAsia="pt-BR"/>
              </w:rPr>
            </w:pPr>
            <w:r w:rsidRPr="00CB586A">
              <w:rPr>
                <w:rFonts w:ascii="Arial" w:hAnsi="Arial" w:cs="Arial"/>
                <w:lang w:eastAsia="pt-BR"/>
              </w:rPr>
              <w:t>6</w:t>
            </w:r>
          </w:p>
        </w:tc>
        <w:tc>
          <w:tcPr>
            <w:tcW w:w="1484" w:type="dxa"/>
            <w:tcBorders>
              <w:top w:val="nil"/>
              <w:left w:val="nil"/>
              <w:bottom w:val="nil"/>
              <w:right w:val="nil"/>
            </w:tcBorders>
            <w:shd w:val="clear" w:color="000000" w:fill="FFFFFF"/>
            <w:noWrap/>
            <w:vAlign w:val="bottom"/>
            <w:hideMark/>
          </w:tcPr>
          <w:p w14:paraId="5ECBCC02" w14:textId="77777777" w:rsidR="00B913BE" w:rsidRPr="00CB586A" w:rsidRDefault="00B913BE" w:rsidP="00A65B88">
            <w:pPr>
              <w:jc w:val="center"/>
              <w:rPr>
                <w:rFonts w:ascii="Arial" w:hAnsi="Arial" w:cs="Arial"/>
                <w:lang w:eastAsia="pt-BR"/>
              </w:rPr>
            </w:pPr>
            <w:r w:rsidRPr="00CB586A">
              <w:rPr>
                <w:rFonts w:ascii="Arial" w:hAnsi="Arial" w:cs="Arial"/>
                <w:lang w:eastAsia="pt-BR"/>
              </w:rPr>
              <w:t>13.3%</w:t>
            </w:r>
          </w:p>
        </w:tc>
      </w:tr>
      <w:tr w:rsidR="00B913BE" w:rsidRPr="00CB586A" w14:paraId="1551E769"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7DFDDA60" w14:textId="63B5EAC1" w:rsidR="00B913BE" w:rsidRPr="00CB586A" w:rsidRDefault="00257741" w:rsidP="00CB586A">
            <w:pPr>
              <w:rPr>
                <w:rFonts w:ascii="Arial" w:hAnsi="Arial" w:cs="Arial"/>
                <w:lang w:eastAsia="pt-BR"/>
              </w:rPr>
            </w:pPr>
            <w:r w:rsidRPr="00CB586A">
              <w:rPr>
                <w:rFonts w:ascii="Arial" w:hAnsi="Arial" w:cs="Arial"/>
                <w:lang w:eastAsia="pt-BR"/>
              </w:rPr>
              <w:t>Stroke</w:t>
            </w:r>
          </w:p>
        </w:tc>
        <w:tc>
          <w:tcPr>
            <w:tcW w:w="1559" w:type="dxa"/>
            <w:tcBorders>
              <w:top w:val="nil"/>
              <w:left w:val="nil"/>
              <w:bottom w:val="nil"/>
              <w:right w:val="nil"/>
            </w:tcBorders>
            <w:shd w:val="clear" w:color="000000" w:fill="FFFFFF"/>
            <w:noWrap/>
            <w:vAlign w:val="bottom"/>
            <w:hideMark/>
          </w:tcPr>
          <w:p w14:paraId="0EAF808D" w14:textId="77777777" w:rsidR="00B913BE" w:rsidRPr="00CB586A" w:rsidRDefault="00B913BE" w:rsidP="00A65B88">
            <w:pPr>
              <w:jc w:val="center"/>
              <w:rPr>
                <w:rFonts w:ascii="Arial" w:hAnsi="Arial" w:cs="Arial"/>
                <w:lang w:eastAsia="pt-BR"/>
              </w:rPr>
            </w:pPr>
            <w:r w:rsidRPr="00CB586A">
              <w:rPr>
                <w:rFonts w:ascii="Arial" w:hAnsi="Arial" w:cs="Arial"/>
                <w:lang w:eastAsia="pt-BR"/>
              </w:rPr>
              <w:t>3</w:t>
            </w:r>
          </w:p>
        </w:tc>
        <w:tc>
          <w:tcPr>
            <w:tcW w:w="1484" w:type="dxa"/>
            <w:tcBorders>
              <w:top w:val="nil"/>
              <w:left w:val="nil"/>
              <w:bottom w:val="nil"/>
              <w:right w:val="nil"/>
            </w:tcBorders>
            <w:shd w:val="clear" w:color="000000" w:fill="FFFFFF"/>
            <w:noWrap/>
            <w:vAlign w:val="bottom"/>
            <w:hideMark/>
          </w:tcPr>
          <w:p w14:paraId="7DE35572" w14:textId="77777777" w:rsidR="00B913BE" w:rsidRPr="00CB586A" w:rsidRDefault="00B913BE" w:rsidP="00A65B88">
            <w:pPr>
              <w:jc w:val="center"/>
              <w:rPr>
                <w:rFonts w:ascii="Arial" w:hAnsi="Arial" w:cs="Arial"/>
                <w:lang w:eastAsia="pt-BR"/>
              </w:rPr>
            </w:pPr>
            <w:r w:rsidRPr="00CB586A">
              <w:rPr>
                <w:rFonts w:ascii="Arial" w:hAnsi="Arial" w:cs="Arial"/>
                <w:lang w:eastAsia="pt-BR"/>
              </w:rPr>
              <w:t>6.7%</w:t>
            </w:r>
          </w:p>
        </w:tc>
      </w:tr>
      <w:tr w:rsidR="00B913BE" w:rsidRPr="00CB586A" w14:paraId="33AD86CA"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02275754" w14:textId="52D60FB6" w:rsidR="00B913BE" w:rsidRPr="00CB586A" w:rsidRDefault="00DB49F4" w:rsidP="00CB586A">
            <w:pPr>
              <w:rPr>
                <w:rFonts w:ascii="Arial" w:hAnsi="Arial" w:cs="Arial"/>
                <w:lang w:eastAsia="pt-BR"/>
              </w:rPr>
            </w:pPr>
            <w:r w:rsidRPr="00CB586A">
              <w:rPr>
                <w:rFonts w:ascii="Arial" w:hAnsi="Arial" w:cs="Arial"/>
                <w:lang w:eastAsia="pt-BR"/>
              </w:rPr>
              <w:t>Myocardial infarction</w:t>
            </w:r>
          </w:p>
        </w:tc>
        <w:tc>
          <w:tcPr>
            <w:tcW w:w="1559" w:type="dxa"/>
            <w:tcBorders>
              <w:top w:val="nil"/>
              <w:left w:val="nil"/>
              <w:bottom w:val="nil"/>
              <w:right w:val="nil"/>
            </w:tcBorders>
            <w:shd w:val="clear" w:color="000000" w:fill="FFFFFF"/>
            <w:noWrap/>
            <w:vAlign w:val="bottom"/>
            <w:hideMark/>
          </w:tcPr>
          <w:p w14:paraId="3A4DDD20" w14:textId="77777777" w:rsidR="00B913BE" w:rsidRPr="00CB586A" w:rsidRDefault="00B913BE" w:rsidP="00A65B88">
            <w:pPr>
              <w:jc w:val="center"/>
              <w:rPr>
                <w:rFonts w:ascii="Arial" w:hAnsi="Arial" w:cs="Arial"/>
                <w:lang w:eastAsia="pt-BR"/>
              </w:rPr>
            </w:pPr>
            <w:r w:rsidRPr="00CB586A">
              <w:rPr>
                <w:rFonts w:ascii="Arial" w:hAnsi="Arial" w:cs="Arial"/>
                <w:lang w:eastAsia="pt-BR"/>
              </w:rPr>
              <w:t>1</w:t>
            </w:r>
          </w:p>
        </w:tc>
        <w:tc>
          <w:tcPr>
            <w:tcW w:w="1484" w:type="dxa"/>
            <w:tcBorders>
              <w:top w:val="nil"/>
              <w:left w:val="nil"/>
              <w:bottom w:val="nil"/>
              <w:right w:val="nil"/>
            </w:tcBorders>
            <w:shd w:val="clear" w:color="000000" w:fill="FFFFFF"/>
            <w:noWrap/>
            <w:vAlign w:val="bottom"/>
            <w:hideMark/>
          </w:tcPr>
          <w:p w14:paraId="5828E387" w14:textId="77777777" w:rsidR="00B913BE" w:rsidRPr="00CB586A" w:rsidRDefault="00B913BE" w:rsidP="00A65B88">
            <w:pPr>
              <w:jc w:val="center"/>
              <w:rPr>
                <w:rFonts w:ascii="Arial" w:hAnsi="Arial" w:cs="Arial"/>
                <w:lang w:eastAsia="pt-BR"/>
              </w:rPr>
            </w:pPr>
            <w:r w:rsidRPr="00CB586A">
              <w:rPr>
                <w:rFonts w:ascii="Arial" w:hAnsi="Arial" w:cs="Arial"/>
                <w:lang w:eastAsia="pt-BR"/>
              </w:rPr>
              <w:t>2.2%</w:t>
            </w:r>
          </w:p>
        </w:tc>
      </w:tr>
      <w:tr w:rsidR="00B913BE" w:rsidRPr="00CB586A" w14:paraId="7ED23B1C"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2318B792" w14:textId="76233E1C" w:rsidR="00B913BE" w:rsidRPr="00CB586A" w:rsidRDefault="00500D52" w:rsidP="00CB586A">
            <w:pPr>
              <w:rPr>
                <w:rFonts w:ascii="Arial" w:hAnsi="Arial" w:cs="Arial"/>
                <w:lang w:eastAsia="pt-BR"/>
              </w:rPr>
            </w:pPr>
            <w:r w:rsidRPr="00CB586A">
              <w:rPr>
                <w:rFonts w:ascii="Arial" w:hAnsi="Arial" w:cs="Arial"/>
                <w:lang w:eastAsia="pt-BR"/>
              </w:rPr>
              <w:t>Acute renal failure</w:t>
            </w:r>
          </w:p>
        </w:tc>
        <w:tc>
          <w:tcPr>
            <w:tcW w:w="1559" w:type="dxa"/>
            <w:tcBorders>
              <w:top w:val="nil"/>
              <w:left w:val="nil"/>
              <w:bottom w:val="nil"/>
              <w:right w:val="nil"/>
            </w:tcBorders>
            <w:shd w:val="clear" w:color="000000" w:fill="FFFFFF"/>
            <w:noWrap/>
            <w:vAlign w:val="bottom"/>
            <w:hideMark/>
          </w:tcPr>
          <w:p w14:paraId="06471AC2" w14:textId="77777777" w:rsidR="00B913BE" w:rsidRPr="00CB586A" w:rsidRDefault="00B913BE" w:rsidP="00A65B88">
            <w:pPr>
              <w:jc w:val="center"/>
              <w:rPr>
                <w:rFonts w:ascii="Arial" w:hAnsi="Arial" w:cs="Arial"/>
                <w:lang w:eastAsia="pt-BR"/>
              </w:rPr>
            </w:pPr>
            <w:r w:rsidRPr="00CB586A">
              <w:rPr>
                <w:rFonts w:ascii="Arial" w:hAnsi="Arial" w:cs="Arial"/>
                <w:lang w:eastAsia="pt-BR"/>
              </w:rPr>
              <w:t>1</w:t>
            </w:r>
          </w:p>
        </w:tc>
        <w:tc>
          <w:tcPr>
            <w:tcW w:w="1484" w:type="dxa"/>
            <w:tcBorders>
              <w:top w:val="nil"/>
              <w:left w:val="nil"/>
              <w:bottom w:val="nil"/>
              <w:right w:val="nil"/>
            </w:tcBorders>
            <w:shd w:val="clear" w:color="000000" w:fill="FFFFFF"/>
            <w:noWrap/>
            <w:vAlign w:val="bottom"/>
            <w:hideMark/>
          </w:tcPr>
          <w:p w14:paraId="70DA3939" w14:textId="77777777" w:rsidR="00B913BE" w:rsidRPr="00CB586A" w:rsidRDefault="00B913BE" w:rsidP="00A65B88">
            <w:pPr>
              <w:jc w:val="center"/>
              <w:rPr>
                <w:rFonts w:ascii="Arial" w:hAnsi="Arial" w:cs="Arial"/>
                <w:lang w:eastAsia="pt-BR"/>
              </w:rPr>
            </w:pPr>
            <w:r w:rsidRPr="00CB586A">
              <w:rPr>
                <w:rFonts w:ascii="Arial" w:hAnsi="Arial" w:cs="Arial"/>
                <w:lang w:eastAsia="pt-BR"/>
              </w:rPr>
              <w:t>2.2%</w:t>
            </w:r>
          </w:p>
        </w:tc>
      </w:tr>
      <w:tr w:rsidR="00B913BE" w:rsidRPr="00CB586A" w14:paraId="54AE1D66"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6232A7AB" w14:textId="1836AA4E" w:rsidR="00B913BE" w:rsidRPr="00CB586A" w:rsidRDefault="00500D52" w:rsidP="00CB586A">
            <w:pPr>
              <w:rPr>
                <w:rFonts w:ascii="Arial" w:hAnsi="Arial" w:cs="Arial"/>
                <w:lang w:eastAsia="pt-BR"/>
              </w:rPr>
            </w:pPr>
            <w:r w:rsidRPr="00CB586A">
              <w:rPr>
                <w:rFonts w:ascii="Arial" w:hAnsi="Arial" w:cs="Arial"/>
                <w:lang w:eastAsia="pt-BR"/>
              </w:rPr>
              <w:t>Acute arterial occlusion</w:t>
            </w:r>
          </w:p>
        </w:tc>
        <w:tc>
          <w:tcPr>
            <w:tcW w:w="1559" w:type="dxa"/>
            <w:tcBorders>
              <w:top w:val="nil"/>
              <w:left w:val="nil"/>
              <w:bottom w:val="nil"/>
              <w:right w:val="nil"/>
            </w:tcBorders>
            <w:shd w:val="clear" w:color="000000" w:fill="FFFFFF"/>
            <w:noWrap/>
            <w:vAlign w:val="bottom"/>
            <w:hideMark/>
          </w:tcPr>
          <w:p w14:paraId="4C5726C2" w14:textId="77777777" w:rsidR="00B913BE" w:rsidRPr="00CB586A" w:rsidRDefault="00B913BE" w:rsidP="00A65B88">
            <w:pPr>
              <w:jc w:val="center"/>
              <w:rPr>
                <w:rFonts w:ascii="Arial" w:hAnsi="Arial" w:cs="Arial"/>
                <w:lang w:eastAsia="pt-BR"/>
              </w:rPr>
            </w:pPr>
            <w:r w:rsidRPr="00CB586A">
              <w:rPr>
                <w:rFonts w:ascii="Arial" w:hAnsi="Arial" w:cs="Arial"/>
                <w:lang w:eastAsia="pt-BR"/>
              </w:rPr>
              <w:t>1</w:t>
            </w:r>
          </w:p>
        </w:tc>
        <w:tc>
          <w:tcPr>
            <w:tcW w:w="1484" w:type="dxa"/>
            <w:tcBorders>
              <w:top w:val="nil"/>
              <w:left w:val="nil"/>
              <w:bottom w:val="nil"/>
              <w:right w:val="nil"/>
            </w:tcBorders>
            <w:shd w:val="clear" w:color="000000" w:fill="FFFFFF"/>
            <w:noWrap/>
            <w:vAlign w:val="bottom"/>
            <w:hideMark/>
          </w:tcPr>
          <w:p w14:paraId="4676BFEF" w14:textId="77777777" w:rsidR="00B913BE" w:rsidRPr="00CB586A" w:rsidRDefault="00B913BE" w:rsidP="00A65B88">
            <w:pPr>
              <w:jc w:val="center"/>
              <w:rPr>
                <w:rFonts w:ascii="Arial" w:hAnsi="Arial" w:cs="Arial"/>
                <w:lang w:eastAsia="pt-BR"/>
              </w:rPr>
            </w:pPr>
            <w:r w:rsidRPr="00CB586A">
              <w:rPr>
                <w:rFonts w:ascii="Arial" w:hAnsi="Arial" w:cs="Arial"/>
                <w:lang w:eastAsia="pt-BR"/>
              </w:rPr>
              <w:t>2.2%</w:t>
            </w:r>
          </w:p>
        </w:tc>
      </w:tr>
      <w:tr w:rsidR="00B913BE" w:rsidRPr="00CB586A" w14:paraId="341D87FA" w14:textId="77777777" w:rsidTr="00CB586A">
        <w:trPr>
          <w:trHeight w:val="355"/>
          <w:jc w:val="center"/>
        </w:trPr>
        <w:tc>
          <w:tcPr>
            <w:tcW w:w="3815" w:type="dxa"/>
            <w:tcBorders>
              <w:top w:val="nil"/>
              <w:left w:val="nil"/>
              <w:bottom w:val="single" w:sz="8" w:space="0" w:color="auto"/>
              <w:right w:val="nil"/>
            </w:tcBorders>
            <w:shd w:val="clear" w:color="000000" w:fill="FFFFFF"/>
            <w:noWrap/>
            <w:vAlign w:val="bottom"/>
            <w:hideMark/>
          </w:tcPr>
          <w:p w14:paraId="36AAA946" w14:textId="07303707" w:rsidR="00B913BE" w:rsidRPr="00CB586A" w:rsidRDefault="00500D52" w:rsidP="00CB586A">
            <w:pPr>
              <w:rPr>
                <w:rFonts w:ascii="Arial" w:hAnsi="Arial" w:cs="Arial"/>
                <w:lang w:eastAsia="pt-BR"/>
              </w:rPr>
            </w:pPr>
            <w:r w:rsidRPr="00CB586A">
              <w:rPr>
                <w:rFonts w:ascii="Arial" w:hAnsi="Arial" w:cs="Arial"/>
                <w:lang w:eastAsia="pt-BR"/>
              </w:rPr>
              <w:t>No information</w:t>
            </w:r>
          </w:p>
        </w:tc>
        <w:tc>
          <w:tcPr>
            <w:tcW w:w="1559" w:type="dxa"/>
            <w:tcBorders>
              <w:top w:val="nil"/>
              <w:left w:val="nil"/>
              <w:bottom w:val="single" w:sz="8" w:space="0" w:color="auto"/>
              <w:right w:val="nil"/>
            </w:tcBorders>
            <w:shd w:val="clear" w:color="000000" w:fill="FFFFFF"/>
            <w:noWrap/>
            <w:vAlign w:val="bottom"/>
            <w:hideMark/>
          </w:tcPr>
          <w:p w14:paraId="4C2CA664" w14:textId="77777777" w:rsidR="00B913BE" w:rsidRPr="00CB586A" w:rsidRDefault="00B913BE" w:rsidP="00A65B88">
            <w:pPr>
              <w:jc w:val="center"/>
              <w:rPr>
                <w:rFonts w:ascii="Arial" w:hAnsi="Arial" w:cs="Arial"/>
                <w:lang w:eastAsia="pt-BR"/>
              </w:rPr>
            </w:pPr>
            <w:r w:rsidRPr="00CB586A">
              <w:rPr>
                <w:rFonts w:ascii="Arial" w:hAnsi="Arial" w:cs="Arial"/>
                <w:lang w:eastAsia="pt-BR"/>
              </w:rPr>
              <w:t>14</w:t>
            </w:r>
          </w:p>
        </w:tc>
        <w:tc>
          <w:tcPr>
            <w:tcW w:w="1484" w:type="dxa"/>
            <w:tcBorders>
              <w:top w:val="nil"/>
              <w:left w:val="nil"/>
              <w:bottom w:val="single" w:sz="8" w:space="0" w:color="auto"/>
              <w:right w:val="nil"/>
            </w:tcBorders>
            <w:shd w:val="clear" w:color="000000" w:fill="FFFFFF"/>
            <w:noWrap/>
            <w:vAlign w:val="bottom"/>
            <w:hideMark/>
          </w:tcPr>
          <w:p w14:paraId="67F81A80" w14:textId="77777777" w:rsidR="00B913BE" w:rsidRPr="00CB586A" w:rsidRDefault="00B913BE" w:rsidP="00A65B88">
            <w:pPr>
              <w:jc w:val="center"/>
              <w:rPr>
                <w:rFonts w:ascii="Arial" w:hAnsi="Arial" w:cs="Arial"/>
                <w:lang w:eastAsia="pt-BR"/>
              </w:rPr>
            </w:pPr>
            <w:r w:rsidRPr="00CB586A">
              <w:rPr>
                <w:rFonts w:ascii="Arial" w:hAnsi="Arial" w:cs="Arial"/>
                <w:lang w:eastAsia="pt-BR"/>
              </w:rPr>
              <w:t>31.1%</w:t>
            </w:r>
          </w:p>
        </w:tc>
      </w:tr>
    </w:tbl>
    <w:p w14:paraId="6BF655BD" w14:textId="28847E97" w:rsidR="00B913BE" w:rsidRPr="00CB586A" w:rsidRDefault="00B913BE" w:rsidP="00B913BE">
      <w:pPr>
        <w:rPr>
          <w:rFonts w:ascii="Arial" w:hAnsi="Arial" w:cs="Arial"/>
          <w:sz w:val="16"/>
          <w:szCs w:val="16"/>
        </w:rPr>
      </w:pPr>
      <w:r w:rsidRPr="001B71DC">
        <w:rPr>
          <w:rFonts w:ascii="Arial" w:hAnsi="Arial" w:cs="Arial"/>
          <w:sz w:val="16"/>
          <w:szCs w:val="16"/>
        </w:rPr>
        <w:t xml:space="preserve">       </w:t>
      </w:r>
      <w:r w:rsidR="00CB586A" w:rsidRPr="00CB586A">
        <w:rPr>
          <w:rFonts w:ascii="Arial" w:hAnsi="Arial" w:cs="Arial"/>
          <w:sz w:val="16"/>
          <w:szCs w:val="16"/>
        </w:rPr>
        <w:t xml:space="preserve">Source: Applied protocol; </w:t>
      </w:r>
      <w:r w:rsidR="00CB586A" w:rsidRPr="00CB586A">
        <w:rPr>
          <w:rFonts w:ascii="Arial" w:hAnsi="Arial" w:cs="Arial"/>
          <w:i/>
          <w:iCs/>
          <w:sz w:val="16"/>
          <w:szCs w:val="16"/>
        </w:rPr>
        <w:t>p &lt; 0.0001 (G Test for Goodness-of-Fit).</w:t>
      </w:r>
    </w:p>
    <w:p w14:paraId="1ECCD69F" w14:textId="77777777" w:rsidR="00CB586A" w:rsidRDefault="00CB586A" w:rsidP="00193003">
      <w:pPr>
        <w:spacing w:after="240"/>
        <w:jc w:val="both"/>
        <w:rPr>
          <w:rFonts w:ascii="Arial" w:hAnsi="Arial" w:cs="Arial"/>
        </w:rPr>
      </w:pPr>
    </w:p>
    <w:p w14:paraId="3028447E" w14:textId="77777777" w:rsidR="00B9171E" w:rsidRDefault="00B9171E" w:rsidP="00DC38A6">
      <w:pPr>
        <w:spacing w:before="240" w:after="240"/>
        <w:contextualSpacing/>
        <w:jc w:val="both"/>
        <w:rPr>
          <w:rFonts w:ascii="Arial" w:hAnsi="Arial" w:cs="Arial"/>
        </w:rPr>
      </w:pPr>
      <w:r w:rsidRPr="00B9171E">
        <w:rPr>
          <w:rFonts w:ascii="Arial" w:hAnsi="Arial" w:cs="Arial"/>
        </w:rPr>
        <w:t>Regarding the Clinical Frailty Scale (CFS), a statistically significant difference was observed among the proportions of the classifications (p = 0.0282). The most frequent categories were “Regular” (28.9%) and “Moderately frail” (22.2%), whereas only two patients (4.4%) were classified as “Very fit.”</w:t>
      </w:r>
    </w:p>
    <w:p w14:paraId="3CD1F023" w14:textId="1B62962F" w:rsidR="00B9171E" w:rsidRDefault="00B9171E" w:rsidP="00DC38A6">
      <w:pPr>
        <w:spacing w:before="240" w:after="240"/>
        <w:contextualSpacing/>
        <w:jc w:val="both"/>
        <w:rPr>
          <w:rFonts w:ascii="Arial" w:hAnsi="Arial" w:cs="Arial"/>
        </w:rPr>
      </w:pPr>
      <w:r w:rsidRPr="00B9171E">
        <w:rPr>
          <w:rFonts w:ascii="Arial" w:hAnsi="Arial" w:cs="Arial"/>
        </w:rPr>
        <w:t>The probability of death, as assessed by the attending physician, was most frequently rated as “Moderate” (37.8%) and “Low” (35.6%), with a statistically significant difference between classification categories (p &lt; 0.0001).</w:t>
      </w:r>
    </w:p>
    <w:p w14:paraId="25DBE0E8" w14:textId="77777777" w:rsidR="00DC38A6" w:rsidRPr="00B9171E" w:rsidRDefault="00DC38A6" w:rsidP="00DC38A6">
      <w:pPr>
        <w:spacing w:before="240" w:after="240"/>
        <w:contextualSpacing/>
        <w:jc w:val="both"/>
        <w:rPr>
          <w:rFonts w:ascii="Arial" w:hAnsi="Arial" w:cs="Arial"/>
        </w:rPr>
      </w:pPr>
    </w:p>
    <w:p w14:paraId="3F7EBF40" w14:textId="6C98604B" w:rsidR="00B913BE" w:rsidRDefault="00B9171E" w:rsidP="00DC38A6">
      <w:pPr>
        <w:spacing w:before="240" w:after="240"/>
        <w:contextualSpacing/>
        <w:jc w:val="both"/>
        <w:rPr>
          <w:rFonts w:ascii="Arial" w:hAnsi="Arial" w:cs="Arial"/>
        </w:rPr>
      </w:pPr>
      <w:r w:rsidRPr="00B9171E">
        <w:rPr>
          <w:rFonts w:ascii="Arial" w:hAnsi="Arial" w:cs="Arial"/>
        </w:rPr>
        <w:t>The most common post-discharge destination was transfer to another facility (42.8%), followed by referral to outpatient follow-up (35%), with the difference being statistically significant (p = 0.0023). The mortality rate was the lowest proportion in the study population (10.0%), as shown in Table 4.</w:t>
      </w:r>
    </w:p>
    <w:p w14:paraId="139BFE73" w14:textId="77777777" w:rsidR="00DC38A6" w:rsidRDefault="00DC38A6" w:rsidP="00DC38A6">
      <w:pPr>
        <w:spacing w:before="240" w:after="240"/>
        <w:contextualSpacing/>
        <w:jc w:val="both"/>
        <w:rPr>
          <w:rFonts w:ascii="Times New Roman" w:hAnsi="Times New Roman"/>
          <w:b/>
          <w:bCs/>
        </w:rPr>
      </w:pPr>
    </w:p>
    <w:p w14:paraId="7E3DF636" w14:textId="0FF24E3F" w:rsidR="00B913BE" w:rsidRPr="00BE76D8" w:rsidRDefault="00B913BE" w:rsidP="004C02D3">
      <w:pPr>
        <w:contextualSpacing/>
        <w:jc w:val="center"/>
        <w:rPr>
          <w:rFonts w:ascii="Arial" w:hAnsi="Arial" w:cs="Arial"/>
          <w:sz w:val="16"/>
          <w:szCs w:val="16"/>
        </w:rPr>
      </w:pPr>
      <w:r w:rsidRPr="00BE76D8">
        <w:rPr>
          <w:rFonts w:ascii="Arial" w:hAnsi="Arial" w:cs="Arial"/>
          <w:b/>
          <w:bCs/>
          <w:sz w:val="16"/>
          <w:szCs w:val="16"/>
        </w:rPr>
        <w:t>Tab</w:t>
      </w:r>
      <w:r w:rsidR="00D7635C">
        <w:rPr>
          <w:rFonts w:ascii="Arial" w:hAnsi="Arial" w:cs="Arial"/>
          <w:b/>
          <w:bCs/>
          <w:sz w:val="16"/>
          <w:szCs w:val="16"/>
        </w:rPr>
        <w:t>le</w:t>
      </w:r>
      <w:r w:rsidRPr="00BE76D8">
        <w:rPr>
          <w:rFonts w:ascii="Arial" w:hAnsi="Arial" w:cs="Arial"/>
          <w:b/>
          <w:bCs/>
          <w:sz w:val="16"/>
          <w:szCs w:val="16"/>
        </w:rPr>
        <w:t xml:space="preserve"> 4</w:t>
      </w:r>
      <w:r w:rsidRPr="00BE76D8">
        <w:rPr>
          <w:rFonts w:ascii="Arial" w:hAnsi="Arial" w:cs="Arial"/>
          <w:sz w:val="16"/>
          <w:szCs w:val="16"/>
        </w:rPr>
        <w:t xml:space="preserve">: </w:t>
      </w:r>
      <w:r w:rsidR="00D7635C" w:rsidRPr="00D7635C">
        <w:rPr>
          <w:rFonts w:ascii="Arial" w:hAnsi="Arial" w:cs="Arial"/>
          <w:sz w:val="16"/>
          <w:szCs w:val="16"/>
        </w:rPr>
        <w:t>Profile in relation to functionality and outcome of hospitalization, HJB, 2023.</w:t>
      </w:r>
    </w:p>
    <w:tbl>
      <w:tblPr>
        <w:tblW w:w="7970" w:type="dxa"/>
        <w:jc w:val="center"/>
        <w:tblCellMar>
          <w:left w:w="70" w:type="dxa"/>
          <w:right w:w="70" w:type="dxa"/>
        </w:tblCellMar>
        <w:tblLook w:val="04A0" w:firstRow="1" w:lastRow="0" w:firstColumn="1" w:lastColumn="0" w:noHBand="0" w:noVBand="1"/>
      </w:tblPr>
      <w:tblGrid>
        <w:gridCol w:w="3468"/>
        <w:gridCol w:w="1919"/>
        <w:gridCol w:w="709"/>
        <w:gridCol w:w="1874"/>
      </w:tblGrid>
      <w:tr w:rsidR="002A3BBB" w:rsidRPr="00ED290B" w14:paraId="3CBF81B0" w14:textId="77777777" w:rsidTr="004C02D3">
        <w:trPr>
          <w:trHeight w:val="360"/>
          <w:jc w:val="center"/>
        </w:trPr>
        <w:tc>
          <w:tcPr>
            <w:tcW w:w="3468" w:type="dxa"/>
            <w:tcBorders>
              <w:top w:val="single" w:sz="4" w:space="0" w:color="auto"/>
              <w:left w:val="nil"/>
              <w:bottom w:val="double" w:sz="6" w:space="0" w:color="auto"/>
              <w:right w:val="nil"/>
            </w:tcBorders>
            <w:shd w:val="clear" w:color="000000" w:fill="D9D9D9"/>
            <w:noWrap/>
            <w:vAlign w:val="bottom"/>
            <w:hideMark/>
          </w:tcPr>
          <w:p w14:paraId="2A1B7273" w14:textId="2F063C14" w:rsidR="002A3BBB" w:rsidRPr="00ED290B" w:rsidRDefault="002A3BBB" w:rsidP="002A3BBB">
            <w:pPr>
              <w:jc w:val="center"/>
              <w:rPr>
                <w:rFonts w:ascii="Arial" w:hAnsi="Arial" w:cs="Arial"/>
                <w:b/>
                <w:bCs/>
                <w:color w:val="000000"/>
                <w:lang w:eastAsia="pt-BR"/>
              </w:rPr>
            </w:pPr>
            <w:r w:rsidRPr="00ED290B">
              <w:rPr>
                <w:rStyle w:val="Strong"/>
                <w:rFonts w:ascii="Arial" w:hAnsi="Arial" w:cs="Arial"/>
              </w:rPr>
              <w:t>Variables</w:t>
            </w:r>
          </w:p>
        </w:tc>
        <w:tc>
          <w:tcPr>
            <w:tcW w:w="1919" w:type="dxa"/>
            <w:tcBorders>
              <w:top w:val="single" w:sz="4" w:space="0" w:color="auto"/>
              <w:left w:val="nil"/>
              <w:bottom w:val="double" w:sz="6" w:space="0" w:color="auto"/>
              <w:right w:val="nil"/>
            </w:tcBorders>
            <w:shd w:val="clear" w:color="000000" w:fill="D9D9D9"/>
            <w:noWrap/>
            <w:vAlign w:val="bottom"/>
            <w:hideMark/>
          </w:tcPr>
          <w:p w14:paraId="7A0270ED"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N</w:t>
            </w:r>
          </w:p>
        </w:tc>
        <w:tc>
          <w:tcPr>
            <w:tcW w:w="709" w:type="dxa"/>
            <w:tcBorders>
              <w:top w:val="single" w:sz="4" w:space="0" w:color="auto"/>
              <w:left w:val="nil"/>
              <w:bottom w:val="double" w:sz="6" w:space="0" w:color="auto"/>
              <w:right w:val="nil"/>
            </w:tcBorders>
            <w:shd w:val="clear" w:color="000000" w:fill="D9D9D9"/>
            <w:noWrap/>
            <w:vAlign w:val="bottom"/>
            <w:hideMark/>
          </w:tcPr>
          <w:p w14:paraId="4AB33B6B"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w:t>
            </w:r>
          </w:p>
        </w:tc>
        <w:tc>
          <w:tcPr>
            <w:tcW w:w="1874" w:type="dxa"/>
            <w:tcBorders>
              <w:top w:val="single" w:sz="4" w:space="0" w:color="auto"/>
              <w:left w:val="nil"/>
              <w:bottom w:val="double" w:sz="6" w:space="0" w:color="auto"/>
              <w:right w:val="nil"/>
            </w:tcBorders>
            <w:shd w:val="clear" w:color="000000" w:fill="D9D9D9"/>
            <w:noWrap/>
            <w:vAlign w:val="bottom"/>
            <w:hideMark/>
          </w:tcPr>
          <w:p w14:paraId="58FB5382" w14:textId="708ACC34"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p-</w:t>
            </w:r>
            <w:r w:rsidRPr="00ED290B">
              <w:rPr>
                <w:rFonts w:ascii="Arial" w:hAnsi="Arial" w:cs="Arial"/>
              </w:rPr>
              <w:t xml:space="preserve"> </w:t>
            </w:r>
            <w:r w:rsidRPr="00ED290B">
              <w:rPr>
                <w:rFonts w:ascii="Arial" w:hAnsi="Arial" w:cs="Arial"/>
                <w:b/>
                <w:bCs/>
                <w:color w:val="000000"/>
                <w:lang w:eastAsia="pt-BR"/>
              </w:rPr>
              <w:t>value</w:t>
            </w:r>
          </w:p>
        </w:tc>
      </w:tr>
      <w:tr w:rsidR="002A3BBB" w:rsidRPr="00ED290B" w14:paraId="1441E6BB" w14:textId="77777777" w:rsidTr="004C02D3">
        <w:trPr>
          <w:trHeight w:val="321"/>
          <w:jc w:val="center"/>
        </w:trPr>
        <w:tc>
          <w:tcPr>
            <w:tcW w:w="3468" w:type="dxa"/>
            <w:tcBorders>
              <w:top w:val="single" w:sz="4" w:space="0" w:color="auto"/>
              <w:left w:val="nil"/>
              <w:bottom w:val="nil"/>
              <w:right w:val="nil"/>
            </w:tcBorders>
            <w:shd w:val="clear" w:color="000000" w:fill="FFFFFF"/>
            <w:noWrap/>
            <w:vAlign w:val="bottom"/>
            <w:hideMark/>
          </w:tcPr>
          <w:p w14:paraId="19DF0027" w14:textId="7417D5E1" w:rsidR="002A3BBB" w:rsidRPr="00ED290B" w:rsidRDefault="003A1CE0" w:rsidP="00ED290B">
            <w:pPr>
              <w:rPr>
                <w:rFonts w:ascii="Arial" w:hAnsi="Arial" w:cs="Arial"/>
                <w:b/>
                <w:bCs/>
                <w:color w:val="000000"/>
                <w:lang w:eastAsia="pt-BR"/>
              </w:rPr>
            </w:pPr>
            <w:r w:rsidRPr="00ED290B">
              <w:rPr>
                <w:rFonts w:ascii="Arial" w:hAnsi="Arial" w:cs="Arial"/>
                <w:b/>
                <w:bCs/>
                <w:color w:val="000000"/>
                <w:lang w:eastAsia="pt-BR"/>
              </w:rPr>
              <w:t>Clinical Frailty Scale (CFS)</w:t>
            </w:r>
          </w:p>
        </w:tc>
        <w:tc>
          <w:tcPr>
            <w:tcW w:w="1919" w:type="dxa"/>
            <w:tcBorders>
              <w:top w:val="single" w:sz="4" w:space="0" w:color="auto"/>
              <w:left w:val="nil"/>
              <w:bottom w:val="nil"/>
              <w:right w:val="nil"/>
            </w:tcBorders>
            <w:shd w:val="clear" w:color="000000" w:fill="FFFFFF"/>
            <w:noWrap/>
            <w:vAlign w:val="bottom"/>
            <w:hideMark/>
          </w:tcPr>
          <w:p w14:paraId="1B158906" w14:textId="77777777" w:rsidR="002A3BBB" w:rsidRPr="00ED290B" w:rsidRDefault="002A3BBB" w:rsidP="002A3BBB">
            <w:pPr>
              <w:rPr>
                <w:rFonts w:ascii="Arial" w:hAnsi="Arial" w:cs="Arial"/>
                <w:b/>
                <w:bCs/>
                <w:color w:val="000000"/>
                <w:lang w:eastAsia="pt-BR"/>
              </w:rPr>
            </w:pPr>
            <w:r w:rsidRPr="00ED290B">
              <w:rPr>
                <w:rFonts w:ascii="Arial" w:hAnsi="Arial" w:cs="Arial"/>
                <w:b/>
                <w:bCs/>
                <w:color w:val="000000"/>
                <w:lang w:eastAsia="pt-BR"/>
              </w:rPr>
              <w:t> </w:t>
            </w:r>
          </w:p>
        </w:tc>
        <w:tc>
          <w:tcPr>
            <w:tcW w:w="709" w:type="dxa"/>
            <w:tcBorders>
              <w:top w:val="single" w:sz="4" w:space="0" w:color="auto"/>
              <w:left w:val="nil"/>
              <w:bottom w:val="nil"/>
              <w:right w:val="nil"/>
            </w:tcBorders>
            <w:shd w:val="clear" w:color="000000" w:fill="FFFFFF"/>
            <w:noWrap/>
            <w:vAlign w:val="bottom"/>
            <w:hideMark/>
          </w:tcPr>
          <w:p w14:paraId="24366F24" w14:textId="77777777" w:rsidR="002A3BBB" w:rsidRPr="00ED290B" w:rsidRDefault="002A3BBB" w:rsidP="002A3BBB">
            <w:pPr>
              <w:rPr>
                <w:rFonts w:ascii="Arial" w:hAnsi="Arial" w:cs="Arial"/>
                <w:b/>
                <w:bCs/>
                <w:color w:val="000000"/>
                <w:lang w:eastAsia="pt-BR"/>
              </w:rPr>
            </w:pPr>
            <w:r w:rsidRPr="00ED290B">
              <w:rPr>
                <w:rFonts w:ascii="Arial" w:hAnsi="Arial" w:cs="Arial"/>
                <w:b/>
                <w:bCs/>
                <w:color w:val="000000"/>
                <w:lang w:eastAsia="pt-BR"/>
              </w:rPr>
              <w:t> </w:t>
            </w:r>
          </w:p>
        </w:tc>
        <w:tc>
          <w:tcPr>
            <w:tcW w:w="1874" w:type="dxa"/>
            <w:tcBorders>
              <w:top w:val="nil"/>
              <w:left w:val="nil"/>
              <w:bottom w:val="nil"/>
              <w:right w:val="nil"/>
            </w:tcBorders>
            <w:shd w:val="clear" w:color="000000" w:fill="FFFFFF"/>
            <w:noWrap/>
            <w:vAlign w:val="bottom"/>
            <w:hideMark/>
          </w:tcPr>
          <w:p w14:paraId="57528840"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0.0282**</w:t>
            </w:r>
          </w:p>
        </w:tc>
      </w:tr>
      <w:tr w:rsidR="002A3BBB" w:rsidRPr="00ED290B" w14:paraId="57146445"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3F3D417E" w14:textId="6D68D1A7" w:rsidR="002A3BBB" w:rsidRPr="00ED290B" w:rsidRDefault="003A1CE0" w:rsidP="00ED290B">
            <w:pPr>
              <w:jc w:val="center"/>
              <w:rPr>
                <w:rFonts w:ascii="Arial" w:hAnsi="Arial" w:cs="Arial"/>
                <w:color w:val="000000"/>
                <w:lang w:eastAsia="pt-BR"/>
              </w:rPr>
            </w:pPr>
            <w:r w:rsidRPr="00ED290B">
              <w:rPr>
                <w:rFonts w:ascii="Arial" w:hAnsi="Arial" w:cs="Arial"/>
                <w:color w:val="000000"/>
                <w:lang w:eastAsia="pt-BR"/>
              </w:rPr>
              <w:t>Very fit</w:t>
            </w:r>
          </w:p>
        </w:tc>
        <w:tc>
          <w:tcPr>
            <w:tcW w:w="1919" w:type="dxa"/>
            <w:tcBorders>
              <w:top w:val="nil"/>
              <w:left w:val="nil"/>
              <w:bottom w:val="nil"/>
              <w:right w:val="nil"/>
            </w:tcBorders>
            <w:shd w:val="clear" w:color="000000" w:fill="FFFFFF"/>
            <w:noWrap/>
            <w:vAlign w:val="bottom"/>
            <w:hideMark/>
          </w:tcPr>
          <w:p w14:paraId="2C064309"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2</w:t>
            </w:r>
          </w:p>
        </w:tc>
        <w:tc>
          <w:tcPr>
            <w:tcW w:w="709" w:type="dxa"/>
            <w:tcBorders>
              <w:top w:val="nil"/>
              <w:left w:val="nil"/>
              <w:bottom w:val="nil"/>
              <w:right w:val="nil"/>
            </w:tcBorders>
            <w:shd w:val="clear" w:color="000000" w:fill="FFFFFF"/>
            <w:noWrap/>
            <w:vAlign w:val="bottom"/>
            <w:hideMark/>
          </w:tcPr>
          <w:p w14:paraId="074675F5"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4,4%</w:t>
            </w:r>
          </w:p>
        </w:tc>
        <w:tc>
          <w:tcPr>
            <w:tcW w:w="1874" w:type="dxa"/>
            <w:tcBorders>
              <w:top w:val="nil"/>
              <w:left w:val="nil"/>
              <w:bottom w:val="nil"/>
              <w:right w:val="nil"/>
            </w:tcBorders>
            <w:shd w:val="clear" w:color="000000" w:fill="FFFFFF"/>
            <w:noWrap/>
            <w:vAlign w:val="bottom"/>
            <w:hideMark/>
          </w:tcPr>
          <w:p w14:paraId="3527E8A2"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61E25142"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4457879A" w14:textId="05372FE9" w:rsidR="002A3BBB" w:rsidRPr="00ED290B" w:rsidRDefault="00ED290B" w:rsidP="00ED290B">
            <w:pPr>
              <w:jc w:val="center"/>
              <w:rPr>
                <w:rFonts w:ascii="Arial" w:hAnsi="Arial" w:cs="Arial"/>
                <w:color w:val="000000"/>
                <w:lang w:eastAsia="pt-BR"/>
              </w:rPr>
            </w:pPr>
            <w:r>
              <w:rPr>
                <w:rFonts w:ascii="Arial" w:hAnsi="Arial" w:cs="Arial"/>
                <w:color w:val="000000"/>
                <w:lang w:val="pt-BR" w:eastAsia="pt-BR"/>
              </w:rPr>
              <w:lastRenderedPageBreak/>
              <w:t>Fit</w:t>
            </w:r>
          </w:p>
        </w:tc>
        <w:tc>
          <w:tcPr>
            <w:tcW w:w="1919" w:type="dxa"/>
            <w:tcBorders>
              <w:top w:val="nil"/>
              <w:left w:val="nil"/>
              <w:bottom w:val="nil"/>
              <w:right w:val="nil"/>
            </w:tcBorders>
            <w:shd w:val="clear" w:color="000000" w:fill="FFFFFF"/>
            <w:noWrap/>
            <w:vAlign w:val="bottom"/>
            <w:hideMark/>
          </w:tcPr>
          <w:p w14:paraId="6CFA054C"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6</w:t>
            </w:r>
          </w:p>
        </w:tc>
        <w:tc>
          <w:tcPr>
            <w:tcW w:w="709" w:type="dxa"/>
            <w:tcBorders>
              <w:top w:val="nil"/>
              <w:left w:val="nil"/>
              <w:bottom w:val="nil"/>
              <w:right w:val="nil"/>
            </w:tcBorders>
            <w:shd w:val="clear" w:color="000000" w:fill="FFFFFF"/>
            <w:noWrap/>
            <w:vAlign w:val="bottom"/>
            <w:hideMark/>
          </w:tcPr>
          <w:p w14:paraId="4EAA1318"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13,3%</w:t>
            </w:r>
          </w:p>
        </w:tc>
        <w:tc>
          <w:tcPr>
            <w:tcW w:w="1874" w:type="dxa"/>
            <w:tcBorders>
              <w:top w:val="nil"/>
              <w:left w:val="nil"/>
              <w:bottom w:val="nil"/>
              <w:right w:val="nil"/>
            </w:tcBorders>
            <w:shd w:val="clear" w:color="000000" w:fill="FFFFFF"/>
            <w:noWrap/>
            <w:vAlign w:val="bottom"/>
            <w:hideMark/>
          </w:tcPr>
          <w:p w14:paraId="6DAB5B81"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15B97B3B"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4254324F" w14:textId="4376A026" w:rsidR="002A3BBB" w:rsidRPr="00ED290B" w:rsidRDefault="00A01F8F" w:rsidP="00ED290B">
            <w:pPr>
              <w:jc w:val="center"/>
              <w:rPr>
                <w:rFonts w:ascii="Arial" w:hAnsi="Arial" w:cs="Arial"/>
                <w:color w:val="000000"/>
                <w:lang w:eastAsia="pt-BR"/>
              </w:rPr>
            </w:pPr>
            <w:r w:rsidRPr="00ED290B">
              <w:rPr>
                <w:rFonts w:ascii="Arial" w:hAnsi="Arial" w:cs="Arial"/>
                <w:color w:val="000000"/>
                <w:lang w:eastAsia="pt-BR"/>
              </w:rPr>
              <w:t>Regular</w:t>
            </w:r>
          </w:p>
        </w:tc>
        <w:tc>
          <w:tcPr>
            <w:tcW w:w="1919" w:type="dxa"/>
            <w:tcBorders>
              <w:top w:val="nil"/>
              <w:left w:val="nil"/>
              <w:bottom w:val="nil"/>
              <w:right w:val="nil"/>
            </w:tcBorders>
            <w:shd w:val="clear" w:color="000000" w:fill="FFFFFF"/>
            <w:noWrap/>
            <w:vAlign w:val="bottom"/>
            <w:hideMark/>
          </w:tcPr>
          <w:p w14:paraId="331AD8AB"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13</w:t>
            </w:r>
          </w:p>
        </w:tc>
        <w:tc>
          <w:tcPr>
            <w:tcW w:w="709" w:type="dxa"/>
            <w:tcBorders>
              <w:top w:val="nil"/>
              <w:left w:val="nil"/>
              <w:bottom w:val="nil"/>
              <w:right w:val="nil"/>
            </w:tcBorders>
            <w:shd w:val="clear" w:color="000000" w:fill="FFFFFF"/>
            <w:noWrap/>
            <w:vAlign w:val="bottom"/>
            <w:hideMark/>
          </w:tcPr>
          <w:p w14:paraId="27F6D50A"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28,9%</w:t>
            </w:r>
          </w:p>
        </w:tc>
        <w:tc>
          <w:tcPr>
            <w:tcW w:w="1874" w:type="dxa"/>
            <w:tcBorders>
              <w:top w:val="nil"/>
              <w:left w:val="nil"/>
              <w:bottom w:val="nil"/>
              <w:right w:val="nil"/>
            </w:tcBorders>
            <w:shd w:val="clear" w:color="000000" w:fill="FFFFFF"/>
            <w:noWrap/>
            <w:vAlign w:val="bottom"/>
            <w:hideMark/>
          </w:tcPr>
          <w:p w14:paraId="4357ADF5"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093A3459" w14:textId="77777777" w:rsidTr="004C02D3">
        <w:trPr>
          <w:trHeight w:val="321"/>
          <w:jc w:val="center"/>
        </w:trPr>
        <w:tc>
          <w:tcPr>
            <w:tcW w:w="3468" w:type="dxa"/>
            <w:tcBorders>
              <w:top w:val="nil"/>
              <w:left w:val="nil"/>
              <w:bottom w:val="nil"/>
              <w:right w:val="nil"/>
            </w:tcBorders>
            <w:shd w:val="clear" w:color="000000" w:fill="FFFFFF"/>
            <w:noWrap/>
            <w:vAlign w:val="bottom"/>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1F8F" w:rsidRPr="00A01F8F" w14:paraId="572CA84B" w14:textId="77777777">
              <w:trPr>
                <w:tblCellSpacing w:w="15" w:type="dxa"/>
              </w:trPr>
              <w:tc>
                <w:tcPr>
                  <w:tcW w:w="0" w:type="auto"/>
                  <w:vAlign w:val="center"/>
                  <w:hideMark/>
                </w:tcPr>
                <w:p w14:paraId="167D121D" w14:textId="77777777" w:rsidR="00A01F8F" w:rsidRPr="00A01F8F" w:rsidRDefault="00A01F8F" w:rsidP="00ED290B">
                  <w:pPr>
                    <w:jc w:val="center"/>
                    <w:rPr>
                      <w:rFonts w:ascii="Arial" w:hAnsi="Arial" w:cs="Arial"/>
                      <w:color w:val="000000"/>
                      <w:lang w:val="pt-BR" w:eastAsia="pt-BR"/>
                    </w:rPr>
                  </w:pPr>
                </w:p>
              </w:tc>
            </w:tr>
          </w:tbl>
          <w:p w14:paraId="67412334" w14:textId="77777777" w:rsidR="00A01F8F" w:rsidRPr="00A01F8F" w:rsidRDefault="00A01F8F" w:rsidP="00ED290B">
            <w:pPr>
              <w:jc w:val="center"/>
              <w:rPr>
                <w:rFonts w:ascii="Arial" w:hAnsi="Arial" w:cs="Arial"/>
                <w:vanish/>
                <w:color w:val="000000"/>
                <w:lang w:val="pt-BR" w:eastAsia="pt-BR"/>
              </w:rPr>
            </w:pPr>
          </w:p>
          <w:tbl>
            <w:tblPr>
              <w:tblW w:w="3187" w:type="dxa"/>
              <w:tblCellSpacing w:w="15" w:type="dxa"/>
              <w:tblCellMar>
                <w:top w:w="15" w:type="dxa"/>
                <w:left w:w="15" w:type="dxa"/>
                <w:bottom w:w="15" w:type="dxa"/>
                <w:right w:w="15" w:type="dxa"/>
              </w:tblCellMar>
              <w:tblLook w:val="04A0" w:firstRow="1" w:lastRow="0" w:firstColumn="1" w:lastColumn="0" w:noHBand="0" w:noVBand="1"/>
            </w:tblPr>
            <w:tblGrid>
              <w:gridCol w:w="3187"/>
            </w:tblGrid>
            <w:tr w:rsidR="00ED290B" w:rsidRPr="00A01F8F" w14:paraId="4C73F322" w14:textId="77777777" w:rsidTr="00ED290B">
              <w:trPr>
                <w:tblCellSpacing w:w="15" w:type="dxa"/>
              </w:trPr>
              <w:tc>
                <w:tcPr>
                  <w:tcW w:w="3127" w:type="dxa"/>
                  <w:vAlign w:val="center"/>
                  <w:hideMark/>
                </w:tcPr>
                <w:p w14:paraId="48F0798D" w14:textId="3135A0F0" w:rsidR="00A01F8F" w:rsidRPr="00A01F8F" w:rsidRDefault="00A01F8F" w:rsidP="00ED290B">
                  <w:pPr>
                    <w:jc w:val="center"/>
                    <w:rPr>
                      <w:rFonts w:ascii="Arial" w:hAnsi="Arial" w:cs="Arial"/>
                      <w:color w:val="000000"/>
                      <w:lang w:val="pt-BR" w:eastAsia="pt-BR"/>
                    </w:rPr>
                  </w:pPr>
                  <w:r w:rsidRPr="00A01F8F">
                    <w:rPr>
                      <w:rFonts w:ascii="Arial" w:hAnsi="Arial" w:cs="Arial"/>
                      <w:color w:val="000000"/>
                      <w:lang w:val="pt-BR" w:eastAsia="pt-BR"/>
                    </w:rPr>
                    <w:t>Vulnerable</w:t>
                  </w:r>
                </w:p>
              </w:tc>
            </w:tr>
          </w:tbl>
          <w:p w14:paraId="07B93724" w14:textId="5373A490" w:rsidR="002A3BBB" w:rsidRPr="00ED290B" w:rsidRDefault="002A3BBB" w:rsidP="00ED290B">
            <w:pPr>
              <w:jc w:val="center"/>
              <w:rPr>
                <w:rFonts w:ascii="Arial" w:hAnsi="Arial" w:cs="Arial"/>
                <w:color w:val="000000"/>
                <w:lang w:eastAsia="pt-BR"/>
              </w:rPr>
            </w:pPr>
          </w:p>
        </w:tc>
        <w:tc>
          <w:tcPr>
            <w:tcW w:w="1919" w:type="dxa"/>
            <w:tcBorders>
              <w:top w:val="nil"/>
              <w:left w:val="nil"/>
              <w:bottom w:val="nil"/>
              <w:right w:val="nil"/>
            </w:tcBorders>
            <w:shd w:val="clear" w:color="000000" w:fill="FFFFFF"/>
            <w:noWrap/>
            <w:vAlign w:val="bottom"/>
            <w:hideMark/>
          </w:tcPr>
          <w:p w14:paraId="67851619"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6</w:t>
            </w:r>
          </w:p>
        </w:tc>
        <w:tc>
          <w:tcPr>
            <w:tcW w:w="709" w:type="dxa"/>
            <w:tcBorders>
              <w:top w:val="nil"/>
              <w:left w:val="nil"/>
              <w:bottom w:val="nil"/>
              <w:right w:val="nil"/>
            </w:tcBorders>
            <w:shd w:val="clear" w:color="000000" w:fill="FFFFFF"/>
            <w:noWrap/>
            <w:vAlign w:val="bottom"/>
            <w:hideMark/>
          </w:tcPr>
          <w:p w14:paraId="77ADBBDC"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13,3%</w:t>
            </w:r>
          </w:p>
        </w:tc>
        <w:tc>
          <w:tcPr>
            <w:tcW w:w="1874" w:type="dxa"/>
            <w:tcBorders>
              <w:top w:val="nil"/>
              <w:left w:val="nil"/>
              <w:bottom w:val="nil"/>
              <w:right w:val="nil"/>
            </w:tcBorders>
            <w:shd w:val="clear" w:color="000000" w:fill="FFFFFF"/>
            <w:noWrap/>
            <w:vAlign w:val="bottom"/>
            <w:hideMark/>
          </w:tcPr>
          <w:p w14:paraId="5F0CCDA6"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5456A8C3" w14:textId="77777777" w:rsidTr="004C02D3">
        <w:trPr>
          <w:trHeight w:val="321"/>
          <w:jc w:val="center"/>
        </w:trPr>
        <w:tc>
          <w:tcPr>
            <w:tcW w:w="3468" w:type="dxa"/>
            <w:tcBorders>
              <w:top w:val="nil"/>
              <w:left w:val="nil"/>
              <w:bottom w:val="nil"/>
              <w:right w:val="nil"/>
            </w:tcBorders>
            <w:shd w:val="clear" w:color="000000" w:fill="FFFFFF"/>
            <w:noWrap/>
            <w:vAlign w:val="bottom"/>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1F8F" w:rsidRPr="00A01F8F" w14:paraId="3E8F9EE5" w14:textId="77777777">
              <w:trPr>
                <w:tblCellSpacing w:w="15" w:type="dxa"/>
              </w:trPr>
              <w:tc>
                <w:tcPr>
                  <w:tcW w:w="0" w:type="auto"/>
                  <w:vAlign w:val="center"/>
                  <w:hideMark/>
                </w:tcPr>
                <w:p w14:paraId="252604B7" w14:textId="77777777" w:rsidR="00A01F8F" w:rsidRPr="00A01F8F" w:rsidRDefault="00A01F8F" w:rsidP="00ED290B">
                  <w:pPr>
                    <w:jc w:val="center"/>
                    <w:rPr>
                      <w:rFonts w:ascii="Arial" w:hAnsi="Arial" w:cs="Arial"/>
                      <w:color w:val="000000"/>
                      <w:lang w:val="pt-BR" w:eastAsia="pt-BR"/>
                    </w:rPr>
                  </w:pPr>
                </w:p>
              </w:tc>
            </w:tr>
          </w:tbl>
          <w:p w14:paraId="26CF9CCC" w14:textId="77777777" w:rsidR="00A01F8F" w:rsidRPr="00A01F8F" w:rsidRDefault="00A01F8F" w:rsidP="00ED290B">
            <w:pPr>
              <w:jc w:val="center"/>
              <w:rPr>
                <w:rFonts w:ascii="Arial" w:hAnsi="Arial" w:cs="Arial"/>
                <w:vanish/>
                <w:color w:val="000000"/>
                <w:lang w:val="pt-BR"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7"/>
            </w:tblGrid>
            <w:tr w:rsidR="00ED290B" w:rsidRPr="00A01F8F" w14:paraId="0B0744FE" w14:textId="77777777" w:rsidTr="00ED290B">
              <w:trPr>
                <w:tblCellSpacing w:w="15" w:type="dxa"/>
              </w:trPr>
              <w:tc>
                <w:tcPr>
                  <w:tcW w:w="3127" w:type="dxa"/>
                  <w:vAlign w:val="center"/>
                  <w:hideMark/>
                </w:tcPr>
                <w:p w14:paraId="05BEFD47" w14:textId="7398356D" w:rsidR="00A01F8F" w:rsidRPr="00A01F8F" w:rsidRDefault="00A01F8F" w:rsidP="00ED290B">
                  <w:pPr>
                    <w:jc w:val="center"/>
                    <w:rPr>
                      <w:rFonts w:ascii="Arial" w:hAnsi="Arial" w:cs="Arial"/>
                      <w:color w:val="000000"/>
                      <w:lang w:val="pt-BR" w:eastAsia="pt-BR"/>
                    </w:rPr>
                  </w:pPr>
                  <w:r w:rsidRPr="00A01F8F">
                    <w:rPr>
                      <w:rFonts w:ascii="Arial" w:hAnsi="Arial" w:cs="Arial"/>
                      <w:color w:val="000000"/>
                      <w:lang w:val="pt-BR" w:eastAsia="pt-BR"/>
                    </w:rPr>
                    <w:t>Slightly frail</w:t>
                  </w:r>
                </w:p>
              </w:tc>
            </w:tr>
          </w:tbl>
          <w:p w14:paraId="18F6E20C" w14:textId="65DE8876" w:rsidR="002A3BBB" w:rsidRPr="00ED290B" w:rsidRDefault="002A3BBB" w:rsidP="00ED290B">
            <w:pPr>
              <w:jc w:val="center"/>
              <w:rPr>
                <w:rFonts w:ascii="Arial" w:hAnsi="Arial" w:cs="Arial"/>
                <w:color w:val="000000"/>
                <w:lang w:eastAsia="pt-BR"/>
              </w:rPr>
            </w:pPr>
          </w:p>
        </w:tc>
        <w:tc>
          <w:tcPr>
            <w:tcW w:w="1919" w:type="dxa"/>
            <w:tcBorders>
              <w:top w:val="nil"/>
              <w:left w:val="nil"/>
              <w:bottom w:val="nil"/>
              <w:right w:val="nil"/>
            </w:tcBorders>
            <w:shd w:val="clear" w:color="000000" w:fill="FFFFFF"/>
            <w:noWrap/>
            <w:vAlign w:val="bottom"/>
            <w:hideMark/>
          </w:tcPr>
          <w:p w14:paraId="524AA42D"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w:t>
            </w:r>
          </w:p>
        </w:tc>
        <w:tc>
          <w:tcPr>
            <w:tcW w:w="709" w:type="dxa"/>
            <w:tcBorders>
              <w:top w:val="nil"/>
              <w:left w:val="nil"/>
              <w:bottom w:val="nil"/>
              <w:right w:val="nil"/>
            </w:tcBorders>
            <w:shd w:val="clear" w:color="000000" w:fill="FFFFFF"/>
            <w:noWrap/>
            <w:vAlign w:val="bottom"/>
            <w:hideMark/>
          </w:tcPr>
          <w:p w14:paraId="14892692"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6,7%</w:t>
            </w:r>
          </w:p>
        </w:tc>
        <w:tc>
          <w:tcPr>
            <w:tcW w:w="1874" w:type="dxa"/>
            <w:tcBorders>
              <w:top w:val="nil"/>
              <w:left w:val="nil"/>
              <w:bottom w:val="nil"/>
              <w:right w:val="nil"/>
            </w:tcBorders>
            <w:shd w:val="clear" w:color="000000" w:fill="FFFFFF"/>
            <w:noWrap/>
            <w:vAlign w:val="bottom"/>
            <w:hideMark/>
          </w:tcPr>
          <w:p w14:paraId="6C9968CE"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357DA2D9"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1B95197C" w14:textId="02AA0AD5" w:rsidR="002A3BBB" w:rsidRPr="00ED290B" w:rsidRDefault="00A01F8F" w:rsidP="00ED290B">
            <w:pPr>
              <w:jc w:val="center"/>
              <w:rPr>
                <w:rFonts w:ascii="Arial" w:hAnsi="Arial" w:cs="Arial"/>
                <w:color w:val="000000"/>
                <w:lang w:eastAsia="pt-BR"/>
              </w:rPr>
            </w:pPr>
            <w:r w:rsidRPr="00ED290B">
              <w:rPr>
                <w:rFonts w:ascii="Arial" w:hAnsi="Arial" w:cs="Arial"/>
                <w:color w:val="000000"/>
                <w:lang w:eastAsia="pt-BR"/>
              </w:rPr>
              <w:t>Moderately frail</w:t>
            </w:r>
          </w:p>
        </w:tc>
        <w:tc>
          <w:tcPr>
            <w:tcW w:w="1919" w:type="dxa"/>
            <w:tcBorders>
              <w:top w:val="nil"/>
              <w:left w:val="nil"/>
              <w:bottom w:val="nil"/>
              <w:right w:val="nil"/>
            </w:tcBorders>
            <w:shd w:val="clear" w:color="000000" w:fill="FFFFFF"/>
            <w:noWrap/>
            <w:vAlign w:val="bottom"/>
            <w:hideMark/>
          </w:tcPr>
          <w:p w14:paraId="41FF58F4"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10</w:t>
            </w:r>
          </w:p>
        </w:tc>
        <w:tc>
          <w:tcPr>
            <w:tcW w:w="709" w:type="dxa"/>
            <w:tcBorders>
              <w:top w:val="nil"/>
              <w:left w:val="nil"/>
              <w:bottom w:val="nil"/>
              <w:right w:val="nil"/>
            </w:tcBorders>
            <w:shd w:val="clear" w:color="000000" w:fill="FFFFFF"/>
            <w:noWrap/>
            <w:vAlign w:val="bottom"/>
            <w:hideMark/>
          </w:tcPr>
          <w:p w14:paraId="7C04573D"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22,2%</w:t>
            </w:r>
          </w:p>
        </w:tc>
        <w:tc>
          <w:tcPr>
            <w:tcW w:w="1874" w:type="dxa"/>
            <w:tcBorders>
              <w:top w:val="nil"/>
              <w:left w:val="nil"/>
              <w:bottom w:val="nil"/>
              <w:right w:val="nil"/>
            </w:tcBorders>
            <w:shd w:val="clear" w:color="000000" w:fill="FFFFFF"/>
            <w:noWrap/>
            <w:vAlign w:val="bottom"/>
            <w:hideMark/>
          </w:tcPr>
          <w:p w14:paraId="4D93ADC1"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5600E407" w14:textId="77777777" w:rsidTr="004C02D3">
        <w:trPr>
          <w:trHeight w:val="321"/>
          <w:jc w:val="center"/>
        </w:trPr>
        <w:tc>
          <w:tcPr>
            <w:tcW w:w="3468" w:type="dxa"/>
            <w:tcBorders>
              <w:top w:val="nil"/>
              <w:left w:val="nil"/>
              <w:bottom w:val="nil"/>
              <w:right w:val="nil"/>
            </w:tcBorders>
            <w:shd w:val="clear" w:color="000000" w:fill="FFFFFF"/>
            <w:noWrap/>
            <w:vAlign w:val="bottom"/>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1F8F" w:rsidRPr="00A01F8F" w14:paraId="0FFFB89F" w14:textId="77777777">
              <w:trPr>
                <w:tblCellSpacing w:w="15" w:type="dxa"/>
              </w:trPr>
              <w:tc>
                <w:tcPr>
                  <w:tcW w:w="0" w:type="auto"/>
                  <w:vAlign w:val="center"/>
                  <w:hideMark/>
                </w:tcPr>
                <w:p w14:paraId="6DE547C8" w14:textId="77777777" w:rsidR="00A01F8F" w:rsidRPr="00A01F8F" w:rsidRDefault="00A01F8F" w:rsidP="00ED290B">
                  <w:pPr>
                    <w:jc w:val="center"/>
                    <w:rPr>
                      <w:rFonts w:ascii="Arial" w:hAnsi="Arial" w:cs="Arial"/>
                      <w:color w:val="000000"/>
                      <w:lang w:val="pt-BR" w:eastAsia="pt-BR"/>
                    </w:rPr>
                  </w:pPr>
                </w:p>
              </w:tc>
            </w:tr>
          </w:tbl>
          <w:p w14:paraId="605A7411" w14:textId="77777777" w:rsidR="00A01F8F" w:rsidRPr="00A01F8F" w:rsidRDefault="00A01F8F" w:rsidP="00ED290B">
            <w:pPr>
              <w:jc w:val="center"/>
              <w:rPr>
                <w:rFonts w:ascii="Arial" w:hAnsi="Arial" w:cs="Arial"/>
                <w:vanish/>
                <w:color w:val="000000"/>
                <w:lang w:val="pt-BR"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7"/>
            </w:tblGrid>
            <w:tr w:rsidR="00A01F8F" w:rsidRPr="00A01F8F" w14:paraId="35135A60" w14:textId="77777777" w:rsidTr="00ED290B">
              <w:trPr>
                <w:tblCellSpacing w:w="15" w:type="dxa"/>
              </w:trPr>
              <w:tc>
                <w:tcPr>
                  <w:tcW w:w="3127" w:type="dxa"/>
                  <w:vAlign w:val="center"/>
                  <w:hideMark/>
                </w:tcPr>
                <w:p w14:paraId="092394E2" w14:textId="583AE32B" w:rsidR="00A01F8F" w:rsidRPr="00A01F8F" w:rsidRDefault="00A01F8F" w:rsidP="00ED290B">
                  <w:pPr>
                    <w:jc w:val="center"/>
                    <w:rPr>
                      <w:rFonts w:ascii="Arial" w:hAnsi="Arial" w:cs="Arial"/>
                      <w:color w:val="000000"/>
                      <w:lang w:val="pt-BR" w:eastAsia="pt-BR"/>
                    </w:rPr>
                  </w:pPr>
                  <w:r w:rsidRPr="00A01F8F">
                    <w:rPr>
                      <w:rFonts w:ascii="Arial" w:hAnsi="Arial" w:cs="Arial"/>
                      <w:color w:val="000000"/>
                      <w:lang w:val="pt-BR" w:eastAsia="pt-BR"/>
                    </w:rPr>
                    <w:t>Very frail</w:t>
                  </w:r>
                </w:p>
              </w:tc>
            </w:tr>
          </w:tbl>
          <w:p w14:paraId="2FDD4197" w14:textId="16058C55" w:rsidR="002A3BBB" w:rsidRPr="00ED290B" w:rsidRDefault="002A3BBB" w:rsidP="00ED290B">
            <w:pPr>
              <w:jc w:val="center"/>
              <w:rPr>
                <w:rFonts w:ascii="Arial" w:hAnsi="Arial" w:cs="Arial"/>
                <w:color w:val="000000"/>
                <w:lang w:eastAsia="pt-BR"/>
              </w:rPr>
            </w:pPr>
          </w:p>
        </w:tc>
        <w:tc>
          <w:tcPr>
            <w:tcW w:w="1919" w:type="dxa"/>
            <w:tcBorders>
              <w:top w:val="nil"/>
              <w:left w:val="nil"/>
              <w:bottom w:val="nil"/>
              <w:right w:val="nil"/>
            </w:tcBorders>
            <w:shd w:val="clear" w:color="000000" w:fill="FFFFFF"/>
            <w:noWrap/>
            <w:vAlign w:val="bottom"/>
            <w:hideMark/>
          </w:tcPr>
          <w:p w14:paraId="562A00C4"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5</w:t>
            </w:r>
          </w:p>
        </w:tc>
        <w:tc>
          <w:tcPr>
            <w:tcW w:w="709" w:type="dxa"/>
            <w:tcBorders>
              <w:top w:val="nil"/>
              <w:left w:val="nil"/>
              <w:bottom w:val="nil"/>
              <w:right w:val="nil"/>
            </w:tcBorders>
            <w:shd w:val="clear" w:color="000000" w:fill="FFFFFF"/>
            <w:noWrap/>
            <w:vAlign w:val="bottom"/>
            <w:hideMark/>
          </w:tcPr>
          <w:p w14:paraId="246C40E9"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11,1%</w:t>
            </w:r>
          </w:p>
        </w:tc>
        <w:tc>
          <w:tcPr>
            <w:tcW w:w="1874" w:type="dxa"/>
            <w:tcBorders>
              <w:top w:val="nil"/>
              <w:left w:val="nil"/>
              <w:bottom w:val="nil"/>
              <w:right w:val="nil"/>
            </w:tcBorders>
            <w:shd w:val="clear" w:color="000000" w:fill="FFFFFF"/>
            <w:noWrap/>
            <w:vAlign w:val="bottom"/>
            <w:hideMark/>
          </w:tcPr>
          <w:p w14:paraId="6802FF16"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0AF75A8B" w14:textId="77777777" w:rsidTr="004C02D3">
        <w:trPr>
          <w:trHeight w:val="321"/>
          <w:jc w:val="center"/>
        </w:trPr>
        <w:tc>
          <w:tcPr>
            <w:tcW w:w="5387" w:type="dxa"/>
            <w:gridSpan w:val="2"/>
            <w:tcBorders>
              <w:top w:val="nil"/>
              <w:left w:val="nil"/>
              <w:bottom w:val="nil"/>
              <w:right w:val="nil"/>
            </w:tcBorders>
            <w:shd w:val="clear" w:color="000000" w:fill="FFFFFF"/>
            <w:noWrap/>
            <w:vAlign w:val="bottom"/>
            <w:hideMark/>
          </w:tcPr>
          <w:p w14:paraId="7B38D61A" w14:textId="6CC918C9" w:rsidR="002A3BBB" w:rsidRPr="00ED290B" w:rsidRDefault="005F4C5D" w:rsidP="00ED290B">
            <w:pPr>
              <w:rPr>
                <w:rFonts w:ascii="Arial" w:hAnsi="Arial" w:cs="Arial"/>
                <w:b/>
                <w:bCs/>
                <w:color w:val="000000"/>
                <w:lang w:eastAsia="pt-BR"/>
              </w:rPr>
            </w:pPr>
            <w:r w:rsidRPr="00ED290B">
              <w:rPr>
                <w:rFonts w:ascii="Arial" w:hAnsi="Arial" w:cs="Arial"/>
                <w:b/>
                <w:bCs/>
                <w:color w:val="000000"/>
                <w:lang w:eastAsia="pt-BR"/>
              </w:rPr>
              <w:t>Physician-assessed Probability of Death**</w:t>
            </w:r>
          </w:p>
        </w:tc>
        <w:tc>
          <w:tcPr>
            <w:tcW w:w="709" w:type="dxa"/>
            <w:tcBorders>
              <w:top w:val="nil"/>
              <w:left w:val="nil"/>
              <w:bottom w:val="nil"/>
              <w:right w:val="nil"/>
            </w:tcBorders>
            <w:shd w:val="clear" w:color="000000" w:fill="FFFFFF"/>
            <w:noWrap/>
            <w:vAlign w:val="bottom"/>
            <w:hideMark/>
          </w:tcPr>
          <w:p w14:paraId="4E7AA36C" w14:textId="77777777" w:rsidR="002A3BBB" w:rsidRPr="00ED290B" w:rsidRDefault="002A3BBB" w:rsidP="002A3BBB">
            <w:pPr>
              <w:rPr>
                <w:rFonts w:ascii="Arial" w:hAnsi="Arial" w:cs="Arial"/>
                <w:b/>
                <w:bCs/>
                <w:color w:val="000000"/>
                <w:lang w:eastAsia="pt-BR"/>
              </w:rPr>
            </w:pPr>
            <w:r w:rsidRPr="00ED290B">
              <w:rPr>
                <w:rFonts w:ascii="Arial" w:hAnsi="Arial" w:cs="Arial"/>
                <w:b/>
                <w:bCs/>
                <w:color w:val="000000"/>
                <w:lang w:eastAsia="pt-BR"/>
              </w:rPr>
              <w:t> </w:t>
            </w:r>
          </w:p>
        </w:tc>
        <w:tc>
          <w:tcPr>
            <w:tcW w:w="1874" w:type="dxa"/>
            <w:tcBorders>
              <w:top w:val="nil"/>
              <w:left w:val="nil"/>
              <w:bottom w:val="nil"/>
              <w:right w:val="nil"/>
            </w:tcBorders>
            <w:shd w:val="clear" w:color="000000" w:fill="FFFFFF"/>
            <w:noWrap/>
            <w:vAlign w:val="bottom"/>
            <w:hideMark/>
          </w:tcPr>
          <w:p w14:paraId="51DC495D"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&lt; 0.0001**</w:t>
            </w:r>
          </w:p>
        </w:tc>
      </w:tr>
      <w:tr w:rsidR="002A3BBB" w:rsidRPr="00ED290B" w14:paraId="2A50CD41"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4E592D3C" w14:textId="129BFACF" w:rsidR="002A3BBB" w:rsidRPr="00ED290B" w:rsidRDefault="005F4C5D" w:rsidP="00ED290B">
            <w:pPr>
              <w:jc w:val="center"/>
              <w:rPr>
                <w:rFonts w:ascii="Arial" w:hAnsi="Arial" w:cs="Arial"/>
                <w:color w:val="000000"/>
                <w:lang w:eastAsia="pt-BR"/>
              </w:rPr>
            </w:pPr>
            <w:r w:rsidRPr="00ED290B">
              <w:rPr>
                <w:rFonts w:ascii="Arial" w:hAnsi="Arial" w:cs="Arial"/>
                <w:color w:val="000000"/>
                <w:lang w:eastAsia="pt-BR"/>
              </w:rPr>
              <w:t>Very low</w:t>
            </w:r>
          </w:p>
        </w:tc>
        <w:tc>
          <w:tcPr>
            <w:tcW w:w="1919" w:type="dxa"/>
            <w:tcBorders>
              <w:top w:val="nil"/>
              <w:left w:val="nil"/>
              <w:bottom w:val="nil"/>
              <w:right w:val="nil"/>
            </w:tcBorders>
            <w:shd w:val="clear" w:color="000000" w:fill="FFFFFF"/>
            <w:noWrap/>
            <w:vAlign w:val="bottom"/>
            <w:hideMark/>
          </w:tcPr>
          <w:p w14:paraId="4E292D1D"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8</w:t>
            </w:r>
          </w:p>
        </w:tc>
        <w:tc>
          <w:tcPr>
            <w:tcW w:w="709" w:type="dxa"/>
            <w:tcBorders>
              <w:top w:val="nil"/>
              <w:left w:val="nil"/>
              <w:bottom w:val="nil"/>
              <w:right w:val="nil"/>
            </w:tcBorders>
            <w:shd w:val="clear" w:color="000000" w:fill="FFFFFF"/>
            <w:noWrap/>
            <w:vAlign w:val="bottom"/>
            <w:hideMark/>
          </w:tcPr>
          <w:p w14:paraId="1CB494F8"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17,8%</w:t>
            </w:r>
          </w:p>
        </w:tc>
        <w:tc>
          <w:tcPr>
            <w:tcW w:w="1874" w:type="dxa"/>
            <w:tcBorders>
              <w:top w:val="nil"/>
              <w:left w:val="nil"/>
              <w:bottom w:val="nil"/>
              <w:right w:val="nil"/>
            </w:tcBorders>
            <w:shd w:val="clear" w:color="000000" w:fill="FFFFFF"/>
            <w:noWrap/>
            <w:vAlign w:val="bottom"/>
            <w:hideMark/>
          </w:tcPr>
          <w:p w14:paraId="56C3A2FE"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71DF1C53"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78DF0E6D" w14:textId="65714575" w:rsidR="002A3BBB" w:rsidRPr="00ED290B" w:rsidRDefault="005F4C5D" w:rsidP="00ED290B">
            <w:pPr>
              <w:jc w:val="center"/>
              <w:rPr>
                <w:rFonts w:ascii="Arial" w:hAnsi="Arial" w:cs="Arial"/>
                <w:color w:val="000000"/>
                <w:lang w:eastAsia="pt-BR"/>
              </w:rPr>
            </w:pPr>
            <w:r w:rsidRPr="00ED290B">
              <w:rPr>
                <w:rFonts w:ascii="Arial" w:hAnsi="Arial" w:cs="Arial"/>
                <w:color w:val="000000"/>
                <w:lang w:eastAsia="pt-BR"/>
              </w:rPr>
              <w:t>Low</w:t>
            </w:r>
          </w:p>
        </w:tc>
        <w:tc>
          <w:tcPr>
            <w:tcW w:w="1919" w:type="dxa"/>
            <w:tcBorders>
              <w:top w:val="nil"/>
              <w:left w:val="nil"/>
              <w:bottom w:val="nil"/>
              <w:right w:val="nil"/>
            </w:tcBorders>
            <w:shd w:val="clear" w:color="000000" w:fill="FFFFFF"/>
            <w:noWrap/>
            <w:vAlign w:val="bottom"/>
            <w:hideMark/>
          </w:tcPr>
          <w:p w14:paraId="2039674E"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16</w:t>
            </w:r>
          </w:p>
        </w:tc>
        <w:tc>
          <w:tcPr>
            <w:tcW w:w="709" w:type="dxa"/>
            <w:tcBorders>
              <w:top w:val="nil"/>
              <w:left w:val="nil"/>
              <w:bottom w:val="nil"/>
              <w:right w:val="nil"/>
            </w:tcBorders>
            <w:shd w:val="clear" w:color="000000" w:fill="FFFFFF"/>
            <w:noWrap/>
            <w:vAlign w:val="bottom"/>
            <w:hideMark/>
          </w:tcPr>
          <w:p w14:paraId="553CF0FA"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35,6%</w:t>
            </w:r>
          </w:p>
        </w:tc>
        <w:tc>
          <w:tcPr>
            <w:tcW w:w="1874" w:type="dxa"/>
            <w:tcBorders>
              <w:top w:val="nil"/>
              <w:left w:val="nil"/>
              <w:bottom w:val="nil"/>
              <w:right w:val="nil"/>
            </w:tcBorders>
            <w:shd w:val="clear" w:color="000000" w:fill="FFFFFF"/>
            <w:noWrap/>
            <w:vAlign w:val="bottom"/>
            <w:hideMark/>
          </w:tcPr>
          <w:p w14:paraId="1DF59844"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07AB5968"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174EA220" w14:textId="57E53D0F" w:rsidR="002A3BBB" w:rsidRPr="00ED290B" w:rsidRDefault="005F4C5D" w:rsidP="00ED290B">
            <w:pPr>
              <w:jc w:val="center"/>
              <w:rPr>
                <w:rFonts w:ascii="Arial" w:hAnsi="Arial" w:cs="Arial"/>
                <w:color w:val="000000"/>
                <w:lang w:eastAsia="pt-BR"/>
              </w:rPr>
            </w:pPr>
            <w:r w:rsidRPr="00ED290B">
              <w:rPr>
                <w:rFonts w:ascii="Arial" w:hAnsi="Arial" w:cs="Arial"/>
                <w:color w:val="000000"/>
                <w:lang w:eastAsia="pt-BR"/>
              </w:rPr>
              <w:t>Moderate</w:t>
            </w:r>
          </w:p>
        </w:tc>
        <w:tc>
          <w:tcPr>
            <w:tcW w:w="1919" w:type="dxa"/>
            <w:tcBorders>
              <w:top w:val="nil"/>
              <w:left w:val="nil"/>
              <w:bottom w:val="nil"/>
              <w:right w:val="nil"/>
            </w:tcBorders>
            <w:shd w:val="clear" w:color="000000" w:fill="FFFFFF"/>
            <w:noWrap/>
            <w:vAlign w:val="bottom"/>
            <w:hideMark/>
          </w:tcPr>
          <w:p w14:paraId="3EAE76C6"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17</w:t>
            </w:r>
          </w:p>
        </w:tc>
        <w:tc>
          <w:tcPr>
            <w:tcW w:w="709" w:type="dxa"/>
            <w:tcBorders>
              <w:top w:val="nil"/>
              <w:left w:val="nil"/>
              <w:bottom w:val="nil"/>
              <w:right w:val="nil"/>
            </w:tcBorders>
            <w:shd w:val="clear" w:color="000000" w:fill="FFFFFF"/>
            <w:noWrap/>
            <w:vAlign w:val="bottom"/>
            <w:hideMark/>
          </w:tcPr>
          <w:p w14:paraId="460F58E7"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37,8%</w:t>
            </w:r>
          </w:p>
        </w:tc>
        <w:tc>
          <w:tcPr>
            <w:tcW w:w="1874" w:type="dxa"/>
            <w:tcBorders>
              <w:top w:val="nil"/>
              <w:left w:val="nil"/>
              <w:bottom w:val="nil"/>
              <w:right w:val="nil"/>
            </w:tcBorders>
            <w:shd w:val="clear" w:color="000000" w:fill="FFFFFF"/>
            <w:noWrap/>
            <w:vAlign w:val="bottom"/>
            <w:hideMark/>
          </w:tcPr>
          <w:p w14:paraId="55D280FD"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449C35B7" w14:textId="77777777" w:rsidTr="004C02D3">
        <w:trPr>
          <w:trHeight w:val="321"/>
          <w:jc w:val="center"/>
        </w:trPr>
        <w:tc>
          <w:tcPr>
            <w:tcW w:w="3468" w:type="dxa"/>
            <w:tcBorders>
              <w:top w:val="nil"/>
              <w:left w:val="nil"/>
              <w:bottom w:val="nil"/>
              <w:right w:val="nil"/>
            </w:tcBorders>
            <w:shd w:val="clear" w:color="000000" w:fill="FFFFFF"/>
            <w:noWrap/>
            <w:vAlign w:val="bottom"/>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A5448" w:rsidRPr="009A5448" w14:paraId="3B2364F9" w14:textId="77777777">
              <w:trPr>
                <w:tblCellSpacing w:w="15" w:type="dxa"/>
              </w:trPr>
              <w:tc>
                <w:tcPr>
                  <w:tcW w:w="0" w:type="auto"/>
                  <w:vAlign w:val="center"/>
                  <w:hideMark/>
                </w:tcPr>
                <w:p w14:paraId="5D19A031" w14:textId="77777777" w:rsidR="009A5448" w:rsidRPr="009A5448" w:rsidRDefault="009A5448" w:rsidP="00ED290B">
                  <w:pPr>
                    <w:jc w:val="center"/>
                    <w:rPr>
                      <w:rFonts w:ascii="Arial" w:hAnsi="Arial" w:cs="Arial"/>
                      <w:color w:val="000000"/>
                      <w:lang w:val="pt-BR" w:eastAsia="pt-BR"/>
                    </w:rPr>
                  </w:pPr>
                </w:p>
              </w:tc>
            </w:tr>
          </w:tbl>
          <w:p w14:paraId="57E570E2" w14:textId="77777777" w:rsidR="009A5448" w:rsidRPr="009A5448" w:rsidRDefault="009A5448" w:rsidP="00ED290B">
            <w:pPr>
              <w:jc w:val="center"/>
              <w:rPr>
                <w:rFonts w:ascii="Arial" w:hAnsi="Arial" w:cs="Arial"/>
                <w:vanish/>
                <w:color w:val="000000"/>
                <w:lang w:val="pt-BR"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9A5448" w:rsidRPr="009A5448" w14:paraId="62BAC81D" w14:textId="77777777" w:rsidTr="009A5448">
              <w:trPr>
                <w:tblCellSpacing w:w="15" w:type="dxa"/>
              </w:trPr>
              <w:tc>
                <w:tcPr>
                  <w:tcW w:w="2843" w:type="dxa"/>
                  <w:vAlign w:val="center"/>
                  <w:hideMark/>
                </w:tcPr>
                <w:p w14:paraId="1828726F" w14:textId="0E17B6FE" w:rsidR="009A5448" w:rsidRPr="009A5448" w:rsidRDefault="009A5448" w:rsidP="00ED290B">
                  <w:pPr>
                    <w:jc w:val="center"/>
                    <w:rPr>
                      <w:rFonts w:ascii="Arial" w:hAnsi="Arial" w:cs="Arial"/>
                      <w:color w:val="000000"/>
                      <w:lang w:val="pt-BR" w:eastAsia="pt-BR"/>
                    </w:rPr>
                  </w:pPr>
                  <w:r w:rsidRPr="00ED290B">
                    <w:rPr>
                      <w:rFonts w:ascii="Arial" w:hAnsi="Arial" w:cs="Arial"/>
                      <w:color w:val="000000"/>
                      <w:lang w:eastAsia="pt-BR"/>
                    </w:rPr>
                    <w:t>High</w:t>
                  </w:r>
                </w:p>
              </w:tc>
            </w:tr>
          </w:tbl>
          <w:p w14:paraId="5391A90C" w14:textId="29AFECBC" w:rsidR="002A3BBB" w:rsidRPr="00ED290B" w:rsidRDefault="002A3BBB" w:rsidP="00ED290B">
            <w:pPr>
              <w:jc w:val="center"/>
              <w:rPr>
                <w:rFonts w:ascii="Arial" w:hAnsi="Arial" w:cs="Arial"/>
                <w:color w:val="000000"/>
                <w:lang w:eastAsia="pt-BR"/>
              </w:rPr>
            </w:pPr>
          </w:p>
        </w:tc>
        <w:tc>
          <w:tcPr>
            <w:tcW w:w="1919" w:type="dxa"/>
            <w:tcBorders>
              <w:top w:val="nil"/>
              <w:left w:val="nil"/>
              <w:bottom w:val="nil"/>
              <w:right w:val="nil"/>
            </w:tcBorders>
            <w:shd w:val="clear" w:color="000000" w:fill="FFFFFF"/>
            <w:noWrap/>
            <w:vAlign w:val="bottom"/>
            <w:hideMark/>
          </w:tcPr>
          <w:p w14:paraId="160F0907"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w:t>
            </w:r>
          </w:p>
        </w:tc>
        <w:tc>
          <w:tcPr>
            <w:tcW w:w="709" w:type="dxa"/>
            <w:tcBorders>
              <w:top w:val="nil"/>
              <w:left w:val="nil"/>
              <w:bottom w:val="nil"/>
              <w:right w:val="nil"/>
            </w:tcBorders>
            <w:shd w:val="clear" w:color="000000" w:fill="FFFFFF"/>
            <w:noWrap/>
            <w:vAlign w:val="bottom"/>
            <w:hideMark/>
          </w:tcPr>
          <w:p w14:paraId="59DA18F3"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6,7%</w:t>
            </w:r>
          </w:p>
        </w:tc>
        <w:tc>
          <w:tcPr>
            <w:tcW w:w="1874" w:type="dxa"/>
            <w:tcBorders>
              <w:top w:val="nil"/>
              <w:left w:val="nil"/>
              <w:bottom w:val="nil"/>
              <w:right w:val="nil"/>
            </w:tcBorders>
            <w:shd w:val="clear" w:color="000000" w:fill="FFFFFF"/>
            <w:noWrap/>
            <w:vAlign w:val="bottom"/>
            <w:hideMark/>
          </w:tcPr>
          <w:p w14:paraId="1EFC0017"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4E28CF5C"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37C592A2" w14:textId="5A4F862A" w:rsidR="002A3BBB" w:rsidRPr="00ED290B" w:rsidRDefault="009A5448" w:rsidP="00ED290B">
            <w:pPr>
              <w:jc w:val="center"/>
              <w:rPr>
                <w:rFonts w:ascii="Arial" w:hAnsi="Arial" w:cs="Arial"/>
                <w:color w:val="000000"/>
                <w:lang w:eastAsia="pt-BR"/>
              </w:rPr>
            </w:pPr>
            <w:r w:rsidRPr="00ED290B">
              <w:rPr>
                <w:rFonts w:ascii="Arial" w:hAnsi="Arial" w:cs="Arial"/>
                <w:color w:val="000000"/>
                <w:lang w:eastAsia="pt-BR"/>
              </w:rPr>
              <w:t>Very high</w:t>
            </w:r>
          </w:p>
        </w:tc>
        <w:tc>
          <w:tcPr>
            <w:tcW w:w="1919" w:type="dxa"/>
            <w:tcBorders>
              <w:top w:val="nil"/>
              <w:left w:val="nil"/>
              <w:bottom w:val="nil"/>
              <w:right w:val="nil"/>
            </w:tcBorders>
            <w:shd w:val="clear" w:color="000000" w:fill="FFFFFF"/>
            <w:noWrap/>
            <w:vAlign w:val="bottom"/>
            <w:hideMark/>
          </w:tcPr>
          <w:p w14:paraId="319732EF"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w:t>
            </w:r>
          </w:p>
        </w:tc>
        <w:tc>
          <w:tcPr>
            <w:tcW w:w="709" w:type="dxa"/>
            <w:tcBorders>
              <w:top w:val="nil"/>
              <w:left w:val="nil"/>
              <w:bottom w:val="nil"/>
              <w:right w:val="nil"/>
            </w:tcBorders>
            <w:shd w:val="clear" w:color="000000" w:fill="FFFFFF"/>
            <w:noWrap/>
            <w:vAlign w:val="bottom"/>
            <w:hideMark/>
          </w:tcPr>
          <w:p w14:paraId="1089CBC0"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2,2%</w:t>
            </w:r>
          </w:p>
        </w:tc>
        <w:tc>
          <w:tcPr>
            <w:tcW w:w="1874" w:type="dxa"/>
            <w:tcBorders>
              <w:top w:val="nil"/>
              <w:left w:val="nil"/>
              <w:bottom w:val="nil"/>
              <w:right w:val="nil"/>
            </w:tcBorders>
            <w:shd w:val="clear" w:color="000000" w:fill="FFFFFF"/>
            <w:noWrap/>
            <w:vAlign w:val="bottom"/>
            <w:hideMark/>
          </w:tcPr>
          <w:p w14:paraId="115A3ED3"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6895B3A6"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0EA7EACB" w14:textId="77497128" w:rsidR="002A3BBB" w:rsidRPr="00ED290B" w:rsidRDefault="00ED290B" w:rsidP="00ED290B">
            <w:pPr>
              <w:rPr>
                <w:rFonts w:ascii="Arial" w:hAnsi="Arial" w:cs="Arial"/>
                <w:b/>
                <w:bCs/>
                <w:color w:val="000000"/>
                <w:lang w:eastAsia="pt-BR"/>
              </w:rPr>
            </w:pPr>
            <w:r w:rsidRPr="00ED290B">
              <w:rPr>
                <w:rFonts w:ascii="Arial" w:hAnsi="Arial" w:cs="Arial"/>
                <w:b/>
                <w:bCs/>
                <w:color w:val="000000"/>
                <w:lang w:eastAsia="pt-BR"/>
              </w:rPr>
              <w:t>Post-Discharge Destination</w:t>
            </w:r>
            <w:r w:rsidR="002A3BBB" w:rsidRPr="00ED290B">
              <w:rPr>
                <w:rFonts w:ascii="Arial" w:hAnsi="Arial" w:cs="Arial"/>
                <w:b/>
                <w:bCs/>
                <w:color w:val="000000"/>
                <w:lang w:eastAsia="pt-BR"/>
              </w:rPr>
              <w:t>**</w:t>
            </w:r>
          </w:p>
        </w:tc>
        <w:tc>
          <w:tcPr>
            <w:tcW w:w="1919" w:type="dxa"/>
            <w:tcBorders>
              <w:top w:val="nil"/>
              <w:left w:val="nil"/>
              <w:bottom w:val="nil"/>
              <w:right w:val="nil"/>
            </w:tcBorders>
            <w:shd w:val="clear" w:color="000000" w:fill="FFFFFF"/>
            <w:noWrap/>
            <w:vAlign w:val="bottom"/>
            <w:hideMark/>
          </w:tcPr>
          <w:p w14:paraId="5AE73693" w14:textId="77777777" w:rsidR="002A3BBB" w:rsidRPr="00ED290B" w:rsidRDefault="002A3BBB" w:rsidP="002A3BBB">
            <w:pPr>
              <w:rPr>
                <w:rFonts w:ascii="Arial" w:hAnsi="Arial" w:cs="Arial"/>
                <w:b/>
                <w:bCs/>
                <w:color w:val="000000"/>
                <w:lang w:eastAsia="pt-BR"/>
              </w:rPr>
            </w:pPr>
            <w:r w:rsidRPr="00ED290B">
              <w:rPr>
                <w:rFonts w:ascii="Arial" w:hAnsi="Arial" w:cs="Arial"/>
                <w:b/>
                <w:bCs/>
                <w:color w:val="000000"/>
                <w:lang w:eastAsia="pt-BR"/>
              </w:rPr>
              <w:t> </w:t>
            </w:r>
          </w:p>
        </w:tc>
        <w:tc>
          <w:tcPr>
            <w:tcW w:w="709" w:type="dxa"/>
            <w:tcBorders>
              <w:top w:val="nil"/>
              <w:left w:val="nil"/>
              <w:bottom w:val="nil"/>
              <w:right w:val="nil"/>
            </w:tcBorders>
            <w:shd w:val="clear" w:color="000000" w:fill="FFFFFF"/>
            <w:noWrap/>
            <w:vAlign w:val="bottom"/>
            <w:hideMark/>
          </w:tcPr>
          <w:p w14:paraId="73259485" w14:textId="77777777" w:rsidR="002A3BBB" w:rsidRPr="00ED290B" w:rsidRDefault="002A3BBB" w:rsidP="002A3BBB">
            <w:pPr>
              <w:rPr>
                <w:rFonts w:ascii="Arial" w:hAnsi="Arial" w:cs="Arial"/>
                <w:b/>
                <w:bCs/>
                <w:color w:val="000000"/>
                <w:lang w:eastAsia="pt-BR"/>
              </w:rPr>
            </w:pPr>
            <w:r w:rsidRPr="00ED290B">
              <w:rPr>
                <w:rFonts w:ascii="Arial" w:hAnsi="Arial" w:cs="Arial"/>
                <w:b/>
                <w:bCs/>
                <w:color w:val="000000"/>
                <w:lang w:eastAsia="pt-BR"/>
              </w:rPr>
              <w:t> </w:t>
            </w:r>
          </w:p>
        </w:tc>
        <w:tc>
          <w:tcPr>
            <w:tcW w:w="1874" w:type="dxa"/>
            <w:tcBorders>
              <w:top w:val="nil"/>
              <w:left w:val="nil"/>
              <w:bottom w:val="nil"/>
              <w:right w:val="nil"/>
            </w:tcBorders>
            <w:shd w:val="clear" w:color="000000" w:fill="FFFFFF"/>
            <w:noWrap/>
            <w:vAlign w:val="bottom"/>
            <w:hideMark/>
          </w:tcPr>
          <w:p w14:paraId="03BF9A79"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0.0023*</w:t>
            </w:r>
          </w:p>
        </w:tc>
      </w:tr>
      <w:tr w:rsidR="002A3BBB" w:rsidRPr="00ED290B" w14:paraId="41781B77"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5219E123" w14:textId="508EB2D3" w:rsidR="002A3BBB" w:rsidRPr="00ED290B" w:rsidRDefault="00ED290B" w:rsidP="00ED290B">
            <w:pPr>
              <w:jc w:val="center"/>
              <w:rPr>
                <w:rFonts w:ascii="Arial" w:hAnsi="Arial" w:cs="Arial"/>
                <w:color w:val="000000"/>
                <w:lang w:eastAsia="pt-BR"/>
              </w:rPr>
            </w:pPr>
            <w:r w:rsidRPr="00ED290B">
              <w:rPr>
                <w:rFonts w:ascii="Arial" w:hAnsi="Arial" w:cs="Arial"/>
                <w:color w:val="000000"/>
                <w:lang w:eastAsia="pt-BR"/>
              </w:rPr>
              <w:t>Transfer</w:t>
            </w:r>
          </w:p>
        </w:tc>
        <w:tc>
          <w:tcPr>
            <w:tcW w:w="1919" w:type="dxa"/>
            <w:tcBorders>
              <w:top w:val="nil"/>
              <w:left w:val="nil"/>
              <w:bottom w:val="nil"/>
              <w:right w:val="nil"/>
            </w:tcBorders>
            <w:shd w:val="clear" w:color="000000" w:fill="FFFFFF"/>
            <w:noWrap/>
            <w:vAlign w:val="bottom"/>
            <w:hideMark/>
          </w:tcPr>
          <w:p w14:paraId="45DEE2E4"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34</w:t>
            </w:r>
          </w:p>
        </w:tc>
        <w:tc>
          <w:tcPr>
            <w:tcW w:w="709" w:type="dxa"/>
            <w:tcBorders>
              <w:top w:val="nil"/>
              <w:left w:val="nil"/>
              <w:bottom w:val="nil"/>
              <w:right w:val="nil"/>
            </w:tcBorders>
            <w:shd w:val="clear" w:color="000000" w:fill="FFFFFF"/>
            <w:noWrap/>
            <w:vAlign w:val="bottom"/>
            <w:hideMark/>
          </w:tcPr>
          <w:p w14:paraId="12B3233E"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42,8%</w:t>
            </w:r>
          </w:p>
        </w:tc>
        <w:tc>
          <w:tcPr>
            <w:tcW w:w="1874" w:type="dxa"/>
            <w:tcBorders>
              <w:top w:val="nil"/>
              <w:left w:val="nil"/>
              <w:bottom w:val="nil"/>
              <w:right w:val="nil"/>
            </w:tcBorders>
            <w:shd w:val="clear" w:color="000000" w:fill="FFFFFF"/>
            <w:noWrap/>
            <w:vAlign w:val="bottom"/>
            <w:hideMark/>
          </w:tcPr>
          <w:p w14:paraId="7D5BAFE7"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5196597B"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37C28976" w14:textId="1F210404" w:rsidR="002A3BBB" w:rsidRPr="00ED290B" w:rsidRDefault="00ED290B" w:rsidP="00ED290B">
            <w:pPr>
              <w:jc w:val="center"/>
              <w:rPr>
                <w:rFonts w:ascii="Arial" w:hAnsi="Arial" w:cs="Arial"/>
                <w:color w:val="000000"/>
                <w:lang w:eastAsia="pt-BR"/>
              </w:rPr>
            </w:pPr>
            <w:r w:rsidRPr="00ED290B">
              <w:rPr>
                <w:rFonts w:ascii="Arial" w:hAnsi="Arial" w:cs="Arial"/>
                <w:color w:val="000000"/>
                <w:lang w:eastAsia="pt-BR"/>
              </w:rPr>
              <w:t>Outpatient / Ambulatory Care</w:t>
            </w:r>
          </w:p>
        </w:tc>
        <w:tc>
          <w:tcPr>
            <w:tcW w:w="1919" w:type="dxa"/>
            <w:tcBorders>
              <w:top w:val="nil"/>
              <w:left w:val="nil"/>
              <w:bottom w:val="nil"/>
              <w:right w:val="nil"/>
            </w:tcBorders>
            <w:shd w:val="clear" w:color="000000" w:fill="FFFFFF"/>
            <w:noWrap/>
            <w:vAlign w:val="bottom"/>
            <w:hideMark/>
          </w:tcPr>
          <w:p w14:paraId="3D20368E"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25</w:t>
            </w:r>
          </w:p>
        </w:tc>
        <w:tc>
          <w:tcPr>
            <w:tcW w:w="709" w:type="dxa"/>
            <w:tcBorders>
              <w:top w:val="nil"/>
              <w:left w:val="nil"/>
              <w:bottom w:val="nil"/>
              <w:right w:val="nil"/>
            </w:tcBorders>
            <w:shd w:val="clear" w:color="000000" w:fill="FFFFFF"/>
            <w:noWrap/>
            <w:vAlign w:val="bottom"/>
            <w:hideMark/>
          </w:tcPr>
          <w:p w14:paraId="17D9B264"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35,0%</w:t>
            </w:r>
          </w:p>
        </w:tc>
        <w:tc>
          <w:tcPr>
            <w:tcW w:w="1874" w:type="dxa"/>
            <w:tcBorders>
              <w:top w:val="nil"/>
              <w:left w:val="nil"/>
              <w:bottom w:val="nil"/>
              <w:right w:val="nil"/>
            </w:tcBorders>
            <w:shd w:val="clear" w:color="000000" w:fill="FFFFFF"/>
            <w:noWrap/>
            <w:vAlign w:val="bottom"/>
            <w:hideMark/>
          </w:tcPr>
          <w:p w14:paraId="159D60C6"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27B7FBCE" w14:textId="77777777" w:rsidTr="004C02D3">
        <w:trPr>
          <w:trHeight w:val="321"/>
          <w:jc w:val="center"/>
        </w:trPr>
        <w:tc>
          <w:tcPr>
            <w:tcW w:w="3468" w:type="dxa"/>
            <w:tcBorders>
              <w:top w:val="nil"/>
              <w:left w:val="nil"/>
              <w:bottom w:val="nil"/>
              <w:right w:val="nil"/>
            </w:tcBorders>
            <w:shd w:val="clear" w:color="000000" w:fill="FFFFFF"/>
            <w:noWrap/>
            <w:vAlign w:val="bottom"/>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290B" w:rsidRPr="00ED290B" w14:paraId="65C049E9" w14:textId="77777777">
              <w:trPr>
                <w:tblCellSpacing w:w="15" w:type="dxa"/>
              </w:trPr>
              <w:tc>
                <w:tcPr>
                  <w:tcW w:w="0" w:type="auto"/>
                  <w:vAlign w:val="center"/>
                  <w:hideMark/>
                </w:tcPr>
                <w:p w14:paraId="60E5AA39" w14:textId="77777777" w:rsidR="00ED290B" w:rsidRPr="00ED290B" w:rsidRDefault="00ED290B" w:rsidP="00ED290B">
                  <w:pPr>
                    <w:jc w:val="center"/>
                    <w:rPr>
                      <w:rFonts w:ascii="Arial" w:hAnsi="Arial" w:cs="Arial"/>
                      <w:color w:val="000000"/>
                      <w:lang w:val="pt-BR" w:eastAsia="pt-BR"/>
                    </w:rPr>
                  </w:pPr>
                </w:p>
              </w:tc>
            </w:tr>
          </w:tbl>
          <w:p w14:paraId="1CE05D7E" w14:textId="77777777" w:rsidR="00ED290B" w:rsidRPr="00ED290B" w:rsidRDefault="00ED290B" w:rsidP="00ED290B">
            <w:pPr>
              <w:jc w:val="center"/>
              <w:rPr>
                <w:rFonts w:ascii="Arial" w:hAnsi="Arial" w:cs="Arial"/>
                <w:vanish/>
                <w:color w:val="000000"/>
                <w:lang w:val="pt-BR" w:eastAsia="pt-BR"/>
              </w:rPr>
            </w:pPr>
          </w:p>
          <w:tbl>
            <w:tblPr>
              <w:tblW w:w="3328" w:type="dxa"/>
              <w:tblCellSpacing w:w="15" w:type="dxa"/>
              <w:tblCellMar>
                <w:top w:w="15" w:type="dxa"/>
                <w:left w:w="15" w:type="dxa"/>
                <w:bottom w:w="15" w:type="dxa"/>
                <w:right w:w="15" w:type="dxa"/>
              </w:tblCellMar>
              <w:tblLook w:val="04A0" w:firstRow="1" w:lastRow="0" w:firstColumn="1" w:lastColumn="0" w:noHBand="0" w:noVBand="1"/>
            </w:tblPr>
            <w:tblGrid>
              <w:gridCol w:w="3328"/>
            </w:tblGrid>
            <w:tr w:rsidR="00ED290B" w:rsidRPr="00ED290B" w14:paraId="5B233C0A" w14:textId="77777777" w:rsidTr="00ED290B">
              <w:trPr>
                <w:tblCellSpacing w:w="15" w:type="dxa"/>
              </w:trPr>
              <w:tc>
                <w:tcPr>
                  <w:tcW w:w="3268" w:type="dxa"/>
                  <w:vAlign w:val="center"/>
                  <w:hideMark/>
                </w:tcPr>
                <w:p w14:paraId="666F6930" w14:textId="77777777" w:rsidR="00ED290B" w:rsidRPr="00ED290B" w:rsidRDefault="00ED290B" w:rsidP="00ED290B">
                  <w:pPr>
                    <w:jc w:val="center"/>
                    <w:rPr>
                      <w:rFonts w:ascii="Arial" w:hAnsi="Arial" w:cs="Arial"/>
                      <w:color w:val="000000"/>
                      <w:lang w:val="pt-BR" w:eastAsia="pt-BR"/>
                    </w:rPr>
                  </w:pPr>
                  <w:r w:rsidRPr="00ED290B">
                    <w:rPr>
                      <w:rFonts w:ascii="Arial" w:hAnsi="Arial" w:cs="Arial"/>
                      <w:color w:val="000000"/>
                      <w:lang w:val="pt-BR" w:eastAsia="pt-BR"/>
                    </w:rPr>
                    <w:t>Discharge home</w:t>
                  </w:r>
                </w:p>
              </w:tc>
            </w:tr>
          </w:tbl>
          <w:p w14:paraId="0FF39D73" w14:textId="7861F44A" w:rsidR="002A3BBB" w:rsidRPr="00ED290B" w:rsidRDefault="002A3BBB" w:rsidP="00ED290B">
            <w:pPr>
              <w:jc w:val="center"/>
              <w:rPr>
                <w:rFonts w:ascii="Arial" w:hAnsi="Arial" w:cs="Arial"/>
                <w:color w:val="000000"/>
                <w:lang w:eastAsia="pt-BR"/>
              </w:rPr>
            </w:pPr>
          </w:p>
        </w:tc>
        <w:tc>
          <w:tcPr>
            <w:tcW w:w="1919" w:type="dxa"/>
            <w:tcBorders>
              <w:top w:val="nil"/>
              <w:left w:val="nil"/>
              <w:bottom w:val="nil"/>
              <w:right w:val="nil"/>
            </w:tcBorders>
            <w:shd w:val="clear" w:color="000000" w:fill="FFFFFF"/>
            <w:noWrap/>
            <w:vAlign w:val="bottom"/>
            <w:hideMark/>
          </w:tcPr>
          <w:p w14:paraId="0FEC0F7C"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10</w:t>
            </w:r>
          </w:p>
        </w:tc>
        <w:tc>
          <w:tcPr>
            <w:tcW w:w="709" w:type="dxa"/>
            <w:tcBorders>
              <w:top w:val="nil"/>
              <w:left w:val="nil"/>
              <w:bottom w:val="nil"/>
              <w:right w:val="nil"/>
            </w:tcBorders>
            <w:shd w:val="clear" w:color="000000" w:fill="FFFFFF"/>
            <w:noWrap/>
            <w:vAlign w:val="bottom"/>
            <w:hideMark/>
          </w:tcPr>
          <w:p w14:paraId="6E1ABF31"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12,2%</w:t>
            </w:r>
          </w:p>
        </w:tc>
        <w:tc>
          <w:tcPr>
            <w:tcW w:w="1874" w:type="dxa"/>
            <w:tcBorders>
              <w:top w:val="nil"/>
              <w:left w:val="nil"/>
              <w:bottom w:val="nil"/>
              <w:right w:val="nil"/>
            </w:tcBorders>
            <w:shd w:val="clear" w:color="000000" w:fill="FFFFFF"/>
            <w:noWrap/>
            <w:vAlign w:val="bottom"/>
            <w:hideMark/>
          </w:tcPr>
          <w:p w14:paraId="1325AF05"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0166458A"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5843CF06" w14:textId="0644C75E" w:rsidR="002A3BBB" w:rsidRPr="00ED290B" w:rsidRDefault="00ED290B" w:rsidP="00ED290B">
            <w:pPr>
              <w:jc w:val="center"/>
              <w:rPr>
                <w:rFonts w:ascii="Arial" w:hAnsi="Arial" w:cs="Arial"/>
                <w:color w:val="000000"/>
                <w:lang w:eastAsia="pt-BR"/>
              </w:rPr>
            </w:pPr>
            <w:r w:rsidRPr="00ED290B">
              <w:rPr>
                <w:rFonts w:ascii="Arial" w:hAnsi="Arial" w:cs="Arial"/>
                <w:color w:val="000000"/>
                <w:lang w:eastAsia="pt-BR"/>
              </w:rPr>
              <w:t>Death</w:t>
            </w:r>
          </w:p>
        </w:tc>
        <w:tc>
          <w:tcPr>
            <w:tcW w:w="1919" w:type="dxa"/>
            <w:tcBorders>
              <w:top w:val="nil"/>
              <w:left w:val="nil"/>
              <w:bottom w:val="nil"/>
              <w:right w:val="nil"/>
            </w:tcBorders>
            <w:shd w:val="clear" w:color="000000" w:fill="FFFFFF"/>
            <w:noWrap/>
            <w:vAlign w:val="bottom"/>
            <w:hideMark/>
          </w:tcPr>
          <w:p w14:paraId="3C69F411"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9</w:t>
            </w:r>
          </w:p>
        </w:tc>
        <w:tc>
          <w:tcPr>
            <w:tcW w:w="709" w:type="dxa"/>
            <w:tcBorders>
              <w:top w:val="nil"/>
              <w:left w:val="nil"/>
              <w:bottom w:val="nil"/>
              <w:right w:val="nil"/>
            </w:tcBorders>
            <w:shd w:val="clear" w:color="000000" w:fill="FFFFFF"/>
            <w:noWrap/>
            <w:vAlign w:val="bottom"/>
            <w:hideMark/>
          </w:tcPr>
          <w:p w14:paraId="47C516AD"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10,0%</w:t>
            </w:r>
          </w:p>
        </w:tc>
        <w:tc>
          <w:tcPr>
            <w:tcW w:w="1874" w:type="dxa"/>
            <w:tcBorders>
              <w:top w:val="nil"/>
              <w:left w:val="nil"/>
              <w:bottom w:val="nil"/>
              <w:right w:val="nil"/>
            </w:tcBorders>
            <w:shd w:val="clear" w:color="000000" w:fill="FFFFFF"/>
            <w:noWrap/>
            <w:vAlign w:val="bottom"/>
            <w:hideMark/>
          </w:tcPr>
          <w:p w14:paraId="6F03D744"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 </w:t>
            </w:r>
          </w:p>
        </w:tc>
      </w:tr>
    </w:tbl>
    <w:p w14:paraId="4B868018" w14:textId="77777777" w:rsidR="00B913BE" w:rsidRPr="00BE76D8" w:rsidRDefault="00B913BE" w:rsidP="00BE76D8">
      <w:pPr>
        <w:rPr>
          <w:rFonts w:ascii="Arial" w:hAnsi="Arial" w:cs="Arial"/>
          <w:sz w:val="16"/>
          <w:szCs w:val="16"/>
        </w:rPr>
      </w:pPr>
      <w:r w:rsidRPr="00BE76D8">
        <w:rPr>
          <w:rFonts w:ascii="Arial" w:hAnsi="Arial" w:cs="Arial"/>
          <w:sz w:val="16"/>
          <w:szCs w:val="16"/>
        </w:rPr>
        <w:t xml:space="preserve"> ___________________________________________________________________________</w:t>
      </w:r>
    </w:p>
    <w:p w14:paraId="29F9AB38" w14:textId="1CB445BC" w:rsidR="006A4496" w:rsidRPr="006A4496" w:rsidRDefault="006A4496" w:rsidP="00BE76D8">
      <w:pPr>
        <w:rPr>
          <w:rFonts w:ascii="Arial" w:hAnsi="Arial" w:cs="Arial"/>
          <w:sz w:val="16"/>
          <w:szCs w:val="16"/>
        </w:rPr>
      </w:pPr>
      <w:r w:rsidRPr="006A4496">
        <w:rPr>
          <w:rFonts w:ascii="Arial" w:hAnsi="Arial" w:cs="Arial"/>
          <w:sz w:val="16"/>
          <w:szCs w:val="16"/>
        </w:rPr>
        <w:t>Source: Applied protocol; *</w:t>
      </w:r>
      <w:r w:rsidRPr="006A4496">
        <w:rPr>
          <w:rFonts w:ascii="Arial" w:hAnsi="Arial" w:cs="Arial"/>
          <w:i/>
          <w:iCs/>
          <w:sz w:val="16"/>
          <w:szCs w:val="16"/>
        </w:rPr>
        <w:t>Chi-square Goodness-of-Fit Test; **G Test for Goodness-of-Fit.</w:t>
      </w:r>
    </w:p>
    <w:p w14:paraId="7CE83523" w14:textId="77777777" w:rsidR="00B913BE" w:rsidRDefault="00B913BE" w:rsidP="00B913BE">
      <w:pPr>
        <w:contextualSpacing/>
        <w:jc w:val="center"/>
        <w:rPr>
          <w:rFonts w:ascii="Times New Roman" w:hAnsi="Times New Roman"/>
          <w:b/>
          <w:bCs/>
        </w:rPr>
      </w:pPr>
    </w:p>
    <w:p w14:paraId="6E977291" w14:textId="77777777" w:rsidR="008F3F2E" w:rsidRDefault="008F3F2E" w:rsidP="008F3F2E">
      <w:pPr>
        <w:spacing w:after="240" w:line="360" w:lineRule="auto"/>
        <w:jc w:val="both"/>
        <w:rPr>
          <w:rFonts w:ascii="Arial" w:hAnsi="Arial" w:cs="Arial"/>
        </w:rPr>
      </w:pPr>
      <w:r w:rsidRPr="008F3F2E">
        <w:rPr>
          <w:rFonts w:ascii="Arial" w:hAnsi="Arial" w:cs="Arial"/>
        </w:rPr>
        <w:t>The application of the 10-Point Cognitive Screener (10-CS) to assess patient cognition revealed a statistically significant proportion (p = 0.0006) of participants with Probable Cognitive Impairment (60.0%), while the lowest proportion corresponded to those classified as Normal (15.6%).</w:t>
      </w:r>
    </w:p>
    <w:p w14:paraId="15AFCF00" w14:textId="77777777" w:rsidR="00C8052A" w:rsidRDefault="008F3F2E" w:rsidP="00C8052A">
      <w:pPr>
        <w:spacing w:after="240" w:line="360" w:lineRule="auto"/>
        <w:jc w:val="both"/>
        <w:rPr>
          <w:rFonts w:ascii="Arial" w:hAnsi="Arial" w:cs="Arial"/>
        </w:rPr>
      </w:pPr>
      <w:r w:rsidRPr="008F3F2E">
        <w:rPr>
          <w:rFonts w:ascii="Arial" w:hAnsi="Arial" w:cs="Arial"/>
        </w:rPr>
        <w:t>When comparing results between sexes, a statistically significant difference was observed (p = 0.0030). Females showed a higher proportion of probable cognitive impairment (73.9%) with no participants classified as Normal (0.0%). Among males, the second highest proportion corresponded to participants classified as Normal (31.8%), as shown in Table 5 and Figure 1.</w:t>
      </w:r>
    </w:p>
    <w:p w14:paraId="1C036808" w14:textId="67F3F94C" w:rsidR="00B913BE" w:rsidRPr="00C8052A" w:rsidRDefault="00C8052A" w:rsidP="00C8052A">
      <w:pPr>
        <w:spacing w:after="240" w:line="360" w:lineRule="auto"/>
        <w:jc w:val="both"/>
        <w:rPr>
          <w:rFonts w:ascii="Arial" w:hAnsi="Arial" w:cs="Arial"/>
        </w:rPr>
      </w:pPr>
      <w:r w:rsidRPr="00C8052A">
        <w:rPr>
          <w:rFonts w:ascii="Arial" w:hAnsi="Arial" w:cs="Arial"/>
          <w:b/>
          <w:bCs/>
          <w:sz w:val="16"/>
          <w:szCs w:val="16"/>
        </w:rPr>
        <w:t>Table 5. 10-Point Cognitive Screener (10-CS) Classification, Overall and by Sex – Jean Bitar Hospital (HJB), 2023</w:t>
      </w:r>
    </w:p>
    <w:tbl>
      <w:tblPr>
        <w:tblW w:w="8505" w:type="dxa"/>
        <w:jc w:val="center"/>
        <w:tblCellMar>
          <w:left w:w="70" w:type="dxa"/>
          <w:right w:w="70" w:type="dxa"/>
        </w:tblCellMar>
        <w:tblLook w:val="04A0" w:firstRow="1" w:lastRow="0" w:firstColumn="1" w:lastColumn="0" w:noHBand="0" w:noVBand="1"/>
      </w:tblPr>
      <w:tblGrid>
        <w:gridCol w:w="3686"/>
        <w:gridCol w:w="513"/>
        <w:gridCol w:w="1046"/>
        <w:gridCol w:w="513"/>
        <w:gridCol w:w="1218"/>
        <w:gridCol w:w="513"/>
        <w:gridCol w:w="1016"/>
      </w:tblGrid>
      <w:tr w:rsidR="00B913BE" w:rsidRPr="008F3F2E" w14:paraId="74F64B0D" w14:textId="77777777" w:rsidTr="00A65B88">
        <w:trPr>
          <w:trHeight w:val="324"/>
          <w:jc w:val="center"/>
        </w:trPr>
        <w:tc>
          <w:tcPr>
            <w:tcW w:w="3686" w:type="dxa"/>
            <w:vMerge w:val="restart"/>
            <w:tcBorders>
              <w:top w:val="single" w:sz="4" w:space="0" w:color="auto"/>
              <w:left w:val="nil"/>
              <w:bottom w:val="double" w:sz="6" w:space="0" w:color="000000"/>
              <w:right w:val="nil"/>
            </w:tcBorders>
            <w:shd w:val="clear" w:color="auto" w:fill="D9D9D9"/>
            <w:noWrap/>
            <w:vAlign w:val="center"/>
            <w:hideMark/>
          </w:tcPr>
          <w:p w14:paraId="49BABCFE" w14:textId="02332468" w:rsidR="00B913BE" w:rsidRPr="00C65739" w:rsidRDefault="00C65739" w:rsidP="00C65739">
            <w:pPr>
              <w:jc w:val="center"/>
              <w:rPr>
                <w:rFonts w:ascii="Times New Roman" w:hAnsi="Times New Roman"/>
                <w:b/>
                <w:bCs/>
              </w:rPr>
            </w:pPr>
            <w:r>
              <w:rPr>
                <w:rStyle w:val="Strong"/>
              </w:rPr>
              <w:t>10-CS Classification</w:t>
            </w:r>
          </w:p>
        </w:tc>
        <w:tc>
          <w:tcPr>
            <w:tcW w:w="3290" w:type="dxa"/>
            <w:gridSpan w:val="4"/>
            <w:tcBorders>
              <w:top w:val="single" w:sz="4" w:space="0" w:color="auto"/>
              <w:left w:val="nil"/>
              <w:bottom w:val="single" w:sz="4" w:space="0" w:color="auto"/>
              <w:right w:val="nil"/>
            </w:tcBorders>
            <w:shd w:val="clear" w:color="auto" w:fill="D9D9D9"/>
            <w:noWrap/>
            <w:vAlign w:val="center"/>
            <w:hideMark/>
          </w:tcPr>
          <w:p w14:paraId="1BF13E0F" w14:textId="4A989C51" w:rsidR="00B913BE" w:rsidRPr="008F3F2E" w:rsidRDefault="008F3F2E" w:rsidP="00BE76D8">
            <w:pPr>
              <w:jc w:val="center"/>
              <w:rPr>
                <w:rFonts w:ascii="Arial" w:hAnsi="Arial" w:cs="Arial"/>
                <w:b/>
                <w:bCs/>
                <w:color w:val="000000"/>
                <w:lang w:eastAsia="pt-BR"/>
              </w:rPr>
            </w:pPr>
            <w:r w:rsidRPr="008F3F2E">
              <w:rPr>
                <w:rFonts w:ascii="Arial" w:hAnsi="Arial" w:cs="Arial"/>
                <w:b/>
                <w:bCs/>
                <w:color w:val="000000"/>
                <w:lang w:eastAsia="pt-BR"/>
              </w:rPr>
              <w:t xml:space="preserve">Sex </w:t>
            </w:r>
            <w:r w:rsidR="00B913BE" w:rsidRPr="008F3F2E">
              <w:rPr>
                <w:rFonts w:ascii="Arial" w:hAnsi="Arial" w:cs="Arial"/>
                <w:b/>
                <w:bCs/>
                <w:color w:val="000000"/>
                <w:lang w:eastAsia="pt-BR"/>
              </w:rPr>
              <w:t>*</w:t>
            </w:r>
          </w:p>
        </w:tc>
        <w:tc>
          <w:tcPr>
            <w:tcW w:w="1529" w:type="dxa"/>
            <w:gridSpan w:val="2"/>
            <w:tcBorders>
              <w:top w:val="single" w:sz="4" w:space="0" w:color="auto"/>
              <w:left w:val="nil"/>
              <w:bottom w:val="single" w:sz="4" w:space="0" w:color="auto"/>
              <w:right w:val="nil"/>
            </w:tcBorders>
            <w:shd w:val="clear" w:color="auto" w:fill="D9D9D9"/>
            <w:noWrap/>
            <w:vAlign w:val="center"/>
            <w:hideMark/>
          </w:tcPr>
          <w:p w14:paraId="10E67A80"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TOTAL</w:t>
            </w:r>
          </w:p>
        </w:tc>
      </w:tr>
      <w:tr w:rsidR="00B913BE" w:rsidRPr="008F3F2E" w14:paraId="7D36F9EA" w14:textId="77777777" w:rsidTr="00A65B88">
        <w:trPr>
          <w:trHeight w:val="243"/>
          <w:jc w:val="center"/>
        </w:trPr>
        <w:tc>
          <w:tcPr>
            <w:tcW w:w="0" w:type="auto"/>
            <w:vMerge/>
            <w:tcBorders>
              <w:top w:val="single" w:sz="4" w:space="0" w:color="auto"/>
              <w:left w:val="nil"/>
              <w:bottom w:val="double" w:sz="6" w:space="0" w:color="000000"/>
              <w:right w:val="nil"/>
            </w:tcBorders>
            <w:vAlign w:val="center"/>
            <w:hideMark/>
          </w:tcPr>
          <w:p w14:paraId="27AA27A9" w14:textId="77777777" w:rsidR="00B913BE" w:rsidRPr="008F3F2E" w:rsidRDefault="00B913BE" w:rsidP="00BE76D8">
            <w:pPr>
              <w:jc w:val="center"/>
              <w:rPr>
                <w:rFonts w:ascii="Arial" w:hAnsi="Arial" w:cs="Arial"/>
                <w:b/>
                <w:bCs/>
                <w:color w:val="000000"/>
                <w:lang w:eastAsia="pt-BR"/>
              </w:rPr>
            </w:pPr>
          </w:p>
        </w:tc>
        <w:tc>
          <w:tcPr>
            <w:tcW w:w="1559" w:type="dxa"/>
            <w:gridSpan w:val="2"/>
            <w:tcBorders>
              <w:top w:val="single" w:sz="4" w:space="0" w:color="auto"/>
              <w:left w:val="nil"/>
              <w:bottom w:val="double" w:sz="6" w:space="0" w:color="auto"/>
              <w:right w:val="nil"/>
            </w:tcBorders>
            <w:shd w:val="clear" w:color="auto" w:fill="D9D9D9"/>
            <w:noWrap/>
            <w:vAlign w:val="bottom"/>
            <w:hideMark/>
          </w:tcPr>
          <w:p w14:paraId="45C054A3" w14:textId="6BE5B243" w:rsidR="00B913BE" w:rsidRPr="008F3F2E" w:rsidRDefault="008F3F2E" w:rsidP="00BE76D8">
            <w:pPr>
              <w:jc w:val="center"/>
              <w:rPr>
                <w:rFonts w:ascii="Arial" w:hAnsi="Arial" w:cs="Arial"/>
                <w:b/>
                <w:bCs/>
                <w:color w:val="000000"/>
                <w:lang w:eastAsia="pt-BR"/>
              </w:rPr>
            </w:pPr>
            <w:r w:rsidRPr="008F3F2E">
              <w:rPr>
                <w:rFonts w:ascii="Arial" w:hAnsi="Arial" w:cs="Arial"/>
                <w:b/>
                <w:bCs/>
                <w:color w:val="000000"/>
                <w:lang w:eastAsia="pt-BR"/>
              </w:rPr>
              <w:t>Female</w:t>
            </w:r>
          </w:p>
        </w:tc>
        <w:tc>
          <w:tcPr>
            <w:tcW w:w="1731" w:type="dxa"/>
            <w:gridSpan w:val="2"/>
            <w:tcBorders>
              <w:top w:val="single" w:sz="4" w:space="0" w:color="auto"/>
              <w:left w:val="nil"/>
              <w:bottom w:val="double" w:sz="6" w:space="0" w:color="auto"/>
              <w:right w:val="nil"/>
            </w:tcBorders>
            <w:shd w:val="clear" w:color="auto" w:fill="D9D9D9"/>
            <w:noWrap/>
            <w:vAlign w:val="bottom"/>
            <w:hideMark/>
          </w:tcPr>
          <w:p w14:paraId="7E7BCDAC" w14:textId="798B6BD4" w:rsidR="00B913BE" w:rsidRPr="008F3F2E" w:rsidRDefault="008F3F2E" w:rsidP="00BE76D8">
            <w:pPr>
              <w:jc w:val="center"/>
              <w:rPr>
                <w:rFonts w:ascii="Arial" w:hAnsi="Arial" w:cs="Arial"/>
                <w:b/>
                <w:bCs/>
                <w:color w:val="000000"/>
                <w:lang w:eastAsia="pt-BR"/>
              </w:rPr>
            </w:pPr>
            <w:r w:rsidRPr="008F3F2E">
              <w:rPr>
                <w:rFonts w:ascii="Arial" w:hAnsi="Arial" w:cs="Arial"/>
                <w:b/>
                <w:bCs/>
                <w:color w:val="000000"/>
                <w:lang w:eastAsia="pt-BR"/>
              </w:rPr>
              <w:t>Male</w:t>
            </w:r>
          </w:p>
        </w:tc>
        <w:tc>
          <w:tcPr>
            <w:tcW w:w="513" w:type="dxa"/>
            <w:tcBorders>
              <w:top w:val="nil"/>
              <w:left w:val="nil"/>
              <w:bottom w:val="double" w:sz="6" w:space="0" w:color="auto"/>
              <w:right w:val="nil"/>
            </w:tcBorders>
            <w:shd w:val="clear" w:color="auto" w:fill="D9D9D9"/>
            <w:noWrap/>
            <w:vAlign w:val="bottom"/>
            <w:hideMark/>
          </w:tcPr>
          <w:p w14:paraId="6E8E453B"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N</w:t>
            </w:r>
          </w:p>
        </w:tc>
        <w:tc>
          <w:tcPr>
            <w:tcW w:w="1016" w:type="dxa"/>
            <w:tcBorders>
              <w:top w:val="nil"/>
              <w:left w:val="nil"/>
              <w:bottom w:val="double" w:sz="6" w:space="0" w:color="auto"/>
              <w:right w:val="nil"/>
            </w:tcBorders>
            <w:shd w:val="clear" w:color="auto" w:fill="D9D9D9"/>
            <w:noWrap/>
            <w:vAlign w:val="bottom"/>
            <w:hideMark/>
          </w:tcPr>
          <w:p w14:paraId="6302CB1D"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w:t>
            </w:r>
          </w:p>
        </w:tc>
      </w:tr>
      <w:tr w:rsidR="00B913BE" w:rsidRPr="008F3F2E" w14:paraId="6CFFE6C0" w14:textId="77777777" w:rsidTr="00A65B88">
        <w:trPr>
          <w:trHeight w:val="425"/>
          <w:jc w:val="center"/>
        </w:trPr>
        <w:tc>
          <w:tcPr>
            <w:tcW w:w="3686" w:type="dxa"/>
            <w:shd w:val="clear" w:color="auto" w:fill="FFFFFF"/>
            <w:noWrap/>
            <w:vAlign w:val="bottom"/>
            <w:hideMark/>
          </w:tcPr>
          <w:p w14:paraId="411E72CE" w14:textId="0DF19230" w:rsidR="00B913BE" w:rsidRPr="008F3F2E" w:rsidRDefault="007255E8" w:rsidP="00BE76D8">
            <w:pPr>
              <w:jc w:val="center"/>
              <w:rPr>
                <w:rFonts w:ascii="Arial" w:hAnsi="Arial" w:cs="Arial"/>
                <w:color w:val="000000"/>
                <w:lang w:eastAsia="pt-BR"/>
              </w:rPr>
            </w:pPr>
            <w:r w:rsidRPr="007255E8">
              <w:rPr>
                <w:rFonts w:ascii="Arial" w:hAnsi="Arial" w:cs="Arial"/>
                <w:color w:val="000000"/>
                <w:lang w:eastAsia="pt-BR"/>
              </w:rPr>
              <w:t>Probable cognitive impairment</w:t>
            </w:r>
            <w:r w:rsidR="00B913BE" w:rsidRPr="008F3F2E">
              <w:rPr>
                <w:rFonts w:ascii="Arial" w:hAnsi="Arial" w:cs="Arial"/>
                <w:color w:val="000000"/>
                <w:lang w:eastAsia="pt-BR"/>
              </w:rPr>
              <w:t>**</w:t>
            </w:r>
          </w:p>
        </w:tc>
        <w:tc>
          <w:tcPr>
            <w:tcW w:w="513" w:type="dxa"/>
            <w:shd w:val="clear" w:color="auto" w:fill="FFFFFF"/>
            <w:noWrap/>
            <w:vAlign w:val="bottom"/>
            <w:hideMark/>
          </w:tcPr>
          <w:p w14:paraId="482718C9"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17</w:t>
            </w:r>
          </w:p>
        </w:tc>
        <w:tc>
          <w:tcPr>
            <w:tcW w:w="1046" w:type="dxa"/>
            <w:shd w:val="clear" w:color="auto" w:fill="FFFFFF"/>
            <w:noWrap/>
            <w:vAlign w:val="bottom"/>
            <w:hideMark/>
          </w:tcPr>
          <w:p w14:paraId="1EEEA998"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73.9%</w:t>
            </w:r>
          </w:p>
        </w:tc>
        <w:tc>
          <w:tcPr>
            <w:tcW w:w="513" w:type="dxa"/>
            <w:shd w:val="clear" w:color="auto" w:fill="FFFFFF"/>
            <w:noWrap/>
            <w:vAlign w:val="bottom"/>
            <w:hideMark/>
          </w:tcPr>
          <w:p w14:paraId="44ECE623"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10</w:t>
            </w:r>
          </w:p>
        </w:tc>
        <w:tc>
          <w:tcPr>
            <w:tcW w:w="1218" w:type="dxa"/>
            <w:shd w:val="clear" w:color="auto" w:fill="FFFFFF"/>
            <w:noWrap/>
            <w:vAlign w:val="bottom"/>
            <w:hideMark/>
          </w:tcPr>
          <w:p w14:paraId="4F45B637"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45.5%</w:t>
            </w:r>
          </w:p>
        </w:tc>
        <w:tc>
          <w:tcPr>
            <w:tcW w:w="513" w:type="dxa"/>
            <w:shd w:val="clear" w:color="auto" w:fill="FFFFFF"/>
            <w:noWrap/>
            <w:vAlign w:val="bottom"/>
            <w:hideMark/>
          </w:tcPr>
          <w:p w14:paraId="406C2C3B"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27</w:t>
            </w:r>
          </w:p>
        </w:tc>
        <w:tc>
          <w:tcPr>
            <w:tcW w:w="1016" w:type="dxa"/>
            <w:shd w:val="clear" w:color="auto" w:fill="FFFFFF"/>
            <w:noWrap/>
            <w:vAlign w:val="bottom"/>
            <w:hideMark/>
          </w:tcPr>
          <w:p w14:paraId="10E99B85"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60.0%</w:t>
            </w:r>
          </w:p>
        </w:tc>
      </w:tr>
      <w:tr w:rsidR="00B913BE" w:rsidRPr="008F3F2E" w14:paraId="791F332E" w14:textId="77777777" w:rsidTr="00A65B88">
        <w:trPr>
          <w:trHeight w:val="425"/>
          <w:jc w:val="center"/>
        </w:trPr>
        <w:tc>
          <w:tcPr>
            <w:tcW w:w="3686" w:type="dxa"/>
            <w:shd w:val="clear" w:color="auto" w:fill="FFFFFF"/>
            <w:noWrap/>
            <w:vAlign w:val="bottom"/>
            <w:hideMark/>
          </w:tcPr>
          <w:p w14:paraId="30443EC0" w14:textId="714946ED" w:rsidR="00B913BE" w:rsidRPr="008F3F2E" w:rsidRDefault="007255E8" w:rsidP="00BE76D8">
            <w:pPr>
              <w:jc w:val="center"/>
              <w:rPr>
                <w:rFonts w:ascii="Arial" w:hAnsi="Arial" w:cs="Arial"/>
                <w:color w:val="000000"/>
                <w:lang w:eastAsia="pt-BR"/>
              </w:rPr>
            </w:pPr>
            <w:r w:rsidRPr="007255E8">
              <w:rPr>
                <w:rFonts w:ascii="Arial" w:hAnsi="Arial" w:cs="Arial"/>
                <w:color w:val="000000"/>
                <w:lang w:eastAsia="pt-BR"/>
              </w:rPr>
              <w:lastRenderedPageBreak/>
              <w:t>Possible cognitive impairment</w:t>
            </w:r>
          </w:p>
        </w:tc>
        <w:tc>
          <w:tcPr>
            <w:tcW w:w="513" w:type="dxa"/>
            <w:shd w:val="clear" w:color="auto" w:fill="FFFFFF"/>
            <w:noWrap/>
            <w:vAlign w:val="bottom"/>
            <w:hideMark/>
          </w:tcPr>
          <w:p w14:paraId="45280DE9"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6</w:t>
            </w:r>
          </w:p>
        </w:tc>
        <w:tc>
          <w:tcPr>
            <w:tcW w:w="1046" w:type="dxa"/>
            <w:shd w:val="clear" w:color="auto" w:fill="FFFFFF"/>
            <w:noWrap/>
            <w:vAlign w:val="bottom"/>
            <w:hideMark/>
          </w:tcPr>
          <w:p w14:paraId="2CAA8C65"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26.1%</w:t>
            </w:r>
          </w:p>
        </w:tc>
        <w:tc>
          <w:tcPr>
            <w:tcW w:w="513" w:type="dxa"/>
            <w:shd w:val="clear" w:color="auto" w:fill="FFFFFF"/>
            <w:noWrap/>
            <w:vAlign w:val="bottom"/>
            <w:hideMark/>
          </w:tcPr>
          <w:p w14:paraId="25D8D5FC"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5</w:t>
            </w:r>
          </w:p>
        </w:tc>
        <w:tc>
          <w:tcPr>
            <w:tcW w:w="1218" w:type="dxa"/>
            <w:shd w:val="clear" w:color="auto" w:fill="FFFFFF"/>
            <w:noWrap/>
            <w:vAlign w:val="bottom"/>
            <w:hideMark/>
          </w:tcPr>
          <w:p w14:paraId="0A95EF7B"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22.7%</w:t>
            </w:r>
          </w:p>
        </w:tc>
        <w:tc>
          <w:tcPr>
            <w:tcW w:w="513" w:type="dxa"/>
            <w:shd w:val="clear" w:color="auto" w:fill="FFFFFF"/>
            <w:noWrap/>
            <w:vAlign w:val="bottom"/>
            <w:hideMark/>
          </w:tcPr>
          <w:p w14:paraId="3510E760"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11</w:t>
            </w:r>
          </w:p>
        </w:tc>
        <w:tc>
          <w:tcPr>
            <w:tcW w:w="1016" w:type="dxa"/>
            <w:shd w:val="clear" w:color="auto" w:fill="FFFFFF"/>
            <w:noWrap/>
            <w:vAlign w:val="bottom"/>
            <w:hideMark/>
          </w:tcPr>
          <w:p w14:paraId="64890F5C"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24.4%</w:t>
            </w:r>
          </w:p>
        </w:tc>
      </w:tr>
      <w:tr w:rsidR="00B913BE" w:rsidRPr="008F3F2E" w14:paraId="6F0A1AB9" w14:textId="77777777" w:rsidTr="00A65B88">
        <w:trPr>
          <w:trHeight w:val="425"/>
          <w:jc w:val="center"/>
        </w:trPr>
        <w:tc>
          <w:tcPr>
            <w:tcW w:w="3686" w:type="dxa"/>
            <w:tcBorders>
              <w:top w:val="nil"/>
              <w:left w:val="nil"/>
              <w:bottom w:val="single" w:sz="8" w:space="0" w:color="auto"/>
              <w:right w:val="nil"/>
            </w:tcBorders>
            <w:shd w:val="clear" w:color="auto" w:fill="FFFFFF"/>
            <w:noWrap/>
            <w:vAlign w:val="bottom"/>
            <w:hideMark/>
          </w:tcPr>
          <w:p w14:paraId="3CFB6818"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Normal</w:t>
            </w:r>
          </w:p>
        </w:tc>
        <w:tc>
          <w:tcPr>
            <w:tcW w:w="513" w:type="dxa"/>
            <w:tcBorders>
              <w:top w:val="nil"/>
              <w:left w:val="nil"/>
              <w:bottom w:val="single" w:sz="8" w:space="0" w:color="auto"/>
              <w:right w:val="nil"/>
            </w:tcBorders>
            <w:shd w:val="clear" w:color="auto" w:fill="FFFFFF"/>
            <w:noWrap/>
            <w:vAlign w:val="bottom"/>
            <w:hideMark/>
          </w:tcPr>
          <w:p w14:paraId="13D52847"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0</w:t>
            </w:r>
          </w:p>
        </w:tc>
        <w:tc>
          <w:tcPr>
            <w:tcW w:w="1046" w:type="dxa"/>
            <w:tcBorders>
              <w:top w:val="nil"/>
              <w:left w:val="nil"/>
              <w:bottom w:val="single" w:sz="8" w:space="0" w:color="auto"/>
              <w:right w:val="nil"/>
            </w:tcBorders>
            <w:shd w:val="clear" w:color="auto" w:fill="FFFFFF"/>
            <w:noWrap/>
            <w:vAlign w:val="bottom"/>
            <w:hideMark/>
          </w:tcPr>
          <w:p w14:paraId="7376F12C"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0.0%</w:t>
            </w:r>
          </w:p>
        </w:tc>
        <w:tc>
          <w:tcPr>
            <w:tcW w:w="513" w:type="dxa"/>
            <w:tcBorders>
              <w:top w:val="nil"/>
              <w:left w:val="nil"/>
              <w:bottom w:val="single" w:sz="8" w:space="0" w:color="auto"/>
              <w:right w:val="nil"/>
            </w:tcBorders>
            <w:shd w:val="clear" w:color="auto" w:fill="FFFFFF"/>
            <w:noWrap/>
            <w:vAlign w:val="bottom"/>
            <w:hideMark/>
          </w:tcPr>
          <w:p w14:paraId="350F2CD5"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7</w:t>
            </w:r>
          </w:p>
        </w:tc>
        <w:tc>
          <w:tcPr>
            <w:tcW w:w="1218" w:type="dxa"/>
            <w:tcBorders>
              <w:top w:val="nil"/>
              <w:left w:val="nil"/>
              <w:bottom w:val="single" w:sz="8" w:space="0" w:color="auto"/>
              <w:right w:val="nil"/>
            </w:tcBorders>
            <w:shd w:val="clear" w:color="auto" w:fill="FFFFFF"/>
            <w:noWrap/>
            <w:vAlign w:val="bottom"/>
            <w:hideMark/>
          </w:tcPr>
          <w:p w14:paraId="2237A6FF"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31.8%</w:t>
            </w:r>
          </w:p>
        </w:tc>
        <w:tc>
          <w:tcPr>
            <w:tcW w:w="513" w:type="dxa"/>
            <w:tcBorders>
              <w:top w:val="nil"/>
              <w:left w:val="nil"/>
              <w:bottom w:val="single" w:sz="8" w:space="0" w:color="auto"/>
              <w:right w:val="nil"/>
            </w:tcBorders>
            <w:shd w:val="clear" w:color="auto" w:fill="FFFFFF"/>
            <w:noWrap/>
            <w:vAlign w:val="bottom"/>
            <w:hideMark/>
          </w:tcPr>
          <w:p w14:paraId="4C0E4047"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7</w:t>
            </w:r>
          </w:p>
        </w:tc>
        <w:tc>
          <w:tcPr>
            <w:tcW w:w="1016" w:type="dxa"/>
            <w:tcBorders>
              <w:top w:val="nil"/>
              <w:left w:val="nil"/>
              <w:bottom w:val="single" w:sz="8" w:space="0" w:color="auto"/>
              <w:right w:val="nil"/>
            </w:tcBorders>
            <w:shd w:val="clear" w:color="auto" w:fill="FFFFFF"/>
            <w:noWrap/>
            <w:vAlign w:val="bottom"/>
            <w:hideMark/>
          </w:tcPr>
          <w:p w14:paraId="59C4D41C"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15.6%</w:t>
            </w:r>
          </w:p>
        </w:tc>
      </w:tr>
    </w:tbl>
    <w:p w14:paraId="575DE39F" w14:textId="06477EE8" w:rsidR="00440FC6" w:rsidRPr="00BE76D8" w:rsidRDefault="00B913BE" w:rsidP="00BE76D8">
      <w:pPr>
        <w:jc w:val="center"/>
        <w:rPr>
          <w:rFonts w:ascii="Arial" w:eastAsiaTheme="minorHAnsi" w:hAnsi="Arial" w:cs="Arial"/>
          <w:sz w:val="16"/>
          <w:szCs w:val="16"/>
        </w:rPr>
      </w:pPr>
      <w:r w:rsidRPr="00BE76D8">
        <w:rPr>
          <w:rFonts w:ascii="Arial" w:hAnsi="Arial" w:cs="Arial"/>
          <w:sz w:val="16"/>
          <w:szCs w:val="16"/>
        </w:rPr>
        <w:t xml:space="preserve">     </w:t>
      </w:r>
      <w:r w:rsidR="00440FC6" w:rsidRPr="00440FC6">
        <w:rPr>
          <w:rFonts w:ascii="Arial" w:eastAsiaTheme="minorHAnsi" w:hAnsi="Arial" w:cs="Arial"/>
          <w:sz w:val="16"/>
          <w:szCs w:val="16"/>
        </w:rPr>
        <w:t>Source: Applied protocol; *p = 0.0030 (G Test for Independence); *</w:t>
      </w:r>
      <w:r w:rsidR="00440FC6" w:rsidRPr="00440FC6">
        <w:rPr>
          <w:rFonts w:ascii="Arial" w:eastAsiaTheme="minorHAnsi" w:hAnsi="Arial" w:cs="Arial"/>
          <w:i/>
          <w:iCs/>
          <w:sz w:val="16"/>
          <w:szCs w:val="16"/>
        </w:rPr>
        <w:t>p = 0.0006 (Chi-square Goodness-of-Fit).</w:t>
      </w:r>
    </w:p>
    <w:p w14:paraId="0D1F7CAC" w14:textId="77777777" w:rsidR="00B913BE" w:rsidRPr="00BE76D8" w:rsidRDefault="00B913BE" w:rsidP="00BE76D8">
      <w:pPr>
        <w:contextualSpacing/>
        <w:jc w:val="both"/>
        <w:rPr>
          <w:rFonts w:ascii="Arial" w:hAnsi="Arial" w:cs="Arial"/>
          <w:b/>
          <w:bCs/>
          <w:sz w:val="16"/>
          <w:szCs w:val="16"/>
        </w:rPr>
      </w:pPr>
    </w:p>
    <w:p w14:paraId="0BFE909A" w14:textId="77777777" w:rsidR="00B913BE" w:rsidRPr="00BE76D8" w:rsidRDefault="00B913BE" w:rsidP="00BE76D8">
      <w:pPr>
        <w:jc w:val="center"/>
        <w:rPr>
          <w:rFonts w:ascii="Arial" w:hAnsi="Arial" w:cs="Arial"/>
          <w:sz w:val="16"/>
          <w:szCs w:val="16"/>
        </w:rPr>
      </w:pPr>
    </w:p>
    <w:p w14:paraId="382890BA" w14:textId="192E64C1" w:rsidR="00254232" w:rsidRDefault="006C64D0" w:rsidP="00BE76D8">
      <w:pPr>
        <w:jc w:val="center"/>
        <w:rPr>
          <w:rFonts w:ascii="Arial" w:hAnsi="Arial" w:cs="Arial"/>
          <w:b/>
          <w:bCs/>
          <w:sz w:val="16"/>
          <w:szCs w:val="16"/>
        </w:rPr>
      </w:pPr>
      <w:r w:rsidRPr="006C64D0">
        <w:rPr>
          <w:rFonts w:ascii="Arial" w:hAnsi="Arial" w:cs="Arial"/>
          <w:b/>
          <w:bCs/>
          <w:sz w:val="16"/>
          <w:szCs w:val="16"/>
        </w:rPr>
        <w:t>Figure 1. 10-Point Cognitive Screener (10-CS) Classification, Overall and by Sex – Jean Bitar Hospital (HJB),</w:t>
      </w:r>
      <w:r w:rsidR="00254232">
        <w:rPr>
          <w:rFonts w:ascii="Arial" w:hAnsi="Arial" w:cs="Arial"/>
          <w:b/>
          <w:bCs/>
          <w:sz w:val="16"/>
          <w:szCs w:val="16"/>
        </w:rPr>
        <w:t xml:space="preserve"> </w:t>
      </w:r>
      <w:r w:rsidRPr="006C64D0">
        <w:rPr>
          <w:rFonts w:ascii="Arial" w:hAnsi="Arial" w:cs="Arial"/>
          <w:b/>
          <w:bCs/>
          <w:sz w:val="16"/>
          <w:szCs w:val="16"/>
        </w:rPr>
        <w:t>2023</w:t>
      </w:r>
    </w:p>
    <w:p w14:paraId="1A20E175" w14:textId="270DFF4B" w:rsidR="00254232" w:rsidRDefault="003C5D47" w:rsidP="00BE76D8">
      <w:pPr>
        <w:jc w:val="center"/>
        <w:rPr>
          <w:rFonts w:ascii="Arial" w:hAnsi="Arial" w:cs="Arial"/>
          <w:b/>
          <w:bCs/>
          <w:sz w:val="16"/>
          <w:szCs w:val="16"/>
        </w:rPr>
      </w:pPr>
      <w:r w:rsidRPr="003C5D47">
        <w:rPr>
          <w:rFonts w:ascii="Arial" w:hAnsi="Arial" w:cs="Arial"/>
          <w:b/>
          <w:bCs/>
          <w:noProof/>
          <w:sz w:val="16"/>
          <w:szCs w:val="16"/>
        </w:rPr>
        <w:drawing>
          <wp:inline distT="0" distB="0" distL="0" distR="0" wp14:anchorId="5F07B30A" wp14:editId="427A779B">
            <wp:extent cx="4425043" cy="2371021"/>
            <wp:effectExtent l="0" t="0" r="0" b="0"/>
            <wp:docPr id="1283139093" name="Imagem 1" descr="Uma imagem contendo 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39093" name="Imagem 1" descr="Uma imagem contendo Gráfico&#10;&#10;O conteúdo gerado por IA pode estar incorreto."/>
                    <pic:cNvPicPr/>
                  </pic:nvPicPr>
                  <pic:blipFill>
                    <a:blip r:embed="rId14"/>
                    <a:stretch>
                      <a:fillRect/>
                    </a:stretch>
                  </pic:blipFill>
                  <pic:spPr>
                    <a:xfrm>
                      <a:off x="0" y="0"/>
                      <a:ext cx="4437571" cy="2377734"/>
                    </a:xfrm>
                    <a:prstGeom prst="rect">
                      <a:avLst/>
                    </a:prstGeom>
                  </pic:spPr>
                </pic:pic>
              </a:graphicData>
            </a:graphic>
          </wp:inline>
        </w:drawing>
      </w:r>
    </w:p>
    <w:p w14:paraId="152B1580" w14:textId="03BA965F" w:rsidR="00B913BE" w:rsidRDefault="00C97D36" w:rsidP="00B913BE">
      <w:pPr>
        <w:jc w:val="both"/>
        <w:rPr>
          <w:rFonts w:ascii="Arial" w:hAnsi="Arial" w:cs="Arial"/>
          <w:i/>
          <w:iCs/>
          <w:sz w:val="16"/>
          <w:szCs w:val="16"/>
        </w:rPr>
      </w:pPr>
      <w:r w:rsidRPr="00C97D36">
        <w:rPr>
          <w:rFonts w:ascii="Arial" w:hAnsi="Arial" w:cs="Arial"/>
          <w:sz w:val="16"/>
          <w:szCs w:val="16"/>
        </w:rPr>
        <w:t>Source: Applied protocol; *p = 0.0030 (G Test for Independence); *</w:t>
      </w:r>
      <w:r w:rsidRPr="00C97D36">
        <w:rPr>
          <w:rFonts w:ascii="Arial" w:hAnsi="Arial" w:cs="Arial"/>
          <w:i/>
          <w:iCs/>
          <w:sz w:val="16"/>
          <w:szCs w:val="16"/>
        </w:rPr>
        <w:t>p = 0.0006 (Chi-square Goodness-of-Fit).</w:t>
      </w:r>
    </w:p>
    <w:p w14:paraId="027AF1E0" w14:textId="77777777" w:rsidR="00C97D36" w:rsidRPr="007C0A9E" w:rsidRDefault="00C97D36" w:rsidP="00B913BE">
      <w:pPr>
        <w:jc w:val="both"/>
        <w:rPr>
          <w:rFonts w:ascii="Times New Roman" w:hAnsi="Times New Roman"/>
          <w:sz w:val="24"/>
          <w:szCs w:val="24"/>
        </w:rPr>
      </w:pPr>
    </w:p>
    <w:p w14:paraId="0E6825DF" w14:textId="77777777" w:rsidR="004D5585" w:rsidRDefault="00A60BB5" w:rsidP="004D5585">
      <w:pPr>
        <w:spacing w:after="240"/>
        <w:jc w:val="both"/>
        <w:rPr>
          <w:rFonts w:ascii="Arial" w:hAnsi="Arial" w:cs="Arial"/>
        </w:rPr>
      </w:pPr>
      <w:r w:rsidRPr="00A60BB5">
        <w:rPr>
          <w:rFonts w:ascii="Arial" w:hAnsi="Arial" w:cs="Arial"/>
        </w:rPr>
        <w:t>The results of the ADL (Activities of Daily Living) and IADL (Instrumental Activities of Daily Living) scales showed that all participants exhibited some degree of dependence in daily activities. The mean score for most patients was approximately 4.0 points for ADLs and 3.5 points for IADLs, as illustrated in Table 6.</w:t>
      </w:r>
    </w:p>
    <w:p w14:paraId="1656FF10" w14:textId="77777777" w:rsidR="00844444" w:rsidRDefault="00844444" w:rsidP="004D5585">
      <w:pPr>
        <w:spacing w:after="240"/>
        <w:jc w:val="both"/>
        <w:rPr>
          <w:rFonts w:ascii="Arial" w:hAnsi="Arial" w:cs="Arial"/>
        </w:rPr>
      </w:pPr>
    </w:p>
    <w:p w14:paraId="47A01130" w14:textId="783117BA" w:rsidR="00B913BE" w:rsidRPr="004D5585" w:rsidRDefault="004D5585" w:rsidP="004D5585">
      <w:pPr>
        <w:spacing w:after="240"/>
        <w:jc w:val="both"/>
        <w:rPr>
          <w:rFonts w:ascii="Arial" w:hAnsi="Arial" w:cs="Arial"/>
        </w:rPr>
      </w:pPr>
      <w:r w:rsidRPr="004D5585">
        <w:rPr>
          <w:rFonts w:ascii="Arial" w:hAnsi="Arial" w:cs="Arial"/>
          <w:b/>
          <w:bCs/>
        </w:rPr>
        <w:t>Table 6. Descriptive Statistics for ADL and IADL Scales – Jean Bitar Hospital (HJB), 2023</w:t>
      </w:r>
    </w:p>
    <w:tbl>
      <w:tblPr>
        <w:tblW w:w="7243" w:type="dxa"/>
        <w:jc w:val="center"/>
        <w:tblCellMar>
          <w:left w:w="70" w:type="dxa"/>
          <w:right w:w="70" w:type="dxa"/>
        </w:tblCellMar>
        <w:tblLook w:val="04A0" w:firstRow="1" w:lastRow="0" w:firstColumn="1" w:lastColumn="0" w:noHBand="0" w:noVBand="1"/>
      </w:tblPr>
      <w:tblGrid>
        <w:gridCol w:w="1769"/>
        <w:gridCol w:w="2582"/>
        <w:gridCol w:w="1410"/>
        <w:gridCol w:w="1482"/>
      </w:tblGrid>
      <w:tr w:rsidR="00B913BE" w:rsidRPr="00BE76D8" w14:paraId="2FF1A18C" w14:textId="77777777" w:rsidTr="00A65B88">
        <w:trPr>
          <w:trHeight w:val="370"/>
          <w:jc w:val="center"/>
        </w:trPr>
        <w:tc>
          <w:tcPr>
            <w:tcW w:w="1769" w:type="dxa"/>
            <w:tcBorders>
              <w:top w:val="single" w:sz="4" w:space="0" w:color="auto"/>
              <w:left w:val="nil"/>
              <w:bottom w:val="double" w:sz="6" w:space="0" w:color="auto"/>
              <w:right w:val="nil"/>
            </w:tcBorders>
            <w:shd w:val="clear" w:color="auto" w:fill="D9D9D9"/>
            <w:noWrap/>
            <w:vAlign w:val="center"/>
            <w:hideMark/>
          </w:tcPr>
          <w:p w14:paraId="62C044A3" w14:textId="06F4663B" w:rsidR="00B913BE" w:rsidRPr="00A108D3" w:rsidRDefault="00A108D3" w:rsidP="00A108D3">
            <w:pPr>
              <w:jc w:val="center"/>
              <w:rPr>
                <w:rFonts w:ascii="Times New Roman" w:hAnsi="Times New Roman"/>
                <w:b/>
                <w:bCs/>
              </w:rPr>
            </w:pPr>
            <w:r>
              <w:rPr>
                <w:rStyle w:val="Strong"/>
              </w:rPr>
              <w:t>Scale</w:t>
            </w:r>
          </w:p>
        </w:tc>
        <w:tc>
          <w:tcPr>
            <w:tcW w:w="2582" w:type="dxa"/>
            <w:tcBorders>
              <w:top w:val="single" w:sz="4" w:space="0" w:color="auto"/>
              <w:left w:val="nil"/>
              <w:bottom w:val="double" w:sz="6" w:space="0" w:color="auto"/>
              <w:right w:val="nil"/>
            </w:tcBorders>
            <w:shd w:val="clear" w:color="auto" w:fill="D9D9D9"/>
            <w:noWrap/>
            <w:vAlign w:val="center"/>
            <w:hideMark/>
          </w:tcPr>
          <w:p w14:paraId="05161821" w14:textId="7B3B4B53" w:rsidR="00B913BE" w:rsidRPr="00BE76D8" w:rsidRDefault="00A108D3" w:rsidP="00BE76D8">
            <w:pPr>
              <w:jc w:val="center"/>
              <w:rPr>
                <w:rFonts w:ascii="Arial" w:hAnsi="Arial" w:cs="Arial"/>
                <w:b/>
                <w:bCs/>
                <w:color w:val="000000"/>
                <w:sz w:val="16"/>
                <w:szCs w:val="16"/>
                <w:lang w:eastAsia="pt-BR"/>
              </w:rPr>
            </w:pPr>
            <w:r w:rsidRPr="00A108D3">
              <w:rPr>
                <w:rFonts w:ascii="Arial" w:hAnsi="Arial" w:cs="Arial"/>
                <w:b/>
                <w:bCs/>
                <w:color w:val="000000"/>
                <w:sz w:val="16"/>
                <w:szCs w:val="16"/>
                <w:lang w:eastAsia="pt-BR"/>
              </w:rPr>
              <w:t>Statistic</w:t>
            </w:r>
          </w:p>
        </w:tc>
        <w:tc>
          <w:tcPr>
            <w:tcW w:w="1410" w:type="dxa"/>
            <w:tcBorders>
              <w:top w:val="single" w:sz="4" w:space="0" w:color="auto"/>
              <w:left w:val="nil"/>
              <w:bottom w:val="double" w:sz="6" w:space="0" w:color="auto"/>
              <w:right w:val="nil"/>
            </w:tcBorders>
            <w:shd w:val="clear" w:color="auto" w:fill="D9D9D9"/>
            <w:noWrap/>
            <w:vAlign w:val="center"/>
            <w:hideMark/>
          </w:tcPr>
          <w:p w14:paraId="3BA86794" w14:textId="7E8D4288" w:rsidR="00B913BE" w:rsidRPr="00BE76D8" w:rsidRDefault="00A108D3" w:rsidP="00BE76D8">
            <w:pPr>
              <w:jc w:val="center"/>
              <w:rPr>
                <w:rFonts w:ascii="Arial" w:hAnsi="Arial" w:cs="Arial"/>
                <w:b/>
                <w:bCs/>
                <w:color w:val="000000"/>
                <w:sz w:val="16"/>
                <w:szCs w:val="16"/>
                <w:lang w:eastAsia="pt-BR"/>
              </w:rPr>
            </w:pPr>
            <w:r>
              <w:rPr>
                <w:rFonts w:ascii="Arial" w:hAnsi="Arial" w:cs="Arial"/>
                <w:b/>
                <w:bCs/>
                <w:color w:val="000000"/>
                <w:sz w:val="16"/>
                <w:szCs w:val="16"/>
                <w:lang w:eastAsia="pt-BR"/>
              </w:rPr>
              <w:t>Value</w:t>
            </w:r>
          </w:p>
        </w:tc>
        <w:tc>
          <w:tcPr>
            <w:tcW w:w="1482" w:type="dxa"/>
            <w:tcBorders>
              <w:top w:val="single" w:sz="4" w:space="0" w:color="auto"/>
              <w:left w:val="nil"/>
              <w:bottom w:val="double" w:sz="6" w:space="0" w:color="auto"/>
              <w:right w:val="nil"/>
            </w:tcBorders>
            <w:shd w:val="clear" w:color="auto" w:fill="D9D9D9"/>
            <w:noWrap/>
            <w:vAlign w:val="center"/>
            <w:hideMark/>
          </w:tcPr>
          <w:p w14:paraId="469A7E71" w14:textId="77777777" w:rsidR="00B913BE" w:rsidRPr="00BE76D8" w:rsidRDefault="00B913BE" w:rsidP="00BE76D8">
            <w:pPr>
              <w:jc w:val="center"/>
              <w:rPr>
                <w:rFonts w:ascii="Arial" w:hAnsi="Arial" w:cs="Arial"/>
                <w:b/>
                <w:bCs/>
                <w:color w:val="000000"/>
                <w:sz w:val="16"/>
                <w:szCs w:val="16"/>
                <w:lang w:eastAsia="pt-BR"/>
              </w:rPr>
            </w:pPr>
          </w:p>
        </w:tc>
      </w:tr>
      <w:tr w:rsidR="00B913BE" w:rsidRPr="00BE76D8" w14:paraId="135BC1CA" w14:textId="77777777" w:rsidTr="00A65B88">
        <w:trPr>
          <w:trHeight w:val="370"/>
          <w:jc w:val="center"/>
        </w:trPr>
        <w:tc>
          <w:tcPr>
            <w:tcW w:w="1769" w:type="dxa"/>
            <w:vMerge w:val="restart"/>
            <w:tcBorders>
              <w:top w:val="nil"/>
              <w:left w:val="nil"/>
              <w:bottom w:val="single" w:sz="4" w:space="0" w:color="000000"/>
              <w:right w:val="nil"/>
            </w:tcBorders>
            <w:shd w:val="clear" w:color="auto" w:fill="FFFFFF"/>
            <w:noWrap/>
            <w:vAlign w:val="center"/>
            <w:hideMark/>
          </w:tcPr>
          <w:p w14:paraId="63CF524C" w14:textId="3AFF741A" w:rsidR="00B913BE" w:rsidRPr="00BE76D8" w:rsidRDefault="00844609" w:rsidP="00BE76D8">
            <w:pPr>
              <w:jc w:val="center"/>
              <w:rPr>
                <w:rFonts w:ascii="Arial" w:hAnsi="Arial" w:cs="Arial"/>
                <w:color w:val="000000"/>
                <w:sz w:val="16"/>
                <w:szCs w:val="16"/>
                <w:lang w:eastAsia="pt-BR"/>
              </w:rPr>
            </w:pPr>
            <w:r>
              <w:rPr>
                <w:rFonts w:ascii="Arial" w:hAnsi="Arial" w:cs="Arial"/>
                <w:color w:val="000000"/>
                <w:sz w:val="16"/>
                <w:szCs w:val="16"/>
                <w:lang w:eastAsia="pt-BR"/>
              </w:rPr>
              <w:t>ADL</w:t>
            </w:r>
          </w:p>
        </w:tc>
        <w:tc>
          <w:tcPr>
            <w:tcW w:w="2582" w:type="dxa"/>
            <w:shd w:val="clear" w:color="auto" w:fill="FFFFFF"/>
            <w:noWrap/>
            <w:vAlign w:val="bottom"/>
            <w:hideMark/>
          </w:tcPr>
          <w:p w14:paraId="239510AB" w14:textId="6E4AC5C1"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w:t>
            </w:r>
            <w:r w:rsidR="00844609" w:rsidRPr="00844609">
              <w:rPr>
                <w:rFonts w:ascii="Arial" w:hAnsi="Arial" w:cs="Arial"/>
                <w:color w:val="000000"/>
                <w:sz w:val="16"/>
                <w:szCs w:val="16"/>
                <w:lang w:eastAsia="pt-BR"/>
              </w:rPr>
              <w:t>Median</w:t>
            </w:r>
          </w:p>
        </w:tc>
        <w:tc>
          <w:tcPr>
            <w:tcW w:w="1410" w:type="dxa"/>
            <w:shd w:val="clear" w:color="auto" w:fill="FFFFFF"/>
            <w:noWrap/>
            <w:vAlign w:val="bottom"/>
            <w:hideMark/>
          </w:tcPr>
          <w:p w14:paraId="28AD288B"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4.0</w:t>
            </w:r>
          </w:p>
        </w:tc>
        <w:tc>
          <w:tcPr>
            <w:tcW w:w="1482" w:type="dxa"/>
            <w:vMerge w:val="restart"/>
            <w:tcBorders>
              <w:top w:val="nil"/>
              <w:left w:val="nil"/>
              <w:bottom w:val="single" w:sz="4" w:space="0" w:color="000000"/>
              <w:right w:val="nil"/>
            </w:tcBorders>
            <w:shd w:val="clear" w:color="auto" w:fill="FFFFFF"/>
            <w:noWrap/>
            <w:vAlign w:val="center"/>
            <w:hideMark/>
          </w:tcPr>
          <w:p w14:paraId="15F92DB9" w14:textId="77777777" w:rsidR="00B913BE" w:rsidRPr="00BE76D8" w:rsidRDefault="00B913BE" w:rsidP="00BE76D8">
            <w:pPr>
              <w:jc w:val="center"/>
              <w:rPr>
                <w:rFonts w:ascii="Arial" w:hAnsi="Arial" w:cs="Arial"/>
                <w:b/>
                <w:bCs/>
                <w:color w:val="000000"/>
                <w:sz w:val="16"/>
                <w:szCs w:val="16"/>
                <w:lang w:eastAsia="pt-BR"/>
              </w:rPr>
            </w:pPr>
          </w:p>
        </w:tc>
      </w:tr>
      <w:tr w:rsidR="00B913BE" w:rsidRPr="00BE76D8" w14:paraId="45AAE4E2" w14:textId="77777777" w:rsidTr="00A65B88">
        <w:trPr>
          <w:trHeight w:val="370"/>
          <w:jc w:val="center"/>
        </w:trPr>
        <w:tc>
          <w:tcPr>
            <w:tcW w:w="0" w:type="auto"/>
            <w:vMerge/>
            <w:tcBorders>
              <w:top w:val="nil"/>
              <w:left w:val="nil"/>
              <w:bottom w:val="single" w:sz="4" w:space="0" w:color="000000"/>
              <w:right w:val="nil"/>
            </w:tcBorders>
            <w:vAlign w:val="center"/>
            <w:hideMark/>
          </w:tcPr>
          <w:p w14:paraId="422622F9" w14:textId="77777777" w:rsidR="00B913BE" w:rsidRPr="00BE76D8" w:rsidRDefault="00B913BE" w:rsidP="00BE76D8">
            <w:pPr>
              <w:rPr>
                <w:rFonts w:ascii="Arial" w:hAnsi="Arial" w:cs="Arial"/>
                <w:color w:val="000000"/>
                <w:sz w:val="16"/>
                <w:szCs w:val="16"/>
                <w:lang w:eastAsia="pt-BR"/>
              </w:rPr>
            </w:pPr>
          </w:p>
        </w:tc>
        <w:tc>
          <w:tcPr>
            <w:tcW w:w="2582" w:type="dxa"/>
            <w:shd w:val="clear" w:color="auto" w:fill="FFFFFF"/>
            <w:noWrap/>
            <w:vAlign w:val="bottom"/>
            <w:hideMark/>
          </w:tcPr>
          <w:p w14:paraId="4C1873F6" w14:textId="35D85BE2"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w:t>
            </w:r>
            <w:r w:rsidR="00844609" w:rsidRPr="00844609">
              <w:rPr>
                <w:rFonts w:ascii="Arial" w:hAnsi="Arial" w:cs="Arial"/>
                <w:color w:val="000000"/>
                <w:sz w:val="16"/>
                <w:szCs w:val="16"/>
                <w:lang w:eastAsia="pt-BR"/>
              </w:rPr>
              <w:t>Mean</w:t>
            </w:r>
          </w:p>
        </w:tc>
        <w:tc>
          <w:tcPr>
            <w:tcW w:w="1410" w:type="dxa"/>
            <w:shd w:val="clear" w:color="auto" w:fill="FFFFFF"/>
            <w:noWrap/>
            <w:vAlign w:val="bottom"/>
            <w:hideMark/>
          </w:tcPr>
          <w:p w14:paraId="61258579"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3.8</w:t>
            </w:r>
          </w:p>
        </w:tc>
        <w:tc>
          <w:tcPr>
            <w:tcW w:w="0" w:type="auto"/>
            <w:vMerge/>
            <w:tcBorders>
              <w:top w:val="nil"/>
              <w:left w:val="nil"/>
              <w:bottom w:val="single" w:sz="4" w:space="0" w:color="000000"/>
              <w:right w:val="nil"/>
            </w:tcBorders>
            <w:vAlign w:val="center"/>
            <w:hideMark/>
          </w:tcPr>
          <w:p w14:paraId="777E5C61" w14:textId="77777777" w:rsidR="00B913BE" w:rsidRPr="00BE76D8" w:rsidRDefault="00B913BE" w:rsidP="00BE76D8">
            <w:pPr>
              <w:rPr>
                <w:rFonts w:ascii="Arial" w:hAnsi="Arial" w:cs="Arial"/>
                <w:b/>
                <w:bCs/>
                <w:color w:val="000000"/>
                <w:sz w:val="16"/>
                <w:szCs w:val="16"/>
                <w:lang w:eastAsia="pt-BR"/>
              </w:rPr>
            </w:pPr>
          </w:p>
        </w:tc>
      </w:tr>
      <w:tr w:rsidR="00B913BE" w:rsidRPr="00BE76D8" w14:paraId="79A81708" w14:textId="77777777" w:rsidTr="00A65B88">
        <w:trPr>
          <w:trHeight w:val="370"/>
          <w:jc w:val="center"/>
        </w:trPr>
        <w:tc>
          <w:tcPr>
            <w:tcW w:w="0" w:type="auto"/>
            <w:vMerge/>
            <w:tcBorders>
              <w:top w:val="nil"/>
              <w:left w:val="nil"/>
              <w:bottom w:val="single" w:sz="4" w:space="0" w:color="000000"/>
              <w:right w:val="nil"/>
            </w:tcBorders>
            <w:vAlign w:val="center"/>
            <w:hideMark/>
          </w:tcPr>
          <w:p w14:paraId="481B7E74" w14:textId="77777777" w:rsidR="00B913BE" w:rsidRPr="00BE76D8" w:rsidRDefault="00B913BE" w:rsidP="00BE76D8">
            <w:pPr>
              <w:rPr>
                <w:rFonts w:ascii="Arial" w:hAnsi="Arial" w:cs="Arial"/>
                <w:color w:val="000000"/>
                <w:sz w:val="16"/>
                <w:szCs w:val="16"/>
                <w:lang w:eastAsia="pt-BR"/>
              </w:rPr>
            </w:pPr>
          </w:p>
        </w:tc>
        <w:tc>
          <w:tcPr>
            <w:tcW w:w="2582" w:type="dxa"/>
            <w:tcBorders>
              <w:top w:val="nil"/>
              <w:left w:val="nil"/>
              <w:bottom w:val="single" w:sz="4" w:space="0" w:color="auto"/>
              <w:right w:val="nil"/>
            </w:tcBorders>
            <w:shd w:val="clear" w:color="auto" w:fill="FFFFFF"/>
            <w:noWrap/>
            <w:vAlign w:val="bottom"/>
            <w:hideMark/>
          </w:tcPr>
          <w:p w14:paraId="61CF0580" w14:textId="224D2E32"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 </w:t>
            </w:r>
            <w:r w:rsidR="00844609">
              <w:rPr>
                <w:rFonts w:ascii="Arial" w:hAnsi="Arial" w:cs="Arial"/>
                <w:color w:val="000000"/>
                <w:sz w:val="16"/>
                <w:szCs w:val="16"/>
                <w:lang w:eastAsia="pt-BR"/>
              </w:rPr>
              <w:t>SD</w:t>
            </w:r>
          </w:p>
        </w:tc>
        <w:tc>
          <w:tcPr>
            <w:tcW w:w="1410" w:type="dxa"/>
            <w:tcBorders>
              <w:top w:val="nil"/>
              <w:left w:val="nil"/>
              <w:bottom w:val="single" w:sz="4" w:space="0" w:color="auto"/>
              <w:right w:val="nil"/>
            </w:tcBorders>
            <w:shd w:val="clear" w:color="auto" w:fill="FFFFFF"/>
            <w:noWrap/>
            <w:vAlign w:val="bottom"/>
            <w:hideMark/>
          </w:tcPr>
          <w:p w14:paraId="5E12E5C7"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 2.0</w:t>
            </w:r>
          </w:p>
        </w:tc>
        <w:tc>
          <w:tcPr>
            <w:tcW w:w="0" w:type="auto"/>
            <w:vMerge/>
            <w:tcBorders>
              <w:top w:val="nil"/>
              <w:left w:val="nil"/>
              <w:bottom w:val="single" w:sz="4" w:space="0" w:color="000000"/>
              <w:right w:val="nil"/>
            </w:tcBorders>
            <w:vAlign w:val="center"/>
            <w:hideMark/>
          </w:tcPr>
          <w:p w14:paraId="1605DAD0" w14:textId="77777777" w:rsidR="00B913BE" w:rsidRPr="00BE76D8" w:rsidRDefault="00B913BE" w:rsidP="00BE76D8">
            <w:pPr>
              <w:rPr>
                <w:rFonts w:ascii="Arial" w:hAnsi="Arial" w:cs="Arial"/>
                <w:b/>
                <w:bCs/>
                <w:color w:val="000000"/>
                <w:sz w:val="16"/>
                <w:szCs w:val="16"/>
                <w:lang w:eastAsia="pt-BR"/>
              </w:rPr>
            </w:pPr>
          </w:p>
        </w:tc>
      </w:tr>
      <w:tr w:rsidR="00B913BE" w:rsidRPr="00BE76D8" w14:paraId="2FD09C2F" w14:textId="77777777" w:rsidTr="00A65B88">
        <w:trPr>
          <w:trHeight w:val="370"/>
          <w:jc w:val="center"/>
        </w:trPr>
        <w:tc>
          <w:tcPr>
            <w:tcW w:w="1769" w:type="dxa"/>
            <w:vMerge w:val="restart"/>
            <w:tcBorders>
              <w:top w:val="nil"/>
              <w:left w:val="nil"/>
              <w:bottom w:val="single" w:sz="8" w:space="0" w:color="000000"/>
              <w:right w:val="nil"/>
            </w:tcBorders>
            <w:shd w:val="clear" w:color="auto" w:fill="FFFFFF"/>
            <w:noWrap/>
            <w:vAlign w:val="center"/>
            <w:hideMark/>
          </w:tcPr>
          <w:p w14:paraId="408873F5" w14:textId="091F5416" w:rsidR="00B913BE" w:rsidRPr="00BE76D8" w:rsidRDefault="00844609" w:rsidP="00BE76D8">
            <w:pPr>
              <w:jc w:val="center"/>
              <w:rPr>
                <w:rFonts w:ascii="Arial" w:hAnsi="Arial" w:cs="Arial"/>
                <w:color w:val="000000"/>
                <w:sz w:val="16"/>
                <w:szCs w:val="16"/>
                <w:lang w:eastAsia="pt-BR"/>
              </w:rPr>
            </w:pPr>
            <w:r>
              <w:rPr>
                <w:rFonts w:ascii="Arial" w:hAnsi="Arial" w:cs="Arial"/>
                <w:color w:val="000000"/>
                <w:sz w:val="16"/>
                <w:szCs w:val="16"/>
                <w:lang w:eastAsia="pt-BR"/>
              </w:rPr>
              <w:t>IADL</w:t>
            </w:r>
          </w:p>
        </w:tc>
        <w:tc>
          <w:tcPr>
            <w:tcW w:w="2582" w:type="dxa"/>
            <w:shd w:val="clear" w:color="auto" w:fill="FFFFFF"/>
            <w:noWrap/>
            <w:vAlign w:val="bottom"/>
            <w:hideMark/>
          </w:tcPr>
          <w:p w14:paraId="4DD56721" w14:textId="09708E0F"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Medi</w:t>
            </w:r>
            <w:r w:rsidR="00844609">
              <w:rPr>
                <w:rFonts w:ascii="Arial" w:hAnsi="Arial" w:cs="Arial"/>
                <w:color w:val="000000"/>
                <w:sz w:val="16"/>
                <w:szCs w:val="16"/>
                <w:lang w:eastAsia="pt-BR"/>
              </w:rPr>
              <w:t>an</w:t>
            </w:r>
          </w:p>
        </w:tc>
        <w:tc>
          <w:tcPr>
            <w:tcW w:w="1410" w:type="dxa"/>
            <w:shd w:val="clear" w:color="auto" w:fill="FFFFFF"/>
            <w:noWrap/>
            <w:vAlign w:val="bottom"/>
            <w:hideMark/>
          </w:tcPr>
          <w:p w14:paraId="0EE230C3"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3.0</w:t>
            </w:r>
          </w:p>
        </w:tc>
        <w:tc>
          <w:tcPr>
            <w:tcW w:w="1482" w:type="dxa"/>
            <w:vMerge w:val="restart"/>
            <w:tcBorders>
              <w:top w:val="nil"/>
              <w:left w:val="nil"/>
              <w:bottom w:val="single" w:sz="8" w:space="0" w:color="000000"/>
              <w:right w:val="nil"/>
            </w:tcBorders>
            <w:shd w:val="clear" w:color="auto" w:fill="FFFFFF"/>
            <w:noWrap/>
            <w:vAlign w:val="center"/>
            <w:hideMark/>
          </w:tcPr>
          <w:p w14:paraId="16755F2A" w14:textId="77777777" w:rsidR="00B913BE" w:rsidRPr="00BE76D8" w:rsidRDefault="00B913BE" w:rsidP="00BE76D8">
            <w:pPr>
              <w:jc w:val="center"/>
              <w:rPr>
                <w:rFonts w:ascii="Arial" w:hAnsi="Arial" w:cs="Arial"/>
                <w:b/>
                <w:bCs/>
                <w:color w:val="000000"/>
                <w:sz w:val="16"/>
                <w:szCs w:val="16"/>
                <w:lang w:eastAsia="pt-BR"/>
              </w:rPr>
            </w:pPr>
          </w:p>
        </w:tc>
      </w:tr>
      <w:tr w:rsidR="00B913BE" w:rsidRPr="00BE76D8" w14:paraId="5C0135F4" w14:textId="77777777" w:rsidTr="00A65B88">
        <w:trPr>
          <w:trHeight w:val="370"/>
          <w:jc w:val="center"/>
        </w:trPr>
        <w:tc>
          <w:tcPr>
            <w:tcW w:w="0" w:type="auto"/>
            <w:vMerge/>
            <w:tcBorders>
              <w:top w:val="nil"/>
              <w:left w:val="nil"/>
              <w:bottom w:val="single" w:sz="8" w:space="0" w:color="000000"/>
              <w:right w:val="nil"/>
            </w:tcBorders>
            <w:vAlign w:val="center"/>
            <w:hideMark/>
          </w:tcPr>
          <w:p w14:paraId="71048D50" w14:textId="77777777" w:rsidR="00B913BE" w:rsidRPr="00BE76D8" w:rsidRDefault="00B913BE" w:rsidP="00BE76D8">
            <w:pPr>
              <w:rPr>
                <w:rFonts w:ascii="Arial" w:hAnsi="Arial" w:cs="Arial"/>
                <w:color w:val="000000"/>
                <w:sz w:val="16"/>
                <w:szCs w:val="16"/>
                <w:lang w:eastAsia="pt-BR"/>
              </w:rPr>
            </w:pPr>
          </w:p>
        </w:tc>
        <w:tc>
          <w:tcPr>
            <w:tcW w:w="2582" w:type="dxa"/>
            <w:shd w:val="clear" w:color="auto" w:fill="FFFFFF"/>
            <w:noWrap/>
            <w:vAlign w:val="bottom"/>
            <w:hideMark/>
          </w:tcPr>
          <w:p w14:paraId="56AE38E3" w14:textId="0BE17AC1"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M</w:t>
            </w:r>
            <w:r w:rsidR="00844609">
              <w:rPr>
                <w:rFonts w:ascii="Arial" w:hAnsi="Arial" w:cs="Arial"/>
                <w:color w:val="000000"/>
                <w:sz w:val="16"/>
                <w:szCs w:val="16"/>
                <w:lang w:eastAsia="pt-BR"/>
              </w:rPr>
              <w:t>ean</w:t>
            </w:r>
          </w:p>
        </w:tc>
        <w:tc>
          <w:tcPr>
            <w:tcW w:w="1410" w:type="dxa"/>
            <w:shd w:val="clear" w:color="auto" w:fill="FFFFFF"/>
            <w:noWrap/>
            <w:vAlign w:val="bottom"/>
            <w:hideMark/>
          </w:tcPr>
          <w:p w14:paraId="74C93BFF"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3.5</w:t>
            </w:r>
          </w:p>
        </w:tc>
        <w:tc>
          <w:tcPr>
            <w:tcW w:w="0" w:type="auto"/>
            <w:vMerge/>
            <w:tcBorders>
              <w:top w:val="nil"/>
              <w:left w:val="nil"/>
              <w:bottom w:val="single" w:sz="8" w:space="0" w:color="000000"/>
              <w:right w:val="nil"/>
            </w:tcBorders>
            <w:vAlign w:val="center"/>
            <w:hideMark/>
          </w:tcPr>
          <w:p w14:paraId="670F962D" w14:textId="77777777" w:rsidR="00B913BE" w:rsidRPr="00BE76D8" w:rsidRDefault="00B913BE" w:rsidP="00BE76D8">
            <w:pPr>
              <w:rPr>
                <w:rFonts w:ascii="Arial" w:hAnsi="Arial" w:cs="Arial"/>
                <w:b/>
                <w:bCs/>
                <w:color w:val="000000"/>
                <w:sz w:val="16"/>
                <w:szCs w:val="16"/>
                <w:lang w:eastAsia="pt-BR"/>
              </w:rPr>
            </w:pPr>
          </w:p>
        </w:tc>
      </w:tr>
      <w:tr w:rsidR="00B913BE" w:rsidRPr="00BE76D8" w14:paraId="04A7A6C8" w14:textId="77777777" w:rsidTr="00A65B88">
        <w:trPr>
          <w:trHeight w:val="370"/>
          <w:jc w:val="center"/>
        </w:trPr>
        <w:tc>
          <w:tcPr>
            <w:tcW w:w="0" w:type="auto"/>
            <w:vMerge/>
            <w:tcBorders>
              <w:top w:val="nil"/>
              <w:left w:val="nil"/>
              <w:bottom w:val="single" w:sz="8" w:space="0" w:color="000000"/>
              <w:right w:val="nil"/>
            </w:tcBorders>
            <w:vAlign w:val="center"/>
            <w:hideMark/>
          </w:tcPr>
          <w:p w14:paraId="357FCA47" w14:textId="77777777" w:rsidR="00B913BE" w:rsidRPr="00BE76D8" w:rsidRDefault="00B913BE" w:rsidP="00BE76D8">
            <w:pPr>
              <w:rPr>
                <w:rFonts w:ascii="Arial" w:hAnsi="Arial" w:cs="Arial"/>
                <w:color w:val="000000"/>
                <w:sz w:val="16"/>
                <w:szCs w:val="16"/>
                <w:lang w:eastAsia="pt-BR"/>
              </w:rPr>
            </w:pPr>
          </w:p>
        </w:tc>
        <w:tc>
          <w:tcPr>
            <w:tcW w:w="2582" w:type="dxa"/>
            <w:tcBorders>
              <w:top w:val="nil"/>
              <w:left w:val="nil"/>
              <w:bottom w:val="single" w:sz="8" w:space="0" w:color="auto"/>
              <w:right w:val="nil"/>
            </w:tcBorders>
            <w:shd w:val="clear" w:color="auto" w:fill="FFFFFF"/>
            <w:noWrap/>
            <w:vAlign w:val="bottom"/>
            <w:hideMark/>
          </w:tcPr>
          <w:p w14:paraId="027FCA35" w14:textId="7A9DA927"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 </w:t>
            </w:r>
            <w:r w:rsidR="00844609">
              <w:rPr>
                <w:rFonts w:ascii="Arial" w:hAnsi="Arial" w:cs="Arial"/>
                <w:color w:val="000000"/>
                <w:sz w:val="16"/>
                <w:szCs w:val="16"/>
                <w:lang w:eastAsia="pt-BR"/>
              </w:rPr>
              <w:t>SD</w:t>
            </w:r>
          </w:p>
        </w:tc>
        <w:tc>
          <w:tcPr>
            <w:tcW w:w="1410" w:type="dxa"/>
            <w:tcBorders>
              <w:top w:val="nil"/>
              <w:left w:val="nil"/>
              <w:bottom w:val="single" w:sz="8" w:space="0" w:color="auto"/>
              <w:right w:val="nil"/>
            </w:tcBorders>
            <w:shd w:val="clear" w:color="auto" w:fill="FFFFFF"/>
            <w:noWrap/>
            <w:vAlign w:val="bottom"/>
            <w:hideMark/>
          </w:tcPr>
          <w:p w14:paraId="7B7D0082"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 2.9</w:t>
            </w:r>
          </w:p>
        </w:tc>
        <w:tc>
          <w:tcPr>
            <w:tcW w:w="0" w:type="auto"/>
            <w:vMerge/>
            <w:tcBorders>
              <w:top w:val="nil"/>
              <w:left w:val="nil"/>
              <w:bottom w:val="single" w:sz="8" w:space="0" w:color="000000"/>
              <w:right w:val="nil"/>
            </w:tcBorders>
            <w:vAlign w:val="center"/>
            <w:hideMark/>
          </w:tcPr>
          <w:p w14:paraId="05897059" w14:textId="77777777" w:rsidR="00B913BE" w:rsidRPr="00BE76D8" w:rsidRDefault="00B913BE" w:rsidP="00BE76D8">
            <w:pPr>
              <w:rPr>
                <w:rFonts w:ascii="Arial" w:hAnsi="Arial" w:cs="Arial"/>
                <w:b/>
                <w:bCs/>
                <w:color w:val="000000"/>
                <w:sz w:val="16"/>
                <w:szCs w:val="16"/>
                <w:lang w:eastAsia="pt-BR"/>
              </w:rPr>
            </w:pPr>
          </w:p>
        </w:tc>
      </w:tr>
    </w:tbl>
    <w:p w14:paraId="2EB5ECB9" w14:textId="394D15D0" w:rsidR="00B913BE" w:rsidRPr="00BE76D8" w:rsidRDefault="00B913BE" w:rsidP="00BE76D8">
      <w:pPr>
        <w:rPr>
          <w:rFonts w:ascii="Arial" w:hAnsi="Arial" w:cs="Arial"/>
          <w:sz w:val="16"/>
          <w:szCs w:val="16"/>
        </w:rPr>
      </w:pPr>
      <w:r w:rsidRPr="00BE76D8">
        <w:rPr>
          <w:rFonts w:ascii="Arial" w:hAnsi="Arial" w:cs="Arial"/>
          <w:sz w:val="16"/>
          <w:szCs w:val="16"/>
        </w:rPr>
        <w:t xml:space="preserve">                    </w:t>
      </w:r>
      <w:r w:rsidR="00396886" w:rsidRPr="00396886">
        <w:rPr>
          <w:rFonts w:ascii="Arial" w:hAnsi="Arial" w:cs="Arial"/>
          <w:sz w:val="16"/>
          <w:szCs w:val="16"/>
        </w:rPr>
        <w:t>Source: Applied protocol; *Paired Student’s t-test.</w:t>
      </w:r>
    </w:p>
    <w:p w14:paraId="1447332D" w14:textId="77777777" w:rsidR="00B913BE" w:rsidRPr="00BE76D8" w:rsidRDefault="00B913BE" w:rsidP="00BE76D8">
      <w:pPr>
        <w:jc w:val="center"/>
        <w:rPr>
          <w:rFonts w:ascii="Arial" w:hAnsi="Arial" w:cs="Arial"/>
          <w:b/>
          <w:bCs/>
          <w:sz w:val="16"/>
          <w:szCs w:val="16"/>
        </w:rPr>
      </w:pPr>
    </w:p>
    <w:p w14:paraId="50B0831E" w14:textId="4DCDABDF" w:rsidR="009202DD" w:rsidRPr="009202DD" w:rsidRDefault="009202DD" w:rsidP="009202DD">
      <w:pPr>
        <w:pStyle w:val="Body"/>
        <w:rPr>
          <w:rFonts w:ascii="Arial" w:hAnsi="Arial" w:cs="Arial"/>
        </w:rPr>
      </w:pPr>
      <w:r w:rsidRPr="009202DD">
        <w:rPr>
          <w:rFonts w:ascii="Arial" w:hAnsi="Arial" w:cs="Arial"/>
        </w:rPr>
        <w:t xml:space="preserve">The mean age of participants in this study was 76.3 years, with a slight predominance of females (51.1%). This finding aligns with Pereira et al. (2014), who reported a mean age of 71.32 years and a predominance of females (60.64%). In contrast, Costa et al. (2020) observed a higher proportion of males (56.8%) with a mean age of 71.9 years. This </w:t>
      </w:r>
      <w:r w:rsidRPr="009202DD">
        <w:rPr>
          <w:rFonts w:ascii="Arial" w:hAnsi="Arial" w:cs="Arial"/>
        </w:rPr>
        <w:lastRenderedPageBreak/>
        <w:t>illustrates minor differences in gender prevalence among studies involving hospitalized older adults. Some gerontologists describe this phenomenon as the feminization of aging, i.e., the predominance of women in the elderly population, especially at advanced ages (Silva et al., 2019).</w:t>
      </w:r>
    </w:p>
    <w:p w14:paraId="6A5B6845" w14:textId="50889C60" w:rsidR="009202DD" w:rsidRPr="009202DD" w:rsidRDefault="009202DD" w:rsidP="009202DD">
      <w:pPr>
        <w:pStyle w:val="Body"/>
        <w:rPr>
          <w:rFonts w:ascii="Arial" w:hAnsi="Arial" w:cs="Arial"/>
        </w:rPr>
      </w:pPr>
      <w:r w:rsidRPr="009202DD">
        <w:rPr>
          <w:rFonts w:ascii="Arial" w:hAnsi="Arial" w:cs="Arial"/>
        </w:rPr>
        <w:t>According to Costa et al. (2020), the most prevalent reasons for hospitalization were cardiovascular diseases (54.8%), decompensated hypertension (41.6%), and diabetes mellitus (35.2%). Pereira et al. (2014) reported cardiovascular diseases (67.02%), digestive system diseases (54.26%), and endocrine/metabolic disorders (50%) as leading causes. In the present study, the main admission diagnoses were gastrointestinal bleeding (24.4%) and consumptive syndrome (22.2%), followed by decompensated heart failure (15.6%), COPD (13.3%), and infections (13.3%), mainly urinary tract infections and pneumonia. These differences may reflect local epidemiological variations, although digestive system diseases were common between this study and Pereira et al. (2014).</w:t>
      </w:r>
    </w:p>
    <w:p w14:paraId="7F6187BA" w14:textId="3788F5C6" w:rsidR="009202DD" w:rsidRPr="009202DD" w:rsidRDefault="009202DD" w:rsidP="009202DD">
      <w:pPr>
        <w:pStyle w:val="Body"/>
        <w:rPr>
          <w:rFonts w:ascii="Arial" w:hAnsi="Arial" w:cs="Arial"/>
        </w:rPr>
      </w:pPr>
      <w:r w:rsidRPr="009202DD">
        <w:rPr>
          <w:rFonts w:ascii="Arial" w:hAnsi="Arial" w:cs="Arial"/>
        </w:rPr>
        <w:t>Carvalho et al. (2018) reported a mean hospital stay of 5.3 ± 3.2 days, whereas in the present study, the mean hospitalization duration was 20.8 days, likely reflecting longer times needed for clinical stabilization, completion of in-hospital diagnostic tests, and local resource limitations.</w:t>
      </w:r>
    </w:p>
    <w:p w14:paraId="4564763C" w14:textId="70DE76F4" w:rsidR="009202DD" w:rsidRPr="009202DD" w:rsidRDefault="009202DD" w:rsidP="009202DD">
      <w:pPr>
        <w:pStyle w:val="Body"/>
        <w:rPr>
          <w:rFonts w:ascii="Arial" w:hAnsi="Arial" w:cs="Arial"/>
        </w:rPr>
      </w:pPr>
      <w:r w:rsidRPr="009202DD">
        <w:rPr>
          <w:rFonts w:ascii="Arial" w:hAnsi="Arial" w:cs="Arial"/>
        </w:rPr>
        <w:t>Regarding frailty, the Clinical Frailty Scale (CFS) showed the most frequent classification as “Regular” (CFS-3, 28.9%), followed by “Moderately frail” (CFS-6, 22.2%), with only two patients (4.4%) classified as “Very fit” (CFS-1). According to the attending physicians, the probability of death was highest in the “Moderate” (37.8%) and “Low” (35.6%) categories, consistent with Pinheiro et al. (2021), who found no deaths among patients classified as CFS 1 or 2. A direct relationship between frailty and mortality was observed, where higher CFS scores were associated with increased mortality. Similar to this study, most admissions were for clinical reasons (96.7%), and frailty prevalence was 61.7% (CFS-5), associated with female sex, living alone, advanced cancer, acute stroke or TIA, dementia or delirium at admission, and prior hospitalizations, including ICU stays.</w:t>
      </w:r>
    </w:p>
    <w:p w14:paraId="5FC3ADFB" w14:textId="31C1460C" w:rsidR="009202DD" w:rsidRPr="009202DD" w:rsidRDefault="009202DD" w:rsidP="009202DD">
      <w:pPr>
        <w:pStyle w:val="Body"/>
        <w:rPr>
          <w:rFonts w:ascii="Arial" w:hAnsi="Arial" w:cs="Arial"/>
        </w:rPr>
      </w:pPr>
      <w:r w:rsidRPr="009202DD">
        <w:rPr>
          <w:rFonts w:ascii="Arial" w:hAnsi="Arial" w:cs="Arial"/>
        </w:rPr>
        <w:t xml:space="preserve">Frailty is recognized as a risk factor for functional decline, hospitalization, and mortality among community-dwelling and hospitalized older adults (Carvalho et al., 2018). </w:t>
      </w:r>
      <w:proofErr w:type="spellStart"/>
      <w:r w:rsidRPr="009202DD">
        <w:rPr>
          <w:rFonts w:ascii="Arial" w:hAnsi="Arial" w:cs="Arial"/>
        </w:rPr>
        <w:t>Gregorevic</w:t>
      </w:r>
      <w:proofErr w:type="spellEnd"/>
      <w:r w:rsidRPr="009202DD">
        <w:rPr>
          <w:rFonts w:ascii="Arial" w:hAnsi="Arial" w:cs="Arial"/>
        </w:rPr>
        <w:t xml:space="preserve"> et al. (2016) also demonstrated that frail older adults, as measured by CFS, have an increased risk of functional loss, corroborating the present study where lower functional reserve was linked to higher mortality.</w:t>
      </w:r>
    </w:p>
    <w:p w14:paraId="386AF9AF" w14:textId="32821C9D" w:rsidR="009202DD" w:rsidRPr="009202DD" w:rsidRDefault="009202DD" w:rsidP="009202DD">
      <w:pPr>
        <w:pStyle w:val="Body"/>
        <w:rPr>
          <w:rFonts w:ascii="Arial" w:hAnsi="Arial" w:cs="Arial"/>
        </w:rPr>
      </w:pPr>
      <w:r w:rsidRPr="009202DD">
        <w:rPr>
          <w:rFonts w:ascii="Arial" w:hAnsi="Arial" w:cs="Arial"/>
        </w:rPr>
        <w:t>Regarding cognitive assessment, scales must be reliable and minimally influenced by depression, delirium, low education, or hearing impairment (Martins et al., 2019). In this study, the 10-Point Cognitive Screener (10-CS) was used for its practicality and ease of application. Aguiar et al. (2019) reported cognitive decline in 79.2% of patients using the Clock Drawing Test (TDR), while in this study, the 10-CS identified 60% with probable cognitive impairment and 15.6% classified as normal. No previous study compared cognitive decline between male and female hospitalized older adults. Here, 74% of females had probable cognitive impairment and 26.1% possible cognitive impairment, with none classified as normal. Among males, 45.5% had probable cognitive impairment, while 32% showed no cognitive deficits.</w:t>
      </w:r>
    </w:p>
    <w:p w14:paraId="4FE233FA" w14:textId="406D2FBC" w:rsidR="009202DD" w:rsidRPr="009202DD" w:rsidRDefault="009202DD" w:rsidP="009202DD">
      <w:pPr>
        <w:pStyle w:val="Body"/>
        <w:rPr>
          <w:rFonts w:ascii="Arial" w:hAnsi="Arial" w:cs="Arial"/>
        </w:rPr>
      </w:pPr>
      <w:r w:rsidRPr="009202DD">
        <w:rPr>
          <w:rFonts w:ascii="Arial" w:hAnsi="Arial" w:cs="Arial"/>
        </w:rPr>
        <w:t xml:space="preserve">Despite differences in cognitive assessment methods, most studies show a high prevalence of cognitive deficits among older adults. Cognitive decline increases with age, highlighting the need to improve care to preserve functional capacity and autonomy, thereby enhancing quality of life. Gender differences likely reflect comorbidities, as females have higher </w:t>
      </w:r>
      <w:r w:rsidRPr="009202DD">
        <w:rPr>
          <w:rFonts w:ascii="Arial" w:hAnsi="Arial" w:cs="Arial"/>
        </w:rPr>
        <w:lastRenderedPageBreak/>
        <w:t>prevalence of conditions such as depression, anxiety, and dementia, which contribute to cognitive decline.</w:t>
      </w:r>
    </w:p>
    <w:p w14:paraId="3829D01B" w14:textId="77E18409" w:rsidR="009202DD" w:rsidRPr="009202DD" w:rsidRDefault="009202DD" w:rsidP="009202DD">
      <w:pPr>
        <w:pStyle w:val="Body"/>
        <w:rPr>
          <w:rFonts w:ascii="Arial" w:hAnsi="Arial" w:cs="Arial"/>
        </w:rPr>
      </w:pPr>
      <w:r w:rsidRPr="009202DD">
        <w:rPr>
          <w:rFonts w:ascii="Arial" w:hAnsi="Arial" w:cs="Arial"/>
        </w:rPr>
        <w:t>Common causes of functional decline among hospitalized older adults include advanced age, admission diagnosis, performance status, reduced mobility due to prolonged bed rest, medical procedures, polypharmacy, cognitive deficits, and malnutrition (Carvalho et al., 2018).</w:t>
      </w:r>
    </w:p>
    <w:p w14:paraId="33143850" w14:textId="37215B20" w:rsidR="00790ADA" w:rsidRPr="00FB3A86" w:rsidRDefault="009202DD" w:rsidP="009202DD">
      <w:pPr>
        <w:pStyle w:val="Body"/>
        <w:rPr>
          <w:rFonts w:ascii="Arial" w:hAnsi="Arial" w:cs="Arial"/>
        </w:rPr>
      </w:pPr>
      <w:r w:rsidRPr="009202DD">
        <w:rPr>
          <w:rFonts w:ascii="Arial" w:hAnsi="Arial" w:cs="Arial"/>
        </w:rPr>
        <w:t>In the present study, all participants exhibited some degree of dependence in both basic (ADLs) and instrumental activities of daily living (IADLs). The mean ADL score was 4, indicating independence in at least four functions (Katz/Barthel). For IADLs, a modified Lawton scale was used, scoring 1 for “yes” (able) and 0 for “no” (unable), with a mean score of 3.5, indicating dependence in more than half of instrumental activities. Pereira et al. (2014) found similar results, with most older adults semi-dependent or dependent for ADLs and IADLs, and decline occurring mainly during the first days of hospitalization. Chang et al. (2010) reported 68.8% and 78.7% dependence for ADLs and IADLs, respectively, while Aguiar et al. (2019) found 21.4% ADL incapacity and 78.3% IADL incapacity, consistent with the present findings. These results confirm that functional dependence increases with age, directly impacting quality of life (Silva et al., 2019).</w:t>
      </w:r>
      <w:r w:rsidR="00C30A0F" w:rsidRPr="00FB3A86">
        <w:rPr>
          <w:rFonts w:ascii="Arial" w:hAnsi="Arial" w:cs="Arial"/>
        </w:rPr>
        <w:t xml:space="preserve"> </w:t>
      </w:r>
    </w:p>
    <w:p w14:paraId="7376227C" w14:textId="602762D0" w:rsidR="00790ADA" w:rsidRDefault="00000F8F" w:rsidP="00DE24AA">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6770C09E" w14:textId="77777777" w:rsidR="00DE24AA" w:rsidRPr="00DE24AA" w:rsidRDefault="00DE24AA" w:rsidP="00DE24AA">
      <w:pPr>
        <w:jc w:val="both"/>
        <w:rPr>
          <w:rFonts w:ascii="Arial" w:hAnsi="Arial" w:cs="Arial"/>
        </w:rPr>
      </w:pPr>
      <w:r w:rsidRPr="00DE24AA">
        <w:rPr>
          <w:rFonts w:ascii="Arial" w:hAnsi="Arial" w:cs="Arial"/>
        </w:rPr>
        <w:t>In this study, which included 45 participants, the majority were female, with a mean age of approximately 76 years. These patients were hospitalized for about 21 days, and most were admitted through the emergency and urgent care services. At the time of admission, the most frequent complaints were dyspnea, hematemesis, and weakness. The main diagnoses upon admission to the medical ward were gastrointestinal bleeding and consumptive syndrome, followed by decompensated congestive heart failure (CHF), chronic obstructive pulmonary disease (COPD), and infection.</w:t>
      </w:r>
    </w:p>
    <w:p w14:paraId="6B9A56BF" w14:textId="77777777" w:rsidR="00DE24AA" w:rsidRPr="00DE24AA" w:rsidRDefault="00DE24AA" w:rsidP="00DE24AA">
      <w:pPr>
        <w:jc w:val="both"/>
        <w:rPr>
          <w:rFonts w:ascii="Arial" w:hAnsi="Arial" w:cs="Arial"/>
        </w:rPr>
      </w:pPr>
    </w:p>
    <w:p w14:paraId="1AFEC610" w14:textId="77777777" w:rsidR="00DE24AA" w:rsidRPr="00DE24AA" w:rsidRDefault="00DE24AA" w:rsidP="00DE24AA">
      <w:pPr>
        <w:jc w:val="both"/>
        <w:rPr>
          <w:rFonts w:ascii="Arial" w:hAnsi="Arial" w:cs="Arial"/>
        </w:rPr>
      </w:pPr>
      <w:r w:rsidRPr="00DE24AA">
        <w:rPr>
          <w:rFonts w:ascii="Arial" w:hAnsi="Arial" w:cs="Arial"/>
        </w:rPr>
        <w:t>The Clinical Frailty Scale (CFS) revealed that most older adults presented some degree of frailty, being classified as “Regular” (28.9%), followed by “Moderately frail” (22.2%), while a minority were classified as “Very active.” In relation to this, the likelihood of post-discharge death, according to the attending physician, was considered moderate to low. Therefore, it can be inferred that the greater the degree of frailty, the higher the probability of mortality. Most of the studied population were discharged either by transfer to another facility or referred to outpatient follow-up.</w:t>
      </w:r>
    </w:p>
    <w:p w14:paraId="3B012436" w14:textId="77777777" w:rsidR="00DE24AA" w:rsidRPr="00DE24AA" w:rsidRDefault="00DE24AA" w:rsidP="00DE24AA">
      <w:pPr>
        <w:jc w:val="both"/>
        <w:rPr>
          <w:rFonts w:ascii="Arial" w:hAnsi="Arial" w:cs="Arial"/>
        </w:rPr>
      </w:pPr>
    </w:p>
    <w:p w14:paraId="35D701A3" w14:textId="77777777" w:rsidR="00DE24AA" w:rsidRPr="00DE24AA" w:rsidRDefault="00DE24AA" w:rsidP="00DE24AA">
      <w:pPr>
        <w:jc w:val="both"/>
        <w:rPr>
          <w:rFonts w:ascii="Arial" w:hAnsi="Arial" w:cs="Arial"/>
        </w:rPr>
      </w:pPr>
      <w:r w:rsidRPr="00DE24AA">
        <w:rPr>
          <w:rFonts w:ascii="Arial" w:hAnsi="Arial" w:cs="Arial"/>
        </w:rPr>
        <w:t>Regarding cognition, most patients showed some degree of cognitive decline, with women representing the highest percentage within this classification. The Basic Activities of Daily Living (BADL) and Instrumental Activities of Daily Living (IADL) scales revealed that all patients presented some level of functional decline, confirming the hypothesis that the more advanced the age, the lower the cognitive and functional capacity of the elderly individual.</w:t>
      </w:r>
    </w:p>
    <w:p w14:paraId="146691C6" w14:textId="77777777" w:rsidR="00DE24AA" w:rsidRPr="00DE24AA" w:rsidRDefault="00DE24AA" w:rsidP="00DE24AA">
      <w:pPr>
        <w:jc w:val="both"/>
        <w:rPr>
          <w:rFonts w:ascii="Arial" w:hAnsi="Arial" w:cs="Arial"/>
        </w:rPr>
      </w:pPr>
    </w:p>
    <w:p w14:paraId="3D284F09" w14:textId="3DF31E50" w:rsidR="00315186" w:rsidRPr="00315186" w:rsidRDefault="00DE24AA" w:rsidP="00DE24AA">
      <w:pPr>
        <w:jc w:val="both"/>
      </w:pPr>
      <w:r w:rsidRPr="00DE24AA">
        <w:rPr>
          <w:rFonts w:ascii="Arial" w:hAnsi="Arial" w:cs="Arial"/>
        </w:rPr>
        <w:t>From this study, it can be concluded that it is essential to promote improvements in elderly care, since the decline in functionality and cognition is directly related to quality of life. It is important to develop strategies to maintain, as much as possible, the autonomy of this population in performing essential activities, or at least to provide maximum comfort during this stage of life. This can be achieved through the prevention of complications during hospitalization, mitigation of functional capacity deterioration, and attention to factors that may positively or negatively influence their quality of life.</w:t>
      </w:r>
    </w:p>
    <w:p w14:paraId="4E6CD1A7" w14:textId="77777777" w:rsidR="00315186" w:rsidRPr="00315186" w:rsidRDefault="00315186" w:rsidP="00441B6F"/>
    <w:p w14:paraId="183FF496" w14:textId="77777777" w:rsidR="00B4694D" w:rsidRDefault="00B4694D" w:rsidP="00011616">
      <w:pPr>
        <w:spacing w:after="200" w:line="276" w:lineRule="auto"/>
        <w:jc w:val="both"/>
        <w:outlineLvl w:val="0"/>
        <w:rPr>
          <w:rFonts w:ascii="Arial" w:eastAsiaTheme="minorEastAsia" w:hAnsi="Arial" w:cs="Arial"/>
          <w:b/>
          <w:bCs/>
          <w:sz w:val="22"/>
          <w:szCs w:val="22"/>
          <w:lang w:val="en-GB" w:eastAsia="en-GB"/>
        </w:rPr>
      </w:pPr>
    </w:p>
    <w:p w14:paraId="41E6222F" w14:textId="09157BED" w:rsidR="00011616" w:rsidRPr="00011616" w:rsidRDefault="00011616" w:rsidP="00011616">
      <w:pPr>
        <w:spacing w:after="200" w:line="276" w:lineRule="auto"/>
        <w:jc w:val="both"/>
        <w:outlineLvl w:val="0"/>
        <w:rPr>
          <w:rFonts w:ascii="Arial" w:eastAsiaTheme="minorEastAsia" w:hAnsi="Arial" w:cs="Arial"/>
          <w:sz w:val="22"/>
          <w:szCs w:val="22"/>
          <w:lang w:val="en-GB" w:eastAsia="en-GB"/>
        </w:rPr>
      </w:pPr>
      <w:r w:rsidRPr="00011616">
        <w:rPr>
          <w:rFonts w:ascii="Arial" w:eastAsiaTheme="minorEastAsia" w:hAnsi="Arial" w:cs="Arial"/>
          <w:b/>
          <w:bCs/>
          <w:sz w:val="22"/>
          <w:szCs w:val="22"/>
          <w:lang w:val="en-GB" w:eastAsia="en-GB"/>
        </w:rPr>
        <w:lastRenderedPageBreak/>
        <w:t>COMPETING INTERESTS DISCLAIMER:</w:t>
      </w:r>
    </w:p>
    <w:p w14:paraId="34BA2F8E" w14:textId="77777777" w:rsidR="00011616" w:rsidRPr="00011616" w:rsidRDefault="00011616" w:rsidP="00011616">
      <w:pPr>
        <w:spacing w:after="200" w:line="276" w:lineRule="auto"/>
        <w:rPr>
          <w:rFonts w:asciiTheme="minorHAnsi" w:eastAsiaTheme="minorEastAsia" w:hAnsiTheme="minorHAnsi" w:cstheme="minorBidi"/>
          <w:sz w:val="22"/>
          <w:szCs w:val="22"/>
          <w:lang w:val="en-GB" w:eastAsia="en-GB"/>
        </w:rPr>
      </w:pPr>
      <w:r w:rsidRPr="00011616">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D39424F" w14:textId="77777777" w:rsidR="00011616" w:rsidRPr="001F7DC2" w:rsidRDefault="00011616" w:rsidP="00011616">
      <w:pPr>
        <w:pStyle w:val="ReferHead"/>
        <w:jc w:val="both"/>
        <w:rPr>
          <w:rFonts w:ascii="Arial" w:hAnsi="Arial" w:cs="Arial"/>
          <w:b w:val="0"/>
          <w:caps w:val="0"/>
          <w:sz w:val="20"/>
          <w:u w:val="single"/>
        </w:rPr>
      </w:pPr>
    </w:p>
    <w:p w14:paraId="17110FC9" w14:textId="77777777" w:rsidR="005C784C" w:rsidRDefault="005C784C" w:rsidP="00441B6F">
      <w:pPr>
        <w:pStyle w:val="ReferHead"/>
        <w:spacing w:after="0"/>
        <w:jc w:val="both"/>
        <w:rPr>
          <w:rFonts w:ascii="Arial" w:hAnsi="Arial" w:cs="Arial"/>
          <w:b w:val="0"/>
          <w:caps w:val="0"/>
          <w:sz w:val="20"/>
        </w:rPr>
      </w:pPr>
    </w:p>
    <w:p w14:paraId="209DCA9E" w14:textId="257BE829" w:rsidR="00790ADA" w:rsidRPr="00FB3A86" w:rsidRDefault="00B01FCD" w:rsidP="00650E62">
      <w:pPr>
        <w:pStyle w:val="ReferHead"/>
        <w:spacing w:before="240"/>
        <w:jc w:val="both"/>
        <w:rPr>
          <w:rFonts w:ascii="Arial" w:hAnsi="Arial" w:cs="Arial"/>
        </w:rPr>
      </w:pPr>
      <w:r w:rsidRPr="00FB3A86">
        <w:rPr>
          <w:rFonts w:ascii="Arial" w:hAnsi="Arial" w:cs="Arial"/>
        </w:rPr>
        <w:t>References</w:t>
      </w:r>
    </w:p>
    <w:p w14:paraId="6CECA7CA"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Cassel, C.K. 2009. Policy for an Aging Society: A Review of Systems. JAMA. 302(24):2701. doi:10.1001/jama.2009.1901.</w:t>
      </w:r>
    </w:p>
    <w:p w14:paraId="4DEDCFFE"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Ellis, G.; Whitehead, M.A.; Robinson, D.; </w:t>
      </w:r>
      <w:proofErr w:type="spellStart"/>
      <w:r w:rsidRPr="006C3EF3">
        <w:rPr>
          <w:rFonts w:ascii="Arial" w:hAnsi="Arial" w:cs="Arial"/>
        </w:rPr>
        <w:t>O’neill</w:t>
      </w:r>
      <w:proofErr w:type="spellEnd"/>
      <w:r w:rsidRPr="006C3EF3">
        <w:rPr>
          <w:rFonts w:ascii="Arial" w:hAnsi="Arial" w:cs="Arial"/>
        </w:rPr>
        <w:t>, D.; Langhorne, P. 2011. Comprehensive geriatric assessment for older adults admitted to hospital: meta-analysis of randomized controlled trials. BMJ. 343(oct27 1</w:t>
      </w:r>
      <w:proofErr w:type="gramStart"/>
      <w:r w:rsidRPr="006C3EF3">
        <w:rPr>
          <w:rFonts w:ascii="Arial" w:hAnsi="Arial" w:cs="Arial"/>
        </w:rPr>
        <w:t>):d</w:t>
      </w:r>
      <w:proofErr w:type="gramEnd"/>
      <w:r w:rsidRPr="006C3EF3">
        <w:rPr>
          <w:rFonts w:ascii="Arial" w:hAnsi="Arial" w:cs="Arial"/>
        </w:rPr>
        <w:t>6553-d6553. doi:10.1136/</w:t>
      </w:r>
      <w:proofErr w:type="gramStart"/>
      <w:r w:rsidRPr="006C3EF3">
        <w:rPr>
          <w:rFonts w:ascii="Arial" w:hAnsi="Arial" w:cs="Arial"/>
        </w:rPr>
        <w:t>bmj.d</w:t>
      </w:r>
      <w:proofErr w:type="gramEnd"/>
      <w:r w:rsidRPr="006C3EF3">
        <w:rPr>
          <w:rFonts w:ascii="Arial" w:hAnsi="Arial" w:cs="Arial"/>
        </w:rPr>
        <w:t>6553.</w:t>
      </w:r>
    </w:p>
    <w:p w14:paraId="3751146C"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Avelino-Silva, T.J.; Farfel, J.M.; Curiati, J.A.; Amaral, J.R.; Campora, F.; Jacob-Filho, W. 2014. Comprehensive geriatric assessment predicts mortality and adverse outcomes in hospitalized older adults. BMC </w:t>
      </w:r>
      <w:proofErr w:type="spellStart"/>
      <w:r w:rsidRPr="006C3EF3">
        <w:rPr>
          <w:rFonts w:ascii="Arial" w:hAnsi="Arial" w:cs="Arial"/>
        </w:rPr>
        <w:t>Geriatr</w:t>
      </w:r>
      <w:proofErr w:type="spellEnd"/>
      <w:r w:rsidRPr="006C3EF3">
        <w:rPr>
          <w:rFonts w:ascii="Arial" w:hAnsi="Arial" w:cs="Arial"/>
        </w:rPr>
        <w:t>. 14(1):129. doi:10.1186/1471-2318-14-129</w:t>
      </w:r>
    </w:p>
    <w:p w14:paraId="3C894236"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Partridge, J.S.L.; Harari, D.; Martin, F.C.; Dhesi, J.K. 2014. The impact of pre-operative comprehensive geriatric assessment on postoperative outcomes in older patients undergoing scheduled surgery: a systematic review. </w:t>
      </w:r>
      <w:proofErr w:type="spellStart"/>
      <w:r w:rsidRPr="006C3EF3">
        <w:rPr>
          <w:rFonts w:ascii="Arial" w:hAnsi="Arial" w:cs="Arial"/>
        </w:rPr>
        <w:t>Anaesthesia</w:t>
      </w:r>
      <w:proofErr w:type="spellEnd"/>
      <w:r w:rsidRPr="006C3EF3">
        <w:rPr>
          <w:rFonts w:ascii="Arial" w:hAnsi="Arial" w:cs="Arial"/>
        </w:rPr>
        <w:t>. 69:8-16. doi:10.1111/anae.12494.</w:t>
      </w:r>
    </w:p>
    <w:p w14:paraId="78BDD653"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Ellis, G.; Langhorne, P. 2005. Comprehensive geriatric assessment for older hospital patients. British Medical Bulletin. 71(1):45-59. doi:10.1093/</w:t>
      </w:r>
      <w:proofErr w:type="spellStart"/>
      <w:r w:rsidRPr="006C3EF3">
        <w:rPr>
          <w:rFonts w:ascii="Arial" w:hAnsi="Arial" w:cs="Arial"/>
        </w:rPr>
        <w:t>bmb</w:t>
      </w:r>
      <w:proofErr w:type="spellEnd"/>
      <w:r w:rsidRPr="006C3EF3">
        <w:rPr>
          <w:rFonts w:ascii="Arial" w:hAnsi="Arial" w:cs="Arial"/>
        </w:rPr>
        <w:t>/ldh033.</w:t>
      </w:r>
    </w:p>
    <w:p w14:paraId="25D41DA6"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proofErr w:type="spellStart"/>
      <w:r w:rsidRPr="006C3EF3">
        <w:rPr>
          <w:rFonts w:ascii="Arial" w:hAnsi="Arial" w:cs="Arial"/>
        </w:rPr>
        <w:t>Pilotto</w:t>
      </w:r>
      <w:proofErr w:type="spellEnd"/>
      <w:r w:rsidRPr="006C3EF3">
        <w:rPr>
          <w:rFonts w:ascii="Arial" w:hAnsi="Arial" w:cs="Arial"/>
        </w:rPr>
        <w:t xml:space="preserve">, A.; Dini, S.; </w:t>
      </w:r>
      <w:proofErr w:type="spellStart"/>
      <w:r w:rsidRPr="006C3EF3">
        <w:rPr>
          <w:rFonts w:ascii="Arial" w:hAnsi="Arial" w:cs="Arial"/>
        </w:rPr>
        <w:t>Daragjati</w:t>
      </w:r>
      <w:proofErr w:type="spellEnd"/>
      <w:r w:rsidRPr="006C3EF3">
        <w:rPr>
          <w:rFonts w:ascii="Arial" w:hAnsi="Arial" w:cs="Arial"/>
        </w:rPr>
        <w:t>, J. et al. 2018. Combined use of the multidimensional prognostic index (MPI) and procalcitonin serum levels in predicting 1-month mortality risk in older patients hospitalized with community-acquired pneumonia (CAP): a prospective study. Aging Clin Exp Res. 30(2):193-197. doi:10.1007/s40520-017-0759-y.</w:t>
      </w:r>
    </w:p>
    <w:p w14:paraId="55822792"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proofErr w:type="spellStart"/>
      <w:r w:rsidRPr="006C3EF3">
        <w:rPr>
          <w:rFonts w:ascii="Arial" w:hAnsi="Arial" w:cs="Arial"/>
        </w:rPr>
        <w:t>Pilotto</w:t>
      </w:r>
      <w:proofErr w:type="spellEnd"/>
      <w:r w:rsidRPr="006C3EF3">
        <w:rPr>
          <w:rFonts w:ascii="Arial" w:hAnsi="Arial" w:cs="Arial"/>
        </w:rPr>
        <w:t>, A.; Ferrucci, L.; Franceschi, M. et al. 2008. Development and Validation of a Multidimensional Prognostic Index for One-Year Mortality from Comprehensive Geriatric Assessment in Hospitalized Older Patients. Rejuvenation Research. 11(1):151-161. doi:10.1089/rej.2007.0569.</w:t>
      </w:r>
    </w:p>
    <w:p w14:paraId="7D34E3B4"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Conroy, S.P.; Stevens, T.; Parker, S.G.; Gladman, J.R.F. 2011. A systematic review of comprehensive geriatric assessment to improve outcomes for frail older people being rapidly discharged from acute hospital: “interface geriatrics.” Age and Aging. 40(4):436-443. doi:10.1093/ageing/afr060.</w:t>
      </w:r>
    </w:p>
    <w:p w14:paraId="71105E28"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proofErr w:type="spellStart"/>
      <w:r w:rsidRPr="006C3EF3">
        <w:rPr>
          <w:rFonts w:ascii="Arial" w:hAnsi="Arial" w:cs="Arial"/>
        </w:rPr>
        <w:t>Angleman</w:t>
      </w:r>
      <w:proofErr w:type="spellEnd"/>
      <w:r w:rsidRPr="006C3EF3">
        <w:rPr>
          <w:rFonts w:ascii="Arial" w:hAnsi="Arial" w:cs="Arial"/>
        </w:rPr>
        <w:t xml:space="preserve">, S.B.; </w:t>
      </w:r>
      <w:proofErr w:type="spellStart"/>
      <w:r w:rsidRPr="006C3EF3">
        <w:rPr>
          <w:rFonts w:ascii="Arial" w:hAnsi="Arial" w:cs="Arial"/>
        </w:rPr>
        <w:t>Santoni</w:t>
      </w:r>
      <w:proofErr w:type="spellEnd"/>
      <w:r w:rsidRPr="006C3EF3">
        <w:rPr>
          <w:rFonts w:ascii="Arial" w:hAnsi="Arial" w:cs="Arial"/>
        </w:rPr>
        <w:t xml:space="preserve">, G.; </w:t>
      </w:r>
      <w:proofErr w:type="spellStart"/>
      <w:r w:rsidRPr="006C3EF3">
        <w:rPr>
          <w:rFonts w:ascii="Arial" w:hAnsi="Arial" w:cs="Arial"/>
        </w:rPr>
        <w:t>Pilotto</w:t>
      </w:r>
      <w:proofErr w:type="spellEnd"/>
      <w:r w:rsidRPr="006C3EF3">
        <w:rPr>
          <w:rFonts w:ascii="Arial" w:hAnsi="Arial" w:cs="Arial"/>
        </w:rPr>
        <w:t xml:space="preserve">, A.; </w:t>
      </w:r>
      <w:proofErr w:type="spellStart"/>
      <w:r w:rsidRPr="006C3EF3">
        <w:rPr>
          <w:rFonts w:ascii="Arial" w:hAnsi="Arial" w:cs="Arial"/>
        </w:rPr>
        <w:t>Fratiglioni</w:t>
      </w:r>
      <w:proofErr w:type="spellEnd"/>
      <w:r w:rsidRPr="006C3EF3">
        <w:rPr>
          <w:rFonts w:ascii="Arial" w:hAnsi="Arial" w:cs="Arial"/>
        </w:rPr>
        <w:t xml:space="preserve">, L.; Welmer, A.K. 2015. On behalf of the MPI_AGE Project Investigators. Multidimensional Prognostic Index in Association with Future Mortality and Number of Hospital Days in a Population-Based Sample of Older Adults: Results of the EU Funded MPI_AGE Project. Sergi G, ed. </w:t>
      </w:r>
      <w:proofErr w:type="spellStart"/>
      <w:r w:rsidRPr="006C3EF3">
        <w:rPr>
          <w:rFonts w:ascii="Arial" w:hAnsi="Arial" w:cs="Arial"/>
        </w:rPr>
        <w:t>PLoS</w:t>
      </w:r>
      <w:proofErr w:type="spellEnd"/>
      <w:r w:rsidRPr="006C3EF3">
        <w:rPr>
          <w:rFonts w:ascii="Arial" w:hAnsi="Arial" w:cs="Arial"/>
        </w:rPr>
        <w:t xml:space="preserve"> ONE. 10(7</w:t>
      </w:r>
      <w:proofErr w:type="gramStart"/>
      <w:r w:rsidRPr="006C3EF3">
        <w:rPr>
          <w:rFonts w:ascii="Arial" w:hAnsi="Arial" w:cs="Arial"/>
        </w:rPr>
        <w:t>):e</w:t>
      </w:r>
      <w:proofErr w:type="gramEnd"/>
      <w:r w:rsidRPr="006C3EF3">
        <w:rPr>
          <w:rFonts w:ascii="Arial" w:hAnsi="Arial" w:cs="Arial"/>
        </w:rPr>
        <w:t xml:space="preserve">0133789. </w:t>
      </w:r>
      <w:proofErr w:type="gramStart"/>
      <w:r w:rsidRPr="006C3EF3">
        <w:rPr>
          <w:rFonts w:ascii="Arial" w:hAnsi="Arial" w:cs="Arial"/>
        </w:rPr>
        <w:t>doi:10.1371/journal.pone</w:t>
      </w:r>
      <w:proofErr w:type="gramEnd"/>
      <w:r w:rsidRPr="006C3EF3">
        <w:rPr>
          <w:rFonts w:ascii="Arial" w:hAnsi="Arial" w:cs="Arial"/>
        </w:rPr>
        <w:t>.0133789</w:t>
      </w:r>
    </w:p>
    <w:p w14:paraId="1BF928C8"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lastRenderedPageBreak/>
        <w:t xml:space="preserve">Apolinario, D.; </w:t>
      </w:r>
      <w:proofErr w:type="spellStart"/>
      <w:r w:rsidRPr="006C3EF3">
        <w:rPr>
          <w:rFonts w:ascii="Arial" w:hAnsi="Arial" w:cs="Arial"/>
        </w:rPr>
        <w:t>Lichtenthaler</w:t>
      </w:r>
      <w:proofErr w:type="spellEnd"/>
      <w:r w:rsidRPr="006C3EF3">
        <w:rPr>
          <w:rFonts w:ascii="Arial" w:hAnsi="Arial" w:cs="Arial"/>
        </w:rPr>
        <w:t xml:space="preserve">, D.G.; </w:t>
      </w:r>
      <w:proofErr w:type="spellStart"/>
      <w:r w:rsidRPr="006C3EF3">
        <w:rPr>
          <w:rFonts w:ascii="Arial" w:hAnsi="Arial" w:cs="Arial"/>
        </w:rPr>
        <w:t>Magaldi</w:t>
      </w:r>
      <w:proofErr w:type="spellEnd"/>
      <w:r w:rsidRPr="006C3EF3">
        <w:rPr>
          <w:rFonts w:ascii="Arial" w:hAnsi="Arial" w:cs="Arial"/>
        </w:rPr>
        <w:t xml:space="preserve">, R.M. et al. 2016. Using temporal orientation, category fluency, and word recall for detecting cognitive impairment: the 10-point cognitive screener (10-CS): Screening with orientation, fluency, and word recall. Int J </w:t>
      </w:r>
      <w:proofErr w:type="spellStart"/>
      <w:r w:rsidRPr="006C3EF3">
        <w:rPr>
          <w:rFonts w:ascii="Arial" w:hAnsi="Arial" w:cs="Arial"/>
        </w:rPr>
        <w:t>Geriatr</w:t>
      </w:r>
      <w:proofErr w:type="spellEnd"/>
      <w:r w:rsidRPr="006C3EF3">
        <w:rPr>
          <w:rFonts w:ascii="Arial" w:hAnsi="Arial" w:cs="Arial"/>
        </w:rPr>
        <w:t xml:space="preserve"> Psychiatry. v31(1):4-12. doi:10.1002/gps.4282</w:t>
      </w:r>
    </w:p>
    <w:p w14:paraId="3C252F29" w14:textId="77777777" w:rsid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Silva, T.J.A.; </w:t>
      </w:r>
      <w:proofErr w:type="spellStart"/>
      <w:r w:rsidRPr="006C3EF3">
        <w:rPr>
          <w:rFonts w:ascii="Arial" w:hAnsi="Arial" w:cs="Arial"/>
        </w:rPr>
        <w:t>Jerussalmy</w:t>
      </w:r>
      <w:proofErr w:type="spellEnd"/>
      <w:r w:rsidRPr="006C3EF3">
        <w:rPr>
          <w:rFonts w:ascii="Arial" w:hAnsi="Arial" w:cs="Arial"/>
        </w:rPr>
        <w:t>, C.S.; Farfel, J.M.; Curiati, J.A.E.; Jacob-Filho, W. 2009. Predictors of in-hospital mortality among older patients. Clinics (Sao Paulo). 64(7):613-618. doi:10.1590/S1807-59322009000700002.</w:t>
      </w:r>
    </w:p>
    <w:p w14:paraId="1529D3D5"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Pereira EEB, Souza ABF, Carneiro SR, Sarges ESNF. Global Functioning of Hospitalized Elderly Individuals. Rev. Bras. </w:t>
      </w:r>
      <w:proofErr w:type="spellStart"/>
      <w:r w:rsidRPr="006C3EF3">
        <w:rPr>
          <w:rFonts w:ascii="Arial" w:hAnsi="Arial" w:cs="Arial"/>
        </w:rPr>
        <w:t>Geriatr</w:t>
      </w:r>
      <w:proofErr w:type="spellEnd"/>
      <w:r w:rsidRPr="006C3EF3">
        <w:rPr>
          <w:rFonts w:ascii="Arial" w:hAnsi="Arial" w:cs="Arial"/>
        </w:rPr>
        <w:t xml:space="preserve">. </w:t>
      </w:r>
      <w:proofErr w:type="spellStart"/>
      <w:r w:rsidRPr="006C3EF3">
        <w:rPr>
          <w:rFonts w:ascii="Arial" w:hAnsi="Arial" w:cs="Arial"/>
        </w:rPr>
        <w:t>Gerontol</w:t>
      </w:r>
      <w:proofErr w:type="spellEnd"/>
      <w:r w:rsidRPr="006C3EF3">
        <w:rPr>
          <w:rFonts w:ascii="Arial" w:hAnsi="Arial" w:cs="Arial"/>
        </w:rPr>
        <w:t>., Rio de Janeiro, 2014; 17(1):165-176.</w:t>
      </w:r>
    </w:p>
    <w:p w14:paraId="00B050CC"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COSTA, A. F.; LOPES, M. C. B. T.; </w:t>
      </w:r>
      <w:proofErr w:type="spellStart"/>
      <w:r w:rsidRPr="006C3EF3">
        <w:rPr>
          <w:rFonts w:ascii="Arial" w:hAnsi="Arial" w:cs="Arial"/>
        </w:rPr>
        <w:t>Campanharo</w:t>
      </w:r>
      <w:proofErr w:type="spellEnd"/>
      <w:r w:rsidRPr="006C3EF3">
        <w:rPr>
          <w:rFonts w:ascii="Arial" w:hAnsi="Arial" w:cs="Arial"/>
        </w:rPr>
        <w:t xml:space="preserve">, C.R.V.; BELOSCO, A. G. S.; Okuno, M.F.P.; BATISTA, R. E. A. 2020. Functional capacity and quality of life of elderly individuals admitted to the emergency department. Rev Esc </w:t>
      </w:r>
      <w:proofErr w:type="spellStart"/>
      <w:r w:rsidRPr="006C3EF3">
        <w:rPr>
          <w:rFonts w:ascii="Arial" w:hAnsi="Arial" w:cs="Arial"/>
        </w:rPr>
        <w:t>Enferm</w:t>
      </w:r>
      <w:proofErr w:type="spellEnd"/>
      <w:r w:rsidRPr="006C3EF3">
        <w:rPr>
          <w:rFonts w:ascii="Arial" w:hAnsi="Arial" w:cs="Arial"/>
        </w:rPr>
        <w:t xml:space="preserve"> USP. </w:t>
      </w:r>
      <w:proofErr w:type="gramStart"/>
      <w:r w:rsidRPr="006C3EF3">
        <w:rPr>
          <w:rFonts w:ascii="Arial" w:hAnsi="Arial" w:cs="Arial"/>
        </w:rPr>
        <w:t>54:e</w:t>
      </w:r>
      <w:proofErr w:type="gramEnd"/>
      <w:r w:rsidRPr="006C3EF3">
        <w:rPr>
          <w:rFonts w:ascii="Arial" w:hAnsi="Arial" w:cs="Arial"/>
        </w:rPr>
        <w:t>03651.</w:t>
      </w:r>
    </w:p>
    <w:p w14:paraId="0718615A"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SILVA, L. G. C.; OLIVEIRA, F. S.; Martins, I. S.; MARTINS, F. E. S.; GARCIA, T. F. M.; SOUZA, A. C. P. A. 2019. Assessment of functionality and mobility of community-dwelling older adults in primary health care. Rev. Bras. </w:t>
      </w:r>
      <w:proofErr w:type="spellStart"/>
      <w:r w:rsidRPr="006C3EF3">
        <w:rPr>
          <w:rFonts w:ascii="Arial" w:hAnsi="Arial" w:cs="Arial"/>
        </w:rPr>
        <w:t>Geriatr</w:t>
      </w:r>
      <w:proofErr w:type="spellEnd"/>
      <w:r w:rsidRPr="006C3EF3">
        <w:rPr>
          <w:rFonts w:ascii="Arial" w:hAnsi="Arial" w:cs="Arial"/>
        </w:rPr>
        <w:t xml:space="preserve">. </w:t>
      </w:r>
      <w:proofErr w:type="spellStart"/>
      <w:r w:rsidRPr="006C3EF3">
        <w:rPr>
          <w:rFonts w:ascii="Arial" w:hAnsi="Arial" w:cs="Arial"/>
        </w:rPr>
        <w:t>Gerontol</w:t>
      </w:r>
      <w:proofErr w:type="spellEnd"/>
      <w:r w:rsidRPr="006C3EF3">
        <w:rPr>
          <w:rFonts w:ascii="Arial" w:hAnsi="Arial" w:cs="Arial"/>
        </w:rPr>
        <w:t>. 22(5</w:t>
      </w:r>
      <w:proofErr w:type="gramStart"/>
      <w:r w:rsidRPr="006C3EF3">
        <w:rPr>
          <w:rFonts w:ascii="Arial" w:hAnsi="Arial" w:cs="Arial"/>
        </w:rPr>
        <w:t>):e</w:t>
      </w:r>
      <w:proofErr w:type="gramEnd"/>
      <w:r w:rsidRPr="006C3EF3">
        <w:rPr>
          <w:rFonts w:ascii="Arial" w:hAnsi="Arial" w:cs="Arial"/>
        </w:rPr>
        <w:t>190086.</w:t>
      </w:r>
    </w:p>
    <w:p w14:paraId="4D5B78DC"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Carvalho, T. C.; VALLE, A. P.; Jacinto, A. F.; MAIORAL, V. F. S.; Villas Boas, P.J.F. 2018. Impact of hospitalization on the functionality of older adults: a cohort study. Rev. Bras. </w:t>
      </w:r>
      <w:proofErr w:type="spellStart"/>
      <w:r w:rsidRPr="006C3EF3">
        <w:rPr>
          <w:rFonts w:ascii="Arial" w:hAnsi="Arial" w:cs="Arial"/>
        </w:rPr>
        <w:t>Geriatr</w:t>
      </w:r>
      <w:proofErr w:type="spellEnd"/>
      <w:r w:rsidRPr="006C3EF3">
        <w:rPr>
          <w:rFonts w:ascii="Arial" w:hAnsi="Arial" w:cs="Arial"/>
        </w:rPr>
        <w:t xml:space="preserve">. </w:t>
      </w:r>
      <w:proofErr w:type="spellStart"/>
      <w:r w:rsidRPr="006C3EF3">
        <w:rPr>
          <w:rFonts w:ascii="Arial" w:hAnsi="Arial" w:cs="Arial"/>
        </w:rPr>
        <w:t>Gerontol</w:t>
      </w:r>
      <w:proofErr w:type="spellEnd"/>
      <w:r w:rsidRPr="006C3EF3">
        <w:rPr>
          <w:rFonts w:ascii="Arial" w:hAnsi="Arial" w:cs="Arial"/>
        </w:rPr>
        <w:t>., Rio de Janeiro. 21(2): 136-144.</w:t>
      </w:r>
    </w:p>
    <w:p w14:paraId="493879FC"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proofErr w:type="spellStart"/>
      <w:r w:rsidRPr="006C3EF3">
        <w:rPr>
          <w:rFonts w:ascii="Arial" w:hAnsi="Arial" w:cs="Arial"/>
        </w:rPr>
        <w:t>Gregorevic</w:t>
      </w:r>
      <w:proofErr w:type="spellEnd"/>
      <w:r w:rsidRPr="006C3EF3">
        <w:rPr>
          <w:rFonts w:ascii="Arial" w:hAnsi="Arial" w:cs="Arial"/>
        </w:rPr>
        <w:t xml:space="preserve">, K.J.; Hubbard, R.E.; Lim, W.K.; Katz, B. 2016. The clinical frailty scale predicts functional decline and mortality when used by junior medical staff: a prospective cohort study. BMC </w:t>
      </w:r>
      <w:proofErr w:type="spellStart"/>
      <w:r w:rsidRPr="006C3EF3">
        <w:rPr>
          <w:rFonts w:ascii="Arial" w:hAnsi="Arial" w:cs="Arial"/>
        </w:rPr>
        <w:t>Geriatr</w:t>
      </w:r>
      <w:proofErr w:type="spellEnd"/>
      <w:r w:rsidRPr="006C3EF3">
        <w:rPr>
          <w:rFonts w:ascii="Arial" w:hAnsi="Arial" w:cs="Arial"/>
        </w:rPr>
        <w:t>. 16:117.</w:t>
      </w:r>
    </w:p>
    <w:p w14:paraId="16AC837A"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MARTINS, N. I. M. M.; CALDAS, P.R.C.; CABRAL, E. D.; </w:t>
      </w:r>
      <w:proofErr w:type="spellStart"/>
      <w:r w:rsidRPr="006C3EF3">
        <w:rPr>
          <w:rFonts w:ascii="Arial" w:hAnsi="Arial" w:cs="Arial"/>
        </w:rPr>
        <w:t>Lins</w:t>
      </w:r>
      <w:proofErr w:type="spellEnd"/>
      <w:r w:rsidRPr="006C3EF3">
        <w:rPr>
          <w:rFonts w:ascii="Arial" w:hAnsi="Arial" w:cs="Arial"/>
        </w:rPr>
        <w:t xml:space="preserve">, C.C.S.A.; </w:t>
      </w:r>
      <w:proofErr w:type="spellStart"/>
      <w:r w:rsidRPr="006C3EF3">
        <w:rPr>
          <w:rFonts w:ascii="Arial" w:hAnsi="Arial" w:cs="Arial"/>
        </w:rPr>
        <w:t>Coloriano</w:t>
      </w:r>
      <w:proofErr w:type="spellEnd"/>
      <w:r w:rsidRPr="006C3EF3">
        <w:rPr>
          <w:rFonts w:ascii="Arial" w:hAnsi="Arial" w:cs="Arial"/>
        </w:rPr>
        <w:t xml:space="preserve">, M.G.W.S.C. 2019. Cognitive assessment instruments used in the last five years in older Brazilians. </w:t>
      </w:r>
      <w:proofErr w:type="spellStart"/>
      <w:r w:rsidRPr="006C3EF3">
        <w:rPr>
          <w:rFonts w:ascii="Arial" w:hAnsi="Arial" w:cs="Arial"/>
        </w:rPr>
        <w:t>Ciência</w:t>
      </w:r>
      <w:proofErr w:type="spellEnd"/>
      <w:r w:rsidRPr="006C3EF3">
        <w:rPr>
          <w:rFonts w:ascii="Arial" w:hAnsi="Arial" w:cs="Arial"/>
        </w:rPr>
        <w:t xml:space="preserve"> &amp; </w:t>
      </w:r>
      <w:proofErr w:type="spellStart"/>
      <w:r w:rsidRPr="006C3EF3">
        <w:rPr>
          <w:rFonts w:ascii="Arial" w:hAnsi="Arial" w:cs="Arial"/>
        </w:rPr>
        <w:t>Saúde</w:t>
      </w:r>
      <w:proofErr w:type="spellEnd"/>
      <w:r w:rsidRPr="006C3EF3">
        <w:rPr>
          <w:rFonts w:ascii="Arial" w:hAnsi="Arial" w:cs="Arial"/>
        </w:rPr>
        <w:t xml:space="preserve"> </w:t>
      </w:r>
      <w:proofErr w:type="spellStart"/>
      <w:r w:rsidRPr="006C3EF3">
        <w:rPr>
          <w:rFonts w:ascii="Arial" w:hAnsi="Arial" w:cs="Arial"/>
        </w:rPr>
        <w:t>Coletiva</w:t>
      </w:r>
      <w:proofErr w:type="spellEnd"/>
      <w:r w:rsidRPr="006C3EF3">
        <w:rPr>
          <w:rFonts w:ascii="Arial" w:hAnsi="Arial" w:cs="Arial"/>
        </w:rPr>
        <w:t>, 24(7): 2513-2530.</w:t>
      </w:r>
    </w:p>
    <w:p w14:paraId="733CAB5F"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Aguiar, B. M.; SILVA, P. O.; Vieira, M. A.; COSTA, F. M.; Carneiro, JA. 2019. Assessment of Functional Disability and Associated Factors in Older Adults. Rev. Bras. </w:t>
      </w:r>
      <w:proofErr w:type="spellStart"/>
      <w:r w:rsidRPr="006C3EF3">
        <w:rPr>
          <w:rFonts w:ascii="Arial" w:hAnsi="Arial" w:cs="Arial"/>
        </w:rPr>
        <w:t>Geriatr</w:t>
      </w:r>
      <w:proofErr w:type="spellEnd"/>
      <w:r w:rsidRPr="006C3EF3">
        <w:rPr>
          <w:rFonts w:ascii="Arial" w:hAnsi="Arial" w:cs="Arial"/>
        </w:rPr>
        <w:t xml:space="preserve">. </w:t>
      </w:r>
      <w:proofErr w:type="spellStart"/>
      <w:r w:rsidRPr="006C3EF3">
        <w:rPr>
          <w:rFonts w:ascii="Arial" w:hAnsi="Arial" w:cs="Arial"/>
        </w:rPr>
        <w:t>Gerontol</w:t>
      </w:r>
      <w:proofErr w:type="spellEnd"/>
      <w:r w:rsidRPr="006C3EF3">
        <w:rPr>
          <w:rFonts w:ascii="Arial" w:hAnsi="Arial" w:cs="Arial"/>
        </w:rPr>
        <w:t>. 22(2</w:t>
      </w:r>
      <w:proofErr w:type="gramStart"/>
      <w:r w:rsidRPr="006C3EF3">
        <w:rPr>
          <w:rFonts w:ascii="Arial" w:hAnsi="Arial" w:cs="Arial"/>
        </w:rPr>
        <w:t>):e</w:t>
      </w:r>
      <w:proofErr w:type="gramEnd"/>
      <w:r w:rsidRPr="006C3EF3">
        <w:rPr>
          <w:rFonts w:ascii="Arial" w:hAnsi="Arial" w:cs="Arial"/>
        </w:rPr>
        <w:t>180163.</w:t>
      </w:r>
    </w:p>
    <w:p w14:paraId="0F518531" w14:textId="7987435C" w:rsidR="00B01FCD"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Chang, H.H.; Tsai, S. L.; Chen, X.Y.; Liu, W.J. 2010 Outcomes of hospitalized elderly patients with geriatric syndrome: report of a community hospital reform plan in Taiwan. Arch </w:t>
      </w:r>
      <w:proofErr w:type="spellStart"/>
      <w:r w:rsidRPr="006C3EF3">
        <w:rPr>
          <w:rFonts w:ascii="Arial" w:hAnsi="Arial" w:cs="Arial"/>
        </w:rPr>
        <w:t>GerontolGeriatr</w:t>
      </w:r>
      <w:proofErr w:type="spellEnd"/>
      <w:r w:rsidRPr="006C3EF3">
        <w:rPr>
          <w:rFonts w:ascii="Arial" w:hAnsi="Arial" w:cs="Arial"/>
        </w:rPr>
        <w:t xml:space="preserve">. 50 Suppl </w:t>
      </w:r>
      <w:proofErr w:type="gramStart"/>
      <w:r w:rsidRPr="006C3EF3">
        <w:rPr>
          <w:rFonts w:ascii="Arial" w:hAnsi="Arial" w:cs="Arial"/>
        </w:rPr>
        <w:t>1:S</w:t>
      </w:r>
      <w:proofErr w:type="gramEnd"/>
      <w:r w:rsidRPr="006C3EF3">
        <w:rPr>
          <w:rFonts w:ascii="Arial" w:hAnsi="Arial" w:cs="Arial"/>
        </w:rPr>
        <w:t>30-33.</w:t>
      </w:r>
    </w:p>
    <w:p w14:paraId="29CE0BFC" w14:textId="77777777" w:rsidR="006C3EF3" w:rsidRPr="006C3EF3" w:rsidRDefault="006C3EF3" w:rsidP="006C3EF3"/>
    <w:sectPr w:rsidR="006C3EF3" w:rsidRPr="006C3EF3" w:rsidSect="00B4694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74325" w14:textId="77777777" w:rsidR="00AF1D51" w:rsidRDefault="00AF1D51" w:rsidP="00C37E61">
      <w:r>
        <w:separator/>
      </w:r>
    </w:p>
  </w:endnote>
  <w:endnote w:type="continuationSeparator" w:id="0">
    <w:p w14:paraId="730357CA" w14:textId="77777777" w:rsidR="00AF1D51" w:rsidRDefault="00AF1D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95AC" w14:textId="77777777" w:rsidR="00B4694D" w:rsidRDefault="00B46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2F723" w14:textId="77777777" w:rsidR="00B4694D" w:rsidRDefault="00B46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760E" w14:textId="4B063EFF" w:rsidR="00754C9A" w:rsidRPr="00720D63" w:rsidRDefault="00754C9A" w:rsidP="00720D6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7AF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B5C51" w14:textId="77777777" w:rsidR="00AF1D51" w:rsidRDefault="00AF1D51" w:rsidP="00C37E61">
      <w:r>
        <w:separator/>
      </w:r>
    </w:p>
  </w:footnote>
  <w:footnote w:type="continuationSeparator" w:id="0">
    <w:p w14:paraId="4430EE79" w14:textId="77777777" w:rsidR="00AF1D51" w:rsidRDefault="00AF1D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76DA" w14:textId="63496908" w:rsidR="00B4694D" w:rsidRDefault="00B4694D">
    <w:pPr>
      <w:pStyle w:val="Header"/>
    </w:pPr>
    <w:r>
      <w:rPr>
        <w:noProof/>
      </w:rPr>
      <w:pict w14:anchorId="152FB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03B6" w14:textId="25D9AF71" w:rsidR="00B4694D" w:rsidRDefault="00B4694D">
    <w:pPr>
      <w:pStyle w:val="Header"/>
    </w:pPr>
    <w:r>
      <w:rPr>
        <w:noProof/>
      </w:rPr>
      <w:pict w14:anchorId="79AAB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6DA4" w14:textId="75F75746" w:rsidR="00296529" w:rsidRPr="00296529" w:rsidRDefault="00B4694D" w:rsidP="00296529">
    <w:pPr>
      <w:ind w:left="2160"/>
      <w:jc w:val="center"/>
      <w:rPr>
        <w:rFonts w:ascii="Times New Roman" w:eastAsia="Calibri" w:hAnsi="Times New Roman"/>
        <w:i/>
        <w:sz w:val="18"/>
        <w:szCs w:val="22"/>
      </w:rPr>
    </w:pPr>
    <w:r>
      <w:rPr>
        <w:noProof/>
      </w:rPr>
      <w:pict w14:anchorId="55BE0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1934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02B8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7E42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C65A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8A24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A94F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85A0" w14:textId="17965C3F" w:rsidR="00B4694D" w:rsidRDefault="00B4694D">
    <w:pPr>
      <w:pStyle w:val="Header"/>
    </w:pPr>
    <w:r>
      <w:rPr>
        <w:noProof/>
      </w:rPr>
      <w:pict w14:anchorId="2B668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A295" w14:textId="051091AF" w:rsidR="00B4694D" w:rsidRDefault="00B4694D">
    <w:pPr>
      <w:pStyle w:val="Header"/>
    </w:pPr>
    <w:r>
      <w:rPr>
        <w:noProof/>
      </w:rPr>
      <w:pict w14:anchorId="38D60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C1D1" w14:textId="54D06518" w:rsidR="00B4694D" w:rsidRDefault="00B4694D">
    <w:pPr>
      <w:pStyle w:val="Header"/>
    </w:pPr>
    <w:r>
      <w:rPr>
        <w:noProof/>
      </w:rPr>
      <w:pict w14:anchorId="1856C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0C5A85"/>
    <w:multiLevelType w:val="hybridMultilevel"/>
    <w:tmpl w:val="6358C610"/>
    <w:lvl w:ilvl="0" w:tplc="DE307C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2676C"/>
    <w:multiLevelType w:val="hybridMultilevel"/>
    <w:tmpl w:val="A6D4A1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616"/>
    <w:rsid w:val="000158D2"/>
    <w:rsid w:val="00020FA7"/>
    <w:rsid w:val="00030080"/>
    <w:rsid w:val="00030174"/>
    <w:rsid w:val="0004579C"/>
    <w:rsid w:val="00067A29"/>
    <w:rsid w:val="0009010C"/>
    <w:rsid w:val="000A47FA"/>
    <w:rsid w:val="000A65D3"/>
    <w:rsid w:val="000B1E33"/>
    <w:rsid w:val="000C03DC"/>
    <w:rsid w:val="000C39ED"/>
    <w:rsid w:val="000D689F"/>
    <w:rsid w:val="000E3BB7"/>
    <w:rsid w:val="000E7B7B"/>
    <w:rsid w:val="000E7D62"/>
    <w:rsid w:val="000F0543"/>
    <w:rsid w:val="000F0F67"/>
    <w:rsid w:val="000F414D"/>
    <w:rsid w:val="000F73A6"/>
    <w:rsid w:val="00103357"/>
    <w:rsid w:val="00110610"/>
    <w:rsid w:val="00123C9F"/>
    <w:rsid w:val="001246C7"/>
    <w:rsid w:val="00126190"/>
    <w:rsid w:val="00130F17"/>
    <w:rsid w:val="001320BF"/>
    <w:rsid w:val="00135977"/>
    <w:rsid w:val="00163BC4"/>
    <w:rsid w:val="00171154"/>
    <w:rsid w:val="001835EB"/>
    <w:rsid w:val="00191062"/>
    <w:rsid w:val="00192B72"/>
    <w:rsid w:val="00193003"/>
    <w:rsid w:val="001A29D8"/>
    <w:rsid w:val="001A5CAA"/>
    <w:rsid w:val="001B0427"/>
    <w:rsid w:val="001B45C9"/>
    <w:rsid w:val="001B71DC"/>
    <w:rsid w:val="001C27D8"/>
    <w:rsid w:val="001D3A51"/>
    <w:rsid w:val="001E10D2"/>
    <w:rsid w:val="001E25B4"/>
    <w:rsid w:val="001E44FE"/>
    <w:rsid w:val="001E6703"/>
    <w:rsid w:val="001E6A4B"/>
    <w:rsid w:val="001F7DC2"/>
    <w:rsid w:val="00200595"/>
    <w:rsid w:val="002013DB"/>
    <w:rsid w:val="00204835"/>
    <w:rsid w:val="002048A2"/>
    <w:rsid w:val="00224B36"/>
    <w:rsid w:val="00231920"/>
    <w:rsid w:val="0023195C"/>
    <w:rsid w:val="00233449"/>
    <w:rsid w:val="0024282C"/>
    <w:rsid w:val="002460DC"/>
    <w:rsid w:val="00250985"/>
    <w:rsid w:val="00254232"/>
    <w:rsid w:val="002556F6"/>
    <w:rsid w:val="00257741"/>
    <w:rsid w:val="00262566"/>
    <w:rsid w:val="00263E22"/>
    <w:rsid w:val="002660AC"/>
    <w:rsid w:val="00266D88"/>
    <w:rsid w:val="00275889"/>
    <w:rsid w:val="00283105"/>
    <w:rsid w:val="00284C4C"/>
    <w:rsid w:val="00285CAC"/>
    <w:rsid w:val="00287E68"/>
    <w:rsid w:val="00292BFD"/>
    <w:rsid w:val="002939AD"/>
    <w:rsid w:val="00296529"/>
    <w:rsid w:val="002A3BBB"/>
    <w:rsid w:val="002B27FB"/>
    <w:rsid w:val="002B685A"/>
    <w:rsid w:val="002C3D74"/>
    <w:rsid w:val="002C57D2"/>
    <w:rsid w:val="002C5DCE"/>
    <w:rsid w:val="002E0D56"/>
    <w:rsid w:val="002E3FD3"/>
    <w:rsid w:val="002E6E3C"/>
    <w:rsid w:val="002F1C0D"/>
    <w:rsid w:val="003143D4"/>
    <w:rsid w:val="00315186"/>
    <w:rsid w:val="00327243"/>
    <w:rsid w:val="0033343E"/>
    <w:rsid w:val="00347E50"/>
    <w:rsid w:val="003512C2"/>
    <w:rsid w:val="003539A1"/>
    <w:rsid w:val="00370881"/>
    <w:rsid w:val="00371FB6"/>
    <w:rsid w:val="003739CB"/>
    <w:rsid w:val="003763C1"/>
    <w:rsid w:val="00376BBE"/>
    <w:rsid w:val="00385DA2"/>
    <w:rsid w:val="0039224F"/>
    <w:rsid w:val="00396886"/>
    <w:rsid w:val="003A1554"/>
    <w:rsid w:val="003A1CE0"/>
    <w:rsid w:val="003A43A4"/>
    <w:rsid w:val="003A7E18"/>
    <w:rsid w:val="003C4C86"/>
    <w:rsid w:val="003C5D47"/>
    <w:rsid w:val="003C6258"/>
    <w:rsid w:val="003C7B6F"/>
    <w:rsid w:val="003D375C"/>
    <w:rsid w:val="003D49B8"/>
    <w:rsid w:val="003D570D"/>
    <w:rsid w:val="003E2904"/>
    <w:rsid w:val="003F31A4"/>
    <w:rsid w:val="00401927"/>
    <w:rsid w:val="004041F6"/>
    <w:rsid w:val="0041027F"/>
    <w:rsid w:val="00412475"/>
    <w:rsid w:val="00423789"/>
    <w:rsid w:val="004278DB"/>
    <w:rsid w:val="00427A6C"/>
    <w:rsid w:val="004338FB"/>
    <w:rsid w:val="0043612F"/>
    <w:rsid w:val="00440F43"/>
    <w:rsid w:val="00440FC6"/>
    <w:rsid w:val="00441B6F"/>
    <w:rsid w:val="00446221"/>
    <w:rsid w:val="0045025E"/>
    <w:rsid w:val="00450E62"/>
    <w:rsid w:val="004539DB"/>
    <w:rsid w:val="00456F65"/>
    <w:rsid w:val="004617AC"/>
    <w:rsid w:val="00471A80"/>
    <w:rsid w:val="00471DA0"/>
    <w:rsid w:val="00496F52"/>
    <w:rsid w:val="004C02D3"/>
    <w:rsid w:val="004D305E"/>
    <w:rsid w:val="004D4277"/>
    <w:rsid w:val="004D5585"/>
    <w:rsid w:val="004E2534"/>
    <w:rsid w:val="004E316D"/>
    <w:rsid w:val="004E7338"/>
    <w:rsid w:val="004F477E"/>
    <w:rsid w:val="00500D52"/>
    <w:rsid w:val="00502516"/>
    <w:rsid w:val="00505F06"/>
    <w:rsid w:val="00506828"/>
    <w:rsid w:val="00514E08"/>
    <w:rsid w:val="0051555F"/>
    <w:rsid w:val="005232E6"/>
    <w:rsid w:val="0053056E"/>
    <w:rsid w:val="00554FDA"/>
    <w:rsid w:val="00575BB7"/>
    <w:rsid w:val="00592E3E"/>
    <w:rsid w:val="005C22D3"/>
    <w:rsid w:val="005C784C"/>
    <w:rsid w:val="005D05DC"/>
    <w:rsid w:val="005D17F6"/>
    <w:rsid w:val="005E5539"/>
    <w:rsid w:val="005F44C2"/>
    <w:rsid w:val="005F4C5D"/>
    <w:rsid w:val="00600409"/>
    <w:rsid w:val="00602BF5"/>
    <w:rsid w:val="00604874"/>
    <w:rsid w:val="00604E06"/>
    <w:rsid w:val="006126B9"/>
    <w:rsid w:val="00617FDD"/>
    <w:rsid w:val="00622769"/>
    <w:rsid w:val="00626A0B"/>
    <w:rsid w:val="00633614"/>
    <w:rsid w:val="00633F68"/>
    <w:rsid w:val="006366A7"/>
    <w:rsid w:val="00636EB2"/>
    <w:rsid w:val="006375B8"/>
    <w:rsid w:val="00640763"/>
    <w:rsid w:val="00650E62"/>
    <w:rsid w:val="0066510A"/>
    <w:rsid w:val="00670A51"/>
    <w:rsid w:val="00673F9F"/>
    <w:rsid w:val="00682B1F"/>
    <w:rsid w:val="00686953"/>
    <w:rsid w:val="00687DEA"/>
    <w:rsid w:val="00687E67"/>
    <w:rsid w:val="006967F7"/>
    <w:rsid w:val="006A250C"/>
    <w:rsid w:val="006A4496"/>
    <w:rsid w:val="006B21D3"/>
    <w:rsid w:val="006B57D0"/>
    <w:rsid w:val="006C3EF3"/>
    <w:rsid w:val="006C47F9"/>
    <w:rsid w:val="006C64D0"/>
    <w:rsid w:val="006D30FF"/>
    <w:rsid w:val="006D6940"/>
    <w:rsid w:val="006F11EC"/>
    <w:rsid w:val="006F7AF2"/>
    <w:rsid w:val="0070082C"/>
    <w:rsid w:val="00720D63"/>
    <w:rsid w:val="00723D7C"/>
    <w:rsid w:val="007255E8"/>
    <w:rsid w:val="007369E6"/>
    <w:rsid w:val="0073777F"/>
    <w:rsid w:val="007443A9"/>
    <w:rsid w:val="00746ABF"/>
    <w:rsid w:val="00746E59"/>
    <w:rsid w:val="00752080"/>
    <w:rsid w:val="00754C9A"/>
    <w:rsid w:val="0075599A"/>
    <w:rsid w:val="00761D52"/>
    <w:rsid w:val="00774045"/>
    <w:rsid w:val="00774779"/>
    <w:rsid w:val="0077749E"/>
    <w:rsid w:val="00780419"/>
    <w:rsid w:val="0078658A"/>
    <w:rsid w:val="00790ADA"/>
    <w:rsid w:val="00792CE1"/>
    <w:rsid w:val="007B4218"/>
    <w:rsid w:val="007D13DF"/>
    <w:rsid w:val="007D2288"/>
    <w:rsid w:val="007D6ABE"/>
    <w:rsid w:val="007E088F"/>
    <w:rsid w:val="007F7B32"/>
    <w:rsid w:val="00804BC2"/>
    <w:rsid w:val="0081431A"/>
    <w:rsid w:val="0083047A"/>
    <w:rsid w:val="0083216F"/>
    <w:rsid w:val="008330A5"/>
    <w:rsid w:val="00837A24"/>
    <w:rsid w:val="00844444"/>
    <w:rsid w:val="00844609"/>
    <w:rsid w:val="00860000"/>
    <w:rsid w:val="00860BB2"/>
    <w:rsid w:val="00863BD3"/>
    <w:rsid w:val="008641ED"/>
    <w:rsid w:val="00866D66"/>
    <w:rsid w:val="008671C6"/>
    <w:rsid w:val="00870DC4"/>
    <w:rsid w:val="00875803"/>
    <w:rsid w:val="00894E1C"/>
    <w:rsid w:val="008B3398"/>
    <w:rsid w:val="008B459E"/>
    <w:rsid w:val="008C524F"/>
    <w:rsid w:val="008E13AE"/>
    <w:rsid w:val="008E1506"/>
    <w:rsid w:val="008E710C"/>
    <w:rsid w:val="008F3F2E"/>
    <w:rsid w:val="008F69D6"/>
    <w:rsid w:val="00902823"/>
    <w:rsid w:val="00914F14"/>
    <w:rsid w:val="00915CA6"/>
    <w:rsid w:val="009202DD"/>
    <w:rsid w:val="00923B56"/>
    <w:rsid w:val="00927834"/>
    <w:rsid w:val="0093110E"/>
    <w:rsid w:val="009500A6"/>
    <w:rsid w:val="00957C18"/>
    <w:rsid w:val="009659BA"/>
    <w:rsid w:val="00983040"/>
    <w:rsid w:val="009857B1"/>
    <w:rsid w:val="00991177"/>
    <w:rsid w:val="009A51B9"/>
    <w:rsid w:val="009A5448"/>
    <w:rsid w:val="009B3FB9"/>
    <w:rsid w:val="009C2465"/>
    <w:rsid w:val="009C3A98"/>
    <w:rsid w:val="009D35A0"/>
    <w:rsid w:val="009D7EB7"/>
    <w:rsid w:val="009E048A"/>
    <w:rsid w:val="009E08E9"/>
    <w:rsid w:val="009E3DB9"/>
    <w:rsid w:val="009E6E35"/>
    <w:rsid w:val="009F0EDA"/>
    <w:rsid w:val="00A01F8F"/>
    <w:rsid w:val="00A03B96"/>
    <w:rsid w:val="00A05B19"/>
    <w:rsid w:val="00A108D3"/>
    <w:rsid w:val="00A1134E"/>
    <w:rsid w:val="00A24E7E"/>
    <w:rsid w:val="00A258C3"/>
    <w:rsid w:val="00A347C0"/>
    <w:rsid w:val="00A44D9F"/>
    <w:rsid w:val="00A51431"/>
    <w:rsid w:val="00A539AD"/>
    <w:rsid w:val="00A5687A"/>
    <w:rsid w:val="00A60BB5"/>
    <w:rsid w:val="00A60FE5"/>
    <w:rsid w:val="00A670A1"/>
    <w:rsid w:val="00A82CB9"/>
    <w:rsid w:val="00A84518"/>
    <w:rsid w:val="00A94063"/>
    <w:rsid w:val="00AA6219"/>
    <w:rsid w:val="00AA74E0"/>
    <w:rsid w:val="00AB2CF8"/>
    <w:rsid w:val="00AB703F"/>
    <w:rsid w:val="00AC0D59"/>
    <w:rsid w:val="00AC6BB8"/>
    <w:rsid w:val="00AE008F"/>
    <w:rsid w:val="00AE4D71"/>
    <w:rsid w:val="00AE7DDF"/>
    <w:rsid w:val="00AF04BA"/>
    <w:rsid w:val="00AF1D51"/>
    <w:rsid w:val="00B009CD"/>
    <w:rsid w:val="00B01FCD"/>
    <w:rsid w:val="00B02AAC"/>
    <w:rsid w:val="00B04F05"/>
    <w:rsid w:val="00B16CD3"/>
    <w:rsid w:val="00B1776C"/>
    <w:rsid w:val="00B21610"/>
    <w:rsid w:val="00B37122"/>
    <w:rsid w:val="00B4694D"/>
    <w:rsid w:val="00B52236"/>
    <w:rsid w:val="00B52583"/>
    <w:rsid w:val="00B52896"/>
    <w:rsid w:val="00B57D22"/>
    <w:rsid w:val="00B913BE"/>
    <w:rsid w:val="00B9171E"/>
    <w:rsid w:val="00B95236"/>
    <w:rsid w:val="00B96BD9"/>
    <w:rsid w:val="00B96F62"/>
    <w:rsid w:val="00B9759B"/>
    <w:rsid w:val="00BA1B01"/>
    <w:rsid w:val="00BA2641"/>
    <w:rsid w:val="00BA6F46"/>
    <w:rsid w:val="00BB37AA"/>
    <w:rsid w:val="00BC53A0"/>
    <w:rsid w:val="00BE0144"/>
    <w:rsid w:val="00BE62AD"/>
    <w:rsid w:val="00BE66AC"/>
    <w:rsid w:val="00BE76D8"/>
    <w:rsid w:val="00BF121F"/>
    <w:rsid w:val="00BF1F80"/>
    <w:rsid w:val="00C166EF"/>
    <w:rsid w:val="00C17EB0"/>
    <w:rsid w:val="00C24E3D"/>
    <w:rsid w:val="00C27F5F"/>
    <w:rsid w:val="00C30A0F"/>
    <w:rsid w:val="00C37E61"/>
    <w:rsid w:val="00C41B92"/>
    <w:rsid w:val="00C44CC7"/>
    <w:rsid w:val="00C57E52"/>
    <w:rsid w:val="00C65739"/>
    <w:rsid w:val="00C70F1B"/>
    <w:rsid w:val="00C71A47"/>
    <w:rsid w:val="00C7464C"/>
    <w:rsid w:val="00C76679"/>
    <w:rsid w:val="00C8052A"/>
    <w:rsid w:val="00C85588"/>
    <w:rsid w:val="00C97D36"/>
    <w:rsid w:val="00CB586A"/>
    <w:rsid w:val="00CD6755"/>
    <w:rsid w:val="00CD6856"/>
    <w:rsid w:val="00CD6D8B"/>
    <w:rsid w:val="00CD79AB"/>
    <w:rsid w:val="00CE0089"/>
    <w:rsid w:val="00CE40D3"/>
    <w:rsid w:val="00CE6740"/>
    <w:rsid w:val="00CE793C"/>
    <w:rsid w:val="00CF193C"/>
    <w:rsid w:val="00CF22EF"/>
    <w:rsid w:val="00D173F1"/>
    <w:rsid w:val="00D30C6B"/>
    <w:rsid w:val="00D74CB0"/>
    <w:rsid w:val="00D7635C"/>
    <w:rsid w:val="00D8295D"/>
    <w:rsid w:val="00D86224"/>
    <w:rsid w:val="00D908F0"/>
    <w:rsid w:val="00DB49F4"/>
    <w:rsid w:val="00DC2A65"/>
    <w:rsid w:val="00DC38A6"/>
    <w:rsid w:val="00DC3A9B"/>
    <w:rsid w:val="00DC7510"/>
    <w:rsid w:val="00DE15F0"/>
    <w:rsid w:val="00DE24AA"/>
    <w:rsid w:val="00DE5663"/>
    <w:rsid w:val="00DE78AA"/>
    <w:rsid w:val="00DF3185"/>
    <w:rsid w:val="00DF553E"/>
    <w:rsid w:val="00DF6852"/>
    <w:rsid w:val="00E053D0"/>
    <w:rsid w:val="00E15994"/>
    <w:rsid w:val="00E3114E"/>
    <w:rsid w:val="00E31A70"/>
    <w:rsid w:val="00E35B02"/>
    <w:rsid w:val="00E379AE"/>
    <w:rsid w:val="00E66496"/>
    <w:rsid w:val="00E66B35"/>
    <w:rsid w:val="00E66E10"/>
    <w:rsid w:val="00E674CB"/>
    <w:rsid w:val="00E769F6"/>
    <w:rsid w:val="00E8407C"/>
    <w:rsid w:val="00E84F3C"/>
    <w:rsid w:val="00E944C3"/>
    <w:rsid w:val="00E969FE"/>
    <w:rsid w:val="00EA012C"/>
    <w:rsid w:val="00EB525A"/>
    <w:rsid w:val="00EC6A55"/>
    <w:rsid w:val="00ED0288"/>
    <w:rsid w:val="00ED290B"/>
    <w:rsid w:val="00EE0EBD"/>
    <w:rsid w:val="00EE52CB"/>
    <w:rsid w:val="00EF581D"/>
    <w:rsid w:val="00EF7FD8"/>
    <w:rsid w:val="00F06A36"/>
    <w:rsid w:val="00F06F59"/>
    <w:rsid w:val="00F07FC0"/>
    <w:rsid w:val="00F17988"/>
    <w:rsid w:val="00F469F0"/>
    <w:rsid w:val="00F53273"/>
    <w:rsid w:val="00F640D3"/>
    <w:rsid w:val="00F755E4"/>
    <w:rsid w:val="00F77D02"/>
    <w:rsid w:val="00F80F35"/>
    <w:rsid w:val="00F84993"/>
    <w:rsid w:val="00F8715B"/>
    <w:rsid w:val="00F871AB"/>
    <w:rsid w:val="00FA4006"/>
    <w:rsid w:val="00FB3A86"/>
    <w:rsid w:val="00FB45E9"/>
    <w:rsid w:val="00FD1F8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E66AC"/>
    <w:rPr>
      <w:b/>
      <w:bCs/>
    </w:rPr>
  </w:style>
  <w:style w:type="paragraph" w:styleId="Bibliography">
    <w:name w:val="Bibliography"/>
    <w:basedOn w:val="Normal"/>
    <w:next w:val="Normal"/>
    <w:uiPriority w:val="37"/>
    <w:unhideWhenUsed/>
    <w:rsid w:val="00B57D22"/>
  </w:style>
  <w:style w:type="paragraph" w:styleId="HTMLPreformatted">
    <w:name w:val="HTML Preformatted"/>
    <w:basedOn w:val="Normal"/>
    <w:link w:val="HTMLPreformattedChar"/>
    <w:semiHidden/>
    <w:unhideWhenUsed/>
    <w:rsid w:val="00427A6C"/>
    <w:rPr>
      <w:rFonts w:ascii="Consolas" w:hAnsi="Consolas"/>
    </w:rPr>
  </w:style>
  <w:style w:type="character" w:customStyle="1" w:styleId="HTMLPreformattedChar">
    <w:name w:val="HTML Preformatted Char"/>
    <w:basedOn w:val="DefaultParagraphFont"/>
    <w:link w:val="HTMLPreformatted"/>
    <w:semiHidden/>
    <w:rsid w:val="00427A6C"/>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BA12-DF78-49C3-B00E-03D3C482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208</TotalTime>
  <Pages>12</Pages>
  <Words>4848</Words>
  <Characters>27640</Characters>
  <Application>Microsoft Office Word</Application>
  <DocSecurity>0</DocSecurity>
  <Lines>230</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32424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213</cp:revision>
  <cp:lastPrinted>1999-07-06T11:00:00Z</cp:lastPrinted>
  <dcterms:created xsi:type="dcterms:W3CDTF">2014-10-25T14:34:00Z</dcterms:created>
  <dcterms:modified xsi:type="dcterms:W3CDTF">2025-10-16T10:14:00Z</dcterms:modified>
</cp:coreProperties>
</file>