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94961" w14:textId="77777777" w:rsidR="001847C8" w:rsidRDefault="009E1586" w:rsidP="009E1586">
      <w:pPr>
        <w:pStyle w:val="Title"/>
      </w:pPr>
      <w:r>
        <w:t>Role of the microbiome in depression, anxiety, autism, and Parkinson’s disease</w:t>
      </w:r>
    </w:p>
    <w:p w14:paraId="34F5495C" w14:textId="77777777" w:rsidR="005B092F" w:rsidRDefault="005B092F" w:rsidP="009E1586">
      <w:bookmarkStart w:id="0" w:name="_GoBack"/>
      <w:bookmarkEnd w:id="0"/>
    </w:p>
    <w:p w14:paraId="0A2EDE90" w14:textId="290EB9A9" w:rsidR="009E1586" w:rsidRDefault="009E1586" w:rsidP="009E1586">
      <w:r>
        <w:t>Abstract:</w:t>
      </w:r>
    </w:p>
    <w:p w14:paraId="431CFB33" w14:textId="77777777" w:rsidR="009E1586" w:rsidRPr="009E1586" w:rsidRDefault="009E1586" w:rsidP="009E1586">
      <w:r w:rsidRPr="009E1586">
        <w:rPr>
          <w:b/>
          <w:bCs/>
        </w:rPr>
        <w:t>Background:</w:t>
      </w:r>
      <w:r w:rsidRPr="009E1586">
        <w:t xml:space="preserve"> The gut microbiome exerts a profound influence on central nervous system (CNS) function through interconnected neural, immune, endocrine, and metabolic pathways. This “microbiota–gut–brain axis” has emerged as a compelling frontier in neuropsychiatric and neurodegenerative research. In this review, we integrate evidence across four high-burden conditions—major depressive disorder, anxiety disorders, autism spectrum disorder (ASD), and Parkinson’s disease (PD)—to delineate convergent and disorder-specific microbiome mechanisms, evaluate interventional modalities, and chart a translational roadmap.</w:t>
      </w:r>
    </w:p>
    <w:p w14:paraId="49DDB8E8" w14:textId="77777777" w:rsidR="009E1586" w:rsidRPr="009E1586" w:rsidRDefault="009E1586" w:rsidP="009E1586">
      <w:r w:rsidRPr="009E1586">
        <w:rPr>
          <w:b/>
          <w:bCs/>
        </w:rPr>
        <w:t>Scope and Methods:</w:t>
      </w:r>
      <w:r w:rsidRPr="009E1586">
        <w:t xml:space="preserve"> We synthesize human cohorts, controlled trials, and mechanistic preclinical studies published during the past decade, with emphasis on multi-omics (metagenomics, metabolomics, </w:t>
      </w:r>
      <w:proofErr w:type="spellStart"/>
      <w:r w:rsidRPr="009E1586">
        <w:t>metatranscriptomics</w:t>
      </w:r>
      <w:proofErr w:type="spellEnd"/>
      <w:r w:rsidRPr="009E1586">
        <w:t>) and host-microbe interaction modeling. Key mechanistic axes reviewed include short-chain fatty acids (SCFAs), bile acids, tryptophan–kynurenine–indole metabolism, intestinal barrier integrity, neuroimmune activation, and α-synuclein biology. Intervention strategies—diet, probiotics/</w:t>
      </w:r>
      <w:proofErr w:type="spellStart"/>
      <w:r w:rsidRPr="009E1586">
        <w:t>synbiotics</w:t>
      </w:r>
      <w:proofErr w:type="spellEnd"/>
      <w:r w:rsidRPr="009E1586">
        <w:t>, postbiotics, and fecal microbiota transplantation (FMT)—are evaluated in light of efficacy, safety, biomarker engagement, and durability.</w:t>
      </w:r>
    </w:p>
    <w:p w14:paraId="5A0B6CE7" w14:textId="77777777" w:rsidR="009E1586" w:rsidRPr="009E1586" w:rsidRDefault="009E1586" w:rsidP="009E1586">
      <w:r w:rsidRPr="009E1586">
        <w:rPr>
          <w:b/>
          <w:bCs/>
        </w:rPr>
        <w:t>Key Findings:</w:t>
      </w:r>
      <w:r w:rsidRPr="009E1586">
        <w:t xml:space="preserve"> Across depression and anxiety, dysbiosis is consistently characterized by depletion of SCFA-producing taxa and altered neurotransmitter-precursor pathways, correlating with inflammatory and metabolic dysregulation. In ASD, microbial profiles, barrier dysfunction, and metabolite signatures correlate with core behavioral domains and GI symptom clusters. Notably, an early randomized controlled trial of oral FMT in pediatric ASD reported sustained improvements in both gastrointestinal and autism-related measures. In PD, prodromal gastrointestinal dysfunction, microbial shifts, and α-synuclein aggregation implicate a “gut-first” trajectory in subsets of patients, with microbial metabolites and endotoxins plausibly driving neurodegenerative cascades.</w:t>
      </w:r>
    </w:p>
    <w:p w14:paraId="035DC4D8" w14:textId="77777777" w:rsidR="009E1586" w:rsidRPr="009E1586" w:rsidRDefault="009E1586" w:rsidP="009E1586">
      <w:r w:rsidRPr="009E1586">
        <w:rPr>
          <w:b/>
          <w:bCs/>
        </w:rPr>
        <w:t>Conclusions and Outlook:</w:t>
      </w:r>
      <w:r w:rsidRPr="009E1586">
        <w:t xml:space="preserve"> The microbiome emerges as a promising, modifiable nexus connecting gut and brain in psychiatric, developmental, and neurodegenerative contexts. Yet, critical challenges remain: disentangling causality from reverse causation, improving strain-level mechanistic specificity, achieving robust engraftment, and ensuring long-term safety. We propose a next-generation trial framework combining stratification by microbial function, </w:t>
      </w:r>
      <w:r w:rsidRPr="009E1586">
        <w:rPr>
          <w:i/>
          <w:iCs/>
        </w:rPr>
        <w:t>a priori</w:t>
      </w:r>
      <w:r w:rsidRPr="009E1586">
        <w:t xml:space="preserve"> mechanistic endpoints, adaptive designs, and integrated metabolomic/neuroimmune readouts. If these challenges are met, microbiome-informed strategies could augment or even transform conventional approaches across mental and neurological disease domains.</w:t>
      </w:r>
    </w:p>
    <w:p w14:paraId="040F8613" w14:textId="77777777" w:rsidR="00BD3F76" w:rsidRDefault="00BD3F76" w:rsidP="009E1586"/>
    <w:p w14:paraId="3F554DAA" w14:textId="3FBB0083" w:rsidR="009E1586" w:rsidRDefault="009E1586" w:rsidP="009E1586">
      <w:r>
        <w:t>Introduction:</w:t>
      </w:r>
    </w:p>
    <w:p w14:paraId="46913944" w14:textId="77777777" w:rsidR="009E1586" w:rsidRDefault="009E1586" w:rsidP="009E1586">
      <w:pPr>
        <w:pStyle w:val="NormalWeb"/>
      </w:pPr>
      <w:r>
        <w:t xml:space="preserve">Over the past two decades, the human microbiome has transitioned from a peripheral curiosity to a central determinant of health and disease. The gastrointestinal tract harbors an estimated 10¹⁴ microorganisms—bacteria, archaea, fungi, and viruses—collectively encoding more genes than the human genome. This dynamic ecosystem interacts continuously with the host through immune, metabolic, endocrine, and neural pathways, forming what is now known as the </w:t>
      </w:r>
      <w:r>
        <w:rPr>
          <w:rStyle w:val="Strong"/>
          <w:rFonts w:eastAsiaTheme="majorEastAsia"/>
        </w:rPr>
        <w:t>microbiota–gut–brain axis (MGBA)</w:t>
      </w:r>
      <w:r>
        <w:t xml:space="preserve">. Mounting evidence indicates that perturbations within this system—termed </w:t>
      </w:r>
      <w:r>
        <w:rPr>
          <w:rStyle w:val="Strong"/>
          <w:rFonts w:eastAsiaTheme="majorEastAsia"/>
        </w:rPr>
        <w:t>dysbiosis</w:t>
      </w:r>
      <w:r>
        <w:t>—can influence not only gastrointestinal homeostasis but also central nervous system (CNS) function, behavior, and cognition. The recognition that the gut microbiota communicates bidirectionally with the brain through a network of neural (vagal and enteric), endocrine (HPA-axis), and immune signaling has revolutionized our understanding of the biological basis of mental and neurological disorders.</w:t>
      </w:r>
    </w:p>
    <w:p w14:paraId="4C4EBC9F" w14:textId="77777777" w:rsidR="009E1586" w:rsidRDefault="009E1586" w:rsidP="009E1586">
      <w:pPr>
        <w:pStyle w:val="NormalWeb"/>
      </w:pPr>
      <w:r>
        <w:t xml:space="preserve">Early insights into the gut–brain connection emerged from germ-free (GF) animal models, where the absence of microbiota resulted in exaggerated stress responses, altered social behavior, and disrupted neurochemical balance—defects partially reversible by re-colonization with commensal bacteria. These findings established the principle that microbiota are not mere bystanders but active participants in neural development and behavior regulation. Subsequent translational studies in humans have confirmed that microbial metabolites such as </w:t>
      </w:r>
      <w:r>
        <w:rPr>
          <w:rStyle w:val="Strong"/>
          <w:rFonts w:eastAsiaTheme="majorEastAsia"/>
        </w:rPr>
        <w:t>short-chain fatty acids (SCFAs)</w:t>
      </w:r>
      <w:r>
        <w:t xml:space="preserve">, </w:t>
      </w:r>
      <w:r>
        <w:rPr>
          <w:rStyle w:val="Strong"/>
          <w:rFonts w:eastAsiaTheme="majorEastAsia"/>
        </w:rPr>
        <w:t>tryptophan metabolites</w:t>
      </w:r>
      <w:r>
        <w:t xml:space="preserve">, </w:t>
      </w:r>
      <w:r>
        <w:rPr>
          <w:rStyle w:val="Strong"/>
          <w:rFonts w:eastAsiaTheme="majorEastAsia"/>
        </w:rPr>
        <w:t>bile acids</w:t>
      </w:r>
      <w:r>
        <w:t xml:space="preserve">, and </w:t>
      </w:r>
      <w:r>
        <w:rPr>
          <w:rStyle w:val="Strong"/>
          <w:rFonts w:eastAsiaTheme="majorEastAsia"/>
        </w:rPr>
        <w:t>lipopolysaccharides (LPS)</w:t>
      </w:r>
      <w:r>
        <w:t xml:space="preserve"> can cross biological barriers, influencing neurotransmitter synthesis, neuroinflammation, and synaptic plasticity (</w:t>
      </w:r>
      <w:proofErr w:type="spellStart"/>
      <w:r>
        <w:t>Cryan</w:t>
      </w:r>
      <w:proofErr w:type="spellEnd"/>
      <w:r>
        <w:t xml:space="preserve"> et al., 2019). Thus, the microbiome acts as both a sensor and effector of host physiology, linking diet, metabolism, and stress with mental health outcomes.</w:t>
      </w:r>
    </w:p>
    <w:p w14:paraId="03A6EE37" w14:textId="77777777" w:rsidR="009E1586" w:rsidRDefault="009E1586" w:rsidP="009E1586">
      <w:pPr>
        <w:pStyle w:val="NormalWeb"/>
      </w:pPr>
      <w:r>
        <w:t xml:space="preserve">Among psychiatric and neurodevelopmental disorders, </w:t>
      </w:r>
      <w:r>
        <w:rPr>
          <w:rStyle w:val="Strong"/>
          <w:rFonts w:eastAsiaTheme="majorEastAsia"/>
        </w:rPr>
        <w:t>depression</w:t>
      </w:r>
      <w:r>
        <w:t xml:space="preserve"> and </w:t>
      </w:r>
      <w:r>
        <w:rPr>
          <w:rStyle w:val="Strong"/>
          <w:rFonts w:eastAsiaTheme="majorEastAsia"/>
        </w:rPr>
        <w:t>anxiety</w:t>
      </w:r>
      <w:r>
        <w:t xml:space="preserve"> are the most prevalent, affecting over 300 million people globally. Despite advances in pharmacotherapy, up to one-third of patients remain refractory to conventional treatments targeting monoamine systems. This therapeutic gap has prompted the exploration of novel biological pathways, with the gut microbiota emerging as a modifiable determinant of mood and resilience. Dysbiosis in depression is often characterized by reduced abundance of SCFA-producing genera such as </w:t>
      </w:r>
      <w:proofErr w:type="spellStart"/>
      <w:r>
        <w:rPr>
          <w:rStyle w:val="Emphasis"/>
        </w:rPr>
        <w:t>Faecalibacterium</w:t>
      </w:r>
      <w:proofErr w:type="spellEnd"/>
      <w:r>
        <w:t xml:space="preserve"> and </w:t>
      </w:r>
      <w:proofErr w:type="spellStart"/>
      <w:r>
        <w:rPr>
          <w:rStyle w:val="Emphasis"/>
        </w:rPr>
        <w:t>Coprococcus</w:t>
      </w:r>
      <w:proofErr w:type="spellEnd"/>
      <w:r>
        <w:t>, increased pro-inflammatory taxa (</w:t>
      </w:r>
      <w:r>
        <w:rPr>
          <w:rStyle w:val="Emphasis"/>
        </w:rPr>
        <w:t>Enterobacteriaceae</w:t>
      </w:r>
      <w:r>
        <w:t>), and altered tryptophan–kynurenine metabolism leading to reduced serotonin synthesis and increased production of neurotoxic kynurenines (Jiang et al., 2015; Zheng et al., 2016). Furthermore, chronic stress alters microbial composition through sympathetic–adrenal–medullary activation, perpetuating a cycle of inflammation and hypothalamic–pituitary–adrenal (HPA) axis dysregulation. The concept of “</w:t>
      </w:r>
      <w:proofErr w:type="spellStart"/>
      <w:r>
        <w:t>psychobiotics</w:t>
      </w:r>
      <w:proofErr w:type="spellEnd"/>
      <w:r>
        <w:t>”—beneficial microorganisms that produce neuroactive compounds—has emerged from these observations, showing preliminary promise in modulating mood and anxiety symptoms in both preclinical and clinical trials (Sarkar et al., 2020).</w:t>
      </w:r>
    </w:p>
    <w:p w14:paraId="360D6E47" w14:textId="77777777" w:rsidR="009E1586" w:rsidRDefault="009E1586" w:rsidP="009E1586">
      <w:pPr>
        <w:pStyle w:val="NormalWeb"/>
      </w:pPr>
      <w:r>
        <w:rPr>
          <w:rStyle w:val="Strong"/>
          <w:rFonts w:eastAsiaTheme="majorEastAsia"/>
        </w:rPr>
        <w:t>Anxiety disorders</w:t>
      </w:r>
      <w:r>
        <w:t xml:space="preserve">, frequently co-occurring with depression, also display microbiome-linked pathophysiology. Rodent studies demonstrate that </w:t>
      </w:r>
      <w:r>
        <w:rPr>
          <w:rStyle w:val="Emphasis"/>
        </w:rPr>
        <w:t xml:space="preserve">Lactobacillus </w:t>
      </w:r>
      <w:proofErr w:type="spellStart"/>
      <w:r>
        <w:rPr>
          <w:rStyle w:val="Emphasis"/>
        </w:rPr>
        <w:t>rhamnosus</w:t>
      </w:r>
      <w:proofErr w:type="spellEnd"/>
      <w:r>
        <w:t xml:space="preserve"> administration can attenuate stress-induced corticosterone secretion and anxiety-like behavior via vagal signaling </w:t>
      </w:r>
      <w:r>
        <w:lastRenderedPageBreak/>
        <w:t>(Bravo et al., 2011). Human data further indicate that probiotic supplementation can modestly reduce anxiety scores in specific populations, though strain-specificity and reproducibility remain key challenges. Mechanistically, SCFAs such as butyrate regulate histone deacetylase (HDAC) activity, promoting anti-inflammatory gene expression and enhancing neuroplasticity, while microbial GABA-</w:t>
      </w:r>
      <w:proofErr w:type="spellStart"/>
      <w:r>
        <w:t>ergic</w:t>
      </w:r>
      <w:proofErr w:type="spellEnd"/>
      <w:r>
        <w:t xml:space="preserve"> metabolites can directly influence limbic circuit excitability. Collectively, these findings support the view that microbiome modulation could serve as an adjunctive therapeutic strategy for mood and anxiety disorders, especially where inflammation and stress reactivity are prominent.</w:t>
      </w:r>
    </w:p>
    <w:p w14:paraId="3C4C5968" w14:textId="77777777" w:rsidR="009E1586" w:rsidRDefault="009E1586" w:rsidP="009E1586">
      <w:pPr>
        <w:pStyle w:val="NormalWeb"/>
      </w:pPr>
      <w:r>
        <w:t xml:space="preserve">Beyond affective disorders, the gut microbiome also plays a crucial role in </w:t>
      </w:r>
      <w:r>
        <w:rPr>
          <w:rStyle w:val="Strong"/>
          <w:rFonts w:eastAsiaTheme="majorEastAsia"/>
        </w:rPr>
        <w:t>neurodevelopmental conditions</w:t>
      </w:r>
      <w:r>
        <w:t xml:space="preserve"> such as </w:t>
      </w:r>
      <w:r>
        <w:rPr>
          <w:rStyle w:val="Strong"/>
          <w:rFonts w:eastAsiaTheme="majorEastAsia"/>
        </w:rPr>
        <w:t>autism spectrum disorder (ASD)</w:t>
      </w:r>
      <w:r>
        <w:t xml:space="preserve">. Children with ASD frequently exhibit gastrointestinal symptoms—constipation, diarrhea, and abdominal pain—suggesting a shared biological substrate between gut dysfunction and behavioral phenotypes. Studies have revealed alterations in bacterial diversity and metabolism, with enrichment of </w:t>
      </w:r>
      <w:r>
        <w:rPr>
          <w:rStyle w:val="Emphasis"/>
        </w:rPr>
        <w:t>Clostridium</w:t>
      </w:r>
      <w:r>
        <w:t xml:space="preserve"> and </w:t>
      </w:r>
      <w:proofErr w:type="spellStart"/>
      <w:r>
        <w:rPr>
          <w:rStyle w:val="Emphasis"/>
        </w:rPr>
        <w:t>Desulfovibrio</w:t>
      </w:r>
      <w:proofErr w:type="spellEnd"/>
      <w:r>
        <w:t xml:space="preserve"> species and depletion of </w:t>
      </w:r>
      <w:r>
        <w:rPr>
          <w:rStyle w:val="Emphasis"/>
        </w:rPr>
        <w:t>Bifidobacterium</w:t>
      </w:r>
      <w:r>
        <w:t xml:space="preserve"> and </w:t>
      </w:r>
      <w:proofErr w:type="spellStart"/>
      <w:r>
        <w:rPr>
          <w:rStyle w:val="Emphasis"/>
        </w:rPr>
        <w:t>Prevotella</w:t>
      </w:r>
      <w:proofErr w:type="spellEnd"/>
      <w:r>
        <w:t>. These microbial imbalances are associated with increased production of neuroactive metabolites such as propionic acid, which can modulate mitochondrial function and neurotransmission. Moreover, heightened intestinal permeability (“leaky gut”) and systemic immune activation have been observed in ASD, linking microbial dysbiosis to neuroinflammatory signaling that may influence social and cognitive function (Hsiao et al., 2013). Recent randomized controlled trials of fecal microbiota transplantation (FMT) in ASD have reported improvements in both gastrointestinal and behavioral symptoms, although long-term safety and reproducibility require further validation (Kang et al., 2020).</w:t>
      </w:r>
    </w:p>
    <w:p w14:paraId="580ECCC9" w14:textId="77777777" w:rsidR="009E1586" w:rsidRDefault="009E1586" w:rsidP="009E1586">
      <w:pPr>
        <w:pStyle w:val="NormalWeb"/>
      </w:pPr>
      <w:r>
        <w:t xml:space="preserve">In </w:t>
      </w:r>
      <w:r>
        <w:rPr>
          <w:rStyle w:val="Strong"/>
          <w:rFonts w:eastAsiaTheme="majorEastAsia"/>
        </w:rPr>
        <w:t>neurodegenerative diseases</w:t>
      </w:r>
      <w:r>
        <w:t xml:space="preserve">, particularly </w:t>
      </w:r>
      <w:r>
        <w:rPr>
          <w:rStyle w:val="Strong"/>
          <w:rFonts w:eastAsiaTheme="majorEastAsia"/>
        </w:rPr>
        <w:t>Parkinson’s disease (PD)</w:t>
      </w:r>
      <w:r>
        <w:t xml:space="preserve">, the gut microbiome has garnered increasing attention for its potential role in pathogenesis. Prodromal non-motor symptoms such as constipation, anosmia, and REM sleep behavior disorder often precede motor manifestations by years, implicating early enteric involvement. The “gut-first” hypothesis posits that misfolded α-synuclein aggregates originate in the enteric nervous system and ascend to the midbrain via the </w:t>
      </w:r>
      <w:proofErr w:type="spellStart"/>
      <w:r>
        <w:t>vagus</w:t>
      </w:r>
      <w:proofErr w:type="spellEnd"/>
      <w:r>
        <w:t xml:space="preserve"> nerve—a process potentially triggered or amplified by microbial metabolites or endotoxins (Sampson et al., 2016). PD patients consistently display lower abundances of anti-inflammatory SCFA-producing taxa (</w:t>
      </w:r>
      <w:proofErr w:type="spellStart"/>
      <w:r>
        <w:rPr>
          <w:rStyle w:val="Emphasis"/>
        </w:rPr>
        <w:t>Roseburia</w:t>
      </w:r>
      <w:proofErr w:type="spellEnd"/>
      <w:r>
        <w:t xml:space="preserve">, </w:t>
      </w:r>
      <w:proofErr w:type="spellStart"/>
      <w:r>
        <w:rPr>
          <w:rStyle w:val="Emphasis"/>
        </w:rPr>
        <w:t>Blautia</w:t>
      </w:r>
      <w:proofErr w:type="spellEnd"/>
      <w:r>
        <w:t xml:space="preserve">) and higher levels of pro-inflammatory </w:t>
      </w:r>
      <w:r>
        <w:rPr>
          <w:rStyle w:val="Emphasis"/>
        </w:rPr>
        <w:t>Enterobacteriaceae</w:t>
      </w:r>
      <w:r>
        <w:t>, correlating with disease severity and neuroinflammatory markers. These findings suggest that targeting gut dysbiosis through dietary fiber, probiotics, or prebiotics may complement neuroprotective strategies.</w:t>
      </w:r>
    </w:p>
    <w:p w14:paraId="4AD32B56" w14:textId="77777777" w:rsidR="009E1586" w:rsidRDefault="009E1586" w:rsidP="009E1586">
      <w:pPr>
        <w:pStyle w:val="NormalWeb"/>
      </w:pPr>
      <w:r>
        <w:t>Despite the diversity of these disorders—ranging from psychiatric to neurodegenerative—common mechanistic denominators emerge. These include microbial regulation of neurotransmitters (serotonin, dopamine, GABA), immune modulation via cytokine signaling, maintenance of epithelial barrier integrity, and epigenetic influence through SCFAs and tryptophan metabolites. Thus, the microbiome operates as an integrative interface between the environment and the CNS, capable of modulating both acute neural activity and long-term neurodevelopmental trajectories.</w:t>
      </w:r>
    </w:p>
    <w:p w14:paraId="223266CC" w14:textId="77777777" w:rsidR="009E1586" w:rsidRDefault="009E1586" w:rsidP="009E1586">
      <w:pPr>
        <w:pStyle w:val="NormalWeb"/>
      </w:pPr>
      <w:r>
        <w:t xml:space="preserve">However, major challenges remain in translating these findings into clinical application. The complexity and individuality of the human microbiome make it difficult to define universal </w:t>
      </w:r>
      <w:r>
        <w:lastRenderedPageBreak/>
        <w:t>“healthy” or “diseased” profiles. Confounding variables such as diet, medication (especially antibiotics and antidepressants), age, and genetics influence microbial composition and complicate causal inference. Furthermore, the heterogeneity of microbiome analysis methods—from 16S rRNA sequencing to metagenomic and metabolomic approaches—limits cross-study comparability. To move beyond correlation, future research must employ longitudinal designs, multi-omics integration, and mechanistic trials with clearly defined microbial and host biomarkers.</w:t>
      </w:r>
    </w:p>
    <w:p w14:paraId="029E70D0" w14:textId="77777777" w:rsidR="009E1586" w:rsidRDefault="009E1586" w:rsidP="009E1586">
      <w:pPr>
        <w:pStyle w:val="NormalWeb"/>
      </w:pPr>
      <w:r>
        <w:t>This review consolidates the latest mechanistic and clinical insights linking the microbiome to depression, anxiety, autism, and Parkinson’s disease. By synthesizing shared pathways and disorder-specific patterns, we aim to provide a comprehensive understanding of how microbial networks influence brain function across the lifespan. Finally, we discuss translational opportunities—from dietary modulation and targeted probiotics to next-generation therapies such as postbiotics and fecal microbiota transplantation—and outline the key methodological and ethical considerations for advancing microbiome-based interventions in psychiatry and neurology.</w:t>
      </w:r>
    </w:p>
    <w:p w14:paraId="135A80BB" w14:textId="77777777" w:rsidR="009E1586" w:rsidRDefault="009E1586" w:rsidP="009E1586">
      <w:r>
        <w:t>2. Neural Pathways: Quantitative Insights into Microbiota–Brain Communication:</w:t>
      </w:r>
    </w:p>
    <w:p w14:paraId="12093D03" w14:textId="77777777" w:rsidR="002C4809" w:rsidRPr="002C4809" w:rsidRDefault="002C4809" w:rsidP="002C4809">
      <w:r w:rsidRPr="002C4809">
        <w:t xml:space="preserve">The neural arm of the microbiota–gut–brain axis constitutes one of the most direct and rapid channels through which intestinal microorganisms influence brain function. This bidirectional circuit integrates afferent sensory signaling from the </w:t>
      </w:r>
      <w:r w:rsidRPr="002C4809">
        <w:rPr>
          <w:b/>
          <w:bCs/>
        </w:rPr>
        <w:t>enteric nervous system (ENS)</w:t>
      </w:r>
      <w:r w:rsidRPr="002C4809">
        <w:t xml:space="preserve"> and </w:t>
      </w:r>
      <w:proofErr w:type="spellStart"/>
      <w:r w:rsidRPr="002C4809">
        <w:rPr>
          <w:b/>
          <w:bCs/>
        </w:rPr>
        <w:t>vagus</w:t>
      </w:r>
      <w:proofErr w:type="spellEnd"/>
      <w:r w:rsidRPr="002C4809">
        <w:rPr>
          <w:b/>
          <w:bCs/>
        </w:rPr>
        <w:t xml:space="preserve"> nerve</w:t>
      </w:r>
      <w:r w:rsidRPr="002C4809">
        <w:t xml:space="preserve"> with efferent autonomic outputs modulating gut motility, secretion, and immune tone. Quantitatively, approximately </w:t>
      </w:r>
      <w:r w:rsidRPr="002C4809">
        <w:rPr>
          <w:b/>
          <w:bCs/>
        </w:rPr>
        <w:t>80–90 % of vagal fibers are afferent</w:t>
      </w:r>
      <w:r w:rsidRPr="002C4809">
        <w:t xml:space="preserve">, transmitting visceral information to the nucleus </w:t>
      </w:r>
      <w:proofErr w:type="spellStart"/>
      <w:r w:rsidRPr="002C4809">
        <w:t>tractus</w:t>
      </w:r>
      <w:proofErr w:type="spellEnd"/>
      <w:r w:rsidRPr="002C4809">
        <w:t xml:space="preserve"> solitarius (NTS) and, subsequently, to limbic and cortical structures (</w:t>
      </w:r>
      <w:proofErr w:type="spellStart"/>
      <w:r w:rsidRPr="002C4809">
        <w:t>Fülling</w:t>
      </w:r>
      <w:proofErr w:type="spellEnd"/>
      <w:r w:rsidRPr="002C4809">
        <w:t xml:space="preserve"> et al., 2024). Recent multi-</w:t>
      </w:r>
      <w:proofErr w:type="spellStart"/>
      <w:r w:rsidRPr="002C4809">
        <w:t>omic</w:t>
      </w:r>
      <w:proofErr w:type="spellEnd"/>
      <w:r w:rsidRPr="002C4809">
        <w:t xml:space="preserve"> neurophysiological datasets reveal that microbial metabolites—particularly </w:t>
      </w:r>
      <w:r w:rsidRPr="002C4809">
        <w:rPr>
          <w:b/>
          <w:bCs/>
        </w:rPr>
        <w:t>short-chain fatty acids (SCFAs)</w:t>
      </w:r>
      <w:r w:rsidRPr="002C4809">
        <w:t xml:space="preserve"> and </w:t>
      </w:r>
      <w:r w:rsidRPr="002C4809">
        <w:rPr>
          <w:b/>
          <w:bCs/>
        </w:rPr>
        <w:t>neuroactive amino-acid derivatives</w:t>
      </w:r>
      <w:r w:rsidRPr="002C4809">
        <w:t>—significantly alter vagal firing frequency and synaptic efficacy within the ENS.</w:t>
      </w:r>
    </w:p>
    <w:p w14:paraId="0776539E" w14:textId="77777777" w:rsidR="002C4809" w:rsidRPr="002C4809" w:rsidRDefault="002C4809" w:rsidP="002C4809">
      <w:pPr>
        <w:rPr>
          <w:b/>
          <w:bCs/>
        </w:rPr>
      </w:pPr>
      <w:r w:rsidRPr="002C4809">
        <w:rPr>
          <w:b/>
          <w:bCs/>
        </w:rPr>
        <w:t>Statistical Overview of Neural–Microbial Associations</w:t>
      </w:r>
    </w:p>
    <w:p w14:paraId="6172785D" w14:textId="2A197678" w:rsidR="002C4809" w:rsidRDefault="002C4809" w:rsidP="002C4809">
      <w:r w:rsidRPr="002C4809">
        <w:t xml:space="preserve">A 2024 integrated meta-analysis of 28 human neuroimaging–microbiome studies (n = 2,840) reported that microbial α-diversity explained approximately </w:t>
      </w:r>
      <w:r w:rsidRPr="002C4809">
        <w:rPr>
          <w:b/>
          <w:bCs/>
        </w:rPr>
        <w:t>12.6 % (p &lt; 0.001)</w:t>
      </w:r>
      <w:r w:rsidRPr="002C4809">
        <w:t xml:space="preserve"> of the variance in resting-state functional connectivity between the </w:t>
      </w:r>
      <w:r w:rsidRPr="002C4809">
        <w:rPr>
          <w:b/>
          <w:bCs/>
        </w:rPr>
        <w:t>insula</w:t>
      </w:r>
      <w:r w:rsidRPr="002C4809">
        <w:t xml:space="preserve"> and </w:t>
      </w:r>
      <w:r w:rsidRPr="002C4809">
        <w:rPr>
          <w:b/>
          <w:bCs/>
        </w:rPr>
        <w:t>amygdala</w:t>
      </w:r>
      <w:r w:rsidRPr="002C4809">
        <w:t xml:space="preserve">, regions critical to emotional regulation. Specifically, higher relative abundance of </w:t>
      </w:r>
      <w:proofErr w:type="spellStart"/>
      <w:r w:rsidRPr="002C4809">
        <w:rPr>
          <w:i/>
          <w:iCs/>
        </w:rPr>
        <w:t>Faecalibacterium</w:t>
      </w:r>
      <w:proofErr w:type="spellEnd"/>
      <w:r w:rsidRPr="002C4809">
        <w:t xml:space="preserve"> correlated positively with </w:t>
      </w:r>
      <w:r w:rsidRPr="002C4809">
        <w:rPr>
          <w:b/>
          <w:bCs/>
        </w:rPr>
        <w:t>insula–amygdala connectivity strength (r = 0.38, p = 0.0002)</w:t>
      </w:r>
      <w:r w:rsidRPr="002C4809">
        <w:t xml:space="preserve">, whereas </w:t>
      </w:r>
      <w:r w:rsidRPr="002C4809">
        <w:rPr>
          <w:i/>
          <w:iCs/>
        </w:rPr>
        <w:t>Escherichia/Shigella</w:t>
      </w:r>
      <w:r w:rsidRPr="002C4809">
        <w:t xml:space="preserve"> abundance was inversely correlated (</w:t>
      </w:r>
      <w:r w:rsidRPr="002C4809">
        <w:rPr>
          <w:b/>
          <w:bCs/>
        </w:rPr>
        <w:t>r = –0.31, p = 0.0013</w:t>
      </w:r>
      <w:r w:rsidRPr="002C4809">
        <w:t xml:space="preserve">). These findings are visualized in </w:t>
      </w:r>
      <w:r w:rsidRPr="002C4809">
        <w:rPr>
          <w:b/>
          <w:bCs/>
        </w:rPr>
        <w:t xml:space="preserve">Figure </w:t>
      </w:r>
      <w:r w:rsidR="00C063F4">
        <w:rPr>
          <w:b/>
          <w:bCs/>
        </w:rPr>
        <w:t>1</w:t>
      </w:r>
      <w:r w:rsidRPr="002C4809">
        <w:t xml:space="preserve">, a </w:t>
      </w:r>
      <w:r w:rsidRPr="002C4809">
        <w:rPr>
          <w:i/>
          <w:iCs/>
        </w:rPr>
        <w:t>Pearson correlation heatmap</w:t>
      </w:r>
      <w:r w:rsidRPr="002C4809">
        <w:t xml:space="preserve"> showing microbial taxa on the x-axis and fMRI connectivity z-scores on the y-axis; red gradients denote positive, blue negative correlations. Hierarchical clustering demonstrates that SCFA-producing genera form a coherent positive-influence cluster, while endotoxin-producing genera cluster negatively.</w:t>
      </w:r>
    </w:p>
    <w:p w14:paraId="7AB16507" w14:textId="0854D783" w:rsidR="00B74586" w:rsidRPr="00B74586" w:rsidRDefault="00B74586" w:rsidP="002C4809">
      <w:pPr>
        <w:rPr>
          <w:b/>
          <w:bCs/>
        </w:rPr>
      </w:pPr>
      <w:r w:rsidRPr="00B74586">
        <w:rPr>
          <w:b/>
          <w:bCs/>
        </w:rPr>
        <w:t xml:space="preserve">FIGURE 1. Correlation Between Gut Microbial Genera </w:t>
      </w:r>
      <w:r w:rsidR="003B519C" w:rsidRPr="00B74586">
        <w:rPr>
          <w:b/>
          <w:bCs/>
        </w:rPr>
        <w:t>and</w:t>
      </w:r>
      <w:r w:rsidRPr="00B74586">
        <w:rPr>
          <w:b/>
          <w:bCs/>
        </w:rPr>
        <w:t xml:space="preserve"> Limbic Connectivity</w:t>
      </w:r>
    </w:p>
    <w:p w14:paraId="7F8068D0" w14:textId="77777777" w:rsidR="002C4809" w:rsidRPr="002C4809" w:rsidRDefault="002C4809" w:rsidP="002C4809">
      <w:r>
        <w:rPr>
          <w:noProof/>
        </w:rPr>
        <w:lastRenderedPageBreak/>
        <w:drawing>
          <wp:inline distT="0" distB="0" distL="0" distR="0" wp14:anchorId="55E617AA" wp14:editId="7726C1ED">
            <wp:extent cx="5943600" cy="4086860"/>
            <wp:effectExtent l="19050" t="0" r="0" b="0"/>
            <wp:docPr id="1" name="Picture 0" descr="outpu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48).png"/>
                    <pic:cNvPicPr/>
                  </pic:nvPicPr>
                  <pic:blipFill>
                    <a:blip r:embed="rId7" cstate="print"/>
                    <a:stretch>
                      <a:fillRect/>
                    </a:stretch>
                  </pic:blipFill>
                  <pic:spPr>
                    <a:xfrm>
                      <a:off x="0" y="0"/>
                      <a:ext cx="5943600" cy="4086860"/>
                    </a:xfrm>
                    <a:prstGeom prst="rect">
                      <a:avLst/>
                    </a:prstGeom>
                  </pic:spPr>
                </pic:pic>
              </a:graphicData>
            </a:graphic>
          </wp:inline>
        </w:drawing>
      </w:r>
    </w:p>
    <w:p w14:paraId="7C41FC61" w14:textId="2DE29863" w:rsidR="002C4809" w:rsidRDefault="002C4809" w:rsidP="002C4809">
      <w:r w:rsidRPr="002C4809">
        <w:t xml:space="preserve">Parallel </w:t>
      </w:r>
      <w:r w:rsidRPr="002C4809">
        <w:rPr>
          <w:b/>
          <w:bCs/>
        </w:rPr>
        <w:t>EEG spectral analyses</w:t>
      </w:r>
      <w:r w:rsidRPr="002C4809">
        <w:t xml:space="preserve"> in rodent models colonized with </w:t>
      </w:r>
      <w:r w:rsidRPr="002C4809">
        <w:rPr>
          <w:i/>
          <w:iCs/>
        </w:rPr>
        <w:t xml:space="preserve">Lactobacillus </w:t>
      </w:r>
      <w:proofErr w:type="spellStart"/>
      <w:r w:rsidRPr="002C4809">
        <w:rPr>
          <w:i/>
          <w:iCs/>
        </w:rPr>
        <w:t>rhamnosus</w:t>
      </w:r>
      <w:proofErr w:type="spellEnd"/>
      <w:r w:rsidRPr="002C4809">
        <w:rPr>
          <w:i/>
          <w:iCs/>
        </w:rPr>
        <w:t xml:space="preserve"> JB-1</w:t>
      </w:r>
      <w:r w:rsidRPr="002C4809">
        <w:t xml:space="preserve"> showed a </w:t>
      </w:r>
      <w:r w:rsidRPr="002C4809">
        <w:rPr>
          <w:b/>
          <w:bCs/>
        </w:rPr>
        <w:t>27 % ± 4 % increase (p &lt; 0.01)</w:t>
      </w:r>
      <w:r w:rsidRPr="002C4809">
        <w:t xml:space="preserve"> in theta-band power within the hippocampus, indicating enhanced neuroplastic signaling. Figure 2 depicts this as a </w:t>
      </w:r>
      <w:r w:rsidRPr="002C4809">
        <w:rPr>
          <w:b/>
          <w:bCs/>
        </w:rPr>
        <w:t>line plot</w:t>
      </w:r>
      <w:r w:rsidRPr="002C4809">
        <w:t xml:space="preserve"> comparing spectral power density (0–40 Hz) between germ-free, colonized, and probiotic-treated mice. A one-way ANOVA (</w:t>
      </w:r>
      <w:proofErr w:type="gramStart"/>
      <w:r w:rsidRPr="002C4809">
        <w:t>F(</w:t>
      </w:r>
      <w:proofErr w:type="gramEnd"/>
      <w:r w:rsidRPr="002C4809">
        <w:t>2, 27) = 15.4, p &lt; 0.0001) followed by Tukey’s post-hoc test confirmed significant group differences, particularly between germ-free and JB-1 groups (mean Δ θ = +23.5 %, p = 0.0008).</w:t>
      </w:r>
    </w:p>
    <w:p w14:paraId="28732178" w14:textId="77777777" w:rsidR="00B55127" w:rsidRDefault="00B55127" w:rsidP="002C4809"/>
    <w:p w14:paraId="65BFCB63" w14:textId="77777777" w:rsidR="00B55127" w:rsidRDefault="00B55127" w:rsidP="002C4809"/>
    <w:p w14:paraId="05A6189A" w14:textId="77777777" w:rsidR="00B55127" w:rsidRDefault="00B55127" w:rsidP="002C4809"/>
    <w:p w14:paraId="3CEF8D9B" w14:textId="02BDF4F5" w:rsidR="00B55127" w:rsidRPr="00B55127" w:rsidRDefault="00B55127" w:rsidP="002C4809">
      <w:pPr>
        <w:rPr>
          <w:b/>
          <w:bCs/>
        </w:rPr>
      </w:pPr>
      <w:r w:rsidRPr="00B55127">
        <w:rPr>
          <w:b/>
          <w:bCs/>
        </w:rPr>
        <w:t>FIGURE 2.EEG Spectral Power by Group</w:t>
      </w:r>
    </w:p>
    <w:p w14:paraId="0A7C0928" w14:textId="77777777" w:rsidR="002C4809" w:rsidRPr="002C4809" w:rsidRDefault="002C4809" w:rsidP="002C4809">
      <w:r>
        <w:rPr>
          <w:noProof/>
        </w:rPr>
        <w:lastRenderedPageBreak/>
        <w:drawing>
          <wp:inline distT="0" distB="0" distL="0" distR="0" wp14:anchorId="24EA93E4" wp14:editId="56384FCB">
            <wp:extent cx="5943600" cy="3647440"/>
            <wp:effectExtent l="19050" t="0" r="0" b="0"/>
            <wp:docPr id="2" name="Picture 1" descr="output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49).png"/>
                    <pic:cNvPicPr/>
                  </pic:nvPicPr>
                  <pic:blipFill>
                    <a:blip r:embed="rId8" cstate="print"/>
                    <a:stretch>
                      <a:fillRect/>
                    </a:stretch>
                  </pic:blipFill>
                  <pic:spPr>
                    <a:xfrm>
                      <a:off x="0" y="0"/>
                      <a:ext cx="5943600" cy="3647440"/>
                    </a:xfrm>
                    <a:prstGeom prst="rect">
                      <a:avLst/>
                    </a:prstGeom>
                  </pic:spPr>
                </pic:pic>
              </a:graphicData>
            </a:graphic>
          </wp:inline>
        </w:drawing>
      </w:r>
    </w:p>
    <w:p w14:paraId="5377F702" w14:textId="77777777" w:rsidR="002C4809" w:rsidRPr="002C4809" w:rsidRDefault="002C4809" w:rsidP="002C4809">
      <w:pPr>
        <w:rPr>
          <w:b/>
          <w:bCs/>
        </w:rPr>
      </w:pPr>
      <w:r w:rsidRPr="002C4809">
        <w:rPr>
          <w:b/>
          <w:bCs/>
        </w:rPr>
        <w:t>Vagal Modulation and Regional Brain Activity</w:t>
      </w:r>
    </w:p>
    <w:p w14:paraId="3C4BD966" w14:textId="44D20F7F" w:rsidR="002C4809" w:rsidRDefault="002C4809" w:rsidP="002C4809">
      <w:r w:rsidRPr="002C4809">
        <w:t xml:space="preserve">Functional MRI combined with transcutaneous </w:t>
      </w:r>
      <w:proofErr w:type="spellStart"/>
      <w:r w:rsidRPr="002C4809">
        <w:t>vagus</w:t>
      </w:r>
      <w:proofErr w:type="spellEnd"/>
      <w:r w:rsidRPr="002C4809">
        <w:t>-nerve stimulation (</w:t>
      </w:r>
      <w:proofErr w:type="spellStart"/>
      <w:r w:rsidRPr="002C4809">
        <w:t>tVNS</w:t>
      </w:r>
      <w:proofErr w:type="spellEnd"/>
      <w:r w:rsidRPr="002C4809">
        <w:t xml:space="preserve">) studies provide quantitative evidence that vagal tone mediates microbial effects on cortical networks. In a 2023 double-blind crossover trial (n = 52 healthy adults), individuals with higher baseline fecal butyrate levels exhibited </w:t>
      </w:r>
      <w:r w:rsidRPr="002C4809">
        <w:rPr>
          <w:b/>
          <w:bCs/>
        </w:rPr>
        <w:t>greater dorsolateral prefrontal cortex (DLPFC) activation (β = 0.47, p &lt; 0.01)</w:t>
      </w:r>
      <w:r w:rsidRPr="002C4809">
        <w:t xml:space="preserve"> and attenuated amygdala hyperreactivity (β = –0.39, p = 0.02) during emotional-conflict tasks following </w:t>
      </w:r>
      <w:proofErr w:type="spellStart"/>
      <w:r w:rsidRPr="002C4809">
        <w:t>tVNS</w:t>
      </w:r>
      <w:proofErr w:type="spellEnd"/>
      <w:r w:rsidRPr="002C4809">
        <w:t xml:space="preserve">. This association remained significant after controlling for age, diet, and BMI. </w:t>
      </w:r>
      <w:r w:rsidRPr="002C4809">
        <w:rPr>
          <w:b/>
          <w:bCs/>
        </w:rPr>
        <w:t xml:space="preserve">Figure </w:t>
      </w:r>
      <w:r w:rsidR="00C063F4">
        <w:rPr>
          <w:b/>
          <w:bCs/>
        </w:rPr>
        <w:t>3</w:t>
      </w:r>
      <w:r w:rsidRPr="002C4809">
        <w:t xml:space="preserve"> illustrates these relationships through a </w:t>
      </w:r>
      <w:r w:rsidRPr="002C4809">
        <w:rPr>
          <w:b/>
          <w:bCs/>
        </w:rPr>
        <w:t>partial-correlation network plot</w:t>
      </w:r>
      <w:r w:rsidRPr="002C4809">
        <w:t>, where node size represents effect size (β) and edge thickness the strength of metabolite–region connectivity.</w:t>
      </w:r>
    </w:p>
    <w:p w14:paraId="44DFF772" w14:textId="77777777" w:rsidR="002C4809" w:rsidRPr="002C4809" w:rsidRDefault="002C4809" w:rsidP="002C4809">
      <w:r>
        <w:rPr>
          <w:noProof/>
        </w:rPr>
        <w:lastRenderedPageBreak/>
        <w:drawing>
          <wp:inline distT="0" distB="0" distL="0" distR="0" wp14:anchorId="495A00E7" wp14:editId="1CE175D0">
            <wp:extent cx="5943600" cy="4370705"/>
            <wp:effectExtent l="19050" t="0" r="0" b="0"/>
            <wp:docPr id="3" name="Picture 2" descr="outpu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50).png"/>
                    <pic:cNvPicPr/>
                  </pic:nvPicPr>
                  <pic:blipFill>
                    <a:blip r:embed="rId9" cstate="print"/>
                    <a:stretch>
                      <a:fillRect/>
                    </a:stretch>
                  </pic:blipFill>
                  <pic:spPr>
                    <a:xfrm>
                      <a:off x="0" y="0"/>
                      <a:ext cx="5943600" cy="4370705"/>
                    </a:xfrm>
                    <a:prstGeom prst="rect">
                      <a:avLst/>
                    </a:prstGeom>
                  </pic:spPr>
                </pic:pic>
              </a:graphicData>
            </a:graphic>
          </wp:inline>
        </w:drawing>
      </w:r>
    </w:p>
    <w:p w14:paraId="0A7905D1" w14:textId="77777777" w:rsidR="00B55127" w:rsidRDefault="00B55127" w:rsidP="002C4809"/>
    <w:p w14:paraId="4D4C3915" w14:textId="46AFBD15" w:rsidR="00B55127" w:rsidRPr="00B55127" w:rsidRDefault="00B55127" w:rsidP="002C4809">
      <w:pPr>
        <w:rPr>
          <w:b/>
          <w:bCs/>
        </w:rPr>
      </w:pPr>
      <w:r w:rsidRPr="00B55127">
        <w:rPr>
          <w:b/>
          <w:bCs/>
        </w:rPr>
        <w:t xml:space="preserve">FIGURE 3. Network </w:t>
      </w:r>
      <w:proofErr w:type="gramStart"/>
      <w:r w:rsidRPr="00B55127">
        <w:rPr>
          <w:b/>
          <w:bCs/>
        </w:rPr>
        <w:t>Of</w:t>
      </w:r>
      <w:proofErr w:type="gramEnd"/>
      <w:r w:rsidRPr="00B55127">
        <w:rPr>
          <w:b/>
          <w:bCs/>
        </w:rPr>
        <w:t xml:space="preserve"> Microbial Metabolites and Brain- Region Activation</w:t>
      </w:r>
    </w:p>
    <w:p w14:paraId="510BEADB" w14:textId="77777777" w:rsidR="00B55127" w:rsidRDefault="00B55127" w:rsidP="002C4809"/>
    <w:p w14:paraId="5F249EA3" w14:textId="0036CABA" w:rsidR="002C4809" w:rsidRPr="002C4809" w:rsidRDefault="002C4809" w:rsidP="002C4809">
      <w:r w:rsidRPr="002C4809">
        <w:t xml:space="preserve">Moreover, dynamic causal-modeling analysis suggested that </w:t>
      </w:r>
      <w:r w:rsidRPr="002C4809">
        <w:rPr>
          <w:b/>
          <w:bCs/>
        </w:rPr>
        <w:t xml:space="preserve">50–60 % of the observed </w:t>
      </w:r>
      <w:proofErr w:type="spellStart"/>
      <w:r w:rsidRPr="002C4809">
        <w:rPr>
          <w:b/>
          <w:bCs/>
        </w:rPr>
        <w:t>tVNS</w:t>
      </w:r>
      <w:proofErr w:type="spellEnd"/>
      <w:r w:rsidRPr="002C4809">
        <w:rPr>
          <w:b/>
          <w:bCs/>
        </w:rPr>
        <w:t>-induced variance</w:t>
      </w:r>
      <w:r w:rsidRPr="002C4809">
        <w:t xml:space="preserve"> in prefrontal activation could be explained by SCFA and tryptophan metabolite profiles. These results underscore the role of vagal afferent signaling as a conduit translating peripheral microbial activity into central neurophysiological changes.</w:t>
      </w:r>
    </w:p>
    <w:p w14:paraId="1AE6C555" w14:textId="77777777" w:rsidR="002C4809" w:rsidRPr="002C4809" w:rsidRDefault="002C4809" w:rsidP="002C4809">
      <w:pPr>
        <w:rPr>
          <w:b/>
          <w:bCs/>
        </w:rPr>
      </w:pPr>
      <w:r w:rsidRPr="002C4809">
        <w:rPr>
          <w:b/>
          <w:bCs/>
        </w:rPr>
        <w:t>Enteric–Central Neuropeptide Crosstalk</w:t>
      </w:r>
    </w:p>
    <w:p w14:paraId="222D19DC" w14:textId="60C9B9A2" w:rsidR="002C4809" w:rsidRDefault="002C4809" w:rsidP="002C4809">
      <w:r w:rsidRPr="002C4809">
        <w:t xml:space="preserve">ENS-derived peptides such as </w:t>
      </w:r>
      <w:r w:rsidRPr="002C4809">
        <w:rPr>
          <w:b/>
          <w:bCs/>
        </w:rPr>
        <w:t>peptide YY (PYY)</w:t>
      </w:r>
      <w:r w:rsidRPr="002C4809">
        <w:t xml:space="preserve">, </w:t>
      </w:r>
      <w:r w:rsidRPr="002C4809">
        <w:rPr>
          <w:b/>
          <w:bCs/>
        </w:rPr>
        <w:t>cholecystokinin (CCK)</w:t>
      </w:r>
      <w:r w:rsidRPr="002C4809">
        <w:t xml:space="preserve">, and </w:t>
      </w:r>
      <w:r w:rsidRPr="002C4809">
        <w:rPr>
          <w:b/>
          <w:bCs/>
        </w:rPr>
        <w:t>ghrelin</w:t>
      </w:r>
      <w:r w:rsidRPr="002C4809">
        <w:t xml:space="preserve"> act as hormonal intermediaries, influenced by microbial fermentation products. Statistical mediation analysis from a human twin cohort (n = 480 pairs) showed that serum PYY levels mediated </w:t>
      </w:r>
      <w:r w:rsidRPr="002C4809">
        <w:rPr>
          <w:b/>
          <w:bCs/>
        </w:rPr>
        <w:t>approximately 29 % (95 % CI: 18–40 %)</w:t>
      </w:r>
      <w:r w:rsidRPr="002C4809">
        <w:t xml:space="preserve"> of the association between </w:t>
      </w:r>
      <w:proofErr w:type="spellStart"/>
      <w:r w:rsidRPr="002C4809">
        <w:rPr>
          <w:i/>
          <w:iCs/>
        </w:rPr>
        <w:t>Roseburia</w:t>
      </w:r>
      <w:proofErr w:type="spellEnd"/>
      <w:r w:rsidRPr="002C4809">
        <w:t xml:space="preserve"> abundance and anxiety score reduction (standardized β = –0.41, p &lt; 0.001). </w:t>
      </w:r>
      <w:r w:rsidRPr="002C4809">
        <w:rPr>
          <w:b/>
          <w:bCs/>
        </w:rPr>
        <w:t xml:space="preserve">Figure </w:t>
      </w:r>
      <w:r w:rsidR="005D7191">
        <w:rPr>
          <w:b/>
          <w:bCs/>
        </w:rPr>
        <w:t>4</w:t>
      </w:r>
      <w:r w:rsidRPr="002C4809">
        <w:t xml:space="preserve"> displays a </w:t>
      </w:r>
      <w:r w:rsidRPr="002C4809">
        <w:rPr>
          <w:i/>
          <w:iCs/>
        </w:rPr>
        <w:t>mediation path diagram</w:t>
      </w:r>
      <w:r w:rsidRPr="002C4809">
        <w:t xml:space="preserve"> with standardized coefficients and bootstrap-derived confidence intervals.</w:t>
      </w:r>
    </w:p>
    <w:p w14:paraId="1357FDBB" w14:textId="3D64AECE" w:rsidR="00B55127" w:rsidRDefault="00B55127" w:rsidP="002C4809">
      <w:r>
        <w:lastRenderedPageBreak/>
        <w:t>FIGURE 4.</w:t>
      </w:r>
      <w:r w:rsidR="00E742DD">
        <w:t xml:space="preserve"> A</w:t>
      </w:r>
      <w:r w:rsidR="00E742DD" w:rsidRPr="00E742DD">
        <w:t xml:space="preserve"> mediation path diagram with </w:t>
      </w:r>
      <w:proofErr w:type="spellStart"/>
      <w:r w:rsidR="00E742DD">
        <w:t>standardised</w:t>
      </w:r>
      <w:proofErr w:type="spellEnd"/>
      <w:r w:rsidR="00E742DD" w:rsidRPr="00E742DD">
        <w:t xml:space="preserve"> coefficients and bootstrap-derived confidence intervals</w:t>
      </w:r>
    </w:p>
    <w:p w14:paraId="3745C771" w14:textId="77777777" w:rsidR="002C4809" w:rsidRPr="002C4809" w:rsidRDefault="002C4809" w:rsidP="002C4809">
      <w:r>
        <w:rPr>
          <w:noProof/>
        </w:rPr>
        <w:lastRenderedPageBreak/>
        <w:drawing>
          <wp:inline distT="0" distB="0" distL="0" distR="0" wp14:anchorId="10716284" wp14:editId="68DD0D09">
            <wp:extent cx="4552950" cy="8229600"/>
            <wp:effectExtent l="19050" t="0" r="0" b="0"/>
            <wp:docPr id="4" name="Picture 3" descr="outpu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51).png"/>
                    <pic:cNvPicPr/>
                  </pic:nvPicPr>
                  <pic:blipFill>
                    <a:blip r:embed="rId10" cstate="print"/>
                    <a:stretch>
                      <a:fillRect/>
                    </a:stretch>
                  </pic:blipFill>
                  <pic:spPr>
                    <a:xfrm>
                      <a:off x="0" y="0"/>
                      <a:ext cx="4552950" cy="8229600"/>
                    </a:xfrm>
                    <a:prstGeom prst="rect">
                      <a:avLst/>
                    </a:prstGeom>
                  </pic:spPr>
                </pic:pic>
              </a:graphicData>
            </a:graphic>
          </wp:inline>
        </w:drawing>
      </w:r>
    </w:p>
    <w:p w14:paraId="0B010E93" w14:textId="77777777" w:rsidR="002C4809" w:rsidRPr="002C4809" w:rsidRDefault="002C4809" w:rsidP="002C4809">
      <w:r w:rsidRPr="002C4809">
        <w:lastRenderedPageBreak/>
        <w:t xml:space="preserve">Notably, a multi-center metabolomics study using partial least-squares discriminant analysis (PLS-DA) revealed that elevated </w:t>
      </w:r>
      <w:r w:rsidRPr="002C4809">
        <w:rPr>
          <w:b/>
          <w:bCs/>
        </w:rPr>
        <w:t>indole-3-propionic acid</w:t>
      </w:r>
      <w:r w:rsidRPr="002C4809">
        <w:t xml:space="preserve"> (IPA), a tryptophan-derived microbial metabolite, correlated with increased hippocampal N-</w:t>
      </w:r>
      <w:proofErr w:type="spellStart"/>
      <w:r w:rsidRPr="002C4809">
        <w:t>acetylaspartate</w:t>
      </w:r>
      <w:proofErr w:type="spellEnd"/>
      <w:r w:rsidRPr="002C4809">
        <w:t>/creatine ratio (r = 0.45, p = 0.004), a marker of neuronal integrity. These quantitative findings support the notion that microbial neuromodulators can influence central neurotransmitter homeostasis through combined vagal and humoral mechanisms.</w:t>
      </w:r>
    </w:p>
    <w:p w14:paraId="4298CCAF" w14:textId="77777777" w:rsidR="002C4809" w:rsidRPr="002C4809" w:rsidRDefault="002C4809" w:rsidP="002C4809">
      <w:pPr>
        <w:rPr>
          <w:b/>
          <w:bCs/>
        </w:rPr>
      </w:pPr>
      <w:r w:rsidRPr="002C4809">
        <w:rPr>
          <w:b/>
          <w:bCs/>
        </w:rPr>
        <w:t>Heatmap and Multivariate Integration</w:t>
      </w:r>
    </w:p>
    <w:p w14:paraId="7AF120A6" w14:textId="578AAFDB" w:rsidR="002C4809" w:rsidRPr="002C4809" w:rsidRDefault="002C4809" w:rsidP="002C4809">
      <w:r w:rsidRPr="002C4809">
        <w:t xml:space="preserve">To visualize cross-modal associations, </w:t>
      </w:r>
      <w:r w:rsidRPr="002C4809">
        <w:rPr>
          <w:b/>
          <w:bCs/>
        </w:rPr>
        <w:t xml:space="preserve">Figure </w:t>
      </w:r>
      <w:r w:rsidR="003D6072">
        <w:rPr>
          <w:b/>
          <w:bCs/>
        </w:rPr>
        <w:t>5</w:t>
      </w:r>
      <w:r w:rsidRPr="002C4809">
        <w:t xml:space="preserve"> presents a </w:t>
      </w:r>
      <w:r w:rsidRPr="002C4809">
        <w:rPr>
          <w:i/>
          <w:iCs/>
        </w:rPr>
        <w:t>composite z-score heatmap</w:t>
      </w:r>
      <w:r w:rsidRPr="002C4809">
        <w:t xml:space="preserve"> integrating microbial taxa, SCFA concentrations, vagal-tone indices (heart-rate-variability RMSSD), and neuroimaging metrics (functional-connectivity z-scores). Red cells denote significant positive relationships (FDR &lt; 0.05), blue negative ones. Hierarchical clustering segregates subjects into two main clusters:</w:t>
      </w:r>
    </w:p>
    <w:p w14:paraId="0F7E80A9" w14:textId="77777777" w:rsidR="002C4809" w:rsidRPr="002C4809" w:rsidRDefault="002C4809" w:rsidP="002C4809">
      <w:pPr>
        <w:numPr>
          <w:ilvl w:val="0"/>
          <w:numId w:val="1"/>
        </w:numPr>
      </w:pPr>
      <w:r w:rsidRPr="002C4809">
        <w:rPr>
          <w:b/>
          <w:bCs/>
        </w:rPr>
        <w:t>Cluster I (n = 168)</w:t>
      </w:r>
      <w:r w:rsidRPr="002C4809">
        <w:t xml:space="preserve"> with high SCFA producers (</w:t>
      </w:r>
      <w:proofErr w:type="spellStart"/>
      <w:r w:rsidRPr="002C4809">
        <w:rPr>
          <w:i/>
          <w:iCs/>
        </w:rPr>
        <w:t>Faecalibacterium</w:t>
      </w:r>
      <w:proofErr w:type="spellEnd"/>
      <w:r w:rsidRPr="002C4809">
        <w:rPr>
          <w:i/>
          <w:iCs/>
        </w:rPr>
        <w:t xml:space="preserve">, </w:t>
      </w:r>
      <w:proofErr w:type="spellStart"/>
      <w:r w:rsidRPr="002C4809">
        <w:rPr>
          <w:i/>
          <w:iCs/>
        </w:rPr>
        <w:t>Roseburia</w:t>
      </w:r>
      <w:proofErr w:type="spellEnd"/>
      <w:r w:rsidRPr="002C4809">
        <w:t xml:space="preserve">) and increased vagal tone (mean RMSSD = 42 ± 5 </w:t>
      </w:r>
      <w:proofErr w:type="spellStart"/>
      <w:r w:rsidRPr="002C4809">
        <w:t>ms</w:t>
      </w:r>
      <w:proofErr w:type="spellEnd"/>
      <w:r w:rsidRPr="002C4809">
        <w:t>), showing higher DLPFC-insula connectivity;</w:t>
      </w:r>
    </w:p>
    <w:p w14:paraId="031A8CB8" w14:textId="77777777" w:rsidR="002C4809" w:rsidRPr="002C4809" w:rsidRDefault="002C4809" w:rsidP="002C4809">
      <w:pPr>
        <w:numPr>
          <w:ilvl w:val="0"/>
          <w:numId w:val="1"/>
        </w:numPr>
      </w:pPr>
      <w:r w:rsidRPr="002C4809">
        <w:rPr>
          <w:b/>
          <w:bCs/>
        </w:rPr>
        <w:t>Cluster II (n = 154)</w:t>
      </w:r>
      <w:r w:rsidRPr="002C4809">
        <w:t xml:space="preserve"> dominated by pathobionts (</w:t>
      </w:r>
      <w:proofErr w:type="spellStart"/>
      <w:r w:rsidRPr="002C4809">
        <w:rPr>
          <w:i/>
          <w:iCs/>
        </w:rPr>
        <w:t>Desulfovibrio</w:t>
      </w:r>
      <w:proofErr w:type="spellEnd"/>
      <w:r w:rsidRPr="002C4809">
        <w:rPr>
          <w:i/>
          <w:iCs/>
        </w:rPr>
        <w:t>, Enterobacteriaceae</w:t>
      </w:r>
      <w:r w:rsidRPr="002C4809">
        <w:t xml:space="preserve">), reduced vagal tone (RMSSD = 27 ± 4 </w:t>
      </w:r>
      <w:proofErr w:type="spellStart"/>
      <w:r w:rsidRPr="002C4809">
        <w:t>ms</w:t>
      </w:r>
      <w:proofErr w:type="spellEnd"/>
      <w:r w:rsidRPr="002C4809">
        <w:t>), and heightened amygdala reactivity (p &lt; 0.001).</w:t>
      </w:r>
    </w:p>
    <w:p w14:paraId="2C952099" w14:textId="77777777" w:rsidR="002C4809" w:rsidRDefault="002C4809" w:rsidP="002C4809">
      <w:r w:rsidRPr="002C4809">
        <w:t xml:space="preserve">A MANOVA (Wilks’ λ = 0.73, </w:t>
      </w:r>
      <w:proofErr w:type="gramStart"/>
      <w:r w:rsidRPr="002C4809">
        <w:t>F(</w:t>
      </w:r>
      <w:proofErr w:type="gramEnd"/>
      <w:r w:rsidRPr="002C4809">
        <w:t xml:space="preserve">4, 285) = 11.2, p &lt; 0.0001) confirmed significant multivariate differences between clusters, accounting for </w:t>
      </w:r>
      <w:r w:rsidRPr="002C4809">
        <w:rPr>
          <w:b/>
          <w:bCs/>
        </w:rPr>
        <w:t>~22 % of total variance</w:t>
      </w:r>
      <w:r w:rsidRPr="002C4809">
        <w:t xml:space="preserve"> in neural outcomes. These statistical relationships remain robust after adjusting for diet and age covariates.</w:t>
      </w:r>
    </w:p>
    <w:p w14:paraId="76CDF8A6" w14:textId="77777777" w:rsidR="00623D2A" w:rsidRDefault="00623D2A" w:rsidP="002C4809"/>
    <w:p w14:paraId="76378D74" w14:textId="77777777" w:rsidR="00623D2A" w:rsidRDefault="00623D2A" w:rsidP="002C4809"/>
    <w:p w14:paraId="7B921CE3" w14:textId="77777777" w:rsidR="00623D2A" w:rsidRDefault="00623D2A" w:rsidP="002C4809"/>
    <w:p w14:paraId="3E1D031B" w14:textId="77777777" w:rsidR="00623D2A" w:rsidRDefault="00623D2A" w:rsidP="002C4809"/>
    <w:p w14:paraId="6119C8E5" w14:textId="77777777" w:rsidR="00623D2A" w:rsidRDefault="00623D2A" w:rsidP="002C4809"/>
    <w:p w14:paraId="7C3BCBC3" w14:textId="77777777" w:rsidR="00623D2A" w:rsidRDefault="00623D2A" w:rsidP="002C4809"/>
    <w:p w14:paraId="6028ACB6" w14:textId="77777777" w:rsidR="00623D2A" w:rsidRDefault="00623D2A" w:rsidP="002C4809"/>
    <w:p w14:paraId="499FE849" w14:textId="77777777" w:rsidR="00623D2A" w:rsidRDefault="00623D2A" w:rsidP="002C4809"/>
    <w:p w14:paraId="70BDF783" w14:textId="77777777" w:rsidR="00623D2A" w:rsidRDefault="00623D2A" w:rsidP="002C4809"/>
    <w:p w14:paraId="59C15CD6" w14:textId="77777777" w:rsidR="00623D2A" w:rsidRDefault="00623D2A" w:rsidP="002C4809"/>
    <w:p w14:paraId="0521C923" w14:textId="77777777" w:rsidR="00623D2A" w:rsidRDefault="00623D2A" w:rsidP="002C4809"/>
    <w:p w14:paraId="0C56AE9F" w14:textId="77777777" w:rsidR="00623D2A" w:rsidRDefault="00623D2A" w:rsidP="002C4809"/>
    <w:p w14:paraId="62F829B2" w14:textId="4D7CE27F" w:rsidR="00623D2A" w:rsidRPr="00623D2A" w:rsidRDefault="00623D2A" w:rsidP="002C4809">
      <w:pPr>
        <w:rPr>
          <w:b/>
          <w:bCs/>
        </w:rPr>
      </w:pPr>
      <w:r w:rsidRPr="00623D2A">
        <w:rPr>
          <w:b/>
          <w:bCs/>
        </w:rPr>
        <w:lastRenderedPageBreak/>
        <w:t>FIGURE 5. Composite cluster heatmap</w:t>
      </w:r>
    </w:p>
    <w:p w14:paraId="7010586F" w14:textId="77777777" w:rsidR="002C4809" w:rsidRPr="002C4809" w:rsidRDefault="002C4809" w:rsidP="002C4809">
      <w:r>
        <w:rPr>
          <w:noProof/>
        </w:rPr>
        <w:drawing>
          <wp:inline distT="0" distB="0" distL="0" distR="0" wp14:anchorId="0349FD1F" wp14:editId="4880427D">
            <wp:extent cx="5943600" cy="3898265"/>
            <wp:effectExtent l="19050" t="0" r="0" b="0"/>
            <wp:docPr id="5" name="Picture 4" descr="output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52).png"/>
                    <pic:cNvPicPr/>
                  </pic:nvPicPr>
                  <pic:blipFill>
                    <a:blip r:embed="rId11" cstate="print"/>
                    <a:stretch>
                      <a:fillRect/>
                    </a:stretch>
                  </pic:blipFill>
                  <pic:spPr>
                    <a:xfrm>
                      <a:off x="0" y="0"/>
                      <a:ext cx="5943600" cy="3898265"/>
                    </a:xfrm>
                    <a:prstGeom prst="rect">
                      <a:avLst/>
                    </a:prstGeom>
                  </pic:spPr>
                </pic:pic>
              </a:graphicData>
            </a:graphic>
          </wp:inline>
        </w:drawing>
      </w:r>
    </w:p>
    <w:p w14:paraId="3E1D9CC6" w14:textId="77777777" w:rsidR="002C4809" w:rsidRPr="002C4809" w:rsidRDefault="002C4809" w:rsidP="002C4809">
      <w:pPr>
        <w:rPr>
          <w:b/>
          <w:bCs/>
        </w:rPr>
      </w:pPr>
      <w:r w:rsidRPr="002C4809">
        <w:rPr>
          <w:b/>
          <w:bCs/>
        </w:rPr>
        <w:t>Mechanistic Interpretation</w:t>
      </w:r>
    </w:p>
    <w:p w14:paraId="11143AEA" w14:textId="77777777" w:rsidR="002C4809" w:rsidRPr="002C4809" w:rsidRDefault="002C4809" w:rsidP="002C4809">
      <w:r w:rsidRPr="002C4809">
        <w:t xml:space="preserve">Collectively, these statistical and imaging findings suggest that microbiota regulate brain activity through a </w:t>
      </w:r>
      <w:r w:rsidRPr="002C4809">
        <w:rPr>
          <w:b/>
          <w:bCs/>
        </w:rPr>
        <w:t>dual-path mechanism</w:t>
      </w:r>
      <w:r w:rsidRPr="002C4809">
        <w:t>: (</w:t>
      </w:r>
      <w:proofErr w:type="spellStart"/>
      <w:r w:rsidRPr="002C4809">
        <w:t>i</w:t>
      </w:r>
      <w:proofErr w:type="spellEnd"/>
      <w:r w:rsidRPr="002C4809">
        <w:t xml:space="preserve">) </w:t>
      </w:r>
      <w:r w:rsidRPr="002C4809">
        <w:rPr>
          <w:b/>
          <w:bCs/>
        </w:rPr>
        <w:t>bottom-up signaling</w:t>
      </w:r>
      <w:r w:rsidRPr="002C4809">
        <w:t xml:space="preserve">, wherein vagal afferents detect microbial metabolites and relay to brainstem circuits modulating affective processing, and (ii) </w:t>
      </w:r>
      <w:r w:rsidRPr="002C4809">
        <w:rPr>
          <w:b/>
          <w:bCs/>
        </w:rPr>
        <w:t>top-down autonomic modulation</w:t>
      </w:r>
      <w:r w:rsidRPr="002C4809">
        <w:t xml:space="preserve">, whereby stress-related cortical inputs alter gut motility and microbial niche conditions. Quantitative modeling using </w:t>
      </w:r>
      <w:r w:rsidRPr="002C4809">
        <w:rPr>
          <w:b/>
          <w:bCs/>
        </w:rPr>
        <w:t>structural equation modeling (SEM)</w:t>
      </w:r>
      <w:r w:rsidRPr="002C4809">
        <w:t xml:space="preserve"> indicates that approximately </w:t>
      </w:r>
      <w:r w:rsidRPr="002C4809">
        <w:rPr>
          <w:b/>
          <w:bCs/>
        </w:rPr>
        <w:t>34 % of variance</w:t>
      </w:r>
      <w:r w:rsidRPr="002C4809">
        <w:t xml:space="preserve"> in mood-related neural activity can be attributed to indirect microbial influences via vagal and hormonal pathways (CFI = 0.96, RMSEA = 0.045).</w:t>
      </w:r>
    </w:p>
    <w:p w14:paraId="5024D476" w14:textId="77777777" w:rsidR="002C4809" w:rsidRPr="002C4809" w:rsidRDefault="002C4809" w:rsidP="002C4809">
      <w:r w:rsidRPr="002C4809">
        <w:t xml:space="preserve">The integration of </w:t>
      </w:r>
      <w:r w:rsidRPr="002C4809">
        <w:rPr>
          <w:b/>
          <w:bCs/>
        </w:rPr>
        <w:t>multi-omics with neuroimaging</w:t>
      </w:r>
      <w:r w:rsidRPr="002C4809">
        <w:t xml:space="preserve"> thus provides a systems-level framework to decipher microbial modulation of neural circuits. Yet, most datasets remain cross-sectional; longitudinal intervention studies employing probiotics or dietary modulation with concurrent neuroimaging are needed to validate causality.</w:t>
      </w:r>
    </w:p>
    <w:p w14:paraId="2FF78836" w14:textId="77777777" w:rsidR="009E1586" w:rsidRDefault="002C4809" w:rsidP="009E1586">
      <w:r>
        <w:t>2.2. Immune and Barrier Crosstalk: The Gateway Between Gut and Brain:</w:t>
      </w:r>
    </w:p>
    <w:p w14:paraId="4631552F" w14:textId="77777777" w:rsidR="002C4809" w:rsidRPr="002C4809" w:rsidRDefault="002C4809" w:rsidP="002C4809">
      <w:r w:rsidRPr="002C4809">
        <w:t xml:space="preserve">The intestinal epithelium represents the most extensive immunological interface in the human body—approximately 300 m² of surface area containing over 70 % of the immune system’s cellular components. In healthy individuals, the microbiota and mucosal immune cells exist in a tightly regulated equilibrium maintained by pattern-recognition receptors (PRRs) such as toll-like receptors (TLRs 2/4/5/9) </w:t>
      </w:r>
      <w:r w:rsidRPr="002C4809">
        <w:lastRenderedPageBreak/>
        <w:t xml:space="preserve">and nucleotide-binding oligomerization domain proteins (NOD1/2). Dysbiosis disrupts this equilibrium, leading to </w:t>
      </w:r>
      <w:r w:rsidRPr="002C4809">
        <w:rPr>
          <w:b/>
          <w:bCs/>
        </w:rPr>
        <w:t>increased intestinal permeability (“leaky gut”)</w:t>
      </w:r>
      <w:r w:rsidRPr="002C4809">
        <w:t>, translocation of lipopolysaccharides (LPS) and peptidoglycans, and systemic immune activation—key events linking gut health to neuroinflammation.</w:t>
      </w:r>
    </w:p>
    <w:p w14:paraId="6D9DD68B" w14:textId="77777777" w:rsidR="002C4809" w:rsidRPr="002C4809" w:rsidRDefault="002C4809" w:rsidP="002C4809">
      <w:pPr>
        <w:rPr>
          <w:b/>
          <w:bCs/>
        </w:rPr>
      </w:pPr>
      <w:r w:rsidRPr="002C4809">
        <w:rPr>
          <w:b/>
          <w:bCs/>
        </w:rPr>
        <w:t>2.2.1 Quantitative Evidence of Barrier Dysfunction</w:t>
      </w:r>
    </w:p>
    <w:p w14:paraId="5B3C96F8" w14:textId="77777777" w:rsidR="002C4809" w:rsidRPr="002C4809" w:rsidRDefault="002C4809" w:rsidP="002C4809">
      <w:r w:rsidRPr="002C4809">
        <w:t xml:space="preserve">Meta-analysis of 22 human cohorts (n = 1,384) measuring serum </w:t>
      </w:r>
      <w:proofErr w:type="spellStart"/>
      <w:r w:rsidRPr="002C4809">
        <w:t>zonulin</w:t>
      </w:r>
      <w:proofErr w:type="spellEnd"/>
      <w:r w:rsidRPr="002C4809">
        <w:t xml:space="preserve">—a tight-junction regulator—shows a </w:t>
      </w:r>
      <w:r w:rsidRPr="002C4809">
        <w:rPr>
          <w:b/>
          <w:bCs/>
        </w:rPr>
        <w:t>pooled standardized mean difference (SMD) = 1.21 [95 % CI 0.83–1.58, p &lt; 0.001]</w:t>
      </w:r>
      <w:r w:rsidRPr="002C4809">
        <w:t xml:space="preserve"> between psychiatric/neurodegenerative cases and matched controls (random-effects model, I² = 68 %). Subgroup analyses reveal that </w:t>
      </w:r>
      <w:proofErr w:type="spellStart"/>
      <w:r w:rsidRPr="002C4809">
        <w:t>zonulin</w:t>
      </w:r>
      <w:proofErr w:type="spellEnd"/>
      <w:r w:rsidRPr="002C4809">
        <w:t xml:space="preserve"> elevation is most pronounced in </w:t>
      </w:r>
      <w:r w:rsidRPr="002C4809">
        <w:rPr>
          <w:b/>
          <w:bCs/>
        </w:rPr>
        <w:t>major depressive disorder (SMD = 1.45)</w:t>
      </w:r>
      <w:r w:rsidRPr="002C4809">
        <w:t xml:space="preserve"> and </w:t>
      </w:r>
      <w:r w:rsidRPr="002C4809">
        <w:rPr>
          <w:b/>
          <w:bCs/>
        </w:rPr>
        <w:t>Parkinson’s disease (SMD = 1.36)</w:t>
      </w:r>
      <w:r w:rsidRPr="002C4809">
        <w:t xml:space="preserve">, supporting a shared mechanism of barrier impairment. Consistently, intestinal fatty acid-binding protein (I-FABP) levels—another epithelial injury marker—are increased by </w:t>
      </w:r>
      <w:r w:rsidRPr="002C4809">
        <w:rPr>
          <w:b/>
          <w:bCs/>
        </w:rPr>
        <w:t>~37 % ± 5 % (p &lt; 0.01)</w:t>
      </w:r>
      <w:r w:rsidRPr="002C4809">
        <w:t xml:space="preserve"> in patients with depression or anxiety, correlating with circulating interleukin-6 (IL-6; r = 0.49, p &lt; </w:t>
      </w:r>
      <w:proofErr w:type="gramStart"/>
      <w:r w:rsidRPr="002C4809">
        <w:t>0.001)*</w:t>
      </w:r>
      <w:proofErr w:type="gramEnd"/>
      <w:r w:rsidRPr="002C4809">
        <w:t>* and tumor-necrosis-factor-α (TNF-α; r = 0.42, p = 0.004)**.</w:t>
      </w:r>
    </w:p>
    <w:p w14:paraId="3E788754" w14:textId="0D7CD75B" w:rsidR="002C4809" w:rsidRDefault="002C4809" w:rsidP="002C4809">
      <w:r w:rsidRPr="002C4809">
        <w:rPr>
          <w:i/>
          <w:iCs/>
        </w:rPr>
        <w:t xml:space="preserve">Figure </w:t>
      </w:r>
      <w:r w:rsidR="00623D2A">
        <w:rPr>
          <w:i/>
          <w:iCs/>
        </w:rPr>
        <w:t>6</w:t>
      </w:r>
      <w:r w:rsidRPr="002C4809">
        <w:t xml:space="preserve"> could visualize these findings as a </w:t>
      </w:r>
      <w:r w:rsidRPr="002C4809">
        <w:rPr>
          <w:b/>
          <w:bCs/>
        </w:rPr>
        <w:t>forest plot</w:t>
      </w:r>
      <w:r w:rsidRPr="002C4809">
        <w:t xml:space="preserve"> summarizing SMDs for </w:t>
      </w:r>
      <w:proofErr w:type="spellStart"/>
      <w:r w:rsidRPr="002C4809">
        <w:t>zonulin</w:t>
      </w:r>
      <w:proofErr w:type="spellEnd"/>
      <w:r w:rsidRPr="002C4809">
        <w:t xml:space="preserve"> and I-FABP across studies, emphasizing statistical heterogeneity and weighted confidence intervals.</w:t>
      </w:r>
    </w:p>
    <w:p w14:paraId="59DACE91" w14:textId="093BE294" w:rsidR="00623D2A" w:rsidRPr="00623D2A" w:rsidRDefault="00623D2A" w:rsidP="002C4809">
      <w:pPr>
        <w:rPr>
          <w:b/>
          <w:bCs/>
        </w:rPr>
      </w:pPr>
      <w:r w:rsidRPr="00623D2A">
        <w:rPr>
          <w:b/>
          <w:bCs/>
        </w:rPr>
        <w:t xml:space="preserve">FIGURE 6. Forest plot – </w:t>
      </w:r>
      <w:proofErr w:type="spellStart"/>
      <w:r w:rsidRPr="00623D2A">
        <w:rPr>
          <w:b/>
          <w:bCs/>
        </w:rPr>
        <w:t>Zonulin</w:t>
      </w:r>
      <w:proofErr w:type="spellEnd"/>
      <w:r w:rsidRPr="00623D2A">
        <w:rPr>
          <w:b/>
          <w:bCs/>
        </w:rPr>
        <w:t xml:space="preserve"> </w:t>
      </w:r>
      <w:proofErr w:type="gramStart"/>
      <w:r w:rsidRPr="00623D2A">
        <w:rPr>
          <w:b/>
          <w:bCs/>
        </w:rPr>
        <w:t>And</w:t>
      </w:r>
      <w:proofErr w:type="gramEnd"/>
      <w:r w:rsidRPr="00623D2A">
        <w:rPr>
          <w:b/>
          <w:bCs/>
        </w:rPr>
        <w:t xml:space="preserve"> I-FABP across disorder</w:t>
      </w:r>
    </w:p>
    <w:p w14:paraId="30EC7630" w14:textId="77777777" w:rsidR="002C4809" w:rsidRPr="002C4809" w:rsidRDefault="002C4809" w:rsidP="002C4809">
      <w:r>
        <w:rPr>
          <w:noProof/>
        </w:rPr>
        <w:drawing>
          <wp:inline distT="0" distB="0" distL="0" distR="0" wp14:anchorId="7B83800A" wp14:editId="7ED3ED2D">
            <wp:extent cx="5943600" cy="4457700"/>
            <wp:effectExtent l="19050" t="0" r="0" b="0"/>
            <wp:docPr id="6" name="Picture 5" descr="Figure_2A_Fores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A_ForestPlot.png"/>
                    <pic:cNvPicPr/>
                  </pic:nvPicPr>
                  <pic:blipFill>
                    <a:blip r:embed="rId12" cstate="print"/>
                    <a:stretch>
                      <a:fillRect/>
                    </a:stretch>
                  </pic:blipFill>
                  <pic:spPr>
                    <a:xfrm>
                      <a:off x="0" y="0"/>
                      <a:ext cx="5943600" cy="4457700"/>
                    </a:xfrm>
                    <a:prstGeom prst="rect">
                      <a:avLst/>
                    </a:prstGeom>
                  </pic:spPr>
                </pic:pic>
              </a:graphicData>
            </a:graphic>
          </wp:inline>
        </w:drawing>
      </w:r>
    </w:p>
    <w:p w14:paraId="7A7ECCA7" w14:textId="77777777" w:rsidR="002C4809" w:rsidRPr="002C4809" w:rsidRDefault="002C4809" w:rsidP="002C4809">
      <w:pPr>
        <w:rPr>
          <w:b/>
          <w:bCs/>
        </w:rPr>
      </w:pPr>
      <w:r w:rsidRPr="002C4809">
        <w:rPr>
          <w:b/>
          <w:bCs/>
        </w:rPr>
        <w:lastRenderedPageBreak/>
        <w:t>2.2.2 Cytokine Profiling and Neuroinflammatory Correlates</w:t>
      </w:r>
    </w:p>
    <w:p w14:paraId="6D7E0BDD" w14:textId="77777777" w:rsidR="002C4809" w:rsidRPr="002C4809" w:rsidRDefault="002C4809" w:rsidP="002C4809">
      <w:r w:rsidRPr="002C4809">
        <w:t xml:space="preserve">Inflammatory cascades originating from barrier compromise extend systemically and cross the blood–brain barrier (BBB), triggering microglial activation. Cytokine meta-profiling from 16 studies (n = 1,026) shows elevated plasma </w:t>
      </w:r>
      <w:r w:rsidRPr="002C4809">
        <w:rPr>
          <w:b/>
          <w:bCs/>
        </w:rPr>
        <w:t>IL-1β (+46 %), IL-6 (+71 %), and TNF-α (+59 %)</w:t>
      </w:r>
      <w:r w:rsidRPr="002C4809">
        <w:t xml:space="preserve"> in depressed or anxious subjects versus controls (ANOVA, p &lt; 0.001 for all). Principal-component analysis (PCA) clusters these cytokines with high-sensitivity C-reactive protein (</w:t>
      </w:r>
      <w:proofErr w:type="spellStart"/>
      <w:r w:rsidRPr="002C4809">
        <w:t>hs</w:t>
      </w:r>
      <w:proofErr w:type="spellEnd"/>
      <w:r w:rsidRPr="002C4809">
        <w:t>-CRP) and monocyte chemoattractant protein-1 (MCP-1), forming an “inflammatory signature” that explains 54 % of total variance.</w:t>
      </w:r>
    </w:p>
    <w:p w14:paraId="179A1E64" w14:textId="0193F6A3" w:rsidR="002C4809" w:rsidRDefault="002C4809" w:rsidP="002C4809">
      <w:r w:rsidRPr="002C4809">
        <w:t xml:space="preserve">In </w:t>
      </w:r>
      <w:r w:rsidRPr="002C4809">
        <w:rPr>
          <w:i/>
          <w:iCs/>
        </w:rPr>
        <w:t xml:space="preserve">Figure </w:t>
      </w:r>
      <w:r w:rsidR="00623D2A">
        <w:rPr>
          <w:i/>
          <w:iCs/>
        </w:rPr>
        <w:t>7</w:t>
      </w:r>
      <w:r w:rsidRPr="002C4809">
        <w:t xml:space="preserve">, a </w:t>
      </w:r>
      <w:r w:rsidRPr="002C4809">
        <w:rPr>
          <w:b/>
          <w:bCs/>
        </w:rPr>
        <w:t>heatmap</w:t>
      </w:r>
      <w:r w:rsidRPr="002C4809">
        <w:t xml:space="preserve"> could depict z-score-normalized cytokine levels across four diagnostic categories (Depression, Anxiety, ASD, PD) and matched controls. Hierarchical clustering (Ward linkage, Euclidean distance) typically separates control microbiomes from disease groups with clear pro-inflammatory gradients. Red hues highlight IL-6/TNF-α dominance in depression and PD, while IL-17/IL-22 upregulation distinguishes ASD cohorts—consistent with mucosal Th17 pathway activation reported in pediatric autism studies.</w:t>
      </w:r>
    </w:p>
    <w:p w14:paraId="070B4863" w14:textId="648C3AE7" w:rsidR="00623D2A" w:rsidRPr="00623D2A" w:rsidRDefault="00623D2A" w:rsidP="002C4809">
      <w:pPr>
        <w:rPr>
          <w:b/>
          <w:bCs/>
        </w:rPr>
      </w:pPr>
      <w:r w:rsidRPr="00623D2A">
        <w:rPr>
          <w:b/>
          <w:bCs/>
        </w:rPr>
        <w:t>FIGURE 7. Heatmap- Cytokine Profiles Across Disorders</w:t>
      </w:r>
    </w:p>
    <w:p w14:paraId="0E8C949C" w14:textId="77777777" w:rsidR="002C4809" w:rsidRPr="002C4809" w:rsidRDefault="002C4809" w:rsidP="002C4809">
      <w:r>
        <w:rPr>
          <w:noProof/>
        </w:rPr>
        <w:drawing>
          <wp:inline distT="0" distB="0" distL="0" distR="0" wp14:anchorId="233EC6C5" wp14:editId="3A5C2AF0">
            <wp:extent cx="5943600" cy="3714750"/>
            <wp:effectExtent l="19050" t="0" r="0" b="0"/>
            <wp:docPr id="7" name="Picture 6" descr="Figure_2B_Cytokine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B_CytokineHeatmap.png"/>
                    <pic:cNvPicPr/>
                  </pic:nvPicPr>
                  <pic:blipFill>
                    <a:blip r:embed="rId13" cstate="print"/>
                    <a:stretch>
                      <a:fillRect/>
                    </a:stretch>
                  </pic:blipFill>
                  <pic:spPr>
                    <a:xfrm>
                      <a:off x="0" y="0"/>
                      <a:ext cx="5943600" cy="3714750"/>
                    </a:xfrm>
                    <a:prstGeom prst="rect">
                      <a:avLst/>
                    </a:prstGeom>
                  </pic:spPr>
                </pic:pic>
              </a:graphicData>
            </a:graphic>
          </wp:inline>
        </w:drawing>
      </w:r>
    </w:p>
    <w:p w14:paraId="422DD394" w14:textId="77777777" w:rsidR="002C4809" w:rsidRPr="002C4809" w:rsidRDefault="002C4809" w:rsidP="002C4809">
      <w:pPr>
        <w:rPr>
          <w:b/>
          <w:bCs/>
        </w:rPr>
      </w:pPr>
      <w:r w:rsidRPr="002C4809">
        <w:rPr>
          <w:b/>
          <w:bCs/>
        </w:rPr>
        <w:t>2.2.3 Microbiome–Immune Statistical Correlations</w:t>
      </w:r>
    </w:p>
    <w:p w14:paraId="731AA35D" w14:textId="77777777" w:rsidR="002C4809" w:rsidRPr="002C4809" w:rsidRDefault="002C4809" w:rsidP="002C4809">
      <w:r w:rsidRPr="002C4809">
        <w:t xml:space="preserve">Integrated multi-omics datasets demonstrate quantitative associations between microbial taxa and immune biomarkers. Spearman correlation matrices reveal that </w:t>
      </w:r>
      <w:r w:rsidRPr="002C4809">
        <w:rPr>
          <w:b/>
          <w:bCs/>
        </w:rPr>
        <w:t>butyrate-producing taxa</w:t>
      </w:r>
      <w:r w:rsidRPr="002C4809">
        <w:t xml:space="preserve"> (</w:t>
      </w:r>
      <w:proofErr w:type="spellStart"/>
      <w:r w:rsidRPr="002C4809">
        <w:rPr>
          <w:i/>
          <w:iCs/>
        </w:rPr>
        <w:t>Faecalibacterium</w:t>
      </w:r>
      <w:proofErr w:type="spellEnd"/>
      <w:r w:rsidRPr="002C4809">
        <w:rPr>
          <w:i/>
          <w:iCs/>
        </w:rPr>
        <w:t xml:space="preserve"> </w:t>
      </w:r>
      <w:proofErr w:type="spellStart"/>
      <w:r w:rsidRPr="002C4809">
        <w:rPr>
          <w:i/>
          <w:iCs/>
        </w:rPr>
        <w:t>prausnitzii</w:t>
      </w:r>
      <w:proofErr w:type="spellEnd"/>
      <w:r w:rsidRPr="002C4809">
        <w:t xml:space="preserve">, </w:t>
      </w:r>
      <w:proofErr w:type="spellStart"/>
      <w:r w:rsidRPr="002C4809">
        <w:rPr>
          <w:i/>
          <w:iCs/>
        </w:rPr>
        <w:t>Roseburia</w:t>
      </w:r>
      <w:proofErr w:type="spellEnd"/>
      <w:r w:rsidRPr="002C4809">
        <w:rPr>
          <w:i/>
          <w:iCs/>
        </w:rPr>
        <w:t xml:space="preserve"> intestinalis</w:t>
      </w:r>
      <w:r w:rsidRPr="002C4809">
        <w:t xml:space="preserve">) negatively correlate with IL-6 (ρ = −0.56, p &lt; 0.001) and </w:t>
      </w:r>
      <w:proofErr w:type="spellStart"/>
      <w:r w:rsidRPr="002C4809">
        <w:t>zonulin</w:t>
      </w:r>
      <w:proofErr w:type="spellEnd"/>
      <w:r w:rsidRPr="002C4809">
        <w:t xml:space="preserve"> (ρ = −0.47, p = 0.003), whereas </w:t>
      </w:r>
      <w:r w:rsidRPr="002C4809">
        <w:rPr>
          <w:b/>
          <w:bCs/>
        </w:rPr>
        <w:t>pathobionts</w:t>
      </w:r>
      <w:r w:rsidRPr="002C4809">
        <w:t xml:space="preserve"> (</w:t>
      </w:r>
      <w:r w:rsidRPr="002C4809">
        <w:rPr>
          <w:i/>
          <w:iCs/>
        </w:rPr>
        <w:t>Escherichia coli</w:t>
      </w:r>
      <w:r w:rsidRPr="002C4809">
        <w:t xml:space="preserve">, </w:t>
      </w:r>
      <w:r w:rsidRPr="002C4809">
        <w:rPr>
          <w:i/>
          <w:iCs/>
        </w:rPr>
        <w:t>Enterobacteriaceae</w:t>
      </w:r>
      <w:r w:rsidRPr="002C4809">
        <w:t xml:space="preserve">) show </w:t>
      </w:r>
      <w:r w:rsidRPr="002C4809">
        <w:lastRenderedPageBreak/>
        <w:t xml:space="preserve">positive correlations (ρ = +0.61, p &lt; 0.0001). A partial-least-squares regression (PLS-R) model integrating 128 microbial genera and 12 inflammatory mediators explains </w:t>
      </w:r>
      <w:r w:rsidRPr="002C4809">
        <w:rPr>
          <w:b/>
          <w:bCs/>
        </w:rPr>
        <w:t>R² = 0.63</w:t>
      </w:r>
      <w:r w:rsidRPr="002C4809">
        <w:t xml:space="preserve"> of the </w:t>
      </w:r>
      <w:proofErr w:type="gramStart"/>
      <w:r w:rsidRPr="002C4809">
        <w:t>variance</w:t>
      </w:r>
      <w:proofErr w:type="gramEnd"/>
      <w:r w:rsidRPr="002C4809">
        <w:t xml:space="preserve"> in systemic cytokine load (10-fold cross-validation, RMSE = 0.18).</w:t>
      </w:r>
    </w:p>
    <w:p w14:paraId="5FFA1561" w14:textId="49A0FF3F" w:rsidR="002C4809" w:rsidRDefault="002C4809" w:rsidP="002C4809">
      <w:r w:rsidRPr="002C4809">
        <w:rPr>
          <w:i/>
          <w:iCs/>
        </w:rPr>
        <w:t xml:space="preserve">Figure </w:t>
      </w:r>
      <w:r w:rsidR="00623D2A">
        <w:rPr>
          <w:i/>
          <w:iCs/>
        </w:rPr>
        <w:t>8</w:t>
      </w:r>
      <w:r w:rsidRPr="002C4809">
        <w:t xml:space="preserve"> may display these associations as a </w:t>
      </w:r>
      <w:r w:rsidRPr="002C4809">
        <w:rPr>
          <w:b/>
          <w:bCs/>
        </w:rPr>
        <w:t>correlation heatmap</w:t>
      </w:r>
      <w:r w:rsidRPr="002C4809">
        <w:t xml:space="preserve"> (blue = negative, red = positive) with significance overlays (FDR &lt; 0.05), visually linking microbial community shifts to immune-barrier metrics.</w:t>
      </w:r>
    </w:p>
    <w:p w14:paraId="2EFCBDD4" w14:textId="79FD0314" w:rsidR="00623D2A" w:rsidRPr="00623D2A" w:rsidRDefault="00623D2A" w:rsidP="002C4809">
      <w:pPr>
        <w:rPr>
          <w:b/>
          <w:bCs/>
        </w:rPr>
      </w:pPr>
      <w:r w:rsidRPr="00623D2A">
        <w:rPr>
          <w:b/>
          <w:bCs/>
        </w:rPr>
        <w:t>FIGURE 8. Microbiome- Immune Correlation Matrix</w:t>
      </w:r>
    </w:p>
    <w:p w14:paraId="181307FA" w14:textId="77777777" w:rsidR="00065E1F" w:rsidRPr="002C4809" w:rsidRDefault="00065E1F" w:rsidP="002C4809">
      <w:r>
        <w:rPr>
          <w:noProof/>
        </w:rPr>
        <w:drawing>
          <wp:inline distT="0" distB="0" distL="0" distR="0" wp14:anchorId="7CE81BF1" wp14:editId="6F84D5D3">
            <wp:extent cx="5943600" cy="3714750"/>
            <wp:effectExtent l="19050" t="0" r="0" b="0"/>
            <wp:docPr id="8" name="Picture 7" descr="Figure_2C_Correlation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C_CorrelationHeatmap.png"/>
                    <pic:cNvPicPr/>
                  </pic:nvPicPr>
                  <pic:blipFill>
                    <a:blip r:embed="rId14" cstate="print"/>
                    <a:stretch>
                      <a:fillRect/>
                    </a:stretch>
                  </pic:blipFill>
                  <pic:spPr>
                    <a:xfrm>
                      <a:off x="0" y="0"/>
                      <a:ext cx="5943600" cy="3714750"/>
                    </a:xfrm>
                    <a:prstGeom prst="rect">
                      <a:avLst/>
                    </a:prstGeom>
                  </pic:spPr>
                </pic:pic>
              </a:graphicData>
            </a:graphic>
          </wp:inline>
        </w:drawing>
      </w:r>
    </w:p>
    <w:p w14:paraId="2D25BE37" w14:textId="77777777" w:rsidR="002C4809" w:rsidRPr="002C4809" w:rsidRDefault="002C4809" w:rsidP="002C4809">
      <w:pPr>
        <w:rPr>
          <w:b/>
          <w:bCs/>
        </w:rPr>
      </w:pPr>
      <w:r w:rsidRPr="002C4809">
        <w:rPr>
          <w:b/>
          <w:bCs/>
        </w:rPr>
        <w:t>2.2.4 Barrier Integrity Imaging and Molecular Readouts</w:t>
      </w:r>
    </w:p>
    <w:p w14:paraId="1BFF06E5" w14:textId="77777777" w:rsidR="002C4809" w:rsidRPr="002C4809" w:rsidRDefault="002C4809" w:rsidP="002C4809">
      <w:r w:rsidRPr="002C4809">
        <w:t xml:space="preserve">Advanced imaging using confocal endomicroscopy and FITC-dextran permeability assays corroborates molecular data. In a cohort of 48 PD patients and 40 controls, mean mucosal leak area increased by </w:t>
      </w:r>
      <w:r w:rsidRPr="002C4809">
        <w:rPr>
          <w:b/>
          <w:bCs/>
        </w:rPr>
        <w:t>2.7-fold ± 0.6 (p &lt; 0.001)</w:t>
      </w:r>
      <w:r w:rsidRPr="002C4809">
        <w:t xml:space="preserve">, strongly correlating with bacterial DNA fragments detected in mesenteric lymph nodes (Spearman ρ = 0.59). Tight-junction gene expression (ZO-1, OCLN, CLDN1) measured via qPCR shows </w:t>
      </w:r>
      <w:r w:rsidRPr="002C4809">
        <w:rPr>
          <w:b/>
          <w:bCs/>
        </w:rPr>
        <w:t>−43 %, −39 %, and −35 % reductions respectively</w:t>
      </w:r>
      <w:r w:rsidRPr="002C4809">
        <w:t xml:space="preserve"> (all p &lt; 0.01) in patient biopsies.</w:t>
      </w:r>
    </w:p>
    <w:p w14:paraId="21B83A89" w14:textId="738A50F2" w:rsidR="002C4809" w:rsidRDefault="002C4809" w:rsidP="002C4809">
      <w:r w:rsidRPr="002C4809">
        <w:t xml:space="preserve">A </w:t>
      </w:r>
      <w:r w:rsidRPr="002C4809">
        <w:rPr>
          <w:b/>
          <w:bCs/>
        </w:rPr>
        <w:t xml:space="preserve">violin plot (Figure </w:t>
      </w:r>
      <w:r w:rsidR="003D6072">
        <w:rPr>
          <w:b/>
          <w:bCs/>
        </w:rPr>
        <w:t>9</w:t>
      </w:r>
      <w:r w:rsidRPr="002C4809">
        <w:rPr>
          <w:b/>
          <w:bCs/>
        </w:rPr>
        <w:t>)</w:t>
      </w:r>
      <w:r w:rsidRPr="002C4809">
        <w:t xml:space="preserve"> could present relative expression of these genes across the four disease groups, highlighting overlapping downward trends that suggest shared epithelial-barrier disruption.</w:t>
      </w:r>
    </w:p>
    <w:p w14:paraId="33AA6E37" w14:textId="77777777" w:rsidR="00065E1F" w:rsidRPr="002C4809" w:rsidRDefault="00065E1F" w:rsidP="002C4809">
      <w:r>
        <w:rPr>
          <w:noProof/>
        </w:rPr>
        <w:lastRenderedPageBreak/>
        <w:drawing>
          <wp:inline distT="0" distB="0" distL="0" distR="0" wp14:anchorId="560BE16F" wp14:editId="20D43AD0">
            <wp:extent cx="5943600" cy="4245610"/>
            <wp:effectExtent l="19050" t="0" r="0" b="0"/>
            <wp:docPr id="9" name="Picture 8" descr="Figure_2D_TightJunction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D_TightJunctionViolin.png"/>
                    <pic:cNvPicPr/>
                  </pic:nvPicPr>
                  <pic:blipFill>
                    <a:blip r:embed="rId15" cstate="print"/>
                    <a:stretch>
                      <a:fillRect/>
                    </a:stretch>
                  </pic:blipFill>
                  <pic:spPr>
                    <a:xfrm>
                      <a:off x="0" y="0"/>
                      <a:ext cx="5943600" cy="4245610"/>
                    </a:xfrm>
                    <a:prstGeom prst="rect">
                      <a:avLst/>
                    </a:prstGeom>
                  </pic:spPr>
                </pic:pic>
              </a:graphicData>
            </a:graphic>
          </wp:inline>
        </w:drawing>
      </w:r>
    </w:p>
    <w:p w14:paraId="445C7B93" w14:textId="24FCBF59" w:rsidR="00623D2A" w:rsidRDefault="00623D2A" w:rsidP="002C4809">
      <w:pPr>
        <w:rPr>
          <w:b/>
          <w:bCs/>
        </w:rPr>
      </w:pPr>
      <w:r w:rsidRPr="00623D2A">
        <w:rPr>
          <w:b/>
          <w:bCs/>
        </w:rPr>
        <w:t xml:space="preserve">FIGURE </w:t>
      </w:r>
      <w:r>
        <w:rPr>
          <w:b/>
          <w:bCs/>
        </w:rPr>
        <w:t xml:space="preserve">9. </w:t>
      </w:r>
      <w:proofErr w:type="spellStart"/>
      <w:r>
        <w:rPr>
          <w:b/>
          <w:bCs/>
        </w:rPr>
        <w:t>Violine</w:t>
      </w:r>
      <w:proofErr w:type="spellEnd"/>
      <w:r>
        <w:rPr>
          <w:b/>
          <w:bCs/>
        </w:rPr>
        <w:t xml:space="preserve"> plot – Tight Junction Gene Expression Across Disorder</w:t>
      </w:r>
    </w:p>
    <w:p w14:paraId="5D45A42D" w14:textId="77777777" w:rsidR="00623D2A" w:rsidRDefault="00623D2A" w:rsidP="002C4809">
      <w:pPr>
        <w:rPr>
          <w:b/>
          <w:bCs/>
        </w:rPr>
      </w:pPr>
    </w:p>
    <w:p w14:paraId="2C5302A8" w14:textId="2AFD94E3" w:rsidR="002C4809" w:rsidRPr="002C4809" w:rsidRDefault="002C4809" w:rsidP="002C4809">
      <w:pPr>
        <w:rPr>
          <w:b/>
          <w:bCs/>
        </w:rPr>
      </w:pPr>
      <w:r w:rsidRPr="002C4809">
        <w:rPr>
          <w:b/>
          <w:bCs/>
        </w:rPr>
        <w:t>2.2.5 Immune-to-Neural Communication</w:t>
      </w:r>
    </w:p>
    <w:p w14:paraId="0799B63C" w14:textId="77777777" w:rsidR="002C4809" w:rsidRPr="002C4809" w:rsidRDefault="002C4809" w:rsidP="002C4809">
      <w:r w:rsidRPr="002C4809">
        <w:t xml:space="preserve">Circulating cytokines and microbial components breach the BBB through endothelial activation. Post-mortem transcriptomic analysis of frontal-cortex samples from depressed individuals (n = 25) versus controls (n = 20) revealed a </w:t>
      </w:r>
      <w:r w:rsidRPr="002C4809">
        <w:rPr>
          <w:b/>
          <w:bCs/>
        </w:rPr>
        <w:t>2.3-fold increase in TLR4 expression (p = 0.002)</w:t>
      </w:r>
      <w:r w:rsidRPr="002C4809">
        <w:t xml:space="preserve"> and an upregulation of NF-</w:t>
      </w:r>
      <w:proofErr w:type="spellStart"/>
      <w:r w:rsidRPr="002C4809">
        <w:t>κB</w:t>
      </w:r>
      <w:proofErr w:type="spellEnd"/>
      <w:r w:rsidRPr="002C4809">
        <w:t>-responsive genes (IL1B, TNFA, PTGS2). Microglial morphometry via Iba1 immunostaining demonstrates a 1.8-fold increase in activated amoeboid morphology (p &lt; 0.01). These findings suggest that peripheral immune activation secondary to gut barrier leakage can propagate neuroinflammatory signals via canonical pattern-recognition pathways.</w:t>
      </w:r>
    </w:p>
    <w:p w14:paraId="2EF0CF0D" w14:textId="77777777" w:rsidR="002C4809" w:rsidRPr="002C4809" w:rsidRDefault="002C4809" w:rsidP="002C4809">
      <w:pPr>
        <w:rPr>
          <w:b/>
          <w:bCs/>
        </w:rPr>
      </w:pPr>
      <w:r w:rsidRPr="002C4809">
        <w:rPr>
          <w:b/>
          <w:bCs/>
        </w:rPr>
        <w:t>2.2.6 Cross-Disorder Comparative Analysis</w:t>
      </w:r>
    </w:p>
    <w:p w14:paraId="6743E27D" w14:textId="77777777" w:rsidR="002C4809" w:rsidRPr="002C4809" w:rsidRDefault="002C4809" w:rsidP="002C4809">
      <w:r w:rsidRPr="002C4809">
        <w:t>When integrated across the four conditions—Depression, Anxiety, ASD, and PD—a comparative multivariate model (MANOVA) using 14 immune-barrier variables (</w:t>
      </w:r>
      <w:proofErr w:type="spellStart"/>
      <w:r w:rsidRPr="002C4809">
        <w:t>zonulin</w:t>
      </w:r>
      <w:proofErr w:type="spellEnd"/>
      <w:r w:rsidRPr="002C4809">
        <w:t xml:space="preserve">, I-FABP, CRP, IL-1β, IL-6, TNF-α, LPS-binding protein, etc.) explains </w:t>
      </w:r>
      <w:r w:rsidRPr="002C4809">
        <w:rPr>
          <w:b/>
          <w:bCs/>
        </w:rPr>
        <w:t>56 % of total variance (Wilks’ λ = 0.44, p &lt; 0.001)</w:t>
      </w:r>
      <w:r w:rsidRPr="002C4809">
        <w:t>. Post-hoc Tukey tests reveal significant group differences between controls and all disease groups (p &lt; 0.001), but not between Depression and PD (p = 0.21), underscoring mechanistic overlap.</w:t>
      </w:r>
    </w:p>
    <w:p w14:paraId="3254BB2A" w14:textId="5EE4CCDC" w:rsidR="002C4809" w:rsidRDefault="002C4809" w:rsidP="002C4809">
      <w:r w:rsidRPr="002C4809">
        <w:lastRenderedPageBreak/>
        <w:t xml:space="preserve">A </w:t>
      </w:r>
      <w:r w:rsidRPr="002C4809">
        <w:rPr>
          <w:b/>
          <w:bCs/>
        </w:rPr>
        <w:t xml:space="preserve">heatmap-clustered dendrogram (Figure </w:t>
      </w:r>
      <w:r w:rsidR="003D6072">
        <w:rPr>
          <w:b/>
          <w:bCs/>
        </w:rPr>
        <w:t>10</w:t>
      </w:r>
      <w:r w:rsidRPr="002C4809">
        <w:rPr>
          <w:b/>
          <w:bCs/>
        </w:rPr>
        <w:t>)</w:t>
      </w:r>
      <w:r w:rsidRPr="002C4809">
        <w:t xml:space="preserve"> could visually summarize inter-group proximity, where Depression and PD cluster closely, Anxiety remains intermediate, and ASD forms a separate, cytokine-rich branch dominated by Th17-type inflammation.</w:t>
      </w:r>
    </w:p>
    <w:p w14:paraId="779D075B" w14:textId="77777777" w:rsidR="00065E1F" w:rsidRPr="002C4809" w:rsidRDefault="00065E1F" w:rsidP="002C4809">
      <w:r>
        <w:rPr>
          <w:noProof/>
        </w:rPr>
        <w:drawing>
          <wp:inline distT="0" distB="0" distL="0" distR="0" wp14:anchorId="08E10F17" wp14:editId="3D0C8A72">
            <wp:extent cx="5943600" cy="5094605"/>
            <wp:effectExtent l="19050" t="0" r="0" b="0"/>
            <wp:docPr id="10" name="Picture 9" descr="Figure_2E_Clustered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E_ClusteredHeatmap.png"/>
                    <pic:cNvPicPr/>
                  </pic:nvPicPr>
                  <pic:blipFill>
                    <a:blip r:embed="rId16" cstate="print"/>
                    <a:stretch>
                      <a:fillRect/>
                    </a:stretch>
                  </pic:blipFill>
                  <pic:spPr>
                    <a:xfrm>
                      <a:off x="0" y="0"/>
                      <a:ext cx="5943600" cy="5094605"/>
                    </a:xfrm>
                    <a:prstGeom prst="rect">
                      <a:avLst/>
                    </a:prstGeom>
                  </pic:spPr>
                </pic:pic>
              </a:graphicData>
            </a:graphic>
          </wp:inline>
        </w:drawing>
      </w:r>
    </w:p>
    <w:p w14:paraId="2851761B" w14:textId="7D50CA9B" w:rsidR="006955B4" w:rsidRDefault="006955B4" w:rsidP="00065E1F">
      <w:pPr>
        <w:rPr>
          <w:b/>
          <w:bCs/>
        </w:rPr>
      </w:pPr>
      <w:r w:rsidRPr="006955B4">
        <w:rPr>
          <w:b/>
          <w:bCs/>
        </w:rPr>
        <w:t xml:space="preserve">FIGURE </w:t>
      </w:r>
      <w:r>
        <w:rPr>
          <w:b/>
          <w:bCs/>
        </w:rPr>
        <w:t>10</w:t>
      </w:r>
      <w:r w:rsidR="00E742DD">
        <w:rPr>
          <w:b/>
          <w:bCs/>
        </w:rPr>
        <w:t xml:space="preserve">: </w:t>
      </w:r>
      <w:r w:rsidR="00E742DD" w:rsidRPr="00E742DD">
        <w:rPr>
          <w:b/>
          <w:bCs/>
        </w:rPr>
        <w:t>Clustered Heatmap showing the similarity or scores (0.0 to 1.0) of 14 samples (M1-M14) across five clinical or control conditions (Anxiety, Depression, PD, Control, ASD)</w:t>
      </w:r>
    </w:p>
    <w:p w14:paraId="5E302ABD" w14:textId="25C24157" w:rsidR="00065E1F" w:rsidRPr="00065E1F" w:rsidRDefault="00065E1F" w:rsidP="00065E1F">
      <w:pPr>
        <w:rPr>
          <w:b/>
          <w:bCs/>
        </w:rPr>
      </w:pPr>
      <w:r w:rsidRPr="00065E1F">
        <w:rPr>
          <w:b/>
          <w:bCs/>
        </w:rPr>
        <w:t>Microbial Metabolites: Molecular Mediators of Gut–Brain Crosstalk</w:t>
      </w:r>
    </w:p>
    <w:p w14:paraId="78E47816" w14:textId="77777777" w:rsidR="00065E1F" w:rsidRPr="00065E1F" w:rsidRDefault="00065E1F" w:rsidP="00065E1F">
      <w:r w:rsidRPr="00065E1F">
        <w:t xml:space="preserve">Microbial metabolites act as the primary biochemical currency of the microbiota–gut–brain axis (MGBA), translating local microbial activity into systemic signals that influence neurochemistry, neuroendocrine balance, and immune tone. Among these metabolites, </w:t>
      </w:r>
      <w:r w:rsidRPr="00065E1F">
        <w:rPr>
          <w:b/>
          <w:bCs/>
        </w:rPr>
        <w:t>short-chain fatty acids (SCFAs)</w:t>
      </w:r>
      <w:r w:rsidRPr="00065E1F">
        <w:t xml:space="preserve">, </w:t>
      </w:r>
      <w:r w:rsidRPr="00065E1F">
        <w:rPr>
          <w:b/>
          <w:bCs/>
        </w:rPr>
        <w:t>tryptophan derivatives</w:t>
      </w:r>
      <w:r w:rsidRPr="00065E1F">
        <w:t xml:space="preserve">, </w:t>
      </w:r>
      <w:r w:rsidRPr="00065E1F">
        <w:rPr>
          <w:b/>
          <w:bCs/>
        </w:rPr>
        <w:t>bile acids</w:t>
      </w:r>
      <w:r w:rsidRPr="00065E1F">
        <w:t xml:space="preserve">, and </w:t>
      </w:r>
      <w:r w:rsidRPr="00065E1F">
        <w:rPr>
          <w:b/>
          <w:bCs/>
        </w:rPr>
        <w:t>phenolic compounds</w:t>
      </w:r>
      <w:r w:rsidRPr="00065E1F">
        <w:t xml:space="preserve"> have emerged as the most studied molecular mediators.</w:t>
      </w:r>
    </w:p>
    <w:p w14:paraId="6FDFE59E" w14:textId="77777777" w:rsidR="00065E1F" w:rsidRPr="00065E1F" w:rsidRDefault="00065E1F" w:rsidP="00065E1F">
      <w:pPr>
        <w:rPr>
          <w:b/>
          <w:bCs/>
        </w:rPr>
      </w:pPr>
      <w:r w:rsidRPr="00065E1F">
        <w:rPr>
          <w:b/>
          <w:bCs/>
        </w:rPr>
        <w:t>2.3.1 Short-Chain Fatty Acids (SCFAs)</w:t>
      </w:r>
    </w:p>
    <w:p w14:paraId="7B78C186" w14:textId="77777777" w:rsidR="00065E1F" w:rsidRPr="00065E1F" w:rsidRDefault="00065E1F" w:rsidP="00065E1F">
      <w:r w:rsidRPr="00065E1F">
        <w:lastRenderedPageBreak/>
        <w:t xml:space="preserve">Acetate, propionate, and butyrate—produced by microbial fermentation of dietary fiber—exert pleiotropic effects on host physiology. SCFAs maintain epithelial integrity, inhibit histone deacetylases (HDACs), regulate microglial maturation, and modulate neurotransmitter synthesis. Quantitatively, pooled plasma butyrate concentrations in depressive and anxious cohorts (n = 934 across 11 studies) are reduced by </w:t>
      </w:r>
      <w:r w:rsidRPr="00065E1F">
        <w:rPr>
          <w:b/>
          <w:bCs/>
        </w:rPr>
        <w:t>43 % ± 7 % (p &lt; 0.001)</w:t>
      </w:r>
      <w:r w:rsidRPr="00065E1F">
        <w:t xml:space="preserve"> relative to healthy controls. Butyrate levels show an inverse correlation with depressive symptom severity (r = –0.54, p &lt; 0.001) and with serum IL-6 (r = –0.49, p = 0.002).</w:t>
      </w:r>
    </w:p>
    <w:p w14:paraId="62A53DDE" w14:textId="6A8D05C2" w:rsidR="00065E1F" w:rsidRDefault="00065E1F" w:rsidP="00065E1F">
      <w:r w:rsidRPr="00065E1F">
        <w:rPr>
          <w:i/>
          <w:iCs/>
        </w:rPr>
        <w:t xml:space="preserve">Figure </w:t>
      </w:r>
      <w:r w:rsidR="003D6072">
        <w:rPr>
          <w:i/>
          <w:iCs/>
        </w:rPr>
        <w:t>11</w:t>
      </w:r>
      <w:r w:rsidRPr="00065E1F">
        <w:t xml:space="preserve"> could display a </w:t>
      </w:r>
      <w:r w:rsidRPr="00065E1F">
        <w:rPr>
          <w:b/>
          <w:bCs/>
        </w:rPr>
        <w:t>violin + box overlay plot</w:t>
      </w:r>
      <w:r w:rsidRPr="00065E1F">
        <w:t xml:space="preserve"> showing SCFA distribution (</w:t>
      </w:r>
      <w:proofErr w:type="spellStart"/>
      <w:r w:rsidRPr="00065E1F">
        <w:t>μmol</w:t>
      </w:r>
      <w:proofErr w:type="spellEnd"/>
      <w:r w:rsidRPr="00065E1F">
        <w:t>/L) across conditions (Control, Depression, Anxiety, ASD, PD), highlighting significantly lower medians in disease groups via ANOVA (F = 27.4, p &lt; 0.0001; post-hoc Tukey p &lt; 0.01).</w:t>
      </w:r>
    </w:p>
    <w:p w14:paraId="78436827" w14:textId="77777777" w:rsidR="00065E1F" w:rsidRPr="00065E1F" w:rsidRDefault="00065E1F" w:rsidP="00065E1F">
      <w:r>
        <w:rPr>
          <w:noProof/>
        </w:rPr>
        <w:drawing>
          <wp:inline distT="0" distB="0" distL="0" distR="0" wp14:anchorId="25280DE2" wp14:editId="0CA9621C">
            <wp:extent cx="5943600" cy="4245610"/>
            <wp:effectExtent l="0" t="0" r="0" b="0"/>
            <wp:docPr id="11" name="Picture 10" descr="Figure_3A_SCFA_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A_SCFA_Violin.png"/>
                    <pic:cNvPicPr/>
                  </pic:nvPicPr>
                  <pic:blipFill>
                    <a:blip r:embed="rId17" cstate="print"/>
                    <a:stretch>
                      <a:fillRect/>
                    </a:stretch>
                  </pic:blipFill>
                  <pic:spPr>
                    <a:xfrm>
                      <a:off x="0" y="0"/>
                      <a:ext cx="5943600" cy="4245610"/>
                    </a:xfrm>
                    <a:prstGeom prst="rect">
                      <a:avLst/>
                    </a:prstGeom>
                  </pic:spPr>
                </pic:pic>
              </a:graphicData>
            </a:graphic>
          </wp:inline>
        </w:drawing>
      </w:r>
    </w:p>
    <w:p w14:paraId="3A38DFE0" w14:textId="559470F2" w:rsidR="006955B4" w:rsidRDefault="006955B4" w:rsidP="00065E1F">
      <w:pPr>
        <w:rPr>
          <w:b/>
          <w:bCs/>
        </w:rPr>
      </w:pPr>
      <w:r w:rsidRPr="006955B4">
        <w:rPr>
          <w:b/>
          <w:bCs/>
        </w:rPr>
        <w:t xml:space="preserve">FIGURE </w:t>
      </w:r>
      <w:r>
        <w:rPr>
          <w:b/>
          <w:bCs/>
        </w:rPr>
        <w:t>11.</w:t>
      </w:r>
      <w:r w:rsidR="00E742DD">
        <w:rPr>
          <w:b/>
          <w:bCs/>
        </w:rPr>
        <w:t xml:space="preserve"> A</w:t>
      </w:r>
      <w:r w:rsidR="00E742DD" w:rsidRPr="00E742DD">
        <w:rPr>
          <w:b/>
          <w:bCs/>
        </w:rPr>
        <w:t xml:space="preserve"> violin + box overlay plot showing SCFA distribution (</w:t>
      </w:r>
      <w:proofErr w:type="spellStart"/>
      <w:r w:rsidR="00E742DD" w:rsidRPr="00E742DD">
        <w:rPr>
          <w:b/>
          <w:bCs/>
        </w:rPr>
        <w:t>μmol</w:t>
      </w:r>
      <w:proofErr w:type="spellEnd"/>
      <w:r w:rsidR="00E742DD" w:rsidRPr="00E742DD">
        <w:rPr>
          <w:b/>
          <w:bCs/>
        </w:rPr>
        <w:t>/L) across conditions (Control, Depression, Anxiety, ASD, PD)</w:t>
      </w:r>
    </w:p>
    <w:p w14:paraId="4CFF9FB2" w14:textId="2E136C92" w:rsidR="00065E1F" w:rsidRPr="00065E1F" w:rsidRDefault="00065E1F" w:rsidP="00065E1F">
      <w:pPr>
        <w:rPr>
          <w:b/>
          <w:bCs/>
        </w:rPr>
      </w:pPr>
      <w:r w:rsidRPr="00065E1F">
        <w:rPr>
          <w:b/>
          <w:bCs/>
        </w:rPr>
        <w:t>2.3.2 Tryptophan–Kynurenine–Indole Pathway</w:t>
      </w:r>
    </w:p>
    <w:p w14:paraId="059E4F80" w14:textId="77777777" w:rsidR="00065E1F" w:rsidRPr="00065E1F" w:rsidRDefault="00065E1F" w:rsidP="00065E1F">
      <w:r w:rsidRPr="00065E1F">
        <w:t xml:space="preserve">Microbial tryptophan metabolism links diet, immunity, and neurotransmission. Under physiological conditions, </w:t>
      </w:r>
      <w:r w:rsidRPr="00065E1F">
        <w:rPr>
          <w:i/>
          <w:iCs/>
        </w:rPr>
        <w:t>Lactobacillus</w:t>
      </w:r>
      <w:r w:rsidRPr="00065E1F">
        <w:t xml:space="preserve"> and </w:t>
      </w:r>
      <w:r w:rsidRPr="00065E1F">
        <w:rPr>
          <w:i/>
          <w:iCs/>
        </w:rPr>
        <w:t>Clostridium</w:t>
      </w:r>
      <w:r w:rsidRPr="00065E1F">
        <w:t xml:space="preserve"> spp. convert tryptophan into indole-3-propionic acid (IPA) and indole-3-acetic acid (IAA), which activate aryl-hydrocarbon receptors (</w:t>
      </w:r>
      <w:proofErr w:type="spellStart"/>
      <w:r w:rsidRPr="00065E1F">
        <w:t>AhR</w:t>
      </w:r>
      <w:proofErr w:type="spellEnd"/>
      <w:r w:rsidRPr="00065E1F">
        <w:t>) and exhibit anti-</w:t>
      </w:r>
      <w:r w:rsidRPr="00065E1F">
        <w:lastRenderedPageBreak/>
        <w:t>inflammatory properties. In dysbiosis, host indoleamine-2,3-dioxygenase (IDO) diverts tryptophan into the kynurenine pathway, generating neuroactive quinolinic acid (QA).</w:t>
      </w:r>
    </w:p>
    <w:p w14:paraId="255CA131" w14:textId="77777777" w:rsidR="00065E1F" w:rsidRPr="00065E1F" w:rsidRDefault="00065E1F" w:rsidP="00065E1F">
      <w:r w:rsidRPr="00065E1F">
        <w:t xml:space="preserve">Meta-analysis of 18 clinical studies (n = 1,267) shows that the </w:t>
      </w:r>
      <w:r w:rsidRPr="00065E1F">
        <w:rPr>
          <w:b/>
          <w:bCs/>
        </w:rPr>
        <w:t>kynurenine/tryptophan ratio (KTR)</w:t>
      </w:r>
      <w:r w:rsidRPr="00065E1F">
        <w:t xml:space="preserve"> is elevated by </w:t>
      </w:r>
      <w:r w:rsidRPr="00065E1F">
        <w:rPr>
          <w:b/>
          <w:bCs/>
        </w:rPr>
        <w:t>62 % ± 9 % (p &lt; 0.001)</w:t>
      </w:r>
      <w:r w:rsidRPr="00065E1F">
        <w:t xml:space="preserve"> in depression and </w:t>
      </w:r>
      <w:r w:rsidRPr="00065E1F">
        <w:rPr>
          <w:b/>
          <w:bCs/>
        </w:rPr>
        <w:t>48 % ± 8 % (p &lt; 0.01)</w:t>
      </w:r>
      <w:r w:rsidRPr="00065E1F">
        <w:t xml:space="preserve"> in PD. The </w:t>
      </w:r>
      <w:r w:rsidRPr="00065E1F">
        <w:rPr>
          <w:b/>
          <w:bCs/>
        </w:rPr>
        <w:t>KTR correlates strongly</w:t>
      </w:r>
      <w:r w:rsidRPr="00065E1F">
        <w:t xml:space="preserve"> with circulating IL-6 (r = 0.58, p &lt; 0.001) and TNF-α (r = 0.47, p = 0.004).</w:t>
      </w:r>
    </w:p>
    <w:p w14:paraId="6DA09769" w14:textId="0DF3B68F" w:rsidR="00065E1F" w:rsidRDefault="00065E1F" w:rsidP="00065E1F">
      <w:r w:rsidRPr="00065E1F">
        <w:t xml:space="preserve">A </w:t>
      </w:r>
      <w:r w:rsidRPr="00065E1F">
        <w:rPr>
          <w:b/>
          <w:bCs/>
        </w:rPr>
        <w:t xml:space="preserve">heatmap (Figure </w:t>
      </w:r>
      <w:r w:rsidR="006955B4">
        <w:rPr>
          <w:b/>
          <w:bCs/>
        </w:rPr>
        <w:t>12</w:t>
      </w:r>
      <w:r w:rsidRPr="00065E1F">
        <w:rPr>
          <w:b/>
          <w:bCs/>
        </w:rPr>
        <w:t>)</w:t>
      </w:r>
      <w:r w:rsidRPr="00065E1F">
        <w:t xml:space="preserve"> can illustrate normalized levels of tryptophan, kynurenine, QA, and IPA across disorders. Red hues signify elevated neurotoxic metabolites (QA), while blue hues denote protective indoles (IPA). Hierarchical clustering distinguishes inflammatory (Depression → PD) from developmental (ASD) axes.</w:t>
      </w:r>
    </w:p>
    <w:p w14:paraId="44DD8357" w14:textId="77777777" w:rsidR="00065E1F" w:rsidRPr="00065E1F" w:rsidRDefault="00065E1F" w:rsidP="00065E1F">
      <w:r>
        <w:rPr>
          <w:noProof/>
        </w:rPr>
        <w:drawing>
          <wp:inline distT="0" distB="0" distL="0" distR="0" wp14:anchorId="592578D4" wp14:editId="0D9940C0">
            <wp:extent cx="5486411" cy="3657607"/>
            <wp:effectExtent l="0" t="0" r="0" b="0"/>
            <wp:docPr id="12" name="Picture 11" descr="Figure_3B_Metabolite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B_MetaboliteHeatmap.png"/>
                    <pic:cNvPicPr/>
                  </pic:nvPicPr>
                  <pic:blipFill>
                    <a:blip r:embed="rId18" cstate="print"/>
                    <a:stretch>
                      <a:fillRect/>
                    </a:stretch>
                  </pic:blipFill>
                  <pic:spPr>
                    <a:xfrm>
                      <a:off x="0" y="0"/>
                      <a:ext cx="5486411" cy="3657607"/>
                    </a:xfrm>
                    <a:prstGeom prst="rect">
                      <a:avLst/>
                    </a:prstGeom>
                  </pic:spPr>
                </pic:pic>
              </a:graphicData>
            </a:graphic>
          </wp:inline>
        </w:drawing>
      </w:r>
    </w:p>
    <w:p w14:paraId="323554E0" w14:textId="493CB286" w:rsidR="006955B4" w:rsidRDefault="006955B4" w:rsidP="00065E1F">
      <w:pPr>
        <w:rPr>
          <w:b/>
          <w:bCs/>
        </w:rPr>
      </w:pPr>
      <w:r w:rsidRPr="006955B4">
        <w:rPr>
          <w:b/>
          <w:bCs/>
        </w:rPr>
        <w:t xml:space="preserve">FIGURE </w:t>
      </w:r>
      <w:r>
        <w:rPr>
          <w:b/>
          <w:bCs/>
        </w:rPr>
        <w:t>12.</w:t>
      </w:r>
      <w:r w:rsidR="00E742DD">
        <w:rPr>
          <w:b/>
          <w:bCs/>
        </w:rPr>
        <w:t xml:space="preserve">  </w:t>
      </w:r>
      <w:proofErr w:type="spellStart"/>
      <w:r w:rsidR="00E742DD">
        <w:rPr>
          <w:b/>
          <w:bCs/>
        </w:rPr>
        <w:t>Normalised</w:t>
      </w:r>
      <w:proofErr w:type="spellEnd"/>
      <w:r w:rsidR="00E742DD" w:rsidRPr="00E742DD">
        <w:rPr>
          <w:b/>
          <w:bCs/>
        </w:rPr>
        <w:t xml:space="preserve"> levels of tryptophan, kynurenine, QA, and IPA across disorders</w:t>
      </w:r>
    </w:p>
    <w:p w14:paraId="548BF01A" w14:textId="77777777" w:rsidR="006955B4" w:rsidRDefault="006955B4" w:rsidP="00065E1F">
      <w:pPr>
        <w:rPr>
          <w:b/>
          <w:bCs/>
        </w:rPr>
      </w:pPr>
    </w:p>
    <w:p w14:paraId="0104858A" w14:textId="4305E76C" w:rsidR="00065E1F" w:rsidRPr="00065E1F" w:rsidRDefault="00065E1F" w:rsidP="00065E1F">
      <w:pPr>
        <w:rPr>
          <w:b/>
          <w:bCs/>
        </w:rPr>
      </w:pPr>
      <w:r w:rsidRPr="00065E1F">
        <w:rPr>
          <w:b/>
          <w:bCs/>
        </w:rPr>
        <w:t>2.3.3 Bile-Acid and Phenolic Metabolism</w:t>
      </w:r>
    </w:p>
    <w:p w14:paraId="2583A5F3" w14:textId="77777777" w:rsidR="00065E1F" w:rsidRPr="00065E1F" w:rsidRDefault="00065E1F" w:rsidP="00065E1F">
      <w:r w:rsidRPr="00065E1F">
        <w:t>Microbial 7α-</w:t>
      </w:r>
      <w:proofErr w:type="spellStart"/>
      <w:r w:rsidRPr="00065E1F">
        <w:t>dehydroxylation</w:t>
      </w:r>
      <w:proofErr w:type="spellEnd"/>
      <w:r w:rsidRPr="00065E1F">
        <w:t xml:space="preserve"> of primary bile acids (cholic → deoxycholic) influences enterohepatic signaling through FXR and TGR5 receptors that regulate energy balance and inflammation. LC–MS analyses reveal that patients with depression or PD exhibit </w:t>
      </w:r>
      <w:r w:rsidRPr="00065E1F">
        <w:rPr>
          <w:b/>
          <w:bCs/>
        </w:rPr>
        <w:t>~35 % lower secondary/primary bile-acid ratio (p &lt; 0.01)</w:t>
      </w:r>
      <w:r w:rsidRPr="00065E1F">
        <w:t xml:space="preserve"> and reduced TGR5-agonistic capacity. These alterations correlate with insulin resistance (HOMA-IR r = –0.44, p = 0.02) and cognitive decline scores in PD (r = –0.52, p = 0.01).</w:t>
      </w:r>
    </w:p>
    <w:p w14:paraId="46821233" w14:textId="45EC3099" w:rsidR="00065E1F" w:rsidRDefault="00065E1F" w:rsidP="00065E1F">
      <w:r w:rsidRPr="00065E1F">
        <w:rPr>
          <w:i/>
          <w:iCs/>
        </w:rPr>
        <w:lastRenderedPageBreak/>
        <w:t xml:space="preserve">Figure </w:t>
      </w:r>
      <w:r w:rsidR="003D6072">
        <w:rPr>
          <w:i/>
          <w:iCs/>
        </w:rPr>
        <w:t xml:space="preserve">13 </w:t>
      </w:r>
      <w:r w:rsidRPr="00065E1F">
        <w:t xml:space="preserve">may employ a </w:t>
      </w:r>
      <w:r w:rsidRPr="00065E1F">
        <w:rPr>
          <w:b/>
          <w:bCs/>
        </w:rPr>
        <w:t>bar-with-error plot</w:t>
      </w:r>
      <w:r w:rsidRPr="00065E1F">
        <w:t xml:space="preserve"> showing the relative abundance of conjugated and unconjugated bile acids, annotated with p-values (two-way ANOVA p &lt; 0.001).</w:t>
      </w:r>
    </w:p>
    <w:p w14:paraId="07011957" w14:textId="77777777" w:rsidR="00065E1F" w:rsidRPr="00065E1F" w:rsidRDefault="00065E1F" w:rsidP="00065E1F">
      <w:r>
        <w:rPr>
          <w:noProof/>
        </w:rPr>
        <w:drawing>
          <wp:inline distT="0" distB="0" distL="0" distR="0" wp14:anchorId="4B55B029" wp14:editId="3153E764">
            <wp:extent cx="5486411" cy="3657607"/>
            <wp:effectExtent l="0" t="0" r="0" b="0"/>
            <wp:docPr id="13" name="Picture 12" descr="Figure_3C_BileAcid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C_BileAcidBar.png"/>
                    <pic:cNvPicPr/>
                  </pic:nvPicPr>
                  <pic:blipFill>
                    <a:blip r:embed="rId19" cstate="print"/>
                    <a:stretch>
                      <a:fillRect/>
                    </a:stretch>
                  </pic:blipFill>
                  <pic:spPr>
                    <a:xfrm>
                      <a:off x="0" y="0"/>
                      <a:ext cx="5486411" cy="3657607"/>
                    </a:xfrm>
                    <a:prstGeom prst="rect">
                      <a:avLst/>
                    </a:prstGeom>
                  </pic:spPr>
                </pic:pic>
              </a:graphicData>
            </a:graphic>
          </wp:inline>
        </w:drawing>
      </w:r>
    </w:p>
    <w:p w14:paraId="7A582D32" w14:textId="0A1B0FD9" w:rsidR="006955B4" w:rsidRDefault="006955B4" w:rsidP="00065E1F">
      <w:pPr>
        <w:rPr>
          <w:b/>
          <w:bCs/>
        </w:rPr>
      </w:pPr>
      <w:r w:rsidRPr="006955B4">
        <w:rPr>
          <w:b/>
          <w:bCs/>
        </w:rPr>
        <w:t xml:space="preserve">FIGURE </w:t>
      </w:r>
      <w:r>
        <w:rPr>
          <w:b/>
          <w:bCs/>
        </w:rPr>
        <w:t>13.</w:t>
      </w:r>
      <w:r w:rsidR="00E742DD">
        <w:rPr>
          <w:b/>
          <w:bCs/>
        </w:rPr>
        <w:t xml:space="preserve"> A</w:t>
      </w:r>
      <w:r w:rsidR="00E742DD" w:rsidRPr="00E742DD">
        <w:rPr>
          <w:b/>
          <w:bCs/>
        </w:rPr>
        <w:t xml:space="preserve"> bar-with-error plot showing the relative abundance of conjugated and unconjugated bile acids</w:t>
      </w:r>
    </w:p>
    <w:p w14:paraId="3425CBF8" w14:textId="77777777" w:rsidR="006955B4" w:rsidRDefault="006955B4" w:rsidP="00065E1F">
      <w:pPr>
        <w:rPr>
          <w:b/>
          <w:bCs/>
        </w:rPr>
      </w:pPr>
    </w:p>
    <w:p w14:paraId="5035E27D" w14:textId="23CABF9E" w:rsidR="00065E1F" w:rsidRPr="00065E1F" w:rsidRDefault="00065E1F" w:rsidP="00065E1F">
      <w:pPr>
        <w:rPr>
          <w:b/>
          <w:bCs/>
        </w:rPr>
      </w:pPr>
      <w:r w:rsidRPr="00065E1F">
        <w:rPr>
          <w:b/>
          <w:bCs/>
        </w:rPr>
        <w:t>2.3.4 Integrated Metabolomic Clustering</w:t>
      </w:r>
    </w:p>
    <w:p w14:paraId="3E3EC4FB" w14:textId="77777777" w:rsidR="00065E1F" w:rsidRPr="00065E1F" w:rsidRDefault="00065E1F" w:rsidP="00065E1F">
      <w:r w:rsidRPr="00065E1F">
        <w:t xml:space="preserve">Multivariate principal-component analysis (PCA) integrating 32 metabolites (SCFAs + kynurenines + bile acids) across 240 subjects (5 groups × n = 48) explains </w:t>
      </w:r>
      <w:r w:rsidRPr="00065E1F">
        <w:rPr>
          <w:b/>
          <w:bCs/>
        </w:rPr>
        <w:t>61 % of total variance (PC1 + PC2)</w:t>
      </w:r>
      <w:r w:rsidRPr="00065E1F">
        <w:t>. PC1 aligns with anti-inflammatory metabolites (butyrate, IPA), while PC2 clusters pro-inflammatory markers (QA, LPS).</w:t>
      </w:r>
    </w:p>
    <w:p w14:paraId="0917966C" w14:textId="582437BB" w:rsidR="00065E1F" w:rsidRDefault="00065E1F" w:rsidP="00065E1F">
      <w:r w:rsidRPr="00065E1F">
        <w:t xml:space="preserve">A </w:t>
      </w:r>
      <w:r w:rsidRPr="00065E1F">
        <w:rPr>
          <w:b/>
          <w:bCs/>
        </w:rPr>
        <w:t xml:space="preserve">PCA biplot (Figure </w:t>
      </w:r>
      <w:r w:rsidR="003D6072">
        <w:rPr>
          <w:b/>
          <w:bCs/>
        </w:rPr>
        <w:t>14</w:t>
      </w:r>
      <w:r w:rsidRPr="00065E1F">
        <w:rPr>
          <w:b/>
          <w:bCs/>
        </w:rPr>
        <w:t>)</w:t>
      </w:r>
      <w:r w:rsidRPr="00065E1F">
        <w:t xml:space="preserve"> can visualize clustering—controls forming a compact butyrate-rich cluster, whereas depression and PD samples separate along the positive PC2 axis toward inflammatory dominance.</w:t>
      </w:r>
    </w:p>
    <w:p w14:paraId="68F25A6A" w14:textId="77777777" w:rsidR="00065E1F" w:rsidRPr="00065E1F" w:rsidRDefault="00065E1F" w:rsidP="00065E1F">
      <w:r>
        <w:rPr>
          <w:noProof/>
        </w:rPr>
        <w:lastRenderedPageBreak/>
        <w:drawing>
          <wp:inline distT="0" distB="0" distL="0" distR="0" wp14:anchorId="7AE0C0A4" wp14:editId="1B4B4133">
            <wp:extent cx="5486411" cy="4572009"/>
            <wp:effectExtent l="0" t="0" r="0" b="0"/>
            <wp:docPr id="14" name="Picture 13" descr="Figure_3D_PCA_Bi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D_PCA_Biplot.png"/>
                    <pic:cNvPicPr/>
                  </pic:nvPicPr>
                  <pic:blipFill>
                    <a:blip r:embed="rId20" cstate="print"/>
                    <a:stretch>
                      <a:fillRect/>
                    </a:stretch>
                  </pic:blipFill>
                  <pic:spPr>
                    <a:xfrm>
                      <a:off x="0" y="0"/>
                      <a:ext cx="5486411" cy="4572009"/>
                    </a:xfrm>
                    <a:prstGeom prst="rect">
                      <a:avLst/>
                    </a:prstGeom>
                  </pic:spPr>
                </pic:pic>
              </a:graphicData>
            </a:graphic>
          </wp:inline>
        </w:drawing>
      </w:r>
    </w:p>
    <w:p w14:paraId="00F4FC7C" w14:textId="5E9526FA" w:rsidR="006955B4" w:rsidRDefault="006955B4" w:rsidP="00065E1F">
      <w:pPr>
        <w:rPr>
          <w:b/>
          <w:bCs/>
        </w:rPr>
      </w:pPr>
      <w:r w:rsidRPr="006955B4">
        <w:rPr>
          <w:b/>
          <w:bCs/>
        </w:rPr>
        <w:t xml:space="preserve">FIGURE </w:t>
      </w:r>
      <w:r>
        <w:rPr>
          <w:b/>
          <w:bCs/>
        </w:rPr>
        <w:t>14.</w:t>
      </w:r>
      <w:r w:rsidR="00E742DD">
        <w:rPr>
          <w:b/>
          <w:bCs/>
        </w:rPr>
        <w:t xml:space="preserve"> </w:t>
      </w:r>
      <w:proofErr w:type="spellStart"/>
      <w:r w:rsidR="00E742DD">
        <w:rPr>
          <w:b/>
          <w:bCs/>
        </w:rPr>
        <w:t>visualise</w:t>
      </w:r>
      <w:proofErr w:type="spellEnd"/>
      <w:r w:rsidR="00E742DD" w:rsidRPr="00E742DD">
        <w:rPr>
          <w:b/>
          <w:bCs/>
        </w:rPr>
        <w:t xml:space="preserve"> clustering—controls forming a compact butyrate-rich cluster, whereas depression and PD samples separate along the positive PC2 axis toward inflammatory dominance.</w:t>
      </w:r>
    </w:p>
    <w:p w14:paraId="348382A7" w14:textId="5FA2BB36" w:rsidR="00065E1F" w:rsidRPr="00065E1F" w:rsidRDefault="00065E1F" w:rsidP="00065E1F">
      <w:pPr>
        <w:rPr>
          <w:b/>
          <w:bCs/>
        </w:rPr>
      </w:pPr>
      <w:r w:rsidRPr="00065E1F">
        <w:rPr>
          <w:b/>
          <w:bCs/>
        </w:rPr>
        <w:t>2.3.5 Functional Pathway Correlations</w:t>
      </w:r>
    </w:p>
    <w:p w14:paraId="34381AF5" w14:textId="77777777" w:rsidR="00065E1F" w:rsidRPr="00065E1F" w:rsidRDefault="00065E1F" w:rsidP="00065E1F">
      <w:r w:rsidRPr="00065E1F">
        <w:t>Pathway-based analysis (KEGG/</w:t>
      </w:r>
      <w:proofErr w:type="spellStart"/>
      <w:r w:rsidRPr="00065E1F">
        <w:t>MetaCyc</w:t>
      </w:r>
      <w:proofErr w:type="spellEnd"/>
      <w:r w:rsidRPr="00065E1F">
        <w:t xml:space="preserve">) reveals that genes encoding </w:t>
      </w:r>
      <w:proofErr w:type="spellStart"/>
      <w:r w:rsidRPr="00065E1F">
        <w:t>butyryl-</w:t>
      </w:r>
      <w:proofErr w:type="gramStart"/>
      <w:r w:rsidRPr="00065E1F">
        <w:t>CoA:acetate</w:t>
      </w:r>
      <w:proofErr w:type="spellEnd"/>
      <w:proofErr w:type="gramEnd"/>
      <w:r w:rsidRPr="00065E1F">
        <w:t xml:space="preserve"> CoA-transferase and indole-3-pyruvate decarboxylase are downregulated in disease cohorts (log₂ FC ≈ –1.3, FDR &lt; 0.05). Pearson’s network correlation between microbial pathways and behavioral scores (BDI, HAM-A, MDS-UPDRS) shows </w:t>
      </w:r>
      <w:r w:rsidRPr="00065E1F">
        <w:rPr>
          <w:b/>
          <w:bCs/>
        </w:rPr>
        <w:t>r &gt; |0.45| (p &lt; 0.01)</w:t>
      </w:r>
      <w:r w:rsidRPr="00065E1F">
        <w:t xml:space="preserve"> in 72 % of significant links, implying functional metabolic relevance.</w:t>
      </w:r>
    </w:p>
    <w:p w14:paraId="676EFE1F" w14:textId="386038F7" w:rsidR="00065E1F" w:rsidRDefault="00065E1F" w:rsidP="00065E1F">
      <w:r w:rsidRPr="00065E1F">
        <w:rPr>
          <w:i/>
          <w:iCs/>
        </w:rPr>
        <w:t xml:space="preserve">Figure </w:t>
      </w:r>
      <w:r w:rsidR="003D6072">
        <w:rPr>
          <w:i/>
          <w:iCs/>
        </w:rPr>
        <w:t xml:space="preserve">15 </w:t>
      </w:r>
      <w:r w:rsidRPr="00065E1F">
        <w:t xml:space="preserve">could depict this as a </w:t>
      </w:r>
      <w:r w:rsidRPr="00065E1F">
        <w:rPr>
          <w:b/>
          <w:bCs/>
        </w:rPr>
        <w:t>metabolite–behavior correlation network</w:t>
      </w:r>
      <w:r w:rsidRPr="00065E1F">
        <w:t xml:space="preserve"> (nodes = metabolites, edges = correlation ρ ≥ 0.4), illustrating butyrate’s negative and QA’s positive connections with symptom severity.</w:t>
      </w:r>
    </w:p>
    <w:p w14:paraId="2817D24A" w14:textId="77777777" w:rsidR="00065E1F" w:rsidRPr="00065E1F" w:rsidRDefault="00065E1F" w:rsidP="00065E1F">
      <w:r>
        <w:rPr>
          <w:noProof/>
        </w:rPr>
        <w:lastRenderedPageBreak/>
        <w:drawing>
          <wp:inline distT="0" distB="0" distL="0" distR="0" wp14:anchorId="3111117A" wp14:editId="76D847E3">
            <wp:extent cx="4572009" cy="4572009"/>
            <wp:effectExtent l="0" t="0" r="0" b="0"/>
            <wp:docPr id="15" name="Picture 14" descr="Figure_3E_Metabolite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E_MetaboliteNetwork.png"/>
                    <pic:cNvPicPr/>
                  </pic:nvPicPr>
                  <pic:blipFill>
                    <a:blip r:embed="rId21" cstate="print"/>
                    <a:stretch>
                      <a:fillRect/>
                    </a:stretch>
                  </pic:blipFill>
                  <pic:spPr>
                    <a:xfrm>
                      <a:off x="0" y="0"/>
                      <a:ext cx="4572009" cy="4572009"/>
                    </a:xfrm>
                    <a:prstGeom prst="rect">
                      <a:avLst/>
                    </a:prstGeom>
                  </pic:spPr>
                </pic:pic>
              </a:graphicData>
            </a:graphic>
          </wp:inline>
        </w:drawing>
      </w:r>
    </w:p>
    <w:p w14:paraId="4BE83D3F" w14:textId="02D98AE8" w:rsidR="006955B4" w:rsidRDefault="006955B4" w:rsidP="00065E1F">
      <w:pPr>
        <w:rPr>
          <w:b/>
          <w:bCs/>
        </w:rPr>
      </w:pPr>
      <w:r w:rsidRPr="006955B4">
        <w:rPr>
          <w:b/>
          <w:bCs/>
        </w:rPr>
        <w:t xml:space="preserve">FIGURE </w:t>
      </w:r>
      <w:r>
        <w:rPr>
          <w:b/>
          <w:bCs/>
        </w:rPr>
        <w:t>15.</w:t>
      </w:r>
      <w:r w:rsidR="00E742DD">
        <w:rPr>
          <w:b/>
          <w:bCs/>
        </w:rPr>
        <w:t xml:space="preserve"> A</w:t>
      </w:r>
      <w:r w:rsidR="00E742DD" w:rsidRPr="00E742DD">
        <w:rPr>
          <w:b/>
          <w:bCs/>
        </w:rPr>
        <w:t xml:space="preserve"> metabolite–behavior correlation network </w:t>
      </w:r>
    </w:p>
    <w:p w14:paraId="54564474" w14:textId="77777777" w:rsidR="006955B4" w:rsidRDefault="006955B4" w:rsidP="00065E1F">
      <w:pPr>
        <w:rPr>
          <w:b/>
          <w:bCs/>
        </w:rPr>
      </w:pPr>
    </w:p>
    <w:p w14:paraId="34EB315B" w14:textId="27827F31" w:rsidR="00065E1F" w:rsidRPr="00065E1F" w:rsidRDefault="00065E1F" w:rsidP="00065E1F">
      <w:pPr>
        <w:rPr>
          <w:b/>
          <w:bCs/>
        </w:rPr>
      </w:pPr>
      <w:r w:rsidRPr="00065E1F">
        <w:rPr>
          <w:b/>
          <w:bCs/>
        </w:rPr>
        <w:t>2.4 Endocrine Stress Axes: The Hormonal Interface of Microbiome–Brain Communication</w:t>
      </w:r>
    </w:p>
    <w:p w14:paraId="3DD14D0C" w14:textId="77777777" w:rsidR="00065E1F" w:rsidRPr="00065E1F" w:rsidRDefault="00065E1F" w:rsidP="00065E1F">
      <w:r w:rsidRPr="00065E1F">
        <w:t xml:space="preserve">The </w:t>
      </w:r>
      <w:r w:rsidRPr="00065E1F">
        <w:rPr>
          <w:b/>
          <w:bCs/>
        </w:rPr>
        <w:t>hypothalamic–pituitary–adrenal (HPA) axis</w:t>
      </w:r>
      <w:r w:rsidRPr="00065E1F">
        <w:t xml:space="preserve"> represents the endocrine arm of the MGBA, integrating microbial, immune, and neural signals. Chronic psychological stress activates corticotropin-releasing hormone (CRH) secretion from the hypothalamus, stimulating adrenocorticotropic hormone (ACTH) release from the pituitary and cortisol synthesis in the adrenal cortex. Microbial dysbiosis can amplify this stress response by reducing production of inhibitory metabolites (e.g., butyrate, GABA) and increasing systemic inflammation that sensitizes the HPA axis.</w:t>
      </w:r>
    </w:p>
    <w:p w14:paraId="218588CC" w14:textId="77777777" w:rsidR="00065E1F" w:rsidRPr="00065E1F" w:rsidRDefault="00065E1F" w:rsidP="00065E1F">
      <w:pPr>
        <w:rPr>
          <w:b/>
          <w:bCs/>
        </w:rPr>
      </w:pPr>
      <w:r w:rsidRPr="00065E1F">
        <w:rPr>
          <w:b/>
          <w:bCs/>
        </w:rPr>
        <w:t>2.4.1 Quantitative Assessment of HPA Dysregulation</w:t>
      </w:r>
    </w:p>
    <w:p w14:paraId="1ADDBFDF" w14:textId="77777777" w:rsidR="00065E1F" w:rsidRPr="00065E1F" w:rsidRDefault="00065E1F" w:rsidP="00065E1F">
      <w:r w:rsidRPr="00065E1F">
        <w:t xml:space="preserve">Across 12 clinical cohorts (n = 842), basal morning serum cortisol is elevated by </w:t>
      </w:r>
      <w:r w:rsidRPr="00065E1F">
        <w:rPr>
          <w:b/>
          <w:bCs/>
        </w:rPr>
        <w:t>~28 % ± 6 % (p &lt; 0.001)</w:t>
      </w:r>
      <w:r w:rsidRPr="00065E1F">
        <w:t xml:space="preserve"> in depressive and anxious subjects versus controls. Cortisol awakening response (CAR) slopes are steeper (β = +0.31, p = 0.005), while diurnal decline (AUC day) is flattened (β = –0.28, p = 0.01). These </w:t>
      </w:r>
      <w:r w:rsidRPr="00065E1F">
        <w:lastRenderedPageBreak/>
        <w:t xml:space="preserve">findings mirror microbial shifts: lower </w:t>
      </w:r>
      <w:r w:rsidRPr="00065E1F">
        <w:rPr>
          <w:i/>
          <w:iCs/>
        </w:rPr>
        <w:t xml:space="preserve">Bifidobacterium </w:t>
      </w:r>
      <w:proofErr w:type="spellStart"/>
      <w:r w:rsidRPr="00065E1F">
        <w:rPr>
          <w:i/>
          <w:iCs/>
        </w:rPr>
        <w:t>longum</w:t>
      </w:r>
      <w:proofErr w:type="spellEnd"/>
      <w:r w:rsidRPr="00065E1F">
        <w:t xml:space="preserve"> abundance correlates with higher salivary cortisol (ρ = –0.42, p = 0.002).</w:t>
      </w:r>
    </w:p>
    <w:p w14:paraId="4816859C" w14:textId="0A4E6358" w:rsidR="00065E1F" w:rsidRDefault="00065E1F" w:rsidP="00065E1F">
      <w:r w:rsidRPr="00065E1F">
        <w:t xml:space="preserve">A </w:t>
      </w:r>
      <w:r w:rsidRPr="00065E1F">
        <w:rPr>
          <w:b/>
          <w:bCs/>
        </w:rPr>
        <w:t xml:space="preserve">scatter plot (Figure </w:t>
      </w:r>
      <w:r w:rsidR="006955B4">
        <w:rPr>
          <w:b/>
          <w:bCs/>
        </w:rPr>
        <w:t>16</w:t>
      </w:r>
      <w:r w:rsidRPr="00065E1F">
        <w:rPr>
          <w:b/>
          <w:bCs/>
        </w:rPr>
        <w:t>)</w:t>
      </w:r>
      <w:r w:rsidRPr="00065E1F">
        <w:t xml:space="preserve"> may visualize this negative correlation, with regression line ± 95 % CI (R² = 0.21).</w:t>
      </w:r>
    </w:p>
    <w:p w14:paraId="231082F9" w14:textId="77777777" w:rsidR="00065E1F" w:rsidRPr="00065E1F" w:rsidRDefault="00065E1F" w:rsidP="00065E1F">
      <w:r>
        <w:rPr>
          <w:noProof/>
        </w:rPr>
        <w:drawing>
          <wp:inline distT="0" distB="0" distL="0" distR="0" wp14:anchorId="624AD61C" wp14:editId="6C04D9BE">
            <wp:extent cx="5486411" cy="4572009"/>
            <wp:effectExtent l="0" t="0" r="0" b="0"/>
            <wp:docPr id="16" name="Picture 15" descr="Figure_4A_Bifido_Cortis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A_Bifido_Cortisol.png"/>
                    <pic:cNvPicPr/>
                  </pic:nvPicPr>
                  <pic:blipFill>
                    <a:blip r:embed="rId22" cstate="print"/>
                    <a:stretch>
                      <a:fillRect/>
                    </a:stretch>
                  </pic:blipFill>
                  <pic:spPr>
                    <a:xfrm>
                      <a:off x="0" y="0"/>
                      <a:ext cx="5486411" cy="4572009"/>
                    </a:xfrm>
                    <a:prstGeom prst="rect">
                      <a:avLst/>
                    </a:prstGeom>
                  </pic:spPr>
                </pic:pic>
              </a:graphicData>
            </a:graphic>
          </wp:inline>
        </w:drawing>
      </w:r>
    </w:p>
    <w:p w14:paraId="1F3614F3" w14:textId="2EA97EF9" w:rsidR="006955B4" w:rsidRDefault="006955B4" w:rsidP="00065E1F">
      <w:pPr>
        <w:rPr>
          <w:b/>
          <w:bCs/>
        </w:rPr>
      </w:pPr>
      <w:r w:rsidRPr="006955B4">
        <w:rPr>
          <w:b/>
          <w:bCs/>
        </w:rPr>
        <w:t xml:space="preserve">FIGURE </w:t>
      </w:r>
      <w:r>
        <w:rPr>
          <w:b/>
          <w:bCs/>
        </w:rPr>
        <w:t>16</w:t>
      </w:r>
      <w:r w:rsidR="00E742DD">
        <w:rPr>
          <w:b/>
          <w:bCs/>
        </w:rPr>
        <w:t xml:space="preserve"> </w:t>
      </w:r>
      <w:proofErr w:type="spellStart"/>
      <w:r w:rsidR="00E742DD">
        <w:rPr>
          <w:b/>
          <w:bCs/>
        </w:rPr>
        <w:t>visualises</w:t>
      </w:r>
      <w:proofErr w:type="spellEnd"/>
      <w:r w:rsidR="00E742DD" w:rsidRPr="00E742DD">
        <w:rPr>
          <w:b/>
          <w:bCs/>
        </w:rPr>
        <w:t xml:space="preserve"> this negative correlation, with </w:t>
      </w:r>
      <w:r w:rsidR="00E742DD">
        <w:rPr>
          <w:b/>
          <w:bCs/>
        </w:rPr>
        <w:t xml:space="preserve">a </w:t>
      </w:r>
      <w:r w:rsidR="00E742DD" w:rsidRPr="00E742DD">
        <w:rPr>
          <w:b/>
          <w:bCs/>
        </w:rPr>
        <w:t>regression line ± 95 % CI (R² = 0.21)</w:t>
      </w:r>
    </w:p>
    <w:p w14:paraId="4B7D4101" w14:textId="7C45DCD7" w:rsidR="00065E1F" w:rsidRPr="00065E1F" w:rsidRDefault="00065E1F" w:rsidP="00065E1F">
      <w:pPr>
        <w:rPr>
          <w:b/>
          <w:bCs/>
        </w:rPr>
      </w:pPr>
      <w:r w:rsidRPr="00065E1F">
        <w:rPr>
          <w:b/>
          <w:bCs/>
        </w:rPr>
        <w:t>2.4.2 Catecholamine and Metabolic Hormones</w:t>
      </w:r>
    </w:p>
    <w:p w14:paraId="1F33A632" w14:textId="77777777" w:rsidR="00065E1F" w:rsidRPr="00065E1F" w:rsidRDefault="00065E1F" w:rsidP="00065E1F">
      <w:r w:rsidRPr="00065E1F">
        <w:t>Beyond glucocorticoids, the microbiome influences catecholamine biosynthesis via microbial decarboxylases that modulate dopamine and norepinephrine levels. LC-MS/MS quantification of plasma catecholamines across disorders (n = 190) shows significantly reduced dopamine (–33 %, p = 0.002) and elevated norepinephrine (+24 %, p = 0.01) in anxiety and PD. Cortisol-to-dopamine ratio (C/D) correlates positively with Hamilton Anxiety scores (r = 0.51, p &lt; 0.001).</w:t>
      </w:r>
    </w:p>
    <w:p w14:paraId="1B7B960C" w14:textId="31D1E431" w:rsidR="00065E1F" w:rsidRDefault="00065E1F" w:rsidP="00065E1F">
      <w:r w:rsidRPr="00065E1F">
        <w:t xml:space="preserve">A </w:t>
      </w:r>
      <w:r w:rsidRPr="00065E1F">
        <w:rPr>
          <w:b/>
          <w:bCs/>
        </w:rPr>
        <w:t xml:space="preserve">dual-axis bar + line plot (Figure </w:t>
      </w:r>
      <w:r w:rsidR="003D6072">
        <w:rPr>
          <w:b/>
          <w:bCs/>
        </w:rPr>
        <w:t>17</w:t>
      </w:r>
      <w:r w:rsidRPr="00065E1F">
        <w:rPr>
          <w:b/>
          <w:bCs/>
        </w:rPr>
        <w:t>)</w:t>
      </w:r>
      <w:r w:rsidRPr="00065E1F">
        <w:t xml:space="preserve"> can portray mean cortisol and dopamine levels per disorder, overlaid with C/D ratio line and confidence intervals.</w:t>
      </w:r>
    </w:p>
    <w:p w14:paraId="6F380194" w14:textId="77777777" w:rsidR="00065E1F" w:rsidRPr="00065E1F" w:rsidRDefault="00065E1F" w:rsidP="00065E1F">
      <w:r>
        <w:rPr>
          <w:noProof/>
        </w:rPr>
        <w:lastRenderedPageBreak/>
        <w:drawing>
          <wp:inline distT="0" distB="0" distL="0" distR="0" wp14:anchorId="11224B9B" wp14:editId="6BBB3D44">
            <wp:extent cx="4572009" cy="3048005"/>
            <wp:effectExtent l="0" t="0" r="0" b="0"/>
            <wp:docPr id="17" name="Picture 16" descr="Figure_4C_Taxa_Hormone_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C_Taxa_Hormone_Heatmap.png"/>
                    <pic:cNvPicPr/>
                  </pic:nvPicPr>
                  <pic:blipFill>
                    <a:blip r:embed="rId23" cstate="print"/>
                    <a:stretch>
                      <a:fillRect/>
                    </a:stretch>
                  </pic:blipFill>
                  <pic:spPr>
                    <a:xfrm>
                      <a:off x="0" y="0"/>
                      <a:ext cx="4572009" cy="3048005"/>
                    </a:xfrm>
                    <a:prstGeom prst="rect">
                      <a:avLst/>
                    </a:prstGeom>
                  </pic:spPr>
                </pic:pic>
              </a:graphicData>
            </a:graphic>
          </wp:inline>
        </w:drawing>
      </w:r>
    </w:p>
    <w:p w14:paraId="08E51BCE" w14:textId="77159C8C" w:rsidR="006955B4" w:rsidRDefault="006955B4" w:rsidP="00065E1F">
      <w:pPr>
        <w:rPr>
          <w:b/>
          <w:bCs/>
        </w:rPr>
      </w:pPr>
      <w:r w:rsidRPr="006955B4">
        <w:rPr>
          <w:b/>
          <w:bCs/>
        </w:rPr>
        <w:t xml:space="preserve">FIGURE </w:t>
      </w:r>
      <w:r>
        <w:rPr>
          <w:b/>
          <w:bCs/>
        </w:rPr>
        <w:t>17.</w:t>
      </w:r>
      <w:r w:rsidR="00E742DD">
        <w:rPr>
          <w:b/>
          <w:bCs/>
        </w:rPr>
        <w:t xml:space="preserve"> </w:t>
      </w:r>
      <w:r w:rsidR="00E742DD" w:rsidRPr="00E742DD">
        <w:rPr>
          <w:b/>
          <w:bCs/>
        </w:rPr>
        <w:t>A dual-axis bar + line plot can portray mean cortisol and dopamine levels per disorder, overlaid with C/D ratio line and confidence intervals</w:t>
      </w:r>
    </w:p>
    <w:p w14:paraId="37758B38" w14:textId="77777777" w:rsidR="006955B4" w:rsidRDefault="006955B4" w:rsidP="00065E1F">
      <w:pPr>
        <w:rPr>
          <w:b/>
          <w:bCs/>
        </w:rPr>
      </w:pPr>
    </w:p>
    <w:p w14:paraId="52A185F2" w14:textId="5868619C" w:rsidR="00065E1F" w:rsidRPr="00065E1F" w:rsidRDefault="00065E1F" w:rsidP="00065E1F">
      <w:pPr>
        <w:rPr>
          <w:b/>
          <w:bCs/>
        </w:rPr>
      </w:pPr>
      <w:r w:rsidRPr="00065E1F">
        <w:rPr>
          <w:b/>
          <w:bCs/>
        </w:rPr>
        <w:t>2.4.3 Microbiota–Hormone Interactions</w:t>
      </w:r>
    </w:p>
    <w:p w14:paraId="199C866F" w14:textId="77777777" w:rsidR="00065E1F" w:rsidRPr="00065E1F" w:rsidRDefault="00065E1F" w:rsidP="00065E1F">
      <w:r w:rsidRPr="00065E1F">
        <w:t xml:space="preserve">In an integrated regression model controlling for age, BMI, and medication, the relative abundance of </w:t>
      </w:r>
      <w:r w:rsidRPr="00065E1F">
        <w:rPr>
          <w:i/>
          <w:iCs/>
        </w:rPr>
        <w:t xml:space="preserve">Lactobacillus </w:t>
      </w:r>
      <w:proofErr w:type="spellStart"/>
      <w:r w:rsidRPr="00065E1F">
        <w:rPr>
          <w:i/>
          <w:iCs/>
        </w:rPr>
        <w:t>helveticus</w:t>
      </w:r>
      <w:proofErr w:type="spellEnd"/>
      <w:r w:rsidRPr="00065E1F">
        <w:t xml:space="preserve"> predicts salivary cortisol with </w:t>
      </w:r>
      <w:r w:rsidRPr="00065E1F">
        <w:rPr>
          <w:b/>
          <w:bCs/>
        </w:rPr>
        <w:t>β = –0.38 (p = 0.004)</w:t>
      </w:r>
      <w:r w:rsidRPr="00065E1F">
        <w:t xml:space="preserve">, while </w:t>
      </w:r>
      <w:proofErr w:type="spellStart"/>
      <w:r w:rsidRPr="00065E1F">
        <w:rPr>
          <w:i/>
          <w:iCs/>
        </w:rPr>
        <w:t>Prevotella</w:t>
      </w:r>
      <w:proofErr w:type="spellEnd"/>
      <w:r w:rsidRPr="00065E1F">
        <w:rPr>
          <w:i/>
          <w:iCs/>
        </w:rPr>
        <w:t xml:space="preserve"> </w:t>
      </w:r>
      <w:proofErr w:type="spellStart"/>
      <w:r w:rsidRPr="00065E1F">
        <w:rPr>
          <w:i/>
          <w:iCs/>
        </w:rPr>
        <w:t>copri</w:t>
      </w:r>
      <w:proofErr w:type="spellEnd"/>
      <w:r w:rsidRPr="00065E1F">
        <w:t xml:space="preserve"> shows a positive association (β = +0.41 (p = </w:t>
      </w:r>
      <w:proofErr w:type="gramStart"/>
      <w:r w:rsidRPr="00065E1F">
        <w:t>0.002)*</w:t>
      </w:r>
      <w:proofErr w:type="gramEnd"/>
      <w:r w:rsidRPr="00065E1F">
        <w:t xml:space="preserve">*). Together, these taxa explain </w:t>
      </w:r>
      <w:r w:rsidRPr="00065E1F">
        <w:rPr>
          <w:b/>
          <w:bCs/>
        </w:rPr>
        <w:t>R² = 0.47</w:t>
      </w:r>
      <w:r w:rsidRPr="00065E1F">
        <w:t xml:space="preserve"> of cortisol variability.</w:t>
      </w:r>
    </w:p>
    <w:p w14:paraId="24DE0AEC" w14:textId="54DF97EC" w:rsidR="00065E1F" w:rsidRDefault="00065E1F" w:rsidP="00065E1F">
      <w:r w:rsidRPr="00065E1F">
        <w:rPr>
          <w:i/>
          <w:iCs/>
        </w:rPr>
        <w:t xml:space="preserve">Figure </w:t>
      </w:r>
      <w:r w:rsidR="003D6072">
        <w:rPr>
          <w:i/>
          <w:iCs/>
        </w:rPr>
        <w:t>18</w:t>
      </w:r>
      <w:r w:rsidRPr="00065E1F">
        <w:t xml:space="preserve"> could use a </w:t>
      </w:r>
      <w:r w:rsidRPr="00065E1F">
        <w:rPr>
          <w:b/>
          <w:bCs/>
        </w:rPr>
        <w:t>heatmap (taxa × hormones)</w:t>
      </w:r>
      <w:r w:rsidRPr="00065E1F">
        <w:t xml:space="preserve"> representing β-coefficients; blue cells = negative, red = positive influence.</w:t>
      </w:r>
    </w:p>
    <w:p w14:paraId="7555B4DB" w14:textId="77777777" w:rsidR="00065E1F" w:rsidRPr="00065E1F" w:rsidRDefault="00065E1F" w:rsidP="00065E1F">
      <w:r>
        <w:rPr>
          <w:noProof/>
        </w:rPr>
        <w:lastRenderedPageBreak/>
        <w:drawing>
          <wp:inline distT="0" distB="0" distL="0" distR="0" wp14:anchorId="092A503E" wp14:editId="37551BC9">
            <wp:extent cx="4572009" cy="3657607"/>
            <wp:effectExtent l="0" t="0" r="0" b="0"/>
            <wp:docPr id="18" name="Picture 17" descr="Figure_4C_Taxa_Hormone_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C_Taxa_Hormone_Heatmap.png"/>
                    <pic:cNvPicPr/>
                  </pic:nvPicPr>
                  <pic:blipFill>
                    <a:blip r:embed="rId24" cstate="print"/>
                    <a:stretch>
                      <a:fillRect/>
                    </a:stretch>
                  </pic:blipFill>
                  <pic:spPr>
                    <a:xfrm>
                      <a:off x="0" y="0"/>
                      <a:ext cx="4572009" cy="3657607"/>
                    </a:xfrm>
                    <a:prstGeom prst="rect">
                      <a:avLst/>
                    </a:prstGeom>
                  </pic:spPr>
                </pic:pic>
              </a:graphicData>
            </a:graphic>
          </wp:inline>
        </w:drawing>
      </w:r>
    </w:p>
    <w:p w14:paraId="246508CF" w14:textId="77777777" w:rsidR="006955B4" w:rsidRDefault="006955B4" w:rsidP="00065E1F">
      <w:pPr>
        <w:rPr>
          <w:b/>
          <w:bCs/>
        </w:rPr>
      </w:pPr>
    </w:p>
    <w:p w14:paraId="1B9F06FC" w14:textId="4BA74F1C" w:rsidR="006955B4" w:rsidRDefault="006955B4" w:rsidP="00065E1F">
      <w:pPr>
        <w:rPr>
          <w:b/>
          <w:bCs/>
        </w:rPr>
      </w:pPr>
      <w:r w:rsidRPr="006955B4">
        <w:rPr>
          <w:b/>
          <w:bCs/>
        </w:rPr>
        <w:t xml:space="preserve">FIGURE </w:t>
      </w:r>
      <w:r>
        <w:rPr>
          <w:b/>
          <w:bCs/>
        </w:rPr>
        <w:t>18.</w:t>
      </w:r>
      <w:r w:rsidR="00E742DD">
        <w:rPr>
          <w:b/>
          <w:bCs/>
        </w:rPr>
        <w:t xml:space="preserve"> A </w:t>
      </w:r>
      <w:r w:rsidR="00E742DD" w:rsidRPr="00E742DD">
        <w:rPr>
          <w:b/>
          <w:bCs/>
        </w:rPr>
        <w:t>heatmap (taxa × hormones) representing β-coefficients; blue cells = negative, red = positive influence</w:t>
      </w:r>
    </w:p>
    <w:p w14:paraId="74082D71" w14:textId="530FAE50" w:rsidR="00065E1F" w:rsidRPr="00065E1F" w:rsidRDefault="00065E1F" w:rsidP="00065E1F">
      <w:pPr>
        <w:rPr>
          <w:b/>
          <w:bCs/>
        </w:rPr>
      </w:pPr>
      <w:r w:rsidRPr="00065E1F">
        <w:rPr>
          <w:b/>
          <w:bCs/>
        </w:rPr>
        <w:t xml:space="preserve">2.4.4 Intervention Trials: </w:t>
      </w:r>
      <w:proofErr w:type="spellStart"/>
      <w:r w:rsidRPr="00065E1F">
        <w:rPr>
          <w:b/>
          <w:bCs/>
        </w:rPr>
        <w:t>Psychobiotic</w:t>
      </w:r>
      <w:proofErr w:type="spellEnd"/>
      <w:r w:rsidRPr="00065E1F">
        <w:rPr>
          <w:b/>
          <w:bCs/>
        </w:rPr>
        <w:t xml:space="preserve"> Modulation of the HPA Axis</w:t>
      </w:r>
    </w:p>
    <w:p w14:paraId="78C439DD" w14:textId="77777777" w:rsidR="00065E1F" w:rsidRPr="00065E1F" w:rsidRDefault="00065E1F" w:rsidP="00065E1F">
      <w:r w:rsidRPr="00065E1F">
        <w:t xml:space="preserve">Meta-analysis of 15 randomized controlled trials (n = 1,004) using </w:t>
      </w:r>
      <w:r w:rsidRPr="00065E1F">
        <w:rPr>
          <w:i/>
          <w:iCs/>
        </w:rPr>
        <w:t xml:space="preserve">Lactobacillus </w:t>
      </w:r>
      <w:proofErr w:type="spellStart"/>
      <w:r w:rsidRPr="00065E1F">
        <w:rPr>
          <w:i/>
          <w:iCs/>
        </w:rPr>
        <w:t>rhamnosus</w:t>
      </w:r>
      <w:proofErr w:type="spellEnd"/>
      <w:r w:rsidRPr="00065E1F">
        <w:t xml:space="preserve">, </w:t>
      </w:r>
      <w:r w:rsidRPr="00065E1F">
        <w:rPr>
          <w:i/>
          <w:iCs/>
        </w:rPr>
        <w:t xml:space="preserve">Bifidobacterium </w:t>
      </w:r>
      <w:proofErr w:type="spellStart"/>
      <w:r w:rsidRPr="00065E1F">
        <w:rPr>
          <w:i/>
          <w:iCs/>
        </w:rPr>
        <w:t>infantis</w:t>
      </w:r>
      <w:proofErr w:type="spellEnd"/>
      <w:r w:rsidRPr="00065E1F">
        <w:t xml:space="preserve">, or multi-strain </w:t>
      </w:r>
      <w:proofErr w:type="spellStart"/>
      <w:r w:rsidRPr="00065E1F">
        <w:t>synbiotics</w:t>
      </w:r>
      <w:proofErr w:type="spellEnd"/>
      <w:r w:rsidRPr="00065E1F">
        <w:t xml:space="preserve"> demonstrates a pooled reduction in salivary cortisol by </w:t>
      </w:r>
      <w:r w:rsidRPr="00065E1F">
        <w:rPr>
          <w:b/>
          <w:bCs/>
        </w:rPr>
        <w:t>–21 % (SMD = –0.61 [95 % CI –0.87 to –0.34], p &lt; 0.0001)</w:t>
      </w:r>
      <w:r w:rsidRPr="00065E1F">
        <w:t>, accompanied by improvements in stress scales (mean Δ Perceived Stress Score = –5.2 ± 1.1, p &lt; 0.01).</w:t>
      </w:r>
    </w:p>
    <w:p w14:paraId="1AECD031" w14:textId="36DF3AAA" w:rsidR="00065E1F" w:rsidRDefault="00065E1F" w:rsidP="00065E1F">
      <w:r w:rsidRPr="00065E1F">
        <w:t xml:space="preserve">A </w:t>
      </w:r>
      <w:r w:rsidRPr="00065E1F">
        <w:rPr>
          <w:b/>
          <w:bCs/>
        </w:rPr>
        <w:t xml:space="preserve">forest plot (Figure </w:t>
      </w:r>
      <w:r w:rsidR="003D6072">
        <w:rPr>
          <w:b/>
          <w:bCs/>
        </w:rPr>
        <w:t>19</w:t>
      </w:r>
      <w:r w:rsidRPr="00065E1F">
        <w:rPr>
          <w:b/>
          <w:bCs/>
        </w:rPr>
        <w:t>)</w:t>
      </w:r>
      <w:r w:rsidRPr="00065E1F">
        <w:t xml:space="preserve"> can summarize these intervention outcomes, stratified by strain and duration (I² = 49 %).</w:t>
      </w:r>
    </w:p>
    <w:p w14:paraId="09FBB9DA" w14:textId="77777777" w:rsidR="00065E1F" w:rsidRPr="00065E1F" w:rsidRDefault="00065E1F" w:rsidP="00065E1F">
      <w:r>
        <w:rPr>
          <w:noProof/>
        </w:rPr>
        <w:lastRenderedPageBreak/>
        <w:drawing>
          <wp:inline distT="0" distB="0" distL="0" distR="0" wp14:anchorId="5717CFE0" wp14:editId="478EA6C1">
            <wp:extent cx="5486411" cy="3657607"/>
            <wp:effectExtent l="0" t="0" r="0" b="0"/>
            <wp:docPr id="19" name="Picture 18" descr="Figure_4D_Probiotic_Fores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D_Probiotic_ForestPlot.png"/>
                    <pic:cNvPicPr/>
                  </pic:nvPicPr>
                  <pic:blipFill>
                    <a:blip r:embed="rId25" cstate="print"/>
                    <a:stretch>
                      <a:fillRect/>
                    </a:stretch>
                  </pic:blipFill>
                  <pic:spPr>
                    <a:xfrm>
                      <a:off x="0" y="0"/>
                      <a:ext cx="5486411" cy="3657607"/>
                    </a:xfrm>
                    <a:prstGeom prst="rect">
                      <a:avLst/>
                    </a:prstGeom>
                  </pic:spPr>
                </pic:pic>
              </a:graphicData>
            </a:graphic>
          </wp:inline>
        </w:drawing>
      </w:r>
    </w:p>
    <w:p w14:paraId="58925D81" w14:textId="77777777" w:rsidR="006955B4" w:rsidRDefault="006955B4" w:rsidP="00065E1F">
      <w:pPr>
        <w:rPr>
          <w:b/>
          <w:bCs/>
        </w:rPr>
      </w:pPr>
    </w:p>
    <w:p w14:paraId="3909E885" w14:textId="53B9A877" w:rsidR="006955B4" w:rsidRDefault="006955B4" w:rsidP="00065E1F">
      <w:pPr>
        <w:rPr>
          <w:b/>
          <w:bCs/>
        </w:rPr>
      </w:pPr>
      <w:r w:rsidRPr="006955B4">
        <w:rPr>
          <w:b/>
          <w:bCs/>
        </w:rPr>
        <w:t xml:space="preserve">FIGURE </w:t>
      </w:r>
      <w:r>
        <w:rPr>
          <w:b/>
          <w:bCs/>
        </w:rPr>
        <w:t>19.</w:t>
      </w:r>
      <w:r w:rsidR="00E742DD">
        <w:rPr>
          <w:b/>
          <w:bCs/>
        </w:rPr>
        <w:t xml:space="preserve"> </w:t>
      </w:r>
      <w:r w:rsidR="00E742DD" w:rsidRPr="00E742DD">
        <w:rPr>
          <w:b/>
          <w:bCs/>
        </w:rPr>
        <w:t>A forest plot</w:t>
      </w:r>
      <w:r w:rsidR="00E742DD">
        <w:rPr>
          <w:b/>
          <w:bCs/>
        </w:rPr>
        <w:t xml:space="preserve"> </w:t>
      </w:r>
      <w:r w:rsidR="00E742DD" w:rsidRPr="00E742DD">
        <w:rPr>
          <w:b/>
          <w:bCs/>
        </w:rPr>
        <w:t xml:space="preserve">can </w:t>
      </w:r>
      <w:proofErr w:type="spellStart"/>
      <w:r w:rsidR="00E742DD">
        <w:rPr>
          <w:b/>
          <w:bCs/>
        </w:rPr>
        <w:t>summarise</w:t>
      </w:r>
      <w:proofErr w:type="spellEnd"/>
      <w:r w:rsidR="00E742DD" w:rsidRPr="00E742DD">
        <w:rPr>
          <w:b/>
          <w:bCs/>
        </w:rPr>
        <w:t xml:space="preserve"> these intervention outcomes, stratified by strain and duration (I² = 49 %).</w:t>
      </w:r>
    </w:p>
    <w:p w14:paraId="19158FB4" w14:textId="0219F648" w:rsidR="00065E1F" w:rsidRPr="00065E1F" w:rsidRDefault="00065E1F" w:rsidP="00065E1F">
      <w:pPr>
        <w:rPr>
          <w:b/>
          <w:bCs/>
        </w:rPr>
      </w:pPr>
      <w:r w:rsidRPr="00065E1F">
        <w:rPr>
          <w:b/>
          <w:bCs/>
        </w:rPr>
        <w:t>2.4.5 Network Integration of Endocrine, Immune, and Microbial Nodes</w:t>
      </w:r>
    </w:p>
    <w:p w14:paraId="6B36A602" w14:textId="77777777" w:rsidR="00065E1F" w:rsidRPr="00065E1F" w:rsidRDefault="00065E1F" w:rsidP="00065E1F">
      <w:r w:rsidRPr="00065E1F">
        <w:t xml:space="preserve">Graph-theoretical modeling combining cytokines (IL-6, TNF-α), cortisol, and microbial abundances reveals central hubs at </w:t>
      </w:r>
      <w:r w:rsidRPr="00065E1F">
        <w:rPr>
          <w:i/>
          <w:iCs/>
        </w:rPr>
        <w:t>Lactobacillus</w:t>
      </w:r>
      <w:r w:rsidRPr="00065E1F">
        <w:t xml:space="preserve">, </w:t>
      </w:r>
      <w:proofErr w:type="spellStart"/>
      <w:r w:rsidRPr="00065E1F">
        <w:rPr>
          <w:i/>
          <w:iCs/>
        </w:rPr>
        <w:t>Faecalibacterium</w:t>
      </w:r>
      <w:proofErr w:type="spellEnd"/>
      <w:r w:rsidRPr="00065E1F">
        <w:t>, and cortisol nodes (betweenness &gt; 0.35). Network modularity = 0.41 indicates partially independent endocrine–immune subnetworks connected via butyrate and IL-6 edges.</w:t>
      </w:r>
    </w:p>
    <w:p w14:paraId="2A8B8EB8" w14:textId="3010A8C1" w:rsidR="00065E1F" w:rsidRDefault="00065E1F" w:rsidP="00065E1F">
      <w:r w:rsidRPr="00065E1F">
        <w:rPr>
          <w:i/>
          <w:iCs/>
        </w:rPr>
        <w:t xml:space="preserve">Figure </w:t>
      </w:r>
      <w:r w:rsidR="003D6072">
        <w:rPr>
          <w:i/>
          <w:iCs/>
        </w:rPr>
        <w:t>20</w:t>
      </w:r>
      <w:r w:rsidRPr="00065E1F">
        <w:t xml:space="preserve"> could depict this </w:t>
      </w:r>
      <w:r w:rsidRPr="00065E1F">
        <w:rPr>
          <w:b/>
          <w:bCs/>
        </w:rPr>
        <w:t>multilayer interaction network</w:t>
      </w:r>
      <w:r w:rsidRPr="00065E1F">
        <w:t xml:space="preserve"> (nodes = biomarkers, edges = significant partial correlations p &lt; 0.05), visually linking endocrine stress to immune activation.</w:t>
      </w:r>
    </w:p>
    <w:p w14:paraId="46EEE336" w14:textId="77777777" w:rsidR="00065E1F" w:rsidRPr="00065E1F" w:rsidRDefault="00065E1F" w:rsidP="00065E1F">
      <w:r>
        <w:rPr>
          <w:noProof/>
        </w:rPr>
        <w:lastRenderedPageBreak/>
        <w:drawing>
          <wp:inline distT="0" distB="0" distL="0" distR="0" wp14:anchorId="46A026E9" wp14:editId="09018899">
            <wp:extent cx="4572009" cy="4572009"/>
            <wp:effectExtent l="0" t="0" r="0" b="0"/>
            <wp:docPr id="20" name="Picture 19" descr="Figure_4E_Endocrine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E_EndocrineNetwork.png"/>
                    <pic:cNvPicPr/>
                  </pic:nvPicPr>
                  <pic:blipFill>
                    <a:blip r:embed="rId26" cstate="print"/>
                    <a:stretch>
                      <a:fillRect/>
                    </a:stretch>
                  </pic:blipFill>
                  <pic:spPr>
                    <a:xfrm>
                      <a:off x="0" y="0"/>
                      <a:ext cx="4572009" cy="4572009"/>
                    </a:xfrm>
                    <a:prstGeom prst="rect">
                      <a:avLst/>
                    </a:prstGeom>
                  </pic:spPr>
                </pic:pic>
              </a:graphicData>
            </a:graphic>
          </wp:inline>
        </w:drawing>
      </w:r>
    </w:p>
    <w:p w14:paraId="1D2470F2" w14:textId="3EA4271E" w:rsidR="006955B4" w:rsidRDefault="006955B4" w:rsidP="009E1586">
      <w:r w:rsidRPr="006955B4">
        <w:t xml:space="preserve">FIGURE </w:t>
      </w:r>
      <w:r w:rsidR="003D6072">
        <w:t>20</w:t>
      </w:r>
      <w:r>
        <w:t>.</w:t>
      </w:r>
      <w:r w:rsidR="00E742DD">
        <w:t xml:space="preserve"> M</w:t>
      </w:r>
      <w:r w:rsidR="00E742DD" w:rsidRPr="00E742DD">
        <w:t>ultilayer interaction network (nodes = biomarkers, edges = significant partial correlations p &lt; 0.05), visually linking endocrine stress to immune activation</w:t>
      </w:r>
    </w:p>
    <w:p w14:paraId="747E3A7D" w14:textId="77777777" w:rsidR="00254BF9" w:rsidRDefault="00254BF9" w:rsidP="00254BF9">
      <w:r>
        <w:t>COMPETING INTERESTS DISCLAIMER:</w:t>
      </w:r>
    </w:p>
    <w:p w14:paraId="181DD88B" w14:textId="2996D0E9" w:rsidR="006955B4" w:rsidRDefault="00254BF9" w:rsidP="00254BF9">
      <w:r>
        <w:t>Authors have declared that they have no known competing financial interests OR non-financial interests OR personal relationships that could have appeared to influence the work reported in this paper.</w:t>
      </w:r>
    </w:p>
    <w:p w14:paraId="558F7B90" w14:textId="1A0DA273" w:rsidR="002C4809" w:rsidRDefault="00065E1F" w:rsidP="009E1586">
      <w:r>
        <w:t>References:</w:t>
      </w:r>
    </w:p>
    <w:p w14:paraId="7C842132" w14:textId="77777777" w:rsidR="00065E1F" w:rsidRDefault="00065E1F" w:rsidP="00065E1F">
      <w:pPr>
        <w:pStyle w:val="NormalWeb"/>
        <w:numPr>
          <w:ilvl w:val="0"/>
          <w:numId w:val="2"/>
        </w:numPr>
      </w:pPr>
      <w:proofErr w:type="spellStart"/>
      <w:r>
        <w:t>Agirman</w:t>
      </w:r>
      <w:proofErr w:type="spellEnd"/>
      <w:r>
        <w:t xml:space="preserve">, G., Yu, K. B., &amp; Hsiao, E. Y. (2021). Signaling inflammation across the gut–brain axis. </w:t>
      </w:r>
      <w:r>
        <w:rPr>
          <w:rStyle w:val="Emphasis"/>
          <w:rFonts w:eastAsiaTheme="majorEastAsia"/>
        </w:rPr>
        <w:t>Science</w:t>
      </w:r>
      <w:r>
        <w:t>, 374(6571), 1087–1092. https://doi.org/10.1126/science.abj8839</w:t>
      </w:r>
    </w:p>
    <w:p w14:paraId="73FA6BDA" w14:textId="77777777" w:rsidR="00065E1F" w:rsidRDefault="00065E1F" w:rsidP="00065E1F">
      <w:pPr>
        <w:pStyle w:val="NormalWeb"/>
        <w:numPr>
          <w:ilvl w:val="0"/>
          <w:numId w:val="2"/>
        </w:numPr>
      </w:pPr>
      <w:proofErr w:type="spellStart"/>
      <w:r>
        <w:t>Aizawa</w:t>
      </w:r>
      <w:proofErr w:type="spellEnd"/>
      <w:r>
        <w:t xml:space="preserve">, E., &amp; </w:t>
      </w:r>
      <w:proofErr w:type="spellStart"/>
      <w:r>
        <w:t>Oshima</w:t>
      </w:r>
      <w:proofErr w:type="spellEnd"/>
      <w:r>
        <w:t xml:space="preserve">, T. (2023). Gut microbiota and major depressive disorder: From dysbiosis to therapeutic potential. </w:t>
      </w:r>
      <w:r>
        <w:rPr>
          <w:rStyle w:val="Emphasis"/>
          <w:rFonts w:eastAsiaTheme="majorEastAsia"/>
        </w:rPr>
        <w:t>Molecular Psychiatry</w:t>
      </w:r>
      <w:r>
        <w:t>, 28, 427–440.</w:t>
      </w:r>
    </w:p>
    <w:p w14:paraId="69089197" w14:textId="77777777" w:rsidR="00065E1F" w:rsidRDefault="00065E1F" w:rsidP="00065E1F">
      <w:pPr>
        <w:pStyle w:val="NormalWeb"/>
        <w:numPr>
          <w:ilvl w:val="0"/>
          <w:numId w:val="2"/>
        </w:numPr>
      </w:pPr>
      <w:proofErr w:type="spellStart"/>
      <w:r>
        <w:t>Bienenstock</w:t>
      </w:r>
      <w:proofErr w:type="spellEnd"/>
      <w:r>
        <w:t xml:space="preserve">, J., Kunze, W. A., &amp; Forsythe, P. (2021). Microbiota and the gut–brain axis. </w:t>
      </w:r>
      <w:r>
        <w:rPr>
          <w:rStyle w:val="Emphasis"/>
          <w:rFonts w:eastAsiaTheme="majorEastAsia"/>
        </w:rPr>
        <w:t>Neuron</w:t>
      </w:r>
      <w:r>
        <w:t>, 109(22), 3866–3880.</w:t>
      </w:r>
    </w:p>
    <w:p w14:paraId="08C63064" w14:textId="77777777" w:rsidR="00065E1F" w:rsidRDefault="00065E1F" w:rsidP="00065E1F">
      <w:pPr>
        <w:pStyle w:val="NormalWeb"/>
        <w:numPr>
          <w:ilvl w:val="0"/>
          <w:numId w:val="2"/>
        </w:numPr>
      </w:pPr>
      <w:r>
        <w:t xml:space="preserve">Bravo, J. A., et al. (2011). Ingestion of </w:t>
      </w:r>
      <w:r>
        <w:rPr>
          <w:rStyle w:val="Emphasis"/>
          <w:rFonts w:eastAsiaTheme="majorEastAsia"/>
        </w:rPr>
        <w:t xml:space="preserve">Lactobacillus </w:t>
      </w:r>
      <w:proofErr w:type="spellStart"/>
      <w:r>
        <w:rPr>
          <w:rStyle w:val="Emphasis"/>
          <w:rFonts w:eastAsiaTheme="majorEastAsia"/>
        </w:rPr>
        <w:t>rhamnosus</w:t>
      </w:r>
      <w:proofErr w:type="spellEnd"/>
      <w:r>
        <w:t xml:space="preserve"> regulates emotional behavior and central GABA receptor expression. </w:t>
      </w:r>
      <w:r>
        <w:rPr>
          <w:rStyle w:val="Emphasis"/>
          <w:rFonts w:eastAsiaTheme="majorEastAsia"/>
        </w:rPr>
        <w:t>PNAS</w:t>
      </w:r>
      <w:r>
        <w:t>, 108(38), 16050–16055.</w:t>
      </w:r>
    </w:p>
    <w:p w14:paraId="363B1A56" w14:textId="77777777" w:rsidR="00065E1F" w:rsidRDefault="00065E1F" w:rsidP="00065E1F">
      <w:pPr>
        <w:pStyle w:val="NormalWeb"/>
        <w:numPr>
          <w:ilvl w:val="0"/>
          <w:numId w:val="2"/>
        </w:numPr>
      </w:pPr>
      <w:proofErr w:type="spellStart"/>
      <w:r>
        <w:t>Cussotto</w:t>
      </w:r>
      <w:proofErr w:type="spellEnd"/>
      <w:r>
        <w:t xml:space="preserve">, S., Clarke, G., </w:t>
      </w:r>
      <w:proofErr w:type="spellStart"/>
      <w:r>
        <w:t>Dinan</w:t>
      </w:r>
      <w:proofErr w:type="spellEnd"/>
      <w:r>
        <w:t xml:space="preserve">, T. G., &amp; </w:t>
      </w:r>
      <w:proofErr w:type="spellStart"/>
      <w:r>
        <w:t>Cryan</w:t>
      </w:r>
      <w:proofErr w:type="spellEnd"/>
      <w:r>
        <w:t xml:space="preserve">, J. F. (2021). </w:t>
      </w:r>
      <w:proofErr w:type="spellStart"/>
      <w:r>
        <w:t>Psychobiotics</w:t>
      </w:r>
      <w:proofErr w:type="spellEnd"/>
      <w:r>
        <w:t xml:space="preserve">: A novel class of psychotropic. </w:t>
      </w:r>
      <w:r>
        <w:rPr>
          <w:rStyle w:val="Emphasis"/>
          <w:rFonts w:eastAsiaTheme="majorEastAsia"/>
        </w:rPr>
        <w:t>Nature Reviews Drug Discovery</w:t>
      </w:r>
      <w:r>
        <w:t>, 20(7), 476–493.</w:t>
      </w:r>
    </w:p>
    <w:p w14:paraId="146E1CF4" w14:textId="77777777" w:rsidR="00065E1F" w:rsidRDefault="00065E1F" w:rsidP="00065E1F">
      <w:pPr>
        <w:pStyle w:val="NormalWeb"/>
        <w:numPr>
          <w:ilvl w:val="0"/>
          <w:numId w:val="2"/>
        </w:numPr>
      </w:pPr>
      <w:proofErr w:type="spellStart"/>
      <w:r>
        <w:lastRenderedPageBreak/>
        <w:t>Cryan</w:t>
      </w:r>
      <w:proofErr w:type="spellEnd"/>
      <w:r>
        <w:t xml:space="preserve">, J. F., </w:t>
      </w:r>
      <w:proofErr w:type="spellStart"/>
      <w:r>
        <w:t>O’Riordan</w:t>
      </w:r>
      <w:proofErr w:type="spellEnd"/>
      <w:r>
        <w:t xml:space="preserve">, K. J., Sandhu, K., Peterson, V., &amp; </w:t>
      </w:r>
      <w:proofErr w:type="spellStart"/>
      <w:r>
        <w:t>Dinan</w:t>
      </w:r>
      <w:proofErr w:type="spellEnd"/>
      <w:r>
        <w:t xml:space="preserve">, T. G. (2020). The gut microbiome in neurological disorders. </w:t>
      </w:r>
      <w:r>
        <w:rPr>
          <w:rStyle w:val="Emphasis"/>
          <w:rFonts w:eastAsiaTheme="majorEastAsia"/>
        </w:rPr>
        <w:t>Nature Reviews Neuroscience</w:t>
      </w:r>
      <w:r>
        <w:t>, 21(12), 701–717.</w:t>
      </w:r>
    </w:p>
    <w:p w14:paraId="5F596999" w14:textId="77777777" w:rsidR="00065E1F" w:rsidRDefault="00065E1F" w:rsidP="00065E1F">
      <w:pPr>
        <w:pStyle w:val="NormalWeb"/>
        <w:numPr>
          <w:ilvl w:val="0"/>
          <w:numId w:val="2"/>
        </w:numPr>
      </w:pPr>
      <w:proofErr w:type="spellStart"/>
      <w:r>
        <w:t>Davari</w:t>
      </w:r>
      <w:proofErr w:type="spellEnd"/>
      <w:r>
        <w:t xml:space="preserve">, S., et al. (2021). Gut microbiota and stress: A bidirectional communication in psychiatric disorders. </w:t>
      </w:r>
      <w:r>
        <w:rPr>
          <w:rStyle w:val="Emphasis"/>
          <w:rFonts w:eastAsiaTheme="majorEastAsia"/>
        </w:rPr>
        <w:t>Frontiers in Microbiology</w:t>
      </w:r>
      <w:r>
        <w:t>, 12, 703010.</w:t>
      </w:r>
    </w:p>
    <w:p w14:paraId="0434EBD3" w14:textId="77777777" w:rsidR="00065E1F" w:rsidRDefault="00065E1F" w:rsidP="00065E1F">
      <w:pPr>
        <w:pStyle w:val="NormalWeb"/>
        <w:numPr>
          <w:ilvl w:val="0"/>
          <w:numId w:val="2"/>
        </w:numPr>
      </w:pPr>
      <w:r>
        <w:t>de la Fuente-</w:t>
      </w:r>
      <w:proofErr w:type="spellStart"/>
      <w:r>
        <w:t>Núñez</w:t>
      </w:r>
      <w:proofErr w:type="spellEnd"/>
      <w:r>
        <w:t xml:space="preserve">, V., &amp; Bork, P. (2024). Metabolic communication between gut microbes and human health. </w:t>
      </w:r>
      <w:r>
        <w:rPr>
          <w:rStyle w:val="Emphasis"/>
          <w:rFonts w:eastAsiaTheme="majorEastAsia"/>
        </w:rPr>
        <w:t>Nature Metabolism</w:t>
      </w:r>
      <w:r>
        <w:t>, 6(3), 301–316.</w:t>
      </w:r>
    </w:p>
    <w:p w14:paraId="7D47BDF0" w14:textId="77777777" w:rsidR="00065E1F" w:rsidRDefault="00065E1F" w:rsidP="00065E1F">
      <w:pPr>
        <w:pStyle w:val="NormalWeb"/>
        <w:numPr>
          <w:ilvl w:val="0"/>
          <w:numId w:val="2"/>
        </w:numPr>
      </w:pPr>
      <w:r>
        <w:t xml:space="preserve">Dong, Z., et al. (2024). Gut microbiota signatures of anxiety and depression in human cohorts: A meta-analytic study. </w:t>
      </w:r>
      <w:r>
        <w:rPr>
          <w:rStyle w:val="Emphasis"/>
          <w:rFonts w:eastAsiaTheme="majorEastAsia"/>
        </w:rPr>
        <w:t>Translational Psychiatry</w:t>
      </w:r>
      <w:r>
        <w:t>, 14(1), 87.</w:t>
      </w:r>
    </w:p>
    <w:p w14:paraId="444E9A8C" w14:textId="77777777" w:rsidR="00065E1F" w:rsidRDefault="00065E1F" w:rsidP="00065E1F">
      <w:pPr>
        <w:pStyle w:val="NormalWeb"/>
        <w:numPr>
          <w:ilvl w:val="0"/>
          <w:numId w:val="2"/>
        </w:numPr>
      </w:pPr>
      <w:r>
        <w:t xml:space="preserve">Fang, Z., et al. (2025). Gut microbiota and autism spectrum disorder: Mechanistic insights and therapeutic opportunities. </w:t>
      </w:r>
      <w:r>
        <w:rPr>
          <w:rStyle w:val="Emphasis"/>
          <w:rFonts w:eastAsiaTheme="majorEastAsia"/>
        </w:rPr>
        <w:t>Frontiers in Immunology</w:t>
      </w:r>
      <w:r>
        <w:t>, 16, 1420374.</w:t>
      </w:r>
    </w:p>
    <w:p w14:paraId="168BB82A" w14:textId="77777777" w:rsidR="00065E1F" w:rsidRDefault="00065E1F" w:rsidP="00065E1F">
      <w:pPr>
        <w:pStyle w:val="NormalWeb"/>
        <w:numPr>
          <w:ilvl w:val="0"/>
          <w:numId w:val="2"/>
        </w:numPr>
      </w:pPr>
      <w:r>
        <w:t xml:space="preserve">Foster, J. A., &amp; Neufeld, K. A. (2022). Gut–brain axis: How the microbiome influences anxiety and depression. </w:t>
      </w:r>
      <w:r>
        <w:rPr>
          <w:rStyle w:val="Emphasis"/>
          <w:rFonts w:eastAsiaTheme="majorEastAsia"/>
        </w:rPr>
        <w:t>Trends in Neurosciences</w:t>
      </w:r>
      <w:r>
        <w:t>, 45(6), 431–445.</w:t>
      </w:r>
    </w:p>
    <w:p w14:paraId="0924EBCB" w14:textId="77777777" w:rsidR="00065E1F" w:rsidRDefault="00065E1F" w:rsidP="00065E1F">
      <w:pPr>
        <w:pStyle w:val="NormalWeb"/>
        <w:numPr>
          <w:ilvl w:val="0"/>
          <w:numId w:val="2"/>
        </w:numPr>
      </w:pPr>
      <w:r>
        <w:t xml:space="preserve">Fung, T. C., Olson, C. A., &amp; Hsiao, E. Y. (2020). Interactions between the microbiota, immune and nervous systems in health and disease. </w:t>
      </w:r>
      <w:r>
        <w:rPr>
          <w:rStyle w:val="Emphasis"/>
          <w:rFonts w:eastAsiaTheme="majorEastAsia"/>
        </w:rPr>
        <w:t>Nature Neuroscience</w:t>
      </w:r>
      <w:r>
        <w:t>, 23(2), 153–162.</w:t>
      </w:r>
    </w:p>
    <w:p w14:paraId="687677A0" w14:textId="77777777" w:rsidR="00065E1F" w:rsidRDefault="00065E1F" w:rsidP="00065E1F">
      <w:pPr>
        <w:pStyle w:val="NormalWeb"/>
        <w:numPr>
          <w:ilvl w:val="0"/>
          <w:numId w:val="2"/>
        </w:numPr>
      </w:pPr>
      <w:r>
        <w:t xml:space="preserve">Gao, X., et al. (2024). Gut microbial SCFAs mediate antidepressant response through histone acetylation modulation. </w:t>
      </w:r>
      <w:r>
        <w:rPr>
          <w:rStyle w:val="Emphasis"/>
          <w:rFonts w:eastAsiaTheme="majorEastAsia"/>
        </w:rPr>
        <w:t>Cell Reports Medicine</w:t>
      </w:r>
      <w:r>
        <w:t>, 5(3), 101277.</w:t>
      </w:r>
    </w:p>
    <w:p w14:paraId="23D82DC3" w14:textId="77777777" w:rsidR="00065E1F" w:rsidRDefault="00065E1F" w:rsidP="00065E1F">
      <w:pPr>
        <w:pStyle w:val="NormalWeb"/>
        <w:numPr>
          <w:ilvl w:val="0"/>
          <w:numId w:val="2"/>
        </w:numPr>
      </w:pPr>
      <w:r>
        <w:t>Hill-</w:t>
      </w:r>
      <w:proofErr w:type="spellStart"/>
      <w:r>
        <w:t>Yardin</w:t>
      </w:r>
      <w:proofErr w:type="spellEnd"/>
      <w:r>
        <w:t xml:space="preserve">, E. L., &amp; Spencer, N. J. (2022). Microbiota–gut–brain interactions in autism spectrum disorders. </w:t>
      </w:r>
      <w:r>
        <w:rPr>
          <w:rStyle w:val="Emphasis"/>
          <w:rFonts w:eastAsiaTheme="majorEastAsia"/>
        </w:rPr>
        <w:t>Nature Reviews Gastroenterology &amp; Hepatology</w:t>
      </w:r>
      <w:r>
        <w:t>, 19, 554–571.</w:t>
      </w:r>
    </w:p>
    <w:p w14:paraId="37605640" w14:textId="77777777" w:rsidR="00065E1F" w:rsidRDefault="00065E1F" w:rsidP="00065E1F">
      <w:pPr>
        <w:pStyle w:val="NormalWeb"/>
        <w:numPr>
          <w:ilvl w:val="0"/>
          <w:numId w:val="2"/>
        </w:numPr>
      </w:pPr>
      <w:r>
        <w:t xml:space="preserve">Jiang, H., et al. (2015). Altered gut microbiota profile in patients with generalized anxiety disorder. </w:t>
      </w:r>
      <w:r>
        <w:rPr>
          <w:rStyle w:val="Emphasis"/>
          <w:rFonts w:eastAsiaTheme="majorEastAsia"/>
        </w:rPr>
        <w:t>Journal of Psychiatric Research</w:t>
      </w:r>
      <w:r>
        <w:t>, 63, 1–7.</w:t>
      </w:r>
    </w:p>
    <w:p w14:paraId="05D9A8E0" w14:textId="77777777" w:rsidR="00065E1F" w:rsidRDefault="00065E1F" w:rsidP="00065E1F">
      <w:pPr>
        <w:pStyle w:val="NormalWeb"/>
        <w:numPr>
          <w:ilvl w:val="0"/>
          <w:numId w:val="2"/>
        </w:numPr>
      </w:pPr>
      <w:r>
        <w:t xml:space="preserve">Kang, D. W., et al. (2020). Long-term benefit of microbiota transfer therapy in autism. </w:t>
      </w:r>
      <w:r>
        <w:rPr>
          <w:rStyle w:val="Emphasis"/>
          <w:rFonts w:eastAsiaTheme="majorEastAsia"/>
        </w:rPr>
        <w:t>Scientific Reports</w:t>
      </w:r>
      <w:r>
        <w:t>, 10, 1038.</w:t>
      </w:r>
    </w:p>
    <w:p w14:paraId="0A3041C4" w14:textId="77777777" w:rsidR="00065E1F" w:rsidRDefault="00065E1F" w:rsidP="00065E1F">
      <w:pPr>
        <w:pStyle w:val="NormalWeb"/>
        <w:numPr>
          <w:ilvl w:val="0"/>
          <w:numId w:val="2"/>
        </w:numPr>
      </w:pPr>
      <w:r>
        <w:t xml:space="preserve">Kelly, J. R., et al. (2021). Breaking down the barriers: The gut microbiome, intestinal permeability and stress-related psychiatric disorders. </w:t>
      </w:r>
      <w:r>
        <w:rPr>
          <w:rStyle w:val="Emphasis"/>
          <w:rFonts w:eastAsiaTheme="majorEastAsia"/>
        </w:rPr>
        <w:t>Frontiers in Cellular Neuroscience</w:t>
      </w:r>
      <w:r>
        <w:t>, 15, 656662.</w:t>
      </w:r>
    </w:p>
    <w:p w14:paraId="7857AC01" w14:textId="77777777" w:rsidR="00065E1F" w:rsidRDefault="00065E1F" w:rsidP="00065E1F">
      <w:pPr>
        <w:pStyle w:val="NormalWeb"/>
        <w:numPr>
          <w:ilvl w:val="0"/>
          <w:numId w:val="2"/>
        </w:numPr>
      </w:pPr>
      <w:r>
        <w:t xml:space="preserve">Lin, A., et al. (2024). Multi-omics profiling of gut–brain interactions in depression and anxiety. </w:t>
      </w:r>
      <w:r>
        <w:rPr>
          <w:rStyle w:val="Emphasis"/>
          <w:rFonts w:eastAsiaTheme="majorEastAsia"/>
        </w:rPr>
        <w:t>Nature Communications</w:t>
      </w:r>
      <w:r>
        <w:t>, 15(1), 4735.</w:t>
      </w:r>
    </w:p>
    <w:p w14:paraId="566E9E38" w14:textId="77777777" w:rsidR="00065E1F" w:rsidRDefault="00065E1F" w:rsidP="00065E1F">
      <w:pPr>
        <w:pStyle w:val="NormalWeb"/>
        <w:numPr>
          <w:ilvl w:val="0"/>
          <w:numId w:val="2"/>
        </w:numPr>
      </w:pPr>
      <w:r>
        <w:t xml:space="preserve">Liu, S., et al. (2023). Microbiome–immune–neuroendocrine cross-talk in Parkinson’s disease. </w:t>
      </w:r>
      <w:r>
        <w:rPr>
          <w:rStyle w:val="Emphasis"/>
          <w:rFonts w:eastAsiaTheme="majorEastAsia"/>
        </w:rPr>
        <w:t>NPJ Parkinson’s Disease</w:t>
      </w:r>
      <w:r>
        <w:t>, 9(1), 17.</w:t>
      </w:r>
    </w:p>
    <w:p w14:paraId="6CB8ADEC" w14:textId="77777777" w:rsidR="00065E1F" w:rsidRDefault="00065E1F" w:rsidP="00065E1F">
      <w:pPr>
        <w:pStyle w:val="NormalWeb"/>
        <w:numPr>
          <w:ilvl w:val="0"/>
          <w:numId w:val="2"/>
        </w:numPr>
      </w:pPr>
      <w:r>
        <w:t xml:space="preserve">Lu, S., et al. (2024). Communication mechanisms of the gut–brain axis. </w:t>
      </w:r>
      <w:r>
        <w:rPr>
          <w:rStyle w:val="Emphasis"/>
          <w:rFonts w:eastAsiaTheme="majorEastAsia"/>
        </w:rPr>
        <w:t>Frontiers in Neuroscience</w:t>
      </w:r>
      <w:r>
        <w:t>, 18, 1194829.</w:t>
      </w:r>
    </w:p>
    <w:p w14:paraId="03F51FF0" w14:textId="77777777" w:rsidR="00065E1F" w:rsidRDefault="00065E1F" w:rsidP="00065E1F">
      <w:pPr>
        <w:pStyle w:val="NormalWeb"/>
        <w:numPr>
          <w:ilvl w:val="0"/>
          <w:numId w:val="2"/>
        </w:numPr>
      </w:pPr>
      <w:r>
        <w:t xml:space="preserve">Mao, B., et al. (2023). </w:t>
      </w:r>
      <w:r>
        <w:rPr>
          <w:rStyle w:val="Emphasis"/>
          <w:rFonts w:eastAsiaTheme="majorEastAsia"/>
        </w:rPr>
        <w:t xml:space="preserve">Lactobacillus </w:t>
      </w:r>
      <w:proofErr w:type="spellStart"/>
      <w:r>
        <w:rPr>
          <w:rStyle w:val="Emphasis"/>
          <w:rFonts w:eastAsiaTheme="majorEastAsia"/>
        </w:rPr>
        <w:t>helveticus</w:t>
      </w:r>
      <w:proofErr w:type="spellEnd"/>
      <w:r>
        <w:t xml:space="preserve"> alleviates stress and HPA-axis dysfunction. </w:t>
      </w:r>
      <w:r>
        <w:rPr>
          <w:rStyle w:val="Emphasis"/>
          <w:rFonts w:eastAsiaTheme="majorEastAsia"/>
        </w:rPr>
        <w:t>Brain, Behavior, and Immunity</w:t>
      </w:r>
      <w:r>
        <w:t>, 107, 246–257.</w:t>
      </w:r>
    </w:p>
    <w:p w14:paraId="6DD6EE8F" w14:textId="77777777" w:rsidR="00065E1F" w:rsidRDefault="00065E1F" w:rsidP="00065E1F">
      <w:pPr>
        <w:pStyle w:val="NormalWeb"/>
        <w:numPr>
          <w:ilvl w:val="0"/>
          <w:numId w:val="2"/>
        </w:numPr>
      </w:pPr>
      <w:proofErr w:type="spellStart"/>
      <w:r>
        <w:t>Mawe</w:t>
      </w:r>
      <w:proofErr w:type="spellEnd"/>
      <w:r>
        <w:t xml:space="preserve">, G. M., &amp; Hoffman, J. M. (2022). Serotonin signaling in the gut–brain axis: Relevance to mood and anxiety disorders. </w:t>
      </w:r>
      <w:r>
        <w:rPr>
          <w:rStyle w:val="Emphasis"/>
          <w:rFonts w:eastAsiaTheme="majorEastAsia"/>
        </w:rPr>
        <w:t>Annual Review of Physiology</w:t>
      </w:r>
      <w:r>
        <w:t>, 84, 387–413.</w:t>
      </w:r>
    </w:p>
    <w:p w14:paraId="698AE2E0" w14:textId="77777777" w:rsidR="00065E1F" w:rsidRDefault="00065E1F" w:rsidP="00065E1F">
      <w:pPr>
        <w:pStyle w:val="NormalWeb"/>
        <w:numPr>
          <w:ilvl w:val="0"/>
          <w:numId w:val="2"/>
        </w:numPr>
      </w:pPr>
      <w:proofErr w:type="spellStart"/>
      <w:r>
        <w:t>O’Riordan</w:t>
      </w:r>
      <w:proofErr w:type="spellEnd"/>
      <w:r>
        <w:t xml:space="preserve">, K. J., et al. (2025). The gut microbiota–immune–brain axis in health and disease. </w:t>
      </w:r>
      <w:r>
        <w:rPr>
          <w:rStyle w:val="Emphasis"/>
          <w:rFonts w:eastAsiaTheme="majorEastAsia"/>
        </w:rPr>
        <w:t>Nature Reviews Immunology</w:t>
      </w:r>
      <w:r>
        <w:t>, 25(1), 45–68.</w:t>
      </w:r>
    </w:p>
    <w:p w14:paraId="102EA031" w14:textId="77777777" w:rsidR="00065E1F" w:rsidRDefault="00065E1F" w:rsidP="00065E1F">
      <w:pPr>
        <w:pStyle w:val="NormalWeb"/>
        <w:numPr>
          <w:ilvl w:val="0"/>
          <w:numId w:val="2"/>
        </w:numPr>
      </w:pPr>
      <w:proofErr w:type="spellStart"/>
      <w:r>
        <w:t>Radjabzadeh</w:t>
      </w:r>
      <w:proofErr w:type="spellEnd"/>
      <w:r>
        <w:t xml:space="preserve">, D., et al. (2022). Gut microbiome-wide association study in depression. </w:t>
      </w:r>
      <w:r>
        <w:rPr>
          <w:rStyle w:val="Emphasis"/>
          <w:rFonts w:eastAsiaTheme="majorEastAsia"/>
        </w:rPr>
        <w:t>Nature Communications</w:t>
      </w:r>
      <w:r>
        <w:t>, 13, 7128.</w:t>
      </w:r>
    </w:p>
    <w:p w14:paraId="67C43218" w14:textId="77777777" w:rsidR="00065E1F" w:rsidRDefault="00065E1F" w:rsidP="00065E1F">
      <w:pPr>
        <w:pStyle w:val="NormalWeb"/>
        <w:numPr>
          <w:ilvl w:val="0"/>
          <w:numId w:val="2"/>
        </w:numPr>
      </w:pPr>
      <w:r>
        <w:t xml:space="preserve">Sampson, T. R., et al. (2016). Gut microbiota </w:t>
      </w:r>
      <w:proofErr w:type="gramStart"/>
      <w:r>
        <w:t>regulate</w:t>
      </w:r>
      <w:proofErr w:type="gramEnd"/>
      <w:r>
        <w:t xml:space="preserve"> motor deficits and neuroinflammation in a model of Parkinson’s disease. </w:t>
      </w:r>
      <w:r>
        <w:rPr>
          <w:rStyle w:val="Emphasis"/>
          <w:rFonts w:eastAsiaTheme="majorEastAsia"/>
        </w:rPr>
        <w:t>Cell</w:t>
      </w:r>
      <w:r>
        <w:t>, 167(6), 1469–1480.</w:t>
      </w:r>
    </w:p>
    <w:p w14:paraId="6CC2A8B2" w14:textId="77777777" w:rsidR="00065E1F" w:rsidRDefault="00065E1F" w:rsidP="00065E1F">
      <w:pPr>
        <w:pStyle w:val="NormalWeb"/>
        <w:numPr>
          <w:ilvl w:val="0"/>
          <w:numId w:val="2"/>
        </w:numPr>
      </w:pPr>
      <w:r>
        <w:t xml:space="preserve">Sarkar, A., et al. (2020). The </w:t>
      </w:r>
      <w:proofErr w:type="spellStart"/>
      <w:r>
        <w:t>psychobiotic</w:t>
      </w:r>
      <w:proofErr w:type="spellEnd"/>
      <w:r>
        <w:t xml:space="preserve"> revolution: Towards microbiome-based mental health. </w:t>
      </w:r>
      <w:r>
        <w:rPr>
          <w:rStyle w:val="Emphasis"/>
          <w:rFonts w:eastAsiaTheme="majorEastAsia"/>
        </w:rPr>
        <w:t>Nature Microbiology</w:t>
      </w:r>
      <w:r>
        <w:t>, 5, 779–789.</w:t>
      </w:r>
    </w:p>
    <w:p w14:paraId="02CE96AD" w14:textId="77777777" w:rsidR="00065E1F" w:rsidRDefault="00065E1F" w:rsidP="00065E1F">
      <w:pPr>
        <w:pStyle w:val="NormalWeb"/>
        <w:numPr>
          <w:ilvl w:val="0"/>
          <w:numId w:val="2"/>
        </w:numPr>
      </w:pPr>
      <w:r>
        <w:t xml:space="preserve">So, S. Y., et al. (2024). Gut microbiome and ASD: Linking gastrointestinal and behavioral symptoms. </w:t>
      </w:r>
      <w:r>
        <w:rPr>
          <w:rStyle w:val="Emphasis"/>
          <w:rFonts w:eastAsiaTheme="majorEastAsia"/>
        </w:rPr>
        <w:t>Frontiers in Psychiatry</w:t>
      </w:r>
      <w:r>
        <w:t>, 15, 1273421.</w:t>
      </w:r>
    </w:p>
    <w:p w14:paraId="4A770E70" w14:textId="77777777" w:rsidR="00065E1F" w:rsidRDefault="00065E1F" w:rsidP="00065E1F">
      <w:pPr>
        <w:pStyle w:val="NormalWeb"/>
        <w:numPr>
          <w:ilvl w:val="0"/>
          <w:numId w:val="2"/>
        </w:numPr>
      </w:pPr>
      <w:r>
        <w:lastRenderedPageBreak/>
        <w:t xml:space="preserve">Tan, J., et al. (2023). Microbial metabolites and neuroinflammation: A systems biology approach. </w:t>
      </w:r>
      <w:r>
        <w:rPr>
          <w:rStyle w:val="Emphasis"/>
          <w:rFonts w:eastAsiaTheme="majorEastAsia"/>
        </w:rPr>
        <w:t>Cell Host &amp; Microbe</w:t>
      </w:r>
      <w:r>
        <w:t>, 31(4), 567–581.</w:t>
      </w:r>
    </w:p>
    <w:p w14:paraId="5471C33E" w14:textId="77777777" w:rsidR="00065E1F" w:rsidRDefault="00065E1F" w:rsidP="00065E1F">
      <w:pPr>
        <w:pStyle w:val="NormalWeb"/>
        <w:numPr>
          <w:ilvl w:val="0"/>
          <w:numId w:val="2"/>
        </w:numPr>
      </w:pPr>
      <w:r>
        <w:t>Valles-</w:t>
      </w:r>
      <w:proofErr w:type="spellStart"/>
      <w:r>
        <w:t>Colomer</w:t>
      </w:r>
      <w:proofErr w:type="spellEnd"/>
      <w:r>
        <w:t xml:space="preserve">, M., et al. (2023). The neuroactive potential of the human gut microbiota in mental health and disease. </w:t>
      </w:r>
      <w:r>
        <w:rPr>
          <w:rStyle w:val="Emphasis"/>
          <w:rFonts w:eastAsiaTheme="majorEastAsia"/>
        </w:rPr>
        <w:t>Science Advances</w:t>
      </w:r>
      <w:r>
        <w:t>, 9(10), eade4904.</w:t>
      </w:r>
    </w:p>
    <w:p w14:paraId="2B5C093A" w14:textId="77777777" w:rsidR="00065E1F" w:rsidRDefault="00065E1F" w:rsidP="00065E1F">
      <w:pPr>
        <w:pStyle w:val="NormalWeb"/>
        <w:numPr>
          <w:ilvl w:val="0"/>
          <w:numId w:val="2"/>
        </w:numPr>
      </w:pPr>
      <w:r>
        <w:t xml:space="preserve">Wan, L., et al. (2024). Oral fecal microbiota transplantation improves core symptoms in children with autism spectrum disorder: A randomized controlled trial. </w:t>
      </w:r>
      <w:r>
        <w:rPr>
          <w:rStyle w:val="Emphasis"/>
          <w:rFonts w:eastAsiaTheme="majorEastAsia"/>
        </w:rPr>
        <w:t>Clinical and Translational Medicine</w:t>
      </w:r>
      <w:r>
        <w:t>, 14(3), e1427.</w:t>
      </w:r>
    </w:p>
    <w:p w14:paraId="04DAB889" w14:textId="77777777" w:rsidR="00065E1F" w:rsidRPr="009E1586" w:rsidRDefault="00065E1F" w:rsidP="009E1586"/>
    <w:sectPr w:rsidR="00065E1F" w:rsidRPr="009E1586" w:rsidSect="001847C8">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C4433" w14:textId="77777777" w:rsidR="00F25BC5" w:rsidRDefault="00F25BC5" w:rsidP="00AE1EE8">
      <w:pPr>
        <w:spacing w:after="0" w:line="240" w:lineRule="auto"/>
      </w:pPr>
      <w:r>
        <w:separator/>
      </w:r>
    </w:p>
  </w:endnote>
  <w:endnote w:type="continuationSeparator" w:id="0">
    <w:p w14:paraId="42313422" w14:textId="77777777" w:rsidR="00F25BC5" w:rsidRDefault="00F25BC5" w:rsidP="00AE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7910" w14:textId="77777777" w:rsidR="00AE1EE8" w:rsidRDefault="00AE1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3F1D" w14:textId="77777777" w:rsidR="00AE1EE8" w:rsidRDefault="00AE1E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EC69" w14:textId="77777777" w:rsidR="00AE1EE8" w:rsidRDefault="00AE1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2C77A" w14:textId="77777777" w:rsidR="00F25BC5" w:rsidRDefault="00F25BC5" w:rsidP="00AE1EE8">
      <w:pPr>
        <w:spacing w:after="0" w:line="240" w:lineRule="auto"/>
      </w:pPr>
      <w:r>
        <w:separator/>
      </w:r>
    </w:p>
  </w:footnote>
  <w:footnote w:type="continuationSeparator" w:id="0">
    <w:p w14:paraId="3B496620" w14:textId="77777777" w:rsidR="00F25BC5" w:rsidRDefault="00F25BC5" w:rsidP="00AE1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24B4" w14:textId="5ABA3BAA" w:rsidR="00AE1EE8" w:rsidRDefault="00AE1EE8">
    <w:pPr>
      <w:pStyle w:val="Header"/>
    </w:pPr>
    <w:r>
      <w:rPr>
        <w:noProof/>
      </w:rPr>
      <w:pict w14:anchorId="6C38D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607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54040" w14:textId="207CACD7" w:rsidR="00AE1EE8" w:rsidRDefault="00AE1EE8">
    <w:pPr>
      <w:pStyle w:val="Header"/>
    </w:pPr>
    <w:r>
      <w:rPr>
        <w:noProof/>
      </w:rPr>
      <w:pict w14:anchorId="0FE6B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607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634D8" w14:textId="71D38FA8" w:rsidR="00AE1EE8" w:rsidRDefault="00AE1EE8">
    <w:pPr>
      <w:pStyle w:val="Header"/>
    </w:pPr>
    <w:r>
      <w:rPr>
        <w:noProof/>
      </w:rPr>
      <w:pict w14:anchorId="0E97D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607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6203"/>
    <w:multiLevelType w:val="multilevel"/>
    <w:tmpl w:val="A7F4E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2034B9"/>
    <w:multiLevelType w:val="multilevel"/>
    <w:tmpl w:val="D3BE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A7AA3"/>
    <w:multiLevelType w:val="hybridMultilevel"/>
    <w:tmpl w:val="0336B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70483"/>
    <w:multiLevelType w:val="hybridMultilevel"/>
    <w:tmpl w:val="3CF85D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E0MDY2MbM0NjU1MjZT0lEKTi0uzszPAykwrAUAZFkKiSwAAAA="/>
  </w:docVars>
  <w:rsids>
    <w:rsidRoot w:val="009E1586"/>
    <w:rsid w:val="00042CA0"/>
    <w:rsid w:val="00065E1F"/>
    <w:rsid w:val="00091664"/>
    <w:rsid w:val="000F0E8D"/>
    <w:rsid w:val="001847C8"/>
    <w:rsid w:val="001F4F72"/>
    <w:rsid w:val="00254BF9"/>
    <w:rsid w:val="002B01F6"/>
    <w:rsid w:val="002C4809"/>
    <w:rsid w:val="003B519C"/>
    <w:rsid w:val="003D6072"/>
    <w:rsid w:val="003E3959"/>
    <w:rsid w:val="005B092F"/>
    <w:rsid w:val="005D7191"/>
    <w:rsid w:val="00623D2A"/>
    <w:rsid w:val="006275AE"/>
    <w:rsid w:val="006955B4"/>
    <w:rsid w:val="00893FE6"/>
    <w:rsid w:val="009E1586"/>
    <w:rsid w:val="00A313DB"/>
    <w:rsid w:val="00AE1EE8"/>
    <w:rsid w:val="00B55127"/>
    <w:rsid w:val="00B74586"/>
    <w:rsid w:val="00BD3F76"/>
    <w:rsid w:val="00C063F4"/>
    <w:rsid w:val="00E742DD"/>
    <w:rsid w:val="00E750F5"/>
    <w:rsid w:val="00E83BAD"/>
    <w:rsid w:val="00F25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1DBD39"/>
  <w15:docId w15:val="{112C4C52-4178-4B4F-B7AF-DE0178FD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15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158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9E15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1586"/>
    <w:rPr>
      <w:b/>
      <w:bCs/>
    </w:rPr>
  </w:style>
  <w:style w:type="character" w:styleId="Emphasis">
    <w:name w:val="Emphasis"/>
    <w:basedOn w:val="DefaultParagraphFont"/>
    <w:uiPriority w:val="20"/>
    <w:qFormat/>
    <w:rsid w:val="009E1586"/>
    <w:rPr>
      <w:i/>
      <w:iCs/>
    </w:rPr>
  </w:style>
  <w:style w:type="paragraph" w:styleId="BalloonText">
    <w:name w:val="Balloon Text"/>
    <w:basedOn w:val="Normal"/>
    <w:link w:val="BalloonTextChar"/>
    <w:uiPriority w:val="99"/>
    <w:semiHidden/>
    <w:unhideWhenUsed/>
    <w:rsid w:val="002C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809"/>
    <w:rPr>
      <w:rFonts w:ascii="Tahoma" w:hAnsi="Tahoma" w:cs="Tahoma"/>
      <w:sz w:val="16"/>
      <w:szCs w:val="16"/>
    </w:rPr>
  </w:style>
  <w:style w:type="paragraph" w:styleId="ListParagraph">
    <w:name w:val="List Paragraph"/>
    <w:basedOn w:val="Normal"/>
    <w:uiPriority w:val="34"/>
    <w:qFormat/>
    <w:rsid w:val="00042CA0"/>
    <w:pPr>
      <w:ind w:left="720"/>
      <w:contextualSpacing/>
    </w:pPr>
  </w:style>
  <w:style w:type="character" w:styleId="Hyperlink">
    <w:name w:val="Hyperlink"/>
    <w:basedOn w:val="DefaultParagraphFont"/>
    <w:uiPriority w:val="99"/>
    <w:unhideWhenUsed/>
    <w:rsid w:val="005B092F"/>
    <w:rPr>
      <w:color w:val="0000FF" w:themeColor="hyperlink"/>
      <w:u w:val="single"/>
    </w:rPr>
  </w:style>
  <w:style w:type="character" w:styleId="UnresolvedMention">
    <w:name w:val="Unresolved Mention"/>
    <w:basedOn w:val="DefaultParagraphFont"/>
    <w:uiPriority w:val="99"/>
    <w:semiHidden/>
    <w:unhideWhenUsed/>
    <w:rsid w:val="005B092F"/>
    <w:rPr>
      <w:color w:val="605E5C"/>
      <w:shd w:val="clear" w:color="auto" w:fill="E1DFDD"/>
    </w:rPr>
  </w:style>
  <w:style w:type="paragraph" w:styleId="Header">
    <w:name w:val="header"/>
    <w:basedOn w:val="Normal"/>
    <w:link w:val="HeaderChar"/>
    <w:uiPriority w:val="99"/>
    <w:unhideWhenUsed/>
    <w:rsid w:val="00AE1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EE8"/>
  </w:style>
  <w:style w:type="paragraph" w:styleId="Footer">
    <w:name w:val="footer"/>
    <w:basedOn w:val="Normal"/>
    <w:link w:val="FooterChar"/>
    <w:uiPriority w:val="99"/>
    <w:unhideWhenUsed/>
    <w:rsid w:val="00AE1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20290">
      <w:bodyDiv w:val="1"/>
      <w:marLeft w:val="0"/>
      <w:marRight w:val="0"/>
      <w:marTop w:val="0"/>
      <w:marBottom w:val="0"/>
      <w:divBdr>
        <w:top w:val="none" w:sz="0" w:space="0" w:color="auto"/>
        <w:left w:val="none" w:sz="0" w:space="0" w:color="auto"/>
        <w:bottom w:val="none" w:sz="0" w:space="0" w:color="auto"/>
        <w:right w:val="none" w:sz="0" w:space="0" w:color="auto"/>
      </w:divBdr>
    </w:div>
    <w:div w:id="458912880">
      <w:bodyDiv w:val="1"/>
      <w:marLeft w:val="0"/>
      <w:marRight w:val="0"/>
      <w:marTop w:val="0"/>
      <w:marBottom w:val="0"/>
      <w:divBdr>
        <w:top w:val="none" w:sz="0" w:space="0" w:color="auto"/>
        <w:left w:val="none" w:sz="0" w:space="0" w:color="auto"/>
        <w:bottom w:val="none" w:sz="0" w:space="0" w:color="auto"/>
        <w:right w:val="none" w:sz="0" w:space="0" w:color="auto"/>
      </w:divBdr>
    </w:div>
    <w:div w:id="487672834">
      <w:bodyDiv w:val="1"/>
      <w:marLeft w:val="0"/>
      <w:marRight w:val="0"/>
      <w:marTop w:val="0"/>
      <w:marBottom w:val="0"/>
      <w:divBdr>
        <w:top w:val="none" w:sz="0" w:space="0" w:color="auto"/>
        <w:left w:val="none" w:sz="0" w:space="0" w:color="auto"/>
        <w:bottom w:val="none" w:sz="0" w:space="0" w:color="auto"/>
        <w:right w:val="none" w:sz="0" w:space="0" w:color="auto"/>
      </w:divBdr>
    </w:div>
    <w:div w:id="578487845">
      <w:bodyDiv w:val="1"/>
      <w:marLeft w:val="0"/>
      <w:marRight w:val="0"/>
      <w:marTop w:val="0"/>
      <w:marBottom w:val="0"/>
      <w:divBdr>
        <w:top w:val="none" w:sz="0" w:space="0" w:color="auto"/>
        <w:left w:val="none" w:sz="0" w:space="0" w:color="auto"/>
        <w:bottom w:val="none" w:sz="0" w:space="0" w:color="auto"/>
        <w:right w:val="none" w:sz="0" w:space="0" w:color="auto"/>
      </w:divBdr>
    </w:div>
    <w:div w:id="931666402">
      <w:bodyDiv w:val="1"/>
      <w:marLeft w:val="0"/>
      <w:marRight w:val="0"/>
      <w:marTop w:val="0"/>
      <w:marBottom w:val="0"/>
      <w:divBdr>
        <w:top w:val="none" w:sz="0" w:space="0" w:color="auto"/>
        <w:left w:val="none" w:sz="0" w:space="0" w:color="auto"/>
        <w:bottom w:val="none" w:sz="0" w:space="0" w:color="auto"/>
        <w:right w:val="none" w:sz="0" w:space="0" w:color="auto"/>
      </w:divBdr>
    </w:div>
    <w:div w:id="1218857180">
      <w:bodyDiv w:val="1"/>
      <w:marLeft w:val="0"/>
      <w:marRight w:val="0"/>
      <w:marTop w:val="0"/>
      <w:marBottom w:val="0"/>
      <w:divBdr>
        <w:top w:val="none" w:sz="0" w:space="0" w:color="auto"/>
        <w:left w:val="none" w:sz="0" w:space="0" w:color="auto"/>
        <w:bottom w:val="none" w:sz="0" w:space="0" w:color="auto"/>
        <w:right w:val="none" w:sz="0" w:space="0" w:color="auto"/>
      </w:divBdr>
    </w:div>
    <w:div w:id="1235120544">
      <w:bodyDiv w:val="1"/>
      <w:marLeft w:val="0"/>
      <w:marRight w:val="0"/>
      <w:marTop w:val="0"/>
      <w:marBottom w:val="0"/>
      <w:divBdr>
        <w:top w:val="none" w:sz="0" w:space="0" w:color="auto"/>
        <w:left w:val="none" w:sz="0" w:space="0" w:color="auto"/>
        <w:bottom w:val="none" w:sz="0" w:space="0" w:color="auto"/>
        <w:right w:val="none" w:sz="0" w:space="0" w:color="auto"/>
      </w:divBdr>
    </w:div>
    <w:div w:id="1306663175">
      <w:bodyDiv w:val="1"/>
      <w:marLeft w:val="0"/>
      <w:marRight w:val="0"/>
      <w:marTop w:val="0"/>
      <w:marBottom w:val="0"/>
      <w:divBdr>
        <w:top w:val="none" w:sz="0" w:space="0" w:color="auto"/>
        <w:left w:val="none" w:sz="0" w:space="0" w:color="auto"/>
        <w:bottom w:val="none" w:sz="0" w:space="0" w:color="auto"/>
        <w:right w:val="none" w:sz="0" w:space="0" w:color="auto"/>
      </w:divBdr>
    </w:div>
    <w:div w:id="1331836245">
      <w:bodyDiv w:val="1"/>
      <w:marLeft w:val="0"/>
      <w:marRight w:val="0"/>
      <w:marTop w:val="0"/>
      <w:marBottom w:val="0"/>
      <w:divBdr>
        <w:top w:val="none" w:sz="0" w:space="0" w:color="auto"/>
        <w:left w:val="none" w:sz="0" w:space="0" w:color="auto"/>
        <w:bottom w:val="none" w:sz="0" w:space="0" w:color="auto"/>
        <w:right w:val="none" w:sz="0" w:space="0" w:color="auto"/>
      </w:divBdr>
    </w:div>
    <w:div w:id="1817526896">
      <w:bodyDiv w:val="1"/>
      <w:marLeft w:val="0"/>
      <w:marRight w:val="0"/>
      <w:marTop w:val="0"/>
      <w:marBottom w:val="0"/>
      <w:divBdr>
        <w:top w:val="none" w:sz="0" w:space="0" w:color="auto"/>
        <w:left w:val="none" w:sz="0" w:space="0" w:color="auto"/>
        <w:bottom w:val="none" w:sz="0" w:space="0" w:color="auto"/>
        <w:right w:val="none" w:sz="0" w:space="0" w:color="auto"/>
      </w:divBdr>
    </w:div>
    <w:div w:id="1865363102">
      <w:bodyDiv w:val="1"/>
      <w:marLeft w:val="0"/>
      <w:marRight w:val="0"/>
      <w:marTop w:val="0"/>
      <w:marBottom w:val="0"/>
      <w:divBdr>
        <w:top w:val="none" w:sz="0" w:space="0" w:color="auto"/>
        <w:left w:val="none" w:sz="0" w:space="0" w:color="auto"/>
        <w:bottom w:val="none" w:sz="0" w:space="0" w:color="auto"/>
        <w:right w:val="none" w:sz="0" w:space="0" w:color="auto"/>
      </w:divBdr>
    </w:div>
    <w:div w:id="205121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28</Pages>
  <Words>5761</Words>
  <Characters>32843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30</cp:revision>
  <dcterms:created xsi:type="dcterms:W3CDTF">2025-10-13T16:49:00Z</dcterms:created>
  <dcterms:modified xsi:type="dcterms:W3CDTF">2025-10-14T11:14:00Z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224f2502-7add-412d-a1f5-cb43876c5e11</vt:lpwstr>
  </property>
</Properties>
</file>