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9E930" w14:textId="77777777" w:rsidR="00E50FE0" w:rsidRDefault="00E50FE0" w:rsidP="00E50FE0">
      <w:pPr>
        <w:jc w:val="center"/>
        <w:rPr>
          <w:rFonts w:ascii="Times New Roman" w:eastAsia="Times New Roman" w:hAnsi="Times New Roman" w:cs="Times New Roman"/>
          <w:b/>
          <w:color w:val="000000"/>
          <w:sz w:val="24"/>
          <w:szCs w:val="24"/>
        </w:rPr>
      </w:pPr>
      <w:r w:rsidRPr="00E50FE0">
        <w:rPr>
          <w:rFonts w:ascii="Times New Roman" w:eastAsia="Times New Roman" w:hAnsi="Times New Roman" w:cs="Times New Roman"/>
          <w:b/>
          <w:color w:val="000000"/>
          <w:sz w:val="24"/>
          <w:szCs w:val="24"/>
        </w:rPr>
        <w:t>Machine Learning Models for Early Disease Outbreak Detection: Integrating Multisource Data in the U.S. Public Health System</w:t>
      </w:r>
    </w:p>
    <w:p w14:paraId="5F2E040A" w14:textId="77777777" w:rsidR="00E50FE0" w:rsidRDefault="00E50FE0" w:rsidP="00E50FE0">
      <w:pPr>
        <w:jc w:val="center"/>
        <w:rPr>
          <w:rFonts w:ascii="Times New Roman" w:eastAsia="Times New Roman" w:hAnsi="Times New Roman" w:cs="Times New Roman"/>
          <w:b/>
          <w:color w:val="000000"/>
          <w:sz w:val="24"/>
          <w:szCs w:val="24"/>
        </w:rPr>
      </w:pPr>
    </w:p>
    <w:p w14:paraId="75EFD035" w14:textId="77777777" w:rsidR="00885349" w:rsidRDefault="00885349" w:rsidP="00885349">
      <w:pPr>
        <w:jc w:val="right"/>
        <w:rPr>
          <w:rFonts w:ascii="Times New Roman" w:eastAsia="Times New Roman" w:hAnsi="Times New Roman" w:cs="Times New Roman"/>
        </w:rPr>
      </w:pPr>
      <w:bookmarkStart w:id="0" w:name="_GoBack"/>
      <w:bookmarkEnd w:id="0"/>
    </w:p>
    <w:p w14:paraId="46D3C268"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Abstract</w:t>
      </w:r>
    </w:p>
    <w:p w14:paraId="44D5FAA1"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Early detection of outbreaks is predicated on rapid response, yet this process is hindered by delayed and fragmented surveillance. The objective of this study is to evaluate the landscape, performance, and implementation readiness of machine-learning (ML) </w:t>
      </w:r>
      <w:r>
        <w:rPr>
          <w:rFonts w:ascii="Times New Roman" w:eastAsia="Times New Roman" w:hAnsi="Times New Roman" w:cs="Times New Roman"/>
        </w:rPr>
        <w:t>models for early outbreak detection in U.S. public health systems. An integrative systematic review was conducted in accordance with the PRISMA 2020 guidelines, encompassing a comprehensive search of major bibliographic and grey literature sources from 201</w:t>
      </w:r>
      <w:r>
        <w:rPr>
          <w:rFonts w:ascii="Times New Roman" w:eastAsia="Times New Roman" w:hAnsi="Times New Roman" w:cs="Times New Roman"/>
        </w:rPr>
        <w:t>5 to the present. The studies that met the inclusion criteria incorporated machine learning (ML) algorithms to detect potential syndromes, employ nowcasting with detection relevance, or identify variant emergence. These applications of ML involved the util</w:t>
      </w:r>
      <w:r>
        <w:rPr>
          <w:rFonts w:ascii="Times New Roman" w:eastAsia="Times New Roman" w:hAnsi="Times New Roman" w:cs="Times New Roman"/>
        </w:rPr>
        <w:t>ization of electronic health records (EHR), digital traces, the Internet of Things (IoT), text messages from emergency departments, wastewater data, and genomics. A total of 18 studies satisfied the established criteria. Digital and IoT streams have been d</w:t>
      </w:r>
      <w:r>
        <w:rPr>
          <w:rFonts w:ascii="Times New Roman" w:eastAsia="Times New Roman" w:hAnsi="Times New Roman" w:cs="Times New Roman"/>
        </w:rPr>
        <w:t>emonstrated to improve ILI nowcasting; late-fusion ensembles have been shown to produce multi-week surge leads; wastewater and genomic pipelines have been demonstrated to detect variants 1–3 weeks before clinical confirmation; ED text systems have been sho</w:t>
      </w:r>
      <w:r>
        <w:rPr>
          <w:rFonts w:ascii="Times New Roman" w:eastAsia="Times New Roman" w:hAnsi="Times New Roman" w:cs="Times New Roman"/>
        </w:rPr>
        <w:t xml:space="preserve">wn to reduce irrelevant alerts; EHR ensembles have yielded near real-time regional estimates.  The findings of this study support the notion of responsible integration, in which metrics, governance, and </w:t>
      </w:r>
      <w:proofErr w:type="spellStart"/>
      <w:r>
        <w:rPr>
          <w:rFonts w:ascii="Times New Roman" w:eastAsia="Times New Roman" w:hAnsi="Times New Roman" w:cs="Times New Roman"/>
        </w:rPr>
        <w:t>MLOps</w:t>
      </w:r>
      <w:proofErr w:type="spellEnd"/>
      <w:r>
        <w:rPr>
          <w:rFonts w:ascii="Times New Roman" w:eastAsia="Times New Roman" w:hAnsi="Times New Roman" w:cs="Times New Roman"/>
        </w:rPr>
        <w:t xml:space="preserve"> are clearly defined. It is recommended that pro</w:t>
      </w:r>
      <w:r>
        <w:rPr>
          <w:rFonts w:ascii="Times New Roman" w:eastAsia="Times New Roman" w:hAnsi="Times New Roman" w:cs="Times New Roman"/>
        </w:rPr>
        <w:t>spective, multi-jurisdiction validation, standardized metrics, fusion benchmarks, and cost-effectiveness be prioritized.</w:t>
      </w:r>
    </w:p>
    <w:p w14:paraId="5FFCCD13" w14:textId="77777777" w:rsidR="00BA4AF1" w:rsidRDefault="00BA4AF1">
      <w:pPr>
        <w:jc w:val="both"/>
        <w:rPr>
          <w:rFonts w:ascii="Times New Roman" w:eastAsia="Times New Roman" w:hAnsi="Times New Roman" w:cs="Times New Roman"/>
        </w:rPr>
      </w:pPr>
    </w:p>
    <w:p w14:paraId="382F5DC5" w14:textId="77777777" w:rsidR="008E0D91" w:rsidRDefault="008E0D91">
      <w:pPr>
        <w:jc w:val="both"/>
        <w:rPr>
          <w:rFonts w:ascii="Times New Roman" w:eastAsia="Times New Roman" w:hAnsi="Times New Roman" w:cs="Times New Roman"/>
        </w:rPr>
      </w:pPr>
    </w:p>
    <w:p w14:paraId="005442E6" w14:textId="77777777" w:rsidR="00BA4AF1" w:rsidRDefault="00EB64D7">
      <w:pPr>
        <w:numPr>
          <w:ilvl w:val="0"/>
          <w:numId w:val="1"/>
        </w:numPr>
        <w:pBdr>
          <w:top w:val="nil"/>
          <w:left w:val="nil"/>
          <w:bottom w:val="nil"/>
          <w:right w:val="nil"/>
          <w:between w:val="nil"/>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Introduction</w:t>
      </w:r>
    </w:p>
    <w:p w14:paraId="3B9721BC"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1.1 Problem and Context</w:t>
      </w:r>
    </w:p>
    <w:p w14:paraId="2FF5FB45"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The ability to swiftly identify threats posed by infectious diseases is of paramount importance </w:t>
      </w:r>
      <w:r>
        <w:rPr>
          <w:rFonts w:ascii="Times New Roman" w:eastAsia="Times New Roman" w:hAnsi="Times New Roman" w:cs="Times New Roman"/>
        </w:rPr>
        <w:t>in the efforts to disrupt transmission chains and mitigate the associated morbidity (Hellewell et al., 2020). Modeling demonstrates that delays of even a few days can cause outbreaks to become unmanageable, emphasizing the importance of rapid signal acquis</w:t>
      </w:r>
      <w:r>
        <w:rPr>
          <w:rFonts w:ascii="Times New Roman" w:eastAsia="Times New Roman" w:hAnsi="Times New Roman" w:cs="Times New Roman"/>
        </w:rPr>
        <w:t>ition and prompt public health responses (Kucharski et al., 2020). Screening measures implemented at points of entry have been shown to possess limited sensitivity, failing to detect a significant proportion of infectious travelers. This underscores the ne</w:t>
      </w:r>
      <w:r>
        <w:rPr>
          <w:rFonts w:ascii="Times New Roman" w:eastAsia="Times New Roman" w:hAnsi="Times New Roman" w:cs="Times New Roman"/>
        </w:rPr>
        <w:t>cessity for enhanced surveillance mechanisms capable of identifying silent transmission before the establishment of clinical confirmation (</w:t>
      </w:r>
      <w:proofErr w:type="spellStart"/>
      <w:r>
        <w:rPr>
          <w:rFonts w:ascii="Times New Roman" w:eastAsia="Times New Roman" w:hAnsi="Times New Roman" w:cs="Times New Roman"/>
        </w:rPr>
        <w:t>Gostic</w:t>
      </w:r>
      <w:proofErr w:type="spellEnd"/>
      <w:r>
        <w:rPr>
          <w:rFonts w:ascii="Times New Roman" w:eastAsia="Times New Roman" w:hAnsi="Times New Roman" w:cs="Times New Roman"/>
        </w:rPr>
        <w:t xml:space="preserve"> et al., 2020). Forecasting consortia have demonstrated that even meticulously calibrated models exhibit degrad</w:t>
      </w:r>
      <w:r>
        <w:rPr>
          <w:rFonts w:ascii="Times New Roman" w:eastAsia="Times New Roman" w:hAnsi="Times New Roman" w:cs="Times New Roman"/>
        </w:rPr>
        <w:t>ation when confronted with sparse or delayed incoming data. This observation has led to the development of pipelines that prioritize the timeliness, comparability, and reproducibility of inputs (Reich et al., 2019).</w:t>
      </w:r>
    </w:p>
    <w:p w14:paraId="0AB5635B"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lastRenderedPageBreak/>
        <w:t>Concurrently, surveillance is undergoing</w:t>
      </w:r>
      <w:r>
        <w:rPr>
          <w:rFonts w:ascii="Times New Roman" w:eastAsia="Times New Roman" w:hAnsi="Times New Roman" w:cs="Times New Roman"/>
        </w:rPr>
        <w:t xml:space="preserve"> a digital transformation, with the emergence of novel data streams supplementing conventional reporting methods (</w:t>
      </w:r>
      <w:proofErr w:type="spellStart"/>
      <w:r>
        <w:rPr>
          <w:rFonts w:ascii="Times New Roman" w:eastAsia="Times New Roman" w:hAnsi="Times New Roman" w:cs="Times New Roman"/>
        </w:rPr>
        <w:t>Salathé</w:t>
      </w:r>
      <w:proofErr w:type="spellEnd"/>
      <w:r>
        <w:rPr>
          <w:rFonts w:ascii="Times New Roman" w:eastAsia="Times New Roman" w:hAnsi="Times New Roman" w:cs="Times New Roman"/>
        </w:rPr>
        <w:t>, 2018). A review of the extant literature on social media and internet-based surveillance documents the opportunities and pitfalls inh</w:t>
      </w:r>
      <w:r>
        <w:rPr>
          <w:rFonts w:ascii="Times New Roman" w:eastAsia="Times New Roman" w:hAnsi="Times New Roman" w:cs="Times New Roman"/>
        </w:rPr>
        <w:t>erent to such practices, including sampling biases, governance constraints, and noise management (Aiello et al., 2020). Real-time cloud EHR feeds demonstrate the potential for clinical encounters to support state-level influenza estimation, contingent upon</w:t>
      </w:r>
      <w:r>
        <w:rPr>
          <w:rFonts w:ascii="Times New Roman" w:eastAsia="Times New Roman" w:hAnsi="Times New Roman" w:cs="Times New Roman"/>
        </w:rPr>
        <w:t xml:space="preserve"> the resolution of latency and standardization issues (Santillana et al., 2016). Wastewater-based surveillance offers an alternative, community-wide perspective on the circulation and emergence of pathogens, thereby complementing case reports and clinical </w:t>
      </w:r>
      <w:r>
        <w:rPr>
          <w:rFonts w:ascii="Times New Roman" w:eastAsia="Times New Roman" w:hAnsi="Times New Roman" w:cs="Times New Roman"/>
        </w:rPr>
        <w:t>genomics (Parkins et al., 2024). The integration of wearable devices into daily life introduces a level of physiological data that, when aggregated, can offer early indications of influenza-like illnesses. However, this approach is not without its limitati</w:t>
      </w:r>
      <w:r>
        <w:rPr>
          <w:rFonts w:ascii="Times New Roman" w:eastAsia="Times New Roman" w:hAnsi="Times New Roman" w:cs="Times New Roman"/>
        </w:rPr>
        <w:t>ons, particularly with respect to representativeness considerations (Radin et al., 2020).</w:t>
      </w:r>
    </w:p>
    <w:p w14:paraId="6BB15300"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In this evolving landscape, machine learning offers integrative methods that fuse heterogeneous signals, extract weak patterns, and produce actionable early warnings </w:t>
      </w:r>
      <w:r>
        <w:rPr>
          <w:rFonts w:ascii="Times New Roman" w:eastAsia="Times New Roman" w:hAnsi="Times New Roman" w:cs="Times New Roman"/>
        </w:rPr>
        <w:t>(Kogan et al., 2021). Multimodal systems that integrate mobility, search behavior, clinician queries, and social media have yielded jurisdiction-level lead times for epidemic surges, underscoring the complementarity across data sources (Kogan et al., 2021)</w:t>
      </w:r>
      <w:r>
        <w:rPr>
          <w:rFonts w:ascii="Times New Roman" w:eastAsia="Times New Roman" w:hAnsi="Times New Roman" w:cs="Times New Roman"/>
        </w:rPr>
        <w:t xml:space="preserve">. The utilization of shared, standardized datasets and evaluation platforms fosters transparent benchmarking, thereby mitigating analytic variability across teams and seasons. This, in turn, enhances external validity (Cramer et al., 2022). In the context </w:t>
      </w:r>
      <w:r>
        <w:rPr>
          <w:rFonts w:ascii="Times New Roman" w:eastAsia="Times New Roman" w:hAnsi="Times New Roman" w:cs="Times New Roman"/>
        </w:rPr>
        <w:t>of genomic surveillance, real-time phylogenetic placement has been demonstrated to expedite lineage assignment on a large scale, thereby transforming sequencing outputs into timely intelligence that is crucial for effective incident management and containm</w:t>
      </w:r>
      <w:r>
        <w:rPr>
          <w:rFonts w:ascii="Times New Roman" w:eastAsia="Times New Roman" w:hAnsi="Times New Roman" w:cs="Times New Roman"/>
        </w:rPr>
        <w:t>ent (</w:t>
      </w:r>
      <w:proofErr w:type="spellStart"/>
      <w:r>
        <w:rPr>
          <w:rFonts w:ascii="Times New Roman" w:eastAsia="Times New Roman" w:hAnsi="Times New Roman" w:cs="Times New Roman"/>
        </w:rPr>
        <w:t>Turakhia</w:t>
      </w:r>
      <w:proofErr w:type="spellEnd"/>
      <w:r>
        <w:rPr>
          <w:rFonts w:ascii="Times New Roman" w:eastAsia="Times New Roman" w:hAnsi="Times New Roman" w:cs="Times New Roman"/>
        </w:rPr>
        <w:t xml:space="preserve"> et al., 2021). Consequently, these advances have prompted the review's emphasis on the model–data design space, performance and timeliness, and implementation readiness within the U.S. public health system. In this context, operational constr</w:t>
      </w:r>
      <w:r>
        <w:rPr>
          <w:rFonts w:ascii="Times New Roman" w:eastAsia="Times New Roman" w:hAnsi="Times New Roman" w:cs="Times New Roman"/>
        </w:rPr>
        <w:t>aints and equity considerations influence the definition of reliable, trusted early detection (Reich et al., 2019).</w:t>
      </w:r>
    </w:p>
    <w:p w14:paraId="0CCA2901"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1.2 Definitions &amp; scope boundaries</w:t>
      </w:r>
    </w:p>
    <w:p w14:paraId="4293C489"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The term "early outbreak detection" is defined as the identification of aberrant transmission events occu</w:t>
      </w:r>
      <w:r>
        <w:rPr>
          <w:rFonts w:ascii="Times New Roman" w:eastAsia="Times New Roman" w:hAnsi="Times New Roman" w:cs="Times New Roman"/>
        </w:rPr>
        <w:t>rring in close temporal proximity to their onset, to provide immediate control measures. This concept is distinct from the practice of "nowcasting," which involves the estimation of the current state in the context of reporting delays, and from the practic</w:t>
      </w:r>
      <w:r>
        <w:rPr>
          <w:rFonts w:ascii="Times New Roman" w:eastAsia="Times New Roman" w:hAnsi="Times New Roman" w:cs="Times New Roman"/>
        </w:rPr>
        <w:t>e of "forecasting," which involves the prediction of future trajectories (Wu, 2021). As Lutz (2019) explains, forecasting frameworks are instrumental in the formalization of targets, including peak timing, peak magnitude, and short-horizon incidence, there</w:t>
      </w:r>
      <w:r>
        <w:rPr>
          <w:rFonts w:ascii="Times New Roman" w:eastAsia="Times New Roman" w:hAnsi="Times New Roman" w:cs="Times New Roman"/>
        </w:rPr>
        <w:t xml:space="preserve">by providing a framework for effective decision-making. </w:t>
      </w:r>
    </w:p>
    <w:p w14:paraId="39E785F3"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Probabilistic forecasting places significant emphasis on calibrated predictive distributions and proper scoring rules, thereby providing a clear framework for communicating uncertainty to responders </w:t>
      </w:r>
      <w:r>
        <w:rPr>
          <w:rFonts w:ascii="Times New Roman" w:eastAsia="Times New Roman" w:hAnsi="Times New Roman" w:cs="Times New Roman"/>
        </w:rPr>
        <w:t>(Johansson 2019). For operational evaluation, surveillance literature consistently defines sensitivity as the proportion of true outbreaks that are identified, specificity as the proportion of non-outbreak periods that are correctly ignored, and positive p</w:t>
      </w:r>
      <w:r>
        <w:rPr>
          <w:rFonts w:ascii="Times New Roman" w:eastAsia="Times New Roman" w:hAnsi="Times New Roman" w:cs="Times New Roman"/>
        </w:rPr>
        <w:t>redictive value as the proportion of true alerts. Timeliness captures the lead or delay between the signal and the onset (</w:t>
      </w:r>
      <w:proofErr w:type="spellStart"/>
      <w:r>
        <w:rPr>
          <w:rFonts w:ascii="Times New Roman" w:eastAsia="Times New Roman" w:hAnsi="Times New Roman" w:cs="Times New Roman"/>
        </w:rPr>
        <w:t>Morbey</w:t>
      </w:r>
      <w:proofErr w:type="spellEnd"/>
      <w:r>
        <w:rPr>
          <w:rFonts w:ascii="Times New Roman" w:eastAsia="Times New Roman" w:hAnsi="Times New Roman" w:cs="Times New Roman"/>
        </w:rPr>
        <w:t xml:space="preserve"> 2021). </w:t>
      </w:r>
    </w:p>
    <w:p w14:paraId="020A8E60"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A review of syndromic systems reveals the prioritization of these metrics when comparing detection algorithms and alert</w:t>
      </w:r>
      <w:r>
        <w:rPr>
          <w:rFonts w:ascii="Times New Roman" w:eastAsia="Times New Roman" w:hAnsi="Times New Roman" w:cs="Times New Roman"/>
        </w:rPr>
        <w:t xml:space="preserve">ing thresholds in routine practice (Yeng 2020). Emergency department syndromic </w:t>
      </w:r>
      <w:r>
        <w:rPr>
          <w:rFonts w:ascii="Times New Roman" w:eastAsia="Times New Roman" w:hAnsi="Times New Roman" w:cs="Times New Roman"/>
        </w:rPr>
        <w:lastRenderedPageBreak/>
        <w:t>programs exemplify boundaries, prioritizing rapid signals yet often sacrificing specificity in exchange for expediency due to data latency (Hughes, 2020).</w:t>
      </w:r>
    </w:p>
    <w:p w14:paraId="6A04BD35" w14:textId="77777777" w:rsidR="00BA4AF1" w:rsidRDefault="00BA4AF1">
      <w:pPr>
        <w:jc w:val="both"/>
        <w:rPr>
          <w:rFonts w:ascii="Times New Roman" w:eastAsia="Times New Roman" w:hAnsi="Times New Roman" w:cs="Times New Roman"/>
        </w:rPr>
      </w:pPr>
    </w:p>
    <w:p w14:paraId="52DB8D45"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1.3 Scope of Review</w:t>
      </w:r>
    </w:p>
    <w:p w14:paraId="4BC779F1"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rPr>
        <w:t>his review examines the machine-learning approaches employed for the purpose of early disease outbreak detection within the United States public health system. The proposed framework will encompass a range of models, including supervised, unsupervised, and</w:t>
      </w:r>
      <w:r>
        <w:rPr>
          <w:rFonts w:ascii="Times New Roman" w:eastAsia="Times New Roman" w:hAnsi="Times New Roman" w:cs="Times New Roman"/>
        </w:rPr>
        <w:t xml:space="preserve"> hybrid approaches, across diverse surveillance settings. It will also facilitate the integration of disparate data streams, such as electronic health records (EHRs), laboratory data, mobility patterns, social media content, genomic information, wastewater</w:t>
      </w:r>
      <w:r>
        <w:rPr>
          <w:rFonts w:ascii="Times New Roman" w:eastAsia="Times New Roman" w:hAnsi="Times New Roman" w:cs="Times New Roman"/>
        </w:rPr>
        <w:t xml:space="preserve"> analysis, and Internet of Things (IoT) sensor data. A comparative synthesis of studies reporting sensitivity, specificity, timeliness, and false-alarm rates will be conducted. A critical appraisal of real-world deployment evidence will be conducted, with </w:t>
      </w:r>
      <w:r>
        <w:rPr>
          <w:rFonts w:ascii="Times New Roman" w:eastAsia="Times New Roman" w:hAnsi="Times New Roman" w:cs="Times New Roman"/>
        </w:rPr>
        <w:t>particular attention to governance, interoperability, bias, privacy, workforce, and cost. This appraisal will also take into account equity and jurisdictional heterogeneity. The review underscores the necessity for actionable implications for the moderniza</w:t>
      </w:r>
      <w:r>
        <w:rPr>
          <w:rFonts w:ascii="Times New Roman" w:eastAsia="Times New Roman" w:hAnsi="Times New Roman" w:cs="Times New Roman"/>
        </w:rPr>
        <w:t>tion of surveillance, procurement, and regulation. It identifies gaps that necessitate advances in methodology, data, and policy to enhance reliability and trust.</w:t>
      </w:r>
    </w:p>
    <w:p w14:paraId="3E9DDF47"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1.4</w:t>
      </w:r>
      <w:r>
        <w:rPr>
          <w:rFonts w:ascii="Times New Roman" w:eastAsia="Times New Roman" w:hAnsi="Times New Roman" w:cs="Times New Roman"/>
        </w:rPr>
        <w:t xml:space="preserve"> </w:t>
      </w:r>
      <w:r>
        <w:rPr>
          <w:rFonts w:ascii="Times New Roman" w:eastAsia="Times New Roman" w:hAnsi="Times New Roman" w:cs="Times New Roman"/>
          <w:b/>
        </w:rPr>
        <w:t>Aim and Specific Objectives</w:t>
      </w:r>
    </w:p>
    <w:p w14:paraId="498B80A2"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rPr>
        <w:t>This research aims to evaluate the landscape, performance, an</w:t>
      </w:r>
      <w:r>
        <w:rPr>
          <w:rFonts w:ascii="Times New Roman" w:eastAsia="Times New Roman" w:hAnsi="Times New Roman" w:cs="Times New Roman"/>
        </w:rPr>
        <w:t>d implementation readiness of machine-learning models for early outbreak detection in the U.S. public health system, and to derive practice- and policy-relevant guidance for responsible integration.</w:t>
      </w:r>
    </w:p>
    <w:p w14:paraId="07D29887"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Specific Objectives</w:t>
      </w:r>
    </w:p>
    <w:p w14:paraId="35322612" w14:textId="77777777" w:rsidR="00BA4AF1" w:rsidRDefault="00EB64D7">
      <w:pPr>
        <w:numPr>
          <w:ilvl w:val="0"/>
          <w:numId w:val="2"/>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Systematically identify and classify </w:t>
      </w:r>
      <w:r>
        <w:rPr>
          <w:rFonts w:ascii="Times New Roman" w:eastAsia="Times New Roman" w:hAnsi="Times New Roman" w:cs="Times New Roman"/>
          <w:color w:val="000000"/>
        </w:rPr>
        <w:t>ML models (learning paradigm, architecture, task) and their outbreak contexts, and characterize integrated data sources and fusion strategies used in U.S. surveillance.</w:t>
      </w:r>
    </w:p>
    <w:p w14:paraId="5FEB4EC3" w14:textId="77777777" w:rsidR="00BA4AF1" w:rsidRDefault="00EB64D7">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Extract and compare reported performance (sensitivity, specificity, timeliness, false-a</w:t>
      </w:r>
      <w:r>
        <w:rPr>
          <w:rFonts w:ascii="Times New Roman" w:eastAsia="Times New Roman" w:hAnsi="Times New Roman" w:cs="Times New Roman"/>
        </w:rPr>
        <w:t>larm/PPV) using standardized definitions; where feasible, synthesize results to examine differences across model families and data combinations.</w:t>
      </w:r>
    </w:p>
    <w:p w14:paraId="613980F4" w14:textId="77777777" w:rsidR="00BA4AF1" w:rsidRDefault="00EB64D7">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Critically appraise real-world deployment evidence—data quality, bias/fairness, interpretability, interoperabil</w:t>
      </w:r>
      <w:r>
        <w:rPr>
          <w:rFonts w:ascii="Times New Roman" w:eastAsia="Times New Roman" w:hAnsi="Times New Roman" w:cs="Times New Roman"/>
        </w:rPr>
        <w:t>ity/standards, privacy/security, workforce capacity, and costs—and formulate policy recommendations and a targeted research agenda.</w:t>
      </w:r>
    </w:p>
    <w:p w14:paraId="761502FA"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2.0 Methodology</w:t>
      </w:r>
    </w:p>
    <w:p w14:paraId="1F203811"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2.1 Review design</w:t>
      </w:r>
    </w:p>
    <w:p w14:paraId="3213B8C5"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An integrative systematic review was conducted, and reported according to PRISMA 2020. The</w:t>
      </w:r>
      <w:r>
        <w:rPr>
          <w:rFonts w:ascii="Times New Roman" w:eastAsia="Times New Roman" w:hAnsi="Times New Roman" w:cs="Times New Roman"/>
        </w:rPr>
        <w:t xml:space="preserve"> review synthesizes quantitative, qualitative, and mixed-methods evidence on machine-learning (ML) models for early disease outbreak detection in the U.S. public health system. The term "early detection" is defined as algorithms that generate pre-diagnosti</w:t>
      </w:r>
      <w:r>
        <w:rPr>
          <w:rFonts w:ascii="Times New Roman" w:eastAsia="Times New Roman" w:hAnsi="Times New Roman" w:cs="Times New Roman"/>
        </w:rPr>
        <w:t xml:space="preserve">c or contemporaneous alerts of abnormal transmission or event onset. </w:t>
      </w:r>
      <w:r>
        <w:rPr>
          <w:rFonts w:ascii="Times New Roman" w:eastAsia="Times New Roman" w:hAnsi="Times New Roman" w:cs="Times New Roman"/>
        </w:rPr>
        <w:lastRenderedPageBreak/>
        <w:t>This is distinct from purely forward forecasting without a detection objective. We employed narrative synthesis for all eligible studies and performed quantitative meta-analysis under a r</w:t>
      </w:r>
      <w:r>
        <w:rPr>
          <w:rFonts w:ascii="Times New Roman" w:eastAsia="Times New Roman" w:hAnsi="Times New Roman" w:cs="Times New Roman"/>
        </w:rPr>
        <w:t xml:space="preserve">andom-effects framework exclusively when populations, tasks, data streams, comparators, and outcome definitions were sufficiently comparable. </w:t>
      </w:r>
    </w:p>
    <w:p w14:paraId="39A43A2E"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2.2 Eligibility criteria (Population/Context, Concept, Comparator/Outcomes)</w:t>
      </w:r>
    </w:p>
    <w:p w14:paraId="6C58BDAA"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i/>
        </w:rPr>
        <w:t>Population/Context:</w:t>
      </w:r>
      <w:r>
        <w:rPr>
          <w:rFonts w:ascii="Times New Roman" w:eastAsia="Times New Roman" w:hAnsi="Times New Roman" w:cs="Times New Roman"/>
        </w:rPr>
        <w:t xml:space="preserve"> Studies using U.S. public-health data or settings (local, state, federal; health systems partnering with public health).</w:t>
      </w:r>
    </w:p>
    <w:p w14:paraId="2371237D"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i/>
        </w:rPr>
        <w:t>Concept:</w:t>
      </w:r>
      <w:r>
        <w:rPr>
          <w:rFonts w:ascii="Times New Roman" w:eastAsia="Times New Roman" w:hAnsi="Times New Roman" w:cs="Times New Roman"/>
        </w:rPr>
        <w:t xml:space="preserve"> ML models (supervised, unsupervised, semi/self-supervised, hybrid) designed for early outbreak/event detection, including </w:t>
      </w:r>
      <w:proofErr w:type="spellStart"/>
      <w:r>
        <w:rPr>
          <w:rFonts w:ascii="Times New Roman" w:eastAsia="Times New Roman" w:hAnsi="Times New Roman" w:cs="Times New Roman"/>
        </w:rPr>
        <w:t>pre</w:t>
      </w:r>
      <w:r>
        <w:rPr>
          <w:rFonts w:ascii="Times New Roman" w:eastAsia="Times New Roman" w:hAnsi="Times New Roman" w:cs="Times New Roman"/>
        </w:rPr>
        <w:t>syndromic</w:t>
      </w:r>
      <w:proofErr w:type="spellEnd"/>
      <w:r>
        <w:rPr>
          <w:rFonts w:ascii="Times New Roman" w:eastAsia="Times New Roman" w:hAnsi="Times New Roman" w:cs="Times New Roman"/>
        </w:rPr>
        <w:t xml:space="preserve"> detection, signal anomaly scoring, space-time clustering, genomic/wastewater-based emergence detection, and multimodal early-warning systems.</w:t>
      </w:r>
    </w:p>
    <w:p w14:paraId="466B2849"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i/>
        </w:rPr>
        <w:t>Comparators/Outcomes:</w:t>
      </w:r>
      <w:sdt>
        <w:sdtPr>
          <w:tag w:val="goog_rdk_0"/>
          <w:id w:val="1235082365"/>
        </w:sdtPr>
        <w:sdtEndPr/>
        <w:sdtContent>
          <w:r>
            <w:rPr>
              <w:rFonts w:ascii="Gungsuh" w:eastAsia="Gungsuh" w:hAnsi="Gungsuh" w:cs="Gungsuh"/>
            </w:rPr>
            <w:t xml:space="preserve"> Eligible studies reported ≥1 evaluation metric relevant to detection: sensitivity/</w:t>
          </w:r>
          <w:r>
            <w:rPr>
              <w:rFonts w:ascii="Gungsuh" w:eastAsia="Gungsuh" w:hAnsi="Gungsuh" w:cs="Gungsuh"/>
            </w:rPr>
            <w:t>recall, specificity, positive predictive value (PPV)/false-alarm rate, timeliness/lead-time (days), plus accuracy proxies (e.g., error/correlation) when linked to an explicit detection or nowcasting objective. Acceptable comparators included traditional st</w:t>
          </w:r>
          <w:r>
            <w:rPr>
              <w:rFonts w:ascii="Gungsuh" w:eastAsia="Gungsuh" w:hAnsi="Gungsuh" w:cs="Gungsuh"/>
            </w:rPr>
            <w:t>atistical rules (e.g., CUSUM/EARS), historical baselines, or public-health gold standards (</w:t>
          </w:r>
          <w:proofErr w:type="spellStart"/>
          <w:r>
            <w:rPr>
              <w:rFonts w:ascii="Gungsuh" w:eastAsia="Gungsuh" w:hAnsi="Gungsuh" w:cs="Gungsuh"/>
            </w:rPr>
            <w:t>ILINet</w:t>
          </w:r>
          <w:proofErr w:type="spellEnd"/>
          <w:r>
            <w:rPr>
              <w:rFonts w:ascii="Gungsuh" w:eastAsia="Gungsuh" w:hAnsi="Gungsuh" w:cs="Gungsuh"/>
            </w:rPr>
            <w:t>, reportable conditions, clinical genomes).</w:t>
          </w:r>
        </w:sdtContent>
      </w:sdt>
    </w:p>
    <w:p w14:paraId="17F54300"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i/>
        </w:rPr>
        <w:t>Study designs:</w:t>
      </w:r>
      <w:r>
        <w:rPr>
          <w:rFonts w:ascii="Times New Roman" w:eastAsia="Times New Roman" w:hAnsi="Times New Roman" w:cs="Times New Roman"/>
        </w:rPr>
        <w:t xml:space="preserve"> Retrospective or prospective evaluations; internal or external validation studies; quasi-experimental/operational pilots; observational deployments; qualitative/implementation studies illuminating mechanisms, workflow integration, or governance; and econo</w:t>
      </w:r>
      <w:r>
        <w:rPr>
          <w:rFonts w:ascii="Times New Roman" w:eastAsia="Times New Roman" w:hAnsi="Times New Roman" w:cs="Times New Roman"/>
        </w:rPr>
        <w:t>mic evaluations if tied to a deployed detector.</w:t>
      </w:r>
    </w:p>
    <w:p w14:paraId="37181F9B"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i/>
        </w:rPr>
        <w:t>Exclusions:</w:t>
      </w:r>
      <w:r>
        <w:rPr>
          <w:rFonts w:ascii="Times New Roman" w:eastAsia="Times New Roman" w:hAnsi="Times New Roman" w:cs="Times New Roman"/>
        </w:rPr>
        <w:t xml:space="preserve"> Purely theoretical or simulation-only work; rule-based systems without machine </w:t>
      </w:r>
      <w:proofErr w:type="gramStart"/>
      <w:r>
        <w:rPr>
          <w:rFonts w:ascii="Times New Roman" w:eastAsia="Times New Roman" w:hAnsi="Times New Roman" w:cs="Times New Roman"/>
        </w:rPr>
        <w:t>learning,  non</w:t>
      </w:r>
      <w:proofErr w:type="gramEnd"/>
      <w:r>
        <w:rPr>
          <w:rFonts w:ascii="Times New Roman" w:eastAsia="Times New Roman" w:hAnsi="Times New Roman" w:cs="Times New Roman"/>
        </w:rPr>
        <w:t>-U.S. data lacking explicit U.S. transferability; forecast-only models unlinked to outbreak onset or de</w:t>
      </w:r>
      <w:r>
        <w:rPr>
          <w:rFonts w:ascii="Times New Roman" w:eastAsia="Times New Roman" w:hAnsi="Times New Roman" w:cs="Times New Roman"/>
        </w:rPr>
        <w:t>tection; animal/plant health unless integrated with human surveillance; editorials/commentaries; conference abstracts without sufficient data.</w:t>
      </w:r>
    </w:p>
    <w:p w14:paraId="33815786"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2.3 Information sources and search strategy</w:t>
      </w:r>
    </w:p>
    <w:p w14:paraId="04077DD5"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A comprehensive search was conducted in major bibliographic databases</w:t>
      </w:r>
      <w:r>
        <w:rPr>
          <w:rFonts w:ascii="Times New Roman" w:eastAsia="Times New Roman" w:hAnsi="Times New Roman" w:cs="Times New Roman"/>
        </w:rPr>
        <w:t>, including MEDLINE (via PubMed), Embase, Web of Science Core Collection, Scopus, IEEE Xplore, and ACM Digital Library. In addition to peer-reviewed literature, grey-literature sources were consulted. These included the Morbidity and Mortality Weekly Repor</w:t>
      </w:r>
      <w:r>
        <w:rPr>
          <w:rFonts w:ascii="Times New Roman" w:eastAsia="Times New Roman" w:hAnsi="Times New Roman" w:cs="Times New Roman"/>
        </w:rPr>
        <w:t xml:space="preserve">t (MMWR) by the CDC, state health department reports, HHS/ASPR technical notes, pre-prints from the archive of pre-print servers (e.g. </w:t>
      </w:r>
      <w:proofErr w:type="spellStart"/>
      <w:r>
        <w:rPr>
          <w:rFonts w:ascii="Times New Roman" w:eastAsia="Times New Roman" w:hAnsi="Times New Roman" w:cs="Times New Roman"/>
        </w:rPr>
        <w:t>medRxiv</w:t>
      </w:r>
      <w:proofErr w:type="spellEnd"/>
      <w:r>
        <w:rPr>
          <w:rFonts w:ascii="Times New Roman" w:eastAsia="Times New Roman" w:hAnsi="Times New Roman" w:cs="Times New Roman"/>
        </w:rPr>
        <w:t>), and dissertations where U.S. operational evaluations were reported. No study-design filter was applied. A searc</w:t>
      </w:r>
      <w:r>
        <w:rPr>
          <w:rFonts w:ascii="Times New Roman" w:eastAsia="Times New Roman" w:hAnsi="Times New Roman" w:cs="Times New Roman"/>
        </w:rPr>
        <w:t xml:space="preserve">h was executed using controlled vocabulary and free-text search terms that included machine learning, deep learning, anomaly detection, early warning, outbreak, surveillance, syndromic, </w:t>
      </w: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 wastewater, genomic, United States, U.S. states, CDC, an</w:t>
      </w:r>
      <w:r>
        <w:rPr>
          <w:rFonts w:ascii="Times New Roman" w:eastAsia="Times New Roman" w:hAnsi="Times New Roman" w:cs="Times New Roman"/>
        </w:rPr>
        <w:t>d data-stream terms such as EHR, lab, mobility, social media, ED text, IoT, wastewater, genomics. The time window under consideration extends from January 2015 to the present, encompassing contemporary digital, genomic, and wastewater surveillance methodol</w:t>
      </w:r>
      <w:r>
        <w:rPr>
          <w:rFonts w:ascii="Times New Roman" w:eastAsia="Times New Roman" w:hAnsi="Times New Roman" w:cs="Times New Roman"/>
        </w:rPr>
        <w:t xml:space="preserve">ogies. Where feasible, </w:t>
      </w:r>
      <w:r>
        <w:rPr>
          <w:rFonts w:ascii="Times New Roman" w:eastAsia="Times New Roman" w:hAnsi="Times New Roman" w:cs="Times New Roman"/>
        </w:rPr>
        <w:lastRenderedPageBreak/>
        <w:t>English language limits were imposed, but screening of titles/abstracts of non-English items was undertaken for U.S. data.</w:t>
      </w:r>
    </w:p>
    <w:p w14:paraId="2E73192A"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2.4 Study selection and data extraction</w:t>
      </w:r>
    </w:p>
    <w:p w14:paraId="1099305C"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The records will undergo a process of de-duplication and screening in </w:t>
      </w:r>
      <w:r>
        <w:rPr>
          <w:rFonts w:ascii="Times New Roman" w:eastAsia="Times New Roman" w:hAnsi="Times New Roman" w:cs="Times New Roman"/>
        </w:rPr>
        <w:t xml:space="preserve">two stages by two independent reviewers (titles/abstracts, then full texts). Disagreements among the reviewers will be resolved through discussion or the involvement of a third reviewer. To ensure the consistent application of the aforementioned criteria, </w:t>
      </w:r>
      <w:r>
        <w:rPr>
          <w:rFonts w:ascii="Times New Roman" w:eastAsia="Times New Roman" w:hAnsi="Times New Roman" w:cs="Times New Roman"/>
        </w:rPr>
        <w:t xml:space="preserve">a pilot calibration exercise will be conducted. The data will be extracted using a standardized form that captures the following: study characteristics and jurisdictional setting; population or surveillance context; data streams (electronic health records </w:t>
      </w:r>
      <w:r>
        <w:rPr>
          <w:rFonts w:ascii="Times New Roman" w:eastAsia="Times New Roman" w:hAnsi="Times New Roman" w:cs="Times New Roman"/>
        </w:rPr>
        <w:t>[EHR], laboratory, mobility, web search/social media, emergency-department text, Internet of Things [IoT] thermometry/wearables, wastewater, genomics); model taxonomy and fusion strategy; task framing (</w:t>
      </w: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/event detection, anomaly scoring, space–t</w:t>
      </w:r>
      <w:r>
        <w:rPr>
          <w:rFonts w:ascii="Times New Roman" w:eastAsia="Times New Roman" w:hAnsi="Times New Roman" w:cs="Times New Roman"/>
        </w:rPr>
        <w:t>ime clustering, lineage/variant assignment); training and validation design; detection metrics and thresholds (sensitivity, specificity, positive predictive value/false-alarm rate, timeliness/lead-time, error/correlation); comparators and gold standards; c</w:t>
      </w:r>
      <w:r>
        <w:rPr>
          <w:rFonts w:ascii="Times New Roman" w:eastAsia="Times New Roman" w:hAnsi="Times New Roman" w:cs="Times New Roman"/>
        </w:rPr>
        <w:t>ompute/latency and workflow integration; deployment maturity; governance/privacy notes; resourcing/costs; and reproducibility (code/data). The authors will be contacted when critical data are missing or further clarification is required.</w:t>
      </w:r>
    </w:p>
    <w:p w14:paraId="5FE0F391"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3.0 Result</w:t>
      </w:r>
    </w:p>
    <w:p w14:paraId="53ECD9B7"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3.1 Stu</w:t>
      </w:r>
      <w:r>
        <w:rPr>
          <w:rFonts w:ascii="Times New Roman" w:eastAsia="Times New Roman" w:hAnsi="Times New Roman" w:cs="Times New Roman"/>
          <w:b/>
        </w:rPr>
        <w:t>dy selection (PRISMA)</w:t>
      </w:r>
    </w:p>
    <w:p w14:paraId="40692BBB"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Following PRISMA 2020, 432 records were identified across databases. After removal of duplicates, 210 records were screened by two independent reviewers. 134 were excluded. Seventy-six full texts were assessed for eligibility. 48 were</w:t>
      </w:r>
      <w:r>
        <w:rPr>
          <w:rFonts w:ascii="Times New Roman" w:eastAsia="Times New Roman" w:hAnsi="Times New Roman" w:cs="Times New Roman"/>
        </w:rPr>
        <w:t xml:space="preserve"> excluded with documented reasons. 18 studies met all criteria and were included in the synthesis. The PRISMA flow diagram (fig. 1) summarizes record identification, screening decisions, and reasons for exclusion.</w:t>
      </w:r>
    </w:p>
    <w:p w14:paraId="1DBF6E24" w14:textId="77777777" w:rsidR="00BA4AF1" w:rsidRDefault="00EB64D7">
      <w:pPr>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14:anchorId="65253FCE" wp14:editId="610DA3EA">
            <wp:extent cx="4516137" cy="3301146"/>
            <wp:effectExtent l="0" t="0" r="0" b="0"/>
            <wp:docPr id="847795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516137" cy="3301146"/>
                    </a:xfrm>
                    <a:prstGeom prst="rect">
                      <a:avLst/>
                    </a:prstGeom>
                    <a:ln/>
                  </pic:spPr>
                </pic:pic>
              </a:graphicData>
            </a:graphic>
          </wp:inline>
        </w:drawing>
      </w:r>
    </w:p>
    <w:p w14:paraId="53F12050" w14:textId="77777777" w:rsidR="00BA4AF1" w:rsidRDefault="00EB64D7">
      <w:pPr>
        <w:jc w:val="center"/>
        <w:rPr>
          <w:rFonts w:ascii="Times New Roman" w:eastAsia="Times New Roman" w:hAnsi="Times New Roman" w:cs="Times New Roman"/>
          <w:b/>
        </w:rPr>
      </w:pPr>
      <w:r>
        <w:rPr>
          <w:rFonts w:ascii="Times New Roman" w:eastAsia="Times New Roman" w:hAnsi="Times New Roman" w:cs="Times New Roman"/>
          <w:b/>
        </w:rPr>
        <w:t>Figure 1: Prisma Flow Diagram</w:t>
      </w:r>
    </w:p>
    <w:p w14:paraId="6471709B"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3.2 Summar</w:t>
      </w:r>
      <w:r>
        <w:rPr>
          <w:rFonts w:ascii="Times New Roman" w:eastAsia="Times New Roman" w:hAnsi="Times New Roman" w:cs="Times New Roman"/>
          <w:b/>
        </w:rPr>
        <w:t>y of Study Characteristics</w:t>
      </w:r>
    </w:p>
    <w:p w14:paraId="6EF9D873"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The included evidence comprised 18 U.S.-based primary studies (Table 1) published between 2015 and 2025 that examined machine learning for early outbreak detection. The system targeted three distinct task families: influenza-like</w:t>
      </w:r>
      <w:r>
        <w:rPr>
          <w:rFonts w:ascii="Times New Roman" w:eastAsia="Times New Roman" w:hAnsi="Times New Roman" w:cs="Times New Roman"/>
        </w:rPr>
        <w:t xml:space="preserve"> illness nowcasting/monitoring, jurisdictional surge early-warning, and lineage/variant detection. The data streams encompassed a wide array of sources, including cloud-based electronic health records (EHR) and laboratory feeds, web search and social media</w:t>
      </w:r>
      <w:r>
        <w:rPr>
          <w:rFonts w:ascii="Times New Roman" w:eastAsia="Times New Roman" w:hAnsi="Times New Roman" w:cs="Times New Roman"/>
        </w:rPr>
        <w:t xml:space="preserve"> data, mobility traces, consumer thermometers and wearable devices, emergency-department chief complaints, text from emergency-department chief complaints, genomic data, and wastewater sequencing data. The model approaches encompassed regularized regressio</w:t>
      </w:r>
      <w:r>
        <w:rPr>
          <w:rFonts w:ascii="Times New Roman" w:eastAsia="Times New Roman" w:hAnsi="Times New Roman" w:cs="Times New Roman"/>
        </w:rPr>
        <w:t>n and ensembles, sequence models, anomaly detection, bioinformatics pipelines, and real-time phylogenetic placement. These approaches covered supervised, unsupervised, and hybrid paradigms. The geographic units encompassed a wide range of spatial scales, e</w:t>
      </w:r>
      <w:r>
        <w:rPr>
          <w:rFonts w:ascii="Times New Roman" w:eastAsia="Times New Roman" w:hAnsi="Times New Roman" w:cs="Times New Roman"/>
        </w:rPr>
        <w:t xml:space="preserve">xtending from facilities and campuses to counties and states. The temporal resolution was grouped into daily outputs for digital/IoT/ED streams and weekly outputs for genomics/wastewater. The majority of the evaluations were retrospective in nature, while </w:t>
      </w:r>
      <w:r>
        <w:rPr>
          <w:rFonts w:ascii="Times New Roman" w:eastAsia="Times New Roman" w:hAnsi="Times New Roman" w:cs="Times New Roman"/>
        </w:rPr>
        <w:t>external or prospective validations were less frequently implemented. Standards differed.</w:t>
      </w:r>
    </w:p>
    <w:p w14:paraId="01F1B46F"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3.3 Thematic Analysis</w:t>
      </w:r>
    </w:p>
    <w:p w14:paraId="30A3B528"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Theme 1: Model–Data Design Space</w:t>
      </w:r>
    </w:p>
    <w:p w14:paraId="1369872B"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The U.S. surveillance ML encompasses ILI nowcasting, surge early-warning, and lineage or variant detection (Lu </w:t>
      </w:r>
      <w:r>
        <w:rPr>
          <w:rFonts w:ascii="Times New Roman" w:eastAsia="Times New Roman" w:hAnsi="Times New Roman" w:cs="Times New Roman"/>
        </w:rPr>
        <w:t>2019). Search-based regression has been demonstrated to enhance the accuracy of ILI nowcasts for operational awareness (Yang, 2015). Sequence architectures have been demonstrated to enhance the precision of influenza forecasting across temporal scales (Aik</w:t>
      </w:r>
      <w:r>
        <w:rPr>
          <w:rFonts w:ascii="Times New Roman" w:eastAsia="Times New Roman" w:hAnsi="Times New Roman" w:cs="Times New Roman"/>
        </w:rPr>
        <w:t xml:space="preserve">en 2021). EHR ensembles </w:t>
      </w:r>
      <w:r>
        <w:rPr>
          <w:rFonts w:ascii="Times New Roman" w:eastAsia="Times New Roman" w:hAnsi="Times New Roman" w:cs="Times New Roman"/>
        </w:rPr>
        <w:lastRenderedPageBreak/>
        <w:t>employing feature-level fusion provide near real-time state and regional estimates (Santillana 2016). Networked thermometers have been shown to generate anomaly-based ILI signals and short-range forecasts (Miller 2018). Wearable phy</w:t>
      </w:r>
      <w:r>
        <w:rPr>
          <w:rFonts w:ascii="Times New Roman" w:eastAsia="Times New Roman" w:hAnsi="Times New Roman" w:cs="Times New Roman"/>
        </w:rPr>
        <w:t>siology has been demonstrated to augment real-time tracking at population scale (Radin, 2020). The integration of mobility data with search queries, clinician inquiries, and social media content has been demonstrated to generate jurisdictional alerts (Koga</w:t>
      </w:r>
      <w:r>
        <w:rPr>
          <w:rFonts w:ascii="Times New Roman" w:eastAsia="Times New Roman" w:hAnsi="Times New Roman" w:cs="Times New Roman"/>
        </w:rPr>
        <w:t>n, 2021). Prospective county-level systems have been developed to operationalize multimodal warnings for local decisions (</w:t>
      </w:r>
      <w:proofErr w:type="spellStart"/>
      <w:r>
        <w:rPr>
          <w:rFonts w:ascii="Times New Roman" w:eastAsia="Times New Roman" w:hAnsi="Times New Roman" w:cs="Times New Roman"/>
        </w:rPr>
        <w:t>Stolerman</w:t>
      </w:r>
      <w:proofErr w:type="spellEnd"/>
      <w:r>
        <w:rPr>
          <w:rFonts w:ascii="Times New Roman" w:eastAsia="Times New Roman" w:hAnsi="Times New Roman" w:cs="Times New Roman"/>
        </w:rPr>
        <w:t xml:space="preserve"> 2023). </w:t>
      </w: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 xml:space="preserve"> pipelines mine emergency-department free text with unsupervised discovery and machine learning triage (N</w:t>
      </w:r>
      <w:r>
        <w:rPr>
          <w:rFonts w:ascii="Times New Roman" w:eastAsia="Times New Roman" w:hAnsi="Times New Roman" w:cs="Times New Roman"/>
        </w:rPr>
        <w:t>obles 2022). Real-time phylogenetic placement facilitates expeditious lineage assignment within laboratory workflows (</w:t>
      </w:r>
      <w:proofErr w:type="spellStart"/>
      <w:r>
        <w:rPr>
          <w:rFonts w:ascii="Times New Roman" w:eastAsia="Times New Roman" w:hAnsi="Times New Roman" w:cs="Times New Roman"/>
        </w:rPr>
        <w:t>Turakhia</w:t>
      </w:r>
      <w:proofErr w:type="spellEnd"/>
      <w:r>
        <w:rPr>
          <w:rFonts w:ascii="Times New Roman" w:eastAsia="Times New Roman" w:hAnsi="Times New Roman" w:cs="Times New Roman"/>
        </w:rPr>
        <w:t xml:space="preserve"> 2021). Wastewater sequencing has been demonstrated to facilitate the detection of cryptic transmission and emerging variants at t</w:t>
      </w:r>
      <w:r>
        <w:rPr>
          <w:rFonts w:ascii="Times New Roman" w:eastAsia="Times New Roman" w:hAnsi="Times New Roman" w:cs="Times New Roman"/>
        </w:rPr>
        <w:t xml:space="preserve">he </w:t>
      </w:r>
      <w:proofErr w:type="spellStart"/>
      <w:r>
        <w:rPr>
          <w:rFonts w:ascii="Times New Roman" w:eastAsia="Times New Roman" w:hAnsi="Times New Roman" w:cs="Times New Roman"/>
        </w:rPr>
        <w:t>sewershed</w:t>
      </w:r>
      <w:proofErr w:type="spellEnd"/>
      <w:r>
        <w:rPr>
          <w:rFonts w:ascii="Times New Roman" w:eastAsia="Times New Roman" w:hAnsi="Times New Roman" w:cs="Times New Roman"/>
        </w:rPr>
        <w:t xml:space="preserve"> scale (Karthikeyan 2022). </w:t>
      </w:r>
      <w:proofErr w:type="spellStart"/>
      <w:r>
        <w:rPr>
          <w:rFonts w:ascii="Times New Roman" w:eastAsia="Times New Roman" w:hAnsi="Times New Roman" w:cs="Times New Roman"/>
        </w:rPr>
        <w:t>Metatranscriptomic</w:t>
      </w:r>
      <w:proofErr w:type="spellEnd"/>
      <w:r>
        <w:rPr>
          <w:rFonts w:ascii="Times New Roman" w:eastAsia="Times New Roman" w:hAnsi="Times New Roman" w:cs="Times New Roman"/>
        </w:rPr>
        <w:t xml:space="preserve"> sewage analyses have been shown to corroborate variant patterns against clinical genomes in metropolitan systems (Crits-Christoph 2021). Targeted manhole sampling has been identified as a method tha</w:t>
      </w:r>
      <w:r>
        <w:rPr>
          <w:rFonts w:ascii="Times New Roman" w:eastAsia="Times New Roman" w:hAnsi="Times New Roman" w:cs="Times New Roman"/>
        </w:rPr>
        <w:t>t advances the timeliness of monitoring in high-mobility corridors (Vo 2023). The implementation of variant pipelines has been demonstrated to enhance the precision and timeliness of wastewater detection (</w:t>
      </w:r>
      <w:proofErr w:type="spellStart"/>
      <w:r>
        <w:rPr>
          <w:rFonts w:ascii="Times New Roman" w:eastAsia="Times New Roman" w:hAnsi="Times New Roman" w:cs="Times New Roman"/>
        </w:rPr>
        <w:t>Sapoval</w:t>
      </w:r>
      <w:proofErr w:type="spellEnd"/>
      <w:r>
        <w:rPr>
          <w:rFonts w:ascii="Times New Roman" w:eastAsia="Times New Roman" w:hAnsi="Times New Roman" w:cs="Times New Roman"/>
        </w:rPr>
        <w:t>, 2023). Digital, IoT, and ED streams are ty</w:t>
      </w:r>
      <w:r>
        <w:rPr>
          <w:rFonts w:ascii="Times New Roman" w:eastAsia="Times New Roman" w:hAnsi="Times New Roman" w:cs="Times New Roman"/>
        </w:rPr>
        <w:t>pically generated daily, whereas genomic and wastewater outputs are generated weekly (Lu, 2018). The fusion of these choices has been shown to balance latency, coverage, and robustness across stream noise and cadence in practice (Lu 2019).</w:t>
      </w:r>
    </w:p>
    <w:p w14:paraId="5273399D"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Theme 2: Detecti</w:t>
      </w:r>
      <w:r>
        <w:rPr>
          <w:rFonts w:ascii="Times New Roman" w:eastAsia="Times New Roman" w:hAnsi="Times New Roman" w:cs="Times New Roman"/>
          <w:b/>
        </w:rPr>
        <w:t>on Performance and Timeliness</w:t>
      </w:r>
    </w:p>
    <w:p w14:paraId="29761055"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The practice of influenza nowcasting typically involves the reporting of either errors or correlations against the Infectious Disease Data Repository (</w:t>
      </w:r>
      <w:proofErr w:type="spellStart"/>
      <w:r>
        <w:rPr>
          <w:rFonts w:ascii="Times New Roman" w:eastAsia="Times New Roman" w:hAnsi="Times New Roman" w:cs="Times New Roman"/>
        </w:rPr>
        <w:t>ILINet</w:t>
      </w:r>
      <w:proofErr w:type="spellEnd"/>
      <w:r>
        <w:rPr>
          <w:rFonts w:ascii="Times New Roman" w:eastAsia="Times New Roman" w:hAnsi="Times New Roman" w:cs="Times New Roman"/>
        </w:rPr>
        <w:t xml:space="preserve">), a system that has been shown to exhibit meaningful decreases when </w:t>
      </w:r>
      <w:r>
        <w:rPr>
          <w:rFonts w:ascii="Times New Roman" w:eastAsia="Times New Roman" w:hAnsi="Times New Roman" w:cs="Times New Roman"/>
        </w:rPr>
        <w:t>compared to historical standards (Yang 2015). As demonstrated in the study by Lu (2019), dynamic ensembles have been shown to reduce error at the state scale across multiple seasons. Sequence architectures have been demonstrated to enhance longer-horizon a</w:t>
      </w:r>
      <w:r>
        <w:rPr>
          <w:rFonts w:ascii="Times New Roman" w:eastAsia="Times New Roman" w:hAnsi="Times New Roman" w:cs="Times New Roman"/>
        </w:rPr>
        <w:t xml:space="preserve">ccuracy in comparison to conventional baselines (Aiken 2021). Networked thermometers have been demonstrated to enhance short-range forecasts and track ILI anomalies in real time (Miller 2018). Wearable physiology has been demonstrated to enhance real-time </w:t>
      </w:r>
      <w:r>
        <w:rPr>
          <w:rFonts w:ascii="Times New Roman" w:eastAsia="Times New Roman" w:hAnsi="Times New Roman" w:cs="Times New Roman"/>
        </w:rPr>
        <w:t xml:space="preserve">estimation at the population scale (Radin, 2020). Multimodal early-warning ensembles have been shown to yield a lead time of two to three weeks at the state scale (Kogan, 2021). Prospective county-level systems have been demonstrated to offer anticipatory </w:t>
      </w:r>
      <w:r>
        <w:rPr>
          <w:rFonts w:ascii="Times New Roman" w:eastAsia="Times New Roman" w:hAnsi="Times New Roman" w:cs="Times New Roman"/>
        </w:rPr>
        <w:t>alerts with evaluated operational performance (</w:t>
      </w:r>
      <w:proofErr w:type="spellStart"/>
      <w:r>
        <w:rPr>
          <w:rFonts w:ascii="Times New Roman" w:eastAsia="Times New Roman" w:hAnsi="Times New Roman" w:cs="Times New Roman"/>
        </w:rPr>
        <w:t>Stolerman</w:t>
      </w:r>
      <w:proofErr w:type="spellEnd"/>
      <w:r>
        <w:rPr>
          <w:rFonts w:ascii="Times New Roman" w:eastAsia="Times New Roman" w:hAnsi="Times New Roman" w:cs="Times New Roman"/>
        </w:rPr>
        <w:t xml:space="preserve"> 2023). </w:t>
      </w: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 xml:space="preserve"> pipelines have been demonstrated to enhance timeliness while concomitantly reducing the number of irrelevant alerts, thereby optimizing practical PPV (Nobles 2022). Phylogenetic p</w:t>
      </w:r>
      <w:r>
        <w:rPr>
          <w:rFonts w:ascii="Times New Roman" w:eastAsia="Times New Roman" w:hAnsi="Times New Roman" w:cs="Times New Roman"/>
        </w:rPr>
        <w:t>lacement is a rapid and precise method of determining lineage, which is essential for the timely execution of genomic responses (</w:t>
      </w:r>
      <w:proofErr w:type="spellStart"/>
      <w:r>
        <w:rPr>
          <w:rFonts w:ascii="Times New Roman" w:eastAsia="Times New Roman" w:hAnsi="Times New Roman" w:cs="Times New Roman"/>
        </w:rPr>
        <w:t>Turakhia</w:t>
      </w:r>
      <w:proofErr w:type="spellEnd"/>
      <w:r>
        <w:rPr>
          <w:rFonts w:ascii="Times New Roman" w:eastAsia="Times New Roman" w:hAnsi="Times New Roman" w:cs="Times New Roman"/>
        </w:rPr>
        <w:t xml:space="preserve"> 2021). Wastewater sequencing has been shown to detect cryptic transmission and variant emergence before clinical confi</w:t>
      </w:r>
      <w:r>
        <w:rPr>
          <w:rFonts w:ascii="Times New Roman" w:eastAsia="Times New Roman" w:hAnsi="Times New Roman" w:cs="Times New Roman"/>
        </w:rPr>
        <w:t xml:space="preserve">rmation (Karthikeyan 2022). Targeted manhole sampling has been shown to advance detection by approximately one week in high-mobility areas (Vo 2023). However, the efficacy of pooling across studies is constrained by the heterogeneity of ground truths, the </w:t>
      </w:r>
      <w:r>
        <w:rPr>
          <w:rFonts w:ascii="Times New Roman" w:eastAsia="Times New Roman" w:hAnsi="Times New Roman" w:cs="Times New Roman"/>
        </w:rPr>
        <w:t>varying definitions of onset, and aggregation intervals (Lu, 2018). The majority of evaluations are retrospective, thereby underscoring the necessity for routine prospective validation (Santillana 2016). When considered as a whole, the integration of these</w:t>
      </w:r>
      <w:r>
        <w:rPr>
          <w:rFonts w:ascii="Times New Roman" w:eastAsia="Times New Roman" w:hAnsi="Times New Roman" w:cs="Times New Roman"/>
        </w:rPr>
        <w:t xml:space="preserve"> components enhances the reliability of signals, while single-source digital streams demonstrate temporal advantages (Kogan 2021). Genomics and wastewater analysis have been demonstrated to be effective tools for the early detection of variant emergence (K</w:t>
      </w:r>
      <w:r>
        <w:rPr>
          <w:rFonts w:ascii="Times New Roman" w:eastAsia="Times New Roman" w:hAnsi="Times New Roman" w:cs="Times New Roman"/>
        </w:rPr>
        <w:t>arthikeyan 2022).</w:t>
      </w:r>
    </w:p>
    <w:p w14:paraId="315D4D9E" w14:textId="77777777" w:rsidR="00BA4AF1" w:rsidRDefault="00BA4AF1">
      <w:pPr>
        <w:jc w:val="both"/>
        <w:rPr>
          <w:rFonts w:ascii="Times New Roman" w:eastAsia="Times New Roman" w:hAnsi="Times New Roman" w:cs="Times New Roman"/>
          <w:b/>
        </w:rPr>
      </w:pPr>
    </w:p>
    <w:p w14:paraId="63777DD7"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lastRenderedPageBreak/>
        <w:t>Theme 3: Implementation Readiness and Governance</w:t>
      </w:r>
    </w:p>
    <w:p w14:paraId="7A2379F8"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Real-time phylogenetic placement is embedded in laboratory workflows, accelerating lineage assignment for actionability (</w:t>
      </w:r>
      <w:proofErr w:type="spellStart"/>
      <w:r>
        <w:rPr>
          <w:rFonts w:ascii="Times New Roman" w:eastAsia="Times New Roman" w:hAnsi="Times New Roman" w:cs="Times New Roman"/>
        </w:rPr>
        <w:t>Turakhia</w:t>
      </w:r>
      <w:proofErr w:type="spellEnd"/>
      <w:r>
        <w:rPr>
          <w:rFonts w:ascii="Times New Roman" w:eastAsia="Times New Roman" w:hAnsi="Times New Roman" w:cs="Times New Roman"/>
        </w:rPr>
        <w:t xml:space="preserve"> 2021). Campus and city wastewater programs have been shown</w:t>
      </w:r>
      <w:r>
        <w:rPr>
          <w:rFonts w:ascii="Times New Roman" w:eastAsia="Times New Roman" w:hAnsi="Times New Roman" w:cs="Times New Roman"/>
        </w:rPr>
        <w:t xml:space="preserve"> to demonstrate sustained sampling with actionable lead time for variant emergence (Karthikeyan 2022). The efficacy of targeted manhole sampling in enhancing detection within high-mobility corridors has been demonstrated (Vo, 2023). </w:t>
      </w: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 xml:space="preserve"> emergency-</w:t>
      </w:r>
      <w:r>
        <w:rPr>
          <w:rFonts w:ascii="Times New Roman" w:eastAsia="Times New Roman" w:hAnsi="Times New Roman" w:cs="Times New Roman"/>
        </w:rPr>
        <w:t>department text mining is an operational component of health-department triage, to prioritize investigative procedures (Nobles 2022). Networked thermometers are capable of providing consumer-scale fever signals that can be integrated with short-range forec</w:t>
      </w:r>
      <w:r>
        <w:rPr>
          <w:rFonts w:ascii="Times New Roman" w:eastAsia="Times New Roman" w:hAnsi="Times New Roman" w:cs="Times New Roman"/>
        </w:rPr>
        <w:t>asting systems (Miller 2018). Multimodal early-warning ensembles provide policy-relevant anticipation windows at state scale (Kogan 2021). Prospective county-level evaluations illustrate pathways for routine operational monitoring and alert adjudication (</w:t>
      </w:r>
      <w:proofErr w:type="spellStart"/>
      <w:r>
        <w:rPr>
          <w:rFonts w:ascii="Times New Roman" w:eastAsia="Times New Roman" w:hAnsi="Times New Roman" w:cs="Times New Roman"/>
        </w:rPr>
        <w:t>S</w:t>
      </w:r>
      <w:r>
        <w:rPr>
          <w:rFonts w:ascii="Times New Roman" w:eastAsia="Times New Roman" w:hAnsi="Times New Roman" w:cs="Times New Roman"/>
        </w:rPr>
        <w:t>tolerman</w:t>
      </w:r>
      <w:proofErr w:type="spellEnd"/>
      <w:r>
        <w:rPr>
          <w:rFonts w:ascii="Times New Roman" w:eastAsia="Times New Roman" w:hAnsi="Times New Roman" w:cs="Times New Roman"/>
        </w:rPr>
        <w:t xml:space="preserve"> 2023). Metric definitions necessitate clarity regarding sensitivity, positive predictive value (PPV), and timeliness in relation to established syndromic benchmarks (Lu 2018). Santillana (2016) asserts that near-real-time EHR pipelines underscore </w:t>
      </w:r>
      <w:r>
        <w:rPr>
          <w:rFonts w:ascii="Times New Roman" w:eastAsia="Times New Roman" w:hAnsi="Times New Roman" w:cs="Times New Roman"/>
        </w:rPr>
        <w:t>data-quality dependencies, interface agreements, and latency contracts. Retrospective designs persist in their prevalence, underscoring the necessity for external and prospective validation before procurement (Yang 2015). Genomic and wastewater programs ha</w:t>
      </w:r>
      <w:r>
        <w:rPr>
          <w:rFonts w:ascii="Times New Roman" w:eastAsia="Times New Roman" w:hAnsi="Times New Roman" w:cs="Times New Roman"/>
        </w:rPr>
        <w:t xml:space="preserve">ve been shown to strike a balance between costs and weekly cadences, ensuring practical timeliness (Karthikeyan 2022). According to Mackey (2020), the management of noise and alert volumes in daily digital streams necessitates the implementation of robust </w:t>
      </w:r>
      <w:r>
        <w:rPr>
          <w:rFonts w:ascii="Times New Roman" w:eastAsia="Times New Roman" w:hAnsi="Times New Roman" w:cs="Times New Roman"/>
        </w:rPr>
        <w:t>filtering and thresholding mechanisms. In the context of procurement, the establishment of transparent baselines, substantiated lead times, and systematic monitoring plans is imperative (</w:t>
      </w:r>
      <w:proofErr w:type="spellStart"/>
      <w:r>
        <w:rPr>
          <w:rFonts w:ascii="Times New Roman" w:eastAsia="Times New Roman" w:hAnsi="Times New Roman" w:cs="Times New Roman"/>
        </w:rPr>
        <w:t>Stolerman</w:t>
      </w:r>
      <w:proofErr w:type="spellEnd"/>
      <w:r>
        <w:rPr>
          <w:rFonts w:ascii="Times New Roman" w:eastAsia="Times New Roman" w:hAnsi="Times New Roman" w:cs="Times New Roman"/>
        </w:rPr>
        <w:t xml:space="preserve"> 2023). These conditions facilitate the integration of machi</w:t>
      </w:r>
      <w:r>
        <w:rPr>
          <w:rFonts w:ascii="Times New Roman" w:eastAsia="Times New Roman" w:hAnsi="Times New Roman" w:cs="Times New Roman"/>
        </w:rPr>
        <w:t>ne-learning surveillance into public health operations on a large scale (Lu 2019).</w:t>
      </w:r>
    </w:p>
    <w:p w14:paraId="3E0B0945" w14:textId="77777777" w:rsidR="00BA4AF1" w:rsidRDefault="00BA4AF1">
      <w:pPr>
        <w:jc w:val="both"/>
        <w:rPr>
          <w:rFonts w:ascii="Times New Roman" w:eastAsia="Times New Roman" w:hAnsi="Times New Roman" w:cs="Times New Roman"/>
        </w:rPr>
      </w:pPr>
    </w:p>
    <w:p w14:paraId="486F5E61" w14:textId="77777777" w:rsidR="00BA4AF1" w:rsidRDefault="00BA4AF1">
      <w:pPr>
        <w:jc w:val="both"/>
        <w:rPr>
          <w:rFonts w:ascii="Times New Roman" w:eastAsia="Times New Roman" w:hAnsi="Times New Roman" w:cs="Times New Roman"/>
        </w:rPr>
      </w:pPr>
    </w:p>
    <w:p w14:paraId="73847F8F" w14:textId="77777777" w:rsidR="00BA4AF1" w:rsidRDefault="00BA4AF1">
      <w:pPr>
        <w:jc w:val="both"/>
        <w:rPr>
          <w:rFonts w:ascii="Times New Roman" w:eastAsia="Times New Roman" w:hAnsi="Times New Roman" w:cs="Times New Roman"/>
        </w:rPr>
      </w:pPr>
    </w:p>
    <w:p w14:paraId="3D1E865D" w14:textId="77777777" w:rsidR="00BA4AF1" w:rsidRDefault="00BA4AF1">
      <w:pPr>
        <w:jc w:val="both"/>
        <w:rPr>
          <w:rFonts w:ascii="Times New Roman" w:eastAsia="Times New Roman" w:hAnsi="Times New Roman" w:cs="Times New Roman"/>
        </w:rPr>
      </w:pPr>
    </w:p>
    <w:p w14:paraId="57156989" w14:textId="77777777" w:rsidR="00BA4AF1" w:rsidRDefault="00BA4AF1">
      <w:pPr>
        <w:jc w:val="both"/>
        <w:rPr>
          <w:rFonts w:ascii="Times New Roman" w:eastAsia="Times New Roman" w:hAnsi="Times New Roman" w:cs="Times New Roman"/>
        </w:rPr>
        <w:sectPr w:rsidR="00BA4AF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pPr>
    </w:p>
    <w:p w14:paraId="6B7E9F1C" w14:textId="77777777" w:rsidR="00BA4AF1" w:rsidRDefault="00EB64D7">
      <w:pPr>
        <w:jc w:val="center"/>
        <w:rPr>
          <w:rFonts w:ascii="Times New Roman" w:eastAsia="Times New Roman" w:hAnsi="Times New Roman" w:cs="Times New Roman"/>
        </w:rPr>
      </w:pPr>
      <w:r>
        <w:rPr>
          <w:rFonts w:ascii="Times New Roman" w:eastAsia="Times New Roman" w:hAnsi="Times New Roman" w:cs="Times New Roman"/>
          <w:b/>
        </w:rPr>
        <w:lastRenderedPageBreak/>
        <w:t>Table 1: Summary table for case studies</w:t>
      </w:r>
    </w:p>
    <w:tbl>
      <w:tblPr>
        <w:tblStyle w:val="a"/>
        <w:tblW w:w="14743"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18"/>
        <w:gridCol w:w="1195"/>
        <w:gridCol w:w="1394"/>
        <w:gridCol w:w="1130"/>
        <w:gridCol w:w="1275"/>
        <w:gridCol w:w="851"/>
        <w:gridCol w:w="873"/>
        <w:gridCol w:w="1111"/>
        <w:gridCol w:w="142"/>
        <w:gridCol w:w="1134"/>
        <w:gridCol w:w="992"/>
        <w:gridCol w:w="1134"/>
        <w:gridCol w:w="1560"/>
      </w:tblGrid>
      <w:tr w:rsidR="00BA4AF1" w14:paraId="03D656F3" w14:textId="77777777">
        <w:tc>
          <w:tcPr>
            <w:tcW w:w="1134" w:type="dxa"/>
          </w:tcPr>
          <w:p w14:paraId="73AAD60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b/>
              </w:rPr>
              <w:t xml:space="preserve">author (Year) </w:t>
            </w:r>
          </w:p>
        </w:tc>
        <w:tc>
          <w:tcPr>
            <w:tcW w:w="818" w:type="dxa"/>
          </w:tcPr>
          <w:p w14:paraId="7BE2ABA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b/>
              </w:rPr>
              <w:t>Pathogen/Outcome</w:t>
            </w:r>
          </w:p>
        </w:tc>
        <w:tc>
          <w:tcPr>
            <w:tcW w:w="1195" w:type="dxa"/>
          </w:tcPr>
          <w:p w14:paraId="41E10EE6"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b/>
              </w:rPr>
              <w:t>Primary data source(s)</w:t>
            </w:r>
          </w:p>
        </w:tc>
        <w:tc>
          <w:tcPr>
            <w:tcW w:w="1394" w:type="dxa"/>
          </w:tcPr>
          <w:p w14:paraId="72055B8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b/>
              </w:rPr>
              <w:t>Model family/approach</w:t>
            </w:r>
          </w:p>
        </w:tc>
        <w:tc>
          <w:tcPr>
            <w:tcW w:w="1130" w:type="dxa"/>
          </w:tcPr>
          <w:p w14:paraId="529633CC"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b/>
              </w:rPr>
              <w:t>Task framing</w:t>
            </w:r>
          </w:p>
        </w:tc>
        <w:tc>
          <w:tcPr>
            <w:tcW w:w="1275" w:type="dxa"/>
          </w:tcPr>
          <w:p w14:paraId="674DF17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b/>
              </w:rPr>
              <w:t>Evaluation metrics reported</w:t>
            </w:r>
          </w:p>
        </w:tc>
        <w:tc>
          <w:tcPr>
            <w:tcW w:w="851" w:type="dxa"/>
          </w:tcPr>
          <w:p w14:paraId="3434A889"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b/>
              </w:rPr>
              <w:t>Lead time/timeliness</w:t>
            </w:r>
          </w:p>
        </w:tc>
        <w:tc>
          <w:tcPr>
            <w:tcW w:w="873" w:type="dxa"/>
          </w:tcPr>
          <w:p w14:paraId="63326EDA"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b/>
              </w:rPr>
              <w:t>Ground truth/comparator</w:t>
            </w:r>
          </w:p>
        </w:tc>
        <w:tc>
          <w:tcPr>
            <w:tcW w:w="1111" w:type="dxa"/>
          </w:tcPr>
          <w:p w14:paraId="20D38E4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b/>
              </w:rPr>
              <w:t>Validation design</w:t>
            </w:r>
          </w:p>
        </w:tc>
        <w:tc>
          <w:tcPr>
            <w:tcW w:w="1276" w:type="dxa"/>
            <w:gridSpan w:val="2"/>
          </w:tcPr>
          <w:p w14:paraId="6F0698B4"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b/>
              </w:rPr>
              <w:t>Deployment/maturity</w:t>
            </w:r>
          </w:p>
        </w:tc>
        <w:tc>
          <w:tcPr>
            <w:tcW w:w="992" w:type="dxa"/>
          </w:tcPr>
          <w:p w14:paraId="6B1D19D7"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b/>
              </w:rPr>
              <w:t>Data fusion strategy</w:t>
            </w:r>
          </w:p>
        </w:tc>
        <w:tc>
          <w:tcPr>
            <w:tcW w:w="1134" w:type="dxa"/>
          </w:tcPr>
          <w:p w14:paraId="56752F09"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b/>
              </w:rPr>
              <w:t>Performance metric family focus</w:t>
            </w:r>
          </w:p>
        </w:tc>
        <w:tc>
          <w:tcPr>
            <w:tcW w:w="1560" w:type="dxa"/>
          </w:tcPr>
          <w:p w14:paraId="689A55B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b/>
              </w:rPr>
              <w:t>key finding</w:t>
            </w:r>
          </w:p>
        </w:tc>
      </w:tr>
      <w:tr w:rsidR="00BA4AF1" w14:paraId="081CDF10" w14:textId="77777777">
        <w:tc>
          <w:tcPr>
            <w:tcW w:w="1134" w:type="dxa"/>
          </w:tcPr>
          <w:p w14:paraId="50D24E1E"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Aiken (2021) – Science Advances</w:t>
            </w:r>
          </w:p>
        </w:tc>
        <w:tc>
          <w:tcPr>
            <w:tcW w:w="818" w:type="dxa"/>
          </w:tcPr>
          <w:p w14:paraId="2F0BA45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Influenza (ILI)</w:t>
            </w:r>
          </w:p>
        </w:tc>
        <w:tc>
          <w:tcPr>
            <w:tcW w:w="1195" w:type="dxa"/>
          </w:tcPr>
          <w:p w14:paraId="6CABCC4E"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Google search activity</w:t>
            </w:r>
          </w:p>
        </w:tc>
        <w:tc>
          <w:tcPr>
            <w:tcW w:w="1394" w:type="dxa"/>
          </w:tcPr>
          <w:p w14:paraId="15C9C97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GRU neural networks</w:t>
            </w:r>
          </w:p>
        </w:tc>
        <w:tc>
          <w:tcPr>
            <w:tcW w:w="1130" w:type="dxa"/>
          </w:tcPr>
          <w:p w14:paraId="7942C14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Forecasting/nowcasting</w:t>
            </w:r>
          </w:p>
        </w:tc>
        <w:tc>
          <w:tcPr>
            <w:tcW w:w="1275" w:type="dxa"/>
          </w:tcPr>
          <w:p w14:paraId="10FCD174"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Prediction error vs baselines</w:t>
            </w:r>
          </w:p>
        </w:tc>
        <w:tc>
          <w:tcPr>
            <w:tcW w:w="851" w:type="dxa"/>
          </w:tcPr>
          <w:p w14:paraId="4DFC05EA"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Improved longer-horizon forecasts</w:t>
            </w:r>
          </w:p>
        </w:tc>
        <w:tc>
          <w:tcPr>
            <w:tcW w:w="873" w:type="dxa"/>
          </w:tcPr>
          <w:p w14:paraId="587BB36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CDC </w:t>
            </w:r>
            <w:proofErr w:type="spellStart"/>
            <w:r>
              <w:rPr>
                <w:rFonts w:ascii="Times New Roman" w:eastAsia="Times New Roman" w:hAnsi="Times New Roman" w:cs="Times New Roman"/>
              </w:rPr>
              <w:t>ILINet</w:t>
            </w:r>
            <w:proofErr w:type="spellEnd"/>
          </w:p>
        </w:tc>
        <w:tc>
          <w:tcPr>
            <w:tcW w:w="1111" w:type="dxa"/>
          </w:tcPr>
          <w:p w14:paraId="1C9D741F"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Retrospective multi-resolution</w:t>
            </w:r>
          </w:p>
        </w:tc>
        <w:tc>
          <w:tcPr>
            <w:tcW w:w="1276" w:type="dxa"/>
            <w:gridSpan w:val="2"/>
          </w:tcPr>
          <w:p w14:paraId="5F7C819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Research</w:t>
            </w:r>
          </w:p>
        </w:tc>
        <w:tc>
          <w:tcPr>
            <w:tcW w:w="992" w:type="dxa"/>
          </w:tcPr>
          <w:p w14:paraId="468507E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Single-source</w:t>
            </w:r>
          </w:p>
        </w:tc>
        <w:tc>
          <w:tcPr>
            <w:tcW w:w="1134" w:type="dxa"/>
          </w:tcPr>
          <w:p w14:paraId="788DE929"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Error/Correlation</w:t>
            </w:r>
          </w:p>
        </w:tc>
        <w:tc>
          <w:tcPr>
            <w:tcW w:w="1560" w:type="dxa"/>
          </w:tcPr>
          <w:p w14:paraId="7736B07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GRU models improved influenza predictions at longer horizons.</w:t>
            </w:r>
          </w:p>
        </w:tc>
      </w:tr>
      <w:tr w:rsidR="00BA4AF1" w14:paraId="3E32732E" w14:textId="77777777">
        <w:tc>
          <w:tcPr>
            <w:tcW w:w="1134" w:type="dxa"/>
          </w:tcPr>
          <w:p w14:paraId="56A618D7"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Clemente (2019) – JMIR </w:t>
            </w:r>
            <w:r>
              <w:rPr>
                <w:rFonts w:ascii="Times New Roman" w:eastAsia="Times New Roman" w:hAnsi="Times New Roman" w:cs="Times New Roman"/>
              </w:rPr>
              <w:t>PHS</w:t>
            </w:r>
          </w:p>
        </w:tc>
        <w:tc>
          <w:tcPr>
            <w:tcW w:w="818" w:type="dxa"/>
          </w:tcPr>
          <w:p w14:paraId="3D13DA8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Influenza (ILI)</w:t>
            </w:r>
          </w:p>
        </w:tc>
        <w:tc>
          <w:tcPr>
            <w:tcW w:w="1195" w:type="dxa"/>
          </w:tcPr>
          <w:p w14:paraId="3DB25E0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Internet search activity</w:t>
            </w:r>
          </w:p>
        </w:tc>
        <w:tc>
          <w:tcPr>
            <w:tcW w:w="1394" w:type="dxa"/>
          </w:tcPr>
          <w:p w14:paraId="7ECD2FB7"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ARGO-style ML</w:t>
            </w:r>
          </w:p>
        </w:tc>
        <w:tc>
          <w:tcPr>
            <w:tcW w:w="1130" w:type="dxa"/>
          </w:tcPr>
          <w:p w14:paraId="20AC7A24"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Real-time surveillance</w:t>
            </w:r>
          </w:p>
        </w:tc>
        <w:tc>
          <w:tcPr>
            <w:tcW w:w="1275" w:type="dxa"/>
          </w:tcPr>
          <w:p w14:paraId="13D677E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Accuracy vs national benchmarks</w:t>
            </w:r>
          </w:p>
        </w:tc>
        <w:tc>
          <w:tcPr>
            <w:tcW w:w="851" w:type="dxa"/>
          </w:tcPr>
          <w:p w14:paraId="25C2443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Near real-time</w:t>
            </w:r>
          </w:p>
        </w:tc>
        <w:tc>
          <w:tcPr>
            <w:tcW w:w="873" w:type="dxa"/>
          </w:tcPr>
          <w:p w14:paraId="28C0ACE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Official surveillance</w:t>
            </w:r>
          </w:p>
        </w:tc>
        <w:tc>
          <w:tcPr>
            <w:tcW w:w="1111" w:type="dxa"/>
          </w:tcPr>
          <w:p w14:paraId="02B6047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Retrospective</w:t>
            </w:r>
          </w:p>
        </w:tc>
        <w:tc>
          <w:tcPr>
            <w:tcW w:w="1276" w:type="dxa"/>
            <w:gridSpan w:val="2"/>
          </w:tcPr>
          <w:p w14:paraId="1BD62E50"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Research</w:t>
            </w:r>
          </w:p>
        </w:tc>
        <w:tc>
          <w:tcPr>
            <w:tcW w:w="992" w:type="dxa"/>
          </w:tcPr>
          <w:p w14:paraId="02BB67D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Single-source</w:t>
            </w:r>
          </w:p>
        </w:tc>
        <w:tc>
          <w:tcPr>
            <w:tcW w:w="1134" w:type="dxa"/>
          </w:tcPr>
          <w:p w14:paraId="6A8A829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Error/Correlation</w:t>
            </w:r>
          </w:p>
        </w:tc>
        <w:tc>
          <w:tcPr>
            <w:tcW w:w="1560" w:type="dxa"/>
          </w:tcPr>
          <w:p w14:paraId="5EC171AA"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Demonstrated generalizable Internet-data ML </w:t>
            </w:r>
            <w:r>
              <w:rPr>
                <w:rFonts w:ascii="Times New Roman" w:eastAsia="Times New Roman" w:hAnsi="Times New Roman" w:cs="Times New Roman"/>
              </w:rPr>
              <w:t>surveillance approaches.</w:t>
            </w:r>
          </w:p>
        </w:tc>
      </w:tr>
      <w:tr w:rsidR="00BA4AF1" w14:paraId="5AF88CFA" w14:textId="77777777">
        <w:tc>
          <w:tcPr>
            <w:tcW w:w="1134" w:type="dxa"/>
          </w:tcPr>
          <w:p w14:paraId="30797F2F"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Crits-Christoph (2021) – mBio</w:t>
            </w:r>
          </w:p>
        </w:tc>
        <w:tc>
          <w:tcPr>
            <w:tcW w:w="818" w:type="dxa"/>
          </w:tcPr>
          <w:p w14:paraId="4010EEE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SARS-CoV-2 variants</w:t>
            </w:r>
          </w:p>
        </w:tc>
        <w:tc>
          <w:tcPr>
            <w:tcW w:w="1195" w:type="dxa"/>
          </w:tcPr>
          <w:p w14:paraId="64A958DF"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Wastewater </w:t>
            </w:r>
            <w:proofErr w:type="spellStart"/>
            <w:r>
              <w:rPr>
                <w:rFonts w:ascii="Times New Roman" w:eastAsia="Times New Roman" w:hAnsi="Times New Roman" w:cs="Times New Roman"/>
              </w:rPr>
              <w:t>metatranscriptomics</w:t>
            </w:r>
            <w:proofErr w:type="spellEnd"/>
          </w:p>
        </w:tc>
        <w:tc>
          <w:tcPr>
            <w:tcW w:w="1394" w:type="dxa"/>
          </w:tcPr>
          <w:p w14:paraId="4FC35E1E"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Bioinformatics pipelines</w:t>
            </w:r>
          </w:p>
        </w:tc>
        <w:tc>
          <w:tcPr>
            <w:tcW w:w="1130" w:type="dxa"/>
          </w:tcPr>
          <w:p w14:paraId="14FE8F7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Variant detection</w:t>
            </w:r>
          </w:p>
        </w:tc>
        <w:tc>
          <w:tcPr>
            <w:tcW w:w="1275" w:type="dxa"/>
          </w:tcPr>
          <w:p w14:paraId="04D1ED7F"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Agreement with clinical genomes</w:t>
            </w:r>
          </w:p>
        </w:tc>
        <w:tc>
          <w:tcPr>
            <w:tcW w:w="851" w:type="dxa"/>
          </w:tcPr>
          <w:p w14:paraId="0490D5E4"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Earlier/parallel detection</w:t>
            </w:r>
          </w:p>
        </w:tc>
        <w:tc>
          <w:tcPr>
            <w:tcW w:w="873" w:type="dxa"/>
          </w:tcPr>
          <w:p w14:paraId="436A3A8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Clinical genomic sequences</w:t>
            </w:r>
          </w:p>
        </w:tc>
        <w:tc>
          <w:tcPr>
            <w:tcW w:w="1111" w:type="dxa"/>
          </w:tcPr>
          <w:p w14:paraId="5D536D4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Longitudinal </w:t>
            </w:r>
            <w:r>
              <w:rPr>
                <w:rFonts w:ascii="Times New Roman" w:eastAsia="Times New Roman" w:hAnsi="Times New Roman" w:cs="Times New Roman"/>
              </w:rPr>
              <w:t>sampling</w:t>
            </w:r>
          </w:p>
        </w:tc>
        <w:tc>
          <w:tcPr>
            <w:tcW w:w="1276" w:type="dxa"/>
            <w:gridSpan w:val="2"/>
          </w:tcPr>
          <w:p w14:paraId="64945E1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Research with utilities</w:t>
            </w:r>
          </w:p>
        </w:tc>
        <w:tc>
          <w:tcPr>
            <w:tcW w:w="992" w:type="dxa"/>
          </w:tcPr>
          <w:p w14:paraId="2AEB5B26"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Single-source</w:t>
            </w:r>
          </w:p>
        </w:tc>
        <w:tc>
          <w:tcPr>
            <w:tcW w:w="1134" w:type="dxa"/>
          </w:tcPr>
          <w:p w14:paraId="221487C4"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Classification/Agreement</w:t>
            </w:r>
          </w:p>
        </w:tc>
        <w:tc>
          <w:tcPr>
            <w:tcW w:w="1560" w:type="dxa"/>
          </w:tcPr>
          <w:p w14:paraId="08A91E3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Sewage sequencing identified prevalent variants consistent with clinical data.</w:t>
            </w:r>
          </w:p>
        </w:tc>
      </w:tr>
      <w:tr w:rsidR="00BA4AF1" w14:paraId="21A08059" w14:textId="77777777">
        <w:tc>
          <w:tcPr>
            <w:tcW w:w="1134" w:type="dxa"/>
          </w:tcPr>
          <w:p w14:paraId="0C4535B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Karthikeyan (2022) – Nature</w:t>
            </w:r>
          </w:p>
        </w:tc>
        <w:tc>
          <w:tcPr>
            <w:tcW w:w="818" w:type="dxa"/>
          </w:tcPr>
          <w:p w14:paraId="562AF16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SARS-CoV-2 variants</w:t>
            </w:r>
          </w:p>
        </w:tc>
        <w:tc>
          <w:tcPr>
            <w:tcW w:w="1195" w:type="dxa"/>
          </w:tcPr>
          <w:p w14:paraId="487C6F56"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Wastewater sequencing</w:t>
            </w:r>
          </w:p>
        </w:tc>
        <w:tc>
          <w:tcPr>
            <w:tcW w:w="1394" w:type="dxa"/>
          </w:tcPr>
          <w:p w14:paraId="68C80B6F"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Bioinformatics/statistical</w:t>
            </w:r>
          </w:p>
        </w:tc>
        <w:tc>
          <w:tcPr>
            <w:tcW w:w="1130" w:type="dxa"/>
          </w:tcPr>
          <w:p w14:paraId="5D6B8F5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Early </w:t>
            </w:r>
            <w:r>
              <w:rPr>
                <w:rFonts w:ascii="Times New Roman" w:eastAsia="Times New Roman" w:hAnsi="Times New Roman" w:cs="Times New Roman"/>
              </w:rPr>
              <w:t>variant detection</w:t>
            </w:r>
          </w:p>
        </w:tc>
        <w:tc>
          <w:tcPr>
            <w:tcW w:w="1275" w:type="dxa"/>
          </w:tcPr>
          <w:p w14:paraId="0266092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Detection timing vs clinical</w:t>
            </w:r>
          </w:p>
        </w:tc>
        <w:tc>
          <w:tcPr>
            <w:tcW w:w="851" w:type="dxa"/>
          </w:tcPr>
          <w:p w14:paraId="1F79877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Up to ~14 days earlier</w:t>
            </w:r>
          </w:p>
        </w:tc>
        <w:tc>
          <w:tcPr>
            <w:tcW w:w="873" w:type="dxa"/>
          </w:tcPr>
          <w:p w14:paraId="144DB9F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Clinical genomic surveillance</w:t>
            </w:r>
          </w:p>
        </w:tc>
        <w:tc>
          <w:tcPr>
            <w:tcW w:w="1111" w:type="dxa"/>
          </w:tcPr>
          <w:p w14:paraId="04E4274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Prospective program</w:t>
            </w:r>
          </w:p>
        </w:tc>
        <w:tc>
          <w:tcPr>
            <w:tcW w:w="1276" w:type="dxa"/>
            <w:gridSpan w:val="2"/>
          </w:tcPr>
          <w:p w14:paraId="3FC29904"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Operational (campus/city)</w:t>
            </w:r>
          </w:p>
        </w:tc>
        <w:tc>
          <w:tcPr>
            <w:tcW w:w="992" w:type="dxa"/>
          </w:tcPr>
          <w:p w14:paraId="2775155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Single-source</w:t>
            </w:r>
          </w:p>
        </w:tc>
        <w:tc>
          <w:tcPr>
            <w:tcW w:w="1134" w:type="dxa"/>
          </w:tcPr>
          <w:p w14:paraId="51C0206A"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Detection/Lead-time</w:t>
            </w:r>
          </w:p>
        </w:tc>
        <w:tc>
          <w:tcPr>
            <w:tcW w:w="1560" w:type="dxa"/>
          </w:tcPr>
          <w:p w14:paraId="52A867BC"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Wastewater sequencing revealed cryptic transmission earlier than clinical se</w:t>
            </w:r>
            <w:r>
              <w:rPr>
                <w:rFonts w:ascii="Times New Roman" w:eastAsia="Times New Roman" w:hAnsi="Times New Roman" w:cs="Times New Roman"/>
              </w:rPr>
              <w:t>quencing.</w:t>
            </w:r>
          </w:p>
        </w:tc>
      </w:tr>
      <w:tr w:rsidR="00BA4AF1" w14:paraId="50CEB03B" w14:textId="77777777">
        <w:tc>
          <w:tcPr>
            <w:tcW w:w="1134" w:type="dxa"/>
          </w:tcPr>
          <w:p w14:paraId="2568A32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lastRenderedPageBreak/>
              <w:t>Kogan (2021) – Science Advances</w:t>
            </w:r>
          </w:p>
        </w:tc>
        <w:tc>
          <w:tcPr>
            <w:tcW w:w="818" w:type="dxa"/>
          </w:tcPr>
          <w:p w14:paraId="3A473029"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COVID-19 surges</w:t>
            </w:r>
          </w:p>
        </w:tc>
        <w:tc>
          <w:tcPr>
            <w:tcW w:w="1195" w:type="dxa"/>
          </w:tcPr>
          <w:p w14:paraId="580F627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Mobility, searches, clinician queries, Twitter</w:t>
            </w:r>
          </w:p>
        </w:tc>
        <w:tc>
          <w:tcPr>
            <w:tcW w:w="1394" w:type="dxa"/>
          </w:tcPr>
          <w:p w14:paraId="6140892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Early-warning ensemble</w:t>
            </w:r>
          </w:p>
        </w:tc>
        <w:tc>
          <w:tcPr>
            <w:tcW w:w="1130" w:type="dxa"/>
          </w:tcPr>
          <w:p w14:paraId="03DB746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Prospective early warning</w:t>
            </w:r>
          </w:p>
        </w:tc>
        <w:tc>
          <w:tcPr>
            <w:tcW w:w="1275" w:type="dxa"/>
          </w:tcPr>
          <w:p w14:paraId="150DE40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Lead-time; predictive accuracy</w:t>
            </w:r>
          </w:p>
        </w:tc>
        <w:tc>
          <w:tcPr>
            <w:tcW w:w="851" w:type="dxa"/>
          </w:tcPr>
          <w:p w14:paraId="50F161AB" w14:textId="77777777" w:rsidR="00BA4AF1" w:rsidRDefault="00EB64D7">
            <w:pPr>
              <w:spacing w:after="30"/>
              <w:jc w:val="both"/>
              <w:rPr>
                <w:rFonts w:ascii="Times New Roman" w:eastAsia="Times New Roman" w:hAnsi="Times New Roman" w:cs="Times New Roman"/>
              </w:rPr>
            </w:pPr>
            <w:sdt>
              <w:sdtPr>
                <w:tag w:val="goog_rdk_1"/>
                <w:id w:val="-1919043843"/>
              </w:sdtPr>
              <w:sdtEndPr/>
              <w:sdtContent>
                <w:r>
                  <w:rPr>
                    <w:rFonts w:ascii="Gungsuh" w:eastAsia="Gungsuh" w:hAnsi="Gungsuh" w:cs="Gungsuh"/>
                  </w:rPr>
                  <w:t>≈2–3 weeks early indication</w:t>
                </w:r>
              </w:sdtContent>
            </w:sdt>
          </w:p>
        </w:tc>
        <w:tc>
          <w:tcPr>
            <w:tcW w:w="873" w:type="dxa"/>
          </w:tcPr>
          <w:p w14:paraId="573CAC6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Cases &amp; deaths</w:t>
            </w:r>
          </w:p>
        </w:tc>
        <w:tc>
          <w:tcPr>
            <w:tcW w:w="1253" w:type="dxa"/>
            <w:gridSpan w:val="2"/>
          </w:tcPr>
          <w:p w14:paraId="4DAE7F46"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Retrospective/near real </w:t>
            </w:r>
            <w:r>
              <w:rPr>
                <w:rFonts w:ascii="Times New Roman" w:eastAsia="Times New Roman" w:hAnsi="Times New Roman" w:cs="Times New Roman"/>
              </w:rPr>
              <w:t>time</w:t>
            </w:r>
          </w:p>
        </w:tc>
        <w:tc>
          <w:tcPr>
            <w:tcW w:w="1134" w:type="dxa"/>
          </w:tcPr>
          <w:p w14:paraId="3A557F70"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Research</w:t>
            </w:r>
          </w:p>
        </w:tc>
        <w:tc>
          <w:tcPr>
            <w:tcW w:w="992" w:type="dxa"/>
          </w:tcPr>
          <w:p w14:paraId="7D06D1D0"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Late fusion (ensemble)</w:t>
            </w:r>
          </w:p>
        </w:tc>
        <w:tc>
          <w:tcPr>
            <w:tcW w:w="1134" w:type="dxa"/>
          </w:tcPr>
          <w:p w14:paraId="09AC088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Detection/Lead-time</w:t>
            </w:r>
          </w:p>
        </w:tc>
        <w:tc>
          <w:tcPr>
            <w:tcW w:w="1560" w:type="dxa"/>
          </w:tcPr>
          <w:p w14:paraId="27CF2517"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Fused digital traces yielded multi-week early indicators of state-level COVID-19 activity.</w:t>
            </w:r>
          </w:p>
        </w:tc>
      </w:tr>
      <w:tr w:rsidR="00BA4AF1" w14:paraId="7C1C4418" w14:textId="77777777">
        <w:tc>
          <w:tcPr>
            <w:tcW w:w="1134" w:type="dxa"/>
          </w:tcPr>
          <w:p w14:paraId="244BAF36"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Lu (2018) – JMIR PHS</w:t>
            </w:r>
          </w:p>
        </w:tc>
        <w:tc>
          <w:tcPr>
            <w:tcW w:w="818" w:type="dxa"/>
          </w:tcPr>
          <w:p w14:paraId="068D740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Influenza (ILI)</w:t>
            </w:r>
          </w:p>
        </w:tc>
        <w:tc>
          <w:tcPr>
            <w:tcW w:w="1195" w:type="dxa"/>
          </w:tcPr>
          <w:p w14:paraId="7BA9CA7F"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Search, Twitter, others (digital traces)</w:t>
            </w:r>
          </w:p>
        </w:tc>
        <w:tc>
          <w:tcPr>
            <w:tcW w:w="1394" w:type="dxa"/>
          </w:tcPr>
          <w:p w14:paraId="3BCA57AF"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Ensemble ML</w:t>
            </w:r>
          </w:p>
        </w:tc>
        <w:tc>
          <w:tcPr>
            <w:tcW w:w="1130" w:type="dxa"/>
          </w:tcPr>
          <w:p w14:paraId="5C929DA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Monitoring &amp; </w:t>
            </w:r>
            <w:r>
              <w:rPr>
                <w:rFonts w:ascii="Times New Roman" w:eastAsia="Times New Roman" w:hAnsi="Times New Roman" w:cs="Times New Roman"/>
              </w:rPr>
              <w:t>short-term forecasting</w:t>
            </w:r>
          </w:p>
        </w:tc>
        <w:tc>
          <w:tcPr>
            <w:tcW w:w="1275" w:type="dxa"/>
          </w:tcPr>
          <w:p w14:paraId="7FB6072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Correlation/MAE vs </w:t>
            </w:r>
            <w:proofErr w:type="spellStart"/>
            <w:r>
              <w:rPr>
                <w:rFonts w:ascii="Times New Roman" w:eastAsia="Times New Roman" w:hAnsi="Times New Roman" w:cs="Times New Roman"/>
              </w:rPr>
              <w:t>ILINet</w:t>
            </w:r>
            <w:proofErr w:type="spellEnd"/>
          </w:p>
        </w:tc>
        <w:tc>
          <w:tcPr>
            <w:tcW w:w="851" w:type="dxa"/>
          </w:tcPr>
          <w:p w14:paraId="053D1899"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Near real-time nowcasts</w:t>
            </w:r>
          </w:p>
        </w:tc>
        <w:tc>
          <w:tcPr>
            <w:tcW w:w="873" w:type="dxa"/>
          </w:tcPr>
          <w:p w14:paraId="13E54654"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CDC </w:t>
            </w:r>
            <w:proofErr w:type="spellStart"/>
            <w:r>
              <w:rPr>
                <w:rFonts w:ascii="Times New Roman" w:eastAsia="Times New Roman" w:hAnsi="Times New Roman" w:cs="Times New Roman"/>
              </w:rPr>
              <w:t>ILINet</w:t>
            </w:r>
            <w:proofErr w:type="spellEnd"/>
            <w:r>
              <w:rPr>
                <w:rFonts w:ascii="Times New Roman" w:eastAsia="Times New Roman" w:hAnsi="Times New Roman" w:cs="Times New Roman"/>
              </w:rPr>
              <w:t xml:space="preserve"> (metro)</w:t>
            </w:r>
          </w:p>
        </w:tc>
        <w:tc>
          <w:tcPr>
            <w:tcW w:w="1111" w:type="dxa"/>
          </w:tcPr>
          <w:p w14:paraId="5DC7C67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Retrospective case study</w:t>
            </w:r>
          </w:p>
        </w:tc>
        <w:tc>
          <w:tcPr>
            <w:tcW w:w="1276" w:type="dxa"/>
            <w:gridSpan w:val="2"/>
          </w:tcPr>
          <w:p w14:paraId="541523FC"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Research</w:t>
            </w:r>
          </w:p>
        </w:tc>
        <w:tc>
          <w:tcPr>
            <w:tcW w:w="992" w:type="dxa"/>
          </w:tcPr>
          <w:p w14:paraId="4A125E34"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Late fusion (model-level ensemble)</w:t>
            </w:r>
          </w:p>
        </w:tc>
        <w:tc>
          <w:tcPr>
            <w:tcW w:w="1134" w:type="dxa"/>
          </w:tcPr>
          <w:p w14:paraId="3DB4BAB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Error/Correlation</w:t>
            </w:r>
          </w:p>
        </w:tc>
        <w:tc>
          <w:tcPr>
            <w:tcW w:w="1560" w:type="dxa"/>
          </w:tcPr>
          <w:p w14:paraId="596B154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Multimodal fusion improved metropolitan situational awareness for influenza.</w:t>
            </w:r>
          </w:p>
        </w:tc>
      </w:tr>
      <w:tr w:rsidR="00BA4AF1" w14:paraId="7C7261C3" w14:textId="77777777">
        <w:tc>
          <w:tcPr>
            <w:tcW w:w="1134" w:type="dxa"/>
          </w:tcPr>
          <w:p w14:paraId="636D3DDC"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Lu (2019) – Nat Commun</w:t>
            </w:r>
          </w:p>
        </w:tc>
        <w:tc>
          <w:tcPr>
            <w:tcW w:w="818" w:type="dxa"/>
          </w:tcPr>
          <w:p w14:paraId="70EB058C"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Influenza (ILI)</w:t>
            </w:r>
          </w:p>
        </w:tc>
        <w:tc>
          <w:tcPr>
            <w:tcW w:w="1195" w:type="dxa"/>
          </w:tcPr>
          <w:p w14:paraId="0340C9E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Internet search + network effects</w:t>
            </w:r>
          </w:p>
        </w:tc>
        <w:tc>
          <w:tcPr>
            <w:tcW w:w="1394" w:type="dxa"/>
          </w:tcPr>
          <w:p w14:paraId="678DF76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Dynamic ensemble</w:t>
            </w:r>
          </w:p>
        </w:tc>
        <w:tc>
          <w:tcPr>
            <w:tcW w:w="1130" w:type="dxa"/>
          </w:tcPr>
          <w:p w14:paraId="4C58565A"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State-level nowcasting</w:t>
            </w:r>
          </w:p>
        </w:tc>
        <w:tc>
          <w:tcPr>
            <w:tcW w:w="1275" w:type="dxa"/>
          </w:tcPr>
          <w:p w14:paraId="73F58CD0"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Error reduction vs benchmarks</w:t>
            </w:r>
          </w:p>
        </w:tc>
        <w:tc>
          <w:tcPr>
            <w:tcW w:w="851" w:type="dxa"/>
          </w:tcPr>
          <w:p w14:paraId="2E280AC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Near real-time nowcasts</w:t>
            </w:r>
          </w:p>
        </w:tc>
        <w:tc>
          <w:tcPr>
            <w:tcW w:w="873" w:type="dxa"/>
          </w:tcPr>
          <w:p w14:paraId="5131B6C7"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CDC </w:t>
            </w:r>
            <w:proofErr w:type="spellStart"/>
            <w:r>
              <w:rPr>
                <w:rFonts w:ascii="Times New Roman" w:eastAsia="Times New Roman" w:hAnsi="Times New Roman" w:cs="Times New Roman"/>
              </w:rPr>
              <w:t>ILINet</w:t>
            </w:r>
            <w:proofErr w:type="spellEnd"/>
          </w:p>
        </w:tc>
        <w:tc>
          <w:tcPr>
            <w:tcW w:w="1111" w:type="dxa"/>
          </w:tcPr>
          <w:p w14:paraId="7B3DC54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Out-of-sample; multi-season</w:t>
            </w:r>
          </w:p>
        </w:tc>
        <w:tc>
          <w:tcPr>
            <w:tcW w:w="1276" w:type="dxa"/>
            <w:gridSpan w:val="2"/>
          </w:tcPr>
          <w:p w14:paraId="0BC5746F"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Research (scalable)</w:t>
            </w:r>
          </w:p>
        </w:tc>
        <w:tc>
          <w:tcPr>
            <w:tcW w:w="992" w:type="dxa"/>
          </w:tcPr>
          <w:p w14:paraId="311078C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Late fusion (ensemble)</w:t>
            </w:r>
          </w:p>
        </w:tc>
        <w:tc>
          <w:tcPr>
            <w:tcW w:w="1134" w:type="dxa"/>
          </w:tcPr>
          <w:p w14:paraId="5FF540F4"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Error/Correlation</w:t>
            </w:r>
          </w:p>
        </w:tc>
        <w:tc>
          <w:tcPr>
            <w:tcW w:w="1560" w:type="dxa"/>
          </w:tcPr>
          <w:p w14:paraId="5EC9BD5C"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The dynamic ensemble produced robust state-level influenza estimates across seasons.</w:t>
            </w:r>
          </w:p>
        </w:tc>
      </w:tr>
      <w:tr w:rsidR="00BA4AF1" w14:paraId="143C4694" w14:textId="77777777">
        <w:tc>
          <w:tcPr>
            <w:tcW w:w="1134" w:type="dxa"/>
          </w:tcPr>
          <w:p w14:paraId="4B1D72E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Mackey (2020) – JMIR PHS</w:t>
            </w:r>
          </w:p>
        </w:tc>
        <w:tc>
          <w:tcPr>
            <w:tcW w:w="818" w:type="dxa"/>
          </w:tcPr>
          <w:p w14:paraId="43CD9B2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COVID-19 activity</w:t>
            </w:r>
          </w:p>
        </w:tc>
        <w:tc>
          <w:tcPr>
            <w:tcW w:w="1195" w:type="dxa"/>
          </w:tcPr>
          <w:p w14:paraId="41C6DAF9"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Twitter (NLP)</w:t>
            </w:r>
          </w:p>
        </w:tc>
        <w:tc>
          <w:tcPr>
            <w:tcW w:w="1394" w:type="dxa"/>
          </w:tcPr>
          <w:p w14:paraId="04CB633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Topic models + classifiers</w:t>
            </w:r>
          </w:p>
        </w:tc>
        <w:tc>
          <w:tcPr>
            <w:tcW w:w="1130" w:type="dxa"/>
          </w:tcPr>
          <w:p w14:paraId="09A9156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Early warning from self-reports</w:t>
            </w:r>
          </w:p>
        </w:tc>
        <w:tc>
          <w:tcPr>
            <w:tcW w:w="1275" w:type="dxa"/>
          </w:tcPr>
          <w:p w14:paraId="36A62E7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Classifier F1/precision-recall; </w:t>
            </w:r>
            <w:r>
              <w:rPr>
                <w:rFonts w:ascii="Times New Roman" w:eastAsia="Times New Roman" w:hAnsi="Times New Roman" w:cs="Times New Roman"/>
              </w:rPr>
              <w:t>temporal correlations</w:t>
            </w:r>
          </w:p>
        </w:tc>
        <w:tc>
          <w:tcPr>
            <w:tcW w:w="851" w:type="dxa"/>
          </w:tcPr>
          <w:p w14:paraId="20523BBE"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Early signal ahead of cases (qualitative)</w:t>
            </w:r>
          </w:p>
        </w:tc>
        <w:tc>
          <w:tcPr>
            <w:tcW w:w="873" w:type="dxa"/>
          </w:tcPr>
          <w:p w14:paraId="0DCAA2B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Cases/testing trends</w:t>
            </w:r>
          </w:p>
        </w:tc>
        <w:tc>
          <w:tcPr>
            <w:tcW w:w="1111" w:type="dxa"/>
          </w:tcPr>
          <w:p w14:paraId="31D042C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Retrospective</w:t>
            </w:r>
          </w:p>
        </w:tc>
        <w:tc>
          <w:tcPr>
            <w:tcW w:w="1276" w:type="dxa"/>
            <w:gridSpan w:val="2"/>
          </w:tcPr>
          <w:p w14:paraId="1D9DD9E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Research</w:t>
            </w:r>
          </w:p>
        </w:tc>
        <w:tc>
          <w:tcPr>
            <w:tcW w:w="992" w:type="dxa"/>
          </w:tcPr>
          <w:p w14:paraId="4BBC589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Single-source</w:t>
            </w:r>
          </w:p>
        </w:tc>
        <w:tc>
          <w:tcPr>
            <w:tcW w:w="1134" w:type="dxa"/>
          </w:tcPr>
          <w:p w14:paraId="139E85A0"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Classification + Correlation</w:t>
            </w:r>
          </w:p>
        </w:tc>
        <w:tc>
          <w:tcPr>
            <w:tcW w:w="1560" w:type="dxa"/>
          </w:tcPr>
          <w:p w14:paraId="43790186"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Social-media symptom narratives provided early indication of COVID-19 trends.</w:t>
            </w:r>
          </w:p>
        </w:tc>
      </w:tr>
      <w:tr w:rsidR="00BA4AF1" w14:paraId="3B091CC6" w14:textId="77777777">
        <w:tc>
          <w:tcPr>
            <w:tcW w:w="1134" w:type="dxa"/>
          </w:tcPr>
          <w:p w14:paraId="676C4786"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Miller (2018) – Clin </w:t>
            </w:r>
            <w:r>
              <w:rPr>
                <w:rFonts w:ascii="Times New Roman" w:eastAsia="Times New Roman" w:hAnsi="Times New Roman" w:cs="Times New Roman"/>
              </w:rPr>
              <w:t>Infect Dis</w:t>
            </w:r>
          </w:p>
        </w:tc>
        <w:tc>
          <w:tcPr>
            <w:tcW w:w="818" w:type="dxa"/>
          </w:tcPr>
          <w:p w14:paraId="4000BC84"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Influenza-like illness</w:t>
            </w:r>
          </w:p>
        </w:tc>
        <w:tc>
          <w:tcPr>
            <w:tcW w:w="1195" w:type="dxa"/>
          </w:tcPr>
          <w:p w14:paraId="774CEFD0"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Smartphone thermometers (IoT)</w:t>
            </w:r>
          </w:p>
        </w:tc>
        <w:tc>
          <w:tcPr>
            <w:tcW w:w="1394" w:type="dxa"/>
          </w:tcPr>
          <w:p w14:paraId="5D98F2E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Time-series regression / anomaly detection</w:t>
            </w:r>
          </w:p>
        </w:tc>
        <w:tc>
          <w:tcPr>
            <w:tcW w:w="1130" w:type="dxa"/>
          </w:tcPr>
          <w:p w14:paraId="4FAC4B6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Nowcasting &amp; 1–</w:t>
            </w:r>
            <w:proofErr w:type="gramStart"/>
            <w:r>
              <w:rPr>
                <w:rFonts w:ascii="Times New Roman" w:eastAsia="Times New Roman" w:hAnsi="Times New Roman" w:cs="Times New Roman"/>
              </w:rPr>
              <w:t>3 week</w:t>
            </w:r>
            <w:proofErr w:type="gramEnd"/>
            <w:r>
              <w:rPr>
                <w:rFonts w:ascii="Times New Roman" w:eastAsia="Times New Roman" w:hAnsi="Times New Roman" w:cs="Times New Roman"/>
              </w:rPr>
              <w:t xml:space="preserve"> forecasting</w:t>
            </w:r>
          </w:p>
        </w:tc>
        <w:tc>
          <w:tcPr>
            <w:tcW w:w="1275" w:type="dxa"/>
          </w:tcPr>
          <w:p w14:paraId="1FD4CDEA"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Forecast correlation/MAE vs </w:t>
            </w:r>
            <w:proofErr w:type="spellStart"/>
            <w:r>
              <w:rPr>
                <w:rFonts w:ascii="Times New Roman" w:eastAsia="Times New Roman" w:hAnsi="Times New Roman" w:cs="Times New Roman"/>
              </w:rPr>
              <w:t>ILINet</w:t>
            </w:r>
            <w:proofErr w:type="spellEnd"/>
          </w:p>
        </w:tc>
        <w:tc>
          <w:tcPr>
            <w:tcW w:w="851" w:type="dxa"/>
          </w:tcPr>
          <w:p w14:paraId="41EC3F4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Up to ~3-week improvement</w:t>
            </w:r>
          </w:p>
        </w:tc>
        <w:tc>
          <w:tcPr>
            <w:tcW w:w="873" w:type="dxa"/>
          </w:tcPr>
          <w:p w14:paraId="1F448C9E"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CDC </w:t>
            </w:r>
            <w:proofErr w:type="spellStart"/>
            <w:r>
              <w:rPr>
                <w:rFonts w:ascii="Times New Roman" w:eastAsia="Times New Roman" w:hAnsi="Times New Roman" w:cs="Times New Roman"/>
              </w:rPr>
              <w:t>ILINet</w:t>
            </w:r>
            <w:proofErr w:type="spellEnd"/>
            <w:r>
              <w:rPr>
                <w:rFonts w:ascii="Times New Roman" w:eastAsia="Times New Roman" w:hAnsi="Times New Roman" w:cs="Times New Roman"/>
              </w:rPr>
              <w:t xml:space="preserve">; autoregressive </w:t>
            </w:r>
            <w:r>
              <w:rPr>
                <w:rFonts w:ascii="Times New Roman" w:eastAsia="Times New Roman" w:hAnsi="Times New Roman" w:cs="Times New Roman"/>
              </w:rPr>
              <w:lastRenderedPageBreak/>
              <w:t>baselines</w:t>
            </w:r>
          </w:p>
        </w:tc>
        <w:tc>
          <w:tcPr>
            <w:tcW w:w="1111" w:type="dxa"/>
          </w:tcPr>
          <w:p w14:paraId="23D34C9C"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lastRenderedPageBreak/>
              <w:t>Retrospective out</w:t>
            </w:r>
            <w:r>
              <w:rPr>
                <w:rFonts w:ascii="Times New Roman" w:eastAsia="Times New Roman" w:hAnsi="Times New Roman" w:cs="Times New Roman"/>
              </w:rPr>
              <w:t>-of-sample</w:t>
            </w:r>
          </w:p>
        </w:tc>
        <w:tc>
          <w:tcPr>
            <w:tcW w:w="1276" w:type="dxa"/>
            <w:gridSpan w:val="2"/>
          </w:tcPr>
          <w:p w14:paraId="7C2ED3E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Operational consumer network; research analyses</w:t>
            </w:r>
          </w:p>
        </w:tc>
        <w:tc>
          <w:tcPr>
            <w:tcW w:w="992" w:type="dxa"/>
          </w:tcPr>
          <w:p w14:paraId="2B8395CA"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Single-source</w:t>
            </w:r>
          </w:p>
        </w:tc>
        <w:tc>
          <w:tcPr>
            <w:tcW w:w="1134" w:type="dxa"/>
          </w:tcPr>
          <w:p w14:paraId="721636A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Error/Correlation</w:t>
            </w:r>
          </w:p>
        </w:tc>
        <w:tc>
          <w:tcPr>
            <w:tcW w:w="1560" w:type="dxa"/>
          </w:tcPr>
          <w:p w14:paraId="593AACEE"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Fever signals enhanced ILI tracking and short-horizon forecasts in near real-time.</w:t>
            </w:r>
          </w:p>
        </w:tc>
      </w:tr>
      <w:tr w:rsidR="00BA4AF1" w14:paraId="11528039" w14:textId="77777777">
        <w:tc>
          <w:tcPr>
            <w:tcW w:w="1134" w:type="dxa"/>
          </w:tcPr>
          <w:p w14:paraId="67A1AA80"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Nobles (2022) – Science Advances</w:t>
            </w:r>
          </w:p>
        </w:tc>
        <w:tc>
          <w:tcPr>
            <w:tcW w:w="818" w:type="dxa"/>
          </w:tcPr>
          <w:p w14:paraId="4016D0C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Emerging threats (</w:t>
            </w: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w:t>
            </w:r>
          </w:p>
        </w:tc>
        <w:tc>
          <w:tcPr>
            <w:tcW w:w="1195" w:type="dxa"/>
          </w:tcPr>
          <w:p w14:paraId="4654722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ED </w:t>
            </w:r>
            <w:r>
              <w:rPr>
                <w:rFonts w:ascii="Times New Roman" w:eastAsia="Times New Roman" w:hAnsi="Times New Roman" w:cs="Times New Roman"/>
              </w:rPr>
              <w:t>chief-complaint free-text</w:t>
            </w:r>
          </w:p>
        </w:tc>
        <w:tc>
          <w:tcPr>
            <w:tcW w:w="1394" w:type="dxa"/>
          </w:tcPr>
          <w:p w14:paraId="30AC38C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Unsupervised pattern discovery + ML triage</w:t>
            </w:r>
          </w:p>
        </w:tc>
        <w:tc>
          <w:tcPr>
            <w:tcW w:w="1130" w:type="dxa"/>
          </w:tcPr>
          <w:p w14:paraId="5A0B18BC" w14:textId="77777777" w:rsidR="00BA4AF1" w:rsidRDefault="00EB64D7">
            <w:pPr>
              <w:spacing w:after="30"/>
              <w:jc w:val="both"/>
              <w:rPr>
                <w:rFonts w:ascii="Times New Roman" w:eastAsia="Times New Roman" w:hAnsi="Times New Roman" w:cs="Times New Roman"/>
              </w:rPr>
            </w:pP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 xml:space="preserve"> detection</w:t>
            </w:r>
          </w:p>
        </w:tc>
        <w:tc>
          <w:tcPr>
            <w:tcW w:w="1275" w:type="dxa"/>
          </w:tcPr>
          <w:p w14:paraId="76C0DA7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Timeliness; false alarms/PPV</w:t>
            </w:r>
          </w:p>
        </w:tc>
        <w:tc>
          <w:tcPr>
            <w:tcW w:w="851" w:type="dxa"/>
          </w:tcPr>
          <w:p w14:paraId="5F89A580"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Improved detection with fewer false positives</w:t>
            </w:r>
          </w:p>
        </w:tc>
        <w:tc>
          <w:tcPr>
            <w:tcW w:w="873" w:type="dxa"/>
          </w:tcPr>
          <w:p w14:paraId="3E9F0806"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Public health investigations/existing alerts</w:t>
            </w:r>
          </w:p>
        </w:tc>
        <w:tc>
          <w:tcPr>
            <w:tcW w:w="1111" w:type="dxa"/>
          </w:tcPr>
          <w:p w14:paraId="7603B6E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Retrospective + embedded testing</w:t>
            </w:r>
          </w:p>
        </w:tc>
        <w:tc>
          <w:tcPr>
            <w:tcW w:w="1276" w:type="dxa"/>
            <w:gridSpan w:val="2"/>
          </w:tcPr>
          <w:p w14:paraId="078D9FC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Embedded in</w:t>
            </w:r>
            <w:r>
              <w:rPr>
                <w:rFonts w:ascii="Times New Roman" w:eastAsia="Times New Roman" w:hAnsi="Times New Roman" w:cs="Times New Roman"/>
              </w:rPr>
              <w:t xml:space="preserve"> NYC DOHMH workflow</w:t>
            </w:r>
          </w:p>
        </w:tc>
        <w:tc>
          <w:tcPr>
            <w:tcW w:w="992" w:type="dxa"/>
          </w:tcPr>
          <w:p w14:paraId="5F367A1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Single-source</w:t>
            </w:r>
          </w:p>
        </w:tc>
        <w:tc>
          <w:tcPr>
            <w:tcW w:w="1134" w:type="dxa"/>
          </w:tcPr>
          <w:p w14:paraId="47F7A3E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Detection/False-alarm control</w:t>
            </w:r>
          </w:p>
        </w:tc>
        <w:tc>
          <w:tcPr>
            <w:tcW w:w="1560" w:type="dxa"/>
          </w:tcPr>
          <w:p w14:paraId="0258521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ED free-text ML improved localized detection while reducing irrelevant alerts.</w:t>
            </w:r>
          </w:p>
        </w:tc>
      </w:tr>
      <w:tr w:rsidR="00BA4AF1" w14:paraId="28FFB173" w14:textId="77777777">
        <w:tc>
          <w:tcPr>
            <w:tcW w:w="1134" w:type="dxa"/>
          </w:tcPr>
          <w:p w14:paraId="250DB6D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Radin (2020) – Lancet Digit Health</w:t>
            </w:r>
          </w:p>
        </w:tc>
        <w:tc>
          <w:tcPr>
            <w:tcW w:w="818" w:type="dxa"/>
          </w:tcPr>
          <w:p w14:paraId="1A2C466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Influenza-like illness</w:t>
            </w:r>
          </w:p>
        </w:tc>
        <w:tc>
          <w:tcPr>
            <w:tcW w:w="1195" w:type="dxa"/>
          </w:tcPr>
          <w:p w14:paraId="2F9681CA"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Wearables (Fitbit)</w:t>
            </w:r>
          </w:p>
        </w:tc>
        <w:tc>
          <w:tcPr>
            <w:tcW w:w="1394" w:type="dxa"/>
          </w:tcPr>
          <w:p w14:paraId="3BFDF31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Anomaly detection / regression</w:t>
            </w:r>
          </w:p>
        </w:tc>
        <w:tc>
          <w:tcPr>
            <w:tcW w:w="1130" w:type="dxa"/>
          </w:tcPr>
          <w:p w14:paraId="18633829"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Surveillance augmentation</w:t>
            </w:r>
          </w:p>
        </w:tc>
        <w:tc>
          <w:tcPr>
            <w:tcW w:w="1275" w:type="dxa"/>
          </w:tcPr>
          <w:p w14:paraId="316E33F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Correlation/MAE vs </w:t>
            </w:r>
            <w:proofErr w:type="spellStart"/>
            <w:r>
              <w:rPr>
                <w:rFonts w:ascii="Times New Roman" w:eastAsia="Times New Roman" w:hAnsi="Times New Roman" w:cs="Times New Roman"/>
              </w:rPr>
              <w:t>ILINet</w:t>
            </w:r>
            <w:proofErr w:type="spellEnd"/>
          </w:p>
        </w:tc>
        <w:tc>
          <w:tcPr>
            <w:tcW w:w="851" w:type="dxa"/>
          </w:tcPr>
          <w:p w14:paraId="6BCC77F9"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Improved real-time estimates</w:t>
            </w:r>
          </w:p>
        </w:tc>
        <w:tc>
          <w:tcPr>
            <w:tcW w:w="873" w:type="dxa"/>
          </w:tcPr>
          <w:p w14:paraId="1E23853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CDC </w:t>
            </w:r>
            <w:proofErr w:type="spellStart"/>
            <w:r>
              <w:rPr>
                <w:rFonts w:ascii="Times New Roman" w:eastAsia="Times New Roman" w:hAnsi="Times New Roman" w:cs="Times New Roman"/>
              </w:rPr>
              <w:t>ILINet</w:t>
            </w:r>
            <w:proofErr w:type="spellEnd"/>
          </w:p>
        </w:tc>
        <w:tc>
          <w:tcPr>
            <w:tcW w:w="1111" w:type="dxa"/>
          </w:tcPr>
          <w:p w14:paraId="53BA6F4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Retrospective, population-based</w:t>
            </w:r>
          </w:p>
        </w:tc>
        <w:tc>
          <w:tcPr>
            <w:tcW w:w="1276" w:type="dxa"/>
            <w:gridSpan w:val="2"/>
          </w:tcPr>
          <w:p w14:paraId="324B46D7"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Research</w:t>
            </w:r>
          </w:p>
        </w:tc>
        <w:tc>
          <w:tcPr>
            <w:tcW w:w="992" w:type="dxa"/>
          </w:tcPr>
          <w:p w14:paraId="0CE9765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Single-source</w:t>
            </w:r>
          </w:p>
        </w:tc>
        <w:tc>
          <w:tcPr>
            <w:tcW w:w="1134" w:type="dxa"/>
          </w:tcPr>
          <w:p w14:paraId="736E492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Error/Correlation</w:t>
            </w:r>
          </w:p>
        </w:tc>
        <w:tc>
          <w:tcPr>
            <w:tcW w:w="1560" w:type="dxa"/>
          </w:tcPr>
          <w:p w14:paraId="68F8B9E0"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Wearable physiology improved state-level ILI surveillance performance.</w:t>
            </w:r>
          </w:p>
        </w:tc>
      </w:tr>
      <w:tr w:rsidR="00BA4AF1" w14:paraId="4F6AED2C" w14:textId="77777777">
        <w:tc>
          <w:tcPr>
            <w:tcW w:w="1134" w:type="dxa"/>
          </w:tcPr>
          <w:p w14:paraId="744751E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Santillana (2016) –</w:t>
            </w:r>
            <w:r>
              <w:rPr>
                <w:rFonts w:ascii="Times New Roman" w:eastAsia="Times New Roman" w:hAnsi="Times New Roman" w:cs="Times New Roman"/>
              </w:rPr>
              <w:t xml:space="preserve"> Sci Rep</w:t>
            </w:r>
          </w:p>
        </w:tc>
        <w:tc>
          <w:tcPr>
            <w:tcW w:w="818" w:type="dxa"/>
          </w:tcPr>
          <w:p w14:paraId="6F1E15E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Influenza (ILI)</w:t>
            </w:r>
          </w:p>
        </w:tc>
        <w:tc>
          <w:tcPr>
            <w:tcW w:w="1195" w:type="dxa"/>
          </w:tcPr>
          <w:p w14:paraId="703B636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Cloud EHR + historical surveillance</w:t>
            </w:r>
          </w:p>
        </w:tc>
        <w:tc>
          <w:tcPr>
            <w:tcW w:w="1394" w:type="dxa"/>
          </w:tcPr>
          <w:p w14:paraId="31609B6A"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ML regression ensemble</w:t>
            </w:r>
          </w:p>
        </w:tc>
        <w:tc>
          <w:tcPr>
            <w:tcW w:w="1130" w:type="dxa"/>
          </w:tcPr>
          <w:p w14:paraId="6237123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Near real-time estimation</w:t>
            </w:r>
          </w:p>
        </w:tc>
        <w:tc>
          <w:tcPr>
            <w:tcW w:w="1275" w:type="dxa"/>
          </w:tcPr>
          <w:p w14:paraId="75C39B1A"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Correlation/MAE vs </w:t>
            </w:r>
            <w:proofErr w:type="spellStart"/>
            <w:r>
              <w:rPr>
                <w:rFonts w:ascii="Times New Roman" w:eastAsia="Times New Roman" w:hAnsi="Times New Roman" w:cs="Times New Roman"/>
              </w:rPr>
              <w:t>ILINet</w:t>
            </w:r>
            <w:proofErr w:type="spellEnd"/>
          </w:p>
        </w:tc>
        <w:tc>
          <w:tcPr>
            <w:tcW w:w="851" w:type="dxa"/>
          </w:tcPr>
          <w:p w14:paraId="6C2238B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Near real-time nowcasts</w:t>
            </w:r>
          </w:p>
        </w:tc>
        <w:tc>
          <w:tcPr>
            <w:tcW w:w="873" w:type="dxa"/>
          </w:tcPr>
          <w:p w14:paraId="77E5CF1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CDC </w:t>
            </w:r>
            <w:proofErr w:type="spellStart"/>
            <w:r>
              <w:rPr>
                <w:rFonts w:ascii="Times New Roman" w:eastAsia="Times New Roman" w:hAnsi="Times New Roman" w:cs="Times New Roman"/>
              </w:rPr>
              <w:t>ILINet</w:t>
            </w:r>
            <w:proofErr w:type="spellEnd"/>
          </w:p>
        </w:tc>
        <w:tc>
          <w:tcPr>
            <w:tcW w:w="1111" w:type="dxa"/>
          </w:tcPr>
          <w:p w14:paraId="4645A740"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Retrospective out-of-sample</w:t>
            </w:r>
          </w:p>
        </w:tc>
        <w:tc>
          <w:tcPr>
            <w:tcW w:w="1276" w:type="dxa"/>
            <w:gridSpan w:val="2"/>
          </w:tcPr>
          <w:p w14:paraId="792E27A0"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Research using vendor EHR feeds</w:t>
            </w:r>
          </w:p>
        </w:tc>
        <w:tc>
          <w:tcPr>
            <w:tcW w:w="992" w:type="dxa"/>
          </w:tcPr>
          <w:p w14:paraId="7AB31C1C"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Early fusion </w:t>
            </w:r>
            <w:r>
              <w:rPr>
                <w:rFonts w:ascii="Times New Roman" w:eastAsia="Times New Roman" w:hAnsi="Times New Roman" w:cs="Times New Roman"/>
              </w:rPr>
              <w:t>(feature-level)</w:t>
            </w:r>
          </w:p>
        </w:tc>
        <w:tc>
          <w:tcPr>
            <w:tcW w:w="1134" w:type="dxa"/>
          </w:tcPr>
          <w:p w14:paraId="444A491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Error/Correlation</w:t>
            </w:r>
          </w:p>
        </w:tc>
        <w:tc>
          <w:tcPr>
            <w:tcW w:w="1560" w:type="dxa"/>
          </w:tcPr>
          <w:p w14:paraId="70E2FF59"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EHR-based ML yielded timely state/regional influenza estimates surpassing historical baselines.</w:t>
            </w:r>
          </w:p>
        </w:tc>
      </w:tr>
      <w:tr w:rsidR="00BA4AF1" w14:paraId="152C1FA8" w14:textId="77777777">
        <w:tc>
          <w:tcPr>
            <w:tcW w:w="1134" w:type="dxa"/>
          </w:tcPr>
          <w:p w14:paraId="541983EE" w14:textId="77777777" w:rsidR="00BA4AF1" w:rsidRDefault="00EB64D7">
            <w:pPr>
              <w:spacing w:after="30"/>
              <w:jc w:val="both"/>
              <w:rPr>
                <w:rFonts w:ascii="Times New Roman" w:eastAsia="Times New Roman" w:hAnsi="Times New Roman" w:cs="Times New Roman"/>
              </w:rPr>
            </w:pPr>
            <w:proofErr w:type="spellStart"/>
            <w:r>
              <w:rPr>
                <w:rFonts w:ascii="Times New Roman" w:eastAsia="Times New Roman" w:hAnsi="Times New Roman" w:cs="Times New Roman"/>
              </w:rPr>
              <w:t>Sapoval</w:t>
            </w:r>
            <w:proofErr w:type="spellEnd"/>
            <w:r>
              <w:rPr>
                <w:rFonts w:ascii="Times New Roman" w:eastAsia="Times New Roman" w:hAnsi="Times New Roman" w:cs="Times New Roman"/>
              </w:rPr>
              <w:t xml:space="preserve"> (2023) – Nat Commun</w:t>
            </w:r>
          </w:p>
        </w:tc>
        <w:tc>
          <w:tcPr>
            <w:tcW w:w="818" w:type="dxa"/>
          </w:tcPr>
          <w:p w14:paraId="71E71E3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SARS-CoV-2 </w:t>
            </w:r>
            <w:proofErr w:type="spellStart"/>
            <w:r>
              <w:rPr>
                <w:rFonts w:ascii="Times New Roman" w:eastAsia="Times New Roman" w:hAnsi="Times New Roman" w:cs="Times New Roman"/>
              </w:rPr>
              <w:t>VoC</w:t>
            </w:r>
            <w:proofErr w:type="spellEnd"/>
            <w:r>
              <w:rPr>
                <w:rFonts w:ascii="Times New Roman" w:eastAsia="Times New Roman" w:hAnsi="Times New Roman" w:cs="Times New Roman"/>
              </w:rPr>
              <w:t xml:space="preserve"> detection</w:t>
            </w:r>
          </w:p>
        </w:tc>
        <w:tc>
          <w:tcPr>
            <w:tcW w:w="1195" w:type="dxa"/>
          </w:tcPr>
          <w:p w14:paraId="4A7F459A"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Wastewater sequencing</w:t>
            </w:r>
          </w:p>
        </w:tc>
        <w:tc>
          <w:tcPr>
            <w:tcW w:w="1394" w:type="dxa"/>
          </w:tcPr>
          <w:p w14:paraId="0F9DF725" w14:textId="77777777" w:rsidR="00BA4AF1" w:rsidRDefault="00EB64D7">
            <w:pPr>
              <w:spacing w:after="30"/>
              <w:jc w:val="both"/>
              <w:rPr>
                <w:rFonts w:ascii="Times New Roman" w:eastAsia="Times New Roman" w:hAnsi="Times New Roman" w:cs="Times New Roman"/>
              </w:rPr>
            </w:pPr>
            <w:proofErr w:type="spellStart"/>
            <w:r>
              <w:rPr>
                <w:rFonts w:ascii="Times New Roman" w:eastAsia="Times New Roman" w:hAnsi="Times New Roman" w:cs="Times New Roman"/>
              </w:rPr>
              <w:t>QuaID</w:t>
            </w:r>
            <w:proofErr w:type="spellEnd"/>
            <w:r>
              <w:rPr>
                <w:rFonts w:ascii="Times New Roman" w:eastAsia="Times New Roman" w:hAnsi="Times New Roman" w:cs="Times New Roman"/>
              </w:rPr>
              <w:t xml:space="preserve"> pipeline (ML features)</w:t>
            </w:r>
          </w:p>
        </w:tc>
        <w:tc>
          <w:tcPr>
            <w:tcW w:w="1130" w:type="dxa"/>
          </w:tcPr>
          <w:p w14:paraId="3A1F03E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Early </w:t>
            </w:r>
            <w:proofErr w:type="spellStart"/>
            <w:r>
              <w:rPr>
                <w:rFonts w:ascii="Times New Roman" w:eastAsia="Times New Roman" w:hAnsi="Times New Roman" w:cs="Times New Roman"/>
              </w:rPr>
              <w:t>VoC</w:t>
            </w:r>
            <w:proofErr w:type="spellEnd"/>
            <w:r>
              <w:rPr>
                <w:rFonts w:ascii="Times New Roman" w:eastAsia="Times New Roman" w:hAnsi="Times New Roman" w:cs="Times New Roman"/>
              </w:rPr>
              <w:t xml:space="preserve"> detection</w:t>
            </w:r>
          </w:p>
        </w:tc>
        <w:tc>
          <w:tcPr>
            <w:tcW w:w="1275" w:type="dxa"/>
          </w:tcPr>
          <w:p w14:paraId="52E4CCD7"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Precision/recall (sim + real)</w:t>
            </w:r>
          </w:p>
        </w:tc>
        <w:tc>
          <w:tcPr>
            <w:tcW w:w="851" w:type="dxa"/>
          </w:tcPr>
          <w:p w14:paraId="2E9348D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Up to ~3 weeks earlier</w:t>
            </w:r>
          </w:p>
        </w:tc>
        <w:tc>
          <w:tcPr>
            <w:tcW w:w="873" w:type="dxa"/>
          </w:tcPr>
          <w:p w14:paraId="635E602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Clinical sequences; simulations</w:t>
            </w:r>
          </w:p>
        </w:tc>
        <w:tc>
          <w:tcPr>
            <w:tcW w:w="1111" w:type="dxa"/>
          </w:tcPr>
          <w:p w14:paraId="369BC8A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Benchmarking + real-world</w:t>
            </w:r>
          </w:p>
        </w:tc>
        <w:tc>
          <w:tcPr>
            <w:tcW w:w="1276" w:type="dxa"/>
            <w:gridSpan w:val="2"/>
          </w:tcPr>
          <w:p w14:paraId="116CAA1F"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Research-to-operations</w:t>
            </w:r>
          </w:p>
        </w:tc>
        <w:tc>
          <w:tcPr>
            <w:tcW w:w="992" w:type="dxa"/>
          </w:tcPr>
          <w:p w14:paraId="10C734BE"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Single-source</w:t>
            </w:r>
          </w:p>
        </w:tc>
        <w:tc>
          <w:tcPr>
            <w:tcW w:w="1134" w:type="dxa"/>
          </w:tcPr>
          <w:p w14:paraId="453F097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Classification + Lead-time</w:t>
            </w:r>
          </w:p>
        </w:tc>
        <w:tc>
          <w:tcPr>
            <w:tcW w:w="1560" w:type="dxa"/>
          </w:tcPr>
          <w:p w14:paraId="1E5A9C55" w14:textId="77777777" w:rsidR="00BA4AF1" w:rsidRDefault="00EB64D7">
            <w:pPr>
              <w:spacing w:after="30"/>
              <w:jc w:val="both"/>
              <w:rPr>
                <w:rFonts w:ascii="Times New Roman" w:eastAsia="Times New Roman" w:hAnsi="Times New Roman" w:cs="Times New Roman"/>
              </w:rPr>
            </w:pPr>
            <w:proofErr w:type="spellStart"/>
            <w:r>
              <w:rPr>
                <w:rFonts w:ascii="Times New Roman" w:eastAsia="Times New Roman" w:hAnsi="Times New Roman" w:cs="Times New Roman"/>
              </w:rPr>
              <w:t>QuaID</w:t>
            </w:r>
            <w:proofErr w:type="spellEnd"/>
            <w:r>
              <w:rPr>
                <w:rFonts w:ascii="Times New Roman" w:eastAsia="Times New Roman" w:hAnsi="Times New Roman" w:cs="Times New Roman"/>
              </w:rPr>
              <w:t xml:space="preserve"> improved wastewater </w:t>
            </w:r>
            <w:proofErr w:type="spellStart"/>
            <w:r>
              <w:rPr>
                <w:rFonts w:ascii="Times New Roman" w:eastAsia="Times New Roman" w:hAnsi="Times New Roman" w:cs="Times New Roman"/>
              </w:rPr>
              <w:t>VoC</w:t>
            </w:r>
            <w:proofErr w:type="spellEnd"/>
            <w:r>
              <w:rPr>
                <w:rFonts w:ascii="Times New Roman" w:eastAsia="Times New Roman" w:hAnsi="Times New Roman" w:cs="Times New Roman"/>
              </w:rPr>
              <w:t xml:space="preserve"> detection accuracy and timeliness.</w:t>
            </w:r>
          </w:p>
        </w:tc>
      </w:tr>
      <w:tr w:rsidR="00BA4AF1" w14:paraId="3AAC02E0" w14:textId="77777777">
        <w:tc>
          <w:tcPr>
            <w:tcW w:w="1134" w:type="dxa"/>
          </w:tcPr>
          <w:p w14:paraId="58C71B0A" w14:textId="77777777" w:rsidR="00BA4AF1" w:rsidRDefault="00EB64D7">
            <w:pPr>
              <w:spacing w:after="30"/>
              <w:jc w:val="both"/>
              <w:rPr>
                <w:rFonts w:ascii="Times New Roman" w:eastAsia="Times New Roman" w:hAnsi="Times New Roman" w:cs="Times New Roman"/>
              </w:rPr>
            </w:pPr>
            <w:proofErr w:type="spellStart"/>
            <w:r>
              <w:rPr>
                <w:rFonts w:ascii="Times New Roman" w:eastAsia="Times New Roman" w:hAnsi="Times New Roman" w:cs="Times New Roman"/>
              </w:rPr>
              <w:t>Stolerman</w:t>
            </w:r>
            <w:proofErr w:type="spellEnd"/>
            <w:r>
              <w:rPr>
                <w:rFonts w:ascii="Times New Roman" w:eastAsia="Times New Roman" w:hAnsi="Times New Roman" w:cs="Times New Roman"/>
              </w:rPr>
              <w:t xml:space="preserve"> (2023) – Science Advances</w:t>
            </w:r>
          </w:p>
        </w:tc>
        <w:tc>
          <w:tcPr>
            <w:tcW w:w="818" w:type="dxa"/>
          </w:tcPr>
          <w:p w14:paraId="6965328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COVID-19 surges</w:t>
            </w:r>
          </w:p>
        </w:tc>
        <w:tc>
          <w:tcPr>
            <w:tcW w:w="1195" w:type="dxa"/>
          </w:tcPr>
          <w:p w14:paraId="6A4FAA4C"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Digital traces (search, Twitter, </w:t>
            </w:r>
            <w:r>
              <w:rPr>
                <w:rFonts w:ascii="Times New Roman" w:eastAsia="Times New Roman" w:hAnsi="Times New Roman" w:cs="Times New Roman"/>
              </w:rPr>
              <w:lastRenderedPageBreak/>
              <w:t>clinician, neighbors)</w:t>
            </w:r>
          </w:p>
        </w:tc>
        <w:tc>
          <w:tcPr>
            <w:tcW w:w="1394" w:type="dxa"/>
          </w:tcPr>
          <w:p w14:paraId="0D45163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lastRenderedPageBreak/>
              <w:t>Prospective ML early-warning</w:t>
            </w:r>
          </w:p>
        </w:tc>
        <w:tc>
          <w:tcPr>
            <w:tcW w:w="1130" w:type="dxa"/>
          </w:tcPr>
          <w:p w14:paraId="2E72892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County-level early warning</w:t>
            </w:r>
          </w:p>
        </w:tc>
        <w:tc>
          <w:tcPr>
            <w:tcW w:w="1275" w:type="dxa"/>
          </w:tcPr>
          <w:p w14:paraId="7B03C3E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Prospective accuracy; alerting </w:t>
            </w:r>
            <w:r>
              <w:rPr>
                <w:rFonts w:ascii="Times New Roman" w:eastAsia="Times New Roman" w:hAnsi="Times New Roman" w:cs="Times New Roman"/>
              </w:rPr>
              <w:lastRenderedPageBreak/>
              <w:t>performance</w:t>
            </w:r>
          </w:p>
        </w:tc>
        <w:tc>
          <w:tcPr>
            <w:tcW w:w="851" w:type="dxa"/>
          </w:tcPr>
          <w:p w14:paraId="5A804E7C"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lastRenderedPageBreak/>
              <w:t>Early indication</w:t>
            </w:r>
          </w:p>
        </w:tc>
        <w:tc>
          <w:tcPr>
            <w:tcW w:w="873" w:type="dxa"/>
          </w:tcPr>
          <w:p w14:paraId="074FE0C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Reported cases/deaths</w:t>
            </w:r>
          </w:p>
        </w:tc>
        <w:tc>
          <w:tcPr>
            <w:tcW w:w="1111" w:type="dxa"/>
          </w:tcPr>
          <w:p w14:paraId="1E6E5A0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Prospective </w:t>
            </w:r>
            <w:r>
              <w:rPr>
                <w:rFonts w:ascii="Times New Roman" w:eastAsia="Times New Roman" w:hAnsi="Times New Roman" w:cs="Times New Roman"/>
              </w:rPr>
              <w:t>real-time</w:t>
            </w:r>
          </w:p>
        </w:tc>
        <w:tc>
          <w:tcPr>
            <w:tcW w:w="1276" w:type="dxa"/>
            <w:gridSpan w:val="2"/>
          </w:tcPr>
          <w:p w14:paraId="0A80996F"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Research with operational intent</w:t>
            </w:r>
          </w:p>
        </w:tc>
        <w:tc>
          <w:tcPr>
            <w:tcW w:w="992" w:type="dxa"/>
          </w:tcPr>
          <w:p w14:paraId="028AF77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Late fusion (ensemble)</w:t>
            </w:r>
          </w:p>
        </w:tc>
        <w:tc>
          <w:tcPr>
            <w:tcW w:w="1134" w:type="dxa"/>
          </w:tcPr>
          <w:p w14:paraId="2844564A"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Detection/Lead-time</w:t>
            </w:r>
          </w:p>
        </w:tc>
        <w:tc>
          <w:tcPr>
            <w:tcW w:w="1560" w:type="dxa"/>
          </w:tcPr>
          <w:p w14:paraId="60AF285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Prospective EWS showed anticipatory signals for </w:t>
            </w:r>
            <w:r>
              <w:rPr>
                <w:rFonts w:ascii="Times New Roman" w:eastAsia="Times New Roman" w:hAnsi="Times New Roman" w:cs="Times New Roman"/>
              </w:rPr>
              <w:lastRenderedPageBreak/>
              <w:t>county-level surges.</w:t>
            </w:r>
          </w:p>
        </w:tc>
      </w:tr>
      <w:tr w:rsidR="00BA4AF1" w14:paraId="0C116DAE" w14:textId="77777777">
        <w:tc>
          <w:tcPr>
            <w:tcW w:w="1134" w:type="dxa"/>
          </w:tcPr>
          <w:p w14:paraId="73F720B7" w14:textId="77777777" w:rsidR="00BA4AF1" w:rsidRDefault="00EB64D7">
            <w:pPr>
              <w:spacing w:after="30"/>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Turakhia</w:t>
            </w:r>
            <w:proofErr w:type="spellEnd"/>
            <w:r>
              <w:rPr>
                <w:rFonts w:ascii="Times New Roman" w:eastAsia="Times New Roman" w:hAnsi="Times New Roman" w:cs="Times New Roman"/>
              </w:rPr>
              <w:t xml:space="preserve"> (2021) – Nat Genet (</w:t>
            </w:r>
            <w:proofErr w:type="spellStart"/>
            <w:r>
              <w:rPr>
                <w:rFonts w:ascii="Times New Roman" w:eastAsia="Times New Roman" w:hAnsi="Times New Roman" w:cs="Times New Roman"/>
              </w:rPr>
              <w:t>UShER</w:t>
            </w:r>
            <w:proofErr w:type="spellEnd"/>
            <w:r>
              <w:rPr>
                <w:rFonts w:ascii="Times New Roman" w:eastAsia="Times New Roman" w:hAnsi="Times New Roman" w:cs="Times New Roman"/>
              </w:rPr>
              <w:t>)</w:t>
            </w:r>
          </w:p>
        </w:tc>
        <w:tc>
          <w:tcPr>
            <w:tcW w:w="818" w:type="dxa"/>
          </w:tcPr>
          <w:p w14:paraId="6AAF0869"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SARS-CoV-2 lineages</w:t>
            </w:r>
          </w:p>
        </w:tc>
        <w:tc>
          <w:tcPr>
            <w:tcW w:w="1195" w:type="dxa"/>
          </w:tcPr>
          <w:p w14:paraId="57E28EC4"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Viral genomes (clinical &amp; wastewater)</w:t>
            </w:r>
          </w:p>
        </w:tc>
        <w:tc>
          <w:tcPr>
            <w:tcW w:w="1394" w:type="dxa"/>
          </w:tcPr>
          <w:p w14:paraId="298BE140"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Phylog</w:t>
            </w:r>
            <w:r>
              <w:rPr>
                <w:rFonts w:ascii="Times New Roman" w:eastAsia="Times New Roman" w:hAnsi="Times New Roman" w:cs="Times New Roman"/>
              </w:rPr>
              <w:t>enetic placement</w:t>
            </w:r>
          </w:p>
        </w:tc>
        <w:tc>
          <w:tcPr>
            <w:tcW w:w="1130" w:type="dxa"/>
          </w:tcPr>
          <w:p w14:paraId="764D2B3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Real-time genomic surveillance</w:t>
            </w:r>
          </w:p>
        </w:tc>
        <w:tc>
          <w:tcPr>
            <w:tcW w:w="1275" w:type="dxa"/>
          </w:tcPr>
          <w:p w14:paraId="0980BEF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Placement accuracy/speed</w:t>
            </w:r>
          </w:p>
        </w:tc>
        <w:tc>
          <w:tcPr>
            <w:tcW w:w="851" w:type="dxa"/>
          </w:tcPr>
          <w:p w14:paraId="2B2A0017"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Rapid lineage assignment</w:t>
            </w:r>
          </w:p>
        </w:tc>
        <w:tc>
          <w:tcPr>
            <w:tcW w:w="873" w:type="dxa"/>
          </w:tcPr>
          <w:p w14:paraId="05523259"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Reference trees/consensus</w:t>
            </w:r>
          </w:p>
        </w:tc>
        <w:tc>
          <w:tcPr>
            <w:tcW w:w="1111" w:type="dxa"/>
          </w:tcPr>
          <w:p w14:paraId="3D623874"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Benchmarking</w:t>
            </w:r>
          </w:p>
        </w:tc>
        <w:tc>
          <w:tcPr>
            <w:tcW w:w="1276" w:type="dxa"/>
            <w:gridSpan w:val="2"/>
          </w:tcPr>
          <w:p w14:paraId="7C1C95D9"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Operational in labs</w:t>
            </w:r>
          </w:p>
        </w:tc>
        <w:tc>
          <w:tcPr>
            <w:tcW w:w="992" w:type="dxa"/>
          </w:tcPr>
          <w:p w14:paraId="6FADB29F"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Single-source (genomic)</w:t>
            </w:r>
          </w:p>
        </w:tc>
        <w:tc>
          <w:tcPr>
            <w:tcW w:w="1134" w:type="dxa"/>
          </w:tcPr>
          <w:p w14:paraId="75AA6349"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Classification/Accuracy</w:t>
            </w:r>
          </w:p>
        </w:tc>
        <w:tc>
          <w:tcPr>
            <w:tcW w:w="1560" w:type="dxa"/>
          </w:tcPr>
          <w:p w14:paraId="24AFEC85" w14:textId="77777777" w:rsidR="00BA4AF1" w:rsidRDefault="00EB64D7">
            <w:pPr>
              <w:spacing w:after="30"/>
              <w:jc w:val="both"/>
              <w:rPr>
                <w:rFonts w:ascii="Times New Roman" w:eastAsia="Times New Roman" w:hAnsi="Times New Roman" w:cs="Times New Roman"/>
              </w:rPr>
            </w:pPr>
            <w:proofErr w:type="spellStart"/>
            <w:r>
              <w:rPr>
                <w:rFonts w:ascii="Times New Roman" w:eastAsia="Times New Roman" w:hAnsi="Times New Roman" w:cs="Times New Roman"/>
              </w:rPr>
              <w:t>UShER</w:t>
            </w:r>
            <w:proofErr w:type="spellEnd"/>
            <w:r>
              <w:rPr>
                <w:rFonts w:ascii="Times New Roman" w:eastAsia="Times New Roman" w:hAnsi="Times New Roman" w:cs="Times New Roman"/>
              </w:rPr>
              <w:t xml:space="preserve"> accelerated variant detection within surveillance workflows.</w:t>
            </w:r>
          </w:p>
        </w:tc>
      </w:tr>
      <w:tr w:rsidR="00BA4AF1" w14:paraId="7A8EABCF" w14:textId="77777777">
        <w:tc>
          <w:tcPr>
            <w:tcW w:w="1134" w:type="dxa"/>
          </w:tcPr>
          <w:p w14:paraId="13A96B0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Vo (2023) – JAMA </w:t>
            </w:r>
            <w:proofErr w:type="spellStart"/>
            <w:r>
              <w:rPr>
                <w:rFonts w:ascii="Times New Roman" w:eastAsia="Times New Roman" w:hAnsi="Times New Roman" w:cs="Times New Roman"/>
              </w:rPr>
              <w:t>Netw</w:t>
            </w:r>
            <w:proofErr w:type="spellEnd"/>
            <w:r>
              <w:rPr>
                <w:rFonts w:ascii="Times New Roman" w:eastAsia="Times New Roman" w:hAnsi="Times New Roman" w:cs="Times New Roman"/>
              </w:rPr>
              <w:t xml:space="preserve"> Open</w:t>
            </w:r>
          </w:p>
        </w:tc>
        <w:tc>
          <w:tcPr>
            <w:tcW w:w="818" w:type="dxa"/>
          </w:tcPr>
          <w:p w14:paraId="657AC114"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SARS-CoV-2 Omicron BA.1</w:t>
            </w:r>
          </w:p>
        </w:tc>
        <w:tc>
          <w:tcPr>
            <w:tcW w:w="1195" w:type="dxa"/>
          </w:tcPr>
          <w:p w14:paraId="314E138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Wastewater RT-qPCR + WGS</w:t>
            </w:r>
          </w:p>
        </w:tc>
        <w:tc>
          <w:tcPr>
            <w:tcW w:w="1394" w:type="dxa"/>
          </w:tcPr>
          <w:p w14:paraId="1B50E8A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Stat trend + genomic calling</w:t>
            </w:r>
          </w:p>
        </w:tc>
        <w:tc>
          <w:tcPr>
            <w:tcW w:w="1130" w:type="dxa"/>
          </w:tcPr>
          <w:p w14:paraId="09FA461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Earliest detection in high-mobility area</w:t>
            </w:r>
          </w:p>
        </w:tc>
        <w:tc>
          <w:tcPr>
            <w:tcW w:w="1275" w:type="dxa"/>
          </w:tcPr>
          <w:p w14:paraId="616041D0"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Timing vs WWTP &amp; clinical</w:t>
            </w:r>
          </w:p>
        </w:tc>
        <w:tc>
          <w:tcPr>
            <w:tcW w:w="851" w:type="dxa"/>
          </w:tcPr>
          <w:p w14:paraId="44C9B7C2" w14:textId="77777777" w:rsidR="00BA4AF1" w:rsidRDefault="00EB64D7">
            <w:pPr>
              <w:spacing w:after="30"/>
              <w:jc w:val="both"/>
              <w:rPr>
                <w:rFonts w:ascii="Times New Roman" w:eastAsia="Times New Roman" w:hAnsi="Times New Roman" w:cs="Times New Roman"/>
              </w:rPr>
            </w:pPr>
            <w:sdt>
              <w:sdtPr>
                <w:tag w:val="goog_rdk_2"/>
                <w:id w:val="1591221641"/>
              </w:sdtPr>
              <w:sdtEndPr/>
              <w:sdtContent>
                <w:r>
                  <w:rPr>
                    <w:rFonts w:ascii="Gungsuh" w:eastAsia="Gungsuh" w:hAnsi="Gungsuh" w:cs="Gungsuh"/>
                  </w:rPr>
                  <w:t xml:space="preserve">≈1 week earlier than </w:t>
                </w:r>
                <w:r>
                  <w:rPr>
                    <w:rFonts w:ascii="Gungsuh" w:eastAsia="Gungsuh" w:hAnsi="Gungsuh" w:cs="Gungsuh"/>
                  </w:rPr>
                  <w:t>clinical</w:t>
                </w:r>
              </w:sdtContent>
            </w:sdt>
          </w:p>
        </w:tc>
        <w:tc>
          <w:tcPr>
            <w:tcW w:w="873" w:type="dxa"/>
          </w:tcPr>
          <w:p w14:paraId="099B563C"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Clinical testing timelines</w:t>
            </w:r>
          </w:p>
        </w:tc>
        <w:tc>
          <w:tcPr>
            <w:tcW w:w="1111" w:type="dxa"/>
          </w:tcPr>
          <w:p w14:paraId="2747FD96"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Time-series observational</w:t>
            </w:r>
          </w:p>
        </w:tc>
        <w:tc>
          <w:tcPr>
            <w:tcW w:w="1276" w:type="dxa"/>
            <w:gridSpan w:val="2"/>
          </w:tcPr>
          <w:p w14:paraId="0FD82967"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Operational WBE collaboration</w:t>
            </w:r>
          </w:p>
        </w:tc>
        <w:tc>
          <w:tcPr>
            <w:tcW w:w="992" w:type="dxa"/>
          </w:tcPr>
          <w:p w14:paraId="72B919F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Early fusion (feature-level)</w:t>
            </w:r>
          </w:p>
        </w:tc>
        <w:tc>
          <w:tcPr>
            <w:tcW w:w="1134" w:type="dxa"/>
          </w:tcPr>
          <w:p w14:paraId="42256EB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Detection/Lead-time</w:t>
            </w:r>
          </w:p>
        </w:tc>
        <w:tc>
          <w:tcPr>
            <w:tcW w:w="1560" w:type="dxa"/>
          </w:tcPr>
          <w:p w14:paraId="31148067"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Targeted manhole sampling detected Omicron earlier than plant-level and clinical reporting.</w:t>
            </w:r>
          </w:p>
        </w:tc>
      </w:tr>
      <w:tr w:rsidR="00BA4AF1" w14:paraId="69E6A9A9" w14:textId="77777777">
        <w:tc>
          <w:tcPr>
            <w:tcW w:w="1134" w:type="dxa"/>
          </w:tcPr>
          <w:p w14:paraId="4E620D79"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Yang (2015) – PNAS</w:t>
            </w:r>
          </w:p>
        </w:tc>
        <w:tc>
          <w:tcPr>
            <w:tcW w:w="818" w:type="dxa"/>
          </w:tcPr>
          <w:p w14:paraId="22ABBCBE"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Influenza (ILI)</w:t>
            </w:r>
          </w:p>
        </w:tc>
        <w:tc>
          <w:tcPr>
            <w:tcW w:w="1195" w:type="dxa"/>
          </w:tcPr>
          <w:p w14:paraId="31747A1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Google search queries</w:t>
            </w:r>
          </w:p>
        </w:tc>
        <w:tc>
          <w:tcPr>
            <w:tcW w:w="1394" w:type="dxa"/>
          </w:tcPr>
          <w:p w14:paraId="5C7BF574"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Regularized regression (ARGO)</w:t>
            </w:r>
          </w:p>
        </w:tc>
        <w:tc>
          <w:tcPr>
            <w:tcW w:w="1130" w:type="dxa"/>
          </w:tcPr>
          <w:p w14:paraId="1A84591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Nowcasting / early detection proxy</w:t>
            </w:r>
          </w:p>
        </w:tc>
        <w:tc>
          <w:tcPr>
            <w:tcW w:w="1275" w:type="dxa"/>
          </w:tcPr>
          <w:p w14:paraId="625A2A5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RMSE/correlation vs CDC </w:t>
            </w:r>
            <w:proofErr w:type="spellStart"/>
            <w:r>
              <w:rPr>
                <w:rFonts w:ascii="Times New Roman" w:eastAsia="Times New Roman" w:hAnsi="Times New Roman" w:cs="Times New Roman"/>
              </w:rPr>
              <w:t>ILINet</w:t>
            </w:r>
            <w:proofErr w:type="spellEnd"/>
            <w:r>
              <w:rPr>
                <w:rFonts w:ascii="Times New Roman" w:eastAsia="Times New Roman" w:hAnsi="Times New Roman" w:cs="Times New Roman"/>
              </w:rPr>
              <w:t>; real-time estimates</w:t>
            </w:r>
          </w:p>
        </w:tc>
        <w:tc>
          <w:tcPr>
            <w:tcW w:w="851" w:type="dxa"/>
          </w:tcPr>
          <w:p w14:paraId="3817D9F3"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Real-time (same-week); no explicit lead</w:t>
            </w:r>
          </w:p>
        </w:tc>
        <w:tc>
          <w:tcPr>
            <w:tcW w:w="873" w:type="dxa"/>
          </w:tcPr>
          <w:p w14:paraId="0611008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CDC </w:t>
            </w:r>
            <w:proofErr w:type="spellStart"/>
            <w:r>
              <w:rPr>
                <w:rFonts w:ascii="Times New Roman" w:eastAsia="Times New Roman" w:hAnsi="Times New Roman" w:cs="Times New Roman"/>
              </w:rPr>
              <w:t>ILINet</w:t>
            </w:r>
            <w:proofErr w:type="spellEnd"/>
            <w:r>
              <w:rPr>
                <w:rFonts w:ascii="Times New Roman" w:eastAsia="Times New Roman" w:hAnsi="Times New Roman" w:cs="Times New Roman"/>
              </w:rPr>
              <w:t>; historical baselines</w:t>
            </w:r>
          </w:p>
        </w:tc>
        <w:tc>
          <w:tcPr>
            <w:tcW w:w="1111" w:type="dxa"/>
          </w:tcPr>
          <w:p w14:paraId="554E8FF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Out-of-sample retrospective;</w:t>
            </w:r>
            <w:r>
              <w:rPr>
                <w:rFonts w:ascii="Times New Roman" w:eastAsia="Times New Roman" w:hAnsi="Times New Roman" w:cs="Times New Roman"/>
              </w:rPr>
              <w:t xml:space="preserve"> rolling updates</w:t>
            </w:r>
          </w:p>
        </w:tc>
        <w:tc>
          <w:tcPr>
            <w:tcW w:w="1276" w:type="dxa"/>
            <w:gridSpan w:val="2"/>
          </w:tcPr>
          <w:p w14:paraId="41F6BF4B"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Research: widely cited method</w:t>
            </w:r>
          </w:p>
        </w:tc>
        <w:tc>
          <w:tcPr>
            <w:tcW w:w="992" w:type="dxa"/>
          </w:tcPr>
          <w:p w14:paraId="321566AE"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Single-source</w:t>
            </w:r>
          </w:p>
        </w:tc>
        <w:tc>
          <w:tcPr>
            <w:tcW w:w="1134" w:type="dxa"/>
          </w:tcPr>
          <w:p w14:paraId="7A10F12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Error/Correlation</w:t>
            </w:r>
          </w:p>
        </w:tc>
        <w:tc>
          <w:tcPr>
            <w:tcW w:w="1560" w:type="dxa"/>
          </w:tcPr>
          <w:p w14:paraId="77008476"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Search-driven ARGO improved accuracy over prior digital surveillance baselines for influenza nowcasting.</w:t>
            </w:r>
          </w:p>
        </w:tc>
      </w:tr>
      <w:tr w:rsidR="00BA4AF1" w14:paraId="690E6816" w14:textId="77777777">
        <w:tc>
          <w:tcPr>
            <w:tcW w:w="1134" w:type="dxa"/>
          </w:tcPr>
          <w:p w14:paraId="5107AFE8"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Zhang (2022) – Expert Syst Appl</w:t>
            </w:r>
          </w:p>
        </w:tc>
        <w:tc>
          <w:tcPr>
            <w:tcW w:w="818" w:type="dxa"/>
          </w:tcPr>
          <w:p w14:paraId="2EF42642"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COVID-19 activity</w:t>
            </w:r>
          </w:p>
        </w:tc>
        <w:tc>
          <w:tcPr>
            <w:tcW w:w="1195" w:type="dxa"/>
          </w:tcPr>
          <w:p w14:paraId="676C76AF"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Twitter (BERT NLP)</w:t>
            </w:r>
          </w:p>
        </w:tc>
        <w:tc>
          <w:tcPr>
            <w:tcW w:w="1394" w:type="dxa"/>
          </w:tcPr>
          <w:p w14:paraId="4712071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BERT + ML nowcasting</w:t>
            </w:r>
          </w:p>
        </w:tc>
        <w:tc>
          <w:tcPr>
            <w:tcW w:w="1130" w:type="dxa"/>
          </w:tcPr>
          <w:p w14:paraId="19A5FBCF"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Early warning/augmentation</w:t>
            </w:r>
          </w:p>
        </w:tc>
        <w:tc>
          <w:tcPr>
            <w:tcW w:w="1275" w:type="dxa"/>
          </w:tcPr>
          <w:p w14:paraId="0FB9E58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F1/precision-recall; correlation vs cases</w:t>
            </w:r>
          </w:p>
        </w:tc>
        <w:tc>
          <w:tcPr>
            <w:tcW w:w="851" w:type="dxa"/>
          </w:tcPr>
          <w:p w14:paraId="69A64D4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Early indication</w:t>
            </w:r>
          </w:p>
        </w:tc>
        <w:tc>
          <w:tcPr>
            <w:tcW w:w="873" w:type="dxa"/>
          </w:tcPr>
          <w:p w14:paraId="2BEF2DE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Confirmed cases</w:t>
            </w:r>
          </w:p>
        </w:tc>
        <w:tc>
          <w:tcPr>
            <w:tcW w:w="1111" w:type="dxa"/>
          </w:tcPr>
          <w:p w14:paraId="11BFD41A"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Retrospective</w:t>
            </w:r>
          </w:p>
        </w:tc>
        <w:tc>
          <w:tcPr>
            <w:tcW w:w="1276" w:type="dxa"/>
            <w:gridSpan w:val="2"/>
          </w:tcPr>
          <w:p w14:paraId="0738A83D"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Research</w:t>
            </w:r>
          </w:p>
        </w:tc>
        <w:tc>
          <w:tcPr>
            <w:tcW w:w="992" w:type="dxa"/>
          </w:tcPr>
          <w:p w14:paraId="239AE7E1"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Single-source</w:t>
            </w:r>
          </w:p>
        </w:tc>
        <w:tc>
          <w:tcPr>
            <w:tcW w:w="1134" w:type="dxa"/>
          </w:tcPr>
          <w:p w14:paraId="08BE73AA"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Classification + Correlation</w:t>
            </w:r>
          </w:p>
        </w:tc>
        <w:tc>
          <w:tcPr>
            <w:tcW w:w="1560" w:type="dxa"/>
          </w:tcPr>
          <w:p w14:paraId="0D67FAD5" w14:textId="77777777" w:rsidR="00BA4AF1" w:rsidRDefault="00EB64D7">
            <w:pPr>
              <w:spacing w:after="30"/>
              <w:jc w:val="both"/>
              <w:rPr>
                <w:rFonts w:ascii="Times New Roman" w:eastAsia="Times New Roman" w:hAnsi="Times New Roman" w:cs="Times New Roman"/>
              </w:rPr>
            </w:pPr>
            <w:r>
              <w:rPr>
                <w:rFonts w:ascii="Times New Roman" w:eastAsia="Times New Roman" w:hAnsi="Times New Roman" w:cs="Times New Roman"/>
              </w:rPr>
              <w:t xml:space="preserve">Twitter-derived signals complemented official COVID-19 </w:t>
            </w:r>
            <w:r>
              <w:rPr>
                <w:rFonts w:ascii="Times New Roman" w:eastAsia="Times New Roman" w:hAnsi="Times New Roman" w:cs="Times New Roman"/>
              </w:rPr>
              <w:t>surveillance.</w:t>
            </w:r>
          </w:p>
        </w:tc>
      </w:tr>
    </w:tbl>
    <w:p w14:paraId="68BC025C" w14:textId="77777777" w:rsidR="00BA4AF1" w:rsidRDefault="00BA4AF1">
      <w:pPr>
        <w:jc w:val="both"/>
        <w:rPr>
          <w:rFonts w:ascii="Times New Roman" w:eastAsia="Times New Roman" w:hAnsi="Times New Roman" w:cs="Times New Roman"/>
        </w:rPr>
      </w:pPr>
    </w:p>
    <w:p w14:paraId="0FB3729E" w14:textId="77777777" w:rsidR="00BA4AF1" w:rsidRDefault="00BA4AF1">
      <w:pPr>
        <w:jc w:val="both"/>
        <w:rPr>
          <w:rFonts w:ascii="Times New Roman" w:eastAsia="Times New Roman" w:hAnsi="Times New Roman" w:cs="Times New Roman"/>
        </w:rPr>
        <w:sectPr w:rsidR="00BA4AF1">
          <w:pgSz w:w="15840" w:h="12240" w:orient="landscape"/>
          <w:pgMar w:top="1440" w:right="1800" w:bottom="1440" w:left="1800" w:header="720" w:footer="720" w:gutter="0"/>
          <w:cols w:space="720"/>
        </w:sectPr>
      </w:pPr>
    </w:p>
    <w:p w14:paraId="7240E027"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lastRenderedPageBreak/>
        <w:t>4.0 Result</w:t>
      </w:r>
    </w:p>
    <w:p w14:paraId="3DE42052"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 xml:space="preserve">4.1 Summary of key findings </w:t>
      </w:r>
    </w:p>
    <w:p w14:paraId="73B8AFD8"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The findings indicate distinct strengths across model–data configurations for early detection in U.S. settings. The incorporation of single-source digital traces and IoT signals has been demonstrated to enhance the accuracy of influenza nowcasting and shor</w:t>
      </w:r>
      <w:r>
        <w:rPr>
          <w:rFonts w:ascii="Times New Roman" w:eastAsia="Times New Roman" w:hAnsi="Times New Roman" w:cs="Times New Roman"/>
        </w:rPr>
        <w:t>t-range forecasts. Multimodal late-fusion ensembles have been demonstrated to be effective in integrating mobility, searches, clinician queries, and social media. These ensembles have been shown to deliver multi-week jurisdictional leads for surges. The ap</w:t>
      </w:r>
      <w:r>
        <w:rPr>
          <w:rFonts w:ascii="Times New Roman" w:eastAsia="Times New Roman" w:hAnsi="Times New Roman" w:cs="Times New Roman"/>
        </w:rPr>
        <w:t xml:space="preserve">plication of genomic phylogenetics and wastewater sequencing has enabled the identification of emerging variants one to three weeks before clinical confirmation in several deployments. The utilization of </w:t>
      </w: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 xml:space="preserve"> emergency-department pipelines has been</w:t>
      </w:r>
      <w:r>
        <w:rPr>
          <w:rFonts w:ascii="Times New Roman" w:eastAsia="Times New Roman" w:hAnsi="Times New Roman" w:cs="Times New Roman"/>
        </w:rPr>
        <w:t xml:space="preserve"> demonstrated to enhance timeliness while concomitantly diminishing the occurrence of irrelevant alerts. This development has been shown to result in an improvement in practical positive predictive value. EHR ensembles produced near-real-time regional esti</w:t>
      </w:r>
      <w:r>
        <w:rPr>
          <w:rFonts w:ascii="Times New Roman" w:eastAsia="Times New Roman" w:hAnsi="Times New Roman" w:cs="Times New Roman"/>
        </w:rPr>
        <w:t>mates that were aligned with official reporting. A cross-study synthesis revealed substantial heterogeneity in metrics, reference standards, aggregation intervals, and validation designs, which limits the possibility of pooling. Operational maturity was co</w:t>
      </w:r>
      <w:r>
        <w:rPr>
          <w:rFonts w:ascii="Times New Roman" w:eastAsia="Times New Roman" w:hAnsi="Times New Roman" w:cs="Times New Roman"/>
        </w:rPr>
        <w:t>ncentrated in laboratory genomics, wastewater programs, and embedded ED workflows, while prospective external evaluations remained uncommon.</w:t>
      </w:r>
    </w:p>
    <w:p w14:paraId="0F3EEB4E"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4.2 Comparison with existing literature</w:t>
      </w:r>
    </w:p>
    <w:p w14:paraId="7BD5D04C"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The present findings align with those of </w:t>
      </w:r>
      <w:proofErr w:type="spellStart"/>
      <w:r>
        <w:rPr>
          <w:rFonts w:ascii="Times New Roman" w:eastAsia="Times New Roman" w:hAnsi="Times New Roman" w:cs="Times New Roman"/>
        </w:rPr>
        <w:t>multimodel</w:t>
      </w:r>
      <w:proofErr w:type="spellEnd"/>
      <w:r>
        <w:rPr>
          <w:rFonts w:ascii="Times New Roman" w:eastAsia="Times New Roman" w:hAnsi="Times New Roman" w:cs="Times New Roman"/>
        </w:rPr>
        <w:t xml:space="preserve"> influenza assessments d</w:t>
      </w:r>
      <w:r>
        <w:rPr>
          <w:rFonts w:ascii="Times New Roman" w:eastAsia="Times New Roman" w:hAnsi="Times New Roman" w:cs="Times New Roman"/>
        </w:rPr>
        <w:t>emonstrating ensemble superiority (Reich et al., 2019). The emphasis on transparent, comparable evaluation is consistent with the Forecast Hub's standardized datasets and scoring, which exposed heterogeneity in targets and metrics (Cramer et al., 2022). Pr</w:t>
      </w:r>
      <w:r>
        <w:rPr>
          <w:rFonts w:ascii="Times New Roman" w:eastAsia="Times New Roman" w:hAnsi="Times New Roman" w:cs="Times New Roman"/>
        </w:rPr>
        <w:t xml:space="preserve">ospective coordination in the Scenario Modeling Hub underscores the importance of structured comparison for insights, thereby echoing our call for prospective validation (Howerton et al., 2023). The application of severe-outcome forecasting techniques has </w:t>
      </w:r>
      <w:r>
        <w:rPr>
          <w:rFonts w:ascii="Times New Roman" w:eastAsia="Times New Roman" w:hAnsi="Times New Roman" w:cs="Times New Roman"/>
        </w:rPr>
        <w:t>also demonstrated the efficacy of calibrated models. However, it is important to note the persistent uncertainty that arises from data shifts, a finding that aligns with our observations concerning heterogeneity and the limitations of data aggregation (Mat</w:t>
      </w:r>
      <w:r>
        <w:rPr>
          <w:rFonts w:ascii="Times New Roman" w:eastAsia="Times New Roman" w:hAnsi="Times New Roman" w:cs="Times New Roman"/>
        </w:rPr>
        <w:t xml:space="preserve">his et al., 2024). A review of the literature on influenza modeling reveals a growing trend in the use of machine-learning and hybrid strategies, particularly when signals are both timely and noisy. This finding aligns with the results observed in our own </w:t>
      </w:r>
      <w:r>
        <w:rPr>
          <w:rFonts w:ascii="Times New Roman" w:eastAsia="Times New Roman" w:hAnsi="Times New Roman" w:cs="Times New Roman"/>
        </w:rPr>
        <w:t>research across digital, clinical, and genomic data streams (Ali et al., 2021).</w:t>
      </w:r>
    </w:p>
    <w:p w14:paraId="54A4DFF4"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In the context of digital epidemiology, extant research has underscored the potential and limitations of internet and social data, including the presence of noise and governanc</w:t>
      </w:r>
      <w:r>
        <w:rPr>
          <w:rFonts w:ascii="Times New Roman" w:eastAsia="Times New Roman" w:hAnsi="Times New Roman" w:cs="Times New Roman"/>
        </w:rPr>
        <w:t xml:space="preserve">e constraints (Aiello et al., 2020; Charles-Smith et al., 2015; </w:t>
      </w:r>
      <w:proofErr w:type="spellStart"/>
      <w:r>
        <w:rPr>
          <w:rFonts w:ascii="Times New Roman" w:eastAsia="Times New Roman" w:hAnsi="Times New Roman" w:cs="Times New Roman"/>
        </w:rPr>
        <w:t>Salathé</w:t>
      </w:r>
      <w:proofErr w:type="spellEnd"/>
      <w:r>
        <w:rPr>
          <w:rFonts w:ascii="Times New Roman" w:eastAsia="Times New Roman" w:hAnsi="Times New Roman" w:cs="Times New Roman"/>
        </w:rPr>
        <w:t xml:space="preserve"> et al., 2018). The findings of this study indicate that the integration of mobility, search queries, clinical inquiries, and social media data through multimodal fusion leads to a subs</w:t>
      </w:r>
      <w:r>
        <w:rPr>
          <w:rFonts w:ascii="Times New Roman" w:eastAsia="Times New Roman" w:hAnsi="Times New Roman" w:cs="Times New Roman"/>
        </w:rPr>
        <w:t>tantial surge in lead generation. This observation is consistent with the existing body of literature suggesting that mobility and interaction proxies enhance situational awareness (</w:t>
      </w:r>
      <w:proofErr w:type="spellStart"/>
      <w:r>
        <w:rPr>
          <w:rFonts w:ascii="Times New Roman" w:eastAsia="Times New Roman" w:hAnsi="Times New Roman" w:cs="Times New Roman"/>
        </w:rPr>
        <w:t>Kostandova</w:t>
      </w:r>
      <w:proofErr w:type="spellEnd"/>
      <w:r>
        <w:rPr>
          <w:rFonts w:ascii="Times New Roman" w:eastAsia="Times New Roman" w:hAnsi="Times New Roman" w:cs="Times New Roman"/>
        </w:rPr>
        <w:t xml:space="preserve"> et al., 2024) and with spatial influenza transmission modeling </w:t>
      </w:r>
      <w:r>
        <w:rPr>
          <w:rFonts w:ascii="Times New Roman" w:eastAsia="Times New Roman" w:hAnsi="Times New Roman" w:cs="Times New Roman"/>
        </w:rPr>
        <w:t xml:space="preserve">that incorporates movement (Pei et al., 2018). The utilization of consumer wearables and connected thermometers has been demonstrated to enhance the accuracy of short-range forecasts and facilitate the detection of anomalies. These observations align with </w:t>
      </w:r>
      <w:r>
        <w:rPr>
          <w:rFonts w:ascii="Times New Roman" w:eastAsia="Times New Roman" w:hAnsi="Times New Roman" w:cs="Times New Roman"/>
        </w:rPr>
        <w:lastRenderedPageBreak/>
        <w:t xml:space="preserve">our findings regarding the latency advantages of single-source physiology streams, despite the presence of concerns (Dunn et al., 2022). </w:t>
      </w:r>
    </w:p>
    <w:p w14:paraId="543086A8"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Concerning the integration of clinical and infrastructural components, the challenges identified for EHR-based surveil</w:t>
      </w:r>
      <w:r>
        <w:rPr>
          <w:rFonts w:ascii="Times New Roman" w:eastAsia="Times New Roman" w:hAnsi="Times New Roman" w:cs="Times New Roman"/>
        </w:rPr>
        <w:t xml:space="preserve">lance, including data quality, interoperability, and latency, align with the observation that the availability of near real-time estimates is contingent upon vendor pipelines and interface agreements (Aliabadi et al., 2020). The utilization of </w:t>
      </w: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 xml:space="preserve"> emergency-department NLP for triage purposes has been demonstrated to be effective, yet it necessitates meticulous validation to ensure its efficacy. This assertion is supported by the findings of Wang et al. (2024), which demonstrated an enhancement in t</w:t>
      </w:r>
      <w:r>
        <w:rPr>
          <w:rFonts w:ascii="Times New Roman" w:eastAsia="Times New Roman" w:hAnsi="Times New Roman" w:cs="Times New Roman"/>
        </w:rPr>
        <w:t>imeliness with a concomitant reduction in irrelevant alerts. The application of wastewater-based epidemiology has been demonstrated to facilitate the early detection of variants and enhance public health actionability. This approach aligns with the finding</w:t>
      </w:r>
      <w:r>
        <w:rPr>
          <w:rFonts w:ascii="Times New Roman" w:eastAsia="Times New Roman" w:hAnsi="Times New Roman" w:cs="Times New Roman"/>
        </w:rPr>
        <w:t>s from genomic and wastewater studies, underscoring the importance of standardization and regular sampling (Parkins et al., 2024; Chen et al., 2024). A synthesis of the extant comparative literature suggests three conclusions. First, fusion improves robust</w:t>
      </w:r>
      <w:r>
        <w:rPr>
          <w:rFonts w:ascii="Times New Roman" w:eastAsia="Times New Roman" w:hAnsi="Times New Roman" w:cs="Times New Roman"/>
        </w:rPr>
        <w:t>ness. Second, single-source digital streams convey speed. Third, genomics and wastewater excel at variant emergence. However, all of these conclusions require rigorous prospective, external evaluation frameworks to ensure generalizability under shifting da</w:t>
      </w:r>
      <w:r>
        <w:rPr>
          <w:rFonts w:ascii="Times New Roman" w:eastAsia="Times New Roman" w:hAnsi="Times New Roman" w:cs="Times New Roman"/>
        </w:rPr>
        <w:t>ta regimes (Cramer et al., 2022).</w:t>
      </w:r>
    </w:p>
    <w:p w14:paraId="64AAADE6"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4.3 Limitations of Review</w:t>
      </w:r>
    </w:p>
    <w:p w14:paraId="02DE4CB7"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This review is subject to several limitations. Firstly, the study's exclusive focus on the United States and its utilization of English as the primary language may restrict its generalizability. S</w:t>
      </w:r>
      <w:r>
        <w:rPr>
          <w:rFonts w:ascii="Times New Roman" w:eastAsia="Times New Roman" w:hAnsi="Times New Roman" w:cs="Times New Roman"/>
        </w:rPr>
        <w:t xml:space="preserve">econdly, the presence of heterogeneous ground truths, outbreak-onset definitions, temporal aggregation, and metric </w:t>
      </w:r>
      <w:proofErr w:type="gramStart"/>
      <w:r>
        <w:rPr>
          <w:rFonts w:ascii="Times New Roman" w:eastAsia="Times New Roman" w:hAnsi="Times New Roman" w:cs="Times New Roman"/>
        </w:rPr>
        <w:t>choices imposed</w:t>
      </w:r>
      <w:proofErr w:type="gramEnd"/>
      <w:r>
        <w:rPr>
          <w:rFonts w:ascii="Times New Roman" w:eastAsia="Times New Roman" w:hAnsi="Times New Roman" w:cs="Times New Roman"/>
        </w:rPr>
        <w:t xml:space="preserve"> constraints on pooling, thereby hindering the execution of meta-analysis. Thirdly, the majority of the included studies were </w:t>
      </w:r>
      <w:r>
        <w:rPr>
          <w:rFonts w:ascii="Times New Roman" w:eastAsia="Times New Roman" w:hAnsi="Times New Roman" w:cs="Times New Roman"/>
        </w:rPr>
        <w:t>retrospective, with limited external or prospective validation, which can lead to a heightened risk of optimism bias. Fourthly, publication, survivorship, and data-access biases persist, as proprietary pipelines rarely share code, costs, or negative result</w:t>
      </w:r>
      <w:r>
        <w:rPr>
          <w:rFonts w:ascii="Times New Roman" w:eastAsia="Times New Roman" w:hAnsi="Times New Roman" w:cs="Times New Roman"/>
        </w:rPr>
        <w:t>s. The rapid evolution of methods and deployments indicates that new evidence may emerge after the completion of our searches and syntheses.</w:t>
      </w:r>
    </w:p>
    <w:p w14:paraId="2531BB22"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5.0 Conclusion and recommendations for future research</w:t>
      </w:r>
    </w:p>
    <w:p w14:paraId="7FE4D919"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 xml:space="preserve">5.1 Conclusion </w:t>
      </w:r>
    </w:p>
    <w:p w14:paraId="09698B72"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Machine-learning approaches for the early detection of disease outbreaks in the United States have demonstrated their efficacy across three distinct task families: influenza-like illness nowcasting, surge early warning, and variant detection. The utilizati</w:t>
      </w:r>
      <w:r>
        <w:rPr>
          <w:rFonts w:ascii="Times New Roman" w:eastAsia="Times New Roman" w:hAnsi="Times New Roman" w:cs="Times New Roman"/>
        </w:rPr>
        <w:t>on of single-source digital traces and IoT signals has been demonstrated to enhance near-term situational awareness. Furthermore, the integration of multimodal late-fusion ensembles has yielded multimodal jurisdictional lead, with the application of genomi</w:t>
      </w:r>
      <w:r>
        <w:rPr>
          <w:rFonts w:ascii="Times New Roman" w:eastAsia="Times New Roman" w:hAnsi="Times New Roman" w:cs="Times New Roman"/>
        </w:rPr>
        <w:t xml:space="preserve">c phylogenetics in conjunction with wastewater sequencing facilitating the identification of variants prior to clinical confirmation. </w:t>
      </w:r>
    </w:p>
    <w:p w14:paraId="31175587"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The implementation of </w:t>
      </w: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 xml:space="preserve"> emergency-department pipelines led to an enhancement in timeliness, accompanied by a r</w:t>
      </w:r>
      <w:r>
        <w:rPr>
          <w:rFonts w:ascii="Times New Roman" w:eastAsia="Times New Roman" w:hAnsi="Times New Roman" w:cs="Times New Roman"/>
        </w:rPr>
        <w:t xml:space="preserve">eduction in irrelevant alerts. Furthermore, the integration of EHR ensembles resulted in the generation of near-real-time regional estimates that were in alignment with official reporting. A </w:t>
      </w:r>
      <w:r>
        <w:rPr>
          <w:rFonts w:ascii="Times New Roman" w:eastAsia="Times New Roman" w:hAnsi="Times New Roman" w:cs="Times New Roman"/>
        </w:rPr>
        <w:lastRenderedPageBreak/>
        <w:t>synthesis of the available evidence revealed significant heteroge</w:t>
      </w:r>
      <w:r>
        <w:rPr>
          <w:rFonts w:ascii="Times New Roman" w:eastAsia="Times New Roman" w:hAnsi="Times New Roman" w:cs="Times New Roman"/>
        </w:rPr>
        <w:t>neity in the metrics, gold standards, and temporal aggregation employed, which limited the potential for quantitative pooling of results. The majority of the evaluations were retrospective in nature. The operational maturity of the institution was predomin</w:t>
      </w:r>
      <w:r>
        <w:rPr>
          <w:rFonts w:ascii="Times New Roman" w:eastAsia="Times New Roman" w:hAnsi="Times New Roman" w:cs="Times New Roman"/>
        </w:rPr>
        <w:t>antly centered in the domains of laboratory genomics, wastewater programs, and integrated electronic medical record (EMR) workflows. Overall, the field endorses responsible integration when detectors are evaluated against prespecified targets, incorporated</w:t>
      </w:r>
      <w:r>
        <w:rPr>
          <w:rFonts w:ascii="Times New Roman" w:eastAsia="Times New Roman" w:hAnsi="Times New Roman" w:cs="Times New Roman"/>
        </w:rPr>
        <w:t xml:space="preserve"> into human-in-the-loop workflows, and governed by clear privacy, equity, and model-monitoring provisions. This review presents a structured evidence map and policy-relevant guidance for surveillance modernization in U.S. public health.</w:t>
      </w:r>
    </w:p>
    <w:p w14:paraId="6738EFF6"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5.2 Recommendations</w:t>
      </w:r>
      <w:r>
        <w:rPr>
          <w:rFonts w:ascii="Times New Roman" w:eastAsia="Times New Roman" w:hAnsi="Times New Roman" w:cs="Times New Roman"/>
          <w:b/>
        </w:rPr>
        <w:t xml:space="preserve"> for future research</w:t>
      </w:r>
    </w:p>
    <w:p w14:paraId="0E5A9AFE"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In the future, research efforts should prioritize the execution of prospective, multi-jurisdiction evaluations that are accompanied by external validation and the utilization of standardized definitions of sensitivity, PPV, false alarm</w:t>
      </w:r>
      <w:r>
        <w:rPr>
          <w:rFonts w:ascii="Times New Roman" w:eastAsia="Times New Roman" w:hAnsi="Times New Roman" w:cs="Times New Roman"/>
        </w:rPr>
        <w:t>s, and lead-time. In order to make informed decisions, it is imperative to establish comparative benchmarks that span various model families and data streams. These analyses should be complemented by cost-effectiveness and workforce impact assessments. Met</w:t>
      </w:r>
      <w:r>
        <w:rPr>
          <w:rFonts w:ascii="Times New Roman" w:eastAsia="Times New Roman" w:hAnsi="Times New Roman" w:cs="Times New Roman"/>
        </w:rPr>
        <w:t>hodologies must encompass approaches to address data shift, bias, and privacy concerns through the implementation of robust Machine Learning Operations (</w:t>
      </w:r>
      <w:proofErr w:type="spellStart"/>
      <w:r>
        <w:rPr>
          <w:rFonts w:ascii="Times New Roman" w:eastAsia="Times New Roman" w:hAnsi="Times New Roman" w:cs="Times New Roman"/>
        </w:rPr>
        <w:t>MLOps</w:t>
      </w:r>
      <w:proofErr w:type="spellEnd"/>
      <w:r>
        <w:rPr>
          <w:rFonts w:ascii="Times New Roman" w:eastAsia="Times New Roman" w:hAnsi="Times New Roman" w:cs="Times New Roman"/>
        </w:rPr>
        <w:t>), incorporating drift monitoring mechanisms and comprehensive documentation. Human-factors studie</w:t>
      </w:r>
      <w:r>
        <w:rPr>
          <w:rFonts w:ascii="Times New Roman" w:eastAsia="Times New Roman" w:hAnsi="Times New Roman" w:cs="Times New Roman"/>
        </w:rPr>
        <w:t xml:space="preserve">s should prioritize the optimization of alert thresholds and triage workflows. Finally, the advancement of multimodal fusion, the detection of causal factors under changing baselines, and the development of scalable pipelines that interoperate with public </w:t>
      </w:r>
      <w:r>
        <w:rPr>
          <w:rFonts w:ascii="Times New Roman" w:eastAsia="Times New Roman" w:hAnsi="Times New Roman" w:cs="Times New Roman"/>
        </w:rPr>
        <w:t>health systems and sustain coverage are imperative.</w:t>
      </w:r>
    </w:p>
    <w:p w14:paraId="306452C4" w14:textId="77777777" w:rsidR="0059279E" w:rsidRPr="0059279E" w:rsidRDefault="0059279E" w:rsidP="0059279E">
      <w:pPr>
        <w:jc w:val="both"/>
        <w:rPr>
          <w:rFonts w:ascii="Times New Roman" w:eastAsia="Times New Roman" w:hAnsi="Times New Roman" w:cs="Times New Roman"/>
        </w:rPr>
      </w:pPr>
      <w:r w:rsidRPr="0059279E">
        <w:rPr>
          <w:rFonts w:ascii="Times New Roman" w:eastAsia="Times New Roman" w:hAnsi="Times New Roman" w:cs="Times New Roman"/>
        </w:rPr>
        <w:t>COMPETING INTERESTS DISCLAIMER:</w:t>
      </w:r>
    </w:p>
    <w:p w14:paraId="2BE1A343" w14:textId="13C8085D" w:rsidR="0059279E" w:rsidRDefault="0059279E" w:rsidP="0059279E">
      <w:pPr>
        <w:jc w:val="both"/>
        <w:rPr>
          <w:rFonts w:ascii="Times New Roman" w:eastAsia="Times New Roman" w:hAnsi="Times New Roman" w:cs="Times New Roman"/>
        </w:rPr>
      </w:pPr>
      <w:r w:rsidRPr="0059279E">
        <w:rPr>
          <w:rFonts w:ascii="Times New Roman" w:eastAsia="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7E3856D4" w14:textId="77777777" w:rsidR="0059279E" w:rsidRDefault="0059279E">
      <w:pPr>
        <w:jc w:val="both"/>
        <w:rPr>
          <w:rFonts w:ascii="Times New Roman" w:eastAsia="Times New Roman" w:hAnsi="Times New Roman" w:cs="Times New Roman"/>
        </w:rPr>
      </w:pPr>
    </w:p>
    <w:p w14:paraId="7D1AC87F" w14:textId="77777777" w:rsidR="0059279E" w:rsidRDefault="0059279E">
      <w:pPr>
        <w:jc w:val="both"/>
        <w:rPr>
          <w:rFonts w:ascii="Times New Roman" w:eastAsia="Times New Roman" w:hAnsi="Times New Roman" w:cs="Times New Roman"/>
        </w:rPr>
      </w:pPr>
    </w:p>
    <w:p w14:paraId="44F8C7F5" w14:textId="77777777" w:rsidR="00BA4AF1" w:rsidRDefault="00EB64D7">
      <w:pPr>
        <w:rPr>
          <w:b/>
          <w:color w:val="000000"/>
        </w:rPr>
      </w:pPr>
      <w:r>
        <w:rPr>
          <w:b/>
          <w:color w:val="000000"/>
        </w:rPr>
        <w:t>References</w:t>
      </w:r>
    </w:p>
    <w:p w14:paraId="171BD900" w14:textId="77777777" w:rsidR="00BA4AF1" w:rsidRDefault="00EB64D7">
      <w:pPr>
        <w:rPr>
          <w:color w:val="000000"/>
        </w:rPr>
      </w:pPr>
      <w:r>
        <w:rPr>
          <w:color w:val="000000"/>
        </w:rPr>
        <w:t xml:space="preserve">Aiello, A. E., Renson, A., &amp; </w:t>
      </w:r>
      <w:proofErr w:type="spellStart"/>
      <w:r>
        <w:rPr>
          <w:color w:val="000000"/>
        </w:rPr>
        <w:t>Zivich</w:t>
      </w:r>
      <w:proofErr w:type="spellEnd"/>
      <w:r>
        <w:rPr>
          <w:color w:val="000000"/>
        </w:rPr>
        <w:t>, P. N. (2020). Social media–and internet-based disease surveillance for public health. </w:t>
      </w:r>
      <w:r>
        <w:rPr>
          <w:i/>
          <w:color w:val="000000"/>
        </w:rPr>
        <w:t>Annual review of public health</w:t>
      </w:r>
      <w:r>
        <w:rPr>
          <w:color w:val="000000"/>
        </w:rPr>
        <w:t>, </w:t>
      </w:r>
      <w:r>
        <w:rPr>
          <w:i/>
          <w:color w:val="000000"/>
        </w:rPr>
        <w:t>41</w:t>
      </w:r>
      <w:r>
        <w:rPr>
          <w:color w:val="000000"/>
        </w:rPr>
        <w:t>, 101-118.</w:t>
      </w:r>
    </w:p>
    <w:p w14:paraId="2260840F" w14:textId="77777777" w:rsidR="00BA4AF1" w:rsidRDefault="00EB64D7">
      <w:pPr>
        <w:rPr>
          <w:color w:val="000000"/>
        </w:rPr>
      </w:pPr>
      <w:r>
        <w:rPr>
          <w:color w:val="000000"/>
        </w:rPr>
        <w:t xml:space="preserve">Aiken, E. L., Nguyen, A. T., </w:t>
      </w:r>
      <w:proofErr w:type="spellStart"/>
      <w:r>
        <w:rPr>
          <w:color w:val="000000"/>
        </w:rPr>
        <w:t>Viboud</w:t>
      </w:r>
      <w:proofErr w:type="spellEnd"/>
      <w:r>
        <w:rPr>
          <w:color w:val="000000"/>
        </w:rPr>
        <w:t>, C., &amp; Sant</w:t>
      </w:r>
      <w:r>
        <w:rPr>
          <w:color w:val="000000"/>
        </w:rPr>
        <w:t>illana, M. (2021). Toward the use of neural networks for influenza prediction at multiple spatial resolutions. </w:t>
      </w:r>
      <w:r>
        <w:rPr>
          <w:i/>
          <w:color w:val="000000"/>
        </w:rPr>
        <w:t>Science Advances</w:t>
      </w:r>
      <w:r>
        <w:rPr>
          <w:color w:val="000000"/>
        </w:rPr>
        <w:t>, </w:t>
      </w:r>
      <w:r>
        <w:rPr>
          <w:i/>
          <w:color w:val="000000"/>
        </w:rPr>
        <w:t>7</w:t>
      </w:r>
      <w:r>
        <w:rPr>
          <w:color w:val="000000"/>
        </w:rPr>
        <w:t>(25), eabb1237.</w:t>
      </w:r>
    </w:p>
    <w:p w14:paraId="6BB6E99F" w14:textId="77777777" w:rsidR="00BA4AF1" w:rsidRDefault="00EB64D7">
      <w:pPr>
        <w:rPr>
          <w:color w:val="000000"/>
        </w:rPr>
      </w:pPr>
      <w:r>
        <w:rPr>
          <w:color w:val="000000"/>
        </w:rPr>
        <w:t>Ali, S. T., &amp; Cowling, B. J. (2021). Influenza virus: tracking, predicting, and forecasting. </w:t>
      </w:r>
      <w:r>
        <w:rPr>
          <w:i/>
          <w:color w:val="000000"/>
        </w:rPr>
        <w:t xml:space="preserve">Annual review of </w:t>
      </w:r>
      <w:r>
        <w:rPr>
          <w:i/>
          <w:color w:val="000000"/>
        </w:rPr>
        <w:t>public health</w:t>
      </w:r>
      <w:r>
        <w:rPr>
          <w:color w:val="000000"/>
        </w:rPr>
        <w:t>, </w:t>
      </w:r>
      <w:r>
        <w:rPr>
          <w:i/>
          <w:color w:val="000000"/>
        </w:rPr>
        <w:t>42</w:t>
      </w:r>
      <w:r>
        <w:rPr>
          <w:color w:val="000000"/>
        </w:rPr>
        <w:t>(1), 43-57.</w:t>
      </w:r>
    </w:p>
    <w:p w14:paraId="632D5F1D" w14:textId="77777777" w:rsidR="00BA4AF1" w:rsidRDefault="00EB64D7">
      <w:pPr>
        <w:rPr>
          <w:color w:val="000000"/>
        </w:rPr>
      </w:pPr>
      <w:r>
        <w:rPr>
          <w:color w:val="000000"/>
        </w:rPr>
        <w:lastRenderedPageBreak/>
        <w:t xml:space="preserve">Aliabadi, A., </w:t>
      </w:r>
      <w:proofErr w:type="spellStart"/>
      <w:r>
        <w:rPr>
          <w:color w:val="000000"/>
        </w:rPr>
        <w:t>Sheikhtaheri</w:t>
      </w:r>
      <w:proofErr w:type="spellEnd"/>
      <w:r>
        <w:rPr>
          <w:color w:val="000000"/>
        </w:rPr>
        <w:t>, A., &amp; Ansari, H. (2020). Electronic health record–based disease surveillance systems: a systematic literature review on challenges and solutions. </w:t>
      </w:r>
      <w:r>
        <w:rPr>
          <w:i/>
          <w:color w:val="000000"/>
        </w:rPr>
        <w:t>Journal of the American Medical Informatics Associati</w:t>
      </w:r>
      <w:r>
        <w:rPr>
          <w:i/>
          <w:color w:val="000000"/>
        </w:rPr>
        <w:t>on</w:t>
      </w:r>
      <w:r>
        <w:rPr>
          <w:color w:val="000000"/>
        </w:rPr>
        <w:t>, </w:t>
      </w:r>
      <w:r>
        <w:rPr>
          <w:i/>
          <w:color w:val="000000"/>
        </w:rPr>
        <w:t>27</w:t>
      </w:r>
      <w:r>
        <w:rPr>
          <w:color w:val="000000"/>
        </w:rPr>
        <w:t>(12), 1977-1986.</w:t>
      </w:r>
    </w:p>
    <w:p w14:paraId="5EA6BA2B" w14:textId="77777777" w:rsidR="00BA4AF1" w:rsidRDefault="00EB64D7">
      <w:pPr>
        <w:rPr>
          <w:color w:val="000000"/>
        </w:rPr>
      </w:pPr>
      <w:r>
        <w:rPr>
          <w:color w:val="000000"/>
        </w:rPr>
        <w:t>Charles-Smith, L. E., Reynolds, T. L., Cameron, M. A., Conway, M., Lau, E. H., Olsen, J. M., ... &amp; Corley, C. D. (2015). Using social media for actionable disease surveillance and outbreak management: a systematic literature review. </w:t>
      </w:r>
      <w:proofErr w:type="spellStart"/>
      <w:r>
        <w:rPr>
          <w:i/>
          <w:color w:val="000000"/>
        </w:rPr>
        <w:t>PloS</w:t>
      </w:r>
      <w:proofErr w:type="spellEnd"/>
      <w:r>
        <w:rPr>
          <w:i/>
          <w:color w:val="000000"/>
        </w:rPr>
        <w:t xml:space="preserve"> one</w:t>
      </w:r>
      <w:r>
        <w:rPr>
          <w:color w:val="000000"/>
        </w:rPr>
        <w:t>, </w:t>
      </w:r>
      <w:r>
        <w:rPr>
          <w:i/>
          <w:color w:val="000000"/>
        </w:rPr>
        <w:t>10</w:t>
      </w:r>
      <w:r>
        <w:rPr>
          <w:color w:val="000000"/>
        </w:rPr>
        <w:t>(10), e0139701.</w:t>
      </w:r>
    </w:p>
    <w:p w14:paraId="3D40ED45" w14:textId="77777777" w:rsidR="00BA4AF1" w:rsidRDefault="00EB64D7">
      <w:pPr>
        <w:rPr>
          <w:color w:val="000000"/>
        </w:rPr>
      </w:pPr>
      <w:r>
        <w:rPr>
          <w:color w:val="000000"/>
        </w:rPr>
        <w:t xml:space="preserve">Chen, C., Wang, Y., Kaur, G., Adiga, A., Espinoza, B., </w:t>
      </w:r>
      <w:proofErr w:type="spellStart"/>
      <w:r>
        <w:rPr>
          <w:color w:val="000000"/>
        </w:rPr>
        <w:t>Venkatramanan</w:t>
      </w:r>
      <w:proofErr w:type="spellEnd"/>
      <w:r>
        <w:rPr>
          <w:color w:val="000000"/>
        </w:rPr>
        <w:t>, S., ... &amp; Marathe, M. (2024). Wastewater-based epidemiology for COVID-19 surveillance and beyond: A survey. </w:t>
      </w:r>
      <w:r>
        <w:rPr>
          <w:i/>
          <w:color w:val="000000"/>
        </w:rPr>
        <w:t>Epidemics</w:t>
      </w:r>
      <w:r>
        <w:rPr>
          <w:color w:val="000000"/>
        </w:rPr>
        <w:t>, </w:t>
      </w:r>
      <w:r>
        <w:rPr>
          <w:i/>
          <w:color w:val="000000"/>
        </w:rPr>
        <w:t>49</w:t>
      </w:r>
      <w:r>
        <w:rPr>
          <w:color w:val="000000"/>
        </w:rPr>
        <w:t>, 100793.</w:t>
      </w:r>
    </w:p>
    <w:p w14:paraId="7EDB4E3F" w14:textId="77777777" w:rsidR="00BA4AF1" w:rsidRDefault="00EB64D7">
      <w:pPr>
        <w:rPr>
          <w:color w:val="000000"/>
        </w:rPr>
      </w:pPr>
      <w:r>
        <w:rPr>
          <w:color w:val="000000"/>
        </w:rPr>
        <w:t>Clemente, L., Lu, F., &amp; San</w:t>
      </w:r>
      <w:r>
        <w:rPr>
          <w:color w:val="000000"/>
        </w:rPr>
        <w:t>tillana, M. (2019). Improved real-time influenza surveillance: using internet search data in eight Latin American countries. </w:t>
      </w:r>
      <w:r>
        <w:rPr>
          <w:i/>
          <w:color w:val="000000"/>
        </w:rPr>
        <w:t>JMIR public health and surveillance</w:t>
      </w:r>
      <w:r>
        <w:rPr>
          <w:color w:val="000000"/>
        </w:rPr>
        <w:t>, </w:t>
      </w:r>
      <w:r>
        <w:rPr>
          <w:i/>
          <w:color w:val="000000"/>
        </w:rPr>
        <w:t>5</w:t>
      </w:r>
      <w:r>
        <w:rPr>
          <w:color w:val="000000"/>
        </w:rPr>
        <w:t>(2), e12214.</w:t>
      </w:r>
    </w:p>
    <w:p w14:paraId="3E55D374" w14:textId="77777777" w:rsidR="00BA4AF1" w:rsidRDefault="00EB64D7">
      <w:pPr>
        <w:rPr>
          <w:color w:val="000000"/>
        </w:rPr>
      </w:pPr>
      <w:r>
        <w:rPr>
          <w:color w:val="000000"/>
        </w:rPr>
        <w:t xml:space="preserve">Cramer, E. Y., Huang, Y., Wang, Y., Ray, E. L., Cornell, M., Bracher, J., ... &amp; </w:t>
      </w:r>
      <w:r>
        <w:rPr>
          <w:color w:val="000000"/>
        </w:rPr>
        <w:t>Reich, N. G. (2022). The United States COVID-19 forecast hub dataset. </w:t>
      </w:r>
      <w:r>
        <w:rPr>
          <w:i/>
          <w:color w:val="000000"/>
        </w:rPr>
        <w:t>Scientific data</w:t>
      </w:r>
      <w:r>
        <w:rPr>
          <w:color w:val="000000"/>
        </w:rPr>
        <w:t>, </w:t>
      </w:r>
      <w:r>
        <w:rPr>
          <w:i/>
          <w:color w:val="000000"/>
        </w:rPr>
        <w:t>9</w:t>
      </w:r>
      <w:r>
        <w:rPr>
          <w:color w:val="000000"/>
        </w:rPr>
        <w:t>(1), 462.</w:t>
      </w:r>
    </w:p>
    <w:p w14:paraId="7D9DD9AF" w14:textId="77777777" w:rsidR="00BA4AF1" w:rsidRDefault="00EB64D7">
      <w:pPr>
        <w:rPr>
          <w:color w:val="000000"/>
        </w:rPr>
      </w:pPr>
      <w:r>
        <w:rPr>
          <w:color w:val="000000"/>
        </w:rPr>
        <w:t>Crits-Christoph, A., Kantor, R. S., Olm, M. R., Whitney, O. N., Al-</w:t>
      </w:r>
      <w:proofErr w:type="spellStart"/>
      <w:r>
        <w:rPr>
          <w:color w:val="000000"/>
        </w:rPr>
        <w:t>Shayeb</w:t>
      </w:r>
      <w:proofErr w:type="spellEnd"/>
      <w:r>
        <w:rPr>
          <w:color w:val="000000"/>
        </w:rPr>
        <w:t>, B., Lou, Y. C., ... &amp; Nelson, K. L. (2021). Genome sequencing of sewage detects reg</w:t>
      </w:r>
      <w:r>
        <w:rPr>
          <w:color w:val="000000"/>
        </w:rPr>
        <w:t>ionally prevalent SARS-CoV-2 variants. </w:t>
      </w:r>
      <w:proofErr w:type="spellStart"/>
      <w:r>
        <w:rPr>
          <w:i/>
          <w:color w:val="000000"/>
        </w:rPr>
        <w:t>MBio</w:t>
      </w:r>
      <w:proofErr w:type="spellEnd"/>
      <w:r>
        <w:rPr>
          <w:color w:val="000000"/>
        </w:rPr>
        <w:t>, </w:t>
      </w:r>
      <w:r>
        <w:rPr>
          <w:i/>
          <w:color w:val="000000"/>
        </w:rPr>
        <w:t>12</w:t>
      </w:r>
      <w:r>
        <w:rPr>
          <w:color w:val="000000"/>
        </w:rPr>
        <w:t>(1), 10-1128.</w:t>
      </w:r>
    </w:p>
    <w:p w14:paraId="2BB518E5" w14:textId="77777777" w:rsidR="00BA4AF1" w:rsidRDefault="00EB64D7">
      <w:pPr>
        <w:rPr>
          <w:color w:val="000000"/>
        </w:rPr>
      </w:pPr>
      <w:r>
        <w:rPr>
          <w:color w:val="000000"/>
        </w:rPr>
        <w:t xml:space="preserve">Goergen, C. J., </w:t>
      </w:r>
      <w:proofErr w:type="spellStart"/>
      <w:r>
        <w:rPr>
          <w:color w:val="000000"/>
        </w:rPr>
        <w:t>Tweardy</w:t>
      </w:r>
      <w:proofErr w:type="spellEnd"/>
      <w:r>
        <w:rPr>
          <w:color w:val="000000"/>
        </w:rPr>
        <w:t xml:space="preserve">, M. J., </w:t>
      </w:r>
      <w:proofErr w:type="spellStart"/>
      <w:r>
        <w:rPr>
          <w:color w:val="000000"/>
        </w:rPr>
        <w:t>Steinhubl</w:t>
      </w:r>
      <w:proofErr w:type="spellEnd"/>
      <w:r>
        <w:rPr>
          <w:color w:val="000000"/>
        </w:rPr>
        <w:t xml:space="preserve">, S. R., Wegerich, S. W., Singh, K., Mieloszyk, R. J., &amp; Dunn, J. (2022). Detection and monitoring of viral infections via wearable devices and biometric </w:t>
      </w:r>
      <w:r>
        <w:rPr>
          <w:color w:val="000000"/>
        </w:rPr>
        <w:t>data. </w:t>
      </w:r>
      <w:r>
        <w:rPr>
          <w:i/>
          <w:color w:val="000000"/>
        </w:rPr>
        <w:t>Annual review of biomedical engineering</w:t>
      </w:r>
      <w:r>
        <w:rPr>
          <w:color w:val="000000"/>
        </w:rPr>
        <w:t>, </w:t>
      </w:r>
      <w:r>
        <w:rPr>
          <w:i/>
          <w:color w:val="000000"/>
        </w:rPr>
        <w:t>24</w:t>
      </w:r>
      <w:r>
        <w:rPr>
          <w:color w:val="000000"/>
        </w:rPr>
        <w:t>(1), 1-27.</w:t>
      </w:r>
    </w:p>
    <w:p w14:paraId="5D88C8A7" w14:textId="77777777" w:rsidR="00BA4AF1" w:rsidRDefault="00EB64D7">
      <w:pPr>
        <w:rPr>
          <w:color w:val="000000"/>
        </w:rPr>
      </w:pPr>
      <w:proofErr w:type="spellStart"/>
      <w:r>
        <w:rPr>
          <w:color w:val="000000"/>
        </w:rPr>
        <w:t>Gostic</w:t>
      </w:r>
      <w:proofErr w:type="spellEnd"/>
      <w:r>
        <w:rPr>
          <w:color w:val="000000"/>
        </w:rPr>
        <w:t xml:space="preserve">, K., Gomez, A. C., </w:t>
      </w:r>
      <w:proofErr w:type="spellStart"/>
      <w:r>
        <w:rPr>
          <w:color w:val="000000"/>
        </w:rPr>
        <w:t>Mummah</w:t>
      </w:r>
      <w:proofErr w:type="spellEnd"/>
      <w:r>
        <w:rPr>
          <w:color w:val="000000"/>
        </w:rPr>
        <w:t>, R. O., Kucharski, A. J., &amp; Lloyd-Smith, J. O. (2020). Estimated effectiveness of symptom and risk screening to prevent the spread of COVID-19. </w:t>
      </w:r>
      <w:r>
        <w:rPr>
          <w:i/>
          <w:color w:val="000000"/>
        </w:rPr>
        <w:t>Elife</w:t>
      </w:r>
      <w:r>
        <w:rPr>
          <w:color w:val="000000"/>
        </w:rPr>
        <w:t>, </w:t>
      </w:r>
      <w:r>
        <w:rPr>
          <w:i/>
          <w:color w:val="000000"/>
        </w:rPr>
        <w:t>9</w:t>
      </w:r>
      <w:r>
        <w:rPr>
          <w:color w:val="000000"/>
        </w:rPr>
        <w:t>, e55570.</w:t>
      </w:r>
    </w:p>
    <w:p w14:paraId="6386A919" w14:textId="77777777" w:rsidR="00BA4AF1" w:rsidRDefault="00EB64D7">
      <w:pPr>
        <w:rPr>
          <w:color w:val="000000"/>
        </w:rPr>
      </w:pPr>
      <w:r>
        <w:rPr>
          <w:color w:val="000000"/>
        </w:rPr>
        <w:t>H</w:t>
      </w:r>
      <w:r>
        <w:rPr>
          <w:color w:val="000000"/>
        </w:rPr>
        <w:t>ellewell, J., Abbott, S., Gimma, A., Bosse, N. I., Jarvis, C. I., Russell, T. W., ... &amp; Eggo, R. M. (2020). Feasibility of controlling COVID-19 outbreaks by isolation of cases and contacts. </w:t>
      </w:r>
      <w:r>
        <w:rPr>
          <w:i/>
          <w:color w:val="000000"/>
        </w:rPr>
        <w:t>The Lancet Global Health</w:t>
      </w:r>
      <w:r>
        <w:rPr>
          <w:color w:val="000000"/>
        </w:rPr>
        <w:t>, </w:t>
      </w:r>
      <w:r>
        <w:rPr>
          <w:i/>
          <w:color w:val="000000"/>
        </w:rPr>
        <w:t>8</w:t>
      </w:r>
      <w:r>
        <w:rPr>
          <w:color w:val="000000"/>
        </w:rPr>
        <w:t>(4), e488-e496.</w:t>
      </w:r>
    </w:p>
    <w:p w14:paraId="40121CA4" w14:textId="77777777" w:rsidR="00BA4AF1" w:rsidRDefault="00EB64D7">
      <w:pPr>
        <w:rPr>
          <w:color w:val="000000"/>
        </w:rPr>
      </w:pPr>
      <w:r>
        <w:rPr>
          <w:color w:val="000000"/>
        </w:rPr>
        <w:t xml:space="preserve">Howerton, E., </w:t>
      </w:r>
      <w:proofErr w:type="spellStart"/>
      <w:r>
        <w:rPr>
          <w:color w:val="000000"/>
        </w:rPr>
        <w:t>Contamin</w:t>
      </w:r>
      <w:proofErr w:type="spellEnd"/>
      <w:r>
        <w:rPr>
          <w:color w:val="000000"/>
        </w:rPr>
        <w:t>,</w:t>
      </w:r>
      <w:r>
        <w:rPr>
          <w:color w:val="000000"/>
        </w:rPr>
        <w:t xml:space="preserve"> L., Mullany, L. C., Qin, M., Reich, N. G., Bents, S., ... &amp; Lessler, J. (2023). Evaluation of the US COVID-19 Scenario Modeling Hub for informing pandemic response under uncertainty. </w:t>
      </w:r>
      <w:r>
        <w:rPr>
          <w:i/>
          <w:color w:val="000000"/>
        </w:rPr>
        <w:t>Nature communications</w:t>
      </w:r>
      <w:r>
        <w:rPr>
          <w:color w:val="000000"/>
        </w:rPr>
        <w:t>, </w:t>
      </w:r>
      <w:r>
        <w:rPr>
          <w:i/>
          <w:color w:val="000000"/>
        </w:rPr>
        <w:t>14</w:t>
      </w:r>
      <w:r>
        <w:rPr>
          <w:color w:val="000000"/>
        </w:rPr>
        <w:t>(1), 7260.</w:t>
      </w:r>
    </w:p>
    <w:p w14:paraId="11E1A363" w14:textId="77777777" w:rsidR="00BA4AF1" w:rsidRDefault="00EB64D7">
      <w:pPr>
        <w:rPr>
          <w:color w:val="000000"/>
        </w:rPr>
      </w:pPr>
      <w:r>
        <w:rPr>
          <w:color w:val="000000"/>
        </w:rPr>
        <w:t xml:space="preserve">Hughes, H. E., </w:t>
      </w:r>
      <w:proofErr w:type="spellStart"/>
      <w:r>
        <w:rPr>
          <w:color w:val="000000"/>
        </w:rPr>
        <w:t>Edeghere</w:t>
      </w:r>
      <w:proofErr w:type="spellEnd"/>
      <w:r>
        <w:rPr>
          <w:color w:val="000000"/>
        </w:rPr>
        <w:t>, O., O’Brien</w:t>
      </w:r>
      <w:r>
        <w:rPr>
          <w:color w:val="000000"/>
        </w:rPr>
        <w:t>, S. J., Vivancos, R., &amp; Elliot, A. J. (2020). Emergency department syndromic surveillance systems: a systematic review. </w:t>
      </w:r>
      <w:r>
        <w:rPr>
          <w:i/>
          <w:color w:val="000000"/>
        </w:rPr>
        <w:t>BMC Public Health</w:t>
      </w:r>
      <w:r>
        <w:rPr>
          <w:color w:val="000000"/>
        </w:rPr>
        <w:t>, </w:t>
      </w:r>
      <w:r>
        <w:rPr>
          <w:i/>
          <w:color w:val="000000"/>
        </w:rPr>
        <w:t>20</w:t>
      </w:r>
      <w:r>
        <w:rPr>
          <w:color w:val="000000"/>
        </w:rPr>
        <w:t>(1), 1891.</w:t>
      </w:r>
    </w:p>
    <w:p w14:paraId="1845BE58" w14:textId="77777777" w:rsidR="00BA4AF1" w:rsidRDefault="00EB64D7">
      <w:pPr>
        <w:rPr>
          <w:color w:val="000000"/>
        </w:rPr>
      </w:pPr>
      <w:r>
        <w:rPr>
          <w:color w:val="000000"/>
        </w:rPr>
        <w:t xml:space="preserve">Johansson, M. A., </w:t>
      </w:r>
      <w:proofErr w:type="spellStart"/>
      <w:r>
        <w:rPr>
          <w:color w:val="000000"/>
        </w:rPr>
        <w:t>Apfeldorf</w:t>
      </w:r>
      <w:proofErr w:type="spellEnd"/>
      <w:r>
        <w:rPr>
          <w:color w:val="000000"/>
        </w:rPr>
        <w:t>, K. M., Dobson, S., Devita, J., Buczak, A. L., Baugher, B., ... &amp; Chretien,</w:t>
      </w:r>
      <w:r>
        <w:rPr>
          <w:color w:val="000000"/>
        </w:rPr>
        <w:t xml:space="preserve"> J. P. (2019). An open challenge to advance probabilistic forecasting for dengue epidemics. </w:t>
      </w:r>
      <w:r>
        <w:rPr>
          <w:i/>
          <w:color w:val="000000"/>
        </w:rPr>
        <w:t>Proceedings of the National Academy of Sciences</w:t>
      </w:r>
      <w:r>
        <w:rPr>
          <w:color w:val="000000"/>
        </w:rPr>
        <w:t>, </w:t>
      </w:r>
      <w:r>
        <w:rPr>
          <w:i/>
          <w:color w:val="000000"/>
        </w:rPr>
        <w:t>116</w:t>
      </w:r>
      <w:r>
        <w:rPr>
          <w:color w:val="000000"/>
        </w:rPr>
        <w:t>(48), 24268-24274.</w:t>
      </w:r>
    </w:p>
    <w:p w14:paraId="46A40458" w14:textId="77777777" w:rsidR="00BA4AF1" w:rsidRDefault="00EB64D7">
      <w:pPr>
        <w:rPr>
          <w:color w:val="000000"/>
        </w:rPr>
      </w:pPr>
      <w:r>
        <w:rPr>
          <w:color w:val="000000"/>
        </w:rPr>
        <w:lastRenderedPageBreak/>
        <w:t>Karthikeyan, S., Levy, J. I., De Hoff, P., Humphrey, G., Birmingham, A., Jepsen, K., ... &amp; Kn</w:t>
      </w:r>
      <w:r>
        <w:rPr>
          <w:color w:val="000000"/>
        </w:rPr>
        <w:t>ight, R. (2022). Wastewater sequencing reveals early cryptic SARS-CoV-2 variant transmission. </w:t>
      </w:r>
      <w:r>
        <w:rPr>
          <w:i/>
          <w:color w:val="000000"/>
        </w:rPr>
        <w:t>Nature</w:t>
      </w:r>
      <w:r>
        <w:rPr>
          <w:color w:val="000000"/>
        </w:rPr>
        <w:t>, </w:t>
      </w:r>
      <w:r>
        <w:rPr>
          <w:i/>
          <w:color w:val="000000"/>
        </w:rPr>
        <w:t>609</w:t>
      </w:r>
      <w:r>
        <w:rPr>
          <w:color w:val="000000"/>
        </w:rPr>
        <w:t>(7925), 101-108.</w:t>
      </w:r>
    </w:p>
    <w:p w14:paraId="1D477DA9" w14:textId="77777777" w:rsidR="00BA4AF1" w:rsidRDefault="00EB64D7">
      <w:pPr>
        <w:rPr>
          <w:color w:val="000000"/>
        </w:rPr>
      </w:pPr>
      <w:r>
        <w:rPr>
          <w:color w:val="000000"/>
        </w:rPr>
        <w:t>Kogan, N. E., Clemente, L., Liautaud, P., Kaashoek, J., Link, N. B., Nguyen, A. T., ... &amp; Santillana, M. (2021). An early warning appr</w:t>
      </w:r>
      <w:r>
        <w:rPr>
          <w:color w:val="000000"/>
        </w:rPr>
        <w:t>oach to monitor COVID-19 activity with multiple digital traces in near real time. </w:t>
      </w:r>
      <w:r>
        <w:rPr>
          <w:i/>
          <w:color w:val="000000"/>
        </w:rPr>
        <w:t>Science advances</w:t>
      </w:r>
      <w:r>
        <w:rPr>
          <w:color w:val="000000"/>
        </w:rPr>
        <w:t>, </w:t>
      </w:r>
      <w:r>
        <w:rPr>
          <w:i/>
          <w:color w:val="000000"/>
        </w:rPr>
        <w:t>7</w:t>
      </w:r>
      <w:r>
        <w:rPr>
          <w:color w:val="000000"/>
        </w:rPr>
        <w:t>(10), eabd6989.</w:t>
      </w:r>
    </w:p>
    <w:p w14:paraId="5AAC8021" w14:textId="77777777" w:rsidR="00BA4AF1" w:rsidRDefault="00EB64D7">
      <w:pPr>
        <w:rPr>
          <w:color w:val="000000"/>
        </w:rPr>
      </w:pPr>
      <w:proofErr w:type="spellStart"/>
      <w:r>
        <w:rPr>
          <w:color w:val="000000"/>
        </w:rPr>
        <w:t>Kostandova</w:t>
      </w:r>
      <w:proofErr w:type="spellEnd"/>
      <w:r>
        <w:rPr>
          <w:color w:val="000000"/>
        </w:rPr>
        <w:t xml:space="preserve">, N., </w:t>
      </w:r>
      <w:proofErr w:type="spellStart"/>
      <w:r>
        <w:rPr>
          <w:color w:val="000000"/>
        </w:rPr>
        <w:t>Schluth</w:t>
      </w:r>
      <w:proofErr w:type="spellEnd"/>
      <w:r>
        <w:rPr>
          <w:color w:val="000000"/>
        </w:rPr>
        <w:t xml:space="preserve">, C., </w:t>
      </w:r>
      <w:proofErr w:type="spellStart"/>
      <w:r>
        <w:rPr>
          <w:color w:val="000000"/>
        </w:rPr>
        <w:t>Arambepola</w:t>
      </w:r>
      <w:proofErr w:type="spellEnd"/>
      <w:r>
        <w:rPr>
          <w:color w:val="000000"/>
        </w:rPr>
        <w:t xml:space="preserve">, R., Atuhaire, F., Bérubé, S., Chin, T., ... &amp; Wesolowski, A. (2024). A systematic review of using </w:t>
      </w:r>
      <w:r>
        <w:rPr>
          <w:color w:val="000000"/>
        </w:rPr>
        <w:t>population-level human mobility data to understand SARS-CoV-2 transmission. </w:t>
      </w:r>
      <w:r>
        <w:rPr>
          <w:i/>
          <w:color w:val="000000"/>
        </w:rPr>
        <w:t>Nature communications</w:t>
      </w:r>
      <w:r>
        <w:rPr>
          <w:color w:val="000000"/>
        </w:rPr>
        <w:t>, </w:t>
      </w:r>
      <w:r>
        <w:rPr>
          <w:i/>
          <w:color w:val="000000"/>
        </w:rPr>
        <w:t>15</w:t>
      </w:r>
      <w:r>
        <w:rPr>
          <w:color w:val="000000"/>
        </w:rPr>
        <w:t>(1), 10504.</w:t>
      </w:r>
    </w:p>
    <w:p w14:paraId="26BC539F" w14:textId="77777777" w:rsidR="00BA4AF1" w:rsidRDefault="00EB64D7">
      <w:pPr>
        <w:rPr>
          <w:color w:val="000000"/>
        </w:rPr>
      </w:pPr>
      <w:r>
        <w:rPr>
          <w:color w:val="000000"/>
        </w:rPr>
        <w:t>Kucharski, A. J., Klepac, P., Conlan, A. J., Kissler, S. M., Tang, M. L., Fry, H., ... &amp; Simons, D. (2020). Effectiveness of isolation, testing</w:t>
      </w:r>
      <w:r>
        <w:rPr>
          <w:color w:val="000000"/>
        </w:rPr>
        <w:t>, contact tracing, and physical distancing on reducing transmission of SARS-CoV-2 in different settings: a mathematical modelling study. </w:t>
      </w:r>
      <w:r>
        <w:rPr>
          <w:i/>
          <w:color w:val="000000"/>
        </w:rPr>
        <w:t>The Lancet infectious diseases</w:t>
      </w:r>
      <w:r>
        <w:rPr>
          <w:color w:val="000000"/>
        </w:rPr>
        <w:t>, </w:t>
      </w:r>
      <w:r>
        <w:rPr>
          <w:i/>
          <w:color w:val="000000"/>
        </w:rPr>
        <w:t>20</w:t>
      </w:r>
      <w:r>
        <w:rPr>
          <w:color w:val="000000"/>
        </w:rPr>
        <w:t>(10), 1151-1160.</w:t>
      </w:r>
    </w:p>
    <w:p w14:paraId="21E0C83D" w14:textId="77777777" w:rsidR="00BA4AF1" w:rsidRDefault="00EB64D7">
      <w:pPr>
        <w:rPr>
          <w:color w:val="000000"/>
        </w:rPr>
      </w:pPr>
      <w:r>
        <w:rPr>
          <w:color w:val="000000"/>
        </w:rPr>
        <w:t>Lu, F. S., Hattab, M. W., Clemente, C. L., Biggerstaff, M., &amp; Santil</w:t>
      </w:r>
      <w:r>
        <w:rPr>
          <w:color w:val="000000"/>
        </w:rPr>
        <w:t>lana, M. (2019). Improved state-level influenza nowcasting in the United States leveraging Internet-based data and network approaches. </w:t>
      </w:r>
      <w:r>
        <w:rPr>
          <w:i/>
          <w:color w:val="000000"/>
        </w:rPr>
        <w:t>Nature communications</w:t>
      </w:r>
      <w:r>
        <w:rPr>
          <w:color w:val="000000"/>
        </w:rPr>
        <w:t>, </w:t>
      </w:r>
      <w:r>
        <w:rPr>
          <w:i/>
          <w:color w:val="000000"/>
        </w:rPr>
        <w:t>10</w:t>
      </w:r>
      <w:r>
        <w:rPr>
          <w:color w:val="000000"/>
        </w:rPr>
        <w:t>(1), 147.</w:t>
      </w:r>
    </w:p>
    <w:p w14:paraId="476E9EF5" w14:textId="77777777" w:rsidR="00BA4AF1" w:rsidRDefault="00EB64D7">
      <w:pPr>
        <w:rPr>
          <w:color w:val="000000"/>
        </w:rPr>
      </w:pPr>
      <w:r>
        <w:rPr>
          <w:color w:val="000000"/>
        </w:rPr>
        <w:t>Lu, F. S., Hou, S., Baltrusaitis, K., Shah, M., Leskovec, J., Hawkins, J., ... &amp; Santi</w:t>
      </w:r>
      <w:r>
        <w:rPr>
          <w:color w:val="000000"/>
        </w:rPr>
        <w:t>llana, M. (2018). Accurate influenza monitoring and forecasting using novel internet data streams: a case study in the Boston Metropolis. </w:t>
      </w:r>
      <w:r>
        <w:rPr>
          <w:i/>
          <w:color w:val="000000"/>
        </w:rPr>
        <w:t>JMIR public health and surveillance</w:t>
      </w:r>
      <w:r>
        <w:rPr>
          <w:color w:val="000000"/>
        </w:rPr>
        <w:t>, </w:t>
      </w:r>
      <w:r>
        <w:rPr>
          <w:i/>
          <w:color w:val="000000"/>
        </w:rPr>
        <w:t>4</w:t>
      </w:r>
      <w:r>
        <w:rPr>
          <w:color w:val="000000"/>
        </w:rPr>
        <w:t>(1), e8950.</w:t>
      </w:r>
    </w:p>
    <w:p w14:paraId="79D4EBD3" w14:textId="77777777" w:rsidR="00BA4AF1" w:rsidRDefault="00EB64D7">
      <w:pPr>
        <w:rPr>
          <w:color w:val="000000"/>
        </w:rPr>
      </w:pPr>
      <w:r>
        <w:rPr>
          <w:color w:val="000000"/>
        </w:rPr>
        <w:t xml:space="preserve">Lutz, C. S., Huynh, M. P., Schroeder, M., </w:t>
      </w:r>
      <w:proofErr w:type="spellStart"/>
      <w:r>
        <w:rPr>
          <w:color w:val="000000"/>
        </w:rPr>
        <w:t>Anyatonwu</w:t>
      </w:r>
      <w:proofErr w:type="spellEnd"/>
      <w:r>
        <w:rPr>
          <w:color w:val="000000"/>
        </w:rPr>
        <w:t>, S., Dahlgren, F</w:t>
      </w:r>
      <w:r>
        <w:rPr>
          <w:color w:val="000000"/>
        </w:rPr>
        <w:t>. S., Danyluk, G., ... &amp; Biggerstaff, M. (2019). Applying infectious disease forecasting to public health: a path forward using influenza forecasting examples. </w:t>
      </w:r>
      <w:r>
        <w:rPr>
          <w:i/>
          <w:color w:val="000000"/>
        </w:rPr>
        <w:t>BMC Public Health</w:t>
      </w:r>
      <w:r>
        <w:rPr>
          <w:color w:val="000000"/>
        </w:rPr>
        <w:t>, </w:t>
      </w:r>
      <w:r>
        <w:rPr>
          <w:i/>
          <w:color w:val="000000"/>
        </w:rPr>
        <w:t>19</w:t>
      </w:r>
      <w:r>
        <w:rPr>
          <w:color w:val="000000"/>
        </w:rPr>
        <w:t>(1), 1659.</w:t>
      </w:r>
    </w:p>
    <w:p w14:paraId="78680126" w14:textId="77777777" w:rsidR="00BA4AF1" w:rsidRDefault="00EB64D7">
      <w:pPr>
        <w:rPr>
          <w:color w:val="000000"/>
        </w:rPr>
      </w:pPr>
      <w:r>
        <w:rPr>
          <w:color w:val="000000"/>
        </w:rPr>
        <w:t xml:space="preserve">Mackey, T., Purushothaman, V., Li, J., Shah, N., Nali, M., Bardier, C., ... &amp; Cuomo, R. (2020). Machine learning to detect self-reporting of symptoms, testing access, and recovery associated with COVID-19 on Twitter: retrospective big data </w:t>
      </w:r>
      <w:proofErr w:type="spellStart"/>
      <w:r>
        <w:rPr>
          <w:color w:val="000000"/>
        </w:rPr>
        <w:t>infoveillance</w:t>
      </w:r>
      <w:proofErr w:type="spellEnd"/>
      <w:r>
        <w:rPr>
          <w:color w:val="000000"/>
        </w:rPr>
        <w:t xml:space="preserve"> st</w:t>
      </w:r>
      <w:r>
        <w:rPr>
          <w:color w:val="000000"/>
        </w:rPr>
        <w:t>udy. </w:t>
      </w:r>
      <w:r>
        <w:rPr>
          <w:i/>
          <w:color w:val="000000"/>
        </w:rPr>
        <w:t>JMIR public health and surveillance</w:t>
      </w:r>
      <w:r>
        <w:rPr>
          <w:color w:val="000000"/>
        </w:rPr>
        <w:t>, </w:t>
      </w:r>
      <w:r>
        <w:rPr>
          <w:i/>
          <w:color w:val="000000"/>
        </w:rPr>
        <w:t>6</w:t>
      </w:r>
      <w:r>
        <w:rPr>
          <w:color w:val="000000"/>
        </w:rPr>
        <w:t>(2), e19509.</w:t>
      </w:r>
    </w:p>
    <w:p w14:paraId="4901069D" w14:textId="77777777" w:rsidR="00BA4AF1" w:rsidRDefault="00EB64D7">
      <w:pPr>
        <w:rPr>
          <w:color w:val="000000"/>
        </w:rPr>
      </w:pPr>
      <w:r>
        <w:rPr>
          <w:color w:val="000000"/>
        </w:rPr>
        <w:t xml:space="preserve">Mathis, S. M., Webber, A. E., León, T. M., Murray, E. L., Sun, M., White, L. A., ... &amp; </w:t>
      </w:r>
      <w:proofErr w:type="spellStart"/>
      <w:r>
        <w:rPr>
          <w:color w:val="000000"/>
        </w:rPr>
        <w:t>Borchering</w:t>
      </w:r>
      <w:proofErr w:type="spellEnd"/>
      <w:r>
        <w:rPr>
          <w:color w:val="000000"/>
        </w:rPr>
        <w:t xml:space="preserve">, R. K. (2024). Evaluation of </w:t>
      </w:r>
      <w:proofErr w:type="spellStart"/>
      <w:r>
        <w:rPr>
          <w:color w:val="000000"/>
        </w:rPr>
        <w:t>FluSight</w:t>
      </w:r>
      <w:proofErr w:type="spellEnd"/>
      <w:r>
        <w:rPr>
          <w:color w:val="000000"/>
        </w:rPr>
        <w:t xml:space="preserve"> influenza forecasting in the 2021–22 and 2022–23 seasons with a </w:t>
      </w:r>
      <w:r>
        <w:rPr>
          <w:color w:val="000000"/>
        </w:rPr>
        <w:t xml:space="preserve">new target laboratory-confirmed influenza </w:t>
      </w:r>
      <w:proofErr w:type="gramStart"/>
      <w:r>
        <w:rPr>
          <w:color w:val="000000"/>
        </w:rPr>
        <w:t>hospitalizations</w:t>
      </w:r>
      <w:proofErr w:type="gramEnd"/>
      <w:r>
        <w:rPr>
          <w:color w:val="000000"/>
        </w:rPr>
        <w:t>. </w:t>
      </w:r>
      <w:r>
        <w:rPr>
          <w:i/>
          <w:color w:val="000000"/>
        </w:rPr>
        <w:t>Nature communications</w:t>
      </w:r>
      <w:r>
        <w:rPr>
          <w:color w:val="000000"/>
        </w:rPr>
        <w:t>, </w:t>
      </w:r>
      <w:r>
        <w:rPr>
          <w:i/>
          <w:color w:val="000000"/>
        </w:rPr>
        <w:t>15</w:t>
      </w:r>
      <w:r>
        <w:rPr>
          <w:color w:val="000000"/>
        </w:rPr>
        <w:t>(1), 6289.</w:t>
      </w:r>
    </w:p>
    <w:p w14:paraId="47679FF5" w14:textId="77777777" w:rsidR="00BA4AF1" w:rsidRDefault="00EB64D7">
      <w:pPr>
        <w:rPr>
          <w:color w:val="000000"/>
        </w:rPr>
      </w:pPr>
      <w:r>
        <w:rPr>
          <w:color w:val="000000"/>
        </w:rPr>
        <w:t xml:space="preserve">Miller, A., Singh, I., Pilewski, S., Petrovic, V., &amp; </w:t>
      </w:r>
      <w:proofErr w:type="spellStart"/>
      <w:r>
        <w:rPr>
          <w:color w:val="000000"/>
        </w:rPr>
        <w:t>Polgreen</w:t>
      </w:r>
      <w:proofErr w:type="spellEnd"/>
      <w:r>
        <w:rPr>
          <w:color w:val="000000"/>
        </w:rPr>
        <w:t>, P. M. (2018, November). 691. Real-Time Local Influenza Forecasting Using Smartphone-Connected The</w:t>
      </w:r>
      <w:r>
        <w:rPr>
          <w:color w:val="000000"/>
        </w:rPr>
        <w:t>rmometer Readings. In </w:t>
      </w:r>
      <w:r>
        <w:rPr>
          <w:i/>
          <w:color w:val="000000"/>
        </w:rPr>
        <w:t>Open Forum Infectious Diseases</w:t>
      </w:r>
      <w:r>
        <w:rPr>
          <w:color w:val="000000"/>
        </w:rPr>
        <w:t> (Vol. 5, No. suppl_1, pp. S249-S249). US: Oxford University Press.</w:t>
      </w:r>
    </w:p>
    <w:p w14:paraId="6D705B8F" w14:textId="77777777" w:rsidR="00BA4AF1" w:rsidRDefault="00EB64D7">
      <w:pPr>
        <w:rPr>
          <w:color w:val="000000"/>
        </w:rPr>
      </w:pPr>
      <w:proofErr w:type="spellStart"/>
      <w:r>
        <w:rPr>
          <w:color w:val="000000"/>
        </w:rPr>
        <w:lastRenderedPageBreak/>
        <w:t>Morbey</w:t>
      </w:r>
      <w:proofErr w:type="spellEnd"/>
      <w:r>
        <w:rPr>
          <w:color w:val="000000"/>
        </w:rPr>
        <w:t xml:space="preserve">, R., Smith, G., Oliver, I., </w:t>
      </w:r>
      <w:proofErr w:type="spellStart"/>
      <w:r>
        <w:rPr>
          <w:color w:val="000000"/>
        </w:rPr>
        <w:t>Edeghere</w:t>
      </w:r>
      <w:proofErr w:type="spellEnd"/>
      <w:r>
        <w:rPr>
          <w:color w:val="000000"/>
        </w:rPr>
        <w:t>, O., Lake, I., Pebody, R., ... &amp; Elliot, A. J. (2021). Evaluating multi-purpose syndromic su</w:t>
      </w:r>
      <w:r>
        <w:rPr>
          <w:color w:val="000000"/>
        </w:rPr>
        <w:t>rveillance systems–a complex problem. </w:t>
      </w:r>
      <w:r>
        <w:rPr>
          <w:i/>
          <w:color w:val="000000"/>
        </w:rPr>
        <w:t>Online Journal of Public Health Informatics</w:t>
      </w:r>
      <w:r>
        <w:rPr>
          <w:color w:val="000000"/>
        </w:rPr>
        <w:t>, </w:t>
      </w:r>
      <w:r>
        <w:rPr>
          <w:i/>
          <w:color w:val="000000"/>
        </w:rPr>
        <w:t>13</w:t>
      </w:r>
      <w:r>
        <w:rPr>
          <w:color w:val="000000"/>
        </w:rPr>
        <w:t>(3), E15.</w:t>
      </w:r>
    </w:p>
    <w:p w14:paraId="0A7569D3" w14:textId="77777777" w:rsidR="00BA4AF1" w:rsidRDefault="00EB64D7">
      <w:pPr>
        <w:rPr>
          <w:color w:val="000000"/>
        </w:rPr>
      </w:pPr>
      <w:r>
        <w:rPr>
          <w:color w:val="000000"/>
        </w:rPr>
        <w:t xml:space="preserve">Nobles, M., Lall, R., Mathes, R. W., &amp; Neill, D. B. (2022). </w:t>
      </w:r>
      <w:proofErr w:type="spellStart"/>
      <w:r>
        <w:rPr>
          <w:color w:val="000000"/>
        </w:rPr>
        <w:t>Presyndromic</w:t>
      </w:r>
      <w:proofErr w:type="spellEnd"/>
      <w:r>
        <w:rPr>
          <w:color w:val="000000"/>
        </w:rPr>
        <w:t xml:space="preserve"> surveillance for improved detection of emerging public health threats. </w:t>
      </w:r>
      <w:r>
        <w:rPr>
          <w:i/>
          <w:color w:val="000000"/>
        </w:rPr>
        <w:t>Science Advances</w:t>
      </w:r>
      <w:r>
        <w:rPr>
          <w:color w:val="000000"/>
        </w:rPr>
        <w:t>,</w:t>
      </w:r>
      <w:r>
        <w:rPr>
          <w:color w:val="000000"/>
        </w:rPr>
        <w:t> </w:t>
      </w:r>
      <w:r>
        <w:rPr>
          <w:i/>
          <w:color w:val="000000"/>
        </w:rPr>
        <w:t>8</w:t>
      </w:r>
      <w:r>
        <w:rPr>
          <w:color w:val="000000"/>
        </w:rPr>
        <w:t>(44), eabm4920.</w:t>
      </w:r>
    </w:p>
    <w:p w14:paraId="55697448" w14:textId="77777777" w:rsidR="00BA4AF1" w:rsidRDefault="00EB64D7">
      <w:pPr>
        <w:rPr>
          <w:color w:val="000000"/>
        </w:rPr>
      </w:pPr>
      <w:r>
        <w:rPr>
          <w:color w:val="000000"/>
        </w:rPr>
        <w:t>Parkins, M. D., Lee, B. E., Acosta, N., Bautista, M., Hubert, C. R., Hrudey, S. E., ... &amp; Pang, X. L. (2024). Wastewater-based surveillance as a tool for public health action: SARS-CoV-2 and beyond. </w:t>
      </w:r>
      <w:r>
        <w:rPr>
          <w:i/>
          <w:color w:val="000000"/>
        </w:rPr>
        <w:t>Clinical microbiology reviews</w:t>
      </w:r>
      <w:r>
        <w:rPr>
          <w:color w:val="000000"/>
        </w:rPr>
        <w:t>, </w:t>
      </w:r>
      <w:r>
        <w:rPr>
          <w:i/>
          <w:color w:val="000000"/>
        </w:rPr>
        <w:t>37</w:t>
      </w:r>
      <w:r>
        <w:rPr>
          <w:color w:val="000000"/>
        </w:rPr>
        <w:t>(1), e</w:t>
      </w:r>
      <w:r>
        <w:rPr>
          <w:color w:val="000000"/>
        </w:rPr>
        <w:t>00103-22.</w:t>
      </w:r>
    </w:p>
    <w:p w14:paraId="499EC393" w14:textId="77777777" w:rsidR="00BA4AF1" w:rsidRDefault="00EB64D7">
      <w:pPr>
        <w:rPr>
          <w:color w:val="000000"/>
        </w:rPr>
      </w:pPr>
      <w:r>
        <w:rPr>
          <w:color w:val="000000"/>
        </w:rPr>
        <w:t>Pei, S., Kandula, S., Yang, W., &amp; Shaman, J. (2018). Forecasting the spatial transmission of influenza in the United States. </w:t>
      </w:r>
      <w:r>
        <w:rPr>
          <w:i/>
          <w:color w:val="000000"/>
        </w:rPr>
        <w:t>Proceedings of the National Academy of Sciences</w:t>
      </w:r>
      <w:r>
        <w:rPr>
          <w:color w:val="000000"/>
        </w:rPr>
        <w:t>, </w:t>
      </w:r>
      <w:r>
        <w:rPr>
          <w:i/>
          <w:color w:val="000000"/>
        </w:rPr>
        <w:t>115</w:t>
      </w:r>
      <w:r>
        <w:rPr>
          <w:color w:val="000000"/>
        </w:rPr>
        <w:t>(11), 2752-2757.</w:t>
      </w:r>
    </w:p>
    <w:p w14:paraId="6AC1BAF0" w14:textId="77777777" w:rsidR="00BA4AF1" w:rsidRDefault="00EB64D7">
      <w:pPr>
        <w:rPr>
          <w:color w:val="000000"/>
        </w:rPr>
      </w:pPr>
      <w:r>
        <w:rPr>
          <w:color w:val="000000"/>
        </w:rPr>
        <w:t xml:space="preserve">Radin, J. M., Wineinger, N. E., Topol, E. J., &amp; </w:t>
      </w:r>
      <w:proofErr w:type="spellStart"/>
      <w:r>
        <w:rPr>
          <w:color w:val="000000"/>
        </w:rPr>
        <w:t>Stei</w:t>
      </w:r>
      <w:r>
        <w:rPr>
          <w:color w:val="000000"/>
        </w:rPr>
        <w:t>nhubl</w:t>
      </w:r>
      <w:proofErr w:type="spellEnd"/>
      <w:r>
        <w:rPr>
          <w:color w:val="000000"/>
        </w:rPr>
        <w:t>, S. R. (2020). Harnessing wearable device data to improve state-level real-time surveillance of influenza-like illness in the USA: a population-based study. </w:t>
      </w:r>
      <w:r>
        <w:rPr>
          <w:i/>
          <w:color w:val="000000"/>
        </w:rPr>
        <w:t>The Lancet Digital Health</w:t>
      </w:r>
      <w:r>
        <w:rPr>
          <w:color w:val="000000"/>
        </w:rPr>
        <w:t>, </w:t>
      </w:r>
      <w:r>
        <w:rPr>
          <w:i/>
          <w:color w:val="000000"/>
        </w:rPr>
        <w:t>2</w:t>
      </w:r>
      <w:r>
        <w:rPr>
          <w:color w:val="000000"/>
        </w:rPr>
        <w:t>(2), e85-e93.</w:t>
      </w:r>
    </w:p>
    <w:p w14:paraId="252D6F8B" w14:textId="77777777" w:rsidR="00BA4AF1" w:rsidRDefault="00EB64D7">
      <w:pPr>
        <w:rPr>
          <w:color w:val="000000"/>
        </w:rPr>
      </w:pPr>
      <w:r>
        <w:rPr>
          <w:color w:val="000000"/>
        </w:rPr>
        <w:t>Reich, N. G., Brooks, L. C., Fox, S. J., Kandula, S</w:t>
      </w:r>
      <w:r>
        <w:rPr>
          <w:color w:val="000000"/>
        </w:rPr>
        <w:t xml:space="preserve">., McGowan, C. J., Moore, E., ... &amp; Shaman, J. (2019). A collaborative multiyear, </w:t>
      </w:r>
      <w:proofErr w:type="spellStart"/>
      <w:r>
        <w:rPr>
          <w:color w:val="000000"/>
        </w:rPr>
        <w:t>multimodel</w:t>
      </w:r>
      <w:proofErr w:type="spellEnd"/>
      <w:r>
        <w:rPr>
          <w:color w:val="000000"/>
        </w:rPr>
        <w:t xml:space="preserve"> assessment of seasonal influenza forecasting in the United States. </w:t>
      </w:r>
      <w:r>
        <w:rPr>
          <w:i/>
          <w:color w:val="000000"/>
        </w:rPr>
        <w:t>Proceedings of the National Academy of Sciences</w:t>
      </w:r>
      <w:r>
        <w:rPr>
          <w:color w:val="000000"/>
        </w:rPr>
        <w:t>, </w:t>
      </w:r>
      <w:r>
        <w:rPr>
          <w:i/>
          <w:color w:val="000000"/>
        </w:rPr>
        <w:t>116</w:t>
      </w:r>
      <w:r>
        <w:rPr>
          <w:color w:val="000000"/>
        </w:rPr>
        <w:t>(8), 3146-3154.</w:t>
      </w:r>
    </w:p>
    <w:p w14:paraId="5B1CDF9E" w14:textId="77777777" w:rsidR="00BA4AF1" w:rsidRDefault="00EB64D7">
      <w:pPr>
        <w:rPr>
          <w:color w:val="000000"/>
        </w:rPr>
      </w:pPr>
      <w:proofErr w:type="spellStart"/>
      <w:r>
        <w:rPr>
          <w:color w:val="000000"/>
        </w:rPr>
        <w:t>Salathé</w:t>
      </w:r>
      <w:proofErr w:type="spellEnd"/>
      <w:r>
        <w:rPr>
          <w:color w:val="000000"/>
        </w:rPr>
        <w:t xml:space="preserve">, M. (2018). Digital </w:t>
      </w:r>
      <w:r>
        <w:rPr>
          <w:color w:val="000000"/>
        </w:rPr>
        <w:t xml:space="preserve">epidemiology: what is it, and where is it </w:t>
      </w:r>
      <w:proofErr w:type="gramStart"/>
      <w:r>
        <w:rPr>
          <w:color w:val="000000"/>
        </w:rPr>
        <w:t>going?.</w:t>
      </w:r>
      <w:proofErr w:type="gramEnd"/>
      <w:r>
        <w:rPr>
          <w:color w:val="000000"/>
        </w:rPr>
        <w:t> </w:t>
      </w:r>
      <w:r>
        <w:rPr>
          <w:i/>
          <w:color w:val="000000"/>
        </w:rPr>
        <w:t>Life sciences, society and policy</w:t>
      </w:r>
      <w:r>
        <w:rPr>
          <w:color w:val="000000"/>
        </w:rPr>
        <w:t>, </w:t>
      </w:r>
      <w:r>
        <w:rPr>
          <w:i/>
          <w:color w:val="000000"/>
        </w:rPr>
        <w:t>14</w:t>
      </w:r>
      <w:r>
        <w:rPr>
          <w:color w:val="000000"/>
        </w:rPr>
        <w:t>(1), 1.</w:t>
      </w:r>
    </w:p>
    <w:p w14:paraId="7DBB8C1B" w14:textId="77777777" w:rsidR="00BA4AF1" w:rsidRDefault="00EB64D7">
      <w:pPr>
        <w:rPr>
          <w:color w:val="000000"/>
        </w:rPr>
      </w:pPr>
      <w:r>
        <w:rPr>
          <w:color w:val="000000"/>
        </w:rPr>
        <w:t>Santillana, M., Nguyen, A. T., Louie, T., Zink, A., Gray, J., Sung, I., &amp; Brownstein, J. S. (2016). Cloud-based electronic health records for real-time, region-s</w:t>
      </w:r>
      <w:r>
        <w:rPr>
          <w:color w:val="000000"/>
        </w:rPr>
        <w:t>pecific influenza surveillance. </w:t>
      </w:r>
      <w:r>
        <w:rPr>
          <w:i/>
          <w:color w:val="000000"/>
        </w:rPr>
        <w:t>Scientific reports</w:t>
      </w:r>
      <w:r>
        <w:rPr>
          <w:color w:val="000000"/>
        </w:rPr>
        <w:t>, </w:t>
      </w:r>
      <w:r>
        <w:rPr>
          <w:i/>
          <w:color w:val="000000"/>
        </w:rPr>
        <w:t>6</w:t>
      </w:r>
      <w:r>
        <w:rPr>
          <w:color w:val="000000"/>
        </w:rPr>
        <w:t>(1), 25732.</w:t>
      </w:r>
    </w:p>
    <w:p w14:paraId="1EFAF49A" w14:textId="77777777" w:rsidR="00BA4AF1" w:rsidRDefault="00EB64D7">
      <w:pPr>
        <w:rPr>
          <w:color w:val="000000"/>
        </w:rPr>
      </w:pPr>
      <w:proofErr w:type="spellStart"/>
      <w:r>
        <w:rPr>
          <w:color w:val="000000"/>
        </w:rPr>
        <w:t>Sapoval</w:t>
      </w:r>
      <w:proofErr w:type="spellEnd"/>
      <w:r>
        <w:rPr>
          <w:color w:val="000000"/>
        </w:rPr>
        <w:t xml:space="preserve">, N., Liu, Y., Lou, E. G., Hopkins, L., Ensor, K. B., Schneider, R., ... &amp; </w:t>
      </w:r>
      <w:proofErr w:type="spellStart"/>
      <w:r>
        <w:rPr>
          <w:color w:val="000000"/>
        </w:rPr>
        <w:t>Treangen</w:t>
      </w:r>
      <w:proofErr w:type="spellEnd"/>
      <w:r>
        <w:rPr>
          <w:color w:val="000000"/>
        </w:rPr>
        <w:t>, T. J. (2023). Enabling accurate and early detection of recently emerged SARS-CoV-2 variants of conc</w:t>
      </w:r>
      <w:r>
        <w:rPr>
          <w:color w:val="000000"/>
        </w:rPr>
        <w:t>ern in wastewater. </w:t>
      </w:r>
      <w:r>
        <w:rPr>
          <w:i/>
          <w:color w:val="000000"/>
        </w:rPr>
        <w:t>Nature Communications</w:t>
      </w:r>
      <w:r>
        <w:rPr>
          <w:color w:val="000000"/>
        </w:rPr>
        <w:t>, </w:t>
      </w:r>
      <w:r>
        <w:rPr>
          <w:i/>
          <w:color w:val="000000"/>
        </w:rPr>
        <w:t>14</w:t>
      </w:r>
      <w:r>
        <w:rPr>
          <w:color w:val="000000"/>
        </w:rPr>
        <w:t>(1), 2834.</w:t>
      </w:r>
    </w:p>
    <w:p w14:paraId="1C86771D" w14:textId="77777777" w:rsidR="00BA4AF1" w:rsidRDefault="00EB64D7">
      <w:pPr>
        <w:rPr>
          <w:color w:val="000000"/>
        </w:rPr>
      </w:pPr>
      <w:proofErr w:type="spellStart"/>
      <w:r>
        <w:rPr>
          <w:color w:val="000000"/>
        </w:rPr>
        <w:t>Stolerman</w:t>
      </w:r>
      <w:proofErr w:type="spellEnd"/>
      <w:r>
        <w:rPr>
          <w:color w:val="000000"/>
        </w:rPr>
        <w:t>, L. M., Clemente, L., Poirier, C., Parag, K. V., Majumder, A., Masyn, S., ... &amp; Santillana, M. (2023). Using digital traces to build prospective and real-time county-level early warning syste</w:t>
      </w:r>
      <w:r>
        <w:rPr>
          <w:color w:val="000000"/>
        </w:rPr>
        <w:t>ms to anticipate COVID-19 outbreaks in the United States. </w:t>
      </w:r>
      <w:r>
        <w:rPr>
          <w:i/>
          <w:color w:val="000000"/>
        </w:rPr>
        <w:t>Science Advances</w:t>
      </w:r>
      <w:r>
        <w:rPr>
          <w:color w:val="000000"/>
        </w:rPr>
        <w:t>, </w:t>
      </w:r>
      <w:r>
        <w:rPr>
          <w:i/>
          <w:color w:val="000000"/>
        </w:rPr>
        <w:t>9</w:t>
      </w:r>
      <w:r>
        <w:rPr>
          <w:color w:val="000000"/>
        </w:rPr>
        <w:t>(3), eabq0199.</w:t>
      </w:r>
    </w:p>
    <w:p w14:paraId="6D944BBB" w14:textId="77777777" w:rsidR="00BA4AF1" w:rsidRDefault="00EB64D7">
      <w:pPr>
        <w:rPr>
          <w:color w:val="000000"/>
        </w:rPr>
      </w:pPr>
      <w:proofErr w:type="spellStart"/>
      <w:r>
        <w:rPr>
          <w:color w:val="000000"/>
        </w:rPr>
        <w:t>Turakhia</w:t>
      </w:r>
      <w:proofErr w:type="spellEnd"/>
      <w:r>
        <w:rPr>
          <w:color w:val="000000"/>
        </w:rPr>
        <w:t xml:space="preserve">, Y., </w:t>
      </w:r>
      <w:proofErr w:type="spellStart"/>
      <w:r>
        <w:rPr>
          <w:color w:val="000000"/>
        </w:rPr>
        <w:t>Thornlow</w:t>
      </w:r>
      <w:proofErr w:type="spellEnd"/>
      <w:r>
        <w:rPr>
          <w:color w:val="000000"/>
        </w:rPr>
        <w:t xml:space="preserve">, B., Hinrichs, A. S., De Maio, N., </w:t>
      </w:r>
      <w:proofErr w:type="spellStart"/>
      <w:r>
        <w:rPr>
          <w:color w:val="000000"/>
        </w:rPr>
        <w:t>Gozashti</w:t>
      </w:r>
      <w:proofErr w:type="spellEnd"/>
      <w:r>
        <w:rPr>
          <w:color w:val="000000"/>
        </w:rPr>
        <w:t>, L., Lanfear, R., ... &amp; Corbett-</w:t>
      </w:r>
      <w:proofErr w:type="spellStart"/>
      <w:r>
        <w:rPr>
          <w:color w:val="000000"/>
        </w:rPr>
        <w:t>Detig</w:t>
      </w:r>
      <w:proofErr w:type="spellEnd"/>
      <w:r>
        <w:rPr>
          <w:color w:val="000000"/>
        </w:rPr>
        <w:t xml:space="preserve">, R. (2021). Ultrafast Sample placement on Existing </w:t>
      </w:r>
      <w:proofErr w:type="spellStart"/>
      <w:r>
        <w:rPr>
          <w:color w:val="000000"/>
        </w:rPr>
        <w:t>tRees</w:t>
      </w:r>
      <w:proofErr w:type="spellEnd"/>
      <w:r>
        <w:rPr>
          <w:color w:val="000000"/>
        </w:rPr>
        <w:t xml:space="preserve"> (</w:t>
      </w:r>
      <w:proofErr w:type="spellStart"/>
      <w:r>
        <w:rPr>
          <w:color w:val="000000"/>
        </w:rPr>
        <w:t>U</w:t>
      </w:r>
      <w:r>
        <w:rPr>
          <w:color w:val="000000"/>
        </w:rPr>
        <w:t>ShER</w:t>
      </w:r>
      <w:proofErr w:type="spellEnd"/>
      <w:r>
        <w:rPr>
          <w:color w:val="000000"/>
        </w:rPr>
        <w:t>) enables real-time phylogenetics for the SARS-CoV-2 pandemic. </w:t>
      </w:r>
      <w:r>
        <w:rPr>
          <w:i/>
          <w:color w:val="000000"/>
        </w:rPr>
        <w:t>Nature genetics</w:t>
      </w:r>
      <w:r>
        <w:rPr>
          <w:color w:val="000000"/>
        </w:rPr>
        <w:t>, </w:t>
      </w:r>
      <w:r>
        <w:rPr>
          <w:i/>
          <w:color w:val="000000"/>
        </w:rPr>
        <w:t>53</w:t>
      </w:r>
      <w:r>
        <w:rPr>
          <w:color w:val="000000"/>
        </w:rPr>
        <w:t>(6), 809-816.</w:t>
      </w:r>
    </w:p>
    <w:p w14:paraId="6D2A279D" w14:textId="77777777" w:rsidR="00BA4AF1" w:rsidRDefault="00EB64D7">
      <w:pPr>
        <w:rPr>
          <w:color w:val="000000"/>
        </w:rPr>
      </w:pPr>
      <w:r>
        <w:rPr>
          <w:color w:val="000000"/>
        </w:rPr>
        <w:lastRenderedPageBreak/>
        <w:t>Vo, V., Tillett, R. L., Papp, K., Chang, C. L., Harrington, A., Moshi, M., ... &amp; Gerrity, D. (2023). Detection of the Omicron BA. 1 variant of SARS-CoV-2 in</w:t>
      </w:r>
      <w:r>
        <w:rPr>
          <w:color w:val="000000"/>
        </w:rPr>
        <w:t xml:space="preserve"> wastewater from a Las Vegas tourist area. </w:t>
      </w:r>
      <w:r>
        <w:rPr>
          <w:i/>
          <w:color w:val="000000"/>
        </w:rPr>
        <w:t>JAMA Network Open</w:t>
      </w:r>
      <w:r>
        <w:rPr>
          <w:color w:val="000000"/>
        </w:rPr>
        <w:t>, </w:t>
      </w:r>
      <w:r>
        <w:rPr>
          <w:i/>
          <w:color w:val="000000"/>
        </w:rPr>
        <w:t>6</w:t>
      </w:r>
      <w:r>
        <w:rPr>
          <w:color w:val="000000"/>
        </w:rPr>
        <w:t>(2), e230550-e230550.</w:t>
      </w:r>
    </w:p>
    <w:p w14:paraId="053E946C" w14:textId="77777777" w:rsidR="00BA4AF1" w:rsidRDefault="00EB64D7">
      <w:pPr>
        <w:rPr>
          <w:color w:val="000000"/>
        </w:rPr>
      </w:pPr>
      <w:r>
        <w:rPr>
          <w:color w:val="000000"/>
        </w:rPr>
        <w:t xml:space="preserve">Wang, H., Alanis, N., Haygood, L., Swoboda, T. K., Hoot, N., Phillips, D., ... &amp; </w:t>
      </w:r>
      <w:proofErr w:type="spellStart"/>
      <w:r>
        <w:rPr>
          <w:color w:val="000000"/>
        </w:rPr>
        <w:t>Sambamoorthi</w:t>
      </w:r>
      <w:proofErr w:type="spellEnd"/>
      <w:r>
        <w:rPr>
          <w:color w:val="000000"/>
        </w:rPr>
        <w:t>, U. (2024). Using natural language processing in emergency medicine health se</w:t>
      </w:r>
      <w:r>
        <w:rPr>
          <w:color w:val="000000"/>
        </w:rPr>
        <w:t>rvice research: a systematic review and meta‐analysis. </w:t>
      </w:r>
      <w:r>
        <w:rPr>
          <w:i/>
          <w:color w:val="000000"/>
        </w:rPr>
        <w:t>Academic Emergency Medicine</w:t>
      </w:r>
      <w:r>
        <w:rPr>
          <w:color w:val="000000"/>
        </w:rPr>
        <w:t>, </w:t>
      </w:r>
      <w:r>
        <w:rPr>
          <w:i/>
          <w:color w:val="000000"/>
        </w:rPr>
        <w:t>31</w:t>
      </w:r>
      <w:r>
        <w:rPr>
          <w:color w:val="000000"/>
        </w:rPr>
        <w:t>(7), 696-706.</w:t>
      </w:r>
    </w:p>
    <w:p w14:paraId="4CD09361" w14:textId="77777777" w:rsidR="00BA4AF1" w:rsidRDefault="00EB64D7">
      <w:pPr>
        <w:rPr>
          <w:color w:val="000000"/>
        </w:rPr>
      </w:pPr>
      <w:r>
        <w:rPr>
          <w:color w:val="000000"/>
        </w:rPr>
        <w:t xml:space="preserve">Wu, J. T., Leung, K., Lam, T. T., Ni, M. Y., Wong, C. K., Peiris, J. M., &amp; Leung, G. M. (2021). Nowcasting epidemics of novel pathogens: lessons from </w:t>
      </w:r>
      <w:r>
        <w:rPr>
          <w:color w:val="000000"/>
        </w:rPr>
        <w:t>COVID-19. </w:t>
      </w:r>
      <w:r>
        <w:rPr>
          <w:i/>
          <w:color w:val="000000"/>
        </w:rPr>
        <w:t>Nature medicine</w:t>
      </w:r>
      <w:r>
        <w:rPr>
          <w:color w:val="000000"/>
        </w:rPr>
        <w:t>, </w:t>
      </w:r>
      <w:r>
        <w:rPr>
          <w:i/>
          <w:color w:val="000000"/>
        </w:rPr>
        <w:t>27</w:t>
      </w:r>
      <w:r>
        <w:rPr>
          <w:color w:val="000000"/>
        </w:rPr>
        <w:t>(3), 388-395.</w:t>
      </w:r>
    </w:p>
    <w:p w14:paraId="78B2C727" w14:textId="77777777" w:rsidR="00BA4AF1" w:rsidRDefault="00EB64D7">
      <w:pPr>
        <w:rPr>
          <w:color w:val="000000"/>
        </w:rPr>
      </w:pPr>
      <w:r>
        <w:rPr>
          <w:color w:val="000000"/>
        </w:rPr>
        <w:t>Yang, S., Santillana, M., &amp; Kou, S. C. (2015). Accurate estimation of influenza epidemics using Google search data via ARGO. </w:t>
      </w:r>
      <w:r>
        <w:rPr>
          <w:i/>
          <w:color w:val="000000"/>
        </w:rPr>
        <w:t>Proceedings of the National Academy of Sciences</w:t>
      </w:r>
      <w:r>
        <w:rPr>
          <w:color w:val="000000"/>
        </w:rPr>
        <w:t>, </w:t>
      </w:r>
      <w:r>
        <w:rPr>
          <w:i/>
          <w:color w:val="000000"/>
        </w:rPr>
        <w:t>112</w:t>
      </w:r>
      <w:r>
        <w:rPr>
          <w:color w:val="000000"/>
        </w:rPr>
        <w:t>(47), 14473-14478.</w:t>
      </w:r>
    </w:p>
    <w:p w14:paraId="7D8F17FA" w14:textId="77777777" w:rsidR="00BA4AF1" w:rsidRDefault="00EB64D7">
      <w:pPr>
        <w:rPr>
          <w:color w:val="000000"/>
        </w:rPr>
      </w:pPr>
      <w:r>
        <w:rPr>
          <w:color w:val="000000"/>
        </w:rPr>
        <w:t xml:space="preserve">Yeng, P. K., </w:t>
      </w:r>
      <w:proofErr w:type="spellStart"/>
      <w:r>
        <w:rPr>
          <w:color w:val="000000"/>
        </w:rPr>
        <w:t>Wold</w:t>
      </w:r>
      <w:r>
        <w:rPr>
          <w:color w:val="000000"/>
        </w:rPr>
        <w:t>aregay</w:t>
      </w:r>
      <w:proofErr w:type="spellEnd"/>
      <w:r>
        <w:rPr>
          <w:color w:val="000000"/>
        </w:rPr>
        <w:t>, A. Z., Solvoll, T., &amp; Hartvigsen, G. (2020). Cluster detection mechanisms for syndromic surveillance systems: systematic review and framework development. </w:t>
      </w:r>
      <w:r>
        <w:rPr>
          <w:i/>
          <w:color w:val="000000"/>
        </w:rPr>
        <w:t>JMIR Public Health and Surveillance</w:t>
      </w:r>
      <w:r>
        <w:rPr>
          <w:color w:val="000000"/>
        </w:rPr>
        <w:t>, </w:t>
      </w:r>
      <w:r>
        <w:rPr>
          <w:i/>
          <w:color w:val="000000"/>
        </w:rPr>
        <w:t>6</w:t>
      </w:r>
      <w:r>
        <w:rPr>
          <w:color w:val="000000"/>
        </w:rPr>
        <w:t>(2), e11512.</w:t>
      </w:r>
    </w:p>
    <w:p w14:paraId="7597D8EA" w14:textId="77777777" w:rsidR="00BA4AF1" w:rsidRDefault="00EB64D7">
      <w:pPr>
        <w:rPr>
          <w:color w:val="000000"/>
        </w:rPr>
      </w:pPr>
      <w:r>
        <w:rPr>
          <w:color w:val="000000"/>
        </w:rPr>
        <w:t>Zhang, Y., Chen, K., Weng, Y., Chen, Z., Z</w:t>
      </w:r>
      <w:r>
        <w:rPr>
          <w:color w:val="000000"/>
        </w:rPr>
        <w:t>hang, J., &amp; Hubbard, R. (2022). An intelligent early warning system of analyzing Twitter data using machine learning on COVID-19 surveillance in the US. </w:t>
      </w:r>
      <w:r>
        <w:rPr>
          <w:i/>
          <w:color w:val="000000"/>
        </w:rPr>
        <w:t>Expert systems with applications</w:t>
      </w:r>
      <w:r>
        <w:rPr>
          <w:color w:val="000000"/>
        </w:rPr>
        <w:t>, </w:t>
      </w:r>
      <w:r>
        <w:rPr>
          <w:i/>
          <w:color w:val="000000"/>
        </w:rPr>
        <w:t>198</w:t>
      </w:r>
      <w:r>
        <w:rPr>
          <w:color w:val="000000"/>
        </w:rPr>
        <w:t>, 116882.</w:t>
      </w:r>
    </w:p>
    <w:p w14:paraId="5D697607" w14:textId="77777777" w:rsidR="00BA4AF1" w:rsidRDefault="00BA4AF1">
      <w:pPr>
        <w:rPr>
          <w:color w:val="000000"/>
        </w:rPr>
      </w:pPr>
    </w:p>
    <w:p w14:paraId="31E1CF79" w14:textId="77777777" w:rsidR="00BA4AF1" w:rsidRDefault="00BA4AF1">
      <w:pPr>
        <w:rPr>
          <w:color w:val="000000"/>
        </w:rPr>
      </w:pPr>
    </w:p>
    <w:p w14:paraId="3EE12222" w14:textId="77777777" w:rsidR="00BA4AF1" w:rsidRDefault="00BA4AF1">
      <w:pPr>
        <w:rPr>
          <w:color w:val="000000"/>
        </w:rPr>
      </w:pPr>
    </w:p>
    <w:p w14:paraId="5DE74FA3" w14:textId="77777777" w:rsidR="00BA4AF1" w:rsidRDefault="00BA4AF1">
      <w:pPr>
        <w:jc w:val="both"/>
        <w:rPr>
          <w:rFonts w:ascii="Times New Roman" w:eastAsia="Times New Roman" w:hAnsi="Times New Roman" w:cs="Times New Roman"/>
        </w:rPr>
      </w:pPr>
    </w:p>
    <w:p w14:paraId="0DE6FF87" w14:textId="77777777" w:rsidR="00BA4AF1" w:rsidRDefault="00BA4AF1">
      <w:pPr>
        <w:jc w:val="both"/>
        <w:rPr>
          <w:rFonts w:ascii="Times New Roman" w:eastAsia="Times New Roman" w:hAnsi="Times New Roman" w:cs="Times New Roman"/>
        </w:rPr>
      </w:pPr>
    </w:p>
    <w:p w14:paraId="71E59350" w14:textId="77777777" w:rsidR="00BA4AF1" w:rsidRDefault="00BA4AF1">
      <w:pPr>
        <w:jc w:val="both"/>
        <w:rPr>
          <w:rFonts w:ascii="Times New Roman" w:eastAsia="Times New Roman" w:hAnsi="Times New Roman" w:cs="Times New Roman"/>
        </w:rPr>
      </w:pPr>
    </w:p>
    <w:p w14:paraId="0F5169E3" w14:textId="77777777" w:rsidR="00BA4AF1" w:rsidRDefault="00BA4AF1">
      <w:pPr>
        <w:jc w:val="both"/>
        <w:rPr>
          <w:rFonts w:ascii="Times New Roman" w:eastAsia="Times New Roman" w:hAnsi="Times New Roman" w:cs="Times New Roman"/>
        </w:rPr>
      </w:pPr>
    </w:p>
    <w:p w14:paraId="4157ECD3" w14:textId="77777777" w:rsidR="00BA4AF1" w:rsidRDefault="00BA4AF1">
      <w:pPr>
        <w:jc w:val="both"/>
        <w:rPr>
          <w:rFonts w:ascii="Times New Roman" w:eastAsia="Times New Roman" w:hAnsi="Times New Roman" w:cs="Times New Roman"/>
        </w:rPr>
      </w:pPr>
    </w:p>
    <w:sectPr w:rsidR="00BA4AF1">
      <w:pgSz w:w="12240" w:h="15840"/>
      <w:pgMar w:top="1797" w:right="1440" w:bottom="179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FB2D7" w14:textId="77777777" w:rsidR="00EB64D7" w:rsidRDefault="00EB64D7" w:rsidP="00F0103C">
      <w:pPr>
        <w:spacing w:after="0" w:line="240" w:lineRule="auto"/>
      </w:pPr>
      <w:r>
        <w:separator/>
      </w:r>
    </w:p>
  </w:endnote>
  <w:endnote w:type="continuationSeparator" w:id="0">
    <w:p w14:paraId="497BF965" w14:textId="77777777" w:rsidR="00EB64D7" w:rsidRDefault="00EB64D7" w:rsidP="00F01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ngsuh">
    <w:altName w:val="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A5B7D" w14:textId="77777777" w:rsidR="00F0103C" w:rsidRDefault="00F01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20B76" w14:textId="77777777" w:rsidR="00F0103C" w:rsidRDefault="00F010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72C7F" w14:textId="77777777" w:rsidR="00F0103C" w:rsidRDefault="00F01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E0705" w14:textId="77777777" w:rsidR="00EB64D7" w:rsidRDefault="00EB64D7" w:rsidP="00F0103C">
      <w:pPr>
        <w:spacing w:after="0" w:line="240" w:lineRule="auto"/>
      </w:pPr>
      <w:r>
        <w:separator/>
      </w:r>
    </w:p>
  </w:footnote>
  <w:footnote w:type="continuationSeparator" w:id="0">
    <w:p w14:paraId="2CC4E723" w14:textId="77777777" w:rsidR="00EB64D7" w:rsidRDefault="00EB64D7" w:rsidP="00F01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339A" w14:textId="2B0F41B6" w:rsidR="00F0103C" w:rsidRDefault="00F0103C">
    <w:pPr>
      <w:pStyle w:val="Header"/>
    </w:pPr>
    <w:r>
      <w:rPr>
        <w:noProof/>
      </w:rPr>
      <w:pict w14:anchorId="32380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264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5B336" w14:textId="6B021055" w:rsidR="00F0103C" w:rsidRDefault="00F0103C">
    <w:pPr>
      <w:pStyle w:val="Header"/>
    </w:pPr>
    <w:r>
      <w:rPr>
        <w:noProof/>
      </w:rPr>
      <w:pict w14:anchorId="145DB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264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4BC3A" w14:textId="1933B3FD" w:rsidR="00F0103C" w:rsidRDefault="00F0103C">
    <w:pPr>
      <w:pStyle w:val="Header"/>
    </w:pPr>
    <w:r>
      <w:rPr>
        <w:noProof/>
      </w:rPr>
      <w:pict w14:anchorId="76403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264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BB78FA"/>
    <w:multiLevelType w:val="multilevel"/>
    <w:tmpl w:val="B920A01C"/>
    <w:lvl w:ilvl="0">
      <w:start w:val="1"/>
      <w:numFmt w:val="lowerRoman"/>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7E918AF"/>
    <w:multiLevelType w:val="multilevel"/>
    <w:tmpl w:val="565EE286"/>
    <w:lvl w:ilvl="0">
      <w:start w:val="1"/>
      <w:numFmt w:val="decimal"/>
      <w:pStyle w:val="ListBullet"/>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F1"/>
    <w:rsid w:val="001A7E52"/>
    <w:rsid w:val="0024526E"/>
    <w:rsid w:val="00387870"/>
    <w:rsid w:val="0059279E"/>
    <w:rsid w:val="00783216"/>
    <w:rsid w:val="00885349"/>
    <w:rsid w:val="008E0D91"/>
    <w:rsid w:val="00BA4AF1"/>
    <w:rsid w:val="00E12DE9"/>
    <w:rsid w:val="00E50FE0"/>
    <w:rsid w:val="00E74912"/>
    <w:rsid w:val="00EB64D7"/>
    <w:rsid w:val="00F0103C"/>
    <w:rsid w:val="00F14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4F8CAD"/>
  <w15:docId w15:val="{355210AF-C21F-4530-AFAF-E0913615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4D7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4D79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79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79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79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79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7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9F6"/>
    <w:rPr>
      <w:rFonts w:eastAsiaTheme="majorEastAsia" w:cstheme="majorBidi"/>
      <w:color w:val="272727" w:themeColor="text1" w:themeTint="D8"/>
    </w:rPr>
  </w:style>
  <w:style w:type="character" w:customStyle="1" w:styleId="TitleChar">
    <w:name w:val="Title Char"/>
    <w:basedOn w:val="DefaultParagraphFont"/>
    <w:link w:val="Title"/>
    <w:uiPriority w:val="10"/>
    <w:rsid w:val="004D79F6"/>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4D7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9F6"/>
    <w:pPr>
      <w:spacing w:before="160"/>
      <w:jc w:val="center"/>
    </w:pPr>
    <w:rPr>
      <w:i/>
      <w:iCs/>
      <w:color w:val="404040" w:themeColor="text1" w:themeTint="BF"/>
    </w:rPr>
  </w:style>
  <w:style w:type="character" w:customStyle="1" w:styleId="QuoteChar">
    <w:name w:val="Quote Char"/>
    <w:basedOn w:val="DefaultParagraphFont"/>
    <w:link w:val="Quote"/>
    <w:uiPriority w:val="29"/>
    <w:rsid w:val="004D79F6"/>
    <w:rPr>
      <w:i/>
      <w:iCs/>
      <w:color w:val="404040" w:themeColor="text1" w:themeTint="BF"/>
    </w:rPr>
  </w:style>
  <w:style w:type="paragraph" w:styleId="ListParagraph">
    <w:name w:val="List Paragraph"/>
    <w:basedOn w:val="Normal"/>
    <w:uiPriority w:val="34"/>
    <w:qFormat/>
    <w:rsid w:val="004D79F6"/>
    <w:pPr>
      <w:ind w:left="720"/>
      <w:contextualSpacing/>
    </w:pPr>
  </w:style>
  <w:style w:type="character" w:styleId="IntenseEmphasis">
    <w:name w:val="Intense Emphasis"/>
    <w:basedOn w:val="DefaultParagraphFont"/>
    <w:uiPriority w:val="21"/>
    <w:qFormat/>
    <w:rsid w:val="004D79F6"/>
    <w:rPr>
      <w:i/>
      <w:iCs/>
      <w:color w:val="2F5496" w:themeColor="accent1" w:themeShade="BF"/>
    </w:rPr>
  </w:style>
  <w:style w:type="paragraph" w:styleId="IntenseQuote">
    <w:name w:val="Intense Quote"/>
    <w:basedOn w:val="Normal"/>
    <w:next w:val="Normal"/>
    <w:link w:val="IntenseQuoteChar"/>
    <w:uiPriority w:val="30"/>
    <w:qFormat/>
    <w:rsid w:val="004D7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79F6"/>
    <w:rPr>
      <w:i/>
      <w:iCs/>
      <w:color w:val="2F5496" w:themeColor="accent1" w:themeShade="BF"/>
    </w:rPr>
  </w:style>
  <w:style w:type="character" w:styleId="IntenseReference">
    <w:name w:val="Intense Reference"/>
    <w:basedOn w:val="DefaultParagraphFont"/>
    <w:uiPriority w:val="32"/>
    <w:qFormat/>
    <w:rsid w:val="004D79F6"/>
    <w:rPr>
      <w:b/>
      <w:bCs/>
      <w:smallCaps/>
      <w:color w:val="2F5496" w:themeColor="accent1" w:themeShade="BF"/>
      <w:spacing w:val="5"/>
    </w:rPr>
  </w:style>
  <w:style w:type="paragraph" w:styleId="ListBullet">
    <w:name w:val="List Bullet"/>
    <w:basedOn w:val="Normal"/>
    <w:uiPriority w:val="99"/>
    <w:unhideWhenUsed/>
    <w:rsid w:val="004D79F6"/>
    <w:pPr>
      <w:numPr>
        <w:numId w:val="1"/>
      </w:numPr>
      <w:ind w:left="0" w:firstLine="0"/>
      <w:contextualSpacing/>
    </w:pPr>
  </w:style>
  <w:style w:type="character" w:styleId="Hyperlink">
    <w:name w:val="Hyperlink"/>
    <w:basedOn w:val="DefaultParagraphFont"/>
    <w:uiPriority w:val="99"/>
    <w:unhideWhenUsed/>
    <w:rsid w:val="004D79F6"/>
    <w:rPr>
      <w:color w:val="0563C1" w:themeColor="hyperlink"/>
      <w:u w:val="single"/>
    </w:rPr>
  </w:style>
  <w:style w:type="table" w:styleId="TableGrid">
    <w:name w:val="Table Grid"/>
    <w:basedOn w:val="TableNormal"/>
    <w:uiPriority w:val="59"/>
    <w:rsid w:val="00725D3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387870"/>
    <w:rPr>
      <w:color w:val="605E5C"/>
      <w:shd w:val="clear" w:color="auto" w:fill="E1DFDD"/>
    </w:rPr>
  </w:style>
  <w:style w:type="paragraph" w:styleId="Header">
    <w:name w:val="header"/>
    <w:basedOn w:val="Normal"/>
    <w:link w:val="HeaderChar"/>
    <w:uiPriority w:val="99"/>
    <w:unhideWhenUsed/>
    <w:rsid w:val="00F01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03C"/>
  </w:style>
  <w:style w:type="paragraph" w:styleId="Footer">
    <w:name w:val="footer"/>
    <w:basedOn w:val="Normal"/>
    <w:link w:val="FooterChar"/>
    <w:uiPriority w:val="99"/>
    <w:unhideWhenUsed/>
    <w:rsid w:val="00F01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LL+ebeSoAR2Y+fd2/XmtNlbY5Q==">CgMxLjAaJQoBMBIgCh4IB0IaCg9UaW1lcyBOZXcgUm9tYW4SB0d1bmdzdWgaJQoBMRIgCh4IB0IaCg9UaW1lcyBOZXcgUm9tYW4SB0d1bmdzdWgaJQoBMhIgCh4IB0IaCg9UaW1lcyBOZXcgUm9tYW4SB0d1bmdzdWg4AHIhMU16TEswVkFvQk1KcUt0QUtGcFhiZW4tUEY4dEp0SXFC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7336</Words>
  <Characters>41820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kelechi Eze</dc:creator>
  <cp:lastModifiedBy>SDI 1084</cp:lastModifiedBy>
  <cp:revision>12</cp:revision>
  <dcterms:created xsi:type="dcterms:W3CDTF">2025-10-01T23:40:00Z</dcterms:created>
  <dcterms:modified xsi:type="dcterms:W3CDTF">2025-10-09T11:28:00Z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9c46db81-681f-4c29-9879-824efb368929</vt:lpwstr>
  </property>
</Properties>
</file>