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9F0BD" w14:textId="2F0C3EE8" w:rsidR="00441902" w:rsidRPr="00B057A4" w:rsidRDefault="00D46421" w:rsidP="00B057A4">
      <w:pPr>
        <w:spacing w:line="480" w:lineRule="auto"/>
        <w:rPr>
          <w:rFonts w:ascii="Arial" w:hAnsi="Arial" w:cs="Arial"/>
          <w:b/>
          <w:sz w:val="24"/>
          <w:szCs w:val="24"/>
          <w:lang w:val="en"/>
        </w:rPr>
      </w:pPr>
      <w:r w:rsidRPr="00D46421">
        <w:rPr>
          <w:rFonts w:ascii="Arial" w:hAnsi="Arial" w:cs="Arial"/>
          <w:b/>
          <w:sz w:val="24"/>
          <w:szCs w:val="24"/>
          <w:u w:val="single"/>
          <w:lang w:val="en"/>
        </w:rPr>
        <w:t>Original Research Article</w:t>
      </w:r>
      <w:r w:rsidR="00441902" w:rsidRPr="00B057A4">
        <w:rPr>
          <w:rFonts w:ascii="Arial" w:hAnsi="Arial" w:cs="Arial"/>
          <w:b/>
          <w:sz w:val="24"/>
          <w:szCs w:val="24"/>
          <w:lang w:val="en"/>
        </w:rPr>
        <w:br/>
      </w:r>
      <w:r w:rsidR="00441902" w:rsidRPr="00B057A4">
        <w:rPr>
          <w:rFonts w:ascii="Arial" w:hAnsi="Arial" w:cs="Arial"/>
          <w:b/>
          <w:bCs/>
          <w:sz w:val="24"/>
          <w:szCs w:val="24"/>
        </w:rPr>
        <w:t>COMPUTED TOMOGRAPHY EVALUATION OF SPONDYLOLYSIS AND SPONDYLOLISTHESIS AMONG ADULT PATIENTS IN FMC EBUTE METTA</w:t>
      </w:r>
    </w:p>
    <w:p w14:paraId="5EB972B6" w14:textId="7DEB21E0" w:rsidR="00441902" w:rsidRPr="00B057A4" w:rsidRDefault="00441902" w:rsidP="00B057A4">
      <w:pPr>
        <w:spacing w:line="480" w:lineRule="auto"/>
        <w:rPr>
          <w:rFonts w:ascii="Arial" w:hAnsi="Arial" w:cs="Arial"/>
          <w:b/>
          <w:sz w:val="20"/>
          <w:szCs w:val="20"/>
          <w:lang w:val="en"/>
        </w:rPr>
      </w:pPr>
      <w:bookmarkStart w:id="0" w:name="_GoBack"/>
      <w:bookmarkEnd w:id="0"/>
    </w:p>
    <w:p w14:paraId="7072E7EF" w14:textId="06C36521" w:rsidR="00C0013A" w:rsidRPr="00B057A4" w:rsidRDefault="00441902" w:rsidP="00B057A4">
      <w:pPr>
        <w:spacing w:line="480" w:lineRule="auto"/>
        <w:rPr>
          <w:rFonts w:ascii="Arial" w:hAnsi="Arial" w:cs="Arial"/>
          <w:b/>
          <w:bCs/>
        </w:rPr>
      </w:pPr>
      <w:r w:rsidRPr="00B057A4">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41902" w:rsidRPr="00441902" w14:paraId="545CDC62" w14:textId="77777777" w:rsidTr="00441902">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119A0EEC" w14:textId="42BA813D" w:rsidR="00441902" w:rsidRPr="00441902" w:rsidRDefault="00441902" w:rsidP="00B057A4">
            <w:pPr>
              <w:spacing w:line="480" w:lineRule="auto"/>
              <w:rPr>
                <w:rFonts w:ascii="Arial" w:hAnsi="Arial" w:cs="Arial"/>
                <w:b/>
                <w:bCs/>
                <w:sz w:val="20"/>
                <w:szCs w:val="20"/>
                <w:lang w:val="en-US"/>
              </w:rPr>
            </w:pPr>
            <w:r w:rsidRPr="00B057A4">
              <w:rPr>
                <w:rFonts w:ascii="Arial" w:hAnsi="Arial" w:cs="Arial"/>
                <w:b/>
                <w:bCs/>
                <w:sz w:val="20"/>
                <w:szCs w:val="20"/>
                <w:lang w:val="en-US"/>
              </w:rPr>
              <w:t xml:space="preserve">Background: </w:t>
            </w:r>
            <w:r w:rsidR="00B057A4" w:rsidRPr="00B057A4">
              <w:rPr>
                <w:rFonts w:ascii="Arial" w:hAnsi="Arial" w:cs="Arial"/>
                <w:sz w:val="20"/>
                <w:szCs w:val="20"/>
                <w:lang w:val="en-US"/>
              </w:rPr>
              <w:t>Spondylolysis and Spondylolisthesis are causes of low back pain and spinal instability. There is a lack of CT-based prevalence studies in Sub-Saharan Africa</w:t>
            </w:r>
          </w:p>
          <w:p w14:paraId="5E3B3F09" w14:textId="6D56083A" w:rsidR="00441902" w:rsidRPr="00441902" w:rsidRDefault="00441902" w:rsidP="00B057A4">
            <w:pPr>
              <w:spacing w:line="480" w:lineRule="auto"/>
              <w:rPr>
                <w:rFonts w:ascii="Arial" w:hAnsi="Arial" w:cs="Arial"/>
                <w:sz w:val="20"/>
                <w:szCs w:val="20"/>
              </w:rPr>
            </w:pPr>
            <w:r w:rsidRPr="00B057A4">
              <w:rPr>
                <w:rFonts w:ascii="Arial" w:hAnsi="Arial" w:cs="Arial"/>
                <w:b/>
                <w:sz w:val="20"/>
                <w:szCs w:val="20"/>
                <w:lang w:val="en-US"/>
              </w:rPr>
              <w:t xml:space="preserve">Aims: </w:t>
            </w:r>
            <w:r w:rsidR="00092D54" w:rsidRPr="00B057A4">
              <w:rPr>
                <w:rFonts w:ascii="Arial" w:hAnsi="Arial" w:cs="Arial"/>
                <w:sz w:val="20"/>
                <w:szCs w:val="20"/>
              </w:rPr>
              <w:t xml:space="preserve">The aim of this study was to establish the prevalence of lumbar spondylolysis and spondylolisthesis, the vertebral levels affected, </w:t>
            </w:r>
            <w:r w:rsidR="002E5DC0">
              <w:rPr>
                <w:rFonts w:ascii="Arial" w:hAnsi="Arial" w:cs="Arial"/>
                <w:sz w:val="20"/>
                <w:szCs w:val="20"/>
              </w:rPr>
              <w:t xml:space="preserve">and </w:t>
            </w:r>
            <w:r w:rsidR="00092D54" w:rsidRPr="00B057A4">
              <w:rPr>
                <w:rFonts w:ascii="Arial" w:hAnsi="Arial" w:cs="Arial"/>
                <w:sz w:val="20"/>
                <w:szCs w:val="20"/>
              </w:rPr>
              <w:t xml:space="preserve">the prevalence of </w:t>
            </w:r>
            <w:proofErr w:type="spellStart"/>
            <w:r w:rsidR="00092D54" w:rsidRPr="00B057A4">
              <w:rPr>
                <w:rFonts w:ascii="Arial" w:hAnsi="Arial" w:cs="Arial"/>
                <w:sz w:val="20"/>
                <w:szCs w:val="20"/>
              </w:rPr>
              <w:t>spondylolytic</w:t>
            </w:r>
            <w:proofErr w:type="spellEnd"/>
            <w:r w:rsidR="00092D54" w:rsidRPr="00B057A4">
              <w:rPr>
                <w:rFonts w:ascii="Arial" w:hAnsi="Arial" w:cs="Arial"/>
                <w:sz w:val="20"/>
                <w:szCs w:val="20"/>
              </w:rPr>
              <w:t xml:space="preserve"> (isthmic) spondylolisthesis vs non-</w:t>
            </w:r>
            <w:proofErr w:type="spellStart"/>
            <w:r w:rsidR="00092D54" w:rsidRPr="00B057A4">
              <w:rPr>
                <w:rFonts w:ascii="Arial" w:hAnsi="Arial" w:cs="Arial"/>
                <w:sz w:val="20"/>
                <w:szCs w:val="20"/>
              </w:rPr>
              <w:t>spondylolytic</w:t>
            </w:r>
            <w:proofErr w:type="spellEnd"/>
            <w:r w:rsidR="00092D54" w:rsidRPr="00B057A4">
              <w:rPr>
                <w:rFonts w:ascii="Arial" w:hAnsi="Arial" w:cs="Arial"/>
                <w:sz w:val="20"/>
                <w:szCs w:val="20"/>
              </w:rPr>
              <w:t xml:space="preserve"> spondylolisthesis, in patients who perform</w:t>
            </w:r>
            <w:r w:rsidR="002E5DC0">
              <w:rPr>
                <w:rFonts w:ascii="Arial" w:hAnsi="Arial" w:cs="Arial"/>
                <w:sz w:val="20"/>
                <w:szCs w:val="20"/>
              </w:rPr>
              <w:t>ed</w:t>
            </w:r>
            <w:r w:rsidR="00092D54" w:rsidRPr="00B057A4">
              <w:rPr>
                <w:rFonts w:ascii="Arial" w:hAnsi="Arial" w:cs="Arial"/>
                <w:sz w:val="20"/>
                <w:szCs w:val="20"/>
              </w:rPr>
              <w:t xml:space="preserve"> an abdominal CT or CT urography in FMC Ebute Metta for reasons other than back pain.</w:t>
            </w:r>
          </w:p>
          <w:p w14:paraId="5BD57936" w14:textId="0DCC3ED6" w:rsidR="007A0040" w:rsidRPr="00B057A4" w:rsidRDefault="00441902" w:rsidP="00B057A4">
            <w:pPr>
              <w:spacing w:line="480" w:lineRule="auto"/>
              <w:rPr>
                <w:rFonts w:ascii="Arial" w:hAnsi="Arial" w:cs="Arial"/>
                <w:bCs/>
                <w:sz w:val="20"/>
                <w:szCs w:val="20"/>
                <w:lang w:val="en-US"/>
              </w:rPr>
            </w:pPr>
            <w:r w:rsidRPr="00441902">
              <w:rPr>
                <w:rFonts w:ascii="Arial" w:hAnsi="Arial" w:cs="Arial"/>
                <w:b/>
                <w:bCs/>
                <w:sz w:val="20"/>
                <w:szCs w:val="20"/>
                <w:lang w:val="en-US"/>
              </w:rPr>
              <w:t>Methodology:</w:t>
            </w:r>
            <w:r w:rsidRPr="00441902">
              <w:rPr>
                <w:rFonts w:ascii="Arial" w:hAnsi="Arial" w:cs="Arial"/>
                <w:sz w:val="20"/>
                <w:szCs w:val="20"/>
                <w:lang w:val="en-US"/>
              </w:rPr>
              <w:t xml:space="preserve"> </w:t>
            </w:r>
            <w:r w:rsidR="007A0040" w:rsidRPr="00B057A4">
              <w:rPr>
                <w:rFonts w:ascii="Arial" w:hAnsi="Arial" w:cs="Arial"/>
                <w:bCs/>
                <w:sz w:val="20"/>
                <w:szCs w:val="20"/>
                <w:lang w:val="en-US"/>
              </w:rPr>
              <w:t xml:space="preserve">The study was a retrospective descriptive and analytical cross-sectional study utilizing abdominopelvic CTs obtained in the radiology department of the Federal Medical Center, Ebute Metta. A total of </w:t>
            </w:r>
            <w:r w:rsidR="007A0040" w:rsidRPr="00B057A4">
              <w:rPr>
                <w:rFonts w:ascii="Arial" w:hAnsi="Arial" w:cs="Arial"/>
                <w:bCs/>
                <w:sz w:val="20"/>
                <w:szCs w:val="20"/>
              </w:rPr>
              <w:t xml:space="preserve">283 tomographs (belonging to 185 women and 98 men) were included in this study. </w:t>
            </w:r>
          </w:p>
          <w:p w14:paraId="28F19320" w14:textId="5BF5F18B" w:rsidR="00441902" w:rsidRPr="00441902" w:rsidRDefault="00441902" w:rsidP="00B057A4">
            <w:pPr>
              <w:spacing w:line="480" w:lineRule="auto"/>
              <w:rPr>
                <w:rFonts w:ascii="Arial" w:hAnsi="Arial" w:cs="Arial"/>
                <w:b/>
                <w:bCs/>
                <w:sz w:val="20"/>
                <w:szCs w:val="20"/>
                <w:lang w:val="en-US"/>
              </w:rPr>
            </w:pPr>
            <w:r w:rsidRPr="00441902">
              <w:rPr>
                <w:rFonts w:ascii="Arial" w:hAnsi="Arial" w:cs="Arial"/>
                <w:b/>
                <w:bCs/>
                <w:sz w:val="20"/>
                <w:szCs w:val="20"/>
                <w:lang w:val="en-US"/>
              </w:rPr>
              <w:t>Results:</w:t>
            </w:r>
            <w:r w:rsidRPr="00441902">
              <w:rPr>
                <w:rFonts w:ascii="Arial" w:hAnsi="Arial" w:cs="Arial"/>
                <w:sz w:val="20"/>
                <w:szCs w:val="20"/>
                <w:lang w:val="en-US"/>
              </w:rPr>
              <w:t xml:space="preserve"> </w:t>
            </w:r>
            <w:r w:rsidR="007A0040" w:rsidRPr="00B057A4">
              <w:rPr>
                <w:rFonts w:ascii="Arial" w:hAnsi="Arial" w:cs="Arial"/>
                <w:sz w:val="20"/>
                <w:szCs w:val="20"/>
              </w:rPr>
              <w:t>A total of 12 spondylolysis cases were observed detected in 11 patients (11/283, 3.9%). Majority (10/12, 83.3%) of the cases of spondylolysis were bilateral. Most of the cases of spondylolysis occurred at the L5 vertebral level (8/12, 66.7%). A total of 35 spondylolisthesis cases were observed in 33 patients (33/283, 11.7%). The most common level of involvement in spondylolisthesis among subjects in this study was L4/5 (16/35 cases, 45.7%). Majority of the subjects with spondylolisthesis had no co-existing spondylolysis (30/33, 90.9%). There were no significant differences in the rates of spondylolysis and spondylolisthesis between both sexes</w:t>
            </w:r>
            <w:r w:rsidR="00B057A4" w:rsidRPr="00B057A4">
              <w:rPr>
                <w:rFonts w:ascii="Arial" w:hAnsi="Arial" w:cs="Arial"/>
                <w:sz w:val="20"/>
                <w:szCs w:val="20"/>
              </w:rPr>
              <w:t xml:space="preserve">. There was no significant association of spondylolysis with age, but there was statistically significant difference (p=.000) in the prevalence of spondylolisthesis </w:t>
            </w:r>
            <w:r w:rsidR="002D0734">
              <w:rPr>
                <w:rFonts w:ascii="Arial" w:hAnsi="Arial" w:cs="Arial"/>
                <w:sz w:val="20"/>
                <w:szCs w:val="20"/>
              </w:rPr>
              <w:t xml:space="preserve">between </w:t>
            </w:r>
            <w:r w:rsidR="00B057A4" w:rsidRPr="00B057A4">
              <w:rPr>
                <w:rFonts w:ascii="Arial" w:hAnsi="Arial" w:cs="Arial"/>
                <w:sz w:val="20"/>
                <w:szCs w:val="20"/>
              </w:rPr>
              <w:t>the different age groups.</w:t>
            </w:r>
          </w:p>
          <w:p w14:paraId="3A4A6DA3" w14:textId="4C4DB264" w:rsidR="00441902" w:rsidRPr="00441902" w:rsidRDefault="00441902" w:rsidP="00B057A4">
            <w:pPr>
              <w:spacing w:line="480" w:lineRule="auto"/>
              <w:rPr>
                <w:rFonts w:ascii="Arial" w:hAnsi="Arial" w:cs="Arial"/>
                <w:sz w:val="20"/>
                <w:szCs w:val="20"/>
                <w:lang w:val="en-US"/>
              </w:rPr>
            </w:pPr>
            <w:r w:rsidRPr="00441902">
              <w:rPr>
                <w:rFonts w:ascii="Arial" w:hAnsi="Arial" w:cs="Arial"/>
                <w:b/>
                <w:bCs/>
                <w:sz w:val="20"/>
                <w:szCs w:val="20"/>
                <w:lang w:val="en-US"/>
              </w:rPr>
              <w:lastRenderedPageBreak/>
              <w:t>Conclusion:</w:t>
            </w:r>
            <w:r w:rsidRPr="00441902">
              <w:rPr>
                <w:rFonts w:ascii="Arial" w:hAnsi="Arial" w:cs="Arial"/>
                <w:sz w:val="20"/>
                <w:szCs w:val="20"/>
                <w:lang w:val="en-US"/>
              </w:rPr>
              <w:t xml:space="preserve"> </w:t>
            </w:r>
            <w:r w:rsidR="00B057A4" w:rsidRPr="00B057A4">
              <w:rPr>
                <w:rFonts w:ascii="Arial" w:hAnsi="Arial" w:cs="Arial"/>
                <w:sz w:val="20"/>
                <w:szCs w:val="20"/>
                <w:lang w:val="en-US"/>
              </w:rPr>
              <w:t>This study demonstrates that the prevalence of spondylolysis in a Nigerian adult population is lower than that reported in most non-Black cohorts</w:t>
            </w:r>
            <w:r w:rsidRPr="00441902">
              <w:rPr>
                <w:rFonts w:ascii="Arial" w:hAnsi="Arial" w:cs="Arial"/>
                <w:sz w:val="20"/>
                <w:szCs w:val="20"/>
                <w:lang w:val="en-US"/>
              </w:rPr>
              <w:t>.</w:t>
            </w:r>
            <w:r w:rsidR="00B057A4" w:rsidRPr="00B057A4">
              <w:rPr>
                <w:rFonts w:ascii="Arial" w:hAnsi="Arial" w:cs="Arial"/>
                <w:sz w:val="20"/>
                <w:szCs w:val="20"/>
                <w:lang w:val="en-US"/>
              </w:rPr>
              <w:t xml:space="preserve"> Further multi</w:t>
            </w:r>
            <w:r w:rsidR="00EA764D">
              <w:rPr>
                <w:rFonts w:ascii="Arial" w:hAnsi="Arial" w:cs="Arial"/>
                <w:sz w:val="20"/>
                <w:szCs w:val="20"/>
                <w:lang w:val="en-US"/>
              </w:rPr>
              <w:t>-</w:t>
            </w:r>
            <w:r w:rsidR="00B057A4" w:rsidRPr="00B057A4">
              <w:rPr>
                <w:rFonts w:ascii="Arial" w:hAnsi="Arial" w:cs="Arial"/>
                <w:sz w:val="20"/>
                <w:szCs w:val="20"/>
                <w:lang w:val="en-US"/>
              </w:rPr>
              <w:t>center studies incorporating larger and more diverse populations, together with clinical and genetic correlates, are warranted to clarify the epidemiological patterns and clinical significance of spondylolysis and spondylolisthesis in sub-Saharan Africa.</w:t>
            </w:r>
          </w:p>
        </w:tc>
      </w:tr>
    </w:tbl>
    <w:p w14:paraId="097F7119" w14:textId="6A3B6EBC" w:rsidR="00441902" w:rsidRPr="00441902" w:rsidRDefault="00185DA3" w:rsidP="00B057A4">
      <w:pPr>
        <w:spacing w:line="480" w:lineRule="auto"/>
        <w:rPr>
          <w:rFonts w:ascii="Arial" w:hAnsi="Arial" w:cs="Arial"/>
          <w:i/>
          <w:sz w:val="20"/>
          <w:szCs w:val="20"/>
          <w:lang w:val="en-US"/>
        </w:rPr>
      </w:pPr>
      <w:r>
        <w:rPr>
          <w:rFonts w:ascii="Arial" w:hAnsi="Arial" w:cs="Arial"/>
          <w:i/>
          <w:sz w:val="20"/>
          <w:szCs w:val="20"/>
          <w:lang w:val="en-US"/>
        </w:rPr>
        <w:lastRenderedPageBreak/>
        <w:br/>
        <w:t xml:space="preserve">Keywords: Spondylolysis, Spondylolisthesis, Computed tomography, Nigeria </w:t>
      </w:r>
    </w:p>
    <w:p w14:paraId="7B3D422F" w14:textId="77777777" w:rsidR="00441902" w:rsidRPr="00B057A4" w:rsidRDefault="00441902" w:rsidP="00B057A4">
      <w:pPr>
        <w:spacing w:line="480" w:lineRule="auto"/>
        <w:rPr>
          <w:rFonts w:ascii="Arial" w:hAnsi="Arial" w:cs="Arial"/>
          <w:sz w:val="20"/>
          <w:szCs w:val="20"/>
        </w:rPr>
      </w:pPr>
    </w:p>
    <w:p w14:paraId="19DAC3C5" w14:textId="2492FDFF" w:rsidR="00D5095A" w:rsidRPr="00B057A4" w:rsidRDefault="00D5095A" w:rsidP="00B057A4">
      <w:pPr>
        <w:pStyle w:val="ListParagraph"/>
        <w:numPr>
          <w:ilvl w:val="0"/>
          <w:numId w:val="1"/>
        </w:numPr>
        <w:spacing w:line="480" w:lineRule="auto"/>
        <w:rPr>
          <w:rFonts w:ascii="Arial" w:hAnsi="Arial" w:cs="Arial"/>
          <w:b/>
          <w:bCs/>
        </w:rPr>
      </w:pPr>
      <w:r w:rsidRPr="00B057A4">
        <w:rPr>
          <w:rFonts w:ascii="Arial" w:hAnsi="Arial" w:cs="Arial"/>
          <w:b/>
          <w:bCs/>
        </w:rPr>
        <w:t>INTRODUCTION</w:t>
      </w:r>
    </w:p>
    <w:p w14:paraId="78950EB1" w14:textId="6BD65F76"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Spondylolysis is a descriptive term referring to defects in the region of the pars in</w:t>
      </w:r>
      <w:r w:rsidR="00B54E28" w:rsidRPr="00B057A4">
        <w:rPr>
          <w:rFonts w:ascii="Arial" w:hAnsi="Arial" w:cs="Arial"/>
          <w:sz w:val="20"/>
          <w:szCs w:val="20"/>
        </w:rPr>
        <w:t>ter</w:t>
      </w:r>
      <w:r w:rsidRPr="00B057A4">
        <w:rPr>
          <w:rFonts w:ascii="Arial" w:hAnsi="Arial" w:cs="Arial"/>
          <w:sz w:val="20"/>
          <w:szCs w:val="20"/>
        </w:rPr>
        <w:t>articularis, the portion of the vertebral arch that connects the superior and inferior articular facets. It usually occurs at the lumbar spine, most frequently at the fifth lumbar level</w:t>
      </w:r>
      <w:r w:rsidR="00120CD7" w:rsidRPr="00B057A4">
        <w:rPr>
          <w:rFonts w:ascii="Arial" w:hAnsi="Arial" w:cs="Arial"/>
          <w:sz w:val="20"/>
          <w:szCs w:val="20"/>
        </w:rPr>
        <w:t xml:space="preserve"> (Sutton, 2003)</w:t>
      </w:r>
      <w:r w:rsidRPr="00B057A4">
        <w:rPr>
          <w:rFonts w:ascii="Arial" w:hAnsi="Arial" w:cs="Arial"/>
          <w:sz w:val="20"/>
          <w:szCs w:val="20"/>
        </w:rPr>
        <w:t>.  The cause of a spondylolysis is controversial but thought to be congenital and/or post</w:t>
      </w:r>
      <w:r w:rsidR="00B057A4">
        <w:rPr>
          <w:rFonts w:ascii="Arial" w:hAnsi="Arial" w:cs="Arial"/>
          <w:sz w:val="20"/>
          <w:szCs w:val="20"/>
        </w:rPr>
        <w:t>-</w:t>
      </w:r>
      <w:r w:rsidRPr="00B057A4">
        <w:rPr>
          <w:rFonts w:ascii="Arial" w:hAnsi="Arial" w:cs="Arial"/>
          <w:sz w:val="20"/>
          <w:szCs w:val="20"/>
        </w:rPr>
        <w:t>traumatic. Many believe this is a stress-related injury from infancy that develops when toddlers try to walk and repeatedly fall on their buttocks, sending stress to their lower lumbar spine</w:t>
      </w:r>
      <w:r w:rsidR="00120CD7" w:rsidRPr="00B057A4">
        <w:rPr>
          <w:rFonts w:ascii="Arial" w:hAnsi="Arial" w:cs="Arial"/>
          <w:sz w:val="20"/>
          <w:szCs w:val="20"/>
        </w:rPr>
        <w:t xml:space="preserve"> (Brant, 2012)</w:t>
      </w:r>
      <w:r w:rsidRPr="00B057A4">
        <w:rPr>
          <w:rFonts w:ascii="Arial" w:hAnsi="Arial" w:cs="Arial"/>
          <w:sz w:val="20"/>
          <w:szCs w:val="20"/>
        </w:rPr>
        <w:t xml:space="preserve">. The significance of spondylolysis is just as controversial as its </w:t>
      </w:r>
      <w:r w:rsidR="00B057A4" w:rsidRPr="00B057A4">
        <w:rPr>
          <w:rFonts w:ascii="Arial" w:hAnsi="Arial" w:cs="Arial"/>
          <w:sz w:val="20"/>
          <w:szCs w:val="20"/>
        </w:rPr>
        <w:t>aetiology</w:t>
      </w:r>
      <w:r w:rsidRPr="00B057A4">
        <w:rPr>
          <w:rFonts w:ascii="Arial" w:hAnsi="Arial" w:cs="Arial"/>
          <w:sz w:val="20"/>
          <w:szCs w:val="20"/>
        </w:rPr>
        <w:t xml:space="preserve">. </w:t>
      </w:r>
    </w:p>
    <w:p w14:paraId="09618A00" w14:textId="06EE914B"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 xml:space="preserve">More and more clinicians are coming to the viewpoint that a spondylolysis is an incidental finding with no clinical significance in most cases. However, </w:t>
      </w:r>
      <w:r w:rsidR="00120CD7" w:rsidRPr="00B057A4">
        <w:rPr>
          <w:rFonts w:ascii="Arial" w:hAnsi="Arial" w:cs="Arial"/>
          <w:sz w:val="20"/>
          <w:szCs w:val="20"/>
        </w:rPr>
        <w:t>it</w:t>
      </w:r>
      <w:r w:rsidRPr="00B057A4">
        <w:rPr>
          <w:rFonts w:ascii="Arial" w:hAnsi="Arial" w:cs="Arial"/>
          <w:sz w:val="20"/>
          <w:szCs w:val="20"/>
        </w:rPr>
        <w:t xml:space="preserve"> is a common cause of low back pain in adolescents and may be the cause of low back pain in approximately 50% of adolescent athletes</w:t>
      </w:r>
      <w:r w:rsidR="00120CD7" w:rsidRPr="00B057A4">
        <w:rPr>
          <w:rFonts w:ascii="Arial" w:hAnsi="Arial" w:cs="Arial"/>
          <w:b/>
          <w:bCs/>
          <w:sz w:val="20"/>
          <w:szCs w:val="20"/>
        </w:rPr>
        <w:t xml:space="preserve"> </w:t>
      </w:r>
      <w:r w:rsidR="00120CD7" w:rsidRPr="00B057A4">
        <w:rPr>
          <w:rFonts w:ascii="Arial" w:hAnsi="Arial" w:cs="Arial"/>
          <w:sz w:val="20"/>
          <w:szCs w:val="20"/>
        </w:rPr>
        <w:t>(Dunn et al, 2008).</w:t>
      </w:r>
    </w:p>
    <w:p w14:paraId="7DF7D27A" w14:textId="6C07406F"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Approximately 90% of cases of spondylolysis occur at the L5 level and about 10% occur at the L4 level</w:t>
      </w:r>
      <w:r w:rsidR="00120CD7" w:rsidRPr="00B057A4">
        <w:rPr>
          <w:rFonts w:ascii="Arial" w:hAnsi="Arial" w:cs="Arial"/>
          <w:sz w:val="20"/>
          <w:szCs w:val="20"/>
        </w:rPr>
        <w:t xml:space="preserve"> (</w:t>
      </w:r>
      <w:proofErr w:type="spellStart"/>
      <w:r w:rsidR="00120CD7" w:rsidRPr="00B057A4">
        <w:rPr>
          <w:rFonts w:ascii="Arial" w:hAnsi="Arial" w:cs="Arial"/>
          <w:sz w:val="20"/>
          <w:szCs w:val="20"/>
        </w:rPr>
        <w:t>Syrmou</w:t>
      </w:r>
      <w:proofErr w:type="spellEnd"/>
      <w:r w:rsidR="00120CD7" w:rsidRPr="00B057A4">
        <w:rPr>
          <w:rFonts w:ascii="Arial" w:hAnsi="Arial" w:cs="Arial"/>
          <w:sz w:val="20"/>
          <w:szCs w:val="20"/>
        </w:rPr>
        <w:t xml:space="preserve"> et al, 2010)</w:t>
      </w:r>
      <w:r w:rsidRPr="00B057A4">
        <w:rPr>
          <w:rFonts w:ascii="Arial" w:hAnsi="Arial" w:cs="Arial"/>
          <w:sz w:val="20"/>
          <w:szCs w:val="20"/>
        </w:rPr>
        <w:t>.</w:t>
      </w:r>
    </w:p>
    <w:p w14:paraId="2752802B" w14:textId="2A8E5BE6"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The fractures in the pars intra-</w:t>
      </w:r>
      <w:proofErr w:type="spellStart"/>
      <w:r w:rsidRPr="00B057A4">
        <w:rPr>
          <w:rFonts w:ascii="Arial" w:hAnsi="Arial" w:cs="Arial"/>
          <w:sz w:val="20"/>
          <w:szCs w:val="20"/>
        </w:rPr>
        <w:t>articularis</w:t>
      </w:r>
      <w:proofErr w:type="spellEnd"/>
      <w:r w:rsidRPr="00B057A4">
        <w:rPr>
          <w:rFonts w:ascii="Arial" w:hAnsi="Arial" w:cs="Arial"/>
          <w:sz w:val="20"/>
          <w:szCs w:val="20"/>
        </w:rPr>
        <w:t xml:space="preserve"> are commonly visible on the routine lateral film of the lumbar spine but are better demonstrated on oblique projections or more exactly by CT. Many consider CT the gold standard for the evaluation of spondylolysis on account of its high spatial resolution, high bony contrast, and greater diagnostic certainty. CT will also demonstrate any associated disc disease. Magnetic resonance will show spondylolysis, but it can be difficult to see and is easily overlooked.</w:t>
      </w:r>
    </w:p>
    <w:p w14:paraId="230BB030" w14:textId="68932C72"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lastRenderedPageBreak/>
        <w:t xml:space="preserve">If spondylolysis is bilateral and the vertebral body in the more cephalad position slips forward on the more caudal body, spondylolisthesis is said to be present. Spondylolisthesis indicates anterior or posterior slipping of a vertebra from any cause. Spondylolisthesis may or may not be symptomatic. If severe, it can cause neuroforaminal stenosis and can impinge on the nerve roots in the central spinal canal. </w:t>
      </w:r>
    </w:p>
    <w:p w14:paraId="1272EE9E" w14:textId="77777777"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Spondylolisthesis can also occur as a result of:</w:t>
      </w:r>
    </w:p>
    <w:p w14:paraId="5E38DA52" w14:textId="77777777"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1. Trauma.</w:t>
      </w:r>
    </w:p>
    <w:p w14:paraId="461C5B19" w14:textId="77777777"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 xml:space="preserve">2. Stress fractures to the pars </w:t>
      </w:r>
      <w:proofErr w:type="spellStart"/>
      <w:r w:rsidRPr="00B057A4">
        <w:rPr>
          <w:rFonts w:ascii="Arial" w:hAnsi="Arial" w:cs="Arial"/>
          <w:sz w:val="20"/>
          <w:szCs w:val="20"/>
        </w:rPr>
        <w:t>interarticulares</w:t>
      </w:r>
      <w:proofErr w:type="spellEnd"/>
      <w:r w:rsidRPr="00B057A4">
        <w:rPr>
          <w:rFonts w:ascii="Arial" w:hAnsi="Arial" w:cs="Arial"/>
          <w:sz w:val="20"/>
          <w:szCs w:val="20"/>
        </w:rPr>
        <w:t xml:space="preserve"> or pedicles.</w:t>
      </w:r>
    </w:p>
    <w:p w14:paraId="48DFA9B8" w14:textId="77777777"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3. Congenital dysplasia of the superior articular facets of the sacrum. In this case severe forward slipping is often associated with considerable deformity of the upper border of the sacrum and of the inferior margin of the fifth lumbar vertebra. Since the whole of the fifth lumbar vertebra is displaced anteriorly, it is easily distinguished from the common type.</w:t>
      </w:r>
    </w:p>
    <w:p w14:paraId="477ED74D" w14:textId="77777777"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 xml:space="preserve">4. Disc degeneration and osteoarthritis of the apophyseal joints. Degenerative spondylolisthesis (DS) is a disorder that causes the slip of one vertebral body over the one below due to degenerative changes. It differs from </w:t>
      </w:r>
      <w:proofErr w:type="spellStart"/>
      <w:r w:rsidRPr="00B057A4">
        <w:rPr>
          <w:rFonts w:ascii="Arial" w:hAnsi="Arial" w:cs="Arial"/>
          <w:sz w:val="20"/>
          <w:szCs w:val="20"/>
        </w:rPr>
        <w:t>spondylolytic</w:t>
      </w:r>
      <w:proofErr w:type="spellEnd"/>
      <w:r w:rsidRPr="00B057A4">
        <w:rPr>
          <w:rFonts w:ascii="Arial" w:hAnsi="Arial" w:cs="Arial"/>
          <w:sz w:val="20"/>
          <w:szCs w:val="20"/>
        </w:rPr>
        <w:t xml:space="preserve"> spondylolisthesis by the absence of a pars interarticularis defect (spondylolysis), i.e., in DS, the whole upper vertebra (vertebral body and posterior part of the vertebra including neural arch and processes) slips relative to the lower vertebra.</w:t>
      </w:r>
    </w:p>
    <w:p w14:paraId="3EC41C9F" w14:textId="7768777F"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The </w:t>
      </w:r>
      <w:proofErr w:type="spellStart"/>
      <w:r w:rsidRPr="00B057A4">
        <w:rPr>
          <w:rFonts w:ascii="Arial" w:hAnsi="Arial" w:cs="Arial"/>
          <w:sz w:val="20"/>
          <w:szCs w:val="20"/>
        </w:rPr>
        <w:t>Meyerding</w:t>
      </w:r>
      <w:proofErr w:type="spellEnd"/>
      <w:r w:rsidRPr="00B057A4">
        <w:rPr>
          <w:rFonts w:ascii="Arial" w:hAnsi="Arial" w:cs="Arial"/>
          <w:sz w:val="20"/>
          <w:szCs w:val="20"/>
        </w:rPr>
        <w:t xml:space="preserve"> classification of spondylolisthesis grades the severity of the slip. This classification was originally developed for anterolistheses but can be adapted for retrolistheses</w:t>
      </w:r>
      <w:r w:rsidR="00120CD7" w:rsidRPr="00B057A4">
        <w:rPr>
          <w:rFonts w:ascii="Arial" w:hAnsi="Arial" w:cs="Arial"/>
          <w:sz w:val="20"/>
          <w:szCs w:val="20"/>
        </w:rPr>
        <w:t xml:space="preserve"> (</w:t>
      </w:r>
      <w:proofErr w:type="spellStart"/>
      <w:r w:rsidR="00120CD7" w:rsidRPr="00B057A4">
        <w:rPr>
          <w:rFonts w:ascii="Arial" w:hAnsi="Arial" w:cs="Arial"/>
          <w:sz w:val="20"/>
          <w:szCs w:val="20"/>
        </w:rPr>
        <w:t>Kolosky</w:t>
      </w:r>
      <w:proofErr w:type="spellEnd"/>
      <w:r w:rsidR="00120CD7" w:rsidRPr="00B057A4">
        <w:rPr>
          <w:rFonts w:ascii="Arial" w:hAnsi="Arial" w:cs="Arial"/>
          <w:sz w:val="20"/>
          <w:szCs w:val="20"/>
        </w:rPr>
        <w:t xml:space="preserve"> &amp; </w:t>
      </w:r>
      <w:proofErr w:type="spellStart"/>
      <w:r w:rsidR="00120CD7" w:rsidRPr="00B057A4">
        <w:rPr>
          <w:rFonts w:ascii="Arial" w:hAnsi="Arial" w:cs="Arial"/>
          <w:sz w:val="20"/>
          <w:szCs w:val="20"/>
        </w:rPr>
        <w:t>Gendelberg</w:t>
      </w:r>
      <w:proofErr w:type="spellEnd"/>
      <w:r w:rsidR="00120CD7" w:rsidRPr="00B057A4">
        <w:rPr>
          <w:rFonts w:ascii="Arial" w:hAnsi="Arial" w:cs="Arial"/>
          <w:sz w:val="20"/>
          <w:szCs w:val="20"/>
        </w:rPr>
        <w:t>, 2020)</w:t>
      </w:r>
      <w:r w:rsidRPr="00B057A4">
        <w:rPr>
          <w:rFonts w:ascii="Arial" w:hAnsi="Arial" w:cs="Arial"/>
          <w:sz w:val="20"/>
          <w:szCs w:val="20"/>
        </w:rPr>
        <w:t xml:space="preserve">. To determine the grade of spondylolisthesis using the </w:t>
      </w:r>
      <w:proofErr w:type="spellStart"/>
      <w:r w:rsidRPr="00B057A4">
        <w:rPr>
          <w:rFonts w:ascii="Arial" w:hAnsi="Arial" w:cs="Arial"/>
          <w:sz w:val="20"/>
          <w:szCs w:val="20"/>
        </w:rPr>
        <w:t>Meyerding</w:t>
      </w:r>
      <w:proofErr w:type="spellEnd"/>
      <w:r w:rsidRPr="00B057A4">
        <w:rPr>
          <w:rFonts w:ascii="Arial" w:hAnsi="Arial" w:cs="Arial"/>
          <w:sz w:val="20"/>
          <w:szCs w:val="20"/>
        </w:rPr>
        <w:t xml:space="preserve"> classification, two vertical lines are drawn along the posterior cortex superior and inferior vertebra, and a measurement is taken between them (A). The length of the inferior vertebral body is also measured (B). A calculation of A/B determines the grade: (a) grade I: 0-25% (b) grade II: 26-50% (c) grade III: 51-75% (d) grade IV: 76-100% (e) grade V (</w:t>
      </w:r>
      <w:proofErr w:type="spellStart"/>
      <w:r w:rsidRPr="00B057A4">
        <w:rPr>
          <w:rFonts w:ascii="Arial" w:hAnsi="Arial" w:cs="Arial"/>
          <w:sz w:val="20"/>
          <w:szCs w:val="20"/>
        </w:rPr>
        <w:t>spondyloptosis</w:t>
      </w:r>
      <w:proofErr w:type="spellEnd"/>
      <w:r w:rsidRPr="00B057A4">
        <w:rPr>
          <w:rFonts w:ascii="Arial" w:hAnsi="Arial" w:cs="Arial"/>
          <w:sz w:val="20"/>
          <w:szCs w:val="20"/>
        </w:rPr>
        <w:t>): &gt;100%</w:t>
      </w:r>
    </w:p>
    <w:p w14:paraId="048ADACE" w14:textId="62993DE0"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The grades can be further grouped as: (a) low-grade: grades 1 and 2 (b) high-grade: grades 3, 4 and 5</w:t>
      </w:r>
    </w:p>
    <w:p w14:paraId="184F6998" w14:textId="28F12282"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lastRenderedPageBreak/>
        <w:t>There is a lack of CT-based study exploring the prevalence of spondylolysis and spondylolisthesis among the African population and even among black populations outside Africa. However, two older studies</w:t>
      </w:r>
      <w:r w:rsidR="00263309" w:rsidRPr="00B057A4">
        <w:rPr>
          <w:rFonts w:ascii="Arial" w:hAnsi="Arial" w:cs="Arial"/>
          <w:sz w:val="20"/>
          <w:szCs w:val="20"/>
        </w:rPr>
        <w:t xml:space="preserve"> exploring the prevalence of spondylolysis</w:t>
      </w:r>
      <w:r w:rsidRPr="00B057A4">
        <w:rPr>
          <w:rFonts w:ascii="Arial" w:hAnsi="Arial" w:cs="Arial"/>
          <w:sz w:val="20"/>
          <w:szCs w:val="20"/>
        </w:rPr>
        <w:t xml:space="preserve"> utilizing skeletal analysis were found to involve black populations</w:t>
      </w:r>
      <w:r w:rsidR="00120CD7" w:rsidRPr="00B057A4">
        <w:rPr>
          <w:rFonts w:ascii="Arial" w:hAnsi="Arial" w:cs="Arial"/>
          <w:sz w:val="20"/>
          <w:szCs w:val="20"/>
        </w:rPr>
        <w:t>.</w:t>
      </w:r>
      <w:r w:rsidRPr="00B057A4">
        <w:rPr>
          <w:rFonts w:ascii="Arial" w:hAnsi="Arial" w:cs="Arial"/>
          <w:sz w:val="20"/>
          <w:szCs w:val="20"/>
        </w:rPr>
        <w:t xml:space="preserve"> In an analysis of South African </w:t>
      </w:r>
      <w:r w:rsidR="00B057A4" w:rsidRPr="00B057A4">
        <w:rPr>
          <w:rFonts w:ascii="Arial" w:hAnsi="Arial" w:cs="Arial"/>
          <w:sz w:val="20"/>
          <w:szCs w:val="20"/>
        </w:rPr>
        <w:t>skeletons,</w:t>
      </w:r>
      <w:r w:rsidRPr="00B057A4">
        <w:rPr>
          <w:rFonts w:ascii="Arial" w:hAnsi="Arial" w:cs="Arial"/>
          <w:b/>
          <w:bCs/>
          <w:sz w:val="20"/>
          <w:szCs w:val="20"/>
          <w:vertAlign w:val="superscript"/>
        </w:rPr>
        <w:t xml:space="preserve"> </w:t>
      </w:r>
      <w:r w:rsidRPr="00B057A4">
        <w:rPr>
          <w:rFonts w:ascii="Arial" w:hAnsi="Arial" w:cs="Arial"/>
          <w:sz w:val="20"/>
          <w:szCs w:val="20"/>
        </w:rPr>
        <w:t>the rates of spondylosis among African men and African women were found to be 3.5% and 2.6% respectively. The overall incidence of spondylolysis was 3.5%, without significant variation between races</w:t>
      </w:r>
      <w:r w:rsidR="00120CD7" w:rsidRPr="00B057A4">
        <w:rPr>
          <w:rFonts w:ascii="Arial" w:hAnsi="Arial" w:cs="Arial"/>
          <w:sz w:val="20"/>
          <w:szCs w:val="20"/>
        </w:rPr>
        <w:t xml:space="preserve"> (Eisenstein, 1978)</w:t>
      </w:r>
      <w:r w:rsidRPr="00B057A4">
        <w:rPr>
          <w:rFonts w:ascii="Arial" w:hAnsi="Arial" w:cs="Arial"/>
          <w:sz w:val="20"/>
          <w:szCs w:val="20"/>
        </w:rPr>
        <w:t>. Conversely, another skeletal study</w:t>
      </w:r>
      <w:r w:rsidR="00120CD7" w:rsidRPr="00B057A4">
        <w:rPr>
          <w:rFonts w:ascii="Arial" w:hAnsi="Arial" w:cs="Arial"/>
          <w:sz w:val="20"/>
          <w:szCs w:val="20"/>
        </w:rPr>
        <w:t xml:space="preserve"> </w:t>
      </w:r>
      <w:r w:rsidRPr="00B057A4">
        <w:rPr>
          <w:rFonts w:ascii="Arial" w:hAnsi="Arial" w:cs="Arial"/>
          <w:sz w:val="20"/>
          <w:szCs w:val="20"/>
        </w:rPr>
        <w:t>found that the rates of spondylosis among whites were significantly higher than in black subjects, with the prevalence of lumbar spondylolysis of 2.8% in African-American men, and 1.1% in African-American women, compared to 6.4% in white men and 2.3% in white women</w:t>
      </w:r>
      <w:r w:rsidR="00120CD7" w:rsidRPr="00B057A4">
        <w:rPr>
          <w:rFonts w:ascii="Arial" w:hAnsi="Arial" w:cs="Arial"/>
          <w:sz w:val="20"/>
          <w:szCs w:val="20"/>
        </w:rPr>
        <w:t xml:space="preserve"> (Roche &amp; Rowe, 1951)</w:t>
      </w:r>
      <w:r w:rsidRPr="00B057A4">
        <w:rPr>
          <w:rFonts w:ascii="Arial" w:hAnsi="Arial" w:cs="Arial"/>
          <w:sz w:val="20"/>
          <w:szCs w:val="20"/>
        </w:rPr>
        <w:t>. A CT-based study in New York</w:t>
      </w:r>
      <w:r w:rsidR="00120CD7" w:rsidRPr="00B057A4">
        <w:rPr>
          <w:rFonts w:ascii="Arial" w:hAnsi="Arial" w:cs="Arial"/>
          <w:sz w:val="20"/>
          <w:szCs w:val="20"/>
        </w:rPr>
        <w:t xml:space="preserve"> </w:t>
      </w:r>
      <w:r w:rsidRPr="00B057A4">
        <w:rPr>
          <w:rFonts w:ascii="Arial" w:hAnsi="Arial" w:cs="Arial"/>
          <w:sz w:val="20"/>
          <w:szCs w:val="20"/>
        </w:rPr>
        <w:t xml:space="preserve">also found that the prevalence of lumbar spondylolysis was significantly higher in white patients compared with that in black patients </w:t>
      </w:r>
      <w:r w:rsidR="00120CD7" w:rsidRPr="00B057A4">
        <w:rPr>
          <w:rFonts w:ascii="Arial" w:hAnsi="Arial" w:cs="Arial"/>
          <w:sz w:val="20"/>
          <w:szCs w:val="20"/>
        </w:rPr>
        <w:t xml:space="preserve">with prevalences of </w:t>
      </w:r>
      <w:r w:rsidRPr="00B057A4">
        <w:rPr>
          <w:rFonts w:ascii="Arial" w:hAnsi="Arial" w:cs="Arial"/>
          <w:sz w:val="20"/>
          <w:szCs w:val="20"/>
        </w:rPr>
        <w:t xml:space="preserve">3.0% </w:t>
      </w:r>
      <w:r w:rsidR="00120CD7" w:rsidRPr="00B057A4">
        <w:rPr>
          <w:rFonts w:ascii="Arial" w:hAnsi="Arial" w:cs="Arial"/>
          <w:sz w:val="20"/>
          <w:szCs w:val="20"/>
        </w:rPr>
        <w:t xml:space="preserve">and </w:t>
      </w:r>
      <w:r w:rsidRPr="00B057A4">
        <w:rPr>
          <w:rFonts w:ascii="Arial" w:hAnsi="Arial" w:cs="Arial"/>
          <w:sz w:val="20"/>
          <w:szCs w:val="20"/>
        </w:rPr>
        <w:t>0.8%</w:t>
      </w:r>
      <w:r w:rsidR="00120CD7" w:rsidRPr="00B057A4">
        <w:rPr>
          <w:rFonts w:ascii="Arial" w:hAnsi="Arial" w:cs="Arial"/>
          <w:sz w:val="20"/>
          <w:szCs w:val="20"/>
        </w:rPr>
        <w:t xml:space="preserve"> respectively (Yoshihara et al, 2023)</w:t>
      </w:r>
      <w:r w:rsidRPr="00B057A4">
        <w:rPr>
          <w:rFonts w:ascii="Arial" w:hAnsi="Arial" w:cs="Arial"/>
          <w:sz w:val="20"/>
          <w:szCs w:val="20"/>
        </w:rPr>
        <w:t>. Numerous CT-based studies among non-black populations show a spondylolysis prevalence ranging from 3% to 11.5%, and spondylolisthesis rates ranging between 6% to 20.7%</w:t>
      </w:r>
      <w:r w:rsidR="00263309" w:rsidRPr="00B057A4">
        <w:rPr>
          <w:rFonts w:ascii="Arial" w:hAnsi="Arial" w:cs="Arial"/>
          <w:sz w:val="20"/>
          <w:szCs w:val="20"/>
        </w:rPr>
        <w:t xml:space="preserve"> (Yoshihara et al, 2023; Sakai et al, 2009; Ko &amp; Lee, 2011; Belfi et al, 2006; Kalichman et al, 2009; Aoki et al, 2020; </w:t>
      </w:r>
      <w:proofErr w:type="spellStart"/>
      <w:r w:rsidR="00263309" w:rsidRPr="00B057A4">
        <w:rPr>
          <w:rFonts w:ascii="Arial" w:hAnsi="Arial" w:cs="Arial"/>
          <w:sz w:val="20"/>
          <w:szCs w:val="20"/>
        </w:rPr>
        <w:t>Layegh</w:t>
      </w:r>
      <w:proofErr w:type="spellEnd"/>
      <w:r w:rsidR="00263309" w:rsidRPr="00B057A4">
        <w:rPr>
          <w:rFonts w:ascii="Arial" w:hAnsi="Arial" w:cs="Arial"/>
          <w:sz w:val="20"/>
          <w:szCs w:val="20"/>
        </w:rPr>
        <w:t xml:space="preserve"> &amp; </w:t>
      </w:r>
      <w:proofErr w:type="spellStart"/>
      <w:r w:rsidR="00263309" w:rsidRPr="00B057A4">
        <w:rPr>
          <w:rFonts w:ascii="Arial" w:hAnsi="Arial" w:cs="Arial"/>
          <w:sz w:val="20"/>
          <w:szCs w:val="20"/>
        </w:rPr>
        <w:t>Hejazian</w:t>
      </w:r>
      <w:proofErr w:type="spellEnd"/>
      <w:r w:rsidR="00263309" w:rsidRPr="00B057A4">
        <w:rPr>
          <w:rFonts w:ascii="Arial" w:hAnsi="Arial" w:cs="Arial"/>
          <w:sz w:val="20"/>
          <w:szCs w:val="20"/>
        </w:rPr>
        <w:t>, 2017)</w:t>
      </w:r>
      <w:r w:rsidRPr="00B057A4">
        <w:rPr>
          <w:rFonts w:ascii="Arial" w:hAnsi="Arial" w:cs="Arial"/>
          <w:sz w:val="20"/>
          <w:szCs w:val="20"/>
        </w:rPr>
        <w:t>.</w:t>
      </w:r>
      <w:r w:rsidR="00263309" w:rsidRPr="00B057A4">
        <w:rPr>
          <w:rFonts w:ascii="Arial" w:hAnsi="Arial" w:cs="Arial"/>
          <w:sz w:val="20"/>
          <w:szCs w:val="20"/>
        </w:rPr>
        <w:t xml:space="preserve"> No studies exploring the rates of spondylolisthesis among black populations were found.</w:t>
      </w:r>
    </w:p>
    <w:p w14:paraId="0117A4D0" w14:textId="7E4625BB" w:rsidR="00D5095A" w:rsidRPr="00B057A4" w:rsidRDefault="00D5095A" w:rsidP="00B057A4">
      <w:pPr>
        <w:spacing w:line="480" w:lineRule="auto"/>
        <w:rPr>
          <w:rFonts w:ascii="Arial" w:hAnsi="Arial" w:cs="Arial"/>
          <w:sz w:val="20"/>
          <w:szCs w:val="20"/>
        </w:rPr>
      </w:pPr>
      <w:r w:rsidRPr="00B057A4">
        <w:rPr>
          <w:rFonts w:ascii="Arial" w:hAnsi="Arial" w:cs="Arial"/>
          <w:sz w:val="20"/>
          <w:szCs w:val="20"/>
        </w:rPr>
        <w:t>CT has been shown to be superior to radiographs and MRI in the evaluation of spondylolysis in multiple studies. A comparative study found that the sensitivity and false-negative rate of MRI in the diagnosis of spondylolysis were 59.1% and 40.9% respectively</w:t>
      </w:r>
      <w:r w:rsidR="00263309" w:rsidRPr="00B057A4">
        <w:rPr>
          <w:rFonts w:ascii="Arial" w:hAnsi="Arial" w:cs="Arial"/>
          <w:sz w:val="20"/>
          <w:szCs w:val="20"/>
        </w:rPr>
        <w:t>, w</w:t>
      </w:r>
      <w:r w:rsidRPr="00B057A4">
        <w:rPr>
          <w:rFonts w:ascii="Arial" w:hAnsi="Arial" w:cs="Arial"/>
          <w:sz w:val="20"/>
          <w:szCs w:val="20"/>
        </w:rPr>
        <w:t>hile the sensitivity and false-negative rate of CT scan were 77.3% and 22.7%</w:t>
      </w:r>
      <w:r w:rsidR="00263309" w:rsidRPr="00B057A4">
        <w:rPr>
          <w:rFonts w:ascii="Arial" w:hAnsi="Arial" w:cs="Arial"/>
          <w:sz w:val="20"/>
          <w:szCs w:val="20"/>
        </w:rPr>
        <w:t xml:space="preserve"> (West et al, 2019)</w:t>
      </w:r>
      <w:r w:rsidRPr="00B057A4">
        <w:rPr>
          <w:rFonts w:ascii="Arial" w:hAnsi="Arial" w:cs="Arial"/>
          <w:sz w:val="20"/>
          <w:szCs w:val="20"/>
        </w:rPr>
        <w:t xml:space="preserve">. In a study of 42 </w:t>
      </w:r>
      <w:r w:rsidR="00B057A4" w:rsidRPr="00B057A4">
        <w:rPr>
          <w:rFonts w:ascii="Arial" w:hAnsi="Arial" w:cs="Arial"/>
          <w:sz w:val="20"/>
          <w:szCs w:val="20"/>
        </w:rPr>
        <w:t>paediatric</w:t>
      </w:r>
      <w:r w:rsidRPr="00B057A4">
        <w:rPr>
          <w:rFonts w:ascii="Arial" w:hAnsi="Arial" w:cs="Arial"/>
          <w:sz w:val="20"/>
          <w:szCs w:val="20"/>
        </w:rPr>
        <w:t xml:space="preserve"> patients at a single institution, CT provided a greater level of agreement than 2D MRI and 2D + 3D MRI</w:t>
      </w:r>
      <w:r w:rsidR="00263309" w:rsidRPr="00B057A4">
        <w:rPr>
          <w:rFonts w:ascii="Arial" w:hAnsi="Arial" w:cs="Arial"/>
          <w:sz w:val="20"/>
          <w:szCs w:val="20"/>
        </w:rPr>
        <w:t xml:space="preserve"> (Delevan et al, 2016)</w:t>
      </w:r>
      <w:r w:rsidRPr="00B057A4">
        <w:rPr>
          <w:rFonts w:ascii="Arial" w:hAnsi="Arial" w:cs="Arial"/>
          <w:sz w:val="20"/>
          <w:szCs w:val="20"/>
        </w:rPr>
        <w:t>. In another comparison study</w:t>
      </w:r>
      <w:r w:rsidRPr="00B057A4">
        <w:rPr>
          <w:rFonts w:ascii="Arial" w:hAnsi="Arial" w:cs="Arial"/>
          <w:b/>
          <w:bCs/>
          <w:sz w:val="20"/>
          <w:szCs w:val="20"/>
        </w:rPr>
        <w:t xml:space="preserve">, </w:t>
      </w:r>
      <w:r w:rsidRPr="00B057A4">
        <w:rPr>
          <w:rFonts w:ascii="Arial" w:hAnsi="Arial" w:cs="Arial"/>
          <w:sz w:val="20"/>
          <w:szCs w:val="20"/>
        </w:rPr>
        <w:t xml:space="preserve">CT provided a significantly higher level of agreement among raters than radiographs regardless of the number of </w:t>
      </w:r>
      <w:r w:rsidR="00AA1D2D" w:rsidRPr="00B057A4">
        <w:rPr>
          <w:rFonts w:ascii="Arial" w:hAnsi="Arial" w:cs="Arial"/>
          <w:sz w:val="20"/>
          <w:szCs w:val="20"/>
        </w:rPr>
        <w:t xml:space="preserve">radiographic </w:t>
      </w:r>
      <w:r w:rsidRPr="00B057A4">
        <w:rPr>
          <w:rFonts w:ascii="Arial" w:hAnsi="Arial" w:cs="Arial"/>
          <w:sz w:val="20"/>
          <w:szCs w:val="20"/>
        </w:rPr>
        <w:t>views</w:t>
      </w:r>
      <w:r w:rsidR="00263309" w:rsidRPr="00B057A4">
        <w:rPr>
          <w:rFonts w:ascii="Arial" w:hAnsi="Arial" w:cs="Arial"/>
          <w:sz w:val="20"/>
          <w:szCs w:val="20"/>
        </w:rPr>
        <w:t xml:space="preserve"> (Fadell et al, 2015)</w:t>
      </w:r>
      <w:r w:rsidRPr="00B057A4">
        <w:rPr>
          <w:rFonts w:ascii="Arial" w:hAnsi="Arial" w:cs="Arial"/>
          <w:sz w:val="20"/>
          <w:szCs w:val="20"/>
        </w:rPr>
        <w:t>.</w:t>
      </w:r>
    </w:p>
    <w:p w14:paraId="482CC06D" w14:textId="48032FBE" w:rsidR="00441902" w:rsidRPr="00B057A4" w:rsidRDefault="00D5095A" w:rsidP="00B057A4">
      <w:pPr>
        <w:spacing w:line="480" w:lineRule="auto"/>
        <w:rPr>
          <w:rFonts w:ascii="Arial" w:hAnsi="Arial" w:cs="Arial"/>
          <w:sz w:val="20"/>
          <w:szCs w:val="20"/>
        </w:rPr>
      </w:pPr>
      <w:r w:rsidRPr="00B057A4">
        <w:rPr>
          <w:rFonts w:ascii="Arial" w:hAnsi="Arial" w:cs="Arial"/>
          <w:sz w:val="20"/>
          <w:szCs w:val="20"/>
        </w:rPr>
        <w:t xml:space="preserve">A systematic review estimated that the 12-month prevalence of low back pain among certain Nigerian adult populations to be between 32.5% to 73.53% </w:t>
      </w:r>
      <w:r w:rsidR="00263309" w:rsidRPr="00B057A4">
        <w:rPr>
          <w:rFonts w:ascii="Arial" w:hAnsi="Arial" w:cs="Arial"/>
          <w:sz w:val="20"/>
          <w:szCs w:val="20"/>
        </w:rPr>
        <w:t>(Bello</w:t>
      </w:r>
      <w:r w:rsidR="00B057A4">
        <w:rPr>
          <w:rFonts w:ascii="Arial" w:hAnsi="Arial" w:cs="Arial"/>
          <w:sz w:val="20"/>
          <w:szCs w:val="20"/>
        </w:rPr>
        <w:t xml:space="preserve"> &amp; Bello Ahmed</w:t>
      </w:r>
      <w:r w:rsidR="00263309" w:rsidRPr="00B057A4">
        <w:rPr>
          <w:rFonts w:ascii="Arial" w:hAnsi="Arial" w:cs="Arial"/>
          <w:sz w:val="20"/>
          <w:szCs w:val="20"/>
        </w:rPr>
        <w:t>, 2017)</w:t>
      </w:r>
      <w:r w:rsidRPr="00B057A4">
        <w:rPr>
          <w:rFonts w:ascii="Arial" w:hAnsi="Arial" w:cs="Arial"/>
          <w:sz w:val="20"/>
          <w:szCs w:val="20"/>
        </w:rPr>
        <w:t>. Spondylolysis is a common cause of pain in younger patients and athletes, so it remains an important lower back pathology. In children</w:t>
      </w:r>
      <w:r w:rsidR="001C0E48" w:rsidRPr="00B057A4">
        <w:rPr>
          <w:rFonts w:ascii="Arial" w:hAnsi="Arial" w:cs="Arial"/>
          <w:sz w:val="20"/>
          <w:szCs w:val="20"/>
        </w:rPr>
        <w:t>,</w:t>
      </w:r>
      <w:r w:rsidRPr="00B057A4">
        <w:rPr>
          <w:rFonts w:ascii="Arial" w:hAnsi="Arial" w:cs="Arial"/>
          <w:sz w:val="20"/>
          <w:szCs w:val="20"/>
        </w:rPr>
        <w:t xml:space="preserve"> the most common identifiable cause of lower back pain is spondylolysis</w:t>
      </w:r>
      <w:r w:rsidR="00263309" w:rsidRPr="00B057A4">
        <w:rPr>
          <w:rFonts w:ascii="Arial" w:hAnsi="Arial" w:cs="Arial"/>
          <w:sz w:val="20"/>
          <w:szCs w:val="20"/>
        </w:rPr>
        <w:t xml:space="preserve"> (Kruger, 2015)</w:t>
      </w:r>
      <w:r w:rsidRPr="00B057A4">
        <w:rPr>
          <w:rFonts w:ascii="Arial" w:hAnsi="Arial" w:cs="Arial"/>
          <w:b/>
          <w:bCs/>
          <w:sz w:val="20"/>
          <w:szCs w:val="20"/>
        </w:rPr>
        <w:t xml:space="preserve">. </w:t>
      </w:r>
      <w:r w:rsidRPr="00B057A4">
        <w:rPr>
          <w:rFonts w:ascii="Arial" w:hAnsi="Arial" w:cs="Arial"/>
          <w:sz w:val="20"/>
          <w:szCs w:val="20"/>
        </w:rPr>
        <w:lastRenderedPageBreak/>
        <w:t>Multiple studies have also found significantly higher rates and higher grades of spondylolisthesis among</w:t>
      </w:r>
      <w:r w:rsidR="002D0734">
        <w:rPr>
          <w:rFonts w:ascii="Arial" w:hAnsi="Arial" w:cs="Arial"/>
          <w:sz w:val="20"/>
          <w:szCs w:val="20"/>
        </w:rPr>
        <w:t xml:space="preserve"> </w:t>
      </w:r>
      <w:r w:rsidRPr="00B057A4">
        <w:rPr>
          <w:rFonts w:ascii="Arial" w:hAnsi="Arial" w:cs="Arial"/>
          <w:sz w:val="20"/>
          <w:szCs w:val="20"/>
        </w:rPr>
        <w:t xml:space="preserve">patients with spondylolysis than the general population. Since higher grade spondylolisthesis could lead to nerve root injury, it definitely represents a condition that should be further studied. This study would serve as the </w:t>
      </w:r>
      <w:r w:rsidR="003A52CF" w:rsidRPr="00B057A4">
        <w:rPr>
          <w:rFonts w:ascii="Arial" w:hAnsi="Arial" w:cs="Arial"/>
          <w:sz w:val="20"/>
          <w:szCs w:val="20"/>
        </w:rPr>
        <w:t xml:space="preserve">pioneer </w:t>
      </w:r>
      <w:r w:rsidRPr="00B057A4">
        <w:rPr>
          <w:rFonts w:ascii="Arial" w:hAnsi="Arial" w:cs="Arial"/>
          <w:sz w:val="20"/>
          <w:szCs w:val="20"/>
        </w:rPr>
        <w:t>CT-based study of the prevalence of spondylolysis and spondylolisthesis in a sub-Saharan African population.</w:t>
      </w:r>
    </w:p>
    <w:p w14:paraId="48DCBBA0" w14:textId="77777777" w:rsidR="003A52CF" w:rsidRPr="007B016B" w:rsidRDefault="003A52CF" w:rsidP="00B057A4">
      <w:pPr>
        <w:spacing w:line="480" w:lineRule="auto"/>
        <w:rPr>
          <w:rFonts w:ascii="Arial" w:hAnsi="Arial" w:cs="Arial"/>
        </w:rPr>
      </w:pPr>
    </w:p>
    <w:p w14:paraId="7EEE9EAF" w14:textId="6C4AA68C" w:rsidR="003A52CF" w:rsidRPr="007B016B" w:rsidRDefault="003A52CF" w:rsidP="00B057A4">
      <w:pPr>
        <w:pStyle w:val="ListParagraph"/>
        <w:numPr>
          <w:ilvl w:val="0"/>
          <w:numId w:val="1"/>
        </w:numPr>
        <w:autoSpaceDE w:val="0"/>
        <w:autoSpaceDN w:val="0"/>
        <w:adjustRightInd w:val="0"/>
        <w:spacing w:after="200" w:line="480" w:lineRule="auto"/>
        <w:rPr>
          <w:rFonts w:ascii="Arial" w:hAnsi="Arial" w:cs="Arial"/>
          <w:b/>
          <w:bCs/>
          <w:lang w:val="en"/>
        </w:rPr>
      </w:pPr>
      <w:r w:rsidRPr="007B016B">
        <w:rPr>
          <w:rFonts w:ascii="Arial" w:hAnsi="Arial" w:cs="Arial"/>
          <w:b/>
          <w:bCs/>
          <w:lang w:val="en"/>
        </w:rPr>
        <w:t>MATERIALS AND METHODS</w:t>
      </w:r>
    </w:p>
    <w:p w14:paraId="234A9AC2" w14:textId="3F0EFEA3" w:rsidR="003A52CF" w:rsidRPr="00AB303D" w:rsidRDefault="0057061B" w:rsidP="00B057A4">
      <w:pPr>
        <w:autoSpaceDE w:val="0"/>
        <w:autoSpaceDN w:val="0"/>
        <w:adjustRightInd w:val="0"/>
        <w:spacing w:after="200" w:line="480" w:lineRule="auto"/>
        <w:rPr>
          <w:rFonts w:ascii="Arial" w:hAnsi="Arial" w:cs="Arial"/>
          <w:b/>
          <w:bCs/>
          <w:lang w:val="en"/>
        </w:rPr>
      </w:pPr>
      <w:r w:rsidRPr="00AB303D">
        <w:rPr>
          <w:rFonts w:ascii="Arial" w:hAnsi="Arial" w:cs="Arial"/>
          <w:b/>
          <w:bCs/>
          <w:lang w:val="en"/>
        </w:rPr>
        <w:t xml:space="preserve">2.1 </w:t>
      </w:r>
      <w:r w:rsidR="003A52CF" w:rsidRPr="00AB303D">
        <w:rPr>
          <w:rFonts w:ascii="Arial" w:hAnsi="Arial" w:cs="Arial"/>
          <w:b/>
          <w:bCs/>
          <w:lang w:val="en"/>
        </w:rPr>
        <w:t>Study design</w:t>
      </w:r>
    </w:p>
    <w:p w14:paraId="001FCFA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This is a cross-sectional retrospective hospital-based study.</w:t>
      </w:r>
    </w:p>
    <w:p w14:paraId="5F6D3472" w14:textId="5F016B40" w:rsidR="003A52CF" w:rsidRPr="00AB303D" w:rsidRDefault="0057061B" w:rsidP="00B057A4">
      <w:pPr>
        <w:spacing w:line="480" w:lineRule="auto"/>
        <w:rPr>
          <w:rFonts w:ascii="Arial" w:hAnsi="Arial" w:cs="Arial"/>
          <w:b/>
          <w:bCs/>
        </w:rPr>
      </w:pPr>
      <w:r w:rsidRPr="00AB303D">
        <w:rPr>
          <w:rFonts w:ascii="Arial" w:hAnsi="Arial" w:cs="Arial"/>
          <w:b/>
          <w:bCs/>
        </w:rPr>
        <w:t xml:space="preserve">2.2 </w:t>
      </w:r>
      <w:r w:rsidR="003A52CF" w:rsidRPr="00AB303D">
        <w:rPr>
          <w:rFonts w:ascii="Arial" w:hAnsi="Arial" w:cs="Arial"/>
          <w:b/>
          <w:bCs/>
        </w:rPr>
        <w:t>Study venue</w:t>
      </w:r>
    </w:p>
    <w:p w14:paraId="7B81D4E6"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The study will be carried out in the department of radiology of the federal medical center Ebute Metta (FMC EB), a tertiary health institution located in Lagos state, South western Nigeria. The institution is a referral center for Lagos state with a population of at least 16.4 million inhabitants according to a 2018 Lagos state government estimate. The other five states of the south western Nigeria also utilize this facility. The department provides a wide range of radiological services.</w:t>
      </w:r>
    </w:p>
    <w:p w14:paraId="3ED181D4" w14:textId="7E227EFF" w:rsidR="003A52CF" w:rsidRPr="00B057A4" w:rsidRDefault="0057061B" w:rsidP="00B057A4">
      <w:pPr>
        <w:autoSpaceDE w:val="0"/>
        <w:autoSpaceDN w:val="0"/>
        <w:adjustRightInd w:val="0"/>
        <w:spacing w:after="200" w:line="480" w:lineRule="auto"/>
        <w:rPr>
          <w:rFonts w:ascii="Arial" w:hAnsi="Arial" w:cs="Arial"/>
          <w:sz w:val="20"/>
          <w:szCs w:val="20"/>
          <w:lang w:val="en"/>
        </w:rPr>
      </w:pPr>
      <w:r w:rsidRPr="00AB303D">
        <w:rPr>
          <w:rFonts w:ascii="Arial" w:hAnsi="Arial" w:cs="Arial"/>
          <w:b/>
          <w:lang w:val="en"/>
        </w:rPr>
        <w:t xml:space="preserve">2.3 </w:t>
      </w:r>
      <w:r w:rsidR="003A52CF" w:rsidRPr="00AB303D">
        <w:rPr>
          <w:rFonts w:ascii="Arial" w:hAnsi="Arial" w:cs="Arial"/>
          <w:b/>
          <w:lang w:val="en"/>
        </w:rPr>
        <w:t>Study Duration</w:t>
      </w:r>
      <w:r w:rsidR="003A52CF" w:rsidRPr="00B057A4">
        <w:rPr>
          <w:rFonts w:ascii="Arial" w:hAnsi="Arial" w:cs="Arial"/>
          <w:sz w:val="20"/>
          <w:szCs w:val="20"/>
          <w:lang w:val="en"/>
        </w:rPr>
        <w:br/>
        <w:t xml:space="preserve">The study </w:t>
      </w:r>
      <w:r w:rsidR="008815E3" w:rsidRPr="00B057A4">
        <w:rPr>
          <w:rFonts w:ascii="Arial" w:hAnsi="Arial" w:cs="Arial"/>
          <w:sz w:val="20"/>
          <w:szCs w:val="20"/>
          <w:lang w:val="en"/>
        </w:rPr>
        <w:t>was</w:t>
      </w:r>
      <w:r w:rsidR="003A52CF" w:rsidRPr="00B057A4">
        <w:rPr>
          <w:rFonts w:ascii="Arial" w:hAnsi="Arial" w:cs="Arial"/>
          <w:sz w:val="20"/>
          <w:szCs w:val="20"/>
          <w:lang w:val="en"/>
        </w:rPr>
        <w:t xml:space="preserve"> carried out over a period of </w:t>
      </w:r>
      <w:r w:rsidR="008815E3" w:rsidRPr="00B057A4">
        <w:rPr>
          <w:rFonts w:ascii="Arial" w:hAnsi="Arial" w:cs="Arial"/>
          <w:sz w:val="20"/>
          <w:szCs w:val="20"/>
          <w:lang w:val="en"/>
        </w:rPr>
        <w:t>one</w:t>
      </w:r>
      <w:r w:rsidR="003A52CF" w:rsidRPr="00B057A4">
        <w:rPr>
          <w:rFonts w:ascii="Arial" w:hAnsi="Arial" w:cs="Arial"/>
          <w:sz w:val="20"/>
          <w:szCs w:val="20"/>
          <w:lang w:val="en"/>
        </w:rPr>
        <w:t xml:space="preserve"> month from approval from the Ethics committee of FMC Ebute Metta.</w:t>
      </w:r>
    </w:p>
    <w:p w14:paraId="29F50958" w14:textId="70DA7A61" w:rsidR="0057061B" w:rsidRPr="00B057A4" w:rsidRDefault="0057061B" w:rsidP="00B057A4">
      <w:pPr>
        <w:autoSpaceDE w:val="0"/>
        <w:autoSpaceDN w:val="0"/>
        <w:adjustRightInd w:val="0"/>
        <w:spacing w:after="200" w:line="480" w:lineRule="auto"/>
        <w:rPr>
          <w:rFonts w:ascii="Arial" w:hAnsi="Arial" w:cs="Arial"/>
          <w:b/>
          <w:bCs/>
          <w:sz w:val="20"/>
          <w:szCs w:val="20"/>
          <w:lang w:val="en"/>
        </w:rPr>
      </w:pPr>
      <w:r w:rsidRPr="00AB303D">
        <w:rPr>
          <w:rFonts w:ascii="Arial" w:hAnsi="Arial" w:cs="Arial"/>
          <w:b/>
          <w:bCs/>
          <w:lang w:val="en"/>
        </w:rPr>
        <w:t>2.4 Study Population</w:t>
      </w:r>
      <w:r w:rsidRPr="00B057A4">
        <w:rPr>
          <w:rFonts w:ascii="Arial" w:hAnsi="Arial" w:cs="Arial"/>
          <w:b/>
          <w:bCs/>
          <w:sz w:val="20"/>
          <w:szCs w:val="20"/>
          <w:lang w:val="en"/>
        </w:rPr>
        <w:br/>
      </w:r>
      <w:r w:rsidRPr="00B057A4">
        <w:rPr>
          <w:rFonts w:ascii="Arial" w:hAnsi="Arial" w:cs="Arial"/>
          <w:sz w:val="20"/>
          <w:szCs w:val="20"/>
          <w:lang w:val="en"/>
        </w:rPr>
        <w:t xml:space="preserve">The study population is made up of patients who performed abdominopelvic CTs or CT </w:t>
      </w:r>
      <w:proofErr w:type="spellStart"/>
      <w:r w:rsidRPr="00B057A4">
        <w:rPr>
          <w:rFonts w:ascii="Arial" w:hAnsi="Arial" w:cs="Arial"/>
          <w:sz w:val="20"/>
          <w:szCs w:val="20"/>
          <w:lang w:val="en"/>
        </w:rPr>
        <w:t>urograms</w:t>
      </w:r>
      <w:proofErr w:type="spellEnd"/>
      <w:r w:rsidRPr="00B057A4">
        <w:rPr>
          <w:rFonts w:ascii="Arial" w:hAnsi="Arial" w:cs="Arial"/>
          <w:sz w:val="20"/>
          <w:szCs w:val="20"/>
          <w:lang w:val="en"/>
        </w:rPr>
        <w:t xml:space="preserve"> in the radiology department of the Federal Medical Center, Ebute Metta Lagos.</w:t>
      </w:r>
    </w:p>
    <w:p w14:paraId="066E68AD" w14:textId="776F5709" w:rsidR="003A52CF" w:rsidRPr="00B057A4" w:rsidRDefault="0057061B" w:rsidP="00B057A4">
      <w:pPr>
        <w:autoSpaceDE w:val="0"/>
        <w:autoSpaceDN w:val="0"/>
        <w:adjustRightInd w:val="0"/>
        <w:spacing w:after="200" w:line="480" w:lineRule="auto"/>
        <w:rPr>
          <w:rFonts w:ascii="Arial" w:hAnsi="Arial" w:cs="Arial"/>
          <w:sz w:val="20"/>
          <w:szCs w:val="20"/>
          <w:vertAlign w:val="superscript"/>
          <w:lang w:val="en"/>
        </w:rPr>
      </w:pPr>
      <w:r w:rsidRPr="00AB303D">
        <w:rPr>
          <w:rFonts w:ascii="Arial" w:hAnsi="Arial" w:cs="Arial"/>
          <w:b/>
          <w:bCs/>
          <w:lang w:val="en"/>
        </w:rPr>
        <w:t xml:space="preserve">2.5 </w:t>
      </w:r>
      <w:r w:rsidR="003A52CF" w:rsidRPr="00AB303D">
        <w:rPr>
          <w:rFonts w:ascii="Arial" w:hAnsi="Arial" w:cs="Arial"/>
          <w:b/>
          <w:bCs/>
          <w:lang w:val="en"/>
        </w:rPr>
        <w:t>Sample size determination</w:t>
      </w:r>
      <w:r w:rsidR="003A52CF" w:rsidRPr="00B057A4">
        <w:rPr>
          <w:rFonts w:ascii="Arial" w:hAnsi="Arial" w:cs="Arial"/>
          <w:b/>
          <w:bCs/>
          <w:sz w:val="20"/>
          <w:szCs w:val="20"/>
          <w:lang w:val="en"/>
        </w:rPr>
        <w:br/>
      </w:r>
      <w:r w:rsidR="003A52CF" w:rsidRPr="00B057A4">
        <w:rPr>
          <w:rFonts w:ascii="Arial" w:hAnsi="Arial" w:cs="Arial"/>
          <w:sz w:val="20"/>
          <w:szCs w:val="20"/>
          <w:lang w:val="en"/>
        </w:rPr>
        <w:t xml:space="preserve">The sample size </w:t>
      </w:r>
      <w:r w:rsidR="008815E3" w:rsidRPr="00B057A4">
        <w:rPr>
          <w:rFonts w:ascii="Arial" w:hAnsi="Arial" w:cs="Arial"/>
          <w:sz w:val="20"/>
          <w:szCs w:val="20"/>
          <w:lang w:val="en"/>
        </w:rPr>
        <w:t>was</w:t>
      </w:r>
      <w:r w:rsidR="003A52CF" w:rsidRPr="00B057A4">
        <w:rPr>
          <w:rFonts w:ascii="Arial" w:hAnsi="Arial" w:cs="Arial"/>
          <w:sz w:val="20"/>
          <w:szCs w:val="20"/>
          <w:lang w:val="en"/>
        </w:rPr>
        <w:t xml:space="preserve"> calculated from the formula n =Z</w:t>
      </w:r>
      <w:r w:rsidR="003A52CF" w:rsidRPr="00B057A4">
        <w:rPr>
          <w:rFonts w:ascii="Arial" w:hAnsi="Arial" w:cs="Arial"/>
          <w:sz w:val="20"/>
          <w:szCs w:val="20"/>
          <w:vertAlign w:val="superscript"/>
          <w:lang w:val="en"/>
        </w:rPr>
        <w:t>2</w:t>
      </w:r>
      <w:r w:rsidR="003A52CF" w:rsidRPr="00B057A4">
        <w:rPr>
          <w:rFonts w:ascii="Arial" w:hAnsi="Arial" w:cs="Arial"/>
          <w:sz w:val="20"/>
          <w:szCs w:val="20"/>
          <w:lang w:val="en"/>
        </w:rPr>
        <w:t>qP/d</w:t>
      </w:r>
      <w:r w:rsidR="003A52CF" w:rsidRPr="00B057A4">
        <w:rPr>
          <w:rFonts w:ascii="Arial" w:hAnsi="Arial" w:cs="Arial"/>
          <w:sz w:val="20"/>
          <w:szCs w:val="20"/>
          <w:vertAlign w:val="superscript"/>
          <w:lang w:val="en"/>
        </w:rPr>
        <w:t xml:space="preserve"> 2</w:t>
      </w:r>
    </w:p>
    <w:p w14:paraId="54B27356"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lastRenderedPageBreak/>
        <w:t>Where n= minimum sample size</w:t>
      </w:r>
    </w:p>
    <w:p w14:paraId="5CFF96D0"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Z= % of the normal standard distribution which defines 95% confidence interval and is = 1.96</w:t>
      </w:r>
    </w:p>
    <w:p w14:paraId="54498AF8"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P= prevalence of population estimated to have spondylolysis</w:t>
      </w:r>
    </w:p>
    <w:p w14:paraId="24652B08"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q = complementary probability where (1-p) = q</w:t>
      </w:r>
    </w:p>
    <w:p w14:paraId="58308AB3"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d = degree of accuracy set as 0.05</w:t>
      </w:r>
    </w:p>
    <w:p w14:paraId="5945E917"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P= prevalence of spondylolysis in CT images is noted by Belfi et al in 2006 to be approximately 6%</w:t>
      </w:r>
    </w:p>
    <w:p w14:paraId="6A0BFF0E"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The estimated sample size is</w:t>
      </w:r>
    </w:p>
    <w:p w14:paraId="6944A4E9" w14:textId="77777777" w:rsidR="003A52CF" w:rsidRPr="00B057A4" w:rsidRDefault="003A52CF" w:rsidP="00B057A4">
      <w:pPr>
        <w:autoSpaceDE w:val="0"/>
        <w:autoSpaceDN w:val="0"/>
        <w:adjustRightInd w:val="0"/>
        <w:spacing w:after="200" w:line="480" w:lineRule="auto"/>
        <w:rPr>
          <w:rFonts w:ascii="Arial" w:hAnsi="Arial" w:cs="Arial"/>
          <w:sz w:val="20"/>
          <w:szCs w:val="20"/>
          <w:u w:val="single"/>
          <w:lang w:val="en"/>
        </w:rPr>
      </w:pPr>
      <w:r w:rsidRPr="00B057A4">
        <w:rPr>
          <w:rFonts w:ascii="Arial" w:hAnsi="Arial" w:cs="Arial"/>
          <w:sz w:val="20"/>
          <w:szCs w:val="20"/>
          <w:lang w:val="en"/>
        </w:rPr>
        <w:t xml:space="preserve">n = </w:t>
      </w:r>
      <w:r w:rsidRPr="00B057A4">
        <w:rPr>
          <w:rFonts w:ascii="Arial" w:hAnsi="Arial" w:cs="Arial"/>
          <w:sz w:val="20"/>
          <w:szCs w:val="20"/>
          <w:u w:val="single"/>
          <w:lang w:val="en"/>
        </w:rPr>
        <w:t>(1.96)</w:t>
      </w:r>
      <w:r w:rsidRPr="00B057A4">
        <w:rPr>
          <w:rFonts w:ascii="Arial" w:hAnsi="Arial" w:cs="Arial"/>
          <w:sz w:val="20"/>
          <w:szCs w:val="20"/>
          <w:u w:val="single"/>
          <w:vertAlign w:val="superscript"/>
          <w:lang w:val="en"/>
        </w:rPr>
        <w:t xml:space="preserve">2 </w:t>
      </w:r>
      <w:r w:rsidRPr="00B057A4">
        <w:rPr>
          <w:rFonts w:ascii="Arial" w:hAnsi="Arial" w:cs="Arial"/>
          <w:sz w:val="20"/>
          <w:szCs w:val="20"/>
          <w:u w:val="single"/>
          <w:lang w:val="en"/>
        </w:rPr>
        <w:t>x 0.06 (1 - 0.06)</w:t>
      </w:r>
    </w:p>
    <w:p w14:paraId="09775CE8" w14:textId="77777777" w:rsidR="003A52CF" w:rsidRPr="00B057A4" w:rsidRDefault="003A52CF" w:rsidP="00B057A4">
      <w:pPr>
        <w:autoSpaceDE w:val="0"/>
        <w:autoSpaceDN w:val="0"/>
        <w:adjustRightInd w:val="0"/>
        <w:spacing w:after="200" w:line="480" w:lineRule="auto"/>
        <w:rPr>
          <w:rFonts w:ascii="Arial" w:hAnsi="Arial" w:cs="Arial"/>
          <w:sz w:val="20"/>
          <w:szCs w:val="20"/>
          <w:vertAlign w:val="superscript"/>
          <w:lang w:val="en"/>
        </w:rPr>
      </w:pPr>
      <w:r w:rsidRPr="00B057A4">
        <w:rPr>
          <w:rFonts w:ascii="Arial" w:hAnsi="Arial" w:cs="Arial"/>
          <w:sz w:val="20"/>
          <w:szCs w:val="20"/>
          <w:lang w:val="en"/>
        </w:rPr>
        <w:tab/>
        <w:t>(0.05)</w:t>
      </w:r>
      <w:r w:rsidRPr="00B057A4">
        <w:rPr>
          <w:rFonts w:ascii="Arial" w:hAnsi="Arial" w:cs="Arial"/>
          <w:sz w:val="20"/>
          <w:szCs w:val="20"/>
          <w:vertAlign w:val="superscript"/>
          <w:lang w:val="en"/>
        </w:rPr>
        <w:t>2</w:t>
      </w:r>
    </w:p>
    <w:p w14:paraId="4333F717"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n = 87</w:t>
      </w:r>
    </w:p>
    <w:p w14:paraId="3B9AF9C8" w14:textId="77777777" w:rsidR="003A52CF" w:rsidRPr="00B057A4" w:rsidRDefault="003A52CF" w:rsidP="00B057A4">
      <w:p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The minimum sample size would therefore be 87.</w:t>
      </w:r>
    </w:p>
    <w:p w14:paraId="436D51FC" w14:textId="7442AB7D" w:rsidR="003A52CF" w:rsidRPr="00AB303D" w:rsidRDefault="0057061B" w:rsidP="00B057A4">
      <w:pPr>
        <w:autoSpaceDE w:val="0"/>
        <w:autoSpaceDN w:val="0"/>
        <w:adjustRightInd w:val="0"/>
        <w:spacing w:after="200" w:line="480" w:lineRule="auto"/>
        <w:rPr>
          <w:rFonts w:ascii="Arial" w:hAnsi="Arial" w:cs="Arial"/>
          <w:b/>
          <w:bCs/>
          <w:lang w:val="en"/>
        </w:rPr>
      </w:pPr>
      <w:r w:rsidRPr="00AB303D">
        <w:rPr>
          <w:rFonts w:ascii="Arial" w:hAnsi="Arial" w:cs="Arial"/>
          <w:b/>
          <w:bCs/>
          <w:lang w:val="en"/>
        </w:rPr>
        <w:t>2.6 Inclusion criteria</w:t>
      </w:r>
    </w:p>
    <w:p w14:paraId="53EF12B4" w14:textId="77777777" w:rsidR="003A52CF" w:rsidRPr="00B057A4" w:rsidRDefault="003A52CF" w:rsidP="00B057A4">
      <w:pPr>
        <w:pStyle w:val="ListParagraph"/>
        <w:numPr>
          <w:ilvl w:val="0"/>
          <w:numId w:val="3"/>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Adult patients aged 18 to 80 years</w:t>
      </w:r>
    </w:p>
    <w:p w14:paraId="15AD5B49" w14:textId="77777777" w:rsidR="003A52CF" w:rsidRPr="00B057A4" w:rsidRDefault="003A52CF" w:rsidP="00B057A4">
      <w:pPr>
        <w:pStyle w:val="ListParagraph"/>
        <w:numPr>
          <w:ilvl w:val="0"/>
          <w:numId w:val="3"/>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 xml:space="preserve">Abdominal CTs and CT </w:t>
      </w:r>
      <w:proofErr w:type="spellStart"/>
      <w:r w:rsidRPr="00B057A4">
        <w:rPr>
          <w:rFonts w:ascii="Arial" w:hAnsi="Arial" w:cs="Arial"/>
          <w:sz w:val="20"/>
          <w:szCs w:val="20"/>
          <w:lang w:val="en"/>
        </w:rPr>
        <w:t>urograms</w:t>
      </w:r>
      <w:proofErr w:type="spellEnd"/>
      <w:r w:rsidRPr="00B057A4">
        <w:rPr>
          <w:rFonts w:ascii="Arial" w:hAnsi="Arial" w:cs="Arial"/>
          <w:sz w:val="20"/>
          <w:szCs w:val="20"/>
          <w:lang w:val="en"/>
        </w:rPr>
        <w:t xml:space="preserve"> only</w:t>
      </w:r>
    </w:p>
    <w:p w14:paraId="3693B578" w14:textId="41DC2128" w:rsidR="003A52CF" w:rsidRPr="00AB303D" w:rsidRDefault="0057061B" w:rsidP="00B057A4">
      <w:pPr>
        <w:autoSpaceDE w:val="0"/>
        <w:autoSpaceDN w:val="0"/>
        <w:adjustRightInd w:val="0"/>
        <w:spacing w:after="200" w:line="480" w:lineRule="auto"/>
        <w:rPr>
          <w:rFonts w:ascii="Arial" w:hAnsi="Arial" w:cs="Arial"/>
          <w:b/>
          <w:bCs/>
          <w:lang w:val="en"/>
        </w:rPr>
      </w:pPr>
      <w:r w:rsidRPr="00AB303D">
        <w:rPr>
          <w:rFonts w:ascii="Arial" w:hAnsi="Arial" w:cs="Arial"/>
          <w:b/>
          <w:bCs/>
          <w:lang w:val="en"/>
        </w:rPr>
        <w:t>2.7 Exclusion criteria</w:t>
      </w:r>
    </w:p>
    <w:p w14:paraId="5BA58E0A" w14:textId="77777777" w:rsidR="003A52CF" w:rsidRPr="00B057A4"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Patients whose indication for their study was low back pain</w:t>
      </w:r>
    </w:p>
    <w:p w14:paraId="7947007A" w14:textId="77777777" w:rsidR="003A52CF" w:rsidRPr="00B057A4"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Patients with lytic or sclerotic bone metastases, spinal tumors or spinal infections</w:t>
      </w:r>
    </w:p>
    <w:p w14:paraId="33EA4946" w14:textId="77777777" w:rsidR="003A52CF" w:rsidRPr="00B057A4"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Patient with a history of spinal fusion or stabilization or other spinal surgery</w:t>
      </w:r>
    </w:p>
    <w:p w14:paraId="3E09CD22" w14:textId="77777777" w:rsidR="003A52CF" w:rsidRPr="00B057A4"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 xml:space="preserve">Patients with history of acute trauma </w:t>
      </w:r>
    </w:p>
    <w:p w14:paraId="190F6EDD" w14:textId="77777777" w:rsidR="003A52CF" w:rsidRPr="00B057A4"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Patients with spina bifida or other congenital spinal anomalies which may complicate evaluation</w:t>
      </w:r>
    </w:p>
    <w:p w14:paraId="001CE224" w14:textId="77777777" w:rsidR="003A52CF" w:rsidRPr="00B057A4"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B057A4">
        <w:rPr>
          <w:rFonts w:ascii="Arial" w:hAnsi="Arial" w:cs="Arial"/>
          <w:sz w:val="20"/>
          <w:szCs w:val="20"/>
          <w:lang w:val="en"/>
        </w:rPr>
        <w:t>Poor quality images (motion artifacts, or any other causes of blurring)</w:t>
      </w:r>
    </w:p>
    <w:p w14:paraId="2636F57F" w14:textId="1376C41F" w:rsidR="003A52CF" w:rsidRPr="00B057A4" w:rsidRDefault="003A52CF" w:rsidP="00B057A4">
      <w:pPr>
        <w:autoSpaceDE w:val="0"/>
        <w:autoSpaceDN w:val="0"/>
        <w:adjustRightInd w:val="0"/>
        <w:spacing w:after="0" w:line="480" w:lineRule="auto"/>
        <w:rPr>
          <w:rFonts w:ascii="Arial" w:hAnsi="Arial" w:cs="Arial"/>
          <w:sz w:val="20"/>
          <w:szCs w:val="20"/>
        </w:rPr>
      </w:pPr>
      <w:r w:rsidRPr="00B057A4">
        <w:rPr>
          <w:rFonts w:ascii="Arial" w:hAnsi="Arial" w:cs="Arial"/>
          <w:sz w:val="20"/>
          <w:szCs w:val="20"/>
          <w:lang w:val="en"/>
        </w:rPr>
        <w:lastRenderedPageBreak/>
        <w:t>Patients who fulfil</w:t>
      </w:r>
      <w:r w:rsidR="008815E3" w:rsidRPr="00B057A4">
        <w:rPr>
          <w:rFonts w:ascii="Arial" w:hAnsi="Arial" w:cs="Arial"/>
          <w:sz w:val="20"/>
          <w:szCs w:val="20"/>
          <w:lang w:val="en"/>
        </w:rPr>
        <w:t>led</w:t>
      </w:r>
      <w:r w:rsidRPr="00B057A4">
        <w:rPr>
          <w:rFonts w:ascii="Arial" w:hAnsi="Arial" w:cs="Arial"/>
          <w:sz w:val="20"/>
          <w:szCs w:val="20"/>
          <w:lang w:val="en"/>
        </w:rPr>
        <w:t xml:space="preserve"> the inclusion criteria </w:t>
      </w:r>
      <w:r w:rsidR="008815E3" w:rsidRPr="00B057A4">
        <w:rPr>
          <w:rFonts w:ascii="Arial" w:hAnsi="Arial" w:cs="Arial"/>
          <w:sz w:val="20"/>
          <w:szCs w:val="20"/>
          <w:lang w:val="en"/>
        </w:rPr>
        <w:t>were</w:t>
      </w:r>
      <w:r w:rsidRPr="00B057A4">
        <w:rPr>
          <w:rFonts w:ascii="Arial" w:hAnsi="Arial" w:cs="Arial"/>
          <w:sz w:val="20"/>
          <w:szCs w:val="20"/>
          <w:lang w:val="en"/>
        </w:rPr>
        <w:t xml:space="preserve"> recruited into the study. </w:t>
      </w:r>
      <w:r w:rsidRPr="00B057A4">
        <w:rPr>
          <w:rFonts w:ascii="Arial" w:hAnsi="Arial" w:cs="Arial"/>
          <w:sz w:val="20"/>
          <w:szCs w:val="20"/>
        </w:rPr>
        <w:t xml:space="preserve">Abdominal CTs and CT </w:t>
      </w:r>
      <w:proofErr w:type="spellStart"/>
      <w:r w:rsidRPr="00B057A4">
        <w:rPr>
          <w:rFonts w:ascii="Arial" w:hAnsi="Arial" w:cs="Arial"/>
          <w:sz w:val="20"/>
          <w:szCs w:val="20"/>
        </w:rPr>
        <w:t>urograms</w:t>
      </w:r>
      <w:proofErr w:type="spellEnd"/>
      <w:r w:rsidRPr="00B057A4">
        <w:rPr>
          <w:rFonts w:ascii="Arial" w:hAnsi="Arial" w:cs="Arial"/>
          <w:sz w:val="20"/>
          <w:szCs w:val="20"/>
        </w:rPr>
        <w:t xml:space="preserve"> of patients who were referred to the radiology department for imaging between February and June 2025 </w:t>
      </w:r>
      <w:r w:rsidR="008815E3" w:rsidRPr="00B057A4">
        <w:rPr>
          <w:rFonts w:ascii="Arial" w:hAnsi="Arial" w:cs="Arial"/>
          <w:sz w:val="20"/>
          <w:szCs w:val="20"/>
        </w:rPr>
        <w:t>were</w:t>
      </w:r>
      <w:r w:rsidRPr="00B057A4">
        <w:rPr>
          <w:rFonts w:ascii="Arial" w:hAnsi="Arial" w:cs="Arial"/>
          <w:sz w:val="20"/>
          <w:szCs w:val="20"/>
        </w:rPr>
        <w:t xml:space="preserve"> extracted from the Picture Archiving and Communications Systems (PACS).</w:t>
      </w:r>
    </w:p>
    <w:p w14:paraId="2574D03F" w14:textId="77777777" w:rsidR="003A52CF" w:rsidRPr="00B057A4" w:rsidRDefault="003A52CF" w:rsidP="00B057A4">
      <w:pPr>
        <w:autoSpaceDE w:val="0"/>
        <w:autoSpaceDN w:val="0"/>
        <w:adjustRightInd w:val="0"/>
        <w:spacing w:after="0" w:line="480" w:lineRule="auto"/>
        <w:rPr>
          <w:rFonts w:ascii="Arial" w:hAnsi="Arial" w:cs="Arial"/>
          <w:sz w:val="20"/>
          <w:szCs w:val="20"/>
        </w:rPr>
      </w:pPr>
      <w:r w:rsidRPr="00B057A4">
        <w:rPr>
          <w:rFonts w:ascii="Arial" w:hAnsi="Arial" w:cs="Arial"/>
          <w:sz w:val="20"/>
          <w:szCs w:val="20"/>
        </w:rPr>
        <w:t>These patients had been referred to our department due to various symptoms including abdominal pain, suspected nephrolithiasis, suspected neoplasms, abdominal distension, intestinal obstruction etc</w:t>
      </w:r>
      <w:r w:rsidRPr="00B057A4">
        <w:rPr>
          <w:rFonts w:ascii="Arial" w:hAnsi="Arial" w:cs="Arial"/>
          <w:sz w:val="20"/>
          <w:szCs w:val="20"/>
        </w:rPr>
        <w:br/>
      </w:r>
    </w:p>
    <w:p w14:paraId="0D65C2D4" w14:textId="1407079F" w:rsidR="003A52CF" w:rsidRPr="00AB303D" w:rsidRDefault="0057061B" w:rsidP="00B057A4">
      <w:pPr>
        <w:autoSpaceDE w:val="0"/>
        <w:autoSpaceDN w:val="0"/>
        <w:adjustRightInd w:val="0"/>
        <w:spacing w:after="200" w:line="480" w:lineRule="auto"/>
        <w:rPr>
          <w:rFonts w:ascii="Arial" w:hAnsi="Arial" w:cs="Arial"/>
          <w:b/>
          <w:bCs/>
        </w:rPr>
      </w:pPr>
      <w:r w:rsidRPr="00AB303D">
        <w:rPr>
          <w:rFonts w:ascii="Arial" w:hAnsi="Arial" w:cs="Arial"/>
          <w:b/>
          <w:bCs/>
        </w:rPr>
        <w:t xml:space="preserve">2.9 </w:t>
      </w:r>
      <w:r w:rsidR="003A52CF" w:rsidRPr="00AB303D">
        <w:rPr>
          <w:rFonts w:ascii="Arial" w:hAnsi="Arial" w:cs="Arial"/>
          <w:b/>
          <w:bCs/>
        </w:rPr>
        <w:t xml:space="preserve">Imaging parameters </w:t>
      </w:r>
    </w:p>
    <w:p w14:paraId="13EFEC80" w14:textId="27FDEABC" w:rsidR="003A52CF" w:rsidRPr="00B057A4" w:rsidRDefault="003A52CF" w:rsidP="00B057A4">
      <w:pPr>
        <w:autoSpaceDE w:val="0"/>
        <w:autoSpaceDN w:val="0"/>
        <w:adjustRightInd w:val="0"/>
        <w:spacing w:after="200" w:line="480" w:lineRule="auto"/>
        <w:rPr>
          <w:rFonts w:ascii="Arial" w:hAnsi="Arial" w:cs="Arial"/>
          <w:b/>
          <w:bCs/>
          <w:sz w:val="20"/>
          <w:szCs w:val="20"/>
        </w:rPr>
      </w:pPr>
      <w:r w:rsidRPr="00B057A4">
        <w:rPr>
          <w:rFonts w:ascii="Arial" w:hAnsi="Arial" w:cs="Arial"/>
          <w:sz w:val="20"/>
          <w:szCs w:val="20"/>
        </w:rPr>
        <w:t>Study participants were imaged with a 128-slice multi-detector CT scanner (SOMATOM Definition AS, Siemens, Germany, 2010). Each subject underwent abdominal multidetector CT performed using a sequential scan protocol during a single end-inspiratory breath hold.  The tube voltage and current varied based on the weight of each patient. For the abdominal scans, contiguous 5 mm thick axial slices of the abdomen and pelvis were acquired and then coronal and sagittal reformatting was performed. The evaluation of all spinal degeneration parameters in this study was performed using GE HP Z800 (Advantage Workstation 4.6) software.</w:t>
      </w:r>
      <w:r w:rsidRPr="00B057A4">
        <w:rPr>
          <w:rFonts w:ascii="Arial" w:hAnsi="Arial" w:cs="Arial"/>
          <w:sz w:val="20"/>
          <w:szCs w:val="20"/>
        </w:rPr>
        <w:br/>
      </w:r>
      <w:r w:rsidRPr="00B057A4">
        <w:rPr>
          <w:rFonts w:ascii="Arial" w:hAnsi="Arial" w:cs="Arial"/>
          <w:b/>
          <w:bCs/>
          <w:sz w:val="20"/>
          <w:szCs w:val="20"/>
        </w:rPr>
        <w:br/>
      </w:r>
      <w:r w:rsidR="0057061B" w:rsidRPr="00AB303D">
        <w:rPr>
          <w:rFonts w:ascii="Arial" w:hAnsi="Arial" w:cs="Arial"/>
          <w:b/>
          <w:bCs/>
        </w:rPr>
        <w:t>2.10 Evaluation technique</w:t>
      </w:r>
    </w:p>
    <w:p w14:paraId="7650A7CA" w14:textId="2E1AE191" w:rsidR="003A52CF" w:rsidRPr="00B057A4" w:rsidRDefault="003A52CF" w:rsidP="00B057A4">
      <w:pPr>
        <w:autoSpaceDE w:val="0"/>
        <w:autoSpaceDN w:val="0"/>
        <w:adjustRightInd w:val="0"/>
        <w:spacing w:after="200" w:line="480" w:lineRule="auto"/>
        <w:rPr>
          <w:rFonts w:ascii="Arial" w:hAnsi="Arial" w:cs="Arial"/>
          <w:sz w:val="20"/>
          <w:szCs w:val="20"/>
        </w:rPr>
      </w:pPr>
      <w:r w:rsidRPr="00B057A4">
        <w:rPr>
          <w:rFonts w:ascii="Arial" w:hAnsi="Arial" w:cs="Arial"/>
          <w:sz w:val="20"/>
          <w:szCs w:val="20"/>
        </w:rPr>
        <w:t xml:space="preserve">CT scans </w:t>
      </w:r>
      <w:r w:rsidR="008815E3" w:rsidRPr="00B057A4">
        <w:rPr>
          <w:rFonts w:ascii="Arial" w:hAnsi="Arial" w:cs="Arial"/>
          <w:sz w:val="20"/>
          <w:szCs w:val="20"/>
        </w:rPr>
        <w:t>were</w:t>
      </w:r>
      <w:r w:rsidRPr="00B057A4">
        <w:rPr>
          <w:rFonts w:ascii="Arial" w:hAnsi="Arial" w:cs="Arial"/>
          <w:sz w:val="20"/>
          <w:szCs w:val="20"/>
        </w:rPr>
        <w:t xml:space="preserve"> evaluated in blinded fashion with respect to personal data. The entire lumbar spine was reviewed for each case, using bone windows. Both axial views and multiplanar reconstruction w</w:t>
      </w:r>
      <w:r w:rsidR="008815E3" w:rsidRPr="00B057A4">
        <w:rPr>
          <w:rFonts w:ascii="Arial" w:hAnsi="Arial" w:cs="Arial"/>
          <w:sz w:val="20"/>
          <w:szCs w:val="20"/>
        </w:rPr>
        <w:t>ere</w:t>
      </w:r>
      <w:r w:rsidRPr="00B057A4">
        <w:rPr>
          <w:rFonts w:ascii="Arial" w:hAnsi="Arial" w:cs="Arial"/>
          <w:sz w:val="20"/>
          <w:szCs w:val="20"/>
        </w:rPr>
        <w:t xml:space="preserve"> </w:t>
      </w:r>
      <w:r w:rsidR="008815E3" w:rsidRPr="00B057A4">
        <w:rPr>
          <w:rFonts w:ascii="Arial" w:hAnsi="Arial" w:cs="Arial"/>
          <w:sz w:val="20"/>
          <w:szCs w:val="20"/>
        </w:rPr>
        <w:t>analysed</w:t>
      </w:r>
      <w:r w:rsidRPr="00B057A4">
        <w:rPr>
          <w:rFonts w:ascii="Arial" w:hAnsi="Arial" w:cs="Arial"/>
          <w:sz w:val="20"/>
          <w:szCs w:val="20"/>
        </w:rPr>
        <w:t xml:space="preserve">. </w:t>
      </w:r>
    </w:p>
    <w:p w14:paraId="0F41E08E" w14:textId="4871332C" w:rsidR="003A52CF" w:rsidRPr="00B057A4" w:rsidRDefault="003A52CF" w:rsidP="00B057A4">
      <w:pPr>
        <w:autoSpaceDE w:val="0"/>
        <w:autoSpaceDN w:val="0"/>
        <w:adjustRightInd w:val="0"/>
        <w:spacing w:after="200" w:line="480" w:lineRule="auto"/>
        <w:rPr>
          <w:rFonts w:ascii="Arial" w:hAnsi="Arial" w:cs="Arial"/>
          <w:sz w:val="20"/>
          <w:szCs w:val="20"/>
        </w:rPr>
      </w:pPr>
      <w:r w:rsidRPr="00B057A4">
        <w:rPr>
          <w:rFonts w:ascii="Arial" w:hAnsi="Arial" w:cs="Arial"/>
          <w:sz w:val="20"/>
          <w:szCs w:val="20"/>
        </w:rPr>
        <w:t xml:space="preserve">On CT scan, spondylolysis is well demonstrated as a linear lucidity or defect extending through the pars interarticularis. This is easily recognized on sagittal 2D reconstructions. The sagittal reformatted image </w:t>
      </w:r>
      <w:r w:rsidR="00C453D5" w:rsidRPr="00B057A4">
        <w:rPr>
          <w:rFonts w:ascii="Arial" w:hAnsi="Arial" w:cs="Arial"/>
          <w:sz w:val="20"/>
          <w:szCs w:val="20"/>
        </w:rPr>
        <w:t>was first</w:t>
      </w:r>
      <w:r w:rsidRPr="00B057A4">
        <w:rPr>
          <w:rFonts w:ascii="Arial" w:hAnsi="Arial" w:cs="Arial"/>
          <w:sz w:val="20"/>
          <w:szCs w:val="20"/>
        </w:rPr>
        <w:t xml:space="preserve"> viewed to find the defect in the lumbar spine, following which the defect </w:t>
      </w:r>
      <w:r w:rsidR="00FD4FDF" w:rsidRPr="00B057A4">
        <w:rPr>
          <w:rFonts w:ascii="Arial" w:hAnsi="Arial" w:cs="Arial"/>
          <w:sz w:val="20"/>
          <w:szCs w:val="20"/>
        </w:rPr>
        <w:t>was</w:t>
      </w:r>
      <w:r w:rsidRPr="00B057A4">
        <w:rPr>
          <w:rFonts w:ascii="Arial" w:hAnsi="Arial" w:cs="Arial"/>
          <w:sz w:val="20"/>
          <w:szCs w:val="20"/>
        </w:rPr>
        <w:t xml:space="preserve"> confirmed in the axial image. Spondylolysis </w:t>
      </w:r>
      <w:r w:rsidR="00C453D5" w:rsidRPr="00B057A4">
        <w:rPr>
          <w:rFonts w:ascii="Arial" w:hAnsi="Arial" w:cs="Arial"/>
          <w:sz w:val="20"/>
          <w:szCs w:val="20"/>
        </w:rPr>
        <w:t>was marked</w:t>
      </w:r>
      <w:r w:rsidRPr="00B057A4">
        <w:rPr>
          <w:rFonts w:ascii="Arial" w:hAnsi="Arial" w:cs="Arial"/>
          <w:sz w:val="20"/>
          <w:szCs w:val="20"/>
        </w:rPr>
        <w:t xml:space="preserve"> as present or absent at right or left sides of the lumbar vertebrae or bilateral. In the case where the image review </w:t>
      </w:r>
      <w:r w:rsidR="00FD4FDF" w:rsidRPr="00B057A4">
        <w:rPr>
          <w:rFonts w:ascii="Arial" w:hAnsi="Arial" w:cs="Arial"/>
          <w:sz w:val="20"/>
          <w:szCs w:val="20"/>
        </w:rPr>
        <w:t>was</w:t>
      </w:r>
      <w:r w:rsidRPr="00B057A4">
        <w:rPr>
          <w:rFonts w:ascii="Arial" w:hAnsi="Arial" w:cs="Arial"/>
          <w:sz w:val="20"/>
          <w:szCs w:val="20"/>
        </w:rPr>
        <w:t xml:space="preserve"> equivocal, it </w:t>
      </w:r>
      <w:r w:rsidR="00FD4FDF" w:rsidRPr="00B057A4">
        <w:rPr>
          <w:rFonts w:ascii="Arial" w:hAnsi="Arial" w:cs="Arial"/>
          <w:sz w:val="20"/>
          <w:szCs w:val="20"/>
        </w:rPr>
        <w:t>was</w:t>
      </w:r>
      <w:r w:rsidRPr="00B057A4">
        <w:rPr>
          <w:rFonts w:ascii="Arial" w:hAnsi="Arial" w:cs="Arial"/>
          <w:sz w:val="20"/>
          <w:szCs w:val="20"/>
        </w:rPr>
        <w:t xml:space="preserve"> evaluated again by the consultant. CT evaluation of spondylolysis, especially using multiplanar reconstruction has previously been described as </w:t>
      </w:r>
      <w:r w:rsidR="00FD4FDF" w:rsidRPr="00B057A4">
        <w:rPr>
          <w:rFonts w:ascii="Arial" w:hAnsi="Arial" w:cs="Arial"/>
          <w:sz w:val="20"/>
          <w:szCs w:val="20"/>
        </w:rPr>
        <w:t xml:space="preserve">a </w:t>
      </w:r>
      <w:r w:rsidRPr="00B057A4">
        <w:rPr>
          <w:rFonts w:ascii="Arial" w:hAnsi="Arial" w:cs="Arial"/>
          <w:sz w:val="20"/>
          <w:szCs w:val="20"/>
        </w:rPr>
        <w:t>reliable and accurate method.</w:t>
      </w:r>
    </w:p>
    <w:p w14:paraId="6D5057EA" w14:textId="3D52F574" w:rsidR="003A52CF" w:rsidRPr="00B057A4" w:rsidRDefault="003A52CF" w:rsidP="00B057A4">
      <w:pPr>
        <w:autoSpaceDE w:val="0"/>
        <w:autoSpaceDN w:val="0"/>
        <w:adjustRightInd w:val="0"/>
        <w:spacing w:after="200" w:line="480" w:lineRule="auto"/>
        <w:rPr>
          <w:rFonts w:ascii="Arial" w:hAnsi="Arial" w:cs="Arial"/>
          <w:sz w:val="20"/>
          <w:szCs w:val="20"/>
        </w:rPr>
      </w:pPr>
      <w:r w:rsidRPr="00B057A4">
        <w:rPr>
          <w:rFonts w:ascii="Arial" w:hAnsi="Arial" w:cs="Arial"/>
          <w:sz w:val="20"/>
          <w:szCs w:val="20"/>
        </w:rPr>
        <w:lastRenderedPageBreak/>
        <w:t>Grading (I to IV) of spondylolisthesis (</w:t>
      </w:r>
      <w:proofErr w:type="spellStart"/>
      <w:r w:rsidRPr="00B057A4">
        <w:rPr>
          <w:rFonts w:ascii="Arial" w:hAnsi="Arial" w:cs="Arial"/>
          <w:sz w:val="20"/>
          <w:szCs w:val="20"/>
        </w:rPr>
        <w:t>Meyerding</w:t>
      </w:r>
      <w:proofErr w:type="spellEnd"/>
      <w:r w:rsidRPr="00B057A4">
        <w:rPr>
          <w:rFonts w:ascii="Arial" w:hAnsi="Arial" w:cs="Arial"/>
          <w:sz w:val="20"/>
          <w:szCs w:val="20"/>
        </w:rPr>
        <w:t xml:space="preserve"> classification) w</w:t>
      </w:r>
      <w:r w:rsidR="00FD4FDF" w:rsidRPr="00B057A4">
        <w:rPr>
          <w:rFonts w:ascii="Arial" w:hAnsi="Arial" w:cs="Arial"/>
          <w:sz w:val="20"/>
          <w:szCs w:val="20"/>
        </w:rPr>
        <w:t>ere</w:t>
      </w:r>
      <w:r w:rsidRPr="00B057A4">
        <w:rPr>
          <w:rFonts w:ascii="Arial" w:hAnsi="Arial" w:cs="Arial"/>
          <w:sz w:val="20"/>
          <w:szCs w:val="20"/>
        </w:rPr>
        <w:t xml:space="preserve"> estimated using sagittal reformations. </w:t>
      </w:r>
    </w:p>
    <w:p w14:paraId="3E498BEB" w14:textId="5822FA41" w:rsidR="003A52CF" w:rsidRPr="00B057A4" w:rsidRDefault="003A52CF" w:rsidP="00B057A4">
      <w:pPr>
        <w:autoSpaceDE w:val="0"/>
        <w:autoSpaceDN w:val="0"/>
        <w:adjustRightInd w:val="0"/>
        <w:spacing w:after="200" w:line="480" w:lineRule="auto"/>
        <w:rPr>
          <w:rFonts w:ascii="Arial" w:hAnsi="Arial" w:cs="Arial"/>
          <w:sz w:val="20"/>
          <w:szCs w:val="20"/>
        </w:rPr>
      </w:pPr>
      <w:r w:rsidRPr="00B057A4">
        <w:rPr>
          <w:rFonts w:ascii="Arial" w:hAnsi="Arial" w:cs="Arial"/>
          <w:sz w:val="20"/>
          <w:szCs w:val="20"/>
        </w:rPr>
        <w:t>Spondylolisthesis identified at a spinal segment with bilateral</w:t>
      </w:r>
      <w:r w:rsidR="00FD4FDF" w:rsidRPr="00B057A4">
        <w:rPr>
          <w:rFonts w:ascii="Arial" w:hAnsi="Arial" w:cs="Arial"/>
          <w:sz w:val="20"/>
          <w:szCs w:val="20"/>
        </w:rPr>
        <w:t xml:space="preserve"> or unilateral</w:t>
      </w:r>
      <w:r w:rsidRPr="00B057A4">
        <w:rPr>
          <w:rFonts w:ascii="Arial" w:hAnsi="Arial" w:cs="Arial"/>
          <w:sz w:val="20"/>
          <w:szCs w:val="20"/>
        </w:rPr>
        <w:t xml:space="preserve"> spondylolysis </w:t>
      </w:r>
      <w:r w:rsidR="00FD4FDF" w:rsidRPr="00B057A4">
        <w:rPr>
          <w:rFonts w:ascii="Arial" w:hAnsi="Arial" w:cs="Arial"/>
          <w:sz w:val="20"/>
          <w:szCs w:val="20"/>
        </w:rPr>
        <w:t>was</w:t>
      </w:r>
      <w:r w:rsidRPr="00B057A4">
        <w:rPr>
          <w:rFonts w:ascii="Arial" w:hAnsi="Arial" w:cs="Arial"/>
          <w:sz w:val="20"/>
          <w:szCs w:val="20"/>
        </w:rPr>
        <w:t xml:space="preserve"> considered isthmic spondylolisthesis. Spondylolisthesis observed in the absence of spondylolysis w</w:t>
      </w:r>
      <w:r w:rsidR="00FD4FDF" w:rsidRPr="00B057A4">
        <w:rPr>
          <w:rFonts w:ascii="Arial" w:hAnsi="Arial" w:cs="Arial"/>
          <w:sz w:val="20"/>
          <w:szCs w:val="20"/>
        </w:rPr>
        <w:t>as</w:t>
      </w:r>
      <w:r w:rsidRPr="00B057A4">
        <w:rPr>
          <w:rFonts w:ascii="Arial" w:hAnsi="Arial" w:cs="Arial"/>
          <w:sz w:val="20"/>
          <w:szCs w:val="20"/>
        </w:rPr>
        <w:t xml:space="preserve"> considered degenerative spondylolisthesis.  </w:t>
      </w:r>
    </w:p>
    <w:p w14:paraId="26897D08" w14:textId="4FBC07A2" w:rsidR="003A52CF" w:rsidRPr="00B057A4" w:rsidRDefault="003A52CF" w:rsidP="00B057A4">
      <w:pPr>
        <w:autoSpaceDE w:val="0"/>
        <w:autoSpaceDN w:val="0"/>
        <w:adjustRightInd w:val="0"/>
        <w:spacing w:after="200" w:line="480" w:lineRule="auto"/>
        <w:rPr>
          <w:rFonts w:ascii="Arial" w:hAnsi="Arial" w:cs="Arial"/>
          <w:sz w:val="20"/>
          <w:szCs w:val="20"/>
        </w:rPr>
      </w:pPr>
      <w:r w:rsidRPr="00B057A4">
        <w:rPr>
          <w:rFonts w:ascii="Arial" w:hAnsi="Arial" w:cs="Arial"/>
          <w:sz w:val="20"/>
          <w:szCs w:val="20"/>
        </w:rPr>
        <w:t xml:space="preserve">First, the presence of spondylolysis </w:t>
      </w:r>
      <w:r w:rsidR="00FD4FDF" w:rsidRPr="00B057A4">
        <w:rPr>
          <w:rFonts w:ascii="Arial" w:hAnsi="Arial" w:cs="Arial"/>
          <w:sz w:val="20"/>
          <w:szCs w:val="20"/>
        </w:rPr>
        <w:t>was</w:t>
      </w:r>
      <w:r w:rsidRPr="00B057A4">
        <w:rPr>
          <w:rFonts w:ascii="Arial" w:hAnsi="Arial" w:cs="Arial"/>
          <w:sz w:val="20"/>
          <w:szCs w:val="20"/>
        </w:rPr>
        <w:t xml:space="preserve"> examined, and whether it is unilateral or bilateral. Second, the presence of vertebral slip (&gt;3 mm) </w:t>
      </w:r>
      <w:r w:rsidR="00FD4FDF" w:rsidRPr="00B057A4">
        <w:rPr>
          <w:rFonts w:ascii="Arial" w:hAnsi="Arial" w:cs="Arial"/>
          <w:sz w:val="20"/>
          <w:szCs w:val="20"/>
        </w:rPr>
        <w:t>was</w:t>
      </w:r>
      <w:r w:rsidRPr="00B057A4">
        <w:rPr>
          <w:rFonts w:ascii="Arial" w:hAnsi="Arial" w:cs="Arial"/>
          <w:sz w:val="20"/>
          <w:szCs w:val="20"/>
        </w:rPr>
        <w:t xml:space="preserve"> examined in patients with or without spondylolysis. Finally, levels, sex- and age- specific prevalence of spondylolysis and spondylolisthesis </w:t>
      </w:r>
      <w:r w:rsidR="00FD4FDF" w:rsidRPr="00B057A4">
        <w:rPr>
          <w:rFonts w:ascii="Arial" w:hAnsi="Arial" w:cs="Arial"/>
          <w:sz w:val="20"/>
          <w:szCs w:val="20"/>
        </w:rPr>
        <w:t>were</w:t>
      </w:r>
      <w:r w:rsidRPr="00B057A4">
        <w:rPr>
          <w:rFonts w:ascii="Arial" w:hAnsi="Arial" w:cs="Arial"/>
          <w:sz w:val="20"/>
          <w:szCs w:val="20"/>
        </w:rPr>
        <w:t xml:space="preserve"> be evaluated.</w:t>
      </w:r>
    </w:p>
    <w:p w14:paraId="331D4C54" w14:textId="77777777" w:rsidR="00AB303D" w:rsidRDefault="0057061B" w:rsidP="00B057A4">
      <w:pPr>
        <w:autoSpaceDE w:val="0"/>
        <w:autoSpaceDN w:val="0"/>
        <w:adjustRightInd w:val="0"/>
        <w:spacing w:after="0" w:line="480" w:lineRule="auto"/>
        <w:rPr>
          <w:rFonts w:ascii="Arial" w:hAnsi="Arial" w:cs="Arial"/>
          <w:color w:val="000000"/>
          <w:sz w:val="20"/>
          <w:szCs w:val="20"/>
        </w:rPr>
      </w:pPr>
      <w:r w:rsidRPr="00AB303D">
        <w:rPr>
          <w:rFonts w:ascii="Arial" w:hAnsi="Arial" w:cs="Arial"/>
          <w:b/>
          <w:bCs/>
          <w:color w:val="000000"/>
        </w:rPr>
        <w:t>2.11 Data analysis</w:t>
      </w:r>
      <w:r w:rsidR="003A52CF" w:rsidRPr="00B057A4">
        <w:rPr>
          <w:rFonts w:ascii="Arial" w:hAnsi="Arial" w:cs="Arial"/>
          <w:b/>
          <w:bCs/>
          <w:color w:val="000000"/>
          <w:sz w:val="20"/>
          <w:szCs w:val="20"/>
        </w:rPr>
        <w:br/>
      </w:r>
      <w:r w:rsidR="003A52CF" w:rsidRPr="00B057A4">
        <w:rPr>
          <w:rFonts w:ascii="Arial" w:hAnsi="Arial" w:cs="Arial"/>
          <w:color w:val="000000"/>
          <w:sz w:val="20"/>
          <w:szCs w:val="20"/>
        </w:rPr>
        <w:t xml:space="preserve">All findings obtained from this study </w:t>
      </w:r>
      <w:r w:rsidR="00FD4FDF" w:rsidRPr="00B057A4">
        <w:rPr>
          <w:rFonts w:ascii="Arial" w:hAnsi="Arial" w:cs="Arial"/>
          <w:color w:val="000000"/>
          <w:sz w:val="20"/>
          <w:szCs w:val="20"/>
        </w:rPr>
        <w:t>were</w:t>
      </w:r>
      <w:r w:rsidR="003A52CF" w:rsidRPr="00B057A4">
        <w:rPr>
          <w:rFonts w:ascii="Arial" w:hAnsi="Arial" w:cs="Arial"/>
          <w:color w:val="000000"/>
          <w:sz w:val="20"/>
          <w:szCs w:val="20"/>
        </w:rPr>
        <w:t xml:space="preserve"> documented in a data study sheet and the data </w:t>
      </w:r>
      <w:r w:rsidR="00FD4FDF" w:rsidRPr="00B057A4">
        <w:rPr>
          <w:rFonts w:ascii="Arial" w:hAnsi="Arial" w:cs="Arial"/>
          <w:color w:val="000000"/>
          <w:sz w:val="20"/>
          <w:szCs w:val="20"/>
        </w:rPr>
        <w:t>was</w:t>
      </w:r>
      <w:r w:rsidR="003A52CF" w:rsidRPr="00B057A4">
        <w:rPr>
          <w:rFonts w:ascii="Arial" w:hAnsi="Arial" w:cs="Arial"/>
          <w:color w:val="000000"/>
          <w:sz w:val="20"/>
          <w:szCs w:val="20"/>
        </w:rPr>
        <w:t xml:space="preserve"> analysed using the Statistical package for social sciences (SPSS) version 31 for analysis.</w:t>
      </w:r>
    </w:p>
    <w:p w14:paraId="727DC883" w14:textId="06060D55" w:rsidR="003A52CF" w:rsidRPr="00AB303D" w:rsidRDefault="00AB303D" w:rsidP="00B057A4">
      <w:pPr>
        <w:autoSpaceDE w:val="0"/>
        <w:autoSpaceDN w:val="0"/>
        <w:adjustRightInd w:val="0"/>
        <w:spacing w:after="0" w:line="480" w:lineRule="auto"/>
        <w:rPr>
          <w:rFonts w:ascii="Arial" w:hAnsi="Arial" w:cs="Arial"/>
          <w:color w:val="000000"/>
          <w:sz w:val="20"/>
          <w:szCs w:val="20"/>
        </w:rPr>
      </w:pPr>
      <w:r>
        <w:rPr>
          <w:rFonts w:ascii="Arial" w:hAnsi="Arial" w:cs="Arial"/>
          <w:color w:val="000000"/>
          <w:sz w:val="20"/>
          <w:szCs w:val="20"/>
        </w:rPr>
        <w:br/>
      </w:r>
      <w:r w:rsidR="0057061B" w:rsidRPr="00AB303D">
        <w:rPr>
          <w:rFonts w:ascii="Arial" w:hAnsi="Arial" w:cs="Arial"/>
          <w:b/>
          <w:bCs/>
          <w:color w:val="000000"/>
        </w:rPr>
        <w:t>2.12</w:t>
      </w:r>
      <w:r w:rsidR="003A52CF" w:rsidRPr="00AB303D">
        <w:rPr>
          <w:rFonts w:ascii="Arial" w:hAnsi="Arial" w:cs="Arial"/>
          <w:b/>
          <w:bCs/>
          <w:color w:val="000000"/>
        </w:rPr>
        <w:t xml:space="preserve"> Patient confidentiality</w:t>
      </w:r>
    </w:p>
    <w:p w14:paraId="5E8232A3" w14:textId="6BB9A0B0" w:rsidR="003A52CF" w:rsidRPr="00B057A4" w:rsidRDefault="003A52CF" w:rsidP="00B057A4">
      <w:pPr>
        <w:autoSpaceDE w:val="0"/>
        <w:autoSpaceDN w:val="0"/>
        <w:adjustRightInd w:val="0"/>
        <w:spacing w:after="0" w:line="480" w:lineRule="auto"/>
        <w:rPr>
          <w:rFonts w:ascii="Arial" w:hAnsi="Arial" w:cs="Arial"/>
          <w:color w:val="000000"/>
          <w:sz w:val="20"/>
          <w:szCs w:val="20"/>
        </w:rPr>
      </w:pPr>
      <w:r w:rsidRPr="00B057A4">
        <w:rPr>
          <w:rFonts w:ascii="Arial" w:hAnsi="Arial" w:cs="Arial"/>
          <w:color w:val="000000"/>
          <w:sz w:val="20"/>
          <w:szCs w:val="20"/>
        </w:rPr>
        <w:t xml:space="preserve">Patients’ hospital numbers were imputed into a proforma. The hospital numbers were </w:t>
      </w:r>
      <w:r w:rsidR="00FD4FDF" w:rsidRPr="00B057A4">
        <w:rPr>
          <w:rFonts w:ascii="Arial" w:hAnsi="Arial" w:cs="Arial"/>
          <w:color w:val="000000"/>
          <w:sz w:val="20"/>
          <w:szCs w:val="20"/>
        </w:rPr>
        <w:t xml:space="preserve">used to </w:t>
      </w:r>
      <w:r w:rsidRPr="00B057A4">
        <w:rPr>
          <w:rFonts w:ascii="Arial" w:hAnsi="Arial" w:cs="Arial"/>
          <w:color w:val="000000"/>
          <w:sz w:val="20"/>
          <w:szCs w:val="20"/>
        </w:rPr>
        <w:t xml:space="preserve">checked for duplication to ensure multiple </w:t>
      </w:r>
      <w:r w:rsidR="00FD4FDF" w:rsidRPr="00B057A4">
        <w:rPr>
          <w:rFonts w:ascii="Arial" w:hAnsi="Arial" w:cs="Arial"/>
          <w:color w:val="000000"/>
          <w:sz w:val="20"/>
          <w:szCs w:val="20"/>
        </w:rPr>
        <w:t>CT</w:t>
      </w:r>
      <w:r w:rsidRPr="00B057A4">
        <w:rPr>
          <w:rFonts w:ascii="Arial" w:hAnsi="Arial" w:cs="Arial"/>
          <w:color w:val="000000"/>
          <w:sz w:val="20"/>
          <w:szCs w:val="20"/>
        </w:rPr>
        <w:t>s from the same patient were not imputed into the study. Patients’ names were not used. Patients’ identifying information, including their hospital numbers, were not disclosed to any party not involved in the data collection or analysis.</w:t>
      </w:r>
    </w:p>
    <w:p w14:paraId="0CE21464" w14:textId="77777777" w:rsidR="003A52CF" w:rsidRPr="00B057A4" w:rsidRDefault="003A52CF" w:rsidP="00B057A4">
      <w:pPr>
        <w:autoSpaceDE w:val="0"/>
        <w:autoSpaceDN w:val="0"/>
        <w:adjustRightInd w:val="0"/>
        <w:spacing w:after="0" w:line="480" w:lineRule="auto"/>
        <w:rPr>
          <w:rFonts w:ascii="Arial" w:hAnsi="Arial" w:cs="Arial"/>
          <w:color w:val="000000"/>
          <w:sz w:val="20"/>
          <w:szCs w:val="20"/>
        </w:rPr>
      </w:pPr>
    </w:p>
    <w:p w14:paraId="7DFD3844" w14:textId="54AF8467" w:rsidR="003A52CF" w:rsidRPr="007B016B" w:rsidRDefault="003A52CF" w:rsidP="00B057A4">
      <w:pPr>
        <w:pStyle w:val="ListParagraph"/>
        <w:numPr>
          <w:ilvl w:val="0"/>
          <w:numId w:val="3"/>
        </w:numPr>
        <w:spacing w:line="480" w:lineRule="auto"/>
        <w:rPr>
          <w:rFonts w:ascii="Arial" w:hAnsi="Arial" w:cs="Arial"/>
          <w:b/>
          <w:bCs/>
        </w:rPr>
      </w:pPr>
      <w:r w:rsidRPr="007B016B">
        <w:rPr>
          <w:rFonts w:ascii="Arial" w:hAnsi="Arial" w:cs="Arial"/>
          <w:b/>
          <w:bCs/>
        </w:rPr>
        <w:t>RESULTS</w:t>
      </w:r>
    </w:p>
    <w:p w14:paraId="76647C77"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The CT images of 283 subjects were entered into this study. Of all patients, 185 individuals (65.4%) were female, while 98 individuals (34.6%) were male. The mean age of the studied population was 51.1 years ± 13.9 years. The maximum age and minimum age were 79 and 18 years respectively. The mean age of females was 49.8 ± 13.4 years, while that of males was 53.8 ± 14.5 years. Figure 1 shows the gender distribution of the study subjects. </w:t>
      </w:r>
    </w:p>
    <w:p w14:paraId="0807D380" w14:textId="77777777" w:rsidR="003A52CF" w:rsidRPr="00B057A4" w:rsidRDefault="003A52CF" w:rsidP="00B057A4">
      <w:pPr>
        <w:spacing w:line="480" w:lineRule="auto"/>
        <w:rPr>
          <w:rFonts w:ascii="Arial" w:hAnsi="Arial" w:cs="Arial"/>
          <w:sz w:val="20"/>
          <w:szCs w:val="20"/>
        </w:rPr>
      </w:pPr>
      <w:r w:rsidRPr="00B057A4">
        <w:rPr>
          <w:rFonts w:ascii="Arial" w:hAnsi="Arial" w:cs="Arial"/>
          <w:noProof/>
          <w:sz w:val="20"/>
          <w:szCs w:val="20"/>
        </w:rPr>
        <w:lastRenderedPageBreak/>
        <w:drawing>
          <wp:inline distT="0" distB="0" distL="0" distR="0" wp14:anchorId="1E48009E" wp14:editId="4B4C679E">
            <wp:extent cx="5514975" cy="3086100"/>
            <wp:effectExtent l="0" t="0" r="9525" b="0"/>
            <wp:docPr id="2813292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498920"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Figure 1: Gender distribution of the study subjects</w:t>
      </w:r>
    </w:p>
    <w:p w14:paraId="331E703C" w14:textId="71AEB963"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A total of 12 spondylolysis cases were observed detected in 11 patients (11/283, 3.9%). A 51-year-old woman had two-level spondylolysis at L4 and L5. 96.1% (272/283) of patients did not have any pars-interarticularis defect. </w:t>
      </w:r>
      <w:r w:rsidR="00FD4FDF" w:rsidRPr="00B057A4">
        <w:rPr>
          <w:rFonts w:ascii="Arial" w:hAnsi="Arial" w:cs="Arial"/>
          <w:sz w:val="20"/>
          <w:szCs w:val="20"/>
        </w:rPr>
        <w:t>These findings are documented in table 1.</w:t>
      </w:r>
    </w:p>
    <w:tbl>
      <w:tblPr>
        <w:tblStyle w:val="TableGrid"/>
        <w:tblW w:w="0" w:type="auto"/>
        <w:tblLook w:val="04A0" w:firstRow="1" w:lastRow="0" w:firstColumn="1" w:lastColumn="0" w:noHBand="0" w:noVBand="1"/>
      </w:tblPr>
      <w:tblGrid>
        <w:gridCol w:w="2532"/>
        <w:gridCol w:w="2362"/>
        <w:gridCol w:w="2109"/>
        <w:gridCol w:w="2347"/>
      </w:tblGrid>
      <w:tr w:rsidR="00502D08" w:rsidRPr="00B057A4" w14:paraId="49BFE243" w14:textId="77777777" w:rsidTr="00502D08">
        <w:tc>
          <w:tcPr>
            <w:tcW w:w="2532" w:type="dxa"/>
          </w:tcPr>
          <w:p w14:paraId="31C47EF2" w14:textId="77777777" w:rsidR="00502D08" w:rsidRPr="00B057A4" w:rsidRDefault="00502D08" w:rsidP="00B057A4">
            <w:pPr>
              <w:spacing w:line="480" w:lineRule="auto"/>
              <w:rPr>
                <w:rFonts w:ascii="Arial" w:hAnsi="Arial" w:cs="Arial"/>
                <w:sz w:val="20"/>
                <w:szCs w:val="20"/>
              </w:rPr>
            </w:pPr>
          </w:p>
        </w:tc>
        <w:tc>
          <w:tcPr>
            <w:tcW w:w="2362" w:type="dxa"/>
          </w:tcPr>
          <w:p w14:paraId="5A46D8E3" w14:textId="77777777"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Number of subjects</w:t>
            </w:r>
          </w:p>
        </w:tc>
        <w:tc>
          <w:tcPr>
            <w:tcW w:w="2109" w:type="dxa"/>
          </w:tcPr>
          <w:p w14:paraId="77A653A4" w14:textId="77777777" w:rsidR="00502D08" w:rsidRPr="00B057A4" w:rsidRDefault="00502D08" w:rsidP="00B057A4">
            <w:pPr>
              <w:spacing w:line="480" w:lineRule="auto"/>
              <w:rPr>
                <w:rFonts w:ascii="Arial" w:hAnsi="Arial" w:cs="Arial"/>
                <w:sz w:val="20"/>
                <w:szCs w:val="20"/>
              </w:rPr>
            </w:pPr>
          </w:p>
        </w:tc>
        <w:tc>
          <w:tcPr>
            <w:tcW w:w="2347" w:type="dxa"/>
          </w:tcPr>
          <w:p w14:paraId="6AFB6789" w14:textId="71056952"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Percent</w:t>
            </w:r>
          </w:p>
        </w:tc>
      </w:tr>
      <w:tr w:rsidR="00502D08" w:rsidRPr="00B057A4" w14:paraId="7E503FB2" w14:textId="77777777" w:rsidTr="00502D08">
        <w:tc>
          <w:tcPr>
            <w:tcW w:w="2532" w:type="dxa"/>
          </w:tcPr>
          <w:p w14:paraId="615808F8" w14:textId="77777777"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Spondylolysis present</w:t>
            </w:r>
          </w:p>
        </w:tc>
        <w:tc>
          <w:tcPr>
            <w:tcW w:w="2362" w:type="dxa"/>
          </w:tcPr>
          <w:p w14:paraId="095CE9C3" w14:textId="77777777"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11</w:t>
            </w:r>
          </w:p>
        </w:tc>
        <w:tc>
          <w:tcPr>
            <w:tcW w:w="2109" w:type="dxa"/>
          </w:tcPr>
          <w:p w14:paraId="344AEA5F" w14:textId="77777777" w:rsidR="00502D08" w:rsidRPr="00B057A4" w:rsidRDefault="00502D08" w:rsidP="00B057A4">
            <w:pPr>
              <w:spacing w:line="480" w:lineRule="auto"/>
              <w:rPr>
                <w:rFonts w:ascii="Arial" w:hAnsi="Arial" w:cs="Arial"/>
                <w:sz w:val="20"/>
                <w:szCs w:val="20"/>
              </w:rPr>
            </w:pPr>
          </w:p>
        </w:tc>
        <w:tc>
          <w:tcPr>
            <w:tcW w:w="2347" w:type="dxa"/>
          </w:tcPr>
          <w:p w14:paraId="4C80A53F" w14:textId="42E3B2B0"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3.9%</w:t>
            </w:r>
          </w:p>
        </w:tc>
      </w:tr>
      <w:tr w:rsidR="00502D08" w:rsidRPr="00B057A4" w14:paraId="19AFE800" w14:textId="77777777" w:rsidTr="00502D08">
        <w:tc>
          <w:tcPr>
            <w:tcW w:w="2532" w:type="dxa"/>
          </w:tcPr>
          <w:p w14:paraId="67A87963" w14:textId="77777777"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Spondylolysis absent</w:t>
            </w:r>
          </w:p>
        </w:tc>
        <w:tc>
          <w:tcPr>
            <w:tcW w:w="2362" w:type="dxa"/>
          </w:tcPr>
          <w:p w14:paraId="4545B031" w14:textId="77777777"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272</w:t>
            </w:r>
          </w:p>
        </w:tc>
        <w:tc>
          <w:tcPr>
            <w:tcW w:w="2109" w:type="dxa"/>
          </w:tcPr>
          <w:p w14:paraId="6B78B57F" w14:textId="77777777" w:rsidR="00502D08" w:rsidRPr="00B057A4" w:rsidRDefault="00502D08" w:rsidP="00B057A4">
            <w:pPr>
              <w:spacing w:line="480" w:lineRule="auto"/>
              <w:rPr>
                <w:rFonts w:ascii="Arial" w:hAnsi="Arial" w:cs="Arial"/>
                <w:sz w:val="20"/>
                <w:szCs w:val="20"/>
              </w:rPr>
            </w:pPr>
          </w:p>
        </w:tc>
        <w:tc>
          <w:tcPr>
            <w:tcW w:w="2347" w:type="dxa"/>
          </w:tcPr>
          <w:p w14:paraId="1D8530DA" w14:textId="390E0F96"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96.1%</w:t>
            </w:r>
          </w:p>
        </w:tc>
      </w:tr>
      <w:tr w:rsidR="00502D08" w:rsidRPr="00B057A4" w14:paraId="60DF97FD" w14:textId="77777777" w:rsidTr="00502D08">
        <w:tc>
          <w:tcPr>
            <w:tcW w:w="2532" w:type="dxa"/>
          </w:tcPr>
          <w:p w14:paraId="0C640273" w14:textId="77777777"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 xml:space="preserve">Total </w:t>
            </w:r>
          </w:p>
        </w:tc>
        <w:tc>
          <w:tcPr>
            <w:tcW w:w="2362" w:type="dxa"/>
          </w:tcPr>
          <w:p w14:paraId="73BE9CF6" w14:textId="77777777"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283</w:t>
            </w:r>
          </w:p>
        </w:tc>
        <w:tc>
          <w:tcPr>
            <w:tcW w:w="2109" w:type="dxa"/>
          </w:tcPr>
          <w:p w14:paraId="3EC75DA2" w14:textId="77777777" w:rsidR="00502D08" w:rsidRPr="00B057A4" w:rsidRDefault="00502D08" w:rsidP="00B057A4">
            <w:pPr>
              <w:spacing w:line="480" w:lineRule="auto"/>
              <w:rPr>
                <w:rFonts w:ascii="Arial" w:hAnsi="Arial" w:cs="Arial"/>
                <w:sz w:val="20"/>
                <w:szCs w:val="20"/>
              </w:rPr>
            </w:pPr>
          </w:p>
        </w:tc>
        <w:tc>
          <w:tcPr>
            <w:tcW w:w="2347" w:type="dxa"/>
          </w:tcPr>
          <w:p w14:paraId="7298897E" w14:textId="10D7B855" w:rsidR="00502D08" w:rsidRPr="00B057A4" w:rsidRDefault="00502D08" w:rsidP="00B057A4">
            <w:pPr>
              <w:spacing w:line="480" w:lineRule="auto"/>
              <w:rPr>
                <w:rFonts w:ascii="Arial" w:hAnsi="Arial" w:cs="Arial"/>
                <w:sz w:val="20"/>
                <w:szCs w:val="20"/>
              </w:rPr>
            </w:pPr>
            <w:r w:rsidRPr="00B057A4">
              <w:rPr>
                <w:rFonts w:ascii="Arial" w:hAnsi="Arial" w:cs="Arial"/>
                <w:sz w:val="20"/>
                <w:szCs w:val="20"/>
              </w:rPr>
              <w:t>100%</w:t>
            </w:r>
          </w:p>
        </w:tc>
      </w:tr>
    </w:tbl>
    <w:p w14:paraId="7CD6B06E"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Table 1: Spondylolysis prevalence in the studied population</w:t>
      </w:r>
    </w:p>
    <w:p w14:paraId="533B5EE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Majority (10/12, 83.3%) of the cases of spondylolysis were bilateral. 2 cases (16.7%) were unilateral. Table 2 shows the distribution of spondylolysis cases by location</w:t>
      </w:r>
    </w:p>
    <w:tbl>
      <w:tblPr>
        <w:tblStyle w:val="TableGrid"/>
        <w:tblW w:w="0" w:type="auto"/>
        <w:tblLook w:val="04A0" w:firstRow="1" w:lastRow="0" w:firstColumn="1" w:lastColumn="0" w:noHBand="0" w:noVBand="1"/>
      </w:tblPr>
      <w:tblGrid>
        <w:gridCol w:w="3116"/>
        <w:gridCol w:w="3117"/>
        <w:gridCol w:w="3117"/>
      </w:tblGrid>
      <w:tr w:rsidR="003A52CF" w:rsidRPr="00B057A4" w14:paraId="78003B14" w14:textId="77777777" w:rsidTr="00742EF5">
        <w:tc>
          <w:tcPr>
            <w:tcW w:w="3116" w:type="dxa"/>
          </w:tcPr>
          <w:p w14:paraId="27B48FF9"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Location of lesion</w:t>
            </w:r>
          </w:p>
        </w:tc>
        <w:tc>
          <w:tcPr>
            <w:tcW w:w="3117" w:type="dxa"/>
          </w:tcPr>
          <w:p w14:paraId="550404F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Number of cases</w:t>
            </w:r>
          </w:p>
        </w:tc>
        <w:tc>
          <w:tcPr>
            <w:tcW w:w="3117" w:type="dxa"/>
          </w:tcPr>
          <w:p w14:paraId="163E885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Percent</w:t>
            </w:r>
          </w:p>
        </w:tc>
      </w:tr>
      <w:tr w:rsidR="003A52CF" w:rsidRPr="00B057A4" w14:paraId="46721C5C" w14:textId="77777777" w:rsidTr="00742EF5">
        <w:tc>
          <w:tcPr>
            <w:tcW w:w="3116" w:type="dxa"/>
          </w:tcPr>
          <w:p w14:paraId="3BE75C30"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Bilateral </w:t>
            </w:r>
          </w:p>
        </w:tc>
        <w:tc>
          <w:tcPr>
            <w:tcW w:w="3117" w:type="dxa"/>
          </w:tcPr>
          <w:p w14:paraId="35C862E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10</w:t>
            </w:r>
          </w:p>
        </w:tc>
        <w:tc>
          <w:tcPr>
            <w:tcW w:w="3117" w:type="dxa"/>
          </w:tcPr>
          <w:p w14:paraId="6386D3A4"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83.3%</w:t>
            </w:r>
          </w:p>
        </w:tc>
      </w:tr>
      <w:tr w:rsidR="003A52CF" w:rsidRPr="00B057A4" w14:paraId="1327342B" w14:textId="77777777" w:rsidTr="00742EF5">
        <w:tc>
          <w:tcPr>
            <w:tcW w:w="3116" w:type="dxa"/>
          </w:tcPr>
          <w:p w14:paraId="22B6D0D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Left</w:t>
            </w:r>
          </w:p>
        </w:tc>
        <w:tc>
          <w:tcPr>
            <w:tcW w:w="3117" w:type="dxa"/>
          </w:tcPr>
          <w:p w14:paraId="5A766C4B"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w:t>
            </w:r>
          </w:p>
        </w:tc>
        <w:tc>
          <w:tcPr>
            <w:tcW w:w="3117" w:type="dxa"/>
          </w:tcPr>
          <w:p w14:paraId="0C256F30"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8.3%</w:t>
            </w:r>
          </w:p>
        </w:tc>
      </w:tr>
      <w:tr w:rsidR="003A52CF" w:rsidRPr="00B057A4" w14:paraId="21AE0A4A" w14:textId="77777777" w:rsidTr="00742EF5">
        <w:tc>
          <w:tcPr>
            <w:tcW w:w="3116" w:type="dxa"/>
          </w:tcPr>
          <w:p w14:paraId="62092425"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Right</w:t>
            </w:r>
          </w:p>
        </w:tc>
        <w:tc>
          <w:tcPr>
            <w:tcW w:w="3117" w:type="dxa"/>
          </w:tcPr>
          <w:p w14:paraId="13BC871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w:t>
            </w:r>
          </w:p>
        </w:tc>
        <w:tc>
          <w:tcPr>
            <w:tcW w:w="3117" w:type="dxa"/>
          </w:tcPr>
          <w:p w14:paraId="4296790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8.3%</w:t>
            </w:r>
          </w:p>
        </w:tc>
      </w:tr>
    </w:tbl>
    <w:p w14:paraId="2CCD7F5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lastRenderedPageBreak/>
        <w:t>Table 2: Spondylolysis distribution by location</w:t>
      </w:r>
    </w:p>
    <w:p w14:paraId="629A165F"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Most of the cases of spondylolysis occurred at the L5 vertebral level (8/12, 66.7%). Two cases were observed at the L4 vertebral level. Another two cases were observed at the S1 vertebral level in patients with lumbosacral transitional vertebras (lumbarization of S1). This is shown in Table 3.</w:t>
      </w:r>
    </w:p>
    <w:tbl>
      <w:tblPr>
        <w:tblStyle w:val="TableGrid"/>
        <w:tblW w:w="0" w:type="auto"/>
        <w:tblLook w:val="04A0" w:firstRow="1" w:lastRow="0" w:firstColumn="1" w:lastColumn="0" w:noHBand="0" w:noVBand="1"/>
      </w:tblPr>
      <w:tblGrid>
        <w:gridCol w:w="3116"/>
        <w:gridCol w:w="3117"/>
        <w:gridCol w:w="3117"/>
      </w:tblGrid>
      <w:tr w:rsidR="003A52CF" w:rsidRPr="00B057A4" w14:paraId="42B4F582" w14:textId="77777777" w:rsidTr="00742EF5">
        <w:tc>
          <w:tcPr>
            <w:tcW w:w="3116" w:type="dxa"/>
          </w:tcPr>
          <w:p w14:paraId="4C59337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Level of lesion</w:t>
            </w:r>
          </w:p>
        </w:tc>
        <w:tc>
          <w:tcPr>
            <w:tcW w:w="3117" w:type="dxa"/>
          </w:tcPr>
          <w:p w14:paraId="15177CB3"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Number of cases</w:t>
            </w:r>
          </w:p>
        </w:tc>
        <w:tc>
          <w:tcPr>
            <w:tcW w:w="3117" w:type="dxa"/>
          </w:tcPr>
          <w:p w14:paraId="4117A22A"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Percent</w:t>
            </w:r>
          </w:p>
        </w:tc>
      </w:tr>
      <w:tr w:rsidR="003A52CF" w:rsidRPr="00B057A4" w14:paraId="5FEFF1E0" w14:textId="77777777" w:rsidTr="00742EF5">
        <w:tc>
          <w:tcPr>
            <w:tcW w:w="3116" w:type="dxa"/>
          </w:tcPr>
          <w:p w14:paraId="333B444F"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L4</w:t>
            </w:r>
          </w:p>
        </w:tc>
        <w:tc>
          <w:tcPr>
            <w:tcW w:w="3117" w:type="dxa"/>
          </w:tcPr>
          <w:p w14:paraId="03B85A80"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w:t>
            </w:r>
          </w:p>
        </w:tc>
        <w:tc>
          <w:tcPr>
            <w:tcW w:w="3117" w:type="dxa"/>
          </w:tcPr>
          <w:p w14:paraId="5274A52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16.7%</w:t>
            </w:r>
          </w:p>
        </w:tc>
      </w:tr>
      <w:tr w:rsidR="003A52CF" w:rsidRPr="00B057A4" w14:paraId="215A6507" w14:textId="77777777" w:rsidTr="00742EF5">
        <w:tc>
          <w:tcPr>
            <w:tcW w:w="3116" w:type="dxa"/>
          </w:tcPr>
          <w:p w14:paraId="131F072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L5</w:t>
            </w:r>
          </w:p>
        </w:tc>
        <w:tc>
          <w:tcPr>
            <w:tcW w:w="3117" w:type="dxa"/>
          </w:tcPr>
          <w:p w14:paraId="28612DEB"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w:t>
            </w:r>
          </w:p>
        </w:tc>
        <w:tc>
          <w:tcPr>
            <w:tcW w:w="3117" w:type="dxa"/>
          </w:tcPr>
          <w:p w14:paraId="332B5B4D"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66.7%</w:t>
            </w:r>
          </w:p>
        </w:tc>
      </w:tr>
      <w:tr w:rsidR="003A52CF" w:rsidRPr="00B057A4" w14:paraId="3DC2EE9E" w14:textId="77777777" w:rsidTr="00742EF5">
        <w:tc>
          <w:tcPr>
            <w:tcW w:w="3116" w:type="dxa"/>
          </w:tcPr>
          <w:p w14:paraId="23E27F0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S1</w:t>
            </w:r>
          </w:p>
        </w:tc>
        <w:tc>
          <w:tcPr>
            <w:tcW w:w="3117" w:type="dxa"/>
          </w:tcPr>
          <w:p w14:paraId="4330264E"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w:t>
            </w:r>
          </w:p>
        </w:tc>
        <w:tc>
          <w:tcPr>
            <w:tcW w:w="3117" w:type="dxa"/>
          </w:tcPr>
          <w:p w14:paraId="293A545B"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16.7%</w:t>
            </w:r>
          </w:p>
        </w:tc>
      </w:tr>
    </w:tbl>
    <w:p w14:paraId="7A48E8C7"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Table 3: Spondylolysis distribution by vertebral level</w:t>
      </w:r>
    </w:p>
    <w:p w14:paraId="5A172223"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A total of 35 spondylolisthesis cases were observed in 33 patients (33/283, 11.7%). Two patients had two-level spondylolisthesis: a 63-year-old man who had spondylolisthesis of L2/L3, and L4/L5, and a 63-year-old woman who had spondylolisthesis of L3/L4, and L5/S1. The 35 spondylolisthesis cases were all </w:t>
      </w:r>
      <w:proofErr w:type="spellStart"/>
      <w:r w:rsidRPr="00B057A4">
        <w:rPr>
          <w:rFonts w:ascii="Arial" w:hAnsi="Arial" w:cs="Arial"/>
          <w:sz w:val="20"/>
          <w:szCs w:val="20"/>
        </w:rPr>
        <w:t>Meyerding</w:t>
      </w:r>
      <w:proofErr w:type="spellEnd"/>
      <w:r w:rsidRPr="00B057A4">
        <w:rPr>
          <w:rFonts w:ascii="Arial" w:hAnsi="Arial" w:cs="Arial"/>
          <w:sz w:val="20"/>
          <w:szCs w:val="20"/>
        </w:rPr>
        <w:t xml:space="preserve"> Grade I (35/35, 100%).</w:t>
      </w:r>
    </w:p>
    <w:tbl>
      <w:tblPr>
        <w:tblStyle w:val="TableGrid"/>
        <w:tblW w:w="0" w:type="auto"/>
        <w:tblLook w:val="04A0" w:firstRow="1" w:lastRow="0" w:firstColumn="1" w:lastColumn="0" w:noHBand="0" w:noVBand="1"/>
      </w:tblPr>
      <w:tblGrid>
        <w:gridCol w:w="3116"/>
        <w:gridCol w:w="3117"/>
        <w:gridCol w:w="3117"/>
      </w:tblGrid>
      <w:tr w:rsidR="003A52CF" w:rsidRPr="00B057A4" w14:paraId="179C2939" w14:textId="77777777" w:rsidTr="00742EF5">
        <w:tc>
          <w:tcPr>
            <w:tcW w:w="3116" w:type="dxa"/>
          </w:tcPr>
          <w:p w14:paraId="44857EB1" w14:textId="77777777" w:rsidR="003A52CF" w:rsidRPr="00B057A4" w:rsidRDefault="003A52CF" w:rsidP="00B057A4">
            <w:pPr>
              <w:spacing w:line="480" w:lineRule="auto"/>
              <w:rPr>
                <w:rFonts w:ascii="Arial" w:hAnsi="Arial" w:cs="Arial"/>
                <w:sz w:val="20"/>
                <w:szCs w:val="20"/>
              </w:rPr>
            </w:pPr>
          </w:p>
        </w:tc>
        <w:tc>
          <w:tcPr>
            <w:tcW w:w="3117" w:type="dxa"/>
          </w:tcPr>
          <w:p w14:paraId="505A2E4E"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Number of subjects</w:t>
            </w:r>
          </w:p>
        </w:tc>
        <w:tc>
          <w:tcPr>
            <w:tcW w:w="3117" w:type="dxa"/>
          </w:tcPr>
          <w:p w14:paraId="2EAF56A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Percent</w:t>
            </w:r>
          </w:p>
        </w:tc>
      </w:tr>
      <w:tr w:rsidR="003A52CF" w:rsidRPr="00B057A4" w14:paraId="2C27D299" w14:textId="77777777" w:rsidTr="00742EF5">
        <w:tc>
          <w:tcPr>
            <w:tcW w:w="3116" w:type="dxa"/>
          </w:tcPr>
          <w:p w14:paraId="5CE64067"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Spondylolisthesis present</w:t>
            </w:r>
          </w:p>
        </w:tc>
        <w:tc>
          <w:tcPr>
            <w:tcW w:w="3117" w:type="dxa"/>
          </w:tcPr>
          <w:p w14:paraId="0841A150"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33</w:t>
            </w:r>
          </w:p>
        </w:tc>
        <w:tc>
          <w:tcPr>
            <w:tcW w:w="3117" w:type="dxa"/>
          </w:tcPr>
          <w:p w14:paraId="58D6312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11.7%</w:t>
            </w:r>
          </w:p>
        </w:tc>
      </w:tr>
      <w:tr w:rsidR="003A52CF" w:rsidRPr="00B057A4" w14:paraId="760E0145" w14:textId="77777777" w:rsidTr="00742EF5">
        <w:tc>
          <w:tcPr>
            <w:tcW w:w="3116" w:type="dxa"/>
          </w:tcPr>
          <w:p w14:paraId="0EC70AFB"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Spondylolisthesis absent</w:t>
            </w:r>
          </w:p>
        </w:tc>
        <w:tc>
          <w:tcPr>
            <w:tcW w:w="3117" w:type="dxa"/>
          </w:tcPr>
          <w:p w14:paraId="04FCF90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250</w:t>
            </w:r>
          </w:p>
        </w:tc>
        <w:tc>
          <w:tcPr>
            <w:tcW w:w="3117" w:type="dxa"/>
          </w:tcPr>
          <w:p w14:paraId="77EA641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88.3%</w:t>
            </w:r>
          </w:p>
        </w:tc>
      </w:tr>
      <w:tr w:rsidR="003A52CF" w:rsidRPr="00B057A4" w14:paraId="3E3FE22D" w14:textId="77777777" w:rsidTr="00742EF5">
        <w:tc>
          <w:tcPr>
            <w:tcW w:w="3116" w:type="dxa"/>
          </w:tcPr>
          <w:p w14:paraId="1253A24A"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Total </w:t>
            </w:r>
          </w:p>
        </w:tc>
        <w:tc>
          <w:tcPr>
            <w:tcW w:w="3117" w:type="dxa"/>
          </w:tcPr>
          <w:p w14:paraId="2D85ABDA"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283</w:t>
            </w:r>
          </w:p>
        </w:tc>
        <w:tc>
          <w:tcPr>
            <w:tcW w:w="3117" w:type="dxa"/>
          </w:tcPr>
          <w:p w14:paraId="7C1EA22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100%</w:t>
            </w:r>
          </w:p>
        </w:tc>
      </w:tr>
    </w:tbl>
    <w:p w14:paraId="33D4A5C0"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Table 4: Spondylolisthesis prevalence in the studied population</w:t>
      </w:r>
    </w:p>
    <w:p w14:paraId="7FE78293" w14:textId="55CD32E6"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The most common level of involvement in spondylolisthesis among subjects in this study was L4/5 (16/35 cases, 45.7%). The least common level of involvement was at the S1/S2 vertebral level (1/35 cases, 2.9%), </w:t>
      </w:r>
      <w:r w:rsidR="00FD4FDF" w:rsidRPr="00B057A4">
        <w:rPr>
          <w:rFonts w:ascii="Arial" w:hAnsi="Arial" w:cs="Arial"/>
          <w:sz w:val="20"/>
          <w:szCs w:val="20"/>
        </w:rPr>
        <w:t xml:space="preserve">which was observed </w:t>
      </w:r>
      <w:r w:rsidRPr="00B057A4">
        <w:rPr>
          <w:rFonts w:ascii="Arial" w:hAnsi="Arial" w:cs="Arial"/>
          <w:sz w:val="20"/>
          <w:szCs w:val="20"/>
        </w:rPr>
        <w:t>in a patient with lumbosacral transitional vertebra (lumbarization of S1). Table 5 shows the distribution of spondylolisthesis cases by vertebral level.</w:t>
      </w:r>
    </w:p>
    <w:tbl>
      <w:tblPr>
        <w:tblStyle w:val="TableGrid"/>
        <w:tblW w:w="0" w:type="auto"/>
        <w:tblLook w:val="04A0" w:firstRow="1" w:lastRow="0" w:firstColumn="1" w:lastColumn="0" w:noHBand="0" w:noVBand="1"/>
      </w:tblPr>
      <w:tblGrid>
        <w:gridCol w:w="3116"/>
        <w:gridCol w:w="3117"/>
        <w:gridCol w:w="3117"/>
      </w:tblGrid>
      <w:tr w:rsidR="003A52CF" w:rsidRPr="00B057A4" w14:paraId="54BA12CF" w14:textId="77777777" w:rsidTr="00742EF5">
        <w:tc>
          <w:tcPr>
            <w:tcW w:w="3116" w:type="dxa"/>
          </w:tcPr>
          <w:p w14:paraId="6F893AB5"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Level of lesion</w:t>
            </w:r>
          </w:p>
        </w:tc>
        <w:tc>
          <w:tcPr>
            <w:tcW w:w="3117" w:type="dxa"/>
          </w:tcPr>
          <w:p w14:paraId="7E9E34F3"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Number of cases </w:t>
            </w:r>
          </w:p>
        </w:tc>
        <w:tc>
          <w:tcPr>
            <w:tcW w:w="3117" w:type="dxa"/>
          </w:tcPr>
          <w:p w14:paraId="16625095"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Percent</w:t>
            </w:r>
          </w:p>
        </w:tc>
      </w:tr>
      <w:tr w:rsidR="003A52CF" w:rsidRPr="00B057A4" w14:paraId="4C6B2517" w14:textId="77777777" w:rsidTr="00742EF5">
        <w:tc>
          <w:tcPr>
            <w:tcW w:w="3116" w:type="dxa"/>
          </w:tcPr>
          <w:p w14:paraId="01706F43"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L2/3</w:t>
            </w:r>
          </w:p>
        </w:tc>
        <w:tc>
          <w:tcPr>
            <w:tcW w:w="3117" w:type="dxa"/>
          </w:tcPr>
          <w:p w14:paraId="51690B9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5</w:t>
            </w:r>
          </w:p>
        </w:tc>
        <w:tc>
          <w:tcPr>
            <w:tcW w:w="3117" w:type="dxa"/>
          </w:tcPr>
          <w:p w14:paraId="45EDBCA7"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14.3%</w:t>
            </w:r>
          </w:p>
        </w:tc>
      </w:tr>
      <w:tr w:rsidR="003A52CF" w:rsidRPr="00B057A4" w14:paraId="13C8A94E" w14:textId="77777777" w:rsidTr="00742EF5">
        <w:tc>
          <w:tcPr>
            <w:tcW w:w="3116" w:type="dxa"/>
          </w:tcPr>
          <w:p w14:paraId="457AB5B4"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L3/4</w:t>
            </w:r>
          </w:p>
        </w:tc>
        <w:tc>
          <w:tcPr>
            <w:tcW w:w="3117" w:type="dxa"/>
          </w:tcPr>
          <w:p w14:paraId="0F9985C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5</w:t>
            </w:r>
          </w:p>
        </w:tc>
        <w:tc>
          <w:tcPr>
            <w:tcW w:w="3117" w:type="dxa"/>
          </w:tcPr>
          <w:p w14:paraId="0FADA61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14.3%</w:t>
            </w:r>
          </w:p>
        </w:tc>
      </w:tr>
      <w:tr w:rsidR="003A52CF" w:rsidRPr="00B057A4" w14:paraId="36449433" w14:textId="77777777" w:rsidTr="00742EF5">
        <w:tc>
          <w:tcPr>
            <w:tcW w:w="3116" w:type="dxa"/>
          </w:tcPr>
          <w:p w14:paraId="1413C19F"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lastRenderedPageBreak/>
              <w:t>L4/5</w:t>
            </w:r>
          </w:p>
        </w:tc>
        <w:tc>
          <w:tcPr>
            <w:tcW w:w="3117" w:type="dxa"/>
          </w:tcPr>
          <w:p w14:paraId="54F7B1A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16</w:t>
            </w:r>
          </w:p>
        </w:tc>
        <w:tc>
          <w:tcPr>
            <w:tcW w:w="3117" w:type="dxa"/>
          </w:tcPr>
          <w:p w14:paraId="3D6712AF"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45.7%</w:t>
            </w:r>
          </w:p>
        </w:tc>
      </w:tr>
      <w:tr w:rsidR="003A52CF" w:rsidRPr="00B057A4" w14:paraId="2CACBD98" w14:textId="77777777" w:rsidTr="00742EF5">
        <w:tc>
          <w:tcPr>
            <w:tcW w:w="3116" w:type="dxa"/>
          </w:tcPr>
          <w:p w14:paraId="7FF62D15"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L5/S1</w:t>
            </w:r>
          </w:p>
        </w:tc>
        <w:tc>
          <w:tcPr>
            <w:tcW w:w="3117" w:type="dxa"/>
          </w:tcPr>
          <w:p w14:paraId="222C868D"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w:t>
            </w:r>
          </w:p>
        </w:tc>
        <w:tc>
          <w:tcPr>
            <w:tcW w:w="3117" w:type="dxa"/>
          </w:tcPr>
          <w:p w14:paraId="213295E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22.9%</w:t>
            </w:r>
          </w:p>
        </w:tc>
      </w:tr>
      <w:tr w:rsidR="003A52CF" w:rsidRPr="00B057A4" w14:paraId="600750C4" w14:textId="77777777" w:rsidTr="00742EF5">
        <w:tc>
          <w:tcPr>
            <w:tcW w:w="3116" w:type="dxa"/>
          </w:tcPr>
          <w:p w14:paraId="79F2366C"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S1/2</w:t>
            </w:r>
          </w:p>
        </w:tc>
        <w:tc>
          <w:tcPr>
            <w:tcW w:w="3117" w:type="dxa"/>
          </w:tcPr>
          <w:p w14:paraId="5C1ED50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w:t>
            </w:r>
          </w:p>
        </w:tc>
        <w:tc>
          <w:tcPr>
            <w:tcW w:w="3117" w:type="dxa"/>
          </w:tcPr>
          <w:p w14:paraId="25DE664D"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2.9%</w:t>
            </w:r>
          </w:p>
        </w:tc>
      </w:tr>
    </w:tbl>
    <w:p w14:paraId="13B26345"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Table 5: Spondylolisthesis distribution by vertebral level</w:t>
      </w:r>
    </w:p>
    <w:p w14:paraId="3D970F68" w14:textId="76DAE460" w:rsidR="003A52CF" w:rsidRDefault="003A52CF" w:rsidP="00B057A4">
      <w:pPr>
        <w:spacing w:line="480" w:lineRule="auto"/>
        <w:rPr>
          <w:rFonts w:ascii="Arial" w:hAnsi="Arial" w:cs="Arial"/>
          <w:sz w:val="20"/>
          <w:szCs w:val="20"/>
        </w:rPr>
      </w:pPr>
      <w:r w:rsidRPr="00B057A4">
        <w:rPr>
          <w:rFonts w:ascii="Arial" w:hAnsi="Arial" w:cs="Arial"/>
          <w:sz w:val="20"/>
          <w:szCs w:val="20"/>
        </w:rPr>
        <w:t>Majority of the subjects with spondylolisthesis had no co-existing spondylolysis (30/33, 90.9%), including the two subjects with two-level spondylolisthesis. Only 3 subjects (3/33, 9.1%) had co-existing</w:t>
      </w:r>
      <w:r w:rsidR="00FD4FDF" w:rsidRPr="00B057A4">
        <w:rPr>
          <w:rFonts w:ascii="Arial" w:hAnsi="Arial" w:cs="Arial"/>
          <w:sz w:val="20"/>
          <w:szCs w:val="20"/>
        </w:rPr>
        <w:t xml:space="preserve"> spondylolysis and</w:t>
      </w:r>
      <w:r w:rsidRPr="00B057A4">
        <w:rPr>
          <w:rFonts w:ascii="Arial" w:hAnsi="Arial" w:cs="Arial"/>
          <w:sz w:val="20"/>
          <w:szCs w:val="20"/>
        </w:rPr>
        <w:t xml:space="preserve"> spondylolisthesis. In one of those subjects, the spondylolysis occurred at S1 vertebra, but the spondylolisthesis occurred three vertebral levels higher at the L2/L3 vertebral level, suggesting that the</w:t>
      </w:r>
      <w:r w:rsidR="00035E49" w:rsidRPr="00B057A4">
        <w:rPr>
          <w:rFonts w:ascii="Arial" w:hAnsi="Arial" w:cs="Arial"/>
          <w:sz w:val="20"/>
          <w:szCs w:val="20"/>
        </w:rPr>
        <w:t>ir</w:t>
      </w:r>
      <w:r w:rsidRPr="00B057A4">
        <w:rPr>
          <w:rFonts w:ascii="Arial" w:hAnsi="Arial" w:cs="Arial"/>
          <w:sz w:val="20"/>
          <w:szCs w:val="20"/>
        </w:rPr>
        <w:t xml:space="preserve"> spondylolisthesis was degenerative in nature. Therefore, isthmic (</w:t>
      </w:r>
      <w:proofErr w:type="spellStart"/>
      <w:r w:rsidRPr="00B057A4">
        <w:rPr>
          <w:rFonts w:ascii="Arial" w:hAnsi="Arial" w:cs="Arial"/>
          <w:sz w:val="20"/>
          <w:szCs w:val="20"/>
        </w:rPr>
        <w:t>spondylolytic</w:t>
      </w:r>
      <w:proofErr w:type="spellEnd"/>
      <w:r w:rsidRPr="00B057A4">
        <w:rPr>
          <w:rFonts w:ascii="Arial" w:hAnsi="Arial" w:cs="Arial"/>
          <w:sz w:val="20"/>
          <w:szCs w:val="20"/>
        </w:rPr>
        <w:t>) spondylolisthesis was only found in 6.1% (2/33) of patients with spondylolisthesis. Fischer’s exact test was performed and showed no statistically significant difference (p = .124) in the rates of spondylolisthesis among subjects with spondylolysis compared to the subjects without.</w:t>
      </w:r>
      <w:r w:rsidR="00FD4FDF" w:rsidRPr="00B057A4">
        <w:rPr>
          <w:rFonts w:ascii="Arial" w:hAnsi="Arial" w:cs="Arial"/>
          <w:sz w:val="20"/>
          <w:szCs w:val="20"/>
        </w:rPr>
        <w:t xml:space="preserve"> Table 6 </w:t>
      </w:r>
      <w:r w:rsidR="00035E49" w:rsidRPr="00B057A4">
        <w:rPr>
          <w:rFonts w:ascii="Arial" w:hAnsi="Arial" w:cs="Arial"/>
          <w:sz w:val="20"/>
          <w:szCs w:val="20"/>
        </w:rPr>
        <w:t>demonstrates that the rate of spondylolisthesis in patients with spondylolysis was 27.2% (3/11), while the rate of spondylolisthesis in patients without spondylolysis was 11% (30/272).</w:t>
      </w:r>
    </w:p>
    <w:p w14:paraId="37EA48C4" w14:textId="77777777" w:rsidR="007B016B" w:rsidRPr="00B057A4" w:rsidRDefault="007B016B" w:rsidP="00B057A4">
      <w:pPr>
        <w:spacing w:line="480" w:lineRule="auto"/>
        <w:rPr>
          <w:rFonts w:ascii="Arial" w:hAnsi="Arial" w:cs="Arial"/>
          <w:sz w:val="20"/>
          <w:szCs w:val="20"/>
        </w:rPr>
      </w:pPr>
    </w:p>
    <w:tbl>
      <w:tblPr>
        <w:tblStyle w:val="TableGrid"/>
        <w:tblW w:w="0" w:type="auto"/>
        <w:tblLook w:val="04A0" w:firstRow="1" w:lastRow="0" w:firstColumn="1" w:lastColumn="0" w:noHBand="0" w:noVBand="1"/>
      </w:tblPr>
      <w:tblGrid>
        <w:gridCol w:w="2245"/>
        <w:gridCol w:w="2610"/>
        <w:gridCol w:w="2473"/>
        <w:gridCol w:w="2022"/>
      </w:tblGrid>
      <w:tr w:rsidR="003A52CF" w:rsidRPr="00B057A4" w14:paraId="70AAD061" w14:textId="77777777" w:rsidTr="007B016B">
        <w:tc>
          <w:tcPr>
            <w:tcW w:w="2245" w:type="dxa"/>
          </w:tcPr>
          <w:p w14:paraId="6736CB3E" w14:textId="77777777" w:rsidR="003A52CF" w:rsidRPr="00B057A4" w:rsidRDefault="003A52CF" w:rsidP="00B057A4">
            <w:pPr>
              <w:spacing w:line="480" w:lineRule="auto"/>
              <w:rPr>
                <w:rFonts w:ascii="Arial" w:hAnsi="Arial" w:cs="Arial"/>
                <w:sz w:val="20"/>
                <w:szCs w:val="20"/>
              </w:rPr>
            </w:pPr>
          </w:p>
        </w:tc>
        <w:tc>
          <w:tcPr>
            <w:tcW w:w="2610" w:type="dxa"/>
          </w:tcPr>
          <w:p w14:paraId="3C1FE7C9"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Spondylolisthesis present</w:t>
            </w:r>
          </w:p>
        </w:tc>
        <w:tc>
          <w:tcPr>
            <w:tcW w:w="2473" w:type="dxa"/>
          </w:tcPr>
          <w:p w14:paraId="2F0BD0D4"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Spondylolisthesis absent</w:t>
            </w:r>
          </w:p>
        </w:tc>
        <w:tc>
          <w:tcPr>
            <w:tcW w:w="2022" w:type="dxa"/>
          </w:tcPr>
          <w:p w14:paraId="7357217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Total</w:t>
            </w:r>
          </w:p>
        </w:tc>
      </w:tr>
      <w:tr w:rsidR="003A52CF" w:rsidRPr="00B057A4" w14:paraId="1B9A57A2" w14:textId="77777777" w:rsidTr="007B016B">
        <w:tc>
          <w:tcPr>
            <w:tcW w:w="2245" w:type="dxa"/>
          </w:tcPr>
          <w:p w14:paraId="6408FB7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Spondylolysis present</w:t>
            </w:r>
          </w:p>
        </w:tc>
        <w:tc>
          <w:tcPr>
            <w:tcW w:w="2610" w:type="dxa"/>
          </w:tcPr>
          <w:p w14:paraId="47A40987"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3</w:t>
            </w:r>
          </w:p>
        </w:tc>
        <w:tc>
          <w:tcPr>
            <w:tcW w:w="2473" w:type="dxa"/>
          </w:tcPr>
          <w:p w14:paraId="7B0E5F33"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w:t>
            </w:r>
          </w:p>
        </w:tc>
        <w:tc>
          <w:tcPr>
            <w:tcW w:w="2022" w:type="dxa"/>
          </w:tcPr>
          <w:p w14:paraId="71671B97"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11</w:t>
            </w:r>
          </w:p>
        </w:tc>
      </w:tr>
      <w:tr w:rsidR="003A52CF" w:rsidRPr="00B057A4" w14:paraId="233D3AA2" w14:textId="77777777" w:rsidTr="007B016B">
        <w:tc>
          <w:tcPr>
            <w:tcW w:w="2245" w:type="dxa"/>
          </w:tcPr>
          <w:p w14:paraId="0B20AB5C"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Spondylolysis absent</w:t>
            </w:r>
          </w:p>
        </w:tc>
        <w:tc>
          <w:tcPr>
            <w:tcW w:w="2610" w:type="dxa"/>
          </w:tcPr>
          <w:p w14:paraId="7F5AA32A"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30</w:t>
            </w:r>
          </w:p>
        </w:tc>
        <w:tc>
          <w:tcPr>
            <w:tcW w:w="2473" w:type="dxa"/>
          </w:tcPr>
          <w:p w14:paraId="53326BAE"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242</w:t>
            </w:r>
          </w:p>
        </w:tc>
        <w:tc>
          <w:tcPr>
            <w:tcW w:w="2022" w:type="dxa"/>
          </w:tcPr>
          <w:p w14:paraId="5059E1EE"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272</w:t>
            </w:r>
          </w:p>
        </w:tc>
      </w:tr>
    </w:tbl>
    <w:p w14:paraId="7EFF2427"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Table 6: Crosstabulation of patients with spondylolysis and spondylolisthesis</w:t>
      </w:r>
    </w:p>
    <w:p w14:paraId="1D1ADB10" w14:textId="4692B063"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Spondylolysis was observed in 3.8% of female subjects, compared to 4.1% of male subjects. Spondylolisthesis had a slightly higher prevalence in females (11.9%) when compared to males (11.2%). Statistical analysis demonstrated no significant differences in the rates of spondylolysis and spondylolisthesis between both sexes. </w:t>
      </w:r>
      <w:r w:rsidR="00035E49" w:rsidRPr="00B057A4">
        <w:rPr>
          <w:rFonts w:ascii="Arial" w:hAnsi="Arial" w:cs="Arial"/>
          <w:sz w:val="20"/>
          <w:szCs w:val="20"/>
        </w:rPr>
        <w:t>Table 7 and Figure 2 demonstrate the rates of spondylolysis and spondylolisthesis by sex.</w:t>
      </w:r>
    </w:p>
    <w:tbl>
      <w:tblPr>
        <w:tblStyle w:val="TableGrid"/>
        <w:tblW w:w="0" w:type="auto"/>
        <w:tblLook w:val="04A0" w:firstRow="1" w:lastRow="0" w:firstColumn="1" w:lastColumn="0" w:noHBand="0" w:noVBand="1"/>
      </w:tblPr>
      <w:tblGrid>
        <w:gridCol w:w="3116"/>
        <w:gridCol w:w="3117"/>
        <w:gridCol w:w="3117"/>
      </w:tblGrid>
      <w:tr w:rsidR="003A52CF" w:rsidRPr="00B057A4" w14:paraId="60A72B04" w14:textId="77777777" w:rsidTr="00742EF5">
        <w:tc>
          <w:tcPr>
            <w:tcW w:w="3116" w:type="dxa"/>
          </w:tcPr>
          <w:p w14:paraId="2A52C80F"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Sex</w:t>
            </w:r>
          </w:p>
        </w:tc>
        <w:tc>
          <w:tcPr>
            <w:tcW w:w="3117" w:type="dxa"/>
          </w:tcPr>
          <w:p w14:paraId="44D1B9B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Spondylolysis (%)</w:t>
            </w:r>
          </w:p>
        </w:tc>
        <w:tc>
          <w:tcPr>
            <w:tcW w:w="3117" w:type="dxa"/>
          </w:tcPr>
          <w:p w14:paraId="3CCEB29E"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Spondylolisthesis (%)</w:t>
            </w:r>
          </w:p>
        </w:tc>
      </w:tr>
      <w:tr w:rsidR="003A52CF" w:rsidRPr="00B057A4" w14:paraId="259D38E0" w14:textId="77777777" w:rsidTr="00742EF5">
        <w:tc>
          <w:tcPr>
            <w:tcW w:w="3116" w:type="dxa"/>
          </w:tcPr>
          <w:p w14:paraId="082A2D9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Female</w:t>
            </w:r>
          </w:p>
        </w:tc>
        <w:tc>
          <w:tcPr>
            <w:tcW w:w="3117" w:type="dxa"/>
          </w:tcPr>
          <w:p w14:paraId="5522E9D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7/185 (3.8%)</w:t>
            </w:r>
          </w:p>
        </w:tc>
        <w:tc>
          <w:tcPr>
            <w:tcW w:w="3117" w:type="dxa"/>
          </w:tcPr>
          <w:p w14:paraId="3771D8F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22/185 (11.9%)</w:t>
            </w:r>
          </w:p>
        </w:tc>
      </w:tr>
      <w:tr w:rsidR="003A52CF" w:rsidRPr="00B057A4" w14:paraId="63D2B291" w14:textId="77777777" w:rsidTr="00742EF5">
        <w:tc>
          <w:tcPr>
            <w:tcW w:w="3116" w:type="dxa"/>
          </w:tcPr>
          <w:p w14:paraId="1B9BA53F"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lastRenderedPageBreak/>
              <w:t>Male</w:t>
            </w:r>
          </w:p>
        </w:tc>
        <w:tc>
          <w:tcPr>
            <w:tcW w:w="3117" w:type="dxa"/>
          </w:tcPr>
          <w:p w14:paraId="3D1F1A6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4/98 (4.1%)</w:t>
            </w:r>
          </w:p>
        </w:tc>
        <w:tc>
          <w:tcPr>
            <w:tcW w:w="3117" w:type="dxa"/>
          </w:tcPr>
          <w:p w14:paraId="6D43F9CA"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11/98 (11.2%)</w:t>
            </w:r>
          </w:p>
        </w:tc>
      </w:tr>
      <w:tr w:rsidR="003A52CF" w:rsidRPr="00B057A4" w14:paraId="50F6F8AD" w14:textId="77777777" w:rsidTr="00742EF5">
        <w:tc>
          <w:tcPr>
            <w:tcW w:w="3116" w:type="dxa"/>
          </w:tcPr>
          <w:p w14:paraId="25194C0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p-value</w:t>
            </w:r>
          </w:p>
        </w:tc>
        <w:tc>
          <w:tcPr>
            <w:tcW w:w="3117" w:type="dxa"/>
          </w:tcPr>
          <w:p w14:paraId="5685885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1.00</w:t>
            </w:r>
          </w:p>
        </w:tc>
        <w:tc>
          <w:tcPr>
            <w:tcW w:w="3117" w:type="dxa"/>
          </w:tcPr>
          <w:p w14:paraId="5BCC8AD5"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.868</w:t>
            </w:r>
          </w:p>
        </w:tc>
      </w:tr>
    </w:tbl>
    <w:p w14:paraId="2DAEE2E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Table 7: Spondylolysis and Spondylolisthesis prevalence between both sexes</w:t>
      </w:r>
    </w:p>
    <w:p w14:paraId="2942D05E" w14:textId="77777777" w:rsidR="003A52CF" w:rsidRPr="00B057A4" w:rsidRDefault="003A52CF" w:rsidP="00B057A4">
      <w:pPr>
        <w:spacing w:line="480" w:lineRule="auto"/>
        <w:rPr>
          <w:rFonts w:ascii="Arial" w:hAnsi="Arial" w:cs="Arial"/>
          <w:sz w:val="20"/>
          <w:szCs w:val="20"/>
        </w:rPr>
      </w:pPr>
      <w:r w:rsidRPr="00B057A4">
        <w:rPr>
          <w:rFonts w:ascii="Arial" w:hAnsi="Arial" w:cs="Arial"/>
          <w:noProof/>
          <w:sz w:val="20"/>
          <w:szCs w:val="20"/>
        </w:rPr>
        <w:drawing>
          <wp:inline distT="0" distB="0" distL="0" distR="0" wp14:anchorId="4D2FF768" wp14:editId="443336E9">
            <wp:extent cx="5181600" cy="3408545"/>
            <wp:effectExtent l="0" t="0" r="0" b="1905"/>
            <wp:docPr id="1729097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5489" cy="3417681"/>
                    </a:xfrm>
                    <a:prstGeom prst="rect">
                      <a:avLst/>
                    </a:prstGeom>
                    <a:noFill/>
                    <a:ln>
                      <a:noFill/>
                    </a:ln>
                  </pic:spPr>
                </pic:pic>
              </a:graphicData>
            </a:graphic>
          </wp:inline>
        </w:drawing>
      </w:r>
    </w:p>
    <w:p w14:paraId="03407EF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Figure 2: Spondylolysis and spondylolisthesis prevalence by sex</w:t>
      </w:r>
    </w:p>
    <w:p w14:paraId="5C52A064" w14:textId="68C55E5B"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Spondylolysis was observed in no subject (0/60) within the 18 to 40 age group, 6.3% (9/142) of subjects in the 41 to 60 age group, and 2.5% (2/81) of subjects in the 61 to 80 age group. Spondylolisthesis was observed in no subject (0/60) in the 18 to 40 age group, 5.6% (8/142) of subjects in the 41 to 60 age group, and 30.9% (25/81) of subjects in the 61 to 80 age group.</w:t>
      </w:r>
      <w:r w:rsidR="007A0040" w:rsidRPr="00B057A4">
        <w:rPr>
          <w:rFonts w:ascii="Arial" w:hAnsi="Arial" w:cs="Arial"/>
          <w:sz w:val="20"/>
          <w:szCs w:val="20"/>
        </w:rPr>
        <w:t xml:space="preserve"> Chi-square test showed statistically significant difference</w:t>
      </w:r>
      <w:r w:rsidR="00B057A4" w:rsidRPr="00B057A4">
        <w:rPr>
          <w:rFonts w:ascii="Arial" w:hAnsi="Arial" w:cs="Arial"/>
          <w:sz w:val="20"/>
          <w:szCs w:val="20"/>
        </w:rPr>
        <w:t xml:space="preserve"> (p=.000)</w:t>
      </w:r>
      <w:r w:rsidR="007A0040" w:rsidRPr="00B057A4">
        <w:rPr>
          <w:rFonts w:ascii="Arial" w:hAnsi="Arial" w:cs="Arial"/>
          <w:sz w:val="20"/>
          <w:szCs w:val="20"/>
        </w:rPr>
        <w:t xml:space="preserve"> in the prevalence of spondylolisthesis among the different age groups. </w:t>
      </w:r>
      <w:r w:rsidRPr="00B057A4">
        <w:rPr>
          <w:rFonts w:ascii="Arial" w:hAnsi="Arial" w:cs="Arial"/>
          <w:sz w:val="20"/>
          <w:szCs w:val="20"/>
        </w:rPr>
        <w:t xml:space="preserve"> Table 8 shows the distribution of spondylolysis and spondylolisthesis among the different age groups</w:t>
      </w:r>
    </w:p>
    <w:tbl>
      <w:tblPr>
        <w:tblStyle w:val="TableGrid"/>
        <w:tblW w:w="0" w:type="auto"/>
        <w:tblLook w:val="04A0" w:firstRow="1" w:lastRow="0" w:firstColumn="1" w:lastColumn="0" w:noHBand="0" w:noVBand="1"/>
      </w:tblPr>
      <w:tblGrid>
        <w:gridCol w:w="3116"/>
        <w:gridCol w:w="3117"/>
        <w:gridCol w:w="3117"/>
      </w:tblGrid>
      <w:tr w:rsidR="003A52CF" w:rsidRPr="00B057A4" w14:paraId="41DF91F9" w14:textId="77777777" w:rsidTr="00742EF5">
        <w:tc>
          <w:tcPr>
            <w:tcW w:w="3116" w:type="dxa"/>
          </w:tcPr>
          <w:p w14:paraId="68E0090D"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Age group</w:t>
            </w:r>
          </w:p>
        </w:tc>
        <w:tc>
          <w:tcPr>
            <w:tcW w:w="3117" w:type="dxa"/>
          </w:tcPr>
          <w:p w14:paraId="75C817B4"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Spondylolysis</w:t>
            </w:r>
          </w:p>
        </w:tc>
        <w:tc>
          <w:tcPr>
            <w:tcW w:w="3117" w:type="dxa"/>
          </w:tcPr>
          <w:p w14:paraId="18424862"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Spondylolisthesis</w:t>
            </w:r>
          </w:p>
        </w:tc>
      </w:tr>
      <w:tr w:rsidR="003A52CF" w:rsidRPr="00B057A4" w14:paraId="07174BFA" w14:textId="77777777" w:rsidTr="00742EF5">
        <w:tc>
          <w:tcPr>
            <w:tcW w:w="3116" w:type="dxa"/>
          </w:tcPr>
          <w:p w14:paraId="38EFC40A"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18 to 40</w:t>
            </w:r>
          </w:p>
        </w:tc>
        <w:tc>
          <w:tcPr>
            <w:tcW w:w="3117" w:type="dxa"/>
          </w:tcPr>
          <w:p w14:paraId="61409184"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0/60 (0%)</w:t>
            </w:r>
          </w:p>
        </w:tc>
        <w:tc>
          <w:tcPr>
            <w:tcW w:w="3117" w:type="dxa"/>
          </w:tcPr>
          <w:p w14:paraId="051B65A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0/60 (0%)</w:t>
            </w:r>
          </w:p>
        </w:tc>
      </w:tr>
      <w:tr w:rsidR="003A52CF" w:rsidRPr="00B057A4" w14:paraId="0050B168" w14:textId="77777777" w:rsidTr="00742EF5">
        <w:tc>
          <w:tcPr>
            <w:tcW w:w="3116" w:type="dxa"/>
          </w:tcPr>
          <w:p w14:paraId="23CA71EA"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41 to 60</w:t>
            </w:r>
          </w:p>
        </w:tc>
        <w:tc>
          <w:tcPr>
            <w:tcW w:w="3117" w:type="dxa"/>
          </w:tcPr>
          <w:p w14:paraId="2880EB69"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9/142 (6.3%)</w:t>
            </w:r>
          </w:p>
        </w:tc>
        <w:tc>
          <w:tcPr>
            <w:tcW w:w="3117" w:type="dxa"/>
          </w:tcPr>
          <w:p w14:paraId="74D3E6F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8/142 (5.6%)</w:t>
            </w:r>
          </w:p>
        </w:tc>
      </w:tr>
      <w:tr w:rsidR="003A52CF" w:rsidRPr="00B057A4" w14:paraId="4F882A2B" w14:textId="77777777" w:rsidTr="00742EF5">
        <w:tc>
          <w:tcPr>
            <w:tcW w:w="3116" w:type="dxa"/>
          </w:tcPr>
          <w:p w14:paraId="32B29941"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61 to 80</w:t>
            </w:r>
          </w:p>
        </w:tc>
        <w:tc>
          <w:tcPr>
            <w:tcW w:w="3117" w:type="dxa"/>
          </w:tcPr>
          <w:p w14:paraId="08AE2E7B"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2/81 (2.5%)</w:t>
            </w:r>
          </w:p>
        </w:tc>
        <w:tc>
          <w:tcPr>
            <w:tcW w:w="3117" w:type="dxa"/>
          </w:tcPr>
          <w:p w14:paraId="1D39DAB6"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25/81 (30.9%)</w:t>
            </w:r>
          </w:p>
        </w:tc>
      </w:tr>
      <w:tr w:rsidR="003A52CF" w:rsidRPr="00B057A4" w14:paraId="591A11C8" w14:textId="77777777" w:rsidTr="00742EF5">
        <w:tc>
          <w:tcPr>
            <w:tcW w:w="3116" w:type="dxa"/>
          </w:tcPr>
          <w:p w14:paraId="35C69A59"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lastRenderedPageBreak/>
              <w:t>p-value</w:t>
            </w:r>
          </w:p>
        </w:tc>
        <w:tc>
          <w:tcPr>
            <w:tcW w:w="3117" w:type="dxa"/>
          </w:tcPr>
          <w:p w14:paraId="1F1C234C"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.088</w:t>
            </w:r>
          </w:p>
        </w:tc>
        <w:tc>
          <w:tcPr>
            <w:tcW w:w="3117" w:type="dxa"/>
          </w:tcPr>
          <w:p w14:paraId="1582E1B8"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.000</w:t>
            </w:r>
          </w:p>
        </w:tc>
      </w:tr>
    </w:tbl>
    <w:p w14:paraId="5828F980" w14:textId="77777777"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Table 8: Distribution of spondylolysis and spondylolisthesis among the different age groups</w:t>
      </w:r>
    </w:p>
    <w:p w14:paraId="7765D355" w14:textId="31F666AA"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Logistic regression analysis was performed to identify independent predictors of spondylolysis and spondylolisthesis. After adjusting for each other, sex and age group were not independent predictors of spondylolysis (p &gt; 0.05). However, after adjusting for sex, increasing age remained strongly associated with spondylolisthesis (p = .000, variable </w:t>
      </w:r>
      <w:r w:rsidR="00035E49" w:rsidRPr="00B057A4">
        <w:rPr>
          <w:rFonts w:ascii="Arial" w:hAnsi="Arial" w:cs="Arial"/>
          <w:sz w:val="20"/>
          <w:szCs w:val="20"/>
        </w:rPr>
        <w:t>odds ratio</w:t>
      </w:r>
      <w:r w:rsidRPr="00B057A4">
        <w:rPr>
          <w:rFonts w:ascii="Arial" w:hAnsi="Arial" w:cs="Arial"/>
          <w:sz w:val="20"/>
          <w:szCs w:val="20"/>
        </w:rPr>
        <w:t>s). These findings suggest that increasing age contributes to increased risk of spondylolisthesis in this studied population.</w:t>
      </w:r>
    </w:p>
    <w:p w14:paraId="186960DD" w14:textId="77777777" w:rsidR="003A52CF" w:rsidRPr="00B057A4" w:rsidRDefault="003A52CF" w:rsidP="00B057A4">
      <w:pPr>
        <w:spacing w:line="480" w:lineRule="auto"/>
        <w:jc w:val="center"/>
        <w:rPr>
          <w:rFonts w:ascii="Arial" w:hAnsi="Arial" w:cs="Arial"/>
          <w:sz w:val="20"/>
          <w:szCs w:val="20"/>
        </w:rPr>
      </w:pPr>
    </w:p>
    <w:p w14:paraId="1DB5B0DD" w14:textId="372A96A9" w:rsidR="003A52CF" w:rsidRPr="007B016B" w:rsidRDefault="003A52CF" w:rsidP="00B057A4">
      <w:pPr>
        <w:pStyle w:val="ListParagraph"/>
        <w:numPr>
          <w:ilvl w:val="0"/>
          <w:numId w:val="3"/>
        </w:numPr>
        <w:spacing w:line="480" w:lineRule="auto"/>
        <w:rPr>
          <w:rFonts w:ascii="Arial" w:hAnsi="Arial" w:cs="Arial"/>
          <w:b/>
          <w:bCs/>
        </w:rPr>
      </w:pPr>
      <w:r w:rsidRPr="007B016B">
        <w:rPr>
          <w:rFonts w:ascii="Arial" w:hAnsi="Arial" w:cs="Arial"/>
          <w:b/>
          <w:bCs/>
        </w:rPr>
        <w:t>DISCUSSION</w:t>
      </w:r>
    </w:p>
    <w:p w14:paraId="5E4ED910" w14:textId="411D2AFE"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 xml:space="preserve">Our spondylolysis prevalence of 3.9% is lower than that seen in numerous CT-based studies from Asia and the Americas </w:t>
      </w:r>
      <w:r w:rsidR="00035E49" w:rsidRPr="00B057A4">
        <w:rPr>
          <w:rFonts w:ascii="Arial" w:hAnsi="Arial" w:cs="Arial"/>
          <w:sz w:val="20"/>
          <w:szCs w:val="20"/>
        </w:rPr>
        <w:t xml:space="preserve">which demonstrate prevalence rates ranging from </w:t>
      </w:r>
      <w:r w:rsidRPr="00B057A4">
        <w:rPr>
          <w:rFonts w:ascii="Arial" w:hAnsi="Arial" w:cs="Arial"/>
          <w:sz w:val="20"/>
          <w:szCs w:val="20"/>
        </w:rPr>
        <w:t>5.7% to 11.5%</w:t>
      </w:r>
      <w:r w:rsidR="00035E49" w:rsidRPr="00B057A4">
        <w:rPr>
          <w:rFonts w:ascii="Arial" w:hAnsi="Arial" w:cs="Arial"/>
          <w:sz w:val="20"/>
          <w:szCs w:val="20"/>
        </w:rPr>
        <w:t xml:space="preserve"> (Sakai et al, 2009; Ko &amp; Lee, 2011; Belfi et al, 2006; Kalichman et al, 2009; Aoki et al, 2020; </w:t>
      </w:r>
      <w:proofErr w:type="spellStart"/>
      <w:r w:rsidR="00035E49" w:rsidRPr="00B057A4">
        <w:rPr>
          <w:rFonts w:ascii="Arial" w:hAnsi="Arial" w:cs="Arial"/>
          <w:sz w:val="20"/>
          <w:szCs w:val="20"/>
        </w:rPr>
        <w:t>Layegh</w:t>
      </w:r>
      <w:proofErr w:type="spellEnd"/>
      <w:r w:rsidR="00035E49" w:rsidRPr="00B057A4">
        <w:rPr>
          <w:rFonts w:ascii="Arial" w:hAnsi="Arial" w:cs="Arial"/>
          <w:sz w:val="20"/>
          <w:szCs w:val="20"/>
        </w:rPr>
        <w:t xml:space="preserve"> &amp; </w:t>
      </w:r>
      <w:proofErr w:type="spellStart"/>
      <w:r w:rsidR="00035E49" w:rsidRPr="00B057A4">
        <w:rPr>
          <w:rFonts w:ascii="Arial" w:hAnsi="Arial" w:cs="Arial"/>
          <w:sz w:val="20"/>
          <w:szCs w:val="20"/>
        </w:rPr>
        <w:t>Hejazian</w:t>
      </w:r>
      <w:proofErr w:type="spellEnd"/>
      <w:r w:rsidR="00035E49" w:rsidRPr="00B057A4">
        <w:rPr>
          <w:rFonts w:ascii="Arial" w:hAnsi="Arial" w:cs="Arial"/>
          <w:sz w:val="20"/>
          <w:szCs w:val="20"/>
        </w:rPr>
        <w:t>, 2017)</w:t>
      </w:r>
      <w:r w:rsidRPr="00B057A4">
        <w:rPr>
          <w:rFonts w:ascii="Arial" w:hAnsi="Arial" w:cs="Arial"/>
          <w:sz w:val="20"/>
          <w:szCs w:val="20"/>
        </w:rPr>
        <w:t>. This supports prior skeletal data suggesting a lower predisposition among black population</w:t>
      </w:r>
      <w:r w:rsidR="00035E49" w:rsidRPr="00B057A4">
        <w:rPr>
          <w:rFonts w:ascii="Arial" w:hAnsi="Arial" w:cs="Arial"/>
          <w:sz w:val="20"/>
          <w:szCs w:val="20"/>
        </w:rPr>
        <w:t>s (Eisenstein, 1978; Roche &amp; Rowe, 1951; Yoshihara et al, 2023)</w:t>
      </w:r>
      <w:r w:rsidRPr="00B057A4">
        <w:rPr>
          <w:rFonts w:ascii="Arial" w:hAnsi="Arial" w:cs="Arial"/>
          <w:sz w:val="20"/>
          <w:szCs w:val="20"/>
        </w:rPr>
        <w:t>. Several factors may contribute to this observation, including genetic influences, differences in adolescent activity patterns, and population-specific anatomical factors. However, definite conclusions regarding causation require further multi</w:t>
      </w:r>
      <w:r w:rsidR="001C0E48" w:rsidRPr="00B057A4">
        <w:rPr>
          <w:rFonts w:ascii="Arial" w:hAnsi="Arial" w:cs="Arial"/>
          <w:sz w:val="20"/>
          <w:szCs w:val="20"/>
        </w:rPr>
        <w:t>-</w:t>
      </w:r>
      <w:proofErr w:type="spellStart"/>
      <w:r w:rsidRPr="00B057A4">
        <w:rPr>
          <w:rFonts w:ascii="Arial" w:hAnsi="Arial" w:cs="Arial"/>
          <w:sz w:val="20"/>
          <w:szCs w:val="20"/>
        </w:rPr>
        <w:t>center</w:t>
      </w:r>
      <w:proofErr w:type="spellEnd"/>
      <w:r w:rsidRPr="00B057A4">
        <w:rPr>
          <w:rFonts w:ascii="Arial" w:hAnsi="Arial" w:cs="Arial"/>
          <w:sz w:val="20"/>
          <w:szCs w:val="20"/>
        </w:rPr>
        <w:t xml:space="preserve"> and genetic studies. Our finding that the L5 vertebra was the most commonly affected site is consistent with global literature, reflecting the biomechanical vulnerability of this region. This study did not demonstrate any significant differences between both sexes in the prevalence of spondylolysis, similar to multiple previous studies</w:t>
      </w:r>
      <w:r w:rsidR="00B835C4" w:rsidRPr="00B057A4">
        <w:rPr>
          <w:rFonts w:ascii="Arial" w:hAnsi="Arial" w:cs="Arial"/>
          <w:sz w:val="20"/>
          <w:szCs w:val="20"/>
        </w:rPr>
        <w:t xml:space="preserve"> (Ko &amp; Lee, 2011; Aoki et al, 2020; </w:t>
      </w:r>
      <w:proofErr w:type="spellStart"/>
      <w:r w:rsidR="00B835C4" w:rsidRPr="00B057A4">
        <w:rPr>
          <w:rFonts w:ascii="Arial" w:hAnsi="Arial" w:cs="Arial"/>
          <w:sz w:val="20"/>
          <w:szCs w:val="20"/>
        </w:rPr>
        <w:t>Layegh</w:t>
      </w:r>
      <w:proofErr w:type="spellEnd"/>
      <w:r w:rsidR="00B835C4" w:rsidRPr="00B057A4">
        <w:rPr>
          <w:rFonts w:ascii="Arial" w:hAnsi="Arial" w:cs="Arial"/>
          <w:sz w:val="20"/>
          <w:szCs w:val="20"/>
        </w:rPr>
        <w:t xml:space="preserve"> &amp; </w:t>
      </w:r>
      <w:proofErr w:type="spellStart"/>
      <w:r w:rsidR="00B835C4" w:rsidRPr="00B057A4">
        <w:rPr>
          <w:rFonts w:ascii="Arial" w:hAnsi="Arial" w:cs="Arial"/>
          <w:sz w:val="20"/>
          <w:szCs w:val="20"/>
        </w:rPr>
        <w:t>Hajezian</w:t>
      </w:r>
      <w:proofErr w:type="spellEnd"/>
      <w:r w:rsidR="00B835C4" w:rsidRPr="00B057A4">
        <w:rPr>
          <w:rFonts w:ascii="Arial" w:hAnsi="Arial" w:cs="Arial"/>
          <w:sz w:val="20"/>
          <w:szCs w:val="20"/>
        </w:rPr>
        <w:t>, 2017)</w:t>
      </w:r>
      <w:r w:rsidRPr="00B057A4">
        <w:rPr>
          <w:rFonts w:ascii="Arial" w:hAnsi="Arial" w:cs="Arial"/>
          <w:sz w:val="20"/>
          <w:szCs w:val="20"/>
        </w:rPr>
        <w:t xml:space="preserve">. </w:t>
      </w:r>
      <w:r w:rsidR="00B835C4" w:rsidRPr="00B057A4">
        <w:rPr>
          <w:rFonts w:ascii="Arial" w:hAnsi="Arial" w:cs="Arial"/>
          <w:sz w:val="20"/>
          <w:szCs w:val="20"/>
        </w:rPr>
        <w:t xml:space="preserve">In contrast, </w:t>
      </w:r>
      <w:r w:rsidRPr="00B057A4">
        <w:rPr>
          <w:rFonts w:ascii="Arial" w:hAnsi="Arial" w:cs="Arial"/>
          <w:sz w:val="20"/>
          <w:szCs w:val="20"/>
        </w:rPr>
        <w:t>some studies</w:t>
      </w:r>
      <w:r w:rsidR="00B835C4" w:rsidRPr="00B057A4">
        <w:rPr>
          <w:rFonts w:ascii="Arial" w:hAnsi="Arial" w:cs="Arial"/>
          <w:sz w:val="20"/>
          <w:szCs w:val="20"/>
        </w:rPr>
        <w:t xml:space="preserve"> </w:t>
      </w:r>
      <w:r w:rsidRPr="00B057A4">
        <w:rPr>
          <w:rFonts w:ascii="Arial" w:hAnsi="Arial" w:cs="Arial"/>
          <w:sz w:val="20"/>
          <w:szCs w:val="20"/>
        </w:rPr>
        <w:t>discovered higher rates of spondylolysis among males which were statistically significant</w:t>
      </w:r>
      <w:r w:rsidR="00B835C4" w:rsidRPr="00B057A4">
        <w:rPr>
          <w:rFonts w:ascii="Arial" w:hAnsi="Arial" w:cs="Arial"/>
          <w:sz w:val="20"/>
          <w:szCs w:val="20"/>
        </w:rPr>
        <w:t xml:space="preserve"> (Sakai et al, 2009; Kalichman et al, 2009)</w:t>
      </w:r>
      <w:r w:rsidRPr="00B057A4">
        <w:rPr>
          <w:rFonts w:ascii="Arial" w:hAnsi="Arial" w:cs="Arial"/>
          <w:sz w:val="20"/>
          <w:szCs w:val="20"/>
        </w:rPr>
        <w:t xml:space="preserve">. This study observed the highest rate of spondylolysis in the 41 to 60 years age group (6.3%) </w:t>
      </w:r>
      <w:r w:rsidR="00B835C4" w:rsidRPr="00B057A4">
        <w:rPr>
          <w:rFonts w:ascii="Arial" w:hAnsi="Arial" w:cs="Arial"/>
          <w:sz w:val="20"/>
          <w:szCs w:val="20"/>
        </w:rPr>
        <w:t>while there was</w:t>
      </w:r>
      <w:r w:rsidRPr="00B057A4">
        <w:rPr>
          <w:rFonts w:ascii="Arial" w:hAnsi="Arial" w:cs="Arial"/>
          <w:sz w:val="20"/>
          <w:szCs w:val="20"/>
        </w:rPr>
        <w:t xml:space="preserve"> zero prevalence in the 18 to 40 years age group. However, the differences in spondylolysis prevalence among the different age groups were not statistically significant. The relatively low rate of spondylolysis in the young adult (18 to 40 years) age group in this study is a little puzzling, and its high rate in the 41 to 60 years age group suggests that new-onset spondylolysis still occurs in the middle-aged </w:t>
      </w:r>
      <w:r w:rsidRPr="00B057A4">
        <w:rPr>
          <w:rFonts w:ascii="Arial" w:hAnsi="Arial" w:cs="Arial"/>
          <w:sz w:val="20"/>
          <w:szCs w:val="20"/>
        </w:rPr>
        <w:lastRenderedPageBreak/>
        <w:t>individuals, which is contrary to multiple sources that suggest it is an injury of toddlers and adolescent athletes.</w:t>
      </w:r>
    </w:p>
    <w:p w14:paraId="11EA1F4B" w14:textId="5456FF49"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Our analysis showed no statistically significant difference (p = .124) in the rates of spondylolisthesis among subjects with spondylolysis compared to the subjects without spondylolysis</w:t>
      </w:r>
      <w:r w:rsidR="00B835C4" w:rsidRPr="00B057A4">
        <w:rPr>
          <w:rFonts w:ascii="Arial" w:hAnsi="Arial" w:cs="Arial"/>
          <w:sz w:val="20"/>
          <w:szCs w:val="20"/>
        </w:rPr>
        <w:t>, which is</w:t>
      </w:r>
      <w:r w:rsidRPr="00B057A4">
        <w:rPr>
          <w:rFonts w:ascii="Arial" w:hAnsi="Arial" w:cs="Arial"/>
          <w:sz w:val="20"/>
          <w:szCs w:val="20"/>
        </w:rPr>
        <w:t xml:space="preserve"> similar to </w:t>
      </w:r>
      <w:r w:rsidR="00B835C4" w:rsidRPr="00B057A4">
        <w:rPr>
          <w:rFonts w:ascii="Arial" w:hAnsi="Arial" w:cs="Arial"/>
          <w:sz w:val="20"/>
          <w:szCs w:val="20"/>
        </w:rPr>
        <w:t xml:space="preserve">the finding in </w:t>
      </w:r>
      <w:r w:rsidRPr="00B057A4">
        <w:rPr>
          <w:rFonts w:ascii="Arial" w:hAnsi="Arial" w:cs="Arial"/>
          <w:sz w:val="20"/>
          <w:szCs w:val="20"/>
        </w:rPr>
        <w:t>a previous study</w:t>
      </w:r>
      <w:r w:rsidR="00B835C4" w:rsidRPr="00B057A4">
        <w:rPr>
          <w:rFonts w:ascii="Arial" w:hAnsi="Arial" w:cs="Arial"/>
          <w:sz w:val="20"/>
          <w:szCs w:val="20"/>
        </w:rPr>
        <w:t xml:space="preserve"> (</w:t>
      </w:r>
      <w:proofErr w:type="spellStart"/>
      <w:r w:rsidR="00B835C4" w:rsidRPr="00B057A4">
        <w:rPr>
          <w:rFonts w:ascii="Arial" w:hAnsi="Arial" w:cs="Arial"/>
          <w:sz w:val="20"/>
          <w:szCs w:val="20"/>
        </w:rPr>
        <w:t>Layegh</w:t>
      </w:r>
      <w:proofErr w:type="spellEnd"/>
      <w:r w:rsidR="00B835C4" w:rsidRPr="00B057A4">
        <w:rPr>
          <w:rFonts w:ascii="Arial" w:hAnsi="Arial" w:cs="Arial"/>
          <w:sz w:val="20"/>
          <w:szCs w:val="20"/>
        </w:rPr>
        <w:t xml:space="preserve"> &amp; </w:t>
      </w:r>
      <w:proofErr w:type="spellStart"/>
      <w:r w:rsidR="00B835C4" w:rsidRPr="00B057A4">
        <w:rPr>
          <w:rFonts w:ascii="Arial" w:hAnsi="Arial" w:cs="Arial"/>
          <w:sz w:val="20"/>
          <w:szCs w:val="20"/>
        </w:rPr>
        <w:t>Hejazian</w:t>
      </w:r>
      <w:proofErr w:type="spellEnd"/>
      <w:r w:rsidR="00B835C4" w:rsidRPr="00B057A4">
        <w:rPr>
          <w:rFonts w:ascii="Arial" w:hAnsi="Arial" w:cs="Arial"/>
          <w:sz w:val="20"/>
          <w:szCs w:val="20"/>
        </w:rPr>
        <w:t>, 2017)</w:t>
      </w:r>
      <w:r w:rsidRPr="00B057A4">
        <w:rPr>
          <w:rFonts w:ascii="Arial" w:hAnsi="Arial" w:cs="Arial"/>
          <w:sz w:val="20"/>
          <w:szCs w:val="20"/>
        </w:rPr>
        <w:t>. Conversely, multiple studies demonstrated higher-than-normal rates of spondylolisthesis in patients with spondylolysis when compared to the general population. One study</w:t>
      </w:r>
      <w:r w:rsidR="00B835C4" w:rsidRPr="00B057A4">
        <w:rPr>
          <w:rFonts w:ascii="Arial" w:hAnsi="Arial" w:cs="Arial"/>
          <w:sz w:val="20"/>
          <w:szCs w:val="20"/>
        </w:rPr>
        <w:t xml:space="preserve"> </w:t>
      </w:r>
      <w:r w:rsidRPr="00B057A4">
        <w:rPr>
          <w:rFonts w:ascii="Arial" w:hAnsi="Arial" w:cs="Arial"/>
          <w:sz w:val="20"/>
          <w:szCs w:val="20"/>
        </w:rPr>
        <w:t>showed that 60.5% of patients with spondylolysis had spondylolisthesis</w:t>
      </w:r>
      <w:r w:rsidR="00B835C4" w:rsidRPr="00B057A4">
        <w:rPr>
          <w:rFonts w:ascii="Arial" w:hAnsi="Arial" w:cs="Arial"/>
          <w:sz w:val="20"/>
          <w:szCs w:val="20"/>
        </w:rPr>
        <w:t xml:space="preserve"> (Sakai et al, 2009)</w:t>
      </w:r>
      <w:r w:rsidRPr="00B057A4">
        <w:rPr>
          <w:rFonts w:ascii="Arial" w:hAnsi="Arial" w:cs="Arial"/>
          <w:sz w:val="20"/>
          <w:szCs w:val="20"/>
        </w:rPr>
        <w:t>. Another study</w:t>
      </w:r>
      <w:r w:rsidR="00B835C4" w:rsidRPr="00B057A4">
        <w:rPr>
          <w:rFonts w:ascii="Arial" w:hAnsi="Arial" w:cs="Arial"/>
          <w:sz w:val="20"/>
          <w:szCs w:val="20"/>
        </w:rPr>
        <w:t xml:space="preserve"> </w:t>
      </w:r>
      <w:r w:rsidRPr="00B057A4">
        <w:rPr>
          <w:rFonts w:ascii="Arial" w:hAnsi="Arial" w:cs="Arial"/>
          <w:sz w:val="20"/>
          <w:szCs w:val="20"/>
        </w:rPr>
        <w:t>showed that 79% of patients with bilateral spondylolysis had spondylolisthesis, compared to 13.9% of patients without spondylolysis</w:t>
      </w:r>
      <w:r w:rsidR="00B835C4" w:rsidRPr="00B057A4">
        <w:rPr>
          <w:rFonts w:ascii="Arial" w:hAnsi="Arial" w:cs="Arial"/>
          <w:sz w:val="20"/>
          <w:szCs w:val="20"/>
        </w:rPr>
        <w:t xml:space="preserve"> (Kalichman et al, 2009)</w:t>
      </w:r>
      <w:r w:rsidRPr="00B057A4">
        <w:rPr>
          <w:rFonts w:ascii="Arial" w:hAnsi="Arial" w:cs="Arial"/>
          <w:sz w:val="20"/>
          <w:szCs w:val="20"/>
        </w:rPr>
        <w:t>. Similarly, another study</w:t>
      </w:r>
      <w:r w:rsidR="00B835C4" w:rsidRPr="00B057A4">
        <w:rPr>
          <w:rFonts w:ascii="Arial" w:hAnsi="Arial" w:cs="Arial"/>
          <w:sz w:val="20"/>
          <w:szCs w:val="20"/>
        </w:rPr>
        <w:t xml:space="preserve"> </w:t>
      </w:r>
      <w:r w:rsidRPr="00B057A4">
        <w:rPr>
          <w:rFonts w:ascii="Arial" w:hAnsi="Arial" w:cs="Arial"/>
          <w:sz w:val="20"/>
          <w:szCs w:val="20"/>
        </w:rPr>
        <w:t>showed statistically significant difference in the rates of spondylolisthesis in patients with spondylolysis v</w:t>
      </w:r>
      <w:r w:rsidR="00B835C4" w:rsidRPr="00B057A4">
        <w:rPr>
          <w:rFonts w:ascii="Arial" w:hAnsi="Arial" w:cs="Arial"/>
          <w:sz w:val="20"/>
          <w:szCs w:val="20"/>
        </w:rPr>
        <w:t>ersu</w:t>
      </w:r>
      <w:r w:rsidRPr="00B057A4">
        <w:rPr>
          <w:rFonts w:ascii="Arial" w:hAnsi="Arial" w:cs="Arial"/>
          <w:sz w:val="20"/>
          <w:szCs w:val="20"/>
        </w:rPr>
        <w:t xml:space="preserve">s those </w:t>
      </w:r>
      <w:proofErr w:type="gramStart"/>
      <w:r w:rsidRPr="00B057A4">
        <w:rPr>
          <w:rFonts w:ascii="Arial" w:hAnsi="Arial" w:cs="Arial"/>
          <w:sz w:val="20"/>
          <w:szCs w:val="20"/>
        </w:rPr>
        <w:t xml:space="preserve">without </w:t>
      </w:r>
      <w:r w:rsidR="00B835C4" w:rsidRPr="00B057A4">
        <w:rPr>
          <w:rFonts w:ascii="Arial" w:hAnsi="Arial" w:cs="Arial"/>
          <w:sz w:val="20"/>
          <w:szCs w:val="20"/>
        </w:rPr>
        <w:t>;</w:t>
      </w:r>
      <w:proofErr w:type="gramEnd"/>
      <w:r w:rsidR="00B835C4" w:rsidRPr="00B057A4">
        <w:rPr>
          <w:rFonts w:ascii="Arial" w:hAnsi="Arial" w:cs="Arial"/>
          <w:sz w:val="20"/>
          <w:szCs w:val="20"/>
        </w:rPr>
        <w:t xml:space="preserve"> </w:t>
      </w:r>
      <w:r w:rsidRPr="00B057A4">
        <w:rPr>
          <w:rFonts w:ascii="Arial" w:hAnsi="Arial" w:cs="Arial"/>
          <w:sz w:val="20"/>
          <w:szCs w:val="20"/>
        </w:rPr>
        <w:t>51.4%</w:t>
      </w:r>
      <w:r w:rsidR="00B835C4" w:rsidRPr="00B057A4">
        <w:rPr>
          <w:rFonts w:ascii="Arial" w:hAnsi="Arial" w:cs="Arial"/>
          <w:sz w:val="20"/>
          <w:szCs w:val="20"/>
        </w:rPr>
        <w:t xml:space="preserve"> of patients with spondylolysis had consequent spondylolisthesis, compared to</w:t>
      </w:r>
      <w:r w:rsidRPr="00B057A4">
        <w:rPr>
          <w:rFonts w:ascii="Arial" w:hAnsi="Arial" w:cs="Arial"/>
          <w:sz w:val="20"/>
          <w:szCs w:val="20"/>
        </w:rPr>
        <w:t xml:space="preserve"> 7.4% </w:t>
      </w:r>
      <w:r w:rsidR="00B835C4" w:rsidRPr="00B057A4">
        <w:rPr>
          <w:rFonts w:ascii="Arial" w:hAnsi="Arial" w:cs="Arial"/>
          <w:sz w:val="20"/>
          <w:szCs w:val="20"/>
        </w:rPr>
        <w:t>of patients without spondylolysis (Aoki et al, 2016)</w:t>
      </w:r>
      <w:r w:rsidRPr="00B057A4">
        <w:rPr>
          <w:rFonts w:ascii="Arial" w:hAnsi="Arial" w:cs="Arial"/>
          <w:sz w:val="20"/>
          <w:szCs w:val="20"/>
        </w:rPr>
        <w:t xml:space="preserve">. Our study’s finding of no </w:t>
      </w:r>
      <w:r w:rsidR="0075734C" w:rsidRPr="00B057A4">
        <w:rPr>
          <w:rFonts w:ascii="Arial" w:hAnsi="Arial" w:cs="Arial"/>
          <w:sz w:val="20"/>
          <w:szCs w:val="20"/>
        </w:rPr>
        <w:t xml:space="preserve">statistically </w:t>
      </w:r>
      <w:r w:rsidRPr="00B057A4">
        <w:rPr>
          <w:rFonts w:ascii="Arial" w:hAnsi="Arial" w:cs="Arial"/>
          <w:sz w:val="20"/>
          <w:szCs w:val="20"/>
        </w:rPr>
        <w:t xml:space="preserve">significant difference in the spondylolisthesis rates between patients with spondylolysis and </w:t>
      </w:r>
      <w:r w:rsidR="00B835C4" w:rsidRPr="00B057A4">
        <w:rPr>
          <w:rFonts w:ascii="Arial" w:hAnsi="Arial" w:cs="Arial"/>
          <w:sz w:val="20"/>
          <w:szCs w:val="20"/>
        </w:rPr>
        <w:t>those</w:t>
      </w:r>
      <w:r w:rsidRPr="00B057A4">
        <w:rPr>
          <w:rFonts w:ascii="Arial" w:hAnsi="Arial" w:cs="Arial"/>
          <w:sz w:val="20"/>
          <w:szCs w:val="20"/>
        </w:rPr>
        <w:t xml:space="preserve"> without, suggest</w:t>
      </w:r>
      <w:r w:rsidR="00B835C4" w:rsidRPr="00B057A4">
        <w:rPr>
          <w:rFonts w:ascii="Arial" w:hAnsi="Arial" w:cs="Arial"/>
          <w:sz w:val="20"/>
          <w:szCs w:val="20"/>
        </w:rPr>
        <w:t>s</w:t>
      </w:r>
      <w:r w:rsidRPr="00B057A4">
        <w:rPr>
          <w:rFonts w:ascii="Arial" w:hAnsi="Arial" w:cs="Arial"/>
          <w:sz w:val="20"/>
          <w:szCs w:val="20"/>
        </w:rPr>
        <w:t xml:space="preserve"> that pars interarticularis fracture is not a strong predictor of spondylolisthesis in our population, compared to Asian and American populations.</w:t>
      </w:r>
    </w:p>
    <w:p w14:paraId="5DBF49F9" w14:textId="1E11E0C1"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The prevalence of spondylolisthesis in this studied population was 11.7% which is similar to other studies</w:t>
      </w:r>
      <w:r w:rsidR="0075734C" w:rsidRPr="00B057A4">
        <w:rPr>
          <w:rFonts w:ascii="Arial" w:hAnsi="Arial" w:cs="Arial"/>
          <w:sz w:val="20"/>
          <w:szCs w:val="20"/>
        </w:rPr>
        <w:t xml:space="preserve"> </w:t>
      </w:r>
      <w:r w:rsidRPr="00B057A4">
        <w:rPr>
          <w:rFonts w:ascii="Arial" w:hAnsi="Arial" w:cs="Arial"/>
          <w:sz w:val="20"/>
          <w:szCs w:val="20"/>
        </w:rPr>
        <w:t>which demonstrated spondylolisthesis rates of 10.2% and 13%</w:t>
      </w:r>
      <w:r w:rsidR="0075734C" w:rsidRPr="00B057A4">
        <w:rPr>
          <w:rFonts w:ascii="Arial" w:hAnsi="Arial" w:cs="Arial"/>
          <w:sz w:val="20"/>
          <w:szCs w:val="20"/>
        </w:rPr>
        <w:t xml:space="preserve"> (Aoki et al, 2020; </w:t>
      </w:r>
      <w:proofErr w:type="spellStart"/>
      <w:r w:rsidR="0075734C" w:rsidRPr="00B057A4">
        <w:rPr>
          <w:rFonts w:ascii="Arial" w:hAnsi="Arial" w:cs="Arial"/>
          <w:sz w:val="20"/>
          <w:szCs w:val="20"/>
        </w:rPr>
        <w:t>Layegh</w:t>
      </w:r>
      <w:proofErr w:type="spellEnd"/>
      <w:r w:rsidR="0075734C" w:rsidRPr="00B057A4">
        <w:rPr>
          <w:rFonts w:ascii="Arial" w:hAnsi="Arial" w:cs="Arial"/>
          <w:sz w:val="20"/>
          <w:szCs w:val="20"/>
        </w:rPr>
        <w:t xml:space="preserve"> &amp; </w:t>
      </w:r>
      <w:proofErr w:type="spellStart"/>
      <w:r w:rsidR="0075734C" w:rsidRPr="00B057A4">
        <w:rPr>
          <w:rFonts w:ascii="Arial" w:hAnsi="Arial" w:cs="Arial"/>
          <w:sz w:val="20"/>
          <w:szCs w:val="20"/>
        </w:rPr>
        <w:t>Hejazian</w:t>
      </w:r>
      <w:proofErr w:type="spellEnd"/>
      <w:r w:rsidR="0075734C" w:rsidRPr="00B057A4">
        <w:rPr>
          <w:rFonts w:ascii="Arial" w:hAnsi="Arial" w:cs="Arial"/>
          <w:sz w:val="20"/>
          <w:szCs w:val="20"/>
        </w:rPr>
        <w:t>, 2017)</w:t>
      </w:r>
      <w:r w:rsidRPr="00B057A4">
        <w:rPr>
          <w:rFonts w:ascii="Arial" w:hAnsi="Arial" w:cs="Arial"/>
          <w:sz w:val="20"/>
          <w:szCs w:val="20"/>
        </w:rPr>
        <w:t>. It is however less than the rate in a study in Massachusetts</w:t>
      </w:r>
      <w:r w:rsidR="0075734C" w:rsidRPr="00B057A4">
        <w:rPr>
          <w:rFonts w:ascii="Arial" w:hAnsi="Arial" w:cs="Arial"/>
          <w:sz w:val="20"/>
          <w:szCs w:val="20"/>
        </w:rPr>
        <w:t xml:space="preserve"> </w:t>
      </w:r>
      <w:r w:rsidRPr="00B057A4">
        <w:rPr>
          <w:rFonts w:ascii="Arial" w:hAnsi="Arial" w:cs="Arial"/>
          <w:sz w:val="20"/>
          <w:szCs w:val="20"/>
        </w:rPr>
        <w:t>which discovered a spondylolisthesis prevalence of 20.7%</w:t>
      </w:r>
      <w:r w:rsidR="0075734C" w:rsidRPr="00B057A4">
        <w:rPr>
          <w:rFonts w:ascii="Arial" w:hAnsi="Arial" w:cs="Arial"/>
          <w:sz w:val="20"/>
          <w:szCs w:val="20"/>
        </w:rPr>
        <w:t xml:space="preserve"> (Kalichman et al, 2009)</w:t>
      </w:r>
      <w:r w:rsidRPr="00B057A4">
        <w:rPr>
          <w:rFonts w:ascii="Arial" w:hAnsi="Arial" w:cs="Arial"/>
          <w:sz w:val="20"/>
          <w:szCs w:val="20"/>
        </w:rPr>
        <w:t>.  The commonest level of spondylolisthesis in this study was at the L4/L5 vertebral level. There were no cases of L1/L2 spondylolisthesis in this studied population.</w:t>
      </w:r>
      <w:r w:rsidR="0057061B" w:rsidRPr="00B057A4">
        <w:rPr>
          <w:rFonts w:ascii="Arial" w:hAnsi="Arial" w:cs="Arial"/>
          <w:sz w:val="20"/>
          <w:szCs w:val="20"/>
        </w:rPr>
        <w:t xml:space="preserve"> Similarly, two studies found the highest occurrence of spondylolisthesis at the L4/5 vertebral level (Kalichman et al, 2009; </w:t>
      </w:r>
      <w:proofErr w:type="spellStart"/>
      <w:r w:rsidR="0057061B" w:rsidRPr="00B057A4">
        <w:rPr>
          <w:rFonts w:ascii="Arial" w:hAnsi="Arial" w:cs="Arial"/>
          <w:sz w:val="20"/>
          <w:szCs w:val="20"/>
        </w:rPr>
        <w:t>Layegh</w:t>
      </w:r>
      <w:proofErr w:type="spellEnd"/>
      <w:r w:rsidR="0057061B" w:rsidRPr="00B057A4">
        <w:rPr>
          <w:rFonts w:ascii="Arial" w:hAnsi="Arial" w:cs="Arial"/>
          <w:sz w:val="20"/>
          <w:szCs w:val="20"/>
        </w:rPr>
        <w:t xml:space="preserve"> &amp; </w:t>
      </w:r>
      <w:proofErr w:type="spellStart"/>
      <w:r w:rsidR="0057061B" w:rsidRPr="00B057A4">
        <w:rPr>
          <w:rFonts w:ascii="Arial" w:hAnsi="Arial" w:cs="Arial"/>
          <w:sz w:val="20"/>
          <w:szCs w:val="20"/>
        </w:rPr>
        <w:t>Hejazian</w:t>
      </w:r>
      <w:proofErr w:type="spellEnd"/>
      <w:r w:rsidR="0057061B" w:rsidRPr="00B057A4">
        <w:rPr>
          <w:rFonts w:ascii="Arial" w:hAnsi="Arial" w:cs="Arial"/>
          <w:sz w:val="20"/>
          <w:szCs w:val="20"/>
        </w:rPr>
        <w:t>, 2017).</w:t>
      </w:r>
      <w:r w:rsidRPr="00B057A4">
        <w:rPr>
          <w:rFonts w:ascii="Arial" w:hAnsi="Arial" w:cs="Arial"/>
          <w:sz w:val="20"/>
          <w:szCs w:val="20"/>
        </w:rPr>
        <w:t xml:space="preserve"> This study did not demonstrate any statistically significant difference (p=.868) in the rates of spondylolisthesis between both sexes. Conversely, </w:t>
      </w:r>
      <w:r w:rsidR="0057061B" w:rsidRPr="00B057A4">
        <w:rPr>
          <w:rFonts w:ascii="Arial" w:hAnsi="Arial" w:cs="Arial"/>
          <w:sz w:val="20"/>
          <w:szCs w:val="20"/>
        </w:rPr>
        <w:t xml:space="preserve">the study by </w:t>
      </w:r>
      <w:proofErr w:type="spellStart"/>
      <w:r w:rsidR="0057061B" w:rsidRPr="00B057A4">
        <w:rPr>
          <w:rFonts w:ascii="Arial" w:hAnsi="Arial" w:cs="Arial"/>
          <w:sz w:val="20"/>
          <w:szCs w:val="20"/>
        </w:rPr>
        <w:t>Layegh</w:t>
      </w:r>
      <w:proofErr w:type="spellEnd"/>
      <w:r w:rsidR="0057061B" w:rsidRPr="00B057A4">
        <w:rPr>
          <w:rFonts w:ascii="Arial" w:hAnsi="Arial" w:cs="Arial"/>
          <w:sz w:val="20"/>
          <w:szCs w:val="20"/>
        </w:rPr>
        <w:t xml:space="preserve"> &amp; </w:t>
      </w:r>
      <w:proofErr w:type="spellStart"/>
      <w:r w:rsidR="0057061B" w:rsidRPr="00B057A4">
        <w:rPr>
          <w:rFonts w:ascii="Arial" w:hAnsi="Arial" w:cs="Arial"/>
          <w:sz w:val="20"/>
          <w:szCs w:val="20"/>
        </w:rPr>
        <w:t>Hajezian</w:t>
      </w:r>
      <w:proofErr w:type="spellEnd"/>
      <w:r w:rsidR="0057061B" w:rsidRPr="00B057A4">
        <w:rPr>
          <w:rFonts w:ascii="Arial" w:hAnsi="Arial" w:cs="Arial"/>
          <w:sz w:val="20"/>
          <w:szCs w:val="20"/>
        </w:rPr>
        <w:t xml:space="preserve"> </w:t>
      </w:r>
      <w:r w:rsidRPr="00B057A4">
        <w:rPr>
          <w:rFonts w:ascii="Arial" w:hAnsi="Arial" w:cs="Arial"/>
          <w:sz w:val="20"/>
          <w:szCs w:val="20"/>
        </w:rPr>
        <w:t>showed statistically significant higher rates of spondylolisthesis among women compared to men. Two other studies</w:t>
      </w:r>
      <w:r w:rsidR="0057061B" w:rsidRPr="00B057A4">
        <w:rPr>
          <w:rFonts w:ascii="Arial" w:hAnsi="Arial" w:cs="Arial"/>
          <w:sz w:val="20"/>
          <w:szCs w:val="20"/>
        </w:rPr>
        <w:t xml:space="preserve"> </w:t>
      </w:r>
      <w:r w:rsidRPr="00B057A4">
        <w:rPr>
          <w:rFonts w:ascii="Arial" w:hAnsi="Arial" w:cs="Arial"/>
          <w:sz w:val="20"/>
          <w:szCs w:val="20"/>
        </w:rPr>
        <w:t>also showed statistically significant higher rates of degenerative spondylolisthesis among women compared to men</w:t>
      </w:r>
      <w:r w:rsidR="0057061B" w:rsidRPr="00B057A4">
        <w:rPr>
          <w:rFonts w:ascii="Arial" w:hAnsi="Arial" w:cs="Arial"/>
          <w:sz w:val="20"/>
          <w:szCs w:val="20"/>
        </w:rPr>
        <w:t xml:space="preserve"> (Kalichman et al, 2009; Aoki et al, 2020)</w:t>
      </w:r>
      <w:r w:rsidRPr="00B057A4">
        <w:rPr>
          <w:rFonts w:ascii="Arial" w:hAnsi="Arial" w:cs="Arial"/>
          <w:sz w:val="20"/>
          <w:szCs w:val="20"/>
        </w:rPr>
        <w:t xml:space="preserve">. In this study, there were statistically significant differences in the rates of spondylolisthesis </w:t>
      </w:r>
      <w:r w:rsidR="002D0734">
        <w:rPr>
          <w:rFonts w:ascii="Arial" w:hAnsi="Arial" w:cs="Arial"/>
          <w:sz w:val="20"/>
          <w:szCs w:val="20"/>
        </w:rPr>
        <w:t>between</w:t>
      </w:r>
      <w:r w:rsidRPr="00B057A4">
        <w:rPr>
          <w:rFonts w:ascii="Arial" w:hAnsi="Arial" w:cs="Arial"/>
          <w:sz w:val="20"/>
          <w:szCs w:val="20"/>
        </w:rPr>
        <w:t xml:space="preserve"> different age </w:t>
      </w:r>
      <w:r w:rsidRPr="00B057A4">
        <w:rPr>
          <w:rFonts w:ascii="Arial" w:hAnsi="Arial" w:cs="Arial"/>
          <w:sz w:val="20"/>
          <w:szCs w:val="20"/>
        </w:rPr>
        <w:lastRenderedPageBreak/>
        <w:t>groups, increasing with increasing age, with the highest prevalence (30.9%) observed in the 61 to 80 years age group</w:t>
      </w:r>
      <w:r w:rsidR="0057061B" w:rsidRPr="00B057A4">
        <w:rPr>
          <w:rFonts w:ascii="Arial" w:hAnsi="Arial" w:cs="Arial"/>
          <w:sz w:val="20"/>
          <w:szCs w:val="20"/>
        </w:rPr>
        <w:t>, similar to the study by Kalichman et al which</w:t>
      </w:r>
      <w:r w:rsidRPr="00B057A4">
        <w:rPr>
          <w:rFonts w:ascii="Arial" w:hAnsi="Arial" w:cs="Arial"/>
          <w:sz w:val="20"/>
          <w:szCs w:val="20"/>
        </w:rPr>
        <w:t xml:space="preserve"> also demonstrated statistically significant differences in degenerative spondylolisthesis rates </w:t>
      </w:r>
      <w:r w:rsidR="002D0734">
        <w:rPr>
          <w:rFonts w:ascii="Arial" w:hAnsi="Arial" w:cs="Arial"/>
          <w:sz w:val="20"/>
          <w:szCs w:val="20"/>
        </w:rPr>
        <w:t>between</w:t>
      </w:r>
      <w:r w:rsidRPr="00B057A4">
        <w:rPr>
          <w:rFonts w:ascii="Arial" w:hAnsi="Arial" w:cs="Arial"/>
          <w:sz w:val="20"/>
          <w:szCs w:val="20"/>
        </w:rPr>
        <w:t xml:space="preserve"> different age groups, with highest rate in the 60 to 69 years age group.</w:t>
      </w:r>
      <w:r w:rsidRPr="00B057A4">
        <w:rPr>
          <w:rFonts w:ascii="Arial" w:hAnsi="Arial" w:cs="Arial"/>
          <w:sz w:val="20"/>
          <w:szCs w:val="20"/>
        </w:rPr>
        <w:br/>
        <w:t xml:space="preserve">The findings in this study suggest that spondylolisthesis occurs most frequently in elderly Nigerian adults, increasing in prevalence with increasing age, and it is overwhelmingly degenerative in aetiology. </w:t>
      </w:r>
    </w:p>
    <w:p w14:paraId="0E85CB79" w14:textId="523646DA" w:rsidR="003A52CF" w:rsidRPr="00AB303D" w:rsidRDefault="0057061B" w:rsidP="00B057A4">
      <w:pPr>
        <w:spacing w:line="480" w:lineRule="auto"/>
        <w:rPr>
          <w:rFonts w:ascii="Arial" w:hAnsi="Arial" w:cs="Arial"/>
          <w:b/>
          <w:bCs/>
        </w:rPr>
      </w:pPr>
      <w:r w:rsidRPr="00AB303D">
        <w:rPr>
          <w:rFonts w:ascii="Arial" w:hAnsi="Arial" w:cs="Arial"/>
          <w:b/>
          <w:bCs/>
        </w:rPr>
        <w:t xml:space="preserve">4.1 </w:t>
      </w:r>
      <w:r w:rsidR="003A52CF" w:rsidRPr="00AB303D">
        <w:rPr>
          <w:rFonts w:ascii="Arial" w:hAnsi="Arial" w:cs="Arial"/>
          <w:b/>
          <w:bCs/>
        </w:rPr>
        <w:t>Limitations of the study</w:t>
      </w:r>
    </w:p>
    <w:p w14:paraId="3DDB97A8" w14:textId="3AD9CB04"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The retrospective design and reliance on archived CT studies limited the ability to take information on the prevalence of low back pain among the studied participants, and explore the associations between spondylolysis and spondylolisthesis and low back pain. The study may not be representative of the general population because of the age and sex distribution of the studied patient population</w:t>
      </w:r>
      <w:r w:rsidR="0057061B" w:rsidRPr="00B057A4">
        <w:rPr>
          <w:rFonts w:ascii="Arial" w:hAnsi="Arial" w:cs="Arial"/>
          <w:sz w:val="20"/>
          <w:szCs w:val="20"/>
        </w:rPr>
        <w:t>; The study</w:t>
      </w:r>
      <w:r w:rsidRPr="00B057A4">
        <w:rPr>
          <w:rFonts w:ascii="Arial" w:hAnsi="Arial" w:cs="Arial"/>
          <w:sz w:val="20"/>
          <w:szCs w:val="20"/>
        </w:rPr>
        <w:t xml:space="preserve"> had a high percentage of women (65.4%)</w:t>
      </w:r>
      <w:r w:rsidR="0057061B" w:rsidRPr="00B057A4">
        <w:rPr>
          <w:rFonts w:ascii="Arial" w:hAnsi="Arial" w:cs="Arial"/>
          <w:sz w:val="20"/>
          <w:szCs w:val="20"/>
        </w:rPr>
        <w:t>, and th</w:t>
      </w:r>
      <w:r w:rsidRPr="00B057A4">
        <w:rPr>
          <w:rFonts w:ascii="Arial" w:hAnsi="Arial" w:cs="Arial"/>
          <w:sz w:val="20"/>
          <w:szCs w:val="20"/>
        </w:rPr>
        <w:t xml:space="preserve">e 41 to 60 years age group is also overrepresented in this study, constituting 50.2% of study subjects. </w:t>
      </w:r>
    </w:p>
    <w:p w14:paraId="2C55D270" w14:textId="4B038AF6" w:rsidR="003A52CF" w:rsidRPr="00AB303D" w:rsidRDefault="0057061B" w:rsidP="00B057A4">
      <w:pPr>
        <w:spacing w:line="480" w:lineRule="auto"/>
        <w:rPr>
          <w:rFonts w:ascii="Arial" w:hAnsi="Arial" w:cs="Arial"/>
          <w:b/>
          <w:bCs/>
        </w:rPr>
      </w:pPr>
      <w:r w:rsidRPr="00AB303D">
        <w:rPr>
          <w:rFonts w:ascii="Arial" w:hAnsi="Arial" w:cs="Arial"/>
          <w:b/>
          <w:bCs/>
        </w:rPr>
        <w:t xml:space="preserve">4.2 </w:t>
      </w:r>
      <w:r w:rsidR="003A52CF" w:rsidRPr="00AB303D">
        <w:rPr>
          <w:rFonts w:ascii="Arial" w:hAnsi="Arial" w:cs="Arial"/>
          <w:b/>
          <w:bCs/>
        </w:rPr>
        <w:t>Clinical and public health implications</w:t>
      </w:r>
    </w:p>
    <w:p w14:paraId="7376D452" w14:textId="553CD991" w:rsidR="003A52CF" w:rsidRPr="00B057A4" w:rsidRDefault="003A52CF" w:rsidP="00B057A4">
      <w:pPr>
        <w:spacing w:line="480" w:lineRule="auto"/>
        <w:rPr>
          <w:rFonts w:ascii="Arial" w:hAnsi="Arial" w:cs="Arial"/>
          <w:sz w:val="20"/>
          <w:szCs w:val="20"/>
        </w:rPr>
      </w:pPr>
      <w:r w:rsidRPr="00B057A4">
        <w:rPr>
          <w:rFonts w:ascii="Arial" w:hAnsi="Arial" w:cs="Arial"/>
          <w:sz w:val="20"/>
          <w:szCs w:val="20"/>
        </w:rPr>
        <w:t>This study explored the prevalence of spondylolysis and spondylolisthesis among</w:t>
      </w:r>
      <w:r w:rsidR="002D0734">
        <w:rPr>
          <w:rFonts w:ascii="Arial" w:hAnsi="Arial" w:cs="Arial"/>
          <w:sz w:val="20"/>
          <w:szCs w:val="20"/>
        </w:rPr>
        <w:t xml:space="preserve"> </w:t>
      </w:r>
      <w:r w:rsidRPr="00B057A4">
        <w:rPr>
          <w:rFonts w:ascii="Arial" w:hAnsi="Arial" w:cs="Arial"/>
          <w:sz w:val="20"/>
          <w:szCs w:val="20"/>
        </w:rPr>
        <w:t xml:space="preserve">an adult population in Nigeria using images of patients </w:t>
      </w:r>
      <w:r w:rsidR="00B77CCC" w:rsidRPr="00B057A4">
        <w:rPr>
          <w:rFonts w:ascii="Arial" w:hAnsi="Arial" w:cs="Arial"/>
          <w:sz w:val="20"/>
          <w:szCs w:val="20"/>
        </w:rPr>
        <w:t xml:space="preserve">who performed </w:t>
      </w:r>
      <w:r w:rsidRPr="00B057A4">
        <w:rPr>
          <w:rFonts w:ascii="Arial" w:hAnsi="Arial" w:cs="Arial"/>
          <w:sz w:val="20"/>
          <w:szCs w:val="20"/>
        </w:rPr>
        <w:t xml:space="preserve">abdominal CT for reasons other than back pain. This has helped establish baseline prevalence of spondylolysis and spondylolisthesis in this population. </w:t>
      </w:r>
    </w:p>
    <w:p w14:paraId="28822110" w14:textId="77777777" w:rsidR="007B016B" w:rsidRPr="00B057A4" w:rsidRDefault="007B016B" w:rsidP="00B057A4">
      <w:pPr>
        <w:spacing w:line="480" w:lineRule="auto"/>
        <w:rPr>
          <w:rFonts w:ascii="Arial" w:hAnsi="Arial" w:cs="Arial"/>
          <w:sz w:val="20"/>
          <w:szCs w:val="20"/>
        </w:rPr>
      </w:pPr>
    </w:p>
    <w:p w14:paraId="28ACA39E" w14:textId="4089D8CE" w:rsidR="00B54E28" w:rsidRPr="007B016B" w:rsidRDefault="00B54E28" w:rsidP="00B057A4">
      <w:pPr>
        <w:pStyle w:val="ListParagraph"/>
        <w:numPr>
          <w:ilvl w:val="0"/>
          <w:numId w:val="3"/>
        </w:numPr>
        <w:spacing w:line="480" w:lineRule="auto"/>
        <w:rPr>
          <w:rFonts w:ascii="Arial" w:hAnsi="Arial" w:cs="Arial"/>
          <w:b/>
          <w:bCs/>
        </w:rPr>
      </w:pPr>
      <w:r w:rsidRPr="007B016B">
        <w:rPr>
          <w:rFonts w:ascii="Arial" w:hAnsi="Arial" w:cs="Arial"/>
          <w:b/>
          <w:bCs/>
        </w:rPr>
        <w:t>CONCLUSION</w:t>
      </w:r>
    </w:p>
    <w:p w14:paraId="020DB699" w14:textId="77777777" w:rsidR="00B54E28" w:rsidRPr="00B057A4" w:rsidRDefault="00B54E28" w:rsidP="00B057A4">
      <w:pPr>
        <w:spacing w:line="480" w:lineRule="auto"/>
        <w:rPr>
          <w:rFonts w:ascii="Arial" w:hAnsi="Arial" w:cs="Arial"/>
          <w:sz w:val="20"/>
          <w:szCs w:val="20"/>
        </w:rPr>
      </w:pPr>
      <w:r w:rsidRPr="00B057A4">
        <w:rPr>
          <w:rFonts w:ascii="Arial" w:hAnsi="Arial" w:cs="Arial"/>
          <w:sz w:val="20"/>
          <w:szCs w:val="20"/>
          <w:lang w:val="en-US"/>
        </w:rPr>
        <w:t>This study demonstrates that the prevalence of spondylolysis in a Nigerian adult population is lower than that reported in most non-Black cohorts, with the L5 vertebra being the most frequently affected site. Degenerative spondylolisthesis showed significant associations with advancing age, although the majority of cases were low grade. These findings suggest potential population-specific differences in susceptibility, which may be influenced by genetic, lifestyle, or anatomical factors.</w:t>
      </w:r>
    </w:p>
    <w:p w14:paraId="6322C905" w14:textId="77777777" w:rsidR="00B54E28" w:rsidRPr="00B057A4" w:rsidRDefault="00B54E28" w:rsidP="00B057A4">
      <w:pPr>
        <w:spacing w:line="480" w:lineRule="auto"/>
        <w:rPr>
          <w:rFonts w:ascii="Arial" w:hAnsi="Arial" w:cs="Arial"/>
          <w:sz w:val="20"/>
          <w:szCs w:val="20"/>
        </w:rPr>
      </w:pPr>
      <w:r w:rsidRPr="00B057A4">
        <w:rPr>
          <w:rFonts w:ascii="Arial" w:hAnsi="Arial" w:cs="Arial"/>
          <w:sz w:val="20"/>
          <w:szCs w:val="20"/>
          <w:lang w:val="en-US"/>
        </w:rPr>
        <w:lastRenderedPageBreak/>
        <w:t>Importantly, the detection of incidental pars defects and low-grade slips on CT imaging highlights an opportunity for early recognition and timely management, particularly in settings where low back pain is a major cause of morbidity and reduced productivity. While the study is strengthened by the use of CT, which offers superior diagnostic accuracy compared with plain radiographs, its single-center design and absence of clinical correlation limit generalizability.</w:t>
      </w:r>
    </w:p>
    <w:p w14:paraId="4886C2EC" w14:textId="77777777" w:rsidR="00B54E28" w:rsidRDefault="00B54E28" w:rsidP="00B057A4">
      <w:pPr>
        <w:spacing w:line="480" w:lineRule="auto"/>
        <w:rPr>
          <w:rFonts w:ascii="Arial" w:hAnsi="Arial" w:cs="Arial"/>
          <w:sz w:val="20"/>
          <w:szCs w:val="20"/>
          <w:lang w:val="en-US"/>
        </w:rPr>
      </w:pPr>
      <w:r w:rsidRPr="00B057A4">
        <w:rPr>
          <w:rFonts w:ascii="Arial" w:hAnsi="Arial" w:cs="Arial"/>
          <w:sz w:val="20"/>
          <w:szCs w:val="20"/>
          <w:lang w:val="en-US"/>
        </w:rPr>
        <w:t>Further multicenter studies incorporating larger and more diverse populations, together with clinical and genetic correlates, are warranted to clarify the epidemiological patterns and clinical significance of spondylolysis and spondylolisthesis in sub-Saharan Africa.</w:t>
      </w:r>
    </w:p>
    <w:p w14:paraId="29D6EBBA" w14:textId="77777777" w:rsidR="00EF0E6F" w:rsidRPr="00AB303D" w:rsidRDefault="00EF0E6F" w:rsidP="00EF0E6F">
      <w:pPr>
        <w:spacing w:line="480" w:lineRule="auto"/>
        <w:rPr>
          <w:rFonts w:ascii="Arial" w:hAnsi="Arial" w:cs="Arial"/>
          <w:b/>
          <w:bCs/>
        </w:rPr>
      </w:pPr>
      <w:r w:rsidRPr="00AB303D">
        <w:rPr>
          <w:rFonts w:ascii="Arial" w:hAnsi="Arial" w:cs="Arial"/>
          <w:b/>
          <w:bCs/>
        </w:rPr>
        <w:t>4.1 Limitations of the study</w:t>
      </w:r>
    </w:p>
    <w:p w14:paraId="351E0155" w14:textId="77777777" w:rsidR="00EF0E6F" w:rsidRDefault="00EF0E6F" w:rsidP="00EF0E6F">
      <w:pPr>
        <w:spacing w:line="480" w:lineRule="auto"/>
        <w:rPr>
          <w:rFonts w:ascii="Arial" w:hAnsi="Arial" w:cs="Arial"/>
          <w:sz w:val="20"/>
          <w:szCs w:val="20"/>
        </w:rPr>
      </w:pPr>
      <w:r w:rsidRPr="00B057A4">
        <w:rPr>
          <w:rFonts w:ascii="Arial" w:hAnsi="Arial" w:cs="Arial"/>
          <w:sz w:val="20"/>
          <w:szCs w:val="20"/>
        </w:rPr>
        <w:t xml:space="preserve">The retrospective design and reliance on archived CT studies limited the ability to take information on the prevalence of low back pain among the studied participants, and explore the associations between spondylolysis and spondylolisthesis and low back pain. The study may not be representative of the general population because of the age and sex distribution of the studied patient population; The study had a high percentage of women (65.4%), and the 41 to 60 years age group is also overrepresented in this study, constituting 50.2% of study subjects. </w:t>
      </w:r>
    </w:p>
    <w:p w14:paraId="1BA993A1" w14:textId="77777777" w:rsidR="00EF0E6F" w:rsidRPr="00AB303D" w:rsidRDefault="00EF0E6F" w:rsidP="00EF0E6F">
      <w:pPr>
        <w:spacing w:line="480" w:lineRule="auto"/>
        <w:rPr>
          <w:rFonts w:ascii="Arial" w:hAnsi="Arial" w:cs="Arial"/>
          <w:b/>
          <w:bCs/>
        </w:rPr>
      </w:pPr>
      <w:r w:rsidRPr="00AB303D">
        <w:rPr>
          <w:rFonts w:ascii="Arial" w:hAnsi="Arial" w:cs="Arial"/>
          <w:b/>
          <w:bCs/>
        </w:rPr>
        <w:t>4.3 Recommendations for future research</w:t>
      </w:r>
    </w:p>
    <w:p w14:paraId="539146F4" w14:textId="77777777" w:rsidR="00EF0E6F" w:rsidRDefault="00EF0E6F" w:rsidP="00EF0E6F">
      <w:pPr>
        <w:spacing w:line="480" w:lineRule="auto"/>
        <w:rPr>
          <w:rFonts w:ascii="Arial" w:hAnsi="Arial" w:cs="Arial"/>
          <w:sz w:val="20"/>
          <w:szCs w:val="20"/>
        </w:rPr>
      </w:pPr>
      <w:r w:rsidRPr="00B057A4">
        <w:rPr>
          <w:rFonts w:ascii="Arial" w:hAnsi="Arial" w:cs="Arial"/>
          <w:sz w:val="20"/>
          <w:szCs w:val="20"/>
        </w:rPr>
        <w:t>Larger multi-</w:t>
      </w:r>
      <w:proofErr w:type="spellStart"/>
      <w:r w:rsidRPr="00B057A4">
        <w:rPr>
          <w:rFonts w:ascii="Arial" w:hAnsi="Arial" w:cs="Arial"/>
          <w:sz w:val="20"/>
          <w:szCs w:val="20"/>
        </w:rPr>
        <w:t>center</w:t>
      </w:r>
      <w:proofErr w:type="spellEnd"/>
      <w:r w:rsidRPr="00B057A4">
        <w:rPr>
          <w:rFonts w:ascii="Arial" w:hAnsi="Arial" w:cs="Arial"/>
          <w:sz w:val="20"/>
          <w:szCs w:val="20"/>
        </w:rPr>
        <w:t xml:space="preserve"> studies across Nigeria are needed to validate the prevalence of spondylolysis and spondylolisthesis across the nation. Future studies should also research any possible correlation of these conditions with low back pain.</w:t>
      </w:r>
    </w:p>
    <w:p w14:paraId="30DF4334" w14:textId="77777777" w:rsidR="00EF0E6F" w:rsidRDefault="00EF0E6F" w:rsidP="00EF0E6F">
      <w:pPr>
        <w:spacing w:line="480" w:lineRule="auto"/>
        <w:rPr>
          <w:rFonts w:ascii="Arial" w:hAnsi="Arial" w:cs="Arial"/>
          <w:sz w:val="20"/>
          <w:szCs w:val="20"/>
        </w:rPr>
      </w:pPr>
    </w:p>
    <w:p w14:paraId="13BDE249" w14:textId="77777777" w:rsidR="00EF0E6F" w:rsidRPr="00EF0E6F" w:rsidRDefault="00EF0E6F" w:rsidP="00EF0E6F">
      <w:pPr>
        <w:spacing w:line="480" w:lineRule="auto"/>
        <w:rPr>
          <w:rFonts w:ascii="Arial" w:hAnsi="Arial" w:cs="Arial"/>
          <w:sz w:val="20"/>
          <w:szCs w:val="20"/>
        </w:rPr>
      </w:pPr>
      <w:r w:rsidRPr="00EF0E6F">
        <w:rPr>
          <w:rFonts w:ascii="Arial" w:hAnsi="Arial" w:cs="Arial"/>
          <w:sz w:val="20"/>
          <w:szCs w:val="20"/>
        </w:rPr>
        <w:t>COMPETING INTERESTS DISCLAIMER:</w:t>
      </w:r>
    </w:p>
    <w:p w14:paraId="2F7E8C3E" w14:textId="769EC1BD" w:rsidR="00EF0E6F" w:rsidRDefault="00EF0E6F" w:rsidP="00EF0E6F">
      <w:pPr>
        <w:spacing w:line="480" w:lineRule="auto"/>
        <w:rPr>
          <w:rFonts w:ascii="Arial" w:hAnsi="Arial" w:cs="Arial"/>
          <w:sz w:val="20"/>
          <w:szCs w:val="20"/>
        </w:rPr>
      </w:pPr>
      <w:r w:rsidRPr="00EF0E6F">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7FD25CC" w14:textId="77777777" w:rsidR="00EF0E6F" w:rsidRPr="00B057A4" w:rsidRDefault="00EF0E6F" w:rsidP="00EF0E6F">
      <w:pPr>
        <w:spacing w:line="480" w:lineRule="auto"/>
        <w:rPr>
          <w:rFonts w:ascii="Arial" w:hAnsi="Arial" w:cs="Arial"/>
          <w:sz w:val="20"/>
          <w:szCs w:val="20"/>
        </w:rPr>
      </w:pPr>
    </w:p>
    <w:p w14:paraId="3B34720D" w14:textId="77777777" w:rsidR="00EF0E6F" w:rsidRPr="00B057A4" w:rsidRDefault="00EF0E6F" w:rsidP="00B057A4">
      <w:pPr>
        <w:spacing w:line="480" w:lineRule="auto"/>
        <w:rPr>
          <w:rFonts w:ascii="Arial" w:hAnsi="Arial" w:cs="Arial"/>
          <w:sz w:val="20"/>
          <w:szCs w:val="20"/>
        </w:rPr>
      </w:pPr>
    </w:p>
    <w:p w14:paraId="1F534E56" w14:textId="77777777" w:rsidR="003A52CF" w:rsidRPr="00D31442" w:rsidRDefault="003A52CF" w:rsidP="00B057A4">
      <w:pPr>
        <w:spacing w:line="480" w:lineRule="auto"/>
        <w:rPr>
          <w:rFonts w:ascii="Arial" w:hAnsi="Arial" w:cs="Arial"/>
        </w:rPr>
      </w:pPr>
    </w:p>
    <w:p w14:paraId="2764444B" w14:textId="77777777" w:rsidR="001D6837" w:rsidRDefault="001D6837" w:rsidP="00B057A4">
      <w:pPr>
        <w:autoSpaceDE w:val="0"/>
        <w:autoSpaceDN w:val="0"/>
        <w:adjustRightInd w:val="0"/>
        <w:spacing w:after="0" w:line="480" w:lineRule="auto"/>
        <w:rPr>
          <w:rFonts w:ascii="Arial" w:hAnsi="Arial" w:cs="Arial"/>
          <w:b/>
          <w:bCs/>
          <w:color w:val="000000"/>
        </w:rPr>
      </w:pPr>
    </w:p>
    <w:p w14:paraId="05E6B011" w14:textId="56AC346E" w:rsidR="003A52CF" w:rsidRPr="00D31442" w:rsidRDefault="00B77CCC" w:rsidP="00B057A4">
      <w:pPr>
        <w:autoSpaceDE w:val="0"/>
        <w:autoSpaceDN w:val="0"/>
        <w:adjustRightInd w:val="0"/>
        <w:spacing w:after="0" w:line="480" w:lineRule="auto"/>
        <w:rPr>
          <w:rFonts w:ascii="Arial" w:hAnsi="Arial" w:cs="Arial"/>
          <w:b/>
          <w:bCs/>
          <w:color w:val="000000"/>
        </w:rPr>
      </w:pPr>
      <w:r w:rsidRPr="00D31442">
        <w:rPr>
          <w:rFonts w:ascii="Arial" w:hAnsi="Arial" w:cs="Arial"/>
          <w:b/>
          <w:bCs/>
          <w:color w:val="000000"/>
        </w:rPr>
        <w:t>REFERENCES</w:t>
      </w:r>
    </w:p>
    <w:p w14:paraId="0842BD93" w14:textId="45557D81"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Sutton D</w:t>
      </w:r>
      <w:r w:rsidR="007D7F95" w:rsidRPr="00B057A4">
        <w:rPr>
          <w:rFonts w:ascii="Arial" w:hAnsi="Arial" w:cs="Arial"/>
          <w:sz w:val="20"/>
          <w:szCs w:val="20"/>
        </w:rPr>
        <w:t xml:space="preserve"> (2003)</w:t>
      </w:r>
      <w:r w:rsidRPr="00B057A4">
        <w:rPr>
          <w:rFonts w:ascii="Arial" w:hAnsi="Arial" w:cs="Arial"/>
          <w:sz w:val="20"/>
          <w:szCs w:val="20"/>
        </w:rPr>
        <w:t xml:space="preserve">. </w:t>
      </w:r>
      <w:r w:rsidRPr="00B057A4">
        <w:rPr>
          <w:rFonts w:ascii="Arial" w:hAnsi="Arial" w:cs="Arial"/>
          <w:i/>
          <w:iCs/>
          <w:sz w:val="20"/>
          <w:szCs w:val="20"/>
        </w:rPr>
        <w:t>Textbook of Radiology and Imaging</w:t>
      </w:r>
      <w:r w:rsidRPr="00B057A4">
        <w:rPr>
          <w:rFonts w:ascii="Arial" w:hAnsi="Arial" w:cs="Arial"/>
          <w:sz w:val="20"/>
          <w:szCs w:val="20"/>
        </w:rPr>
        <w:t xml:space="preserve"> vol II. 7</w:t>
      </w:r>
      <w:r w:rsidRPr="00B057A4">
        <w:rPr>
          <w:rFonts w:ascii="Arial" w:hAnsi="Arial" w:cs="Arial"/>
          <w:sz w:val="20"/>
          <w:szCs w:val="20"/>
          <w:vertAlign w:val="superscript"/>
        </w:rPr>
        <w:t>th</w:t>
      </w:r>
      <w:r w:rsidRPr="00B057A4">
        <w:rPr>
          <w:rFonts w:ascii="Arial" w:hAnsi="Arial" w:cs="Arial"/>
          <w:sz w:val="20"/>
          <w:szCs w:val="20"/>
        </w:rPr>
        <w:t xml:space="preserve"> ed. London: Churchill Livingstone.</w:t>
      </w:r>
    </w:p>
    <w:p w14:paraId="036F5F3D" w14:textId="5375B51A"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Brants WE, Helms CA</w:t>
      </w:r>
      <w:r w:rsidR="007D7F95" w:rsidRPr="00B057A4">
        <w:rPr>
          <w:rFonts w:ascii="Arial" w:hAnsi="Arial" w:cs="Arial"/>
          <w:sz w:val="20"/>
          <w:szCs w:val="20"/>
        </w:rPr>
        <w:t xml:space="preserve"> (2012)</w:t>
      </w:r>
      <w:r w:rsidRPr="00B057A4">
        <w:rPr>
          <w:rFonts w:ascii="Arial" w:hAnsi="Arial" w:cs="Arial"/>
          <w:sz w:val="20"/>
          <w:szCs w:val="20"/>
        </w:rPr>
        <w:t xml:space="preserve">. </w:t>
      </w:r>
      <w:r w:rsidRPr="00B057A4">
        <w:rPr>
          <w:rFonts w:ascii="Arial" w:hAnsi="Arial" w:cs="Arial"/>
          <w:i/>
          <w:iCs/>
          <w:sz w:val="20"/>
          <w:szCs w:val="20"/>
        </w:rPr>
        <w:t>Fundamentals of Diagnostic Radiology</w:t>
      </w:r>
      <w:r w:rsidRPr="00B057A4">
        <w:rPr>
          <w:rFonts w:ascii="Arial" w:hAnsi="Arial" w:cs="Arial"/>
          <w:sz w:val="20"/>
          <w:szCs w:val="20"/>
        </w:rPr>
        <w:t>. 4</w:t>
      </w:r>
      <w:r w:rsidRPr="00B057A4">
        <w:rPr>
          <w:rFonts w:ascii="Arial" w:hAnsi="Arial" w:cs="Arial"/>
          <w:sz w:val="20"/>
          <w:szCs w:val="20"/>
          <w:vertAlign w:val="superscript"/>
        </w:rPr>
        <w:t>th</w:t>
      </w:r>
      <w:r w:rsidRPr="00B057A4">
        <w:rPr>
          <w:rFonts w:ascii="Arial" w:hAnsi="Arial" w:cs="Arial"/>
          <w:sz w:val="20"/>
          <w:szCs w:val="20"/>
        </w:rPr>
        <w:t xml:space="preserve"> ed. Philadelphia: Lippincott Williams &amp; Wilkin</w:t>
      </w:r>
      <w:r w:rsidR="007D7F95" w:rsidRPr="00B057A4">
        <w:rPr>
          <w:rFonts w:ascii="Arial" w:hAnsi="Arial" w:cs="Arial"/>
          <w:sz w:val="20"/>
          <w:szCs w:val="20"/>
        </w:rPr>
        <w:t>s</w:t>
      </w:r>
      <w:r w:rsidRPr="00B057A4">
        <w:rPr>
          <w:rFonts w:ascii="Arial" w:hAnsi="Arial" w:cs="Arial"/>
          <w:sz w:val="20"/>
          <w:szCs w:val="20"/>
        </w:rPr>
        <w:t>.</w:t>
      </w:r>
    </w:p>
    <w:p w14:paraId="62A5486D" w14:textId="32B32112"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Dunn A.J., Campbell</w:t>
      </w:r>
      <w:r w:rsidR="00575B67" w:rsidRPr="00B057A4">
        <w:rPr>
          <w:rFonts w:ascii="Arial" w:hAnsi="Arial" w:cs="Arial"/>
          <w:sz w:val="20"/>
          <w:szCs w:val="20"/>
        </w:rPr>
        <w:t xml:space="preserve"> </w:t>
      </w:r>
      <w:r w:rsidRPr="00B057A4">
        <w:rPr>
          <w:rFonts w:ascii="Arial" w:hAnsi="Arial" w:cs="Arial"/>
          <w:sz w:val="20"/>
          <w:szCs w:val="20"/>
        </w:rPr>
        <w:t>R.S.D., Mayor, P.E.</w:t>
      </w:r>
      <w:r w:rsidR="00575B67" w:rsidRPr="00B057A4">
        <w:rPr>
          <w:rFonts w:ascii="Arial" w:hAnsi="Arial" w:cs="Arial"/>
          <w:sz w:val="20"/>
          <w:szCs w:val="20"/>
        </w:rPr>
        <w:t>, Rees D (2012)</w:t>
      </w:r>
      <w:r w:rsidRPr="00B057A4">
        <w:rPr>
          <w:rFonts w:ascii="Arial" w:hAnsi="Arial" w:cs="Arial"/>
          <w:i/>
          <w:iCs/>
          <w:sz w:val="20"/>
          <w:szCs w:val="20"/>
        </w:rPr>
        <w:t>.</w:t>
      </w:r>
      <w:r w:rsidRPr="00B057A4">
        <w:rPr>
          <w:rFonts w:ascii="Arial" w:hAnsi="Arial" w:cs="Arial"/>
          <w:sz w:val="20"/>
          <w:szCs w:val="20"/>
        </w:rPr>
        <w:t> Radiological findings and healing patterns of incomplete stress fractures of the pars interarticularis. </w:t>
      </w:r>
      <w:r w:rsidRPr="00B057A4">
        <w:rPr>
          <w:rFonts w:ascii="Arial" w:hAnsi="Arial" w:cs="Arial"/>
          <w:i/>
          <w:iCs/>
          <w:sz w:val="20"/>
          <w:szCs w:val="20"/>
        </w:rPr>
        <w:t xml:space="preserve">Skeletal </w:t>
      </w:r>
      <w:proofErr w:type="spellStart"/>
      <w:r w:rsidRPr="00B057A4">
        <w:rPr>
          <w:rFonts w:ascii="Arial" w:hAnsi="Arial" w:cs="Arial"/>
          <w:i/>
          <w:iCs/>
          <w:sz w:val="20"/>
          <w:szCs w:val="20"/>
        </w:rPr>
        <w:t>Radiol</w:t>
      </w:r>
      <w:proofErr w:type="spellEnd"/>
      <w:r w:rsidR="00575B67" w:rsidRPr="00B057A4">
        <w:rPr>
          <w:rFonts w:ascii="Arial" w:hAnsi="Arial" w:cs="Arial"/>
          <w:sz w:val="20"/>
          <w:szCs w:val="20"/>
        </w:rPr>
        <w:t xml:space="preserve">, </w:t>
      </w:r>
      <w:r w:rsidRPr="00B057A4">
        <w:rPr>
          <w:rFonts w:ascii="Arial" w:hAnsi="Arial" w:cs="Arial"/>
          <w:sz w:val="20"/>
          <w:szCs w:val="20"/>
        </w:rPr>
        <w:t xml:space="preserve">37, 443–450. </w:t>
      </w:r>
      <w:hyperlink r:id="rId9" w:history="1">
        <w:r w:rsidRPr="00B057A4">
          <w:rPr>
            <w:rStyle w:val="Hyperlink"/>
            <w:rFonts w:ascii="Arial" w:hAnsi="Arial" w:cs="Arial"/>
            <w:sz w:val="20"/>
            <w:szCs w:val="20"/>
          </w:rPr>
          <w:t>https://doi.org/10.1007/s00256-008-0449-0</w:t>
        </w:r>
      </w:hyperlink>
    </w:p>
    <w:p w14:paraId="79D8704F" w14:textId="77777777" w:rsidR="00B77CCC" w:rsidRPr="00B057A4" w:rsidRDefault="00B77CCC" w:rsidP="00B057A4">
      <w:pPr>
        <w:pStyle w:val="ListParagraph"/>
        <w:numPr>
          <w:ilvl w:val="0"/>
          <w:numId w:val="6"/>
        </w:numPr>
        <w:spacing w:line="480" w:lineRule="auto"/>
        <w:rPr>
          <w:rFonts w:ascii="Arial" w:hAnsi="Arial" w:cs="Arial"/>
          <w:sz w:val="20"/>
          <w:szCs w:val="20"/>
        </w:rPr>
      </w:pPr>
      <w:proofErr w:type="spellStart"/>
      <w:r w:rsidRPr="00B057A4">
        <w:rPr>
          <w:rFonts w:ascii="Arial" w:hAnsi="Arial" w:cs="Arial"/>
          <w:sz w:val="20"/>
          <w:szCs w:val="20"/>
        </w:rPr>
        <w:t>Syrmou</w:t>
      </w:r>
      <w:proofErr w:type="spellEnd"/>
      <w:r w:rsidRPr="00B057A4">
        <w:rPr>
          <w:rFonts w:ascii="Arial" w:hAnsi="Arial" w:cs="Arial"/>
          <w:sz w:val="20"/>
          <w:szCs w:val="20"/>
        </w:rPr>
        <w:t xml:space="preserve"> E, </w:t>
      </w:r>
      <w:proofErr w:type="spellStart"/>
      <w:r w:rsidRPr="00B057A4">
        <w:rPr>
          <w:rFonts w:ascii="Arial" w:hAnsi="Arial" w:cs="Arial"/>
          <w:sz w:val="20"/>
          <w:szCs w:val="20"/>
        </w:rPr>
        <w:t>Tsitsopoulos</w:t>
      </w:r>
      <w:proofErr w:type="spellEnd"/>
      <w:r w:rsidRPr="00B057A4">
        <w:rPr>
          <w:rFonts w:ascii="Arial" w:hAnsi="Arial" w:cs="Arial"/>
          <w:sz w:val="20"/>
          <w:szCs w:val="20"/>
        </w:rPr>
        <w:t xml:space="preserve"> P, Marinopoulos D, </w:t>
      </w:r>
      <w:proofErr w:type="spellStart"/>
      <w:r w:rsidRPr="00B057A4">
        <w:rPr>
          <w:rFonts w:ascii="Arial" w:hAnsi="Arial" w:cs="Arial"/>
          <w:sz w:val="20"/>
          <w:szCs w:val="20"/>
        </w:rPr>
        <w:t>Tsonidis</w:t>
      </w:r>
      <w:proofErr w:type="spellEnd"/>
      <w:r w:rsidRPr="00B057A4">
        <w:rPr>
          <w:rFonts w:ascii="Arial" w:hAnsi="Arial" w:cs="Arial"/>
          <w:sz w:val="20"/>
          <w:szCs w:val="20"/>
        </w:rPr>
        <w:t xml:space="preserve"> C, Anagnostopoulos I, </w:t>
      </w:r>
      <w:proofErr w:type="spellStart"/>
      <w:r w:rsidRPr="00B057A4">
        <w:rPr>
          <w:rFonts w:ascii="Arial" w:hAnsi="Arial" w:cs="Arial"/>
          <w:sz w:val="20"/>
          <w:szCs w:val="20"/>
        </w:rPr>
        <w:t>Tsitsopoulos</w:t>
      </w:r>
      <w:proofErr w:type="spellEnd"/>
      <w:r w:rsidRPr="00B057A4">
        <w:rPr>
          <w:rFonts w:ascii="Arial" w:hAnsi="Arial" w:cs="Arial"/>
          <w:sz w:val="20"/>
          <w:szCs w:val="20"/>
        </w:rPr>
        <w:t xml:space="preserve"> P. Spondylolysis: A Review and Reappraisal. </w:t>
      </w:r>
      <w:proofErr w:type="spellStart"/>
      <w:r w:rsidRPr="00B057A4">
        <w:rPr>
          <w:rFonts w:ascii="Arial" w:hAnsi="Arial" w:cs="Arial"/>
          <w:i/>
          <w:iCs/>
          <w:sz w:val="20"/>
          <w:szCs w:val="20"/>
        </w:rPr>
        <w:t>Hippokratia</w:t>
      </w:r>
      <w:proofErr w:type="spellEnd"/>
      <w:r w:rsidRPr="00B057A4">
        <w:rPr>
          <w:rFonts w:ascii="Arial" w:hAnsi="Arial" w:cs="Arial"/>
          <w:sz w:val="20"/>
          <w:szCs w:val="20"/>
        </w:rPr>
        <w:t>. 2010;14(1):17-21. </w:t>
      </w:r>
      <w:hyperlink r:id="rId10" w:history="1">
        <w:r w:rsidRPr="00B057A4">
          <w:rPr>
            <w:rStyle w:val="Hyperlink"/>
            <w:rFonts w:ascii="Arial" w:hAnsi="Arial" w:cs="Arial"/>
            <w:sz w:val="20"/>
            <w:szCs w:val="20"/>
          </w:rPr>
          <w:t>PMC2843565</w:t>
        </w:r>
      </w:hyperlink>
      <w:r w:rsidRPr="00B057A4">
        <w:rPr>
          <w:rFonts w:ascii="Arial" w:hAnsi="Arial" w:cs="Arial"/>
          <w:sz w:val="20"/>
          <w:szCs w:val="20"/>
        </w:rPr>
        <w:t> - </w:t>
      </w:r>
      <w:proofErr w:type="spellStart"/>
      <w:r w:rsidRPr="00B057A4">
        <w:rPr>
          <w:rFonts w:ascii="Arial" w:hAnsi="Arial" w:cs="Arial"/>
          <w:sz w:val="20"/>
          <w:szCs w:val="20"/>
        </w:rPr>
        <w:fldChar w:fldCharType="begin"/>
      </w:r>
      <w:r w:rsidRPr="00B057A4">
        <w:rPr>
          <w:rFonts w:ascii="Arial" w:hAnsi="Arial" w:cs="Arial"/>
          <w:sz w:val="20"/>
          <w:szCs w:val="20"/>
        </w:rPr>
        <w:instrText>HYPERLINK "https://www.ncbi.nlm.nih.gov/pubmed/20411054"</w:instrText>
      </w:r>
      <w:r w:rsidRPr="00B057A4">
        <w:rPr>
          <w:rFonts w:ascii="Arial" w:hAnsi="Arial" w:cs="Arial"/>
          <w:sz w:val="20"/>
          <w:szCs w:val="20"/>
        </w:rPr>
        <w:fldChar w:fldCharType="separate"/>
      </w:r>
      <w:r w:rsidRPr="00B057A4">
        <w:rPr>
          <w:rStyle w:val="Hyperlink"/>
          <w:rFonts w:ascii="Arial" w:hAnsi="Arial" w:cs="Arial"/>
          <w:sz w:val="20"/>
          <w:szCs w:val="20"/>
        </w:rPr>
        <w:t>Pubmed</w:t>
      </w:r>
      <w:proofErr w:type="spellEnd"/>
      <w:r w:rsidRPr="00B057A4">
        <w:rPr>
          <w:rFonts w:ascii="Arial" w:hAnsi="Arial" w:cs="Arial"/>
          <w:sz w:val="20"/>
          <w:szCs w:val="20"/>
        </w:rPr>
        <w:fldChar w:fldCharType="end"/>
      </w:r>
    </w:p>
    <w:p w14:paraId="3D1937A2" w14:textId="17D28AC9" w:rsidR="00B77CCC" w:rsidRPr="00B057A4" w:rsidRDefault="00B77CCC" w:rsidP="00B057A4">
      <w:pPr>
        <w:pStyle w:val="ListParagraph"/>
        <w:numPr>
          <w:ilvl w:val="0"/>
          <w:numId w:val="6"/>
        </w:numPr>
        <w:spacing w:line="480" w:lineRule="auto"/>
        <w:rPr>
          <w:rFonts w:ascii="Arial" w:hAnsi="Arial" w:cs="Arial"/>
          <w:sz w:val="20"/>
          <w:szCs w:val="20"/>
        </w:rPr>
      </w:pPr>
      <w:proofErr w:type="spellStart"/>
      <w:r w:rsidRPr="00B057A4">
        <w:rPr>
          <w:rFonts w:ascii="Arial" w:hAnsi="Arial" w:cs="Arial"/>
          <w:sz w:val="20"/>
          <w:szCs w:val="20"/>
        </w:rPr>
        <w:t>Koslosky</w:t>
      </w:r>
      <w:proofErr w:type="spellEnd"/>
      <w:r w:rsidRPr="00B057A4">
        <w:rPr>
          <w:rFonts w:ascii="Arial" w:hAnsi="Arial" w:cs="Arial"/>
          <w:sz w:val="20"/>
          <w:szCs w:val="20"/>
        </w:rPr>
        <w:t xml:space="preserve"> E &amp; </w:t>
      </w:r>
      <w:proofErr w:type="spellStart"/>
      <w:r w:rsidRPr="00B057A4">
        <w:rPr>
          <w:rFonts w:ascii="Arial" w:hAnsi="Arial" w:cs="Arial"/>
          <w:sz w:val="20"/>
          <w:szCs w:val="20"/>
        </w:rPr>
        <w:t>Gendelberg</w:t>
      </w:r>
      <w:proofErr w:type="spellEnd"/>
      <w:r w:rsidRPr="00B057A4">
        <w:rPr>
          <w:rFonts w:ascii="Arial" w:hAnsi="Arial" w:cs="Arial"/>
          <w:sz w:val="20"/>
          <w:szCs w:val="20"/>
        </w:rPr>
        <w:t xml:space="preserve"> D</w:t>
      </w:r>
      <w:r w:rsidR="0038140B" w:rsidRPr="00B057A4">
        <w:rPr>
          <w:rFonts w:ascii="Arial" w:hAnsi="Arial" w:cs="Arial"/>
          <w:sz w:val="20"/>
          <w:szCs w:val="20"/>
        </w:rPr>
        <w:t xml:space="preserve"> (2020)</w:t>
      </w:r>
      <w:r w:rsidRPr="00B057A4">
        <w:rPr>
          <w:rFonts w:ascii="Arial" w:hAnsi="Arial" w:cs="Arial"/>
          <w:sz w:val="20"/>
          <w:szCs w:val="20"/>
        </w:rPr>
        <w:t xml:space="preserve">. Classification in Brief: The </w:t>
      </w:r>
      <w:proofErr w:type="spellStart"/>
      <w:r w:rsidRPr="00B057A4">
        <w:rPr>
          <w:rFonts w:ascii="Arial" w:hAnsi="Arial" w:cs="Arial"/>
          <w:sz w:val="20"/>
          <w:szCs w:val="20"/>
        </w:rPr>
        <w:t>Meyerding</w:t>
      </w:r>
      <w:proofErr w:type="spellEnd"/>
      <w:r w:rsidRPr="00B057A4">
        <w:rPr>
          <w:rFonts w:ascii="Arial" w:hAnsi="Arial" w:cs="Arial"/>
          <w:sz w:val="20"/>
          <w:szCs w:val="20"/>
        </w:rPr>
        <w:t xml:space="preserve"> Classification System of Spondylolisthesis. </w:t>
      </w:r>
      <w:r w:rsidRPr="00B057A4">
        <w:rPr>
          <w:rFonts w:ascii="Arial" w:hAnsi="Arial" w:cs="Arial"/>
          <w:i/>
          <w:iCs/>
          <w:sz w:val="20"/>
          <w:szCs w:val="20"/>
        </w:rPr>
        <w:t xml:space="preserve">Clin </w:t>
      </w:r>
      <w:proofErr w:type="spellStart"/>
      <w:r w:rsidRPr="00B057A4">
        <w:rPr>
          <w:rFonts w:ascii="Arial" w:hAnsi="Arial" w:cs="Arial"/>
          <w:i/>
          <w:iCs/>
          <w:sz w:val="20"/>
          <w:szCs w:val="20"/>
        </w:rPr>
        <w:t>Orthop</w:t>
      </w:r>
      <w:proofErr w:type="spellEnd"/>
      <w:r w:rsidRPr="00B057A4">
        <w:rPr>
          <w:rFonts w:ascii="Arial" w:hAnsi="Arial" w:cs="Arial"/>
          <w:i/>
          <w:iCs/>
          <w:sz w:val="20"/>
          <w:szCs w:val="20"/>
        </w:rPr>
        <w:t xml:space="preserve"> </w:t>
      </w:r>
      <w:proofErr w:type="spellStart"/>
      <w:r w:rsidRPr="00B057A4">
        <w:rPr>
          <w:rFonts w:ascii="Arial" w:hAnsi="Arial" w:cs="Arial"/>
          <w:i/>
          <w:iCs/>
          <w:sz w:val="20"/>
          <w:szCs w:val="20"/>
        </w:rPr>
        <w:t>Relat</w:t>
      </w:r>
      <w:proofErr w:type="spellEnd"/>
      <w:r w:rsidRPr="00B057A4">
        <w:rPr>
          <w:rFonts w:ascii="Arial" w:hAnsi="Arial" w:cs="Arial"/>
          <w:i/>
          <w:iCs/>
          <w:sz w:val="20"/>
          <w:szCs w:val="20"/>
        </w:rPr>
        <w:t xml:space="preserve"> Res</w:t>
      </w:r>
      <w:r w:rsidR="0038140B" w:rsidRPr="00B057A4">
        <w:rPr>
          <w:rFonts w:ascii="Arial" w:hAnsi="Arial" w:cs="Arial"/>
          <w:sz w:val="20"/>
          <w:szCs w:val="20"/>
        </w:rPr>
        <w:t xml:space="preserve">, </w:t>
      </w:r>
      <w:r w:rsidRPr="00B057A4">
        <w:rPr>
          <w:rFonts w:ascii="Arial" w:hAnsi="Arial" w:cs="Arial"/>
          <w:sz w:val="20"/>
          <w:szCs w:val="20"/>
        </w:rPr>
        <w:t>478(5)</w:t>
      </w:r>
      <w:r w:rsidR="0038140B" w:rsidRPr="00B057A4">
        <w:rPr>
          <w:rFonts w:ascii="Arial" w:hAnsi="Arial" w:cs="Arial"/>
          <w:sz w:val="20"/>
          <w:szCs w:val="20"/>
        </w:rPr>
        <w:t xml:space="preserve">, </w:t>
      </w:r>
      <w:r w:rsidRPr="00B057A4">
        <w:rPr>
          <w:rFonts w:ascii="Arial" w:hAnsi="Arial" w:cs="Arial"/>
          <w:sz w:val="20"/>
          <w:szCs w:val="20"/>
        </w:rPr>
        <w:t>1125-</w:t>
      </w:r>
      <w:r w:rsidR="0038140B" w:rsidRPr="00B057A4">
        <w:rPr>
          <w:rFonts w:ascii="Arial" w:hAnsi="Arial" w:cs="Arial"/>
          <w:sz w:val="20"/>
          <w:szCs w:val="20"/>
        </w:rPr>
        <w:t>11</w:t>
      </w:r>
      <w:r w:rsidRPr="00B057A4">
        <w:rPr>
          <w:rFonts w:ascii="Arial" w:hAnsi="Arial" w:cs="Arial"/>
          <w:sz w:val="20"/>
          <w:szCs w:val="20"/>
        </w:rPr>
        <w:t>30. </w:t>
      </w:r>
      <w:hyperlink r:id="rId11" w:history="1">
        <w:r w:rsidRPr="00B057A4">
          <w:rPr>
            <w:rStyle w:val="Hyperlink"/>
            <w:rFonts w:ascii="Arial" w:hAnsi="Arial" w:cs="Arial"/>
            <w:sz w:val="20"/>
            <w:szCs w:val="20"/>
          </w:rPr>
          <w:t>doi:10.1097/CORR.0000000000001153</w:t>
        </w:r>
      </w:hyperlink>
      <w:r w:rsidRPr="00B057A4">
        <w:rPr>
          <w:rFonts w:ascii="Arial" w:hAnsi="Arial" w:cs="Arial"/>
          <w:sz w:val="20"/>
          <w:szCs w:val="20"/>
        </w:rPr>
        <w:t> - </w:t>
      </w:r>
      <w:proofErr w:type="spellStart"/>
      <w:r w:rsidRPr="00B057A4">
        <w:rPr>
          <w:rFonts w:ascii="Arial" w:hAnsi="Arial" w:cs="Arial"/>
          <w:sz w:val="20"/>
          <w:szCs w:val="20"/>
        </w:rPr>
        <w:fldChar w:fldCharType="begin"/>
      </w:r>
      <w:r w:rsidRPr="00B057A4">
        <w:rPr>
          <w:rFonts w:ascii="Arial" w:hAnsi="Arial" w:cs="Arial"/>
          <w:sz w:val="20"/>
          <w:szCs w:val="20"/>
        </w:rPr>
        <w:instrText>HYPERLINK "https://www.ncbi.nlm.nih.gov/pubmed/32282463"</w:instrText>
      </w:r>
      <w:r w:rsidRPr="00B057A4">
        <w:rPr>
          <w:rFonts w:ascii="Arial" w:hAnsi="Arial" w:cs="Arial"/>
          <w:sz w:val="20"/>
          <w:szCs w:val="20"/>
        </w:rPr>
        <w:fldChar w:fldCharType="separate"/>
      </w:r>
      <w:r w:rsidRPr="00B057A4">
        <w:rPr>
          <w:rStyle w:val="Hyperlink"/>
          <w:rFonts w:ascii="Arial" w:hAnsi="Arial" w:cs="Arial"/>
          <w:sz w:val="20"/>
          <w:szCs w:val="20"/>
        </w:rPr>
        <w:t>Pubmed</w:t>
      </w:r>
      <w:proofErr w:type="spellEnd"/>
      <w:r w:rsidRPr="00B057A4">
        <w:rPr>
          <w:rFonts w:ascii="Arial" w:hAnsi="Arial" w:cs="Arial"/>
          <w:sz w:val="20"/>
          <w:szCs w:val="20"/>
        </w:rPr>
        <w:fldChar w:fldCharType="end"/>
      </w:r>
    </w:p>
    <w:p w14:paraId="58A2D736" w14:textId="618D2082" w:rsidR="00B77CCC" w:rsidRPr="00B057A4" w:rsidRDefault="00B77CCC" w:rsidP="00B057A4">
      <w:pPr>
        <w:pStyle w:val="ListParagraph"/>
        <w:numPr>
          <w:ilvl w:val="0"/>
          <w:numId w:val="6"/>
        </w:numPr>
        <w:spacing w:line="480" w:lineRule="auto"/>
        <w:rPr>
          <w:rStyle w:val="Hyperlink"/>
          <w:rFonts w:ascii="Arial" w:hAnsi="Arial" w:cs="Arial"/>
          <w:sz w:val="20"/>
          <w:szCs w:val="20"/>
        </w:rPr>
      </w:pPr>
      <w:r w:rsidRPr="00B057A4">
        <w:rPr>
          <w:rFonts w:ascii="Arial" w:hAnsi="Arial" w:cs="Arial"/>
          <w:sz w:val="20"/>
          <w:szCs w:val="20"/>
        </w:rPr>
        <w:t>Eisenstein S</w:t>
      </w:r>
      <w:r w:rsidR="002B72A3" w:rsidRPr="00B057A4">
        <w:rPr>
          <w:rFonts w:ascii="Arial" w:hAnsi="Arial" w:cs="Arial"/>
          <w:sz w:val="20"/>
          <w:szCs w:val="20"/>
        </w:rPr>
        <w:t xml:space="preserve"> (1978)</w:t>
      </w:r>
      <w:r w:rsidRPr="00B057A4">
        <w:rPr>
          <w:rFonts w:ascii="Arial" w:hAnsi="Arial" w:cs="Arial"/>
          <w:sz w:val="20"/>
          <w:szCs w:val="20"/>
        </w:rPr>
        <w:t xml:space="preserve">. Spondylolysis. A skeletal investigation of two population groups. </w:t>
      </w:r>
      <w:r w:rsidRPr="00B057A4">
        <w:rPr>
          <w:rFonts w:ascii="Arial" w:hAnsi="Arial" w:cs="Arial"/>
          <w:i/>
          <w:iCs/>
          <w:sz w:val="20"/>
          <w:szCs w:val="20"/>
        </w:rPr>
        <w:t xml:space="preserve">J Bone Joint </w:t>
      </w:r>
      <w:proofErr w:type="spellStart"/>
      <w:r w:rsidRPr="00B057A4">
        <w:rPr>
          <w:rFonts w:ascii="Arial" w:hAnsi="Arial" w:cs="Arial"/>
          <w:i/>
          <w:iCs/>
          <w:sz w:val="20"/>
          <w:szCs w:val="20"/>
        </w:rPr>
        <w:t>Surg</w:t>
      </w:r>
      <w:proofErr w:type="spellEnd"/>
      <w:r w:rsidRPr="00B057A4">
        <w:rPr>
          <w:rFonts w:ascii="Arial" w:hAnsi="Arial" w:cs="Arial"/>
          <w:i/>
          <w:iCs/>
          <w:sz w:val="20"/>
          <w:szCs w:val="20"/>
        </w:rPr>
        <w:t xml:space="preserve"> Br</w:t>
      </w:r>
      <w:r w:rsidR="002B72A3" w:rsidRPr="00B057A4">
        <w:rPr>
          <w:rFonts w:ascii="Arial" w:hAnsi="Arial" w:cs="Arial"/>
          <w:sz w:val="20"/>
          <w:szCs w:val="20"/>
        </w:rPr>
        <w:t xml:space="preserve">, </w:t>
      </w:r>
      <w:r w:rsidRPr="00B057A4">
        <w:rPr>
          <w:rFonts w:ascii="Arial" w:hAnsi="Arial" w:cs="Arial"/>
          <w:sz w:val="20"/>
          <w:szCs w:val="20"/>
        </w:rPr>
        <w:t>60-</w:t>
      </w:r>
      <w:proofErr w:type="gramStart"/>
      <w:r w:rsidRPr="00B057A4">
        <w:rPr>
          <w:rFonts w:ascii="Arial" w:hAnsi="Arial" w:cs="Arial"/>
          <w:sz w:val="20"/>
          <w:szCs w:val="20"/>
        </w:rPr>
        <w:t>B(</w:t>
      </w:r>
      <w:proofErr w:type="gramEnd"/>
      <w:r w:rsidRPr="00B057A4">
        <w:rPr>
          <w:rFonts w:ascii="Arial" w:hAnsi="Arial" w:cs="Arial"/>
          <w:sz w:val="20"/>
          <w:szCs w:val="20"/>
        </w:rPr>
        <w:t>4)</w:t>
      </w:r>
      <w:r w:rsidR="002B72A3" w:rsidRPr="00B057A4">
        <w:rPr>
          <w:rFonts w:ascii="Arial" w:hAnsi="Arial" w:cs="Arial"/>
          <w:sz w:val="20"/>
          <w:szCs w:val="20"/>
        </w:rPr>
        <w:t xml:space="preserve">, </w:t>
      </w:r>
      <w:r w:rsidRPr="00B057A4">
        <w:rPr>
          <w:rFonts w:ascii="Arial" w:hAnsi="Arial" w:cs="Arial"/>
          <w:sz w:val="20"/>
          <w:szCs w:val="20"/>
        </w:rPr>
        <w:t xml:space="preserve">488-494. </w:t>
      </w:r>
      <w:hyperlink r:id="rId12" w:history="1">
        <w:r w:rsidRPr="00B057A4">
          <w:rPr>
            <w:rStyle w:val="Hyperlink"/>
            <w:rFonts w:ascii="Arial" w:hAnsi="Arial" w:cs="Arial"/>
            <w:sz w:val="20"/>
            <w:szCs w:val="20"/>
          </w:rPr>
          <w:t>https://doi.org/10.1302/0301-620X.60B4.361744</w:t>
        </w:r>
      </w:hyperlink>
    </w:p>
    <w:p w14:paraId="7A272A59" w14:textId="383E7344"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Roche MB, Rowe GG</w:t>
      </w:r>
      <w:r w:rsidR="002B72A3" w:rsidRPr="00B057A4">
        <w:rPr>
          <w:rFonts w:ascii="Arial" w:hAnsi="Arial" w:cs="Arial"/>
          <w:sz w:val="20"/>
          <w:szCs w:val="20"/>
        </w:rPr>
        <w:t xml:space="preserve"> (1951)</w:t>
      </w:r>
      <w:r w:rsidRPr="00B057A4">
        <w:rPr>
          <w:rFonts w:ascii="Arial" w:hAnsi="Arial" w:cs="Arial"/>
          <w:sz w:val="20"/>
          <w:szCs w:val="20"/>
        </w:rPr>
        <w:t xml:space="preserve">. The incidence of separate neural arch and coincident bone variations; a survey of 4,200 skeletons. </w:t>
      </w:r>
      <w:r w:rsidRPr="00B057A4">
        <w:rPr>
          <w:rFonts w:ascii="Arial" w:hAnsi="Arial" w:cs="Arial"/>
          <w:i/>
          <w:iCs/>
          <w:sz w:val="20"/>
          <w:szCs w:val="20"/>
        </w:rPr>
        <w:t>Anat Rec</w:t>
      </w:r>
      <w:r w:rsidR="002B72A3" w:rsidRPr="00B057A4">
        <w:rPr>
          <w:rFonts w:ascii="Arial" w:hAnsi="Arial" w:cs="Arial"/>
          <w:sz w:val="20"/>
          <w:szCs w:val="20"/>
        </w:rPr>
        <w:t xml:space="preserve">, </w:t>
      </w:r>
      <w:r w:rsidRPr="00B057A4">
        <w:rPr>
          <w:rFonts w:ascii="Arial" w:hAnsi="Arial" w:cs="Arial"/>
          <w:sz w:val="20"/>
          <w:szCs w:val="20"/>
        </w:rPr>
        <w:t>109</w:t>
      </w:r>
      <w:r w:rsidR="002B72A3" w:rsidRPr="00B057A4">
        <w:rPr>
          <w:rFonts w:ascii="Arial" w:hAnsi="Arial" w:cs="Arial"/>
          <w:sz w:val="20"/>
          <w:szCs w:val="20"/>
        </w:rPr>
        <w:t xml:space="preserve">, </w:t>
      </w:r>
      <w:r w:rsidRPr="00B057A4">
        <w:rPr>
          <w:rFonts w:ascii="Arial" w:hAnsi="Arial" w:cs="Arial"/>
          <w:sz w:val="20"/>
          <w:szCs w:val="20"/>
        </w:rPr>
        <w:t>233-252.</w:t>
      </w:r>
    </w:p>
    <w:p w14:paraId="4B90A293" w14:textId="69576735" w:rsidR="00B77CCC" w:rsidRPr="00B057A4" w:rsidRDefault="00B77CCC" w:rsidP="00B057A4">
      <w:pPr>
        <w:pStyle w:val="ListParagraph"/>
        <w:numPr>
          <w:ilvl w:val="0"/>
          <w:numId w:val="6"/>
        </w:numPr>
        <w:spacing w:line="480" w:lineRule="auto"/>
        <w:rPr>
          <w:rStyle w:val="Hyperlink"/>
          <w:rFonts w:ascii="Arial" w:hAnsi="Arial" w:cs="Arial"/>
          <w:sz w:val="20"/>
          <w:szCs w:val="20"/>
        </w:rPr>
      </w:pPr>
      <w:r w:rsidRPr="00B057A4">
        <w:rPr>
          <w:rFonts w:ascii="Arial" w:hAnsi="Arial" w:cs="Arial"/>
          <w:sz w:val="20"/>
          <w:szCs w:val="20"/>
        </w:rPr>
        <w:t>Yoshihara H, Yen W, Horowitz E, Nadarajah V</w:t>
      </w:r>
      <w:r w:rsidR="002B72A3" w:rsidRPr="00B057A4">
        <w:rPr>
          <w:rFonts w:ascii="Arial" w:hAnsi="Arial" w:cs="Arial"/>
          <w:sz w:val="20"/>
          <w:szCs w:val="20"/>
        </w:rPr>
        <w:t xml:space="preserve"> (2023)</w:t>
      </w:r>
      <w:r w:rsidRPr="00B057A4">
        <w:rPr>
          <w:rFonts w:ascii="Arial" w:hAnsi="Arial" w:cs="Arial"/>
          <w:sz w:val="20"/>
          <w:szCs w:val="20"/>
        </w:rPr>
        <w:t xml:space="preserve">. Prevalence and Characteristics of Lumbar Spondylolysis in White and Black Patients. </w:t>
      </w:r>
      <w:r w:rsidRPr="00B057A4">
        <w:rPr>
          <w:rFonts w:ascii="Arial" w:hAnsi="Arial" w:cs="Arial"/>
          <w:i/>
          <w:iCs/>
          <w:sz w:val="20"/>
          <w:szCs w:val="20"/>
        </w:rPr>
        <w:t>Global Spine Journal</w:t>
      </w:r>
      <w:r w:rsidR="002B72A3" w:rsidRPr="00B057A4">
        <w:rPr>
          <w:rFonts w:ascii="Arial" w:hAnsi="Arial" w:cs="Arial"/>
          <w:sz w:val="20"/>
          <w:szCs w:val="20"/>
        </w:rPr>
        <w:t xml:space="preserve">, </w:t>
      </w:r>
      <w:r w:rsidRPr="00B057A4">
        <w:rPr>
          <w:rFonts w:ascii="Arial" w:hAnsi="Arial" w:cs="Arial"/>
          <w:sz w:val="20"/>
          <w:szCs w:val="20"/>
        </w:rPr>
        <w:t>15(2)</w:t>
      </w:r>
      <w:r w:rsidR="002B72A3" w:rsidRPr="00B057A4">
        <w:rPr>
          <w:rFonts w:ascii="Arial" w:hAnsi="Arial" w:cs="Arial"/>
          <w:sz w:val="20"/>
          <w:szCs w:val="20"/>
        </w:rPr>
        <w:t xml:space="preserve">, </w:t>
      </w:r>
      <w:r w:rsidRPr="00B057A4">
        <w:rPr>
          <w:rFonts w:ascii="Arial" w:hAnsi="Arial" w:cs="Arial"/>
          <w:sz w:val="20"/>
          <w:szCs w:val="20"/>
        </w:rPr>
        <w:t>916-920. doi:</w:t>
      </w:r>
      <w:hyperlink r:id="rId13" w:history="1">
        <w:r w:rsidRPr="00B057A4">
          <w:rPr>
            <w:rStyle w:val="Hyperlink"/>
            <w:rFonts w:ascii="Arial" w:hAnsi="Arial" w:cs="Arial"/>
            <w:sz w:val="20"/>
            <w:szCs w:val="20"/>
          </w:rPr>
          <w:t>10.1177/21925682231216107</w:t>
        </w:r>
      </w:hyperlink>
    </w:p>
    <w:p w14:paraId="06B9C031" w14:textId="1B8D91B4" w:rsidR="00B77CCC" w:rsidRPr="00B057A4" w:rsidRDefault="00B77CCC" w:rsidP="00B057A4">
      <w:pPr>
        <w:pStyle w:val="ListParagraph"/>
        <w:numPr>
          <w:ilvl w:val="0"/>
          <w:numId w:val="6"/>
        </w:numPr>
        <w:spacing w:line="480" w:lineRule="auto"/>
        <w:rPr>
          <w:rFonts w:ascii="Arial" w:hAnsi="Arial" w:cs="Arial"/>
          <w:sz w:val="20"/>
          <w:szCs w:val="20"/>
        </w:rPr>
      </w:pPr>
      <w:bookmarkStart w:id="1" w:name="_Hlk208746373"/>
      <w:r w:rsidRPr="00B057A4">
        <w:rPr>
          <w:rFonts w:ascii="Arial" w:hAnsi="Arial" w:cs="Arial"/>
          <w:sz w:val="20"/>
          <w:szCs w:val="20"/>
        </w:rPr>
        <w:t xml:space="preserve">Sakai T, </w:t>
      </w:r>
      <w:proofErr w:type="spellStart"/>
      <w:r w:rsidRPr="00B057A4">
        <w:rPr>
          <w:rFonts w:ascii="Arial" w:hAnsi="Arial" w:cs="Arial"/>
          <w:sz w:val="20"/>
          <w:szCs w:val="20"/>
        </w:rPr>
        <w:t>Sairyo</w:t>
      </w:r>
      <w:proofErr w:type="spellEnd"/>
      <w:r w:rsidRPr="00B057A4">
        <w:rPr>
          <w:rFonts w:ascii="Arial" w:hAnsi="Arial" w:cs="Arial"/>
          <w:sz w:val="20"/>
          <w:szCs w:val="20"/>
        </w:rPr>
        <w:t xml:space="preserve"> K, Takao S, Nishitani H, Yasui N</w:t>
      </w:r>
      <w:r w:rsidR="00322500" w:rsidRPr="00B057A4">
        <w:rPr>
          <w:rFonts w:ascii="Arial" w:hAnsi="Arial" w:cs="Arial"/>
          <w:sz w:val="20"/>
          <w:szCs w:val="20"/>
        </w:rPr>
        <w:t xml:space="preserve"> (2009)</w:t>
      </w:r>
      <w:r w:rsidRPr="00B057A4">
        <w:rPr>
          <w:rFonts w:ascii="Arial" w:hAnsi="Arial" w:cs="Arial"/>
          <w:sz w:val="20"/>
          <w:szCs w:val="20"/>
        </w:rPr>
        <w:t xml:space="preserve">. Incidence of lumbar spondylolysis in the general population in Japan based on multi-detector CT scans from 2000 subjects. </w:t>
      </w:r>
      <w:r w:rsidRPr="00B057A4">
        <w:rPr>
          <w:rFonts w:ascii="Arial" w:hAnsi="Arial" w:cs="Arial"/>
          <w:i/>
          <w:iCs/>
          <w:sz w:val="20"/>
          <w:szCs w:val="20"/>
        </w:rPr>
        <w:t>Spine (Phila Pa 1976)</w:t>
      </w:r>
      <w:r w:rsidR="00322500" w:rsidRPr="00B057A4">
        <w:rPr>
          <w:rFonts w:ascii="Arial" w:hAnsi="Arial" w:cs="Arial"/>
          <w:sz w:val="20"/>
          <w:szCs w:val="20"/>
        </w:rPr>
        <w:t xml:space="preserve">, </w:t>
      </w:r>
      <w:r w:rsidRPr="00B057A4">
        <w:rPr>
          <w:rFonts w:ascii="Arial" w:hAnsi="Arial" w:cs="Arial"/>
          <w:sz w:val="20"/>
          <w:szCs w:val="20"/>
        </w:rPr>
        <w:t>34</w:t>
      </w:r>
      <w:r w:rsidR="00322500" w:rsidRPr="00B057A4">
        <w:rPr>
          <w:rFonts w:ascii="Arial" w:hAnsi="Arial" w:cs="Arial"/>
          <w:sz w:val="20"/>
          <w:szCs w:val="20"/>
        </w:rPr>
        <w:t xml:space="preserve">, </w:t>
      </w:r>
      <w:r w:rsidRPr="00B057A4">
        <w:rPr>
          <w:rFonts w:ascii="Arial" w:hAnsi="Arial" w:cs="Arial"/>
          <w:sz w:val="20"/>
          <w:szCs w:val="20"/>
        </w:rPr>
        <w:t>2346–</w:t>
      </w:r>
      <w:r w:rsidR="00322500" w:rsidRPr="00B057A4">
        <w:rPr>
          <w:rFonts w:ascii="Arial" w:hAnsi="Arial" w:cs="Arial"/>
          <w:sz w:val="20"/>
          <w:szCs w:val="20"/>
        </w:rPr>
        <w:t>23</w:t>
      </w:r>
      <w:r w:rsidRPr="00B057A4">
        <w:rPr>
          <w:rFonts w:ascii="Arial" w:hAnsi="Arial" w:cs="Arial"/>
          <w:sz w:val="20"/>
          <w:szCs w:val="20"/>
        </w:rPr>
        <w:t>50</w:t>
      </w:r>
      <w:r w:rsidR="00322500" w:rsidRPr="00B057A4">
        <w:rPr>
          <w:rFonts w:ascii="Arial" w:hAnsi="Arial" w:cs="Arial"/>
          <w:sz w:val="20"/>
          <w:szCs w:val="20"/>
        </w:rPr>
        <w:t>.</w:t>
      </w:r>
    </w:p>
    <w:bookmarkEnd w:id="1"/>
    <w:p w14:paraId="1F0EC2A9" w14:textId="30EE7764"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lastRenderedPageBreak/>
        <w:t>Ko SB, Lee SW</w:t>
      </w:r>
      <w:r w:rsidR="00322500" w:rsidRPr="00B057A4">
        <w:rPr>
          <w:rFonts w:ascii="Arial" w:hAnsi="Arial" w:cs="Arial"/>
          <w:sz w:val="20"/>
          <w:szCs w:val="20"/>
        </w:rPr>
        <w:t xml:space="preserve"> (2011)</w:t>
      </w:r>
      <w:r w:rsidRPr="00B057A4">
        <w:rPr>
          <w:rFonts w:ascii="Arial" w:hAnsi="Arial" w:cs="Arial"/>
          <w:sz w:val="20"/>
          <w:szCs w:val="20"/>
        </w:rPr>
        <w:t xml:space="preserve">. Prevalence of spondylolysis and its relationship with low back pain in selected population. </w:t>
      </w:r>
      <w:r w:rsidRPr="00B057A4">
        <w:rPr>
          <w:rFonts w:ascii="Arial" w:hAnsi="Arial" w:cs="Arial"/>
          <w:i/>
          <w:iCs/>
          <w:sz w:val="20"/>
          <w:szCs w:val="20"/>
        </w:rPr>
        <w:t>Clin Orthop Surg</w:t>
      </w:r>
      <w:r w:rsidR="00322500" w:rsidRPr="00B057A4">
        <w:rPr>
          <w:rFonts w:ascii="Arial" w:hAnsi="Arial" w:cs="Arial"/>
          <w:sz w:val="20"/>
          <w:szCs w:val="20"/>
        </w:rPr>
        <w:t xml:space="preserve">, </w:t>
      </w:r>
      <w:r w:rsidRPr="00B057A4">
        <w:rPr>
          <w:rFonts w:ascii="Arial" w:hAnsi="Arial" w:cs="Arial"/>
          <w:sz w:val="20"/>
          <w:szCs w:val="20"/>
        </w:rPr>
        <w:t>3(1)</w:t>
      </w:r>
      <w:r w:rsidR="00322500" w:rsidRPr="00B057A4">
        <w:rPr>
          <w:rFonts w:ascii="Arial" w:hAnsi="Arial" w:cs="Arial"/>
          <w:sz w:val="20"/>
          <w:szCs w:val="20"/>
        </w:rPr>
        <w:t xml:space="preserve">, </w:t>
      </w:r>
      <w:r w:rsidRPr="00B057A4">
        <w:rPr>
          <w:rFonts w:ascii="Arial" w:hAnsi="Arial" w:cs="Arial"/>
          <w:sz w:val="20"/>
          <w:szCs w:val="20"/>
        </w:rPr>
        <w:t>34-</w:t>
      </w:r>
      <w:r w:rsidR="00322500" w:rsidRPr="00B057A4">
        <w:rPr>
          <w:rFonts w:ascii="Arial" w:hAnsi="Arial" w:cs="Arial"/>
          <w:sz w:val="20"/>
          <w:szCs w:val="20"/>
        </w:rPr>
        <w:t>3</w:t>
      </w:r>
      <w:r w:rsidRPr="00B057A4">
        <w:rPr>
          <w:rFonts w:ascii="Arial" w:hAnsi="Arial" w:cs="Arial"/>
          <w:sz w:val="20"/>
          <w:szCs w:val="20"/>
        </w:rPr>
        <w:t xml:space="preserve">8. </w:t>
      </w:r>
      <w:proofErr w:type="spellStart"/>
      <w:r w:rsidRPr="00B057A4">
        <w:rPr>
          <w:rFonts w:ascii="Arial" w:hAnsi="Arial" w:cs="Arial"/>
          <w:sz w:val="20"/>
          <w:szCs w:val="20"/>
        </w:rPr>
        <w:t>doi</w:t>
      </w:r>
      <w:proofErr w:type="spellEnd"/>
      <w:r w:rsidRPr="00B057A4">
        <w:rPr>
          <w:rFonts w:ascii="Arial" w:hAnsi="Arial" w:cs="Arial"/>
          <w:sz w:val="20"/>
          <w:szCs w:val="20"/>
        </w:rPr>
        <w:t xml:space="preserve">: 10.4055/cios.2011.3.1.34. </w:t>
      </w:r>
    </w:p>
    <w:p w14:paraId="144EA357" w14:textId="4CAAF251"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Belfi LM, Ortiz AO, Katz DS</w:t>
      </w:r>
      <w:r w:rsidR="00322500" w:rsidRPr="00B057A4">
        <w:rPr>
          <w:rFonts w:ascii="Arial" w:hAnsi="Arial" w:cs="Arial"/>
          <w:sz w:val="20"/>
          <w:szCs w:val="20"/>
        </w:rPr>
        <w:t xml:space="preserve"> (2006)</w:t>
      </w:r>
      <w:r w:rsidRPr="00B057A4">
        <w:rPr>
          <w:rFonts w:ascii="Arial" w:hAnsi="Arial" w:cs="Arial"/>
          <w:sz w:val="20"/>
          <w:szCs w:val="20"/>
        </w:rPr>
        <w:t xml:space="preserve">. Computed tomography evaluation of spondylolysis and spondylolisthesis in asymptomatic patients. </w:t>
      </w:r>
      <w:r w:rsidRPr="00B057A4">
        <w:rPr>
          <w:rFonts w:ascii="Arial" w:hAnsi="Arial" w:cs="Arial"/>
          <w:i/>
          <w:iCs/>
          <w:sz w:val="20"/>
          <w:szCs w:val="20"/>
        </w:rPr>
        <w:t>Spine (Phila Pa 1976)</w:t>
      </w:r>
      <w:r w:rsidR="00322500" w:rsidRPr="00B057A4">
        <w:rPr>
          <w:rFonts w:ascii="Arial" w:hAnsi="Arial" w:cs="Arial"/>
          <w:sz w:val="20"/>
          <w:szCs w:val="20"/>
        </w:rPr>
        <w:t xml:space="preserve">, </w:t>
      </w:r>
      <w:r w:rsidRPr="00B057A4">
        <w:rPr>
          <w:rFonts w:ascii="Arial" w:hAnsi="Arial" w:cs="Arial"/>
          <w:sz w:val="20"/>
          <w:szCs w:val="20"/>
        </w:rPr>
        <w:t>31(24)</w:t>
      </w:r>
      <w:r w:rsidR="00322500" w:rsidRPr="00B057A4">
        <w:rPr>
          <w:rFonts w:ascii="Arial" w:hAnsi="Arial" w:cs="Arial"/>
          <w:sz w:val="20"/>
          <w:szCs w:val="20"/>
        </w:rPr>
        <w:t xml:space="preserve">, </w:t>
      </w:r>
      <w:r w:rsidRPr="00B057A4">
        <w:rPr>
          <w:rFonts w:ascii="Arial" w:hAnsi="Arial" w:cs="Arial"/>
          <w:sz w:val="20"/>
          <w:szCs w:val="20"/>
        </w:rPr>
        <w:t>E907-</w:t>
      </w:r>
      <w:r w:rsidR="00322500" w:rsidRPr="00B057A4">
        <w:rPr>
          <w:rFonts w:ascii="Arial" w:hAnsi="Arial" w:cs="Arial"/>
          <w:sz w:val="20"/>
          <w:szCs w:val="20"/>
        </w:rPr>
        <w:t>9</w:t>
      </w:r>
      <w:r w:rsidRPr="00B057A4">
        <w:rPr>
          <w:rFonts w:ascii="Arial" w:hAnsi="Arial" w:cs="Arial"/>
          <w:sz w:val="20"/>
          <w:szCs w:val="20"/>
        </w:rPr>
        <w:t xml:space="preserve">10. </w:t>
      </w:r>
      <w:proofErr w:type="gramStart"/>
      <w:r w:rsidRPr="00B057A4">
        <w:rPr>
          <w:rFonts w:ascii="Arial" w:hAnsi="Arial" w:cs="Arial"/>
          <w:sz w:val="20"/>
          <w:szCs w:val="20"/>
        </w:rPr>
        <w:t>doi:10.1097/01.brs</w:t>
      </w:r>
      <w:proofErr w:type="gramEnd"/>
      <w:r w:rsidRPr="00B057A4">
        <w:rPr>
          <w:rFonts w:ascii="Arial" w:hAnsi="Arial" w:cs="Arial"/>
          <w:sz w:val="20"/>
          <w:szCs w:val="20"/>
        </w:rPr>
        <w:t>.0000245947.31473.0a. PMID: 17108819.</w:t>
      </w:r>
    </w:p>
    <w:p w14:paraId="27DD0132" w14:textId="173FBDFB"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 xml:space="preserve">Kalichman L, Kim DH, Li L, </w:t>
      </w:r>
      <w:proofErr w:type="spellStart"/>
      <w:r w:rsidRPr="00B057A4">
        <w:rPr>
          <w:rFonts w:ascii="Arial" w:hAnsi="Arial" w:cs="Arial"/>
          <w:sz w:val="20"/>
          <w:szCs w:val="20"/>
        </w:rPr>
        <w:t>Guermazi</w:t>
      </w:r>
      <w:proofErr w:type="spellEnd"/>
      <w:r w:rsidRPr="00B057A4">
        <w:rPr>
          <w:rFonts w:ascii="Arial" w:hAnsi="Arial" w:cs="Arial"/>
          <w:sz w:val="20"/>
          <w:szCs w:val="20"/>
        </w:rPr>
        <w:t xml:space="preserve"> A, </w:t>
      </w:r>
      <w:proofErr w:type="spellStart"/>
      <w:r w:rsidRPr="00B057A4">
        <w:rPr>
          <w:rFonts w:ascii="Arial" w:hAnsi="Arial" w:cs="Arial"/>
          <w:sz w:val="20"/>
          <w:szCs w:val="20"/>
        </w:rPr>
        <w:t>Berkin</w:t>
      </w:r>
      <w:proofErr w:type="spellEnd"/>
      <w:r w:rsidRPr="00B057A4">
        <w:rPr>
          <w:rFonts w:ascii="Arial" w:hAnsi="Arial" w:cs="Arial"/>
          <w:sz w:val="20"/>
          <w:szCs w:val="20"/>
        </w:rPr>
        <w:t xml:space="preserve"> V, Hunter DJ</w:t>
      </w:r>
      <w:r w:rsidR="00CD4A18" w:rsidRPr="00B057A4">
        <w:rPr>
          <w:rFonts w:ascii="Arial" w:hAnsi="Arial" w:cs="Arial"/>
          <w:sz w:val="20"/>
          <w:szCs w:val="20"/>
        </w:rPr>
        <w:t xml:space="preserve"> (2009)</w:t>
      </w:r>
      <w:r w:rsidRPr="00B057A4">
        <w:rPr>
          <w:rFonts w:ascii="Arial" w:hAnsi="Arial" w:cs="Arial"/>
          <w:sz w:val="20"/>
          <w:szCs w:val="20"/>
        </w:rPr>
        <w:t xml:space="preserve">. Spondylolysis and spondylolisthesis: prevalence and association with low back pain in the adult community-based population. </w:t>
      </w:r>
      <w:r w:rsidRPr="00B057A4">
        <w:rPr>
          <w:rFonts w:ascii="Arial" w:hAnsi="Arial" w:cs="Arial"/>
          <w:i/>
          <w:iCs/>
          <w:sz w:val="20"/>
          <w:szCs w:val="20"/>
        </w:rPr>
        <w:t>Spine (Phila Pa 1976)</w:t>
      </w:r>
      <w:r w:rsidR="00CD4A18" w:rsidRPr="00B057A4">
        <w:rPr>
          <w:rFonts w:ascii="Arial" w:hAnsi="Arial" w:cs="Arial"/>
          <w:sz w:val="20"/>
          <w:szCs w:val="20"/>
        </w:rPr>
        <w:t xml:space="preserve">, </w:t>
      </w:r>
      <w:r w:rsidRPr="00B057A4">
        <w:rPr>
          <w:rFonts w:ascii="Arial" w:hAnsi="Arial" w:cs="Arial"/>
          <w:sz w:val="20"/>
          <w:szCs w:val="20"/>
        </w:rPr>
        <w:t>34(2)</w:t>
      </w:r>
      <w:r w:rsidR="00CD4A18" w:rsidRPr="00B057A4">
        <w:rPr>
          <w:rFonts w:ascii="Arial" w:hAnsi="Arial" w:cs="Arial"/>
          <w:sz w:val="20"/>
          <w:szCs w:val="20"/>
        </w:rPr>
        <w:t xml:space="preserve">, </w:t>
      </w:r>
      <w:r w:rsidRPr="00B057A4">
        <w:rPr>
          <w:rFonts w:ascii="Arial" w:hAnsi="Arial" w:cs="Arial"/>
          <w:sz w:val="20"/>
          <w:szCs w:val="20"/>
        </w:rPr>
        <w:t xml:space="preserve">199-205. </w:t>
      </w:r>
      <w:proofErr w:type="spellStart"/>
      <w:r w:rsidRPr="00B057A4">
        <w:rPr>
          <w:rFonts w:ascii="Arial" w:hAnsi="Arial" w:cs="Arial"/>
          <w:sz w:val="20"/>
          <w:szCs w:val="20"/>
        </w:rPr>
        <w:t>doi</w:t>
      </w:r>
      <w:proofErr w:type="spellEnd"/>
      <w:r w:rsidRPr="00B057A4">
        <w:rPr>
          <w:rFonts w:ascii="Arial" w:hAnsi="Arial" w:cs="Arial"/>
          <w:sz w:val="20"/>
          <w:szCs w:val="20"/>
        </w:rPr>
        <w:t>: 10.1097/BRS.0b013e31818edcfd. PMID: 19139672; PMCID: PMC3793342</w:t>
      </w:r>
    </w:p>
    <w:p w14:paraId="6483A4AB" w14:textId="20DECAB7"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Aoki Y., Takahashi H., Nakajima A.</w:t>
      </w:r>
      <w:r w:rsidR="00F65035" w:rsidRPr="00B057A4">
        <w:rPr>
          <w:rFonts w:ascii="Arial" w:hAnsi="Arial" w:cs="Arial"/>
          <w:sz w:val="20"/>
          <w:szCs w:val="20"/>
        </w:rPr>
        <w:t xml:space="preserve">, Kubota G., </w:t>
      </w:r>
      <w:r w:rsidR="008E52DE" w:rsidRPr="00B057A4">
        <w:rPr>
          <w:rFonts w:ascii="Arial" w:hAnsi="Arial" w:cs="Arial"/>
          <w:sz w:val="20"/>
          <w:szCs w:val="20"/>
        </w:rPr>
        <w:t>Watanabe A., Nakajima T.,</w:t>
      </w:r>
      <w:r w:rsidRPr="00B057A4">
        <w:rPr>
          <w:rFonts w:ascii="Arial" w:hAnsi="Arial" w:cs="Arial"/>
          <w:sz w:val="20"/>
          <w:szCs w:val="20"/>
        </w:rPr>
        <w:t> </w:t>
      </w:r>
      <w:r w:rsidRPr="00B057A4">
        <w:rPr>
          <w:rFonts w:ascii="Arial" w:hAnsi="Arial" w:cs="Arial"/>
          <w:i/>
          <w:iCs/>
          <w:sz w:val="20"/>
          <w:szCs w:val="20"/>
        </w:rPr>
        <w:t>et al.</w:t>
      </w:r>
      <w:r w:rsidRPr="00B057A4">
        <w:rPr>
          <w:rFonts w:ascii="Arial" w:hAnsi="Arial" w:cs="Arial"/>
          <w:sz w:val="20"/>
          <w:szCs w:val="20"/>
        </w:rPr>
        <w:t> Prevalence of lumbar spondylolysis and spondylolisthesis in patients with degenerative spinal disease. </w:t>
      </w:r>
      <w:r w:rsidRPr="00B057A4">
        <w:rPr>
          <w:rFonts w:ascii="Arial" w:hAnsi="Arial" w:cs="Arial"/>
          <w:i/>
          <w:iCs/>
          <w:sz w:val="20"/>
          <w:szCs w:val="20"/>
        </w:rPr>
        <w:t>Sci Rep</w:t>
      </w:r>
      <w:r w:rsidRPr="00B057A4">
        <w:rPr>
          <w:rFonts w:ascii="Arial" w:hAnsi="Arial" w:cs="Arial"/>
          <w:sz w:val="20"/>
          <w:szCs w:val="20"/>
        </w:rPr>
        <w:t xml:space="preserve"> 10, 6739 (2020). </w:t>
      </w:r>
      <w:hyperlink r:id="rId14" w:history="1">
        <w:r w:rsidRPr="00B057A4">
          <w:rPr>
            <w:rStyle w:val="Hyperlink"/>
            <w:rFonts w:ascii="Arial" w:hAnsi="Arial" w:cs="Arial"/>
            <w:sz w:val="20"/>
            <w:szCs w:val="20"/>
          </w:rPr>
          <w:t>https://doi.org/10.1038/s41598-020-63784-0</w:t>
        </w:r>
      </w:hyperlink>
    </w:p>
    <w:p w14:paraId="2951153B" w14:textId="214BA9BD" w:rsidR="00B77CCC" w:rsidRPr="00B057A4" w:rsidRDefault="00B77CCC" w:rsidP="00B057A4">
      <w:pPr>
        <w:pStyle w:val="ListParagraph"/>
        <w:numPr>
          <w:ilvl w:val="0"/>
          <w:numId w:val="6"/>
        </w:numPr>
        <w:spacing w:line="480" w:lineRule="auto"/>
        <w:rPr>
          <w:rFonts w:ascii="Arial" w:hAnsi="Arial" w:cs="Arial"/>
          <w:sz w:val="20"/>
          <w:szCs w:val="20"/>
        </w:rPr>
      </w:pPr>
      <w:proofErr w:type="spellStart"/>
      <w:r w:rsidRPr="00B057A4">
        <w:rPr>
          <w:rFonts w:ascii="Arial" w:hAnsi="Arial" w:cs="Arial"/>
          <w:sz w:val="20"/>
          <w:szCs w:val="20"/>
        </w:rPr>
        <w:t>Layegh</w:t>
      </w:r>
      <w:proofErr w:type="spellEnd"/>
      <w:r w:rsidRPr="00B057A4">
        <w:rPr>
          <w:rFonts w:ascii="Arial" w:hAnsi="Arial" w:cs="Arial"/>
          <w:sz w:val="20"/>
          <w:szCs w:val="20"/>
        </w:rPr>
        <w:t xml:space="preserve"> M, </w:t>
      </w:r>
      <w:proofErr w:type="spellStart"/>
      <w:r w:rsidRPr="00B057A4">
        <w:rPr>
          <w:rFonts w:ascii="Arial" w:hAnsi="Arial" w:cs="Arial"/>
          <w:sz w:val="20"/>
          <w:szCs w:val="20"/>
        </w:rPr>
        <w:t>Hejazian</w:t>
      </w:r>
      <w:proofErr w:type="spellEnd"/>
      <w:r w:rsidRPr="00B057A4">
        <w:rPr>
          <w:rFonts w:ascii="Arial" w:hAnsi="Arial" w:cs="Arial"/>
          <w:sz w:val="20"/>
          <w:szCs w:val="20"/>
        </w:rPr>
        <w:t xml:space="preserve"> E</w:t>
      </w:r>
      <w:r w:rsidR="008E52DE" w:rsidRPr="00B057A4">
        <w:rPr>
          <w:rFonts w:ascii="Arial" w:hAnsi="Arial" w:cs="Arial"/>
          <w:sz w:val="20"/>
          <w:szCs w:val="20"/>
        </w:rPr>
        <w:t xml:space="preserve"> (2017)</w:t>
      </w:r>
      <w:r w:rsidRPr="00B057A4">
        <w:rPr>
          <w:rFonts w:ascii="Arial" w:hAnsi="Arial" w:cs="Arial"/>
          <w:sz w:val="20"/>
          <w:szCs w:val="20"/>
        </w:rPr>
        <w:t xml:space="preserve">. Prevalence of Spondylolysis and Spondylolisthesis in Patients Afflicted with Chronic Back Pain in Babol City, Iran, during 2012 and 2013. </w:t>
      </w:r>
      <w:r w:rsidRPr="00B057A4">
        <w:rPr>
          <w:rFonts w:ascii="Arial" w:hAnsi="Arial" w:cs="Arial"/>
          <w:i/>
          <w:iCs/>
          <w:sz w:val="20"/>
          <w:szCs w:val="20"/>
        </w:rPr>
        <w:t xml:space="preserve">Iran J </w:t>
      </w:r>
      <w:proofErr w:type="spellStart"/>
      <w:r w:rsidRPr="00B057A4">
        <w:rPr>
          <w:rFonts w:ascii="Arial" w:hAnsi="Arial" w:cs="Arial"/>
          <w:i/>
          <w:iCs/>
          <w:sz w:val="20"/>
          <w:szCs w:val="20"/>
        </w:rPr>
        <w:t>Neurosurg</w:t>
      </w:r>
      <w:proofErr w:type="spellEnd"/>
      <w:r w:rsidR="008E52DE" w:rsidRPr="00B057A4">
        <w:rPr>
          <w:rFonts w:ascii="Arial" w:hAnsi="Arial" w:cs="Arial"/>
          <w:sz w:val="20"/>
          <w:szCs w:val="20"/>
        </w:rPr>
        <w:t xml:space="preserve">, </w:t>
      </w:r>
      <w:r w:rsidRPr="00B057A4">
        <w:rPr>
          <w:rFonts w:ascii="Arial" w:hAnsi="Arial" w:cs="Arial"/>
          <w:sz w:val="20"/>
          <w:szCs w:val="20"/>
        </w:rPr>
        <w:t>3(1)</w:t>
      </w:r>
      <w:r w:rsidR="008E52DE" w:rsidRPr="00B057A4">
        <w:rPr>
          <w:rFonts w:ascii="Arial" w:hAnsi="Arial" w:cs="Arial"/>
          <w:sz w:val="20"/>
          <w:szCs w:val="20"/>
        </w:rPr>
        <w:t xml:space="preserve">, </w:t>
      </w:r>
      <w:r w:rsidRPr="00B057A4">
        <w:rPr>
          <w:rFonts w:ascii="Arial" w:hAnsi="Arial" w:cs="Arial"/>
          <w:sz w:val="20"/>
          <w:szCs w:val="20"/>
        </w:rPr>
        <w:t>8-14</w:t>
      </w:r>
    </w:p>
    <w:p w14:paraId="55120486" w14:textId="22740CA5"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 xml:space="preserve">West AM, </w:t>
      </w:r>
      <w:proofErr w:type="spellStart"/>
      <w:r w:rsidRPr="00B057A4">
        <w:rPr>
          <w:rFonts w:ascii="Arial" w:hAnsi="Arial" w:cs="Arial"/>
          <w:sz w:val="20"/>
          <w:szCs w:val="20"/>
        </w:rPr>
        <w:t>d’Hemecourt</w:t>
      </w:r>
      <w:proofErr w:type="spellEnd"/>
      <w:r w:rsidRPr="00B057A4">
        <w:rPr>
          <w:rFonts w:ascii="Arial" w:hAnsi="Arial" w:cs="Arial"/>
          <w:sz w:val="20"/>
          <w:szCs w:val="20"/>
        </w:rPr>
        <w:t xml:space="preserve"> PA, Bono OJ, Micheli LJ, Sugimoto D</w:t>
      </w:r>
      <w:r w:rsidR="008E52DE" w:rsidRPr="00B057A4">
        <w:rPr>
          <w:rFonts w:ascii="Arial" w:hAnsi="Arial" w:cs="Arial"/>
          <w:sz w:val="20"/>
          <w:szCs w:val="20"/>
        </w:rPr>
        <w:t xml:space="preserve"> (2019)</w:t>
      </w:r>
      <w:r w:rsidRPr="00B057A4">
        <w:rPr>
          <w:rFonts w:ascii="Arial" w:hAnsi="Arial" w:cs="Arial"/>
          <w:sz w:val="20"/>
          <w:szCs w:val="20"/>
        </w:rPr>
        <w:t xml:space="preserve">. Diagnostic accuracy of magnetic resonance imaging and computed tomography scan in young Athletes with spondylolysis. </w:t>
      </w:r>
      <w:r w:rsidRPr="00B057A4">
        <w:rPr>
          <w:rFonts w:ascii="Arial" w:hAnsi="Arial" w:cs="Arial"/>
          <w:i/>
          <w:iCs/>
          <w:sz w:val="20"/>
          <w:szCs w:val="20"/>
        </w:rPr>
        <w:t>Clin Pediatr (Phila)</w:t>
      </w:r>
      <w:r w:rsidR="008E52DE" w:rsidRPr="00B057A4">
        <w:rPr>
          <w:rFonts w:ascii="Arial" w:hAnsi="Arial" w:cs="Arial"/>
          <w:sz w:val="20"/>
          <w:szCs w:val="20"/>
        </w:rPr>
        <w:t xml:space="preserve">, </w:t>
      </w:r>
      <w:r w:rsidRPr="00B057A4">
        <w:rPr>
          <w:rFonts w:ascii="Arial" w:hAnsi="Arial" w:cs="Arial"/>
          <w:sz w:val="20"/>
          <w:szCs w:val="20"/>
        </w:rPr>
        <w:t>58</w:t>
      </w:r>
      <w:r w:rsidR="008E52DE" w:rsidRPr="00B057A4">
        <w:rPr>
          <w:rFonts w:ascii="Arial" w:hAnsi="Arial" w:cs="Arial"/>
          <w:sz w:val="20"/>
          <w:szCs w:val="20"/>
        </w:rPr>
        <w:t xml:space="preserve">, </w:t>
      </w:r>
      <w:r w:rsidRPr="00B057A4">
        <w:rPr>
          <w:rFonts w:ascii="Arial" w:hAnsi="Arial" w:cs="Arial"/>
          <w:sz w:val="20"/>
          <w:szCs w:val="20"/>
        </w:rPr>
        <w:t>671-676</w:t>
      </w:r>
    </w:p>
    <w:p w14:paraId="2F446238" w14:textId="0BCFFE6B"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Delavan JA, Stence NV, Mirsky DM, Gralla J, Fadell MF</w:t>
      </w:r>
      <w:r w:rsidR="008E52DE" w:rsidRPr="00B057A4">
        <w:rPr>
          <w:rFonts w:ascii="Arial" w:hAnsi="Arial" w:cs="Arial"/>
          <w:sz w:val="20"/>
          <w:szCs w:val="20"/>
        </w:rPr>
        <w:t xml:space="preserve"> (2016)</w:t>
      </w:r>
      <w:r w:rsidRPr="00B057A4">
        <w:rPr>
          <w:rFonts w:ascii="Arial" w:hAnsi="Arial" w:cs="Arial"/>
          <w:sz w:val="20"/>
          <w:szCs w:val="20"/>
        </w:rPr>
        <w:t xml:space="preserve">. Confidence in Assessment of Lumbar Spondylolysis Using Three-Dimensional Volumetric T2-Weighted MRI Compared </w:t>
      </w:r>
      <w:proofErr w:type="gramStart"/>
      <w:r w:rsidRPr="00B057A4">
        <w:rPr>
          <w:rFonts w:ascii="Arial" w:hAnsi="Arial" w:cs="Arial"/>
          <w:sz w:val="20"/>
          <w:szCs w:val="20"/>
        </w:rPr>
        <w:t>With</w:t>
      </w:r>
      <w:proofErr w:type="gramEnd"/>
      <w:r w:rsidRPr="00B057A4">
        <w:rPr>
          <w:rFonts w:ascii="Arial" w:hAnsi="Arial" w:cs="Arial"/>
          <w:sz w:val="20"/>
          <w:szCs w:val="20"/>
        </w:rPr>
        <w:t xml:space="preserve"> Limited Field of View, Decreased-Dose CT. </w:t>
      </w:r>
      <w:r w:rsidRPr="00B057A4">
        <w:rPr>
          <w:rFonts w:ascii="Arial" w:hAnsi="Arial" w:cs="Arial"/>
          <w:i/>
          <w:iCs/>
          <w:sz w:val="20"/>
          <w:szCs w:val="20"/>
        </w:rPr>
        <w:t>Sports Health</w:t>
      </w:r>
      <w:r w:rsidR="008E52DE" w:rsidRPr="00B057A4">
        <w:rPr>
          <w:rFonts w:ascii="Arial" w:hAnsi="Arial" w:cs="Arial"/>
          <w:sz w:val="20"/>
          <w:szCs w:val="20"/>
        </w:rPr>
        <w:t xml:space="preserve">, </w:t>
      </w:r>
      <w:r w:rsidRPr="00B057A4">
        <w:rPr>
          <w:rFonts w:ascii="Arial" w:hAnsi="Arial" w:cs="Arial"/>
          <w:sz w:val="20"/>
          <w:szCs w:val="20"/>
        </w:rPr>
        <w:t>8(4)</w:t>
      </w:r>
      <w:r w:rsidR="008E52DE" w:rsidRPr="00B057A4">
        <w:rPr>
          <w:rFonts w:ascii="Arial" w:hAnsi="Arial" w:cs="Arial"/>
          <w:sz w:val="20"/>
          <w:szCs w:val="20"/>
        </w:rPr>
        <w:t xml:space="preserve">, </w:t>
      </w:r>
      <w:r w:rsidRPr="00B057A4">
        <w:rPr>
          <w:rFonts w:ascii="Arial" w:hAnsi="Arial" w:cs="Arial"/>
          <w:sz w:val="20"/>
          <w:szCs w:val="20"/>
        </w:rPr>
        <w:t>364-</w:t>
      </w:r>
      <w:r w:rsidR="008E52DE" w:rsidRPr="00B057A4">
        <w:rPr>
          <w:rFonts w:ascii="Arial" w:hAnsi="Arial" w:cs="Arial"/>
          <w:sz w:val="20"/>
          <w:szCs w:val="20"/>
        </w:rPr>
        <w:t>3</w:t>
      </w:r>
      <w:r w:rsidRPr="00B057A4">
        <w:rPr>
          <w:rFonts w:ascii="Arial" w:hAnsi="Arial" w:cs="Arial"/>
          <w:sz w:val="20"/>
          <w:szCs w:val="20"/>
        </w:rPr>
        <w:t>71. </w:t>
      </w:r>
    </w:p>
    <w:p w14:paraId="6D78DA81" w14:textId="7B576E2C"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 xml:space="preserve">Fadell MF, </w:t>
      </w:r>
      <w:proofErr w:type="spellStart"/>
      <w:r w:rsidRPr="00B057A4">
        <w:rPr>
          <w:rFonts w:ascii="Arial" w:hAnsi="Arial" w:cs="Arial"/>
          <w:sz w:val="20"/>
          <w:szCs w:val="20"/>
        </w:rPr>
        <w:t>Gralla</w:t>
      </w:r>
      <w:proofErr w:type="spellEnd"/>
      <w:r w:rsidRPr="00B057A4">
        <w:rPr>
          <w:rFonts w:ascii="Arial" w:hAnsi="Arial" w:cs="Arial"/>
          <w:sz w:val="20"/>
          <w:szCs w:val="20"/>
        </w:rPr>
        <w:t xml:space="preserve"> J, </w:t>
      </w:r>
      <w:proofErr w:type="spellStart"/>
      <w:r w:rsidRPr="00B057A4">
        <w:rPr>
          <w:rFonts w:ascii="Arial" w:hAnsi="Arial" w:cs="Arial"/>
          <w:sz w:val="20"/>
          <w:szCs w:val="20"/>
        </w:rPr>
        <w:t>Bercha</w:t>
      </w:r>
      <w:proofErr w:type="spellEnd"/>
      <w:r w:rsidRPr="00B057A4">
        <w:rPr>
          <w:rFonts w:ascii="Arial" w:hAnsi="Arial" w:cs="Arial"/>
          <w:sz w:val="20"/>
          <w:szCs w:val="20"/>
        </w:rPr>
        <w:t xml:space="preserve"> I, Stewart JR, Harned RK, Ingram JD, </w:t>
      </w:r>
      <w:r w:rsidR="003A4BB7" w:rsidRPr="00B057A4">
        <w:rPr>
          <w:rFonts w:ascii="Arial" w:hAnsi="Arial" w:cs="Arial"/>
          <w:sz w:val="20"/>
          <w:szCs w:val="20"/>
        </w:rPr>
        <w:t>et al (2015)</w:t>
      </w:r>
      <w:r w:rsidRPr="00B057A4">
        <w:rPr>
          <w:rFonts w:ascii="Arial" w:hAnsi="Arial" w:cs="Arial"/>
          <w:sz w:val="20"/>
          <w:szCs w:val="20"/>
        </w:rPr>
        <w:t xml:space="preserve">. CT outperforms radiographs at a comparable radiation dose in the assessment for spondylolysis. </w:t>
      </w:r>
      <w:r w:rsidRPr="00B057A4">
        <w:rPr>
          <w:rFonts w:ascii="Arial" w:hAnsi="Arial" w:cs="Arial"/>
          <w:i/>
          <w:iCs/>
          <w:sz w:val="20"/>
          <w:szCs w:val="20"/>
        </w:rPr>
        <w:t>Pediatr Radiol</w:t>
      </w:r>
      <w:r w:rsidR="003A4BB7" w:rsidRPr="00B057A4">
        <w:rPr>
          <w:rFonts w:ascii="Arial" w:hAnsi="Arial" w:cs="Arial"/>
          <w:sz w:val="20"/>
          <w:szCs w:val="20"/>
        </w:rPr>
        <w:t xml:space="preserve">, </w:t>
      </w:r>
      <w:r w:rsidRPr="00B057A4">
        <w:rPr>
          <w:rFonts w:ascii="Arial" w:hAnsi="Arial" w:cs="Arial"/>
          <w:sz w:val="20"/>
          <w:szCs w:val="20"/>
        </w:rPr>
        <w:t>45(7)</w:t>
      </w:r>
      <w:r w:rsidR="003A4BB7" w:rsidRPr="00B057A4">
        <w:rPr>
          <w:rFonts w:ascii="Arial" w:hAnsi="Arial" w:cs="Arial"/>
          <w:sz w:val="20"/>
          <w:szCs w:val="20"/>
        </w:rPr>
        <w:t xml:space="preserve">, </w:t>
      </w:r>
      <w:r w:rsidRPr="00B057A4">
        <w:rPr>
          <w:rFonts w:ascii="Arial" w:hAnsi="Arial" w:cs="Arial"/>
          <w:sz w:val="20"/>
          <w:szCs w:val="20"/>
        </w:rPr>
        <w:t>1026-</w:t>
      </w:r>
      <w:r w:rsidR="003A4BB7" w:rsidRPr="00B057A4">
        <w:rPr>
          <w:rFonts w:ascii="Arial" w:hAnsi="Arial" w:cs="Arial"/>
          <w:sz w:val="20"/>
          <w:szCs w:val="20"/>
        </w:rPr>
        <w:t>10</w:t>
      </w:r>
      <w:r w:rsidRPr="00B057A4">
        <w:rPr>
          <w:rFonts w:ascii="Arial" w:hAnsi="Arial" w:cs="Arial"/>
          <w:sz w:val="20"/>
          <w:szCs w:val="20"/>
        </w:rPr>
        <w:t xml:space="preserve">30. </w:t>
      </w:r>
      <w:proofErr w:type="spellStart"/>
      <w:r w:rsidRPr="00B057A4">
        <w:rPr>
          <w:rFonts w:ascii="Arial" w:hAnsi="Arial" w:cs="Arial"/>
          <w:sz w:val="20"/>
          <w:szCs w:val="20"/>
        </w:rPr>
        <w:t>doi</w:t>
      </w:r>
      <w:proofErr w:type="spellEnd"/>
      <w:r w:rsidRPr="00B057A4">
        <w:rPr>
          <w:rFonts w:ascii="Arial" w:hAnsi="Arial" w:cs="Arial"/>
          <w:sz w:val="20"/>
          <w:szCs w:val="20"/>
        </w:rPr>
        <w:t xml:space="preserve">: 10.1007/s00247-015-3278-z. </w:t>
      </w:r>
      <w:proofErr w:type="spellStart"/>
      <w:r w:rsidRPr="00B057A4">
        <w:rPr>
          <w:rFonts w:ascii="Arial" w:hAnsi="Arial" w:cs="Arial"/>
          <w:sz w:val="20"/>
          <w:szCs w:val="20"/>
        </w:rPr>
        <w:t>Epub</w:t>
      </w:r>
      <w:proofErr w:type="spellEnd"/>
      <w:r w:rsidRPr="00B057A4">
        <w:rPr>
          <w:rFonts w:ascii="Arial" w:hAnsi="Arial" w:cs="Arial"/>
          <w:sz w:val="20"/>
          <w:szCs w:val="20"/>
        </w:rPr>
        <w:t xml:space="preserve"> 2015 Feb 25. PMID: 25712453.</w:t>
      </w:r>
    </w:p>
    <w:p w14:paraId="100F7C1E" w14:textId="5C0CE866"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t>Bello B, Bello Adebayo H</w:t>
      </w:r>
      <w:r w:rsidR="009A52CD" w:rsidRPr="00B057A4">
        <w:rPr>
          <w:rFonts w:ascii="Arial" w:hAnsi="Arial" w:cs="Arial"/>
          <w:sz w:val="20"/>
          <w:szCs w:val="20"/>
        </w:rPr>
        <w:t xml:space="preserve"> (2017)</w:t>
      </w:r>
      <w:r w:rsidRPr="00B057A4">
        <w:rPr>
          <w:rFonts w:ascii="Arial" w:hAnsi="Arial" w:cs="Arial"/>
          <w:sz w:val="20"/>
          <w:szCs w:val="20"/>
        </w:rPr>
        <w:t>. A Systematic Review on the Prevalence of Low Back Pain in Nigeria.</w:t>
      </w:r>
      <w:r w:rsidR="009A52CD" w:rsidRPr="00B057A4">
        <w:rPr>
          <w:rFonts w:ascii="Arial" w:hAnsi="Arial" w:cs="Arial"/>
          <w:sz w:val="20"/>
          <w:szCs w:val="20"/>
        </w:rPr>
        <w:t xml:space="preserve"> </w:t>
      </w:r>
      <w:r w:rsidRPr="00B057A4">
        <w:rPr>
          <w:rFonts w:ascii="Arial" w:hAnsi="Arial" w:cs="Arial"/>
          <w:i/>
          <w:iCs/>
          <w:sz w:val="20"/>
          <w:szCs w:val="20"/>
        </w:rPr>
        <w:t xml:space="preserve">Middle East J </w:t>
      </w:r>
      <w:proofErr w:type="spellStart"/>
      <w:r w:rsidRPr="00B057A4">
        <w:rPr>
          <w:rFonts w:ascii="Arial" w:hAnsi="Arial" w:cs="Arial"/>
          <w:i/>
          <w:iCs/>
          <w:sz w:val="20"/>
          <w:szCs w:val="20"/>
        </w:rPr>
        <w:t>Rehabil</w:t>
      </w:r>
      <w:proofErr w:type="spellEnd"/>
      <w:r w:rsidRPr="00B057A4">
        <w:rPr>
          <w:rFonts w:ascii="Arial" w:hAnsi="Arial" w:cs="Arial"/>
          <w:i/>
          <w:iCs/>
          <w:sz w:val="20"/>
          <w:szCs w:val="20"/>
        </w:rPr>
        <w:t xml:space="preserve"> Health</w:t>
      </w:r>
      <w:r w:rsidR="009A52CD" w:rsidRPr="00B057A4">
        <w:rPr>
          <w:rFonts w:ascii="Arial" w:hAnsi="Arial" w:cs="Arial"/>
          <w:i/>
          <w:iCs/>
          <w:sz w:val="20"/>
          <w:szCs w:val="20"/>
        </w:rPr>
        <w:t xml:space="preserve"> </w:t>
      </w:r>
      <w:r w:rsidRPr="00B057A4">
        <w:rPr>
          <w:rFonts w:ascii="Arial" w:hAnsi="Arial" w:cs="Arial"/>
          <w:i/>
          <w:iCs/>
          <w:sz w:val="20"/>
          <w:szCs w:val="20"/>
        </w:rPr>
        <w:t>Stud</w:t>
      </w:r>
      <w:r w:rsidR="009A52CD" w:rsidRPr="00B057A4">
        <w:rPr>
          <w:rFonts w:ascii="Arial" w:hAnsi="Arial" w:cs="Arial"/>
          <w:sz w:val="20"/>
          <w:szCs w:val="20"/>
        </w:rPr>
        <w:t>,</w:t>
      </w:r>
      <w:r w:rsidRPr="00B057A4">
        <w:rPr>
          <w:rFonts w:ascii="Arial" w:hAnsi="Arial" w:cs="Arial"/>
          <w:sz w:val="20"/>
          <w:szCs w:val="20"/>
        </w:rPr>
        <w:t>4(2)</w:t>
      </w:r>
      <w:r w:rsidR="009A52CD" w:rsidRPr="00B057A4">
        <w:rPr>
          <w:rFonts w:ascii="Arial" w:hAnsi="Arial" w:cs="Arial"/>
          <w:sz w:val="20"/>
          <w:szCs w:val="20"/>
        </w:rPr>
        <w:t xml:space="preserve">, </w:t>
      </w:r>
      <w:r w:rsidRPr="00B057A4">
        <w:rPr>
          <w:rFonts w:ascii="Arial" w:hAnsi="Arial" w:cs="Arial"/>
          <w:sz w:val="20"/>
          <w:szCs w:val="20"/>
        </w:rPr>
        <w:t>e45262.</w:t>
      </w:r>
      <w:hyperlink r:id="rId15" w:tgtFrame="_blank" w:history="1">
        <w:r w:rsidRPr="00B057A4">
          <w:rPr>
            <w:rStyle w:val="Hyperlink"/>
            <w:rFonts w:ascii="Arial" w:hAnsi="Arial" w:cs="Arial"/>
            <w:sz w:val="20"/>
            <w:szCs w:val="20"/>
          </w:rPr>
          <w:t>https://doi.org/10.5812/mejrh.45262</w:t>
        </w:r>
      </w:hyperlink>
    </w:p>
    <w:p w14:paraId="5B861F26" w14:textId="3FB8649D" w:rsidR="00B77CCC" w:rsidRPr="00B057A4" w:rsidRDefault="00B77CCC" w:rsidP="00B057A4">
      <w:pPr>
        <w:pStyle w:val="ListParagraph"/>
        <w:numPr>
          <w:ilvl w:val="0"/>
          <w:numId w:val="6"/>
        </w:numPr>
        <w:spacing w:line="480" w:lineRule="auto"/>
        <w:rPr>
          <w:rFonts w:ascii="Arial" w:hAnsi="Arial" w:cs="Arial"/>
          <w:sz w:val="20"/>
          <w:szCs w:val="20"/>
        </w:rPr>
      </w:pPr>
      <w:r w:rsidRPr="00B057A4">
        <w:rPr>
          <w:rFonts w:ascii="Arial" w:hAnsi="Arial" w:cs="Arial"/>
          <w:sz w:val="20"/>
          <w:szCs w:val="20"/>
        </w:rPr>
        <w:lastRenderedPageBreak/>
        <w:t xml:space="preserve">Kruger, N. A. (2015). Instructional course lecture: Spondylolysis. </w:t>
      </w:r>
      <w:r w:rsidRPr="00B057A4">
        <w:rPr>
          <w:rFonts w:ascii="Arial" w:hAnsi="Arial" w:cs="Arial"/>
          <w:i/>
          <w:iCs/>
          <w:sz w:val="20"/>
          <w:szCs w:val="20"/>
        </w:rPr>
        <w:t>SA Orthopaedic Journal Winter</w:t>
      </w:r>
      <w:r w:rsidRPr="00B057A4">
        <w:rPr>
          <w:rFonts w:ascii="Arial" w:hAnsi="Arial" w:cs="Arial"/>
          <w:sz w:val="20"/>
          <w:szCs w:val="20"/>
        </w:rPr>
        <w:t xml:space="preserve">, </w:t>
      </w:r>
      <w:r w:rsidRPr="00B057A4">
        <w:rPr>
          <w:rFonts w:ascii="Arial" w:hAnsi="Arial" w:cs="Arial"/>
          <w:i/>
          <w:iCs/>
          <w:sz w:val="20"/>
          <w:szCs w:val="20"/>
        </w:rPr>
        <w:t>14</w:t>
      </w:r>
      <w:r w:rsidRPr="00B057A4">
        <w:rPr>
          <w:rFonts w:ascii="Arial" w:hAnsi="Arial" w:cs="Arial"/>
          <w:sz w:val="20"/>
          <w:szCs w:val="20"/>
        </w:rPr>
        <w:t>(2). https://doi.org/10.17159/2309-8309/2015/v14n2a3.</w:t>
      </w:r>
    </w:p>
    <w:p w14:paraId="47399CD7" w14:textId="77777777" w:rsidR="00B77CCC" w:rsidRPr="00B057A4" w:rsidRDefault="00B77CCC" w:rsidP="00B057A4">
      <w:pPr>
        <w:autoSpaceDE w:val="0"/>
        <w:autoSpaceDN w:val="0"/>
        <w:adjustRightInd w:val="0"/>
        <w:spacing w:after="0" w:line="480" w:lineRule="auto"/>
        <w:rPr>
          <w:rFonts w:ascii="Arial" w:hAnsi="Arial" w:cs="Arial"/>
          <w:b/>
          <w:bCs/>
          <w:color w:val="000000"/>
          <w:sz w:val="20"/>
          <w:szCs w:val="20"/>
        </w:rPr>
      </w:pPr>
    </w:p>
    <w:p w14:paraId="116889DE" w14:textId="77777777" w:rsidR="003A52CF" w:rsidRPr="00B057A4" w:rsidRDefault="003A52CF" w:rsidP="00B057A4">
      <w:pPr>
        <w:autoSpaceDE w:val="0"/>
        <w:autoSpaceDN w:val="0"/>
        <w:adjustRightInd w:val="0"/>
        <w:spacing w:after="0" w:line="480" w:lineRule="auto"/>
        <w:rPr>
          <w:rFonts w:ascii="Arial" w:hAnsi="Arial" w:cs="Arial"/>
          <w:color w:val="000000"/>
          <w:sz w:val="20"/>
          <w:szCs w:val="20"/>
        </w:rPr>
      </w:pPr>
    </w:p>
    <w:p w14:paraId="209B3FE3" w14:textId="77777777" w:rsidR="003A52CF" w:rsidRPr="00B057A4" w:rsidRDefault="003A52CF" w:rsidP="00B057A4">
      <w:pPr>
        <w:spacing w:line="480" w:lineRule="auto"/>
        <w:rPr>
          <w:rFonts w:ascii="Arial" w:hAnsi="Arial" w:cs="Arial"/>
          <w:sz w:val="20"/>
          <w:szCs w:val="20"/>
        </w:rPr>
      </w:pPr>
    </w:p>
    <w:sectPr w:rsidR="003A52CF" w:rsidRPr="00B057A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1B11" w14:textId="77777777" w:rsidR="00B42BA0" w:rsidRDefault="00B42BA0" w:rsidP="00441902">
      <w:pPr>
        <w:spacing w:after="0" w:line="240" w:lineRule="auto"/>
      </w:pPr>
      <w:r>
        <w:separator/>
      </w:r>
    </w:p>
  </w:endnote>
  <w:endnote w:type="continuationSeparator" w:id="0">
    <w:p w14:paraId="09580A81" w14:textId="77777777" w:rsidR="00B42BA0" w:rsidRDefault="00B42BA0" w:rsidP="0044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67B0" w14:textId="77777777" w:rsidR="008E57CE" w:rsidRDefault="008E5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B657C" w14:textId="77777777" w:rsidR="008E57CE" w:rsidRDefault="008E5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A62B" w14:textId="77777777" w:rsidR="008E57CE" w:rsidRDefault="008E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3E0F" w14:textId="77777777" w:rsidR="00B42BA0" w:rsidRDefault="00B42BA0" w:rsidP="00441902">
      <w:pPr>
        <w:spacing w:after="0" w:line="240" w:lineRule="auto"/>
      </w:pPr>
      <w:r>
        <w:separator/>
      </w:r>
    </w:p>
  </w:footnote>
  <w:footnote w:type="continuationSeparator" w:id="0">
    <w:p w14:paraId="6876B3D4" w14:textId="77777777" w:rsidR="00B42BA0" w:rsidRDefault="00B42BA0" w:rsidP="0044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BEC9" w14:textId="76F1E88E" w:rsidR="008E57CE" w:rsidRDefault="008E57CE">
    <w:pPr>
      <w:pStyle w:val="Header"/>
    </w:pPr>
    <w:r>
      <w:rPr>
        <w:noProof/>
      </w:rPr>
      <w:pict w14:anchorId="70513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400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C2DD" w14:textId="363FFC8A" w:rsidR="008E57CE" w:rsidRDefault="008E57CE">
    <w:pPr>
      <w:pStyle w:val="Header"/>
    </w:pPr>
    <w:r>
      <w:rPr>
        <w:noProof/>
      </w:rPr>
      <w:pict w14:anchorId="03C4F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400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A41D" w14:textId="5927BB8D" w:rsidR="008E57CE" w:rsidRDefault="008E57CE">
    <w:pPr>
      <w:pStyle w:val="Header"/>
    </w:pPr>
    <w:r>
      <w:rPr>
        <w:noProof/>
      </w:rPr>
      <w:pict w14:anchorId="6575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400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8D0"/>
    <w:multiLevelType w:val="hybridMultilevel"/>
    <w:tmpl w:val="FB72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7332E"/>
    <w:multiLevelType w:val="hybridMultilevel"/>
    <w:tmpl w:val="4608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54014"/>
    <w:multiLevelType w:val="hybridMultilevel"/>
    <w:tmpl w:val="EC1E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026AE"/>
    <w:multiLevelType w:val="multilevel"/>
    <w:tmpl w:val="4E64A43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254F121D"/>
    <w:multiLevelType w:val="hybridMultilevel"/>
    <w:tmpl w:val="A76209DE"/>
    <w:lvl w:ilvl="0" w:tplc="F1363400">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E1D7D"/>
    <w:multiLevelType w:val="hybridMultilevel"/>
    <w:tmpl w:val="1EDE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60E0C"/>
    <w:multiLevelType w:val="multilevel"/>
    <w:tmpl w:val="4E64A43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0D"/>
    <w:rsid w:val="00035E49"/>
    <w:rsid w:val="0008687B"/>
    <w:rsid w:val="00092D54"/>
    <w:rsid w:val="00117FCC"/>
    <w:rsid w:val="00120CD7"/>
    <w:rsid w:val="00185DA3"/>
    <w:rsid w:val="001C0E48"/>
    <w:rsid w:val="001D6837"/>
    <w:rsid w:val="00230B69"/>
    <w:rsid w:val="00263309"/>
    <w:rsid w:val="002831CF"/>
    <w:rsid w:val="002B72A3"/>
    <w:rsid w:val="002D0734"/>
    <w:rsid w:val="002E5DC0"/>
    <w:rsid w:val="00303DEC"/>
    <w:rsid w:val="00322500"/>
    <w:rsid w:val="0038140B"/>
    <w:rsid w:val="003A4BB7"/>
    <w:rsid w:val="003A52CF"/>
    <w:rsid w:val="00441902"/>
    <w:rsid w:val="00502D08"/>
    <w:rsid w:val="005368AB"/>
    <w:rsid w:val="0057061B"/>
    <w:rsid w:val="00575B67"/>
    <w:rsid w:val="005D43C2"/>
    <w:rsid w:val="006B6082"/>
    <w:rsid w:val="0075734C"/>
    <w:rsid w:val="007A0040"/>
    <w:rsid w:val="007B016B"/>
    <w:rsid w:val="007D7F95"/>
    <w:rsid w:val="008815E3"/>
    <w:rsid w:val="008E52DE"/>
    <w:rsid w:val="008E57CE"/>
    <w:rsid w:val="009A52CD"/>
    <w:rsid w:val="00A131EF"/>
    <w:rsid w:val="00AA1D2D"/>
    <w:rsid w:val="00AB303D"/>
    <w:rsid w:val="00B057A4"/>
    <w:rsid w:val="00B42BA0"/>
    <w:rsid w:val="00B519B9"/>
    <w:rsid w:val="00B54E28"/>
    <w:rsid w:val="00B77CCC"/>
    <w:rsid w:val="00B835C4"/>
    <w:rsid w:val="00C0013A"/>
    <w:rsid w:val="00C0390D"/>
    <w:rsid w:val="00C453D5"/>
    <w:rsid w:val="00CD4A18"/>
    <w:rsid w:val="00D26D95"/>
    <w:rsid w:val="00D31442"/>
    <w:rsid w:val="00D46421"/>
    <w:rsid w:val="00D4647A"/>
    <w:rsid w:val="00D5095A"/>
    <w:rsid w:val="00DD32E0"/>
    <w:rsid w:val="00EA764D"/>
    <w:rsid w:val="00EC2211"/>
    <w:rsid w:val="00EF0E6F"/>
    <w:rsid w:val="00F33C03"/>
    <w:rsid w:val="00F65035"/>
    <w:rsid w:val="00F70121"/>
    <w:rsid w:val="00F849B5"/>
    <w:rsid w:val="00F96BA3"/>
    <w:rsid w:val="00FD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8C2AE8"/>
  <w15:chartTrackingRefBased/>
  <w15:docId w15:val="{F2C3443B-92BD-4687-AA30-FA4FF265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E6F"/>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C03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9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9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9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9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9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90D"/>
    <w:rPr>
      <w:rFonts w:eastAsiaTheme="majorEastAsia" w:cstheme="majorBidi"/>
      <w:color w:val="272727" w:themeColor="text1" w:themeTint="D8"/>
    </w:rPr>
  </w:style>
  <w:style w:type="paragraph" w:styleId="Title">
    <w:name w:val="Title"/>
    <w:basedOn w:val="Normal"/>
    <w:next w:val="Normal"/>
    <w:link w:val="TitleChar"/>
    <w:uiPriority w:val="10"/>
    <w:qFormat/>
    <w:rsid w:val="00C03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90D"/>
    <w:pPr>
      <w:spacing w:before="160"/>
      <w:jc w:val="center"/>
    </w:pPr>
    <w:rPr>
      <w:i/>
      <w:iCs/>
      <w:color w:val="404040" w:themeColor="text1" w:themeTint="BF"/>
    </w:rPr>
  </w:style>
  <w:style w:type="character" w:customStyle="1" w:styleId="QuoteChar">
    <w:name w:val="Quote Char"/>
    <w:basedOn w:val="DefaultParagraphFont"/>
    <w:link w:val="Quote"/>
    <w:uiPriority w:val="29"/>
    <w:rsid w:val="00C0390D"/>
    <w:rPr>
      <w:i/>
      <w:iCs/>
      <w:color w:val="404040" w:themeColor="text1" w:themeTint="BF"/>
    </w:rPr>
  </w:style>
  <w:style w:type="paragraph" w:styleId="ListParagraph">
    <w:name w:val="List Paragraph"/>
    <w:basedOn w:val="Normal"/>
    <w:uiPriority w:val="34"/>
    <w:qFormat/>
    <w:rsid w:val="00C0390D"/>
    <w:pPr>
      <w:ind w:left="720"/>
      <w:contextualSpacing/>
    </w:pPr>
  </w:style>
  <w:style w:type="character" w:styleId="IntenseEmphasis">
    <w:name w:val="Intense Emphasis"/>
    <w:basedOn w:val="DefaultParagraphFont"/>
    <w:uiPriority w:val="21"/>
    <w:qFormat/>
    <w:rsid w:val="00C0390D"/>
    <w:rPr>
      <w:i/>
      <w:iCs/>
      <w:color w:val="2F5496" w:themeColor="accent1" w:themeShade="BF"/>
    </w:rPr>
  </w:style>
  <w:style w:type="paragraph" w:styleId="IntenseQuote">
    <w:name w:val="Intense Quote"/>
    <w:basedOn w:val="Normal"/>
    <w:next w:val="Normal"/>
    <w:link w:val="IntenseQuoteChar"/>
    <w:uiPriority w:val="30"/>
    <w:qFormat/>
    <w:rsid w:val="00C0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90D"/>
    <w:rPr>
      <w:i/>
      <w:iCs/>
      <w:color w:val="2F5496" w:themeColor="accent1" w:themeShade="BF"/>
    </w:rPr>
  </w:style>
  <w:style w:type="character" w:styleId="IntenseReference">
    <w:name w:val="Intense Reference"/>
    <w:basedOn w:val="DefaultParagraphFont"/>
    <w:uiPriority w:val="32"/>
    <w:qFormat/>
    <w:rsid w:val="00C0390D"/>
    <w:rPr>
      <w:b/>
      <w:bCs/>
      <w:smallCaps/>
      <w:color w:val="2F5496" w:themeColor="accent1" w:themeShade="BF"/>
      <w:spacing w:val="5"/>
    </w:rPr>
  </w:style>
  <w:style w:type="paragraph" w:styleId="Header">
    <w:name w:val="header"/>
    <w:basedOn w:val="Normal"/>
    <w:link w:val="HeaderChar"/>
    <w:uiPriority w:val="99"/>
    <w:unhideWhenUsed/>
    <w:rsid w:val="00441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02"/>
    <w:rPr>
      <w:kern w:val="0"/>
      <w:sz w:val="22"/>
      <w:szCs w:val="22"/>
      <w:lang w:val="en-GB"/>
      <w14:ligatures w14:val="none"/>
    </w:rPr>
  </w:style>
  <w:style w:type="paragraph" w:styleId="Footer">
    <w:name w:val="footer"/>
    <w:basedOn w:val="Normal"/>
    <w:link w:val="FooterChar"/>
    <w:uiPriority w:val="99"/>
    <w:unhideWhenUsed/>
    <w:rsid w:val="00441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02"/>
    <w:rPr>
      <w:kern w:val="0"/>
      <w:sz w:val="22"/>
      <w:szCs w:val="22"/>
      <w:lang w:val="en-GB"/>
      <w14:ligatures w14:val="none"/>
    </w:rPr>
  </w:style>
  <w:style w:type="character" w:styleId="Hyperlink">
    <w:name w:val="Hyperlink"/>
    <w:basedOn w:val="DefaultParagraphFont"/>
    <w:uiPriority w:val="99"/>
    <w:unhideWhenUsed/>
    <w:rsid w:val="00441902"/>
    <w:rPr>
      <w:color w:val="0563C1" w:themeColor="hyperlink"/>
      <w:u w:val="single"/>
    </w:rPr>
  </w:style>
  <w:style w:type="table" w:styleId="TableGrid">
    <w:name w:val="Table Grid"/>
    <w:basedOn w:val="TableNormal"/>
    <w:uiPriority w:val="39"/>
    <w:rsid w:val="003A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45973">
      <w:bodyDiv w:val="1"/>
      <w:marLeft w:val="0"/>
      <w:marRight w:val="0"/>
      <w:marTop w:val="0"/>
      <w:marBottom w:val="0"/>
      <w:divBdr>
        <w:top w:val="none" w:sz="0" w:space="0" w:color="auto"/>
        <w:left w:val="none" w:sz="0" w:space="0" w:color="auto"/>
        <w:bottom w:val="none" w:sz="0" w:space="0" w:color="auto"/>
        <w:right w:val="none" w:sz="0" w:space="0" w:color="auto"/>
      </w:divBdr>
    </w:div>
    <w:div w:id="19977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2192568223121610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302/0301-620X.60B4.36174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CORR.0000000000001153" TargetMode="External"/><Relationship Id="rId5" Type="http://schemas.openxmlformats.org/officeDocument/2006/relationships/footnotes" Target="footnotes.xml"/><Relationship Id="rId15" Type="http://schemas.openxmlformats.org/officeDocument/2006/relationships/hyperlink" Target="https://doi.org/10.5812/mejrh.45262" TargetMode="External"/><Relationship Id="rId23" Type="http://schemas.openxmlformats.org/officeDocument/2006/relationships/theme" Target="theme/theme1.xml"/><Relationship Id="rId10" Type="http://schemas.openxmlformats.org/officeDocument/2006/relationships/hyperlink" Target="https://www.ncbi.nlm.nih.gov/pmc/articles/PMC284356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00256-008-0449-0" TargetMode="External"/><Relationship Id="rId14" Type="http://schemas.openxmlformats.org/officeDocument/2006/relationships/hyperlink" Target="https://doi.org/10.1038/s41598-020-63784-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31-4A53-8858-130069A8A4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31-4A53-8858-130069A8A4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c:v>
                </c:pt>
              </c:strCache>
            </c:strRef>
          </c:cat>
          <c:val>
            <c:numRef>
              <c:f>Sheet1!$B$2:$B$3</c:f>
              <c:numCache>
                <c:formatCode>0.00%</c:formatCode>
                <c:ptCount val="2"/>
                <c:pt idx="0">
                  <c:v>0.65400000000000003</c:v>
                </c:pt>
                <c:pt idx="1">
                  <c:v>0.34599999999999997</c:v>
                </c:pt>
              </c:numCache>
            </c:numRef>
          </c:val>
          <c:extLst>
            <c:ext xmlns:c16="http://schemas.microsoft.com/office/drawing/2014/chart" uri="{C3380CC4-5D6E-409C-BE32-E72D297353CC}">
              <c16:uniqueId val="{00000004-6D31-4A53-8858-130069A8A4A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19</Pages>
  <Words>4950</Words>
  <Characters>28219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ADMIN</dc:creator>
  <cp:keywords/>
  <dc:description/>
  <cp:lastModifiedBy>SDI 1084</cp:lastModifiedBy>
  <cp:revision>46</cp:revision>
  <dcterms:created xsi:type="dcterms:W3CDTF">2025-09-20T15:19:00Z</dcterms:created>
  <dcterms:modified xsi:type="dcterms:W3CDTF">2025-09-22T09:48:00Z</dcterms:modified>
</cp:coreProperties>
</file>