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E5EF0" w14:textId="77777777" w:rsidR="002B5064" w:rsidRPr="002B5064" w:rsidRDefault="002B5064" w:rsidP="002B5064">
      <w:pPr>
        <w:jc w:val="center"/>
        <w:rPr>
          <w:rFonts w:ascii="Times New Roman" w:hAnsi="Times New Roman" w:cs="Times New Roman"/>
          <w:b/>
          <w:bCs/>
          <w:i/>
          <w:iCs/>
          <w:sz w:val="40"/>
          <w:szCs w:val="40"/>
          <w:u w:val="single"/>
          <w:lang w:val="en-US"/>
        </w:rPr>
      </w:pPr>
      <w:r w:rsidRPr="002B5064">
        <w:rPr>
          <w:rFonts w:ascii="Times New Roman" w:hAnsi="Times New Roman" w:cs="Times New Roman"/>
          <w:b/>
          <w:bCs/>
          <w:i/>
          <w:iCs/>
          <w:sz w:val="40"/>
          <w:szCs w:val="40"/>
          <w:u w:val="single"/>
          <w:lang w:val="en-US"/>
        </w:rPr>
        <w:t>Original Research Article</w:t>
      </w:r>
    </w:p>
    <w:p w14:paraId="2AE89FF2" w14:textId="21FBD38A" w:rsidR="009748A2" w:rsidRDefault="00C47083" w:rsidP="009748A2">
      <w:pPr>
        <w:jc w:val="center"/>
        <w:rPr>
          <w:rFonts w:ascii="Times New Roman" w:hAnsi="Times New Roman" w:cs="Times New Roman"/>
          <w:sz w:val="40"/>
          <w:szCs w:val="40"/>
        </w:rPr>
      </w:pPr>
      <w:r w:rsidRPr="00083F5B">
        <w:rPr>
          <w:rFonts w:ascii="Times New Roman" w:hAnsi="Times New Roman" w:cs="Times New Roman"/>
          <w:sz w:val="40"/>
          <w:szCs w:val="40"/>
        </w:rPr>
        <w:t xml:space="preserve">Assessment of community-based ivermectin treatment coverage for onchocerciasis in the </w:t>
      </w:r>
      <w:proofErr w:type="spellStart"/>
      <w:r w:rsidRPr="00083F5B">
        <w:rPr>
          <w:rFonts w:ascii="Times New Roman" w:hAnsi="Times New Roman" w:cs="Times New Roman"/>
          <w:sz w:val="40"/>
          <w:szCs w:val="40"/>
        </w:rPr>
        <w:t>Batcham</w:t>
      </w:r>
      <w:proofErr w:type="spellEnd"/>
      <w:r w:rsidRPr="00083F5B">
        <w:rPr>
          <w:rFonts w:ascii="Times New Roman" w:hAnsi="Times New Roman" w:cs="Times New Roman"/>
          <w:sz w:val="40"/>
          <w:szCs w:val="40"/>
        </w:rPr>
        <w:t xml:space="preserve"> Health District September 2021</w:t>
      </w:r>
    </w:p>
    <w:p w14:paraId="6377B9E9" w14:textId="77777777" w:rsidR="009748A2" w:rsidRPr="00083F5B" w:rsidRDefault="009748A2" w:rsidP="00083F5B">
      <w:pPr>
        <w:jc w:val="center"/>
        <w:rPr>
          <w:rFonts w:ascii="Times New Roman" w:hAnsi="Times New Roman" w:cs="Times New Roman"/>
          <w:sz w:val="40"/>
          <w:szCs w:val="40"/>
        </w:rPr>
      </w:pPr>
      <w:bookmarkStart w:id="0" w:name="_GoBack"/>
      <w:bookmarkEnd w:id="0"/>
    </w:p>
    <w:p w14:paraId="23AE3CE5" w14:textId="30A36DD7" w:rsidR="00B7108B" w:rsidRDefault="001C606D" w:rsidP="00B7108B">
      <w:pPr>
        <w:rPr>
          <w:rFonts w:ascii="Times New Roman" w:hAnsi="Times New Roman" w:cs="Times New Roman"/>
          <w:sz w:val="36"/>
        </w:rPr>
      </w:pPr>
      <w:proofErr w:type="gramStart"/>
      <w:r>
        <w:rPr>
          <w:rFonts w:ascii="Times New Roman" w:hAnsi="Times New Roman" w:cs="Times New Roman"/>
          <w:sz w:val="36"/>
        </w:rPr>
        <w:t>Abstract :</w:t>
      </w:r>
      <w:proofErr w:type="gramEnd"/>
      <w:r>
        <w:rPr>
          <w:rFonts w:ascii="Times New Roman" w:hAnsi="Times New Roman" w:cs="Times New Roman"/>
          <w:sz w:val="36"/>
        </w:rPr>
        <w:t xml:space="preserve"> </w:t>
      </w:r>
    </w:p>
    <w:p w14:paraId="6E62E2CC" w14:textId="5BC15518" w:rsidR="00C80A95" w:rsidRDefault="006931AF" w:rsidP="00C80A95">
      <w:pPr>
        <w:spacing w:line="360" w:lineRule="auto"/>
        <w:jc w:val="both"/>
        <w:rPr>
          <w:rFonts w:ascii="Times New Roman" w:hAnsi="Times New Roman" w:cs="Times New Roman"/>
          <w:sz w:val="36"/>
        </w:rPr>
      </w:pPr>
      <w:r>
        <w:rPr>
          <w:rFonts w:ascii="Times New Roman" w:hAnsi="Times New Roman" w:cs="Times New Roman"/>
          <w:b/>
          <w:sz w:val="24"/>
          <w:szCs w:val="24"/>
        </w:rPr>
        <w:t>Background</w:t>
      </w:r>
      <w:r w:rsidR="00C75701">
        <w:rPr>
          <w:rFonts w:ascii="Times New Roman" w:eastAsia="Times New Roman" w:hAnsi="Times New Roman" w:cs="Times New Roman"/>
          <w:sz w:val="24"/>
          <w:szCs w:val="24"/>
          <w:lang w:eastAsia="fr-FR"/>
        </w:rPr>
        <w:t xml:space="preserve">: Onchocerciasis is a chronic parasitic disease caused by the nematode </w:t>
      </w:r>
      <w:proofErr w:type="spellStart"/>
      <w:r w:rsidR="002C5A8C" w:rsidRPr="002C5A8C">
        <w:rPr>
          <w:rFonts w:ascii="Times New Roman" w:eastAsia="Times New Roman" w:hAnsi="Times New Roman" w:cs="Times New Roman"/>
          <w:i/>
          <w:iCs/>
          <w:sz w:val="24"/>
          <w:szCs w:val="24"/>
          <w:lang w:eastAsia="fr-FR"/>
        </w:rPr>
        <w:t>Onchocerca</w:t>
      </w:r>
      <w:proofErr w:type="spellEnd"/>
      <w:r w:rsidR="002C5A8C" w:rsidRPr="002C5A8C">
        <w:rPr>
          <w:rFonts w:ascii="Times New Roman" w:eastAsia="Times New Roman" w:hAnsi="Times New Roman" w:cs="Times New Roman"/>
          <w:i/>
          <w:iCs/>
          <w:sz w:val="24"/>
          <w:szCs w:val="24"/>
          <w:lang w:eastAsia="fr-FR"/>
        </w:rPr>
        <w:t xml:space="preserve"> </w:t>
      </w:r>
      <w:proofErr w:type="gramStart"/>
      <w:r w:rsidR="002C5A8C" w:rsidRPr="002C5A8C">
        <w:rPr>
          <w:rFonts w:ascii="Times New Roman" w:eastAsia="Times New Roman" w:hAnsi="Times New Roman" w:cs="Times New Roman"/>
          <w:i/>
          <w:iCs/>
          <w:sz w:val="24"/>
          <w:szCs w:val="24"/>
          <w:lang w:eastAsia="fr-FR"/>
        </w:rPr>
        <w:t xml:space="preserve">volvulus </w:t>
      </w:r>
      <w:r w:rsidR="002C5A8C" w:rsidRPr="002C5A8C">
        <w:rPr>
          <w:rFonts w:ascii="Times New Roman" w:eastAsia="Times New Roman" w:hAnsi="Times New Roman" w:cs="Times New Roman"/>
          <w:sz w:val="24"/>
          <w:szCs w:val="24"/>
          <w:lang w:eastAsia="fr-FR"/>
        </w:rPr>
        <w:t>,</w:t>
      </w:r>
      <w:proofErr w:type="gramEnd"/>
      <w:r w:rsidR="002C5A8C" w:rsidRPr="002C5A8C">
        <w:rPr>
          <w:rFonts w:ascii="Times New Roman" w:eastAsia="Times New Roman" w:hAnsi="Times New Roman" w:cs="Times New Roman"/>
          <w:sz w:val="24"/>
          <w:szCs w:val="24"/>
          <w:lang w:eastAsia="fr-FR"/>
        </w:rPr>
        <w:t xml:space="preserve"> transmitted by the bite of black flies of the genus </w:t>
      </w:r>
      <w:proofErr w:type="spellStart"/>
      <w:r w:rsidR="002C5A8C" w:rsidRPr="002C5A8C">
        <w:rPr>
          <w:rFonts w:ascii="Times New Roman" w:eastAsia="Times New Roman" w:hAnsi="Times New Roman" w:cs="Times New Roman"/>
          <w:i/>
          <w:iCs/>
          <w:sz w:val="24"/>
          <w:szCs w:val="24"/>
          <w:lang w:eastAsia="fr-FR"/>
        </w:rPr>
        <w:t>Simulium</w:t>
      </w:r>
      <w:proofErr w:type="spellEnd"/>
      <w:r w:rsidR="002C5A8C" w:rsidRPr="002C5A8C">
        <w:rPr>
          <w:rFonts w:ascii="Times New Roman" w:eastAsia="Times New Roman" w:hAnsi="Times New Roman" w:cs="Times New Roman"/>
          <w:i/>
          <w:iCs/>
          <w:sz w:val="24"/>
          <w:szCs w:val="24"/>
          <w:lang w:eastAsia="fr-FR"/>
        </w:rPr>
        <w:t xml:space="preserve"> </w:t>
      </w:r>
      <w:r w:rsidR="002C5A8C" w:rsidRPr="002C5A8C">
        <w:rPr>
          <w:rFonts w:ascii="Times New Roman" w:eastAsia="Times New Roman" w:hAnsi="Times New Roman" w:cs="Times New Roman"/>
          <w:sz w:val="24"/>
          <w:szCs w:val="24"/>
          <w:lang w:eastAsia="fr-FR"/>
        </w:rPr>
        <w:t>that breed in rivers and streams. Mass treatment with ivermectin, combined or not with vector control, has significantly reduced prevalence and incidence in several endemic regions. While notable successes have been recorded in Latin America, sub-Saharan Africa, particularly Cameroon, remains a major focus requiring sustained efforts to achieve the elimination goal by 2030, in accordance with WHO recommendations.</w:t>
      </w:r>
    </w:p>
    <w:p w14:paraId="62A3A27F" w14:textId="13A5A523" w:rsidR="002C5A8C" w:rsidRPr="002C5A8C" w:rsidRDefault="006931AF" w:rsidP="00C80A95">
      <w:pPr>
        <w:spacing w:line="360" w:lineRule="auto"/>
        <w:jc w:val="both"/>
        <w:rPr>
          <w:rFonts w:ascii="Times New Roman" w:hAnsi="Times New Roman" w:cs="Times New Roman"/>
          <w:sz w:val="36"/>
        </w:rPr>
      </w:pPr>
      <w:r>
        <w:rPr>
          <w:rFonts w:ascii="Times New Roman" w:eastAsia="Times New Roman" w:hAnsi="Times New Roman" w:cs="Times New Roman"/>
          <w:b/>
          <w:bCs/>
          <w:sz w:val="24"/>
          <w:szCs w:val="24"/>
          <w:lang w:eastAsia="fr-FR"/>
        </w:rPr>
        <w:t>Method</w:t>
      </w:r>
      <w:r w:rsidR="002C5A8C" w:rsidRPr="002C5A8C">
        <w:rPr>
          <w:rFonts w:ascii="Times New Roman" w:eastAsia="Times New Roman" w:hAnsi="Times New Roman" w:cs="Times New Roman"/>
          <w:sz w:val="24"/>
          <w:szCs w:val="24"/>
          <w:lang w:eastAsia="fr-FR"/>
        </w:rPr>
        <w:t xml:space="preserve">: This was an independent descriptive cross-sectional survey of ivermectin treatment coverage in </w:t>
      </w:r>
      <w:proofErr w:type="spellStart"/>
      <w:r w:rsidR="002C5A8C" w:rsidRPr="002C5A8C">
        <w:rPr>
          <w:rFonts w:ascii="Times New Roman" w:eastAsia="Times New Roman" w:hAnsi="Times New Roman" w:cs="Times New Roman"/>
          <w:sz w:val="24"/>
          <w:szCs w:val="24"/>
          <w:lang w:eastAsia="fr-FR"/>
        </w:rPr>
        <w:t>Batcham</w:t>
      </w:r>
      <w:proofErr w:type="spellEnd"/>
      <w:r w:rsidR="002C5A8C" w:rsidRPr="002C5A8C">
        <w:rPr>
          <w:rFonts w:ascii="Times New Roman" w:eastAsia="Times New Roman" w:hAnsi="Times New Roman" w:cs="Times New Roman"/>
          <w:sz w:val="24"/>
          <w:szCs w:val="24"/>
          <w:lang w:eastAsia="fr-FR"/>
        </w:rPr>
        <w:t xml:space="preserve"> Health District. Stratified random sampling was used to select clusters and then households, including individuals aged 5 years and older. Data were collected by trained interviewers using a pre-tested questionnaire via the Kobo app. Collect.</w:t>
      </w:r>
    </w:p>
    <w:p w14:paraId="3A9DBBAD" w14:textId="77777777" w:rsidR="002C5A8C" w:rsidRPr="002C5A8C" w:rsidRDefault="00500CD7" w:rsidP="007B30A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500CD7">
        <w:rPr>
          <w:rFonts w:ascii="Times New Roman" w:eastAsia="Times New Roman" w:hAnsi="Times New Roman" w:cs="Times New Roman"/>
          <w:b/>
          <w:bCs/>
          <w:sz w:val="24"/>
          <w:szCs w:val="24"/>
          <w:lang w:eastAsia="fr-FR"/>
        </w:rPr>
        <w:t xml:space="preserve">Results: </w:t>
      </w:r>
      <w:r w:rsidRPr="00500CD7">
        <w:rPr>
          <w:rFonts w:ascii="Times New Roman" w:eastAsia="Times New Roman" w:hAnsi="Times New Roman" w:cs="Times New Roman"/>
          <w:sz w:val="24"/>
          <w:szCs w:val="24"/>
          <w:lang w:eastAsia="fr-FR"/>
        </w:rPr>
        <w:t>The study included 802 participants, mostly aged 16–50 years (62.5%) and with secondary education (54.9%). The actual treatment coverage for CDTI/ CDTi in 2021 was 61.7% (95% CI: 58.3–65.0%), well below the reported administrative coverage of 90% (χ² = 21.49, p &lt; 0.001). Factors associated with non-adherence included lack of information (OR = 0.46; 95% CI: 0.30–0.70; p &lt; 0.001), lack of census participation (OR = 0.11; 95% CI: 0.07–0.16; p &lt; 0.001), and female gender (with males being more likely to adhere: OR = 0.45; 95% CI: 0.32–0.65; p &lt; 0.001). The most effective communication channels were the census (85.1%), churches (82.9%), and social groups (75.9%), while television (77.6%), community health workers (74.4%), SMS (85.7%), and the internet (100%, very small sample) showed mixed results.</w:t>
      </w:r>
    </w:p>
    <w:p w14:paraId="5035B802" w14:textId="2B3B3C5D" w:rsidR="002C5A8C" w:rsidRPr="002C5A8C" w:rsidRDefault="006931AF" w:rsidP="00C80A95">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Conclusion</w:t>
      </w:r>
      <w:r w:rsidR="002C5A8C" w:rsidRPr="002C5A8C">
        <w:rPr>
          <w:rFonts w:ascii="Times New Roman" w:eastAsia="Times New Roman" w:hAnsi="Times New Roman" w:cs="Times New Roman"/>
          <w:sz w:val="24"/>
          <w:szCs w:val="24"/>
          <w:lang w:eastAsia="fr-FR"/>
        </w:rPr>
        <w:t xml:space="preserve">: This independent investigation highlights a substantial gap between actual treatment coverage and reported data, suggesting an urgent need to strengthen community </w:t>
      </w:r>
      <w:r w:rsidR="002C5A8C" w:rsidRPr="002C5A8C">
        <w:rPr>
          <w:rFonts w:ascii="Times New Roman" w:eastAsia="Times New Roman" w:hAnsi="Times New Roman" w:cs="Times New Roman"/>
          <w:sz w:val="24"/>
          <w:szCs w:val="24"/>
          <w:lang w:eastAsia="fr-FR"/>
        </w:rPr>
        <w:lastRenderedPageBreak/>
        <w:t>mobilization, the effectiveness of awareness campaigns and independent monitoring to ensure that elimination targets are met by 2030.</w:t>
      </w:r>
    </w:p>
    <w:p w14:paraId="4378FE53" w14:textId="527C9EAD" w:rsidR="002C5A8C" w:rsidRPr="001A77FA" w:rsidRDefault="001A77FA" w:rsidP="001A77FA">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Keywords</w:t>
      </w:r>
      <w:r w:rsidR="002C5A8C" w:rsidRPr="002C5A8C">
        <w:rPr>
          <w:rFonts w:ascii="Times New Roman" w:eastAsia="Times New Roman" w:hAnsi="Times New Roman" w:cs="Times New Roman"/>
          <w:sz w:val="24"/>
          <w:szCs w:val="24"/>
          <w:lang w:eastAsia="fr-FR"/>
        </w:rPr>
        <w:t>: onchocerciasis, ivermectin, elimination, therapeutic coverage, health district, Cameroon</w:t>
      </w:r>
    </w:p>
    <w:p w14:paraId="13C187D4" w14:textId="74FA9456" w:rsidR="00253A37" w:rsidRPr="00C47083" w:rsidRDefault="00C47083" w:rsidP="00953F28">
      <w:pPr>
        <w:rPr>
          <w:rFonts w:ascii="Times New Roman" w:hAnsi="Times New Roman" w:cs="Times New Roman"/>
          <w:sz w:val="36"/>
        </w:rPr>
      </w:pPr>
      <w:r w:rsidRPr="00C47083">
        <w:rPr>
          <w:rFonts w:ascii="Times New Roman" w:hAnsi="Times New Roman" w:cs="Times New Roman"/>
          <w:sz w:val="36"/>
        </w:rPr>
        <w:t>Introductio</w:t>
      </w:r>
      <w:r w:rsidR="006931AF">
        <w:rPr>
          <w:rFonts w:ascii="Times New Roman" w:hAnsi="Times New Roman" w:cs="Times New Roman"/>
          <w:sz w:val="36"/>
        </w:rPr>
        <w:t>n</w:t>
      </w:r>
    </w:p>
    <w:p w14:paraId="0284830C" w14:textId="6444621E" w:rsidR="007C23E3" w:rsidRDefault="007C23E3" w:rsidP="003967AA">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13D7A">
        <w:rPr>
          <w:rFonts w:ascii="Times New Roman" w:eastAsia="Times New Roman" w:hAnsi="Times New Roman" w:cs="Times New Roman"/>
          <w:sz w:val="24"/>
          <w:szCs w:val="24"/>
          <w:lang w:eastAsia="fr-FR"/>
        </w:rPr>
        <w:t xml:space="preserve">Onchocerciasis, or "river blindness," is a filariasis caused by </w:t>
      </w:r>
      <w:proofErr w:type="spellStart"/>
      <w:r w:rsidRPr="00B13D7A">
        <w:rPr>
          <w:rFonts w:ascii="Times New Roman" w:eastAsia="Times New Roman" w:hAnsi="Times New Roman" w:cs="Times New Roman"/>
          <w:i/>
          <w:iCs/>
          <w:sz w:val="24"/>
          <w:szCs w:val="24"/>
          <w:lang w:eastAsia="fr-FR"/>
        </w:rPr>
        <w:t>Onchocerca</w:t>
      </w:r>
      <w:proofErr w:type="spellEnd"/>
      <w:r w:rsidRPr="00B13D7A">
        <w:rPr>
          <w:rFonts w:ascii="Times New Roman" w:eastAsia="Times New Roman" w:hAnsi="Times New Roman" w:cs="Times New Roman"/>
          <w:i/>
          <w:iCs/>
          <w:sz w:val="24"/>
          <w:szCs w:val="24"/>
          <w:lang w:eastAsia="fr-FR"/>
        </w:rPr>
        <w:t xml:space="preserve"> volvulus </w:t>
      </w:r>
      <w:r w:rsidRPr="00B13D7A">
        <w:rPr>
          <w:rFonts w:ascii="Times New Roman" w:eastAsia="Times New Roman" w:hAnsi="Times New Roman" w:cs="Times New Roman"/>
          <w:sz w:val="24"/>
          <w:szCs w:val="24"/>
          <w:lang w:eastAsia="fr-FR"/>
        </w:rPr>
        <w:t xml:space="preserve">transmitted by black flies </w:t>
      </w:r>
      <w:proofErr w:type="spellStart"/>
      <w:r w:rsidRPr="00B13D7A">
        <w:rPr>
          <w:rFonts w:ascii="Times New Roman" w:eastAsia="Times New Roman" w:hAnsi="Times New Roman" w:cs="Times New Roman"/>
          <w:i/>
          <w:iCs/>
          <w:sz w:val="24"/>
          <w:szCs w:val="24"/>
          <w:lang w:eastAsia="fr-FR"/>
        </w:rPr>
        <w:t>Simulium</w:t>
      </w:r>
      <w:proofErr w:type="spellEnd"/>
      <w:r w:rsidRPr="00B13D7A">
        <w:rPr>
          <w:rFonts w:ascii="Times New Roman" w:eastAsia="Times New Roman" w:hAnsi="Times New Roman" w:cs="Times New Roman"/>
          <w:i/>
          <w:iCs/>
          <w:sz w:val="24"/>
          <w:szCs w:val="24"/>
          <w:lang w:eastAsia="fr-FR"/>
        </w:rPr>
        <w:t xml:space="preserve"> </w:t>
      </w:r>
      <w:r w:rsidR="000623F9">
        <w:rPr>
          <w:rFonts w:ascii="Times New Roman" w:eastAsia="Times New Roman" w:hAnsi="Times New Roman" w:cs="Times New Roman"/>
          <w:sz w:val="24"/>
          <w:szCs w:val="24"/>
          <w:lang w:eastAsia="fr-FR"/>
        </w:rPr>
        <w:t>proliferating along rivers</w:t>
      </w:r>
      <w:r w:rsidRPr="00B13D7A">
        <w:rPr>
          <w:rFonts w:ascii="Times New Roman" w:eastAsia="Times New Roman" w:hAnsi="Times New Roman" w:cs="Times New Roman"/>
          <w:sz w:val="24"/>
          <w:szCs w:val="24"/>
          <w:lang w:eastAsia="fr-FR"/>
        </w:rPr>
        <w:t xml:space="preserve"> </w:t>
      </w:r>
      <w:r w:rsidR="00455F35">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{"citationID":"vnuVH0vZ","properties":{"formattedCitation":"(1)","plainCitation":"(1)","noteIndex":0},"citationItems":[{"id":"VnN5Np0i/Uo0wU7yo","uris":["http://zotero.org/users/14492610/items/WLKMC5LI"],"itemData":{"id":636,"type":"webpage","abstract":"At least 249.5 million people in 28 countries require interventions to eliminate onchocerciasis. This total does not include people living in areas in which transmission status is unknown. By 2024, MDA had been stopped in 221 implementation units \n(IU) that had been previously affected by active transmission, with 18.8 million people requiring preventive chemotherapy (PC) for onchocerciasis, which have either been completed or are under post-treatment surveillance (PTS). Most are in Africa.","language":"en","title":"Elimination of human onchocerciasis: progress report, 2023–2024","title-short":"Elimination of human onchocerciasis","URL":"https://www.who.int/publications/i/item/who-wer-9941-577-590","accessed":{"date-parts":[["2025",8,12]]}}}],"schema":"https://github.com/citation-style-language/schema/raw/master/csl-citation.json"} </w:instrText>
      </w:r>
      <w:r w:rsidR="00455F35">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w:t>
      </w:r>
      <w:r w:rsidR="00455F35">
        <w:rPr>
          <w:rFonts w:ascii="Times New Roman" w:eastAsia="Times New Roman" w:hAnsi="Times New Roman" w:cs="Times New Roman"/>
          <w:sz w:val="24"/>
          <w:szCs w:val="24"/>
          <w:lang w:eastAsia="fr-FR"/>
        </w:rPr>
        <w:fldChar w:fldCharType="end"/>
      </w:r>
      <w:r w:rsidRPr="00B13D7A">
        <w:rPr>
          <w:rFonts w:ascii="Times New Roman" w:eastAsia="Times New Roman" w:hAnsi="Times New Roman" w:cs="Times New Roman"/>
          <w:sz w:val="24"/>
          <w:szCs w:val="24"/>
          <w:lang w:eastAsia="fr-FR"/>
        </w:rPr>
        <w:t xml:space="preserve">Endemic in several sub-Saharan African countries, including Cameroon, it causes pruritus, skin lesions and eye damage that can progress to blindness, with a major socioeconomic impact. </w:t>
      </w:r>
      <w:r w:rsidR="00646A5C">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{"citationID":"Ee6mpwbR","properties":{"formattedCitation":"(2)","plainCitation":"(2)","noteIndex":0},"citationItems":[{"id":"VnN5Np0i/grLAR3Lq","uris":["http://zotero.org/users/14492610/items/MC9TFLTC"],"itemData":{"id":638,"type":"article-journal","abstract":"11 p","container-title":"Weekly Epidemiological Record = Relevé épidémiologique hebdomadaire","issue":"45","language":"en","note":"Accepted: 2019-11-08T07:59:28Z\npublisher: World Health Organization = Organisation mondiale de la Santé","page":"513-523","source":"iris.who.int","title":"Elimination of human onchocerciasis: progress report, 2018–2019 – Élimination de l’onchocercose humaine: rapport de situation, 2018-2019","title-short":"Elimination of human onchocerciasis","volume":"94","author":[{"family":"Santé","given":"World Health Organization = Organisation","dropping-particle":"mondiale de la"}],"issued":{"date-parts":[["2019",11,8]]}}}],"schema":"https://github.com/citation-style-language/schema/raw/master/csl-citation.json"} </w:instrText>
      </w:r>
      <w:r w:rsidR="00646A5C">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(2)</w:t>
      </w:r>
      <w:r w:rsidR="00646A5C">
        <w:rPr>
          <w:rFonts w:ascii="Times New Roman" w:eastAsia="Times New Roman" w:hAnsi="Times New Roman" w:cs="Times New Roman"/>
          <w:sz w:val="24"/>
          <w:szCs w:val="24"/>
          <w:lang w:eastAsia="fr-FR"/>
        </w:rPr>
        <w:fldChar w:fldCharType="end"/>
      </w:r>
      <w:r w:rsidRPr="00B13D7A">
        <w:rPr>
          <w:rFonts w:ascii="Times New Roman" w:eastAsia="Times New Roman" w:hAnsi="Times New Roman" w:cs="Times New Roman"/>
          <w:sz w:val="24"/>
          <w:szCs w:val="24"/>
          <w:lang w:eastAsia="fr-FR"/>
        </w:rPr>
        <w:t>In 2019, the WHO estimated that 217.5 million people</w:t>
      </w:r>
      <w:r w:rsidR="000623F9">
        <w:rPr>
          <w:rFonts w:ascii="Times New Roman" w:eastAsia="Times New Roman" w:hAnsi="Times New Roman" w:cs="Times New Roman"/>
          <w:sz w:val="24"/>
          <w:szCs w:val="24"/>
          <w:lang w:eastAsia="fr-FR"/>
        </w:rPr>
        <w:t xml:space="preserve"> around the world</w:t>
      </w:r>
      <w:r w:rsidRPr="00B13D7A">
        <w:rPr>
          <w:rFonts w:ascii="Times New Roman" w:eastAsia="Times New Roman" w:hAnsi="Times New Roman" w:cs="Times New Roman"/>
          <w:sz w:val="24"/>
          <w:szCs w:val="24"/>
          <w:lang w:eastAsia="fr-FR"/>
        </w:rPr>
        <w:t xml:space="preserve"> lived in areas requiring mass preventive treatment with ivermectin, with transmission persisting in some foci despit</w:t>
      </w:r>
      <w:r w:rsidR="000623F9">
        <w:rPr>
          <w:rFonts w:ascii="Times New Roman" w:eastAsia="Times New Roman" w:hAnsi="Times New Roman" w:cs="Times New Roman"/>
          <w:sz w:val="24"/>
          <w:szCs w:val="24"/>
          <w:lang w:eastAsia="fr-FR"/>
        </w:rPr>
        <w:t>e progress in control campaigns</w:t>
      </w:r>
      <w:r w:rsidRPr="00B13D7A">
        <w:rPr>
          <w:rFonts w:ascii="Times New Roman" w:eastAsia="Times New Roman" w:hAnsi="Times New Roman" w:cs="Times New Roman"/>
          <w:sz w:val="24"/>
          <w:szCs w:val="24"/>
          <w:lang w:eastAsia="fr-FR"/>
        </w:rPr>
        <w:t xml:space="preserve"> </w:t>
      </w:r>
      <w:r w:rsidR="002B7BA3">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{"citationID":"vHzVqjVb","properties":{"formattedCitation":"(3)","plainCitation":"(3)","noteIndex":0},"citationItems":[{"id":"VnN5Np0i/yEIMKInZ","uris":["http://zotero.org/users/14492610/items/GQ25C8UR"],"itemData":{"id":642,"type":"article-journal","abstract":"INTRODUCTION: Significant progress has been made in onchocerciasis control through mass distribution of ivermectin among affected human populations, fostering optimism for disease elimination. However, despite these considerable advances, the elimination of the disease remains a major challenge in many African foci. This paper describes the current situation of onchocerciasis in Adamaoua Region of Cameroon after 20 consecutive years of ivermectin mass treatment.\nMATERIALS AND METHODS: The study was conducted between August and September 2020 in Adamaoua Region of Cameroon. Onchocerciasis endemicity was assessed through parasitological and clinical diagnosis. Microfilarodermia and nodule prevalences assessed in 2020 were compared to those of 1998-2002 and 2010-2013 surveys using the Chi-square (X 2) statistic test.\nRESULTS: A total of 4,814 participants aged between 5 and 108 years, including 50.4% men and 49.6% women were enrolled in the study. The nodule and microfilaria prevalences reported from this sub-sample were 0.87 [0.64 - 1.19] % and 0.77 [0.54 - 1.07] %, respectively. At the community level, the mf prevalences ranged from 0.5% to 4.5%. Globally, the community microfilarial loads (CMFL) were &lt; 0.5 mf/ss. The survey therapeutic coverage rates were between 40% and 78%, lower than those reported (79% - 83%) by the NOCP. The coverage rates in ivermectin treatment in all age groups of the population were below 65%, except for the 40-50 age group where it was ≈70%.\nCONCLUSION: The results of this study show a drastic decline in onchocerciasis prevalences after 20 consecutive years of CDTI, indicating a significant progress towards stopping O. volvulus transmission in Adamaoua Region. However, additional efforts are needed to increase the population coverage in ivermectin treatment in order to stop the parasite transmission in this region.","container-title":"PLoS neglected tropical diseases","DOI":"10.1371/journal.pntd.0011511","ISSN":"1935-2735","issue":"3","journalAbbreviation":"PLoS Negl Trop Dis","language":"eng","note":"PMID: 40036251\nPMCID: PMC11925462","page":"e0011511","source":"PubMed","title":"Status of human onchocerciasis transmission in the Adamaoua region of Cameroon after 20 years of ivermectin mass distribution","volume":"19","author":[{"family":"Bienvenu Nwane","given":"Philippe"},{"family":"Nana-Djeunga","given":"Hugues Clotaire"},{"family":"Toche","given":"Narcisse Nzune"},{"family":"Domché","given":"André"},{"family":"Bertrand","given":"Fesuh Nono"},{"family":"Niamsi","given":"Yannick Emalio"},{"family":"Njitchuang","given":"Guy Roger"},{"family":"Tsasse","given":"Martine Augusta Flore"},{"family":"Bopda","given":"Jean"},{"family":"Mbickmen","given":"Steve"},{"family":"Balog","given":"Aubin"},{"family":"Nkwelle","given":"Alexis"},{"family":"Nkwelle","given":"Patrice"},{"family":"Ebene","given":"Clarisse"},{"family":"Obama","given":"Honoré"},{"family":"Messi","given":"Paul"},{"family":"Biholong","given":"Benjamin"},{"family":"Billong","given":"Serge"},{"family":"Ayissi","given":"Georges Nko'o"},{"family":"Kamgno","given":"Joseph"}],"issued":{"date-parts":[["2025",3]]}}}],"schema":"https://github.com/citation-style-language/schema/raw/master/csl-citation.json"} </w:instrText>
      </w:r>
      <w:r w:rsidR="002B7BA3">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(3)</w:t>
      </w:r>
      <w:r w:rsidR="002B7BA3">
        <w:rPr>
          <w:rFonts w:ascii="Times New Roman" w:eastAsia="Times New Roman" w:hAnsi="Times New Roman" w:cs="Times New Roman"/>
          <w:sz w:val="24"/>
          <w:szCs w:val="24"/>
          <w:lang w:eastAsia="fr-FR"/>
        </w:rPr>
        <w:fldChar w:fldCharType="end"/>
      </w:r>
      <w:r w:rsidR="000623F9">
        <w:rPr>
          <w:rFonts w:ascii="Times New Roman" w:eastAsia="Times New Roman" w:hAnsi="Times New Roman" w:cs="Times New Roman"/>
          <w:sz w:val="24"/>
          <w:szCs w:val="24"/>
          <w:lang w:eastAsia="fr-FR"/>
        </w:rPr>
        <w:t xml:space="preserve">. </w:t>
      </w:r>
      <w:r w:rsidR="000623F9" w:rsidRPr="000623F9">
        <w:rPr>
          <w:rFonts w:ascii="Times New Roman" w:eastAsia="Times New Roman" w:hAnsi="Times New Roman" w:cs="Times New Roman"/>
          <w:sz w:val="24"/>
          <w:szCs w:val="24"/>
          <w:lang w:eastAsia="fr-FR"/>
        </w:rPr>
        <w:t>It is estimated that 99% of the 21 million individuals currently infected with O. volvulus live in Africa</w:t>
      </w:r>
      <w:r w:rsidR="000623F9">
        <w:rPr>
          <w:rFonts w:ascii="Times New Roman" w:eastAsia="Times New Roman" w:hAnsi="Times New Roman" w:cs="Times New Roman"/>
          <w:sz w:val="24"/>
          <w:szCs w:val="24"/>
          <w:lang w:eastAsia="fr-FR"/>
        </w:rPr>
        <w:t xml:space="preserve"> with majority </w:t>
      </w:r>
      <w:r w:rsidR="000623F9" w:rsidRPr="000623F9">
        <w:rPr>
          <w:rFonts w:ascii="Times New Roman" w:eastAsia="Times New Roman" w:hAnsi="Times New Roman" w:cs="Times New Roman"/>
          <w:sz w:val="24"/>
          <w:szCs w:val="24"/>
          <w:lang w:eastAsia="fr-FR"/>
        </w:rPr>
        <w:t>in many part</w:t>
      </w:r>
      <w:r w:rsidR="000623F9">
        <w:rPr>
          <w:rFonts w:ascii="Times New Roman" w:eastAsia="Times New Roman" w:hAnsi="Times New Roman" w:cs="Times New Roman"/>
          <w:sz w:val="24"/>
          <w:szCs w:val="24"/>
          <w:lang w:eastAsia="fr-FR"/>
        </w:rPr>
        <w:t>s of South Sudan</w:t>
      </w:r>
      <w:r w:rsidR="000623F9" w:rsidRPr="000623F9">
        <w:rPr>
          <w:rFonts w:ascii="Times New Roman" w:eastAsia="Times New Roman" w:hAnsi="Times New Roman" w:cs="Times New Roman"/>
          <w:sz w:val="24"/>
          <w:szCs w:val="24"/>
          <w:lang w:eastAsia="fr-FR"/>
        </w:rPr>
        <w:t>, the Democratic Republic of</w:t>
      </w:r>
      <w:r w:rsidR="000623F9">
        <w:rPr>
          <w:rFonts w:ascii="Times New Roman" w:eastAsia="Times New Roman" w:hAnsi="Times New Roman" w:cs="Times New Roman"/>
          <w:sz w:val="24"/>
          <w:szCs w:val="24"/>
          <w:lang w:eastAsia="fr-FR"/>
        </w:rPr>
        <w:t xml:space="preserve"> the Congo</w:t>
      </w:r>
      <w:r w:rsidR="000623F9" w:rsidRPr="000623F9">
        <w:rPr>
          <w:rFonts w:ascii="Times New Roman" w:eastAsia="Times New Roman" w:hAnsi="Times New Roman" w:cs="Times New Roman"/>
          <w:sz w:val="24"/>
          <w:szCs w:val="24"/>
          <w:lang w:eastAsia="fr-FR"/>
        </w:rPr>
        <w:t>, some areas in Central Afri</w:t>
      </w:r>
      <w:r w:rsidR="00145E21">
        <w:rPr>
          <w:rFonts w:ascii="Times New Roman" w:eastAsia="Times New Roman" w:hAnsi="Times New Roman" w:cs="Times New Roman"/>
          <w:sz w:val="24"/>
          <w:szCs w:val="24"/>
          <w:lang w:eastAsia="fr-FR"/>
        </w:rPr>
        <w:t xml:space="preserve">can </w:t>
      </w:r>
      <w:r w:rsidR="000623F9" w:rsidRPr="000623F9">
        <w:rPr>
          <w:rFonts w:ascii="Times New Roman" w:eastAsia="Times New Roman" w:hAnsi="Times New Roman" w:cs="Times New Roman"/>
          <w:sz w:val="24"/>
          <w:szCs w:val="24"/>
          <w:lang w:eastAsia="fr-FR"/>
        </w:rPr>
        <w:t>Republic</w:t>
      </w:r>
      <w:r w:rsidR="00145E21">
        <w:rPr>
          <w:rFonts w:ascii="Times New Roman" w:eastAsia="Times New Roman" w:hAnsi="Times New Roman" w:cs="Times New Roman"/>
          <w:sz w:val="24"/>
          <w:szCs w:val="24"/>
          <w:lang w:eastAsia="fr-FR"/>
        </w:rPr>
        <w:t xml:space="preserve"> and Cameroon </w:t>
      </w:r>
      <w:r w:rsidR="00145E21">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{"citationID":"fKg8F9RW","properties":{"formattedCitation":"(4,5)","plainCitation":"(4,5)","noteIndex":0},"citationItems":[{"id":288,"uris":["http://zotero.org/users/local/RDYzIoy0/items/56QMEQPC"],"itemData":{"id":288,"type":"article-journal","abstract":"Efforts are being directed toward the elimination of onchocerciasis transmission in endemic areas with community-directed treatment with ivermectin (CDTI) in Africa, which greatly reduces onchocerciasisassociated disease. However, onchocerciasis remains a major public health problem in areas of South Sudan, the Democratic Republic of the Congo, Cameroon, and the Central African Republic. Strengthening onchocerciasis elimination efforts in areas with a high prevalence of disease burden is crucial to decrease transmission, morbidity, and mortality. We argue that clinical trials are needed to investigate the safety and eﬃcacy of ivermectin treatment of Onchocerca volvulus-infected pregnant women and children younger than 5 years. Crucially, 6-monthly administration of ivermectin in school-age children at risk of onchocerciasis-associated epilepsy could be achieved by supplementing annual CDTI with an extra round of ivermectin treatment during Child Health Days in schools and/or other distribution sites every year. These strategies would help achieve the elimination of onchocerciasis and its associated disease burden.","container-title":"International Journal of Infectious Diseases","DOI":"10.1016/j.ijid.2022.01.042","ISSN":"12019712","journalAbbreviation":"International Journal of Infectious Diseases","language":"en","page":"302-305","source":"DOI.org (Crossref)","title":"Reducing onchocerciasis-associated morbidity in onchocerciasis-endemic foci with high ongoing transmission: a focus on the children.","title-short":"Reducing onchocerciasis-associated morbidity in onchocerciasis-endemic foci with high ongoing transmission","volume":"116","author":[{"family":"Colebunders","given":"Robert"},{"family":"Kaiser","given":"Christoph"},{"family":"Basáñez","given":"Maria-Gloria"},{"family":"Olliaro","given":"Piero"},{"family":"Lakwo","given":"Tom"},{"family":"Siewe Fodjo","given":"Joseph Nelson"}],"issued":{"date-parts":[["2022",3]]}}},{"id":286,"uris":["http://zotero.org/users/local/RDYzIoy0/items/AZN2GNM8"],"itemData":{"id":286,"type":"article-journal","abstract":"Background: Despite decades of community‑directed treatment with ivermectin (CDTI), onchocerciasis transmission persists in Cameroon and has been associated with increased risk for epilepsy in endemic communities. We investi‑gated the onchocerciasis situation in the Ntui Health District (a known onchocerciasis focus in Cameroon where the Sanaga River constitutes the main source of black fly vectors) using parasitological, entomological and serological parameters.\nMethods: In July 2021, community‑based surveys were conducted in four villages (Essougli, Nachtigal, Ndjame and Ndowe). Onchocerciasis was diagnosed via microscopic examination of skin snips. Using rapid diagnostic tests, we screened children aged 3–6 years for Ov16 antibodies as a proxy for recent onchocerciasis transmission. Monthly black fly biting rates were obtained from the two riverside villages (Nachtigal and Essougli) for 12 consecutive months (July 2021 to June 2022) using the human landing catch technique. Some black flies were dissected each month to check for infection.\nResults: Overall, 460 participants were recruited; mean age was 32.1 (range: 3–85) years with 248 (53.9%) being males. Among skin snipped participants (n = 425), onchocerciasis prevalence was 14.6%. Participants with epilepsy (n = 25) were more often skin snip positive (45.8% vs 12.7%; P &lt; 0.001) and had higher microfilarial loads (9.2 ± 22.0 vs 0.7 ± 3.5 microfilariae/skin snip; P &lt; 0.001) compared to their peers without epilepsy. Eight (6.5%) of the 123 tested children were Ov16 seropositive. The breeding sites we investigated along the Sanaga River during the current study harbored fewer vectors (annual biting rates reaching 530,322 vs 606,370 in the Mbam River) and exhibited lower black fly infection rates (annual transmission potentials reaching 1479 vs 4488 in the Mbam River) when compared to recent entomological reports in Cameroon.\nConclusion: Despite substantial biting rates, black fly infection rates (by microscopy) in the Ntui Health District were rather low resulting in overall low transmission potentials in study villages. Thanks to CDTI, O. volvulus infection in both humans and insects is on the decrease. However, there is evidence that O. volvulus is still endemic in these communi‑ties. Reducing the vector population will further accelerate onchocerciasis elimination prospects.","container-title":"Parasites &amp; Vectors","DOI":"10.1186/s13071-022-05585-0","ISSN":"1756-3305","issue":"1","journalAbbreviation":"Parasites Vectors","language":"en","page":"444","source":"DOI.org (Crossref)","title":"Onchocerciasis in the Ntui Health District of Cameroon: epidemiological, entomological and parasitological findings in relation to elimination prospects","title-short":"Onchocerciasis in the Ntui Health District of Cameroon","volume":"15","author":[{"family":"Siewe Fodjo","given":"Joseph Nelson"},{"family":"Ngarka","given":"Leonard"},{"family":"Njamnshi","given":"Wepnyu Yembe"},{"family":"Enyong","given":"Peter Ayuk"},{"family":"Zoung-Kanyi Bissek","given":"Anne-Cécile"},{"family":"Njamnshi","given":"Alfred Kongnyu"}],"issued":{"date-parts":[["2022",11,28]]}}}],"schema":"https://github.com/citation-style-language/schema/raw/master/csl-citation.json"} </w:instrText>
      </w:r>
      <w:r w:rsidR="00145E21">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(4,5)</w:t>
      </w:r>
      <w:r w:rsidR="00145E21">
        <w:rPr>
          <w:rFonts w:ascii="Times New Roman" w:eastAsia="Times New Roman" w:hAnsi="Times New Roman" w:cs="Times New Roman"/>
          <w:sz w:val="24"/>
          <w:szCs w:val="24"/>
          <w:lang w:eastAsia="fr-FR"/>
        </w:rPr>
        <w:fldChar w:fldCharType="end"/>
      </w:r>
    </w:p>
    <w:p w14:paraId="30A40B39" w14:textId="7E04E37B" w:rsidR="000B47C3" w:rsidRPr="000B47C3" w:rsidRDefault="000B47C3" w:rsidP="000B47C3">
      <w:pPr>
        <w:spacing w:before="100" w:beforeAutospacing="1" w:after="100" w:afterAutospacing="1" w:line="360" w:lineRule="auto"/>
        <w:jc w:val="both"/>
        <w:rPr>
          <w:rFonts w:ascii="Times New Roman" w:eastAsia="Times New Roman" w:hAnsi="Times New Roman" w:cs="Times New Roman"/>
          <w:sz w:val="24"/>
          <w:szCs w:val="24"/>
          <w:lang w:eastAsia="fr-FR"/>
        </w:rPr>
      </w:pPr>
      <w:r w:rsidRPr="000B47C3">
        <w:rPr>
          <w:rFonts w:ascii="Times New Roman" w:eastAsia="Times New Roman" w:hAnsi="Times New Roman" w:cs="Times New Roman"/>
          <w:sz w:val="24"/>
          <w:szCs w:val="24"/>
          <w:lang w:eastAsia="fr-FR"/>
        </w:rPr>
        <w:t xml:space="preserve">Despite decades of struggle, the elimination of </w:t>
      </w:r>
      <w:proofErr w:type="spellStart"/>
      <w:r w:rsidRPr="000B47C3">
        <w:rPr>
          <w:rFonts w:ascii="Times New Roman" w:eastAsia="Times New Roman" w:hAnsi="Times New Roman" w:cs="Times New Roman"/>
          <w:i/>
          <w:iCs/>
          <w:sz w:val="24"/>
          <w:szCs w:val="24"/>
          <w:lang w:eastAsia="fr-FR"/>
        </w:rPr>
        <w:t>Onchocerca</w:t>
      </w:r>
      <w:proofErr w:type="spellEnd"/>
      <w:r w:rsidRPr="000B47C3">
        <w:rPr>
          <w:rFonts w:ascii="Times New Roman" w:eastAsia="Times New Roman" w:hAnsi="Times New Roman" w:cs="Times New Roman"/>
          <w:i/>
          <w:iCs/>
          <w:sz w:val="24"/>
          <w:szCs w:val="24"/>
          <w:lang w:eastAsia="fr-FR"/>
        </w:rPr>
        <w:t xml:space="preserve"> volvulus </w:t>
      </w:r>
      <w:r w:rsidRPr="000B47C3">
        <w:rPr>
          <w:rFonts w:ascii="Times New Roman" w:eastAsia="Times New Roman" w:hAnsi="Times New Roman" w:cs="Times New Roman"/>
          <w:sz w:val="24"/>
          <w:szCs w:val="24"/>
          <w:lang w:eastAsia="fr-FR"/>
        </w:rPr>
        <w:t xml:space="preserve">by 2025 still faces logistical, operational and financial challenges. </w:t>
      </w:r>
      <w:r w:rsidR="00D7122B">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{"citationID":"JVddMH55","properties":{"formattedCitation":"(6)","plainCitation":"(6)","noteIndex":0},"citationItems":[{"id":"VnN5Np0i/UnBMkcjo","uris":["http://zotero.org/users/14492610/items/9ITEMFU9"],"itemData":{"id":645,"type":"webpage","title":"Élimination de l’onchocercose humaine : rapport d’étape, 2023-2024","URL":"https://www.who.int/publications/i/item/who-wer-9941-577-590","accessed":{"date-parts":[["2025",8,12]]}}}],"schema":"https://github.com/citation-style-language/schema/raw/master/csl-citation.json"} </w:instrText>
      </w:r>
      <w:r w:rsidR="00D7122B">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(6)</w:t>
      </w:r>
      <w:r w:rsidR="00D7122B">
        <w:rPr>
          <w:rFonts w:ascii="Times New Roman" w:eastAsia="Times New Roman" w:hAnsi="Times New Roman" w:cs="Times New Roman"/>
          <w:sz w:val="24"/>
          <w:szCs w:val="24"/>
          <w:lang w:eastAsia="fr-FR"/>
        </w:rPr>
        <w:fldChar w:fldCharType="end"/>
      </w:r>
      <w:r w:rsidRPr="000B47C3">
        <w:rPr>
          <w:rFonts w:ascii="Times New Roman" w:eastAsia="Times New Roman" w:hAnsi="Times New Roman" w:cs="Times New Roman"/>
          <w:sz w:val="24"/>
          <w:szCs w:val="24"/>
          <w:lang w:eastAsia="fr-FR"/>
        </w:rPr>
        <w:t xml:space="preserve">Monitoring still relies on reported coverage, often biased by overestimation of target populations, weak information systems and underreporting or inflation of data. </w:t>
      </w:r>
      <w:r w:rsidR="003E589A">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{"citationID":"4DSHLkrk","properties":{"formattedCitation":"(7)","plainCitation":"(7)","noteIndex":0},"citationItems":[{"id":"VnN5Np0i/wbe66s3s","uris":["http://zotero.org/users/14492610/items/L7Y4TBRC"],"itemData":{"id":647,"type":"article-journal","abstract":"Mass drug administration (MDA) with ivermectin must reach a high treatment coverage (90% of the eligible population) if onchocerciasis is to be eliminated. Questions have been raised as to whether reported treatment figures reaching such high coverage are reliable. Sample surveys are proposed as the method of choice for \"validating\" reported coverage figures. The purpose of this study was to compare the district-level MDA coverage reported by programs with contemporaneous surveys of randomly selected respondents living in those same districts. Over an 8-year period, 19,219 households were selected using multistage random sampling; 38,433 adult male and female heads of those households were asked about their recent ivermectin MDA treatment experience. District coverage reports were considered \"accurate\" if they fell within the 95% CIs determined by the corresponding district's survey. Ninety-eight treatment rounds were evaluated over an 8-year period. Overall, the reported coverage of 96.5% (range: 68-100%) was significantly higher than the 92.5% surveyed coverage (range: 62.1-99.6%, 95% CI: 91.9-93.2%). However, only 20% of districts reported significantly higher coverage than surveys, 68% of district program reports were judged as accurate, and 12% of districts reported significantly lower coverage figures than their corresponding surveys. Eighty-eight percent of districts reported coverage ≥ 90% threshold for success, compared with 97% of surveys that included 90% in their 95% CIs. We conclude that when analyzed statistically at the district level, most surveys verified the reported coverage.","container-title":"The American Journal of Tropical Medicine and Hygiene","DOI":"10.4269/ajtmh.18-0680","ISSN":"1476-1645","issue":"5","journalAbbreviation":"Am J Trop Med Hyg","language":"eng","note":"PMID: 30915956\nPMCID: PMC6493930","page":"1208-1215","source":"PubMed","title":"Comparison of Reported and Survey-Based Coverage in Onchocerciasis Programs over a Period of 8 Years in Cameroon and Uganda","volume":"100","author":[{"family":"Katabarwa","given":"Moses N."},{"family":"Griswold","given":"Emily"},{"family":"Habomugisha","given":"Peace"},{"family":"Eyamba","given":"Albert"},{"family":"Byamukama","given":"Edson"},{"family":"Nwane","given":"Philippe"},{"family":"Khainza","given":"Annet"},{"family":"Bernard","given":"Lauri"},{"family":"Weiss","given":"Paul"},{"family":"Richards","given":"Frank O."}],"issued":{"date-parts":[["2019",5]]}}}],"schema":"https://github.com/citation-style-language/schema/raw/master/csl-citation.json"} </w:instrText>
      </w:r>
      <w:r w:rsidR="003E589A">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(7)</w:t>
      </w:r>
      <w:r w:rsidR="003E589A">
        <w:rPr>
          <w:rFonts w:ascii="Times New Roman" w:eastAsia="Times New Roman" w:hAnsi="Times New Roman" w:cs="Times New Roman"/>
          <w:sz w:val="24"/>
          <w:szCs w:val="24"/>
          <w:lang w:eastAsia="fr-FR"/>
        </w:rPr>
        <w:fldChar w:fldCharType="end"/>
      </w:r>
      <w:r w:rsidRPr="000B47C3">
        <w:rPr>
          <w:rFonts w:ascii="Times New Roman" w:eastAsia="Times New Roman" w:hAnsi="Times New Roman" w:cs="Times New Roman"/>
          <w:sz w:val="24"/>
          <w:szCs w:val="24"/>
          <w:lang w:eastAsia="fr-FR"/>
        </w:rPr>
        <w:t>In 2023, WHO estimated the number of people living in areas requiring intervention at 249.5 million, with 172.2 million treated (69% coverage</w:t>
      </w:r>
      <w:r w:rsidRPr="00673B3E">
        <w:rPr>
          <w:rFonts w:ascii="Times New Roman" w:eastAsia="Times New Roman" w:hAnsi="Times New Roman" w:cs="Times New Roman"/>
          <w:sz w:val="24"/>
          <w:szCs w:val="24"/>
          <w:lang w:eastAsia="fr-FR"/>
        </w:rPr>
        <w:t>)</w:t>
      </w:r>
      <w:r w:rsidR="00673B3E">
        <w:rPr>
          <w:rFonts w:ascii="Times New Roman" w:eastAsia="Times New Roman" w:hAnsi="Times New Roman" w:cs="Times New Roman"/>
          <w:sz w:val="24"/>
          <w:szCs w:val="24"/>
          <w:lang w:eastAsia="fr-FR"/>
        </w:rPr>
        <w:t xml:space="preserve"> [6]</w:t>
      </w:r>
      <w:r w:rsidR="00673B3E" w:rsidRPr="00673B3E">
        <w:rPr>
          <w:rFonts w:ascii="Times New Roman" w:eastAsia="Times New Roman" w:hAnsi="Times New Roman" w:cs="Times New Roman"/>
          <w:sz w:val="24"/>
          <w:szCs w:val="24"/>
          <w:lang w:eastAsia="fr-FR"/>
        </w:rPr>
        <w:t>;</w:t>
      </w:r>
      <w:r w:rsidR="00673B3E">
        <w:rPr>
          <w:rFonts w:ascii="Times New Roman" w:eastAsia="Times New Roman" w:hAnsi="Times New Roman" w:cs="Times New Roman"/>
          <w:sz w:val="24"/>
          <w:szCs w:val="24"/>
          <w:lang w:eastAsia="fr-FR"/>
        </w:rPr>
        <w:t xml:space="preserve"> </w:t>
      </w:r>
      <w:r w:rsidRPr="00145E21">
        <w:rPr>
          <w:rFonts w:ascii="Times New Roman" w:eastAsia="Times New Roman" w:hAnsi="Times New Roman" w:cs="Times New Roman"/>
          <w:sz w:val="24"/>
          <w:szCs w:val="24"/>
          <w:lang w:eastAsia="fr-FR"/>
        </w:rPr>
        <w:t xml:space="preserve">the 90% coverage reported in </w:t>
      </w:r>
      <w:r w:rsidR="00145E21">
        <w:rPr>
          <w:rFonts w:ascii="Times New Roman" w:eastAsia="Times New Roman" w:hAnsi="Times New Roman" w:cs="Times New Roman"/>
          <w:sz w:val="24"/>
          <w:szCs w:val="24"/>
          <w:lang w:eastAsia="fr-FR"/>
        </w:rPr>
        <w:t xml:space="preserve">Cameroon specifically in </w:t>
      </w:r>
      <w:proofErr w:type="spellStart"/>
      <w:r w:rsidRPr="00145E21">
        <w:rPr>
          <w:rFonts w:ascii="Times New Roman" w:eastAsia="Times New Roman" w:hAnsi="Times New Roman" w:cs="Times New Roman"/>
          <w:sz w:val="24"/>
          <w:szCs w:val="24"/>
          <w:lang w:eastAsia="fr-FR"/>
        </w:rPr>
        <w:t>Batcham</w:t>
      </w:r>
      <w:proofErr w:type="spellEnd"/>
      <w:r w:rsidRPr="00145E21">
        <w:rPr>
          <w:rFonts w:ascii="Times New Roman" w:eastAsia="Times New Roman" w:hAnsi="Times New Roman" w:cs="Times New Roman"/>
          <w:sz w:val="24"/>
          <w:szCs w:val="24"/>
          <w:lang w:eastAsia="fr-FR"/>
        </w:rPr>
        <w:t xml:space="preserve"> district in September 2021 requires independent verification</w:t>
      </w:r>
      <w:r w:rsidR="00145E21">
        <w:rPr>
          <w:rFonts w:ascii="Times New Roman" w:eastAsia="Times New Roman" w:hAnsi="Times New Roman" w:cs="Times New Roman"/>
          <w:sz w:val="24"/>
          <w:szCs w:val="24"/>
          <w:lang w:eastAsia="fr-FR"/>
        </w:rPr>
        <w:t xml:space="preserve"> which sparks the interest of this study</w:t>
      </w:r>
      <w:r w:rsidRPr="00145E21">
        <w:rPr>
          <w:rFonts w:ascii="Times New Roman" w:eastAsia="Times New Roman" w:hAnsi="Times New Roman" w:cs="Times New Roman"/>
          <w:sz w:val="24"/>
          <w:szCs w:val="24"/>
          <w:lang w:eastAsia="fr-FR"/>
        </w:rPr>
        <w:t xml:space="preserve">. </w:t>
      </w:r>
    </w:p>
    <w:p w14:paraId="204F5577" w14:textId="5960CC12" w:rsidR="00CA6CB2" w:rsidRDefault="004D3F2C" w:rsidP="00CA6CB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CD57EE">
        <w:rPr>
          <w:rFonts w:ascii="Times New Roman" w:eastAsia="Times New Roman" w:hAnsi="Times New Roman" w:cs="Times New Roman"/>
          <w:sz w:val="24"/>
          <w:szCs w:val="24"/>
          <w:lang w:eastAsia="fr-FR"/>
        </w:rPr>
        <w:t xml:space="preserve">Since the 1940s, several international partnerships have been formed to combat onchocerciasis. </w:t>
      </w:r>
      <w:r w:rsidR="00F23F39">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{"citationID":"tyFh219s","properties":{"formattedCitation":"(6)","plainCitation":"(6)","noteIndex":0},"citationItems":[{"id":"VnN5Np0i/UnBMkcjo","uris":["http://zotero.org/users/14492610/items/9ITEMFU9"],"itemData":{"id":645,"type":"webpage","title":"Élimination de l’onchocercose humaine : rapport d’étape, 2023-2024","URL":"https://www.who.int/publications/i/item/who-wer-9941-577-590","accessed":{"date-parts":[["2025",8,12]]}}}],"schema":"https://github.com/citation-style-language/schema/raw/master/csl-citation.json"} </w:instrText>
      </w:r>
      <w:r w:rsidR="00F23F39">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(6)</w:t>
      </w:r>
      <w:r w:rsidR="00F23F39">
        <w:rPr>
          <w:rFonts w:ascii="Times New Roman" w:eastAsia="Times New Roman" w:hAnsi="Times New Roman" w:cs="Times New Roman"/>
          <w:sz w:val="24"/>
          <w:szCs w:val="24"/>
          <w:lang w:eastAsia="fr-FR"/>
        </w:rPr>
        <w:fldChar w:fldCharType="end"/>
      </w:r>
      <w:r w:rsidRPr="00CD57EE">
        <w:rPr>
          <w:rFonts w:ascii="Times New Roman" w:eastAsia="Times New Roman" w:hAnsi="Times New Roman" w:cs="Times New Roman"/>
          <w:sz w:val="24"/>
          <w:szCs w:val="24"/>
          <w:lang w:eastAsia="fr-FR"/>
        </w:rPr>
        <w:t xml:space="preserve">In 1968, an integrated plan was developed, followed in 1974 by the launch of the Onchocerciasis Control </w:t>
      </w:r>
      <w:proofErr w:type="spellStart"/>
      <w:r w:rsidRPr="00CD57EE">
        <w:rPr>
          <w:rFonts w:ascii="Times New Roman" w:eastAsia="Times New Roman" w:hAnsi="Times New Roman" w:cs="Times New Roman"/>
          <w:sz w:val="24"/>
          <w:szCs w:val="24"/>
          <w:lang w:eastAsia="fr-FR"/>
        </w:rPr>
        <w:t>Programme</w:t>
      </w:r>
      <w:proofErr w:type="spellEnd"/>
      <w:r w:rsidRPr="00CD57EE">
        <w:rPr>
          <w:rFonts w:ascii="Times New Roman" w:eastAsia="Times New Roman" w:hAnsi="Times New Roman" w:cs="Times New Roman"/>
          <w:sz w:val="24"/>
          <w:szCs w:val="24"/>
          <w:lang w:eastAsia="fr-FR"/>
        </w:rPr>
        <w:t xml:space="preserve"> (OCP) under the</w:t>
      </w:r>
      <w:r w:rsidRPr="00673B3E">
        <w:rPr>
          <w:rFonts w:ascii="Times New Roman" w:eastAsia="Times New Roman" w:hAnsi="Times New Roman" w:cs="Times New Roman"/>
          <w:color w:val="FF0000"/>
          <w:sz w:val="24"/>
          <w:szCs w:val="24"/>
          <w:lang w:eastAsia="fr-FR"/>
        </w:rPr>
        <w:t xml:space="preserve"> </w:t>
      </w:r>
      <w:r w:rsidRPr="006931AF">
        <w:rPr>
          <w:rFonts w:ascii="Times New Roman" w:eastAsia="Times New Roman" w:hAnsi="Times New Roman" w:cs="Times New Roman"/>
          <w:sz w:val="24"/>
          <w:szCs w:val="24"/>
          <w:lang w:eastAsia="fr-FR"/>
        </w:rPr>
        <w:t>aegis</w:t>
      </w:r>
      <w:r w:rsidRPr="00673B3E">
        <w:rPr>
          <w:rFonts w:ascii="Times New Roman" w:eastAsia="Times New Roman" w:hAnsi="Times New Roman" w:cs="Times New Roman"/>
          <w:color w:val="FF0000"/>
          <w:sz w:val="24"/>
          <w:szCs w:val="24"/>
          <w:lang w:eastAsia="fr-FR"/>
        </w:rPr>
        <w:t xml:space="preserve"> </w:t>
      </w:r>
      <w:r w:rsidRPr="00CD57EE">
        <w:rPr>
          <w:rFonts w:ascii="Times New Roman" w:eastAsia="Times New Roman" w:hAnsi="Times New Roman" w:cs="Times New Roman"/>
          <w:sz w:val="24"/>
          <w:szCs w:val="24"/>
          <w:lang w:eastAsia="fr-FR"/>
        </w:rPr>
        <w:t xml:space="preserve">of UN agencies and the World Bank. </w:t>
      </w:r>
      <w:r w:rsidR="002C023F">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KP8RVWL3","properties":{"formattedCitation":"(8)","plainCitation":"(8)","noteIndex":0},"citationItems":[{"id":"VnN5Np0i/fkqFvwr6","uris":["http://zotero.org/users/14492610/items/HSGLIV4D"],"itemData":{"id":654,"type":"document","title":"evaluation-onchocerciasis-control.pdf","URL":"https://www.who.int/docs/default-source/documents/evaluation/evaluation-onchocerciasis-control.pdf","accessed":{"date-parts":[["2025",8,12]]}}}],"schema":"https://github.com/citation-style-language/schema/raw/master/csl-citation.json"} </w:instrText>
      </w:r>
      <w:r w:rsidR="002C023F">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(8)</w:t>
      </w:r>
      <w:r w:rsidR="002C023F">
        <w:rPr>
          <w:rFonts w:ascii="Times New Roman" w:eastAsia="Times New Roman" w:hAnsi="Times New Roman" w:cs="Times New Roman"/>
          <w:sz w:val="24"/>
          <w:szCs w:val="24"/>
          <w:lang w:eastAsia="fr-FR"/>
        </w:rPr>
        <w:fldChar w:fldCharType="end"/>
      </w:r>
      <w:r w:rsidR="006931AF">
        <w:rPr>
          <w:rFonts w:ascii="Times New Roman" w:eastAsia="Times New Roman" w:hAnsi="Times New Roman" w:cs="Times New Roman"/>
          <w:sz w:val="24"/>
          <w:szCs w:val="24"/>
          <w:lang w:eastAsia="fr-FR"/>
        </w:rPr>
        <w:t xml:space="preserve"> African Program for Onchocerciasis Control t</w:t>
      </w:r>
      <w:r w:rsidRPr="00CD57EE">
        <w:rPr>
          <w:rFonts w:ascii="Times New Roman" w:eastAsia="Times New Roman" w:hAnsi="Times New Roman" w:cs="Times New Roman"/>
          <w:sz w:val="24"/>
          <w:szCs w:val="24"/>
          <w:lang w:eastAsia="fr-FR"/>
        </w:rPr>
        <w:t xml:space="preserve">hen deployed community-directed preventive chemotherapy ( CDTi ) based on ivermectin ( </w:t>
      </w:r>
      <w:proofErr w:type="spellStart"/>
      <w:r w:rsidRPr="00CD57EE">
        <w:rPr>
          <w:rFonts w:ascii="Times New Roman" w:eastAsia="Times New Roman" w:hAnsi="Times New Roman" w:cs="Times New Roman"/>
          <w:sz w:val="24"/>
          <w:szCs w:val="24"/>
          <w:lang w:eastAsia="fr-FR"/>
        </w:rPr>
        <w:t>Mectizan</w:t>
      </w:r>
      <w:proofErr w:type="spellEnd"/>
      <w:r w:rsidRPr="00CD57EE">
        <w:rPr>
          <w:rFonts w:ascii="Times New Roman" w:eastAsia="Times New Roman" w:hAnsi="Times New Roman" w:cs="Times New Roman"/>
          <w:sz w:val="24"/>
          <w:szCs w:val="24"/>
          <w:lang w:eastAsia="fr-FR"/>
        </w:rPr>
        <w:t xml:space="preserve">® ), a method that has demonstrated its </w:t>
      </w:r>
      <w:r w:rsidR="001B4AA2">
        <w:rPr>
          <w:rFonts w:ascii="Times New Roman" w:eastAsia="Times New Roman" w:hAnsi="Times New Roman" w:cs="Times New Roman"/>
          <w:sz w:val="24"/>
          <w:szCs w:val="24"/>
          <w:lang w:eastAsia="fr-FR"/>
        </w:rPr>
        <w:t xml:space="preserve">effectiveness and sustainability </w:t>
      </w:r>
      <w:r w:rsidR="001B4AA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{"citationID":"zl3NHrhK","properties":{"formattedCitation":"(9)","plainCitation":"(9)","noteIndex":0},"citationItems":[{"id":"VnN5Np0i/Cz1JSUOS","uris":["http://zotero.org/users/14492610/items/Q99878P3"],"itemData":{"id":657,"type":"article-journal","abstract":"Recent studies in Cameroon after 20 years of implementation of the Community Directed Treatment with ivermectin (CDTI) strategy, revealed mixed results as regards community ownership. This brings into question the feasibility of Community Directed Interventions (CDI) in the country. We carried out qualitative surveys in 3 health districts of Cameroon, consisting of 11 individual interviews and 10 Focus Group Discussions (FGDs) with specific community members. The main topic discussed during individual interviews and FGDs was about community participation in health. We found an implementation gap in CDTI between the process theory in the 3 health districts. Despite this gap, community eagerness for health information and massive personal and financial adhesion to interventions that were perceived important, were indicators of CDI feasibility. The concept of CDI is culturally feasible in rural and semi-urban settlements, but many challenges hinder its actual implementation. In the view of community participation as a process rather than an intervention, these challenges include real dialogue with communities as partners, dialogue and advocacy with operational level health staff, and macroeconomic and political reforms in health, finance and other associated sectors.","container-title":"Tropical Medicine and Infectious Disease","DOI":"10.3390/tropicalmed4030105","ISSN":"2414-6366","issue":"3","journalAbbreviation":"Trop Med Infect Dis","note":"PMID: 31311093\nPMCID: PMC6789878","page":"105","source":"PubMed Central","title":"Do Communities Really “Direct” in Community-Directed Interventions? A Qualitative Assessment of Beneficiaries’ Perceptions at 20 Years of Community Directed Treatment with Ivermectin in Cameroon","title-short":"Do Communities Really “Direct” in Community-Directed Interventions?","volume":"4","author":[{"family":"Dissak-Delon","given":"Fanny Nadia"},{"family":"Kamga","given":"Guy-Roger"},{"family":"Humblet","given":"Perrine Claire"},{"family":"Robert","given":"Annie"},{"family":"Souopgui","given":"Jacob"},{"family":"Kamgno","given":"Joseph"},{"family":"Ghogomu","given":"Stephen Mbigha"},{"family":"Godin","given":"Isabelle"}],"issued":{"date-parts":[["2019",7,15]]}}}],"schema":"https://github.com/citation-style-language/schema/raw/master/csl-citation.json"} </w:instrText>
      </w:r>
      <w:r w:rsidR="001B4AA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(9)</w:t>
      </w:r>
      <w:r w:rsidR="001B4AA2">
        <w:rPr>
          <w:rFonts w:ascii="Times New Roman" w:eastAsia="Times New Roman" w:hAnsi="Times New Roman" w:cs="Times New Roman"/>
          <w:sz w:val="24"/>
          <w:szCs w:val="24"/>
          <w:lang w:eastAsia="fr-FR"/>
        </w:rPr>
        <w:fldChar w:fldCharType="end"/>
      </w:r>
      <w:r w:rsidRPr="00CD57EE">
        <w:rPr>
          <w:rFonts w:ascii="Times New Roman" w:eastAsia="Times New Roman" w:hAnsi="Times New Roman" w:cs="Times New Roman"/>
          <w:sz w:val="24"/>
          <w:szCs w:val="24"/>
          <w:lang w:eastAsia="fr-FR"/>
        </w:rPr>
        <w:t xml:space="preserve">. This strategy has been extended to the remaining endemic areas with the aim of eradicating the disease. However, the literature highlights that the calculation of treatment coverage, based on distributor records, remains susceptible to structural bias. </w:t>
      </w:r>
      <w:r w:rsidR="00413794" w:rsidRPr="00CA6CB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4idDnTRc","properties":{"formattedCitation":"(10,11)","plainCitation":"(10,11)","noteIndex":0},"citationItems":[{"id":"VnN5Np0i/Mz5jEGN7","uris":["http://zotero.org/users/14492610/items/3NCUZL49"],"itemData":{"id":660,"type":"article-journal","abstract":"BACKGROUND: The African Programme for Onchocerciasis Control (APOC) was created in 1995 to establish community-directed treatment with ivermectin (CDTi) in order to control onchocerciasis as a public health problem in 20 African countries that had 80 % of the global disease burden. When research showed that CDTi may ultimately eliminate onchocerciasis infection, APOC was given in 2008 the additional objective to determine when and where treatment can be safely stopped. We report the results of epidemiological evaluations undertaken from 2008 to 2014 to assess progress towards elimination in CDTi areas with ≥6 years treatment.\nMETHODS: Skin snip surveys were undertaken in samples of first-line villages to determine the prevalence of O. volvulus microfilariae. There were two evaluation phases. The decline in prevalence was evaluated in phase 1A. Observed and model-predicted prevalences were compared after correcting for endemicity level and treatment coverage. Bayesian statistics and Monte Carlo simulation were used to classify the decline in prevalence as faster than predicted, on track or delayed. Where the prevalence approached elimination levels, phase 1B was launched to determine if treatment could be safely stopped. Village sampling was extended to the whole CDTi area. Survey data were analysed within a Bayesian framework to determine if stopping criteria (overall prevalence &lt;1.4 % and maximum stratum prevalence &lt;5 %) were met.\nRESULTS: In phase 1A 127 665 people from 639 villages in 54 areas were examined. The prevalence had fallen dramatically. The decline in prevalence was faster than predicted in 23 areas, on track in another 23 and delayed in eight areas. In phase 1B 108 636 people in 392 villages were examined in 22 areas of which 13 met the epidemiological criteria for stopping treatment. Overall, 32 areas (25.4 million people) had reached or were close to elimination, 18 areas (17.4 million) were on track but required more years treatment, and in eight areas (10.4 million) progress was unsatisfactory.\nCONCLUSIONS: Onchocerciasis has been largely controlled as a public health problem. Great progress has been made towards elimination which already appears to have been achieved for millions of people. For most APOC countries, nationwide onchocerciasis elimination is within reach.","container-title":"Infectious Diseases of Poverty","DOI":"10.1186/s40249-016-0160-7","ISSN":"2049-9957","issue":"1","journalAbbreviation":"Infect Dis Poverty","language":"eng","note":"PMID: 27349645\nPMCID: PMC4924267","page":"66","source":"PubMed","title":"Progress towards onchocerciasis elimination in the participating countries of the African Programme for Onchocerciasis Control: epidemiological evaluation results","title-short":"Progress towards onchocerciasis elimination in the participating countries of the African Programme for Onchocerciasis Control","volume":"5","author":[{"family":"Tekle","given":"Afework H."},{"family":"Zouré","given":"Honorath G. M."},{"family":"Noma","given":"Mounkaila"},{"family":"Boussinesq","given":"Michel"},{"family":"Coffeng","given":"Luc E."},{"family":"Stolk","given":"Wilma A."},{"family":"Remme","given":"Jan H. F."}],"issued":{"date-parts":[["2016",6,27]]}}},{"id":"VnN5Np0i/52WrTjhw","uris":["http://zotero.org/users/14492610/items/NF3EZGI3"],"itemData":{"id":663,"type":"article-journal","abstract":"Background\nMany control methods have been implemented to tackle onchocerciasis and great successes have been achieved, leading to a paradigm shift from control of morbidity to interruption of transmission and ultimately elimination. The mandate of the African Programme for Onchocerciasis Control (APOC) ended in 2015, and endemic countries are to plan and conduct elimination activities by themselves, with technical assistance by the Expanded Special Project for Elimination of Neglected Tropical Diseases (ESPEN). To this end, an elimination expert committee was set up in Cameroon in 2018. This committee identified the need to update the data on the current situation of onchocerciasis. The present study aims to systematically review and report all available epidemiological data, including prevalence, intensity and transmission of onchocerciasis to provide pertinent information that will be useful to design optimal strategies to achieve onchocerciasis elimination in Cameroon.\n\nMethods\nPubMed/MEDLINE, EMBASE and Web of Science will be searched from inception onwards. Grey literature will be identified through Google Scholar searches, dissertation databases and other relevant documents such as government reports. Eligible studies will be mostly observational, including cohort and cross-sectional surveys. No limitations will be imposed on publication status and study period. The primary outcomes will be (1) the prevalence and intensity of Onchocerca volvulus infection in humans, (2) transmission intensity and (3) impact of interventions on prevalence, intensity and transmission of onchocerciasis. Secondary outcomes will be environmental and socio-demographic factors supporting the primary outcomes. Two reviewers will independently screen all citations, full-text articles and abstract data. Potential conflicts will be resolved through discussion. Methodological quality including bias will be appraised using appropriate approaches. A narrative synthesis will describe quality and content of the epidemiological evidence. Prevalence and intensity of infection estimates will be stratified according to gender, age, geographical location and year of publication.\n\nDiscussion\nThis study will provide the health authorities as well as the scientific community with up-to-date information about the epidemiological situation of onchocerciasis in Cameroon. Understanding the spatiotemporal dynamics of the infection will help to define alternative and complementary strategies to accelerate onchocerciasis elimination in the country. Results of this review will also be used to update existing epidemiological models for onchocerciasis in order to fine-tune predictions of elimination timeframes in the country.\n\nSystematic review registration\nThis protocol is under registration review in PROSPERO.","container-title":"Systematic Reviews","DOI":"10.1186/s13643-020-1287-y","ISSN":"2046-4053","journalAbbreviation":"Syst Rev","note":"PMID: 32046791\nPMCID: PMC7011232","page":"27","source":"PubMed Central","title":"Situation analysis of onchocerciasis in Cameroon: a protocol for systematic review of epidemiological studies and impact of disease control interventions","title-short":"Situation analysis of onchocerciasis in Cameroon","volume":"9","author":[{"family":"Nana-Djeunga","given":"Hugues C."},{"family":"Domche","given":"André"},{"family":"Niamsi-Emalio","given":"Yannick"},{"family":"Moungui","given":"Henri C."},{"family":"Walker","given":"Martin"},{"family":"Basáñez","given":"Maria-Gloria"},{"family":"Kamgno","given":"Joseph"}],"issued":{"date-parts":[["2020",2,11]]}}}],"schema":"https://github.com/citation-style-language/schema/raw/master/csl-citation.json"} </w:instrText>
      </w:r>
      <w:r w:rsidR="00413794" w:rsidRPr="00CA6CB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(10,11)</w:t>
      </w:r>
      <w:r w:rsidR="00413794" w:rsidRPr="00CA6CB2">
        <w:rPr>
          <w:rFonts w:ascii="Times New Roman" w:eastAsia="Times New Roman" w:hAnsi="Times New Roman" w:cs="Times New Roman"/>
          <w:sz w:val="24"/>
          <w:szCs w:val="24"/>
          <w:lang w:eastAsia="fr-FR"/>
        </w:rPr>
        <w:fldChar w:fldCharType="end"/>
      </w:r>
    </w:p>
    <w:p w14:paraId="59D8C6A6" w14:textId="02395360" w:rsidR="003E7C9F" w:rsidRDefault="00CA6CB2" w:rsidP="0094230D">
      <w:pPr>
        <w:spacing w:before="100" w:beforeAutospacing="1" w:after="100" w:afterAutospacing="1" w:line="360" w:lineRule="auto"/>
        <w:jc w:val="both"/>
        <w:rPr>
          <w:rFonts w:ascii="Times New Roman" w:hAnsi="Times New Roman" w:cs="Times New Roman"/>
          <w:sz w:val="24"/>
          <w:szCs w:val="24"/>
        </w:rPr>
      </w:pPr>
      <w:r w:rsidRPr="0094230D">
        <w:rPr>
          <w:rFonts w:ascii="Times New Roman" w:hAnsi="Times New Roman" w:cs="Times New Roman"/>
          <w:sz w:val="24"/>
          <w:szCs w:val="24"/>
        </w:rPr>
        <w:lastRenderedPageBreak/>
        <w:t>T</w:t>
      </w:r>
      <w:r w:rsidR="002B67AF">
        <w:rPr>
          <w:rFonts w:ascii="Times New Roman" w:hAnsi="Times New Roman" w:cs="Times New Roman"/>
          <w:sz w:val="24"/>
          <w:szCs w:val="24"/>
        </w:rPr>
        <w:t xml:space="preserve">he objective for the survey in </w:t>
      </w:r>
      <w:proofErr w:type="spellStart"/>
      <w:r w:rsidR="002B67AF">
        <w:rPr>
          <w:rFonts w:ascii="Times New Roman" w:hAnsi="Times New Roman" w:cs="Times New Roman"/>
          <w:sz w:val="24"/>
          <w:szCs w:val="24"/>
        </w:rPr>
        <w:t>Batcham</w:t>
      </w:r>
      <w:proofErr w:type="spellEnd"/>
      <w:r w:rsidR="002B67AF">
        <w:rPr>
          <w:rFonts w:ascii="Times New Roman" w:hAnsi="Times New Roman" w:cs="Times New Roman"/>
          <w:sz w:val="24"/>
          <w:szCs w:val="24"/>
        </w:rPr>
        <w:t xml:space="preserve"> is </w:t>
      </w:r>
      <w:r w:rsidRPr="0094230D">
        <w:rPr>
          <w:rFonts w:ascii="Times New Roman" w:hAnsi="Times New Roman" w:cs="Times New Roman"/>
          <w:sz w:val="24"/>
          <w:szCs w:val="24"/>
        </w:rPr>
        <w:t>to verify</w:t>
      </w:r>
      <w:r w:rsidR="002B67AF">
        <w:rPr>
          <w:rStyle w:val="CommentReference"/>
        </w:rPr>
        <w:t xml:space="preserve"> </w:t>
      </w:r>
      <w:r w:rsidRPr="0094230D">
        <w:rPr>
          <w:rFonts w:ascii="Times New Roman" w:hAnsi="Times New Roman" w:cs="Times New Roman"/>
          <w:sz w:val="24"/>
          <w:szCs w:val="24"/>
        </w:rPr>
        <w:t>data, identify barriers to uptake, target uncontacted populations, and thus strengthen the effectiveness of</w:t>
      </w:r>
      <w:r w:rsidR="002B67AF">
        <w:rPr>
          <w:rFonts w:ascii="Times New Roman" w:hAnsi="Times New Roman" w:cs="Times New Roman"/>
          <w:sz w:val="24"/>
          <w:szCs w:val="24"/>
        </w:rPr>
        <w:t xml:space="preserve"> </w:t>
      </w:r>
      <w:r w:rsidR="002B67AF" w:rsidRPr="002B67AF">
        <w:rPr>
          <w:rFonts w:ascii="Times New Roman" w:hAnsi="Times New Roman" w:cs="Times New Roman"/>
          <w:sz w:val="24"/>
          <w:szCs w:val="24"/>
        </w:rPr>
        <w:t>ivermectin treatment</w:t>
      </w:r>
      <w:r w:rsidR="002B67AF">
        <w:rPr>
          <w:rFonts w:ascii="Times New Roman" w:hAnsi="Times New Roman" w:cs="Times New Roman"/>
          <w:sz w:val="24"/>
          <w:szCs w:val="24"/>
        </w:rPr>
        <w:t xml:space="preserve"> </w:t>
      </w:r>
      <w:r w:rsidRPr="0094230D">
        <w:rPr>
          <w:rFonts w:ascii="Times New Roman" w:hAnsi="Times New Roman" w:cs="Times New Roman"/>
          <w:sz w:val="24"/>
          <w:szCs w:val="24"/>
        </w:rPr>
        <w:t>to achieve elimination targets. Thus, given the uncertainties inherent in reported coverage, the overall objective of this study is to assess the therapeutic coverage of the 2021 campaign of community-directed ivermectin treatment (</w:t>
      </w:r>
      <w:smartTag w:uri="urn:schemas-microsoft-com:office:smarttags" w:element="stockticker">
        <w:r w:rsidRPr="0094230D">
          <w:rPr>
            <w:rFonts w:ascii="Times New Roman" w:hAnsi="Times New Roman" w:cs="Times New Roman"/>
            <w:sz w:val="24"/>
            <w:szCs w:val="24"/>
          </w:rPr>
          <w:t>CDTI</w:t>
        </w:r>
      </w:smartTag>
      <w:r w:rsidR="009A5845" w:rsidRPr="0094230D">
        <w:rPr>
          <w:rFonts w:ascii="Times New Roman" w:hAnsi="Times New Roman" w:cs="Times New Roman"/>
          <w:sz w:val="24"/>
          <w:szCs w:val="24"/>
        </w:rPr>
        <w:t xml:space="preserve">) against </w:t>
      </w:r>
      <w:proofErr w:type="spellStart"/>
      <w:r w:rsidR="009A5845" w:rsidRPr="0094230D">
        <w:rPr>
          <w:rFonts w:ascii="Times New Roman" w:hAnsi="Times New Roman" w:cs="Times New Roman"/>
          <w:sz w:val="24"/>
          <w:szCs w:val="24"/>
        </w:rPr>
        <w:t>Onchocerca</w:t>
      </w:r>
      <w:proofErr w:type="spellEnd"/>
      <w:r w:rsidR="009A5845" w:rsidRPr="0094230D">
        <w:rPr>
          <w:rFonts w:ascii="Times New Roman" w:hAnsi="Times New Roman" w:cs="Times New Roman"/>
          <w:sz w:val="24"/>
          <w:szCs w:val="24"/>
        </w:rPr>
        <w:t xml:space="preserve"> volvulus in the </w:t>
      </w:r>
      <w:proofErr w:type="spellStart"/>
      <w:r w:rsidR="009A5845" w:rsidRPr="0094230D">
        <w:rPr>
          <w:rFonts w:ascii="Times New Roman" w:hAnsi="Times New Roman" w:cs="Times New Roman"/>
          <w:sz w:val="24"/>
          <w:szCs w:val="24"/>
        </w:rPr>
        <w:t>Batcham</w:t>
      </w:r>
      <w:proofErr w:type="spellEnd"/>
      <w:r w:rsidR="009A5845" w:rsidRPr="0094230D">
        <w:rPr>
          <w:rFonts w:ascii="Times New Roman" w:hAnsi="Times New Roman" w:cs="Times New Roman"/>
          <w:sz w:val="24"/>
          <w:szCs w:val="24"/>
        </w:rPr>
        <w:t xml:space="preserve"> health district; we assume that the actual </w:t>
      </w:r>
      <w:smartTag w:uri="urn:schemas-microsoft-com:office:smarttags" w:element="stockticker">
        <w:r w:rsidR="009A5845" w:rsidRPr="0094230D">
          <w:rPr>
            <w:rFonts w:ascii="Times New Roman" w:hAnsi="Times New Roman" w:cs="Times New Roman"/>
            <w:sz w:val="24"/>
            <w:szCs w:val="24"/>
          </w:rPr>
          <w:t>CDTI</w:t>
        </w:r>
      </w:smartTag>
      <w:r w:rsidR="009A5845" w:rsidRPr="0094230D">
        <w:rPr>
          <w:rFonts w:ascii="Times New Roman" w:hAnsi="Times New Roman" w:cs="Times New Roman"/>
          <w:sz w:val="24"/>
          <w:szCs w:val="24"/>
        </w:rPr>
        <w:t xml:space="preserve"> coverage is equal to the reported coverage in this district.</w:t>
      </w:r>
    </w:p>
    <w:p w14:paraId="1FB88489" w14:textId="77777777" w:rsidR="00613B11" w:rsidRPr="00613B11" w:rsidRDefault="003E7C9F" w:rsidP="00613B11">
      <w:pPr>
        <w:spacing w:after="0" w:line="360" w:lineRule="auto"/>
        <w:jc w:val="both"/>
        <w:rPr>
          <w:rFonts w:ascii="Times New Roman" w:hAnsi="Times New Roman" w:cs="Times New Roman"/>
          <w:b/>
          <w:sz w:val="24"/>
          <w:szCs w:val="24"/>
        </w:rPr>
      </w:pPr>
      <w:r w:rsidRPr="00613B11">
        <w:rPr>
          <w:rFonts w:ascii="Times New Roman" w:hAnsi="Times New Roman" w:cs="Times New Roman"/>
          <w:b/>
          <w:sz w:val="24"/>
          <w:szCs w:val="24"/>
        </w:rPr>
        <w:t>Method</w:t>
      </w:r>
    </w:p>
    <w:p w14:paraId="7F24EAEF" w14:textId="07BAAE2C" w:rsidR="00613B11" w:rsidRPr="00613B11" w:rsidRDefault="00613B11" w:rsidP="00613B11">
      <w:pPr>
        <w:spacing w:after="0" w:line="360" w:lineRule="auto"/>
        <w:jc w:val="both"/>
        <w:rPr>
          <w:rFonts w:ascii="Times New Roman" w:hAnsi="Times New Roman" w:cs="Times New Roman"/>
          <w:b/>
          <w:sz w:val="24"/>
          <w:szCs w:val="24"/>
        </w:rPr>
      </w:pPr>
      <w:r w:rsidRPr="00613B11">
        <w:rPr>
          <w:rFonts w:ascii="Times New Roman" w:eastAsia="Times New Roman" w:hAnsi="Times New Roman" w:cs="Times New Roman"/>
          <w:b/>
          <w:sz w:val="24"/>
          <w:szCs w:val="24"/>
          <w:lang w:val="en-US" w:eastAsia="fr-FR"/>
        </w:rPr>
        <w:t>Study design</w:t>
      </w:r>
    </w:p>
    <w:p w14:paraId="75E8445E" w14:textId="4B7268A2" w:rsidR="00613B11" w:rsidRPr="00613B11" w:rsidRDefault="00613B11" w:rsidP="00613B11">
      <w:pPr>
        <w:spacing w:after="0"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This was a descriptive cross-sectional study conducted on a random sample of households to assess the distribution of mass drug administration (MDA) coverage in the </w:t>
      </w:r>
      <w:proofErr w:type="spellStart"/>
      <w:r w:rsidRPr="00613B11">
        <w:rPr>
          <w:rFonts w:ascii="Times New Roman" w:eastAsia="Times New Roman" w:hAnsi="Times New Roman" w:cs="Times New Roman"/>
          <w:bCs/>
          <w:sz w:val="24"/>
          <w:szCs w:val="24"/>
          <w:lang w:val="en-US" w:eastAsia="fr-FR"/>
        </w:rPr>
        <w:t>Batcham</w:t>
      </w:r>
      <w:proofErr w:type="spellEnd"/>
      <w:r w:rsidRPr="00613B11">
        <w:rPr>
          <w:rFonts w:ascii="Times New Roman" w:eastAsia="Times New Roman" w:hAnsi="Times New Roman" w:cs="Times New Roman"/>
          <w:bCs/>
          <w:sz w:val="24"/>
          <w:szCs w:val="24"/>
          <w:lang w:val="en-US" w:eastAsia="fr-FR"/>
        </w:rPr>
        <w:t xml:space="preserve"> Health District. Data were collected using a pre-tested questionnaire administered via smartphones, with forms developed in KOBO Collect. Trained and supervised interviewers carried out the survey in twenty clusters, each consisting of ten households, selected through a three-stage cluster random sampling method.</w:t>
      </w:r>
    </w:p>
    <w:p w14:paraId="1E7B5B55" w14:textId="77777777" w:rsid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Study Site and Population</w:t>
      </w:r>
    </w:p>
    <w:p w14:paraId="6A93C986" w14:textId="2199A5D3"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The study covered the entire </w:t>
      </w:r>
      <w:proofErr w:type="spellStart"/>
      <w:r w:rsidRPr="00613B11">
        <w:rPr>
          <w:rFonts w:ascii="Times New Roman" w:eastAsia="Times New Roman" w:hAnsi="Times New Roman" w:cs="Times New Roman"/>
          <w:bCs/>
          <w:sz w:val="24"/>
          <w:szCs w:val="24"/>
          <w:lang w:val="en-US" w:eastAsia="fr-FR"/>
        </w:rPr>
        <w:t>Batcham</w:t>
      </w:r>
      <w:proofErr w:type="spellEnd"/>
      <w:r w:rsidRPr="00613B11">
        <w:rPr>
          <w:rFonts w:ascii="Times New Roman" w:eastAsia="Times New Roman" w:hAnsi="Times New Roman" w:cs="Times New Roman"/>
          <w:bCs/>
          <w:sz w:val="24"/>
          <w:szCs w:val="24"/>
          <w:lang w:val="en-US" w:eastAsia="fr-FR"/>
        </w:rPr>
        <w:t xml:space="preserve"> Health District, located in the </w:t>
      </w:r>
      <w:proofErr w:type="spellStart"/>
      <w:r w:rsidRPr="00613B11">
        <w:rPr>
          <w:rFonts w:ascii="Times New Roman" w:eastAsia="Times New Roman" w:hAnsi="Times New Roman" w:cs="Times New Roman"/>
          <w:bCs/>
          <w:sz w:val="24"/>
          <w:szCs w:val="24"/>
          <w:lang w:val="en-US" w:eastAsia="fr-FR"/>
        </w:rPr>
        <w:t>Bamboutos</w:t>
      </w:r>
      <w:proofErr w:type="spellEnd"/>
      <w:r w:rsidRPr="00613B11">
        <w:rPr>
          <w:rFonts w:ascii="Times New Roman" w:eastAsia="Times New Roman" w:hAnsi="Times New Roman" w:cs="Times New Roman"/>
          <w:bCs/>
          <w:sz w:val="24"/>
          <w:szCs w:val="24"/>
          <w:lang w:val="en-US" w:eastAsia="fr-FR"/>
        </w:rPr>
        <w:t xml:space="preserve"> Division of the West Region, Cameroon. It is one of 20 health districts in the region. The district is predominantly rural, covering an area of 200 km², with a population of 90,686 inhabitants distributed across 137 communities, resulting in a density of 453 inhabitants/km².</w:t>
      </w:r>
    </w:p>
    <w:p w14:paraId="42A711CA" w14:textId="77777777"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Its administrative boundaries are:</w:t>
      </w:r>
    </w:p>
    <w:p w14:paraId="1E6252BE" w14:textId="77777777" w:rsidR="00613B11" w:rsidRPr="00613B11" w:rsidRDefault="00613B11" w:rsidP="00613B11">
      <w:pPr>
        <w:numPr>
          <w:ilvl w:val="0"/>
          <w:numId w:val="21"/>
        </w:num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North and East: </w:t>
      </w:r>
      <w:proofErr w:type="spellStart"/>
      <w:r w:rsidRPr="00613B11">
        <w:rPr>
          <w:rFonts w:ascii="Times New Roman" w:eastAsia="Times New Roman" w:hAnsi="Times New Roman" w:cs="Times New Roman"/>
          <w:bCs/>
          <w:sz w:val="24"/>
          <w:szCs w:val="24"/>
          <w:lang w:val="en-US" w:eastAsia="fr-FR"/>
        </w:rPr>
        <w:t>Mbouda</w:t>
      </w:r>
      <w:proofErr w:type="spellEnd"/>
      <w:r w:rsidRPr="00613B11">
        <w:rPr>
          <w:rFonts w:ascii="Times New Roman" w:eastAsia="Times New Roman" w:hAnsi="Times New Roman" w:cs="Times New Roman"/>
          <w:bCs/>
          <w:sz w:val="24"/>
          <w:szCs w:val="24"/>
          <w:lang w:val="en-US" w:eastAsia="fr-FR"/>
        </w:rPr>
        <w:t xml:space="preserve"> Health District</w:t>
      </w:r>
    </w:p>
    <w:p w14:paraId="3D0D0D21" w14:textId="77777777" w:rsidR="00613B11" w:rsidRPr="00613B11" w:rsidRDefault="00613B11" w:rsidP="00613B11">
      <w:pPr>
        <w:numPr>
          <w:ilvl w:val="0"/>
          <w:numId w:val="21"/>
        </w:num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South: Penka Michel Health District</w:t>
      </w:r>
    </w:p>
    <w:p w14:paraId="38BD771E" w14:textId="77777777" w:rsidR="00613B11" w:rsidRPr="00613B11" w:rsidRDefault="00613B11" w:rsidP="00613B11">
      <w:pPr>
        <w:numPr>
          <w:ilvl w:val="0"/>
          <w:numId w:val="21"/>
        </w:num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 xml:space="preserve">West: </w:t>
      </w:r>
      <w:proofErr w:type="spellStart"/>
      <w:r w:rsidRPr="00613B11">
        <w:rPr>
          <w:rFonts w:ascii="Times New Roman" w:eastAsia="Times New Roman" w:hAnsi="Times New Roman" w:cs="Times New Roman"/>
          <w:bCs/>
          <w:sz w:val="24"/>
          <w:szCs w:val="24"/>
          <w:lang w:val="en-US" w:eastAsia="fr-FR"/>
        </w:rPr>
        <w:t>Dschang</w:t>
      </w:r>
      <w:proofErr w:type="spellEnd"/>
      <w:r w:rsidRPr="00613B11">
        <w:rPr>
          <w:rFonts w:ascii="Times New Roman" w:eastAsia="Times New Roman" w:hAnsi="Times New Roman" w:cs="Times New Roman"/>
          <w:bCs/>
          <w:sz w:val="24"/>
          <w:szCs w:val="24"/>
          <w:lang w:val="en-US" w:eastAsia="fr-FR"/>
        </w:rPr>
        <w:t xml:space="preserve"> Health District</w:t>
      </w:r>
    </w:p>
    <w:p w14:paraId="578F825A" w14:textId="77777777"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t>The district is subdivided into 12 functional health areas, which together host 33 recognized health facilities. These include 17 public facilities (15 Integrated Health Centers, 1 District Medical Center, and 1 District Hospital) and 16 private facilities (2 denominational Medical Centers, 2 private denominational Health Centers, and 14 private secular Health Centers).</w:t>
      </w:r>
    </w:p>
    <w:p w14:paraId="3788A956" w14:textId="77777777" w:rsidR="00613B11" w:rsidRPr="00613B11" w:rsidRDefault="00613B11" w:rsidP="00613B11">
      <w:pPr>
        <w:spacing w:before="100" w:beforeAutospacing="1" w:after="100" w:afterAutospacing="1" w:line="360" w:lineRule="auto"/>
        <w:jc w:val="both"/>
        <w:rPr>
          <w:rFonts w:ascii="Times New Roman" w:eastAsia="Times New Roman" w:hAnsi="Times New Roman" w:cs="Times New Roman"/>
          <w:bCs/>
          <w:sz w:val="24"/>
          <w:szCs w:val="24"/>
          <w:lang w:val="en-US" w:eastAsia="fr-FR"/>
        </w:rPr>
      </w:pPr>
      <w:r w:rsidRPr="00613B11">
        <w:rPr>
          <w:rFonts w:ascii="Times New Roman" w:eastAsia="Times New Roman" w:hAnsi="Times New Roman" w:cs="Times New Roman"/>
          <w:bCs/>
          <w:sz w:val="24"/>
          <w:szCs w:val="24"/>
          <w:lang w:val="en-US" w:eastAsia="fr-FR"/>
        </w:rPr>
        <w:lastRenderedPageBreak/>
        <w:t>The study population comprised male and female residents aged 5 years and above, who had been living in the district for at least six months prior to the survey. Exclusion criteria were: visitors, individuals unable to provide informed consent or assent, those whose legal guardians declined participation, and individuals with mental incapacity at the time of data collection.</w:t>
      </w:r>
    </w:p>
    <w:p w14:paraId="7E6F602E" w14:textId="7B196EC5" w:rsidR="0067647C"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b/>
          <w:bCs/>
          <w:sz w:val="24"/>
          <w:szCs w:val="24"/>
          <w:lang w:eastAsia="fr-FR"/>
        </w:rPr>
        <w:t xml:space="preserve">Sample size calculation </w:t>
      </w:r>
      <w:r w:rsidR="00DB3963" w:rsidRPr="00EF4E22">
        <w:rPr>
          <w:rFonts w:ascii="Times New Roman" w:eastAsia="Times New Roman" w:hAnsi="Times New Roman" w:cs="Times New Roman"/>
          <w:sz w:val="24"/>
          <w:szCs w:val="24"/>
          <w:lang w:eastAsia="fr-FR"/>
        </w:rPr>
        <w:t xml:space="preserve">. </w:t>
      </w:r>
      <w:r w:rsidR="006758B7" w:rsidRPr="00EF4E2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{"citationID":"eA5ltgJ5","properties":{"formattedCitation":"(12)","plainCitation":"(12)","noteIndex":0},"citationItems":[{"id":"VnN5Np0i/QEzgi8P1","uris":["http://zotero.org/users/14492610/items/XIV37ZP6"],"itemData":{"id":668,"type":"article-journal","abstract":"BACKGROUND: Onchocerciasis can be effectively controlled as a public health problem by annual mass drug administration of ivermectin, but it was not known if ivermectin treatment in the long term would be able to achieve elimination of onchocerciasis infection and interruption of transmission in endemic areas in Africa. A recent study in Mali and Senegal has provided the first evidence of elimination after 15-17 years of treatment. Following this finding, the African Programme for Onchocerciasis Control (APOC) has started a systematic evaluation of the long-term impact of ivermectin treatment projects and the feasibility of elimination in APOC supported countries. This paper reports the first results for two onchocerciasis foci in Kaduna, Nigeria.\nMETHODS: In 2008, an epidemiological evaluation using skin snip parasitological diagnostic method was carried out in two onchocerciasis foci, in Birnin Gwari Local Government Area (LGA), and in the Kauru and Lere LGAs of Kaduna State, Nigeria. The survey was undertaken in 26 villages and examined 3,703 people above the age of one year. The result was compared with the baseline survey undertaken in 1987.\nRESULTS: The communities had received 15 to 17 years of ivermectin treatment with more than 75% reported coverage. For each surveyed community, comparable baseline data were available. Before treatment, the community prevalence of O. volvulus microfilaria in the skin ranged from 23.1% to 84.9%, with a median prevalence of 52.0%. After 15 to 17 years of treatment, the prevalence had fallen to 0% in all communities and all 3,703 examined individuals were skin snip negative.\nCONCLUSIONS: The results of the surveys confirm the finding in Senegal and Mali that ivermectin treatment alone can eliminate onchocerciasis infection and probably disease transmission in endemic foci in Africa. It is the first of such evidence for the APOC operational area.","container-title":"Parasites &amp; Vectors","DOI":"10.1186/1756-3305-5-28","ISSN":"1756-3305","journalAbbreviation":"Parasit Vectors","language":"eng","note":"PMID: 22313631\nPMCID: PMC3296569","page":"28","source":"PubMed","title":"Impact of long-term treatment of onchocerciasis with ivermectin in Kaduna State, Nigeria: first evidence of the potential for elimination in the operational area of the African Programme for Onchocerciasis Control","title-short":"Impact of long-term treatment of onchocerciasis with ivermectin in Kaduna State, Nigeria","volume":"5","author":[{"family":"Tekle","given":"Afework Hailemariam"},{"family":"Elhassan","given":"Elizabeth"},{"family":"Isiyaku","given":"Sunday"},{"family":"Amazigo","given":"Uche V."},{"family":"Bush","given":"Simon"},{"family":"Noma","given":"Mounkaila"},{"family":"Cousens","given":"Simon"},{"family":"Abiose","given":"Adenike"},{"family":"Remme","given":"Jan H."}],"issued":{"date-parts":[["2012",2,7]]}}}],"schema":"https://github.com/citation-style-language/schema/raw/master/csl-citation.json"} </w:instrText>
      </w:r>
      <w:r w:rsidR="006758B7" w:rsidRPr="00EF4E2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(12)</w:t>
      </w:r>
      <w:r w:rsidR="006758B7" w:rsidRPr="00EF4E22">
        <w:rPr>
          <w:rFonts w:ascii="Times New Roman" w:eastAsia="Times New Roman" w:hAnsi="Times New Roman" w:cs="Times New Roman"/>
          <w:sz w:val="24"/>
          <w:szCs w:val="24"/>
          <w:lang w:eastAsia="fr-FR"/>
        </w:rPr>
        <w:fldChar w:fldCharType="end"/>
      </w:r>
    </w:p>
    <w:p w14:paraId="11C9C4EB"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The parameters used were:</w:t>
      </w:r>
    </w:p>
    <w:p w14:paraId="049416C2"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Expected coverage (P) = 80.5%;</w:t>
      </w:r>
    </w:p>
    <w:p w14:paraId="4039CA79"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Precision at 95% CI (d) = 5%;</w:t>
      </w:r>
    </w:p>
    <w:p w14:paraId="04194E11"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Critical value for a 95% confidence interval (Z) = 1.96;</w:t>
      </w:r>
    </w:p>
    <w:p w14:paraId="59D487F0"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Design effect (k) = 3 (WHO recommendation);</w:t>
      </w:r>
    </w:p>
    <w:p w14:paraId="496FF102" w14:textId="77777777" w:rsidR="00B64F47" w:rsidRPr="00B64F47" w:rsidRDefault="00B64F47" w:rsidP="00EF4E22">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Non-response rate (r) = 10%.</w:t>
      </w:r>
    </w:p>
    <w:p w14:paraId="667DA600" w14:textId="77777777" w:rsidR="00B64F47" w:rsidRPr="00EF4E22"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Formula:</w:t>
      </w:r>
    </w:p>
    <w:p w14:paraId="7D564AC1" w14:textId="77777777" w:rsidR="00DF56F5" w:rsidRPr="00EF4E22" w:rsidRDefault="00DF56F5" w:rsidP="00EF4E22">
      <w:pPr>
        <w:spacing w:line="360" w:lineRule="auto"/>
        <w:jc w:val="both"/>
        <w:rPr>
          <w:rFonts w:ascii="Times New Roman" w:hAnsi="Times New Roman" w:cs="Times New Roman"/>
          <w:color w:val="000000" w:themeColor="text1"/>
          <w:sz w:val="24"/>
          <w:szCs w:val="24"/>
        </w:rPr>
      </w:pPr>
      <m:oMath>
        <m:r>
          <m:rPr>
            <m:sty m:val="b"/>
          </m:rPr>
          <w:rPr>
            <w:rFonts w:ascii="Cambria Math" w:hAnsi="Cambria Math" w:cs="Times New Roman"/>
            <w:color w:val="000000" w:themeColor="text1"/>
            <w:sz w:val="24"/>
            <w:szCs w:val="24"/>
            <w:lang w:val="en-GB"/>
          </w:rPr>
          <m:t>n</m:t>
        </m:r>
        <m:r>
          <m:rPr>
            <m:sty m:val="b"/>
          </m:rPr>
          <w:rPr>
            <w:rFonts w:ascii="Cambria Math" w:hAnsi="Cambria Math" w:cs="Times New Roman"/>
            <w:color w:val="000000" w:themeColor="text1"/>
            <w:sz w:val="24"/>
            <w:szCs w:val="24"/>
          </w:rPr>
          <m:t>=</m:t>
        </m:r>
        <m:f>
          <m:fPr>
            <m:ctrlPr>
              <w:rPr>
                <w:rFonts w:ascii="Cambria Math" w:hAnsi="Cambria Math" w:cs="Times New Roman"/>
                <w:b/>
                <w:color w:val="000000" w:themeColor="text1"/>
                <w:sz w:val="24"/>
                <w:szCs w:val="24"/>
                <w:lang w:val="en-GB"/>
              </w:rPr>
            </m:ctrlPr>
          </m:fPr>
          <m:num>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k</m:t>
            </m:r>
            <m:r>
              <m:rPr>
                <m:sty m:val="b"/>
              </m:rPr>
              <w:rPr>
                <w:rFonts w:ascii="Cambria Math" w:eastAsia="SimSun" w:hAnsi="Cambria Math" w:cs="Times New Roman"/>
                <w:color w:val="000000" w:themeColor="text1"/>
                <w:sz w:val="24"/>
                <w:szCs w:val="24"/>
              </w:rPr>
              <m:t xml:space="preserve">) </m:t>
            </m:r>
            <m:r>
              <m:rPr>
                <m:sty m:val="b"/>
              </m:rPr>
              <w:rPr>
                <w:rFonts w:ascii="Cambria Math" w:eastAsia="SimSun" w:hAnsi="Cambria Math" w:cs="Times New Roman"/>
                <w:color w:val="000000" w:themeColor="text1"/>
                <w:sz w:val="24"/>
                <w:szCs w:val="24"/>
                <w:lang w:val="en-GB"/>
              </w:rPr>
              <m:t>Z</m:t>
            </m:r>
            <m:r>
              <m:rPr>
                <m:sty m:val="b"/>
              </m:rPr>
              <w:rPr>
                <w:rFonts w:ascii="Cambria Math" w:eastAsia="SimSun" w:hAnsi="Cambria Math" w:cs="Times New Roman"/>
                <w:color w:val="000000" w:themeColor="text1"/>
                <w:sz w:val="24"/>
                <w:szCs w:val="24"/>
              </w:rPr>
              <m:t>²</m:t>
            </m:r>
            <m:r>
              <m:rPr>
                <m:sty m:val="b"/>
              </m:rPr>
              <w:rPr>
                <w:rFonts w:ascii="Cambria Math" w:hAnsi="Cambria Math" w:cs="Times New Roman"/>
                <w:color w:val="000000" w:themeColor="text1"/>
                <w:sz w:val="24"/>
                <w:szCs w:val="24"/>
                <w:lang w:val="en-GB"/>
              </w:rPr>
              <m:t>α</m:t>
            </m:r>
            <m:r>
              <m:rPr>
                <m:sty m:val="b"/>
              </m:rPr>
              <w:rPr>
                <w:rFonts w:ascii="Cambria Math" w:hAnsi="Cambria Math" w:cs="Times New Roman"/>
                <w:color w:val="000000" w:themeColor="text1"/>
                <w:sz w:val="24"/>
                <w:szCs w:val="24"/>
              </w:rPr>
              <m:t> (</m:t>
            </m:r>
            <m:r>
              <m:rPr>
                <m:sty m:val="b"/>
              </m:rPr>
              <w:rPr>
                <w:rFonts w:ascii="Cambria Math" w:hAnsi="Cambria Math" w:cs="Times New Roman"/>
                <w:color w:val="000000" w:themeColor="text1"/>
                <w:sz w:val="24"/>
                <w:szCs w:val="24"/>
                <w:lang w:val="en-GB"/>
              </w:rPr>
              <m:t>P</m:t>
            </m:r>
            <m:r>
              <m:rPr>
                <m:sty m:val="b"/>
              </m:rPr>
              <w:rPr>
                <w:rFonts w:ascii="Cambria Math" w:hAnsi="Cambria Math" w:cs="Times New Roman"/>
                <w:color w:val="000000" w:themeColor="text1"/>
                <w:sz w:val="24"/>
                <w:szCs w:val="24"/>
              </w:rPr>
              <m:t>) (</m:t>
            </m:r>
            <m:r>
              <m:rPr>
                <m:sty m:val="b"/>
              </m:rPr>
              <w:rPr>
                <w:rFonts w:ascii="Cambria Math" w:hAnsi="Cambria Math" w:cs="Times New Roman"/>
                <w:color w:val="000000" w:themeColor="text1"/>
                <w:sz w:val="24"/>
                <w:szCs w:val="24"/>
                <w:lang w:val="en-GB"/>
              </w:rPr>
              <m:t>1</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P</m:t>
            </m:r>
            <m:r>
              <m:rPr>
                <m:sty m:val="b"/>
              </m:rPr>
              <w:rPr>
                <w:rFonts w:ascii="Cambria Math" w:hAnsi="Cambria Math" w:cs="Times New Roman"/>
                <w:color w:val="000000" w:themeColor="text1"/>
                <w:sz w:val="24"/>
                <w:szCs w:val="24"/>
              </w:rPr>
              <m:t xml:space="preserve">) </m:t>
            </m:r>
          </m:num>
          <m:den>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r</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d</m:t>
            </m:r>
            <m:r>
              <m:rPr>
                <m:sty m:val="b"/>
              </m:rPr>
              <w:rPr>
                <w:rFonts w:ascii="Cambria Math" w:eastAsia="SimSun" w:hAnsi="Cambria Math" w:cs="Times New Roman"/>
                <w:color w:val="000000" w:themeColor="text1"/>
                <w:sz w:val="24"/>
                <w:szCs w:val="24"/>
              </w:rPr>
              <m:t>²</m:t>
            </m:r>
          </m:den>
        </m:f>
      </m:oMath>
      <w:r w:rsidRPr="00EF4E22">
        <w:rPr>
          <w:rFonts w:ascii="Times New Roman" w:eastAsiaTheme="minorEastAsia" w:hAnsi="Times New Roman" w:cs="Times New Roman"/>
          <w:b/>
          <w:color w:val="000000" w:themeColor="text1"/>
          <w:sz w:val="24"/>
          <w:szCs w:val="24"/>
        </w:rPr>
        <w:t xml:space="preserve">    </w:t>
      </w:r>
    </w:p>
    <w:p w14:paraId="727EB882" w14:textId="77777777" w:rsidR="00DF56F5" w:rsidRPr="00B64F47" w:rsidRDefault="00DF56F5" w:rsidP="00EF4E22">
      <w:pPr>
        <w:spacing w:line="360" w:lineRule="auto"/>
        <w:jc w:val="both"/>
        <w:rPr>
          <w:rFonts w:ascii="Times New Roman" w:hAnsi="Times New Roman" w:cs="Times New Roman"/>
          <w:color w:val="000000" w:themeColor="text1"/>
          <w:sz w:val="24"/>
          <w:szCs w:val="24"/>
        </w:rPr>
      </w:pPr>
      <m:oMath>
        <m:r>
          <m:rPr>
            <m:sty m:val="b"/>
          </m:rPr>
          <w:rPr>
            <w:rFonts w:ascii="Cambria Math" w:hAnsi="Cambria Math" w:cs="Times New Roman"/>
            <w:color w:val="000000" w:themeColor="text1"/>
            <w:sz w:val="24"/>
            <w:szCs w:val="24"/>
            <w:lang w:val="en-GB"/>
          </w:rPr>
          <m:t>n</m:t>
        </m:r>
        <m:r>
          <m:rPr>
            <m:sty m:val="b"/>
          </m:rPr>
          <w:rPr>
            <w:rFonts w:ascii="Cambria Math" w:hAnsi="Cambria Math" w:cs="Times New Roman"/>
            <w:color w:val="000000" w:themeColor="text1"/>
            <w:sz w:val="24"/>
            <w:szCs w:val="24"/>
          </w:rPr>
          <m:t>=</m:t>
        </m:r>
        <m:f>
          <m:fPr>
            <m:ctrlPr>
              <w:rPr>
                <w:rFonts w:ascii="Cambria Math" w:hAnsi="Cambria Math" w:cs="Times New Roman"/>
                <w:b/>
                <w:color w:val="000000" w:themeColor="text1"/>
                <w:sz w:val="24"/>
                <w:szCs w:val="24"/>
                <w:lang w:val="en-GB"/>
              </w:rPr>
            </m:ctrlPr>
          </m:fPr>
          <m:num>
            <m:r>
              <m:rPr>
                <m:sty m:val="b"/>
              </m:rPr>
              <w:rPr>
                <w:rFonts w:ascii="Cambria Math" w:eastAsia="SimSun" w:hAnsi="Cambria Math" w:cs="Times New Roman"/>
                <w:color w:val="000000" w:themeColor="text1"/>
                <w:sz w:val="24"/>
                <w:szCs w:val="24"/>
              </w:rPr>
              <m:t xml:space="preserve"> (</m:t>
            </m:r>
            <m:r>
              <m:rPr>
                <m:sty m:val="b"/>
              </m:rPr>
              <w:rPr>
                <w:rFonts w:ascii="Cambria Math" w:eastAsia="SimSun" w:hAnsi="Cambria Math" w:cs="Times New Roman"/>
                <w:color w:val="000000" w:themeColor="text1"/>
                <w:sz w:val="24"/>
                <w:szCs w:val="24"/>
                <w:lang w:val="en-GB"/>
              </w:rPr>
              <m:t>3</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9</m:t>
            </m:r>
            <m:sSup>
              <m:sSupPr>
                <m:ctrlPr>
                  <w:rPr>
                    <w:rFonts w:ascii="Cambria Math" w:eastAsia="SimSun" w:hAnsi="Cambria Math" w:cs="Times New Roman"/>
                    <w:b/>
                    <w:color w:val="000000" w:themeColor="text1"/>
                    <w:sz w:val="24"/>
                    <w:szCs w:val="24"/>
                    <w:lang w:val="en-GB"/>
                  </w:rPr>
                </m:ctrlPr>
              </m:sSupPr>
              <m:e>
                <m:r>
                  <m:rPr>
                    <m:sty m:val="b"/>
                  </m:rPr>
                  <w:rPr>
                    <w:rFonts w:ascii="Cambria Math" w:eastAsia="SimSun" w:hAnsi="Cambria Math" w:cs="Times New Roman"/>
                    <w:color w:val="000000" w:themeColor="text1"/>
                    <w:sz w:val="24"/>
                    <w:szCs w:val="24"/>
                    <w:lang w:val="en-GB"/>
                  </w:rPr>
                  <m:t>6</m:t>
                </m:r>
              </m:e>
              <m:sup>
                <m:r>
                  <m:rPr>
                    <m:sty m:val="b"/>
                  </m:rPr>
                  <w:rPr>
                    <w:rFonts w:ascii="Cambria Math" w:eastAsia="SimSun" w:hAnsi="Cambria Math" w:cs="Times New Roman"/>
                    <w:color w:val="000000" w:themeColor="text1"/>
                    <w:sz w:val="24"/>
                    <w:szCs w:val="24"/>
                    <w:lang w:val="en-GB"/>
                  </w:rPr>
                  <m:t>2</m:t>
                </m:r>
              </m:sup>
            </m:sSup>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0</m:t>
            </m:r>
            <m:r>
              <m:rPr>
                <m:sty m:val="b"/>
              </m:rPr>
              <w:rPr>
                <w:rFonts w:ascii="Cambria Math" w:eastAsia="SimSun" w:hAnsi="Cambria Math" w:cs="Times New Roman"/>
                <w:color w:val="000000" w:themeColor="text1"/>
                <w:sz w:val="24"/>
                <w:szCs w:val="24"/>
              </w:rPr>
              <m:t>,</m:t>
            </m:r>
            <m:r>
              <m:rPr>
                <m:sty m:val="b"/>
              </m:rPr>
              <w:rPr>
                <w:rFonts w:ascii="Cambria Math" w:hAnsi="Cambria Math" w:cs="Times New Roman"/>
                <w:color w:val="000000" w:themeColor="text1"/>
                <w:sz w:val="24"/>
                <w:szCs w:val="24"/>
              </w:rPr>
              <m:t xml:space="preserve"> </m:t>
            </m:r>
            <m:r>
              <m:rPr>
                <m:sty m:val="b"/>
              </m:rPr>
              <w:rPr>
                <w:rFonts w:ascii="Cambria Math" w:hAnsi="Cambria Math" w:cs="Times New Roman"/>
                <w:color w:val="000000" w:themeColor="text1"/>
                <w:sz w:val="24"/>
                <w:szCs w:val="24"/>
                <w:lang w:val="en-GB"/>
              </w:rPr>
              <m:t>805</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1</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0</m:t>
            </m:r>
            <m:r>
              <m:rPr>
                <m:sty m:val="b"/>
              </m:rPr>
              <w:rPr>
                <w:rFonts w:ascii="Cambria Math" w:hAnsi="Cambria Math" w:cs="Times New Roman"/>
                <w:color w:val="000000" w:themeColor="text1"/>
                <w:sz w:val="24"/>
                <w:szCs w:val="24"/>
              </w:rPr>
              <m:t>,</m:t>
            </m:r>
            <m:r>
              <m:rPr>
                <m:sty m:val="b"/>
              </m:rPr>
              <w:rPr>
                <w:rFonts w:ascii="Cambria Math" w:hAnsi="Cambria Math" w:cs="Times New Roman"/>
                <w:color w:val="000000" w:themeColor="text1"/>
                <w:sz w:val="24"/>
                <w:szCs w:val="24"/>
                <w:lang w:val="en-GB"/>
              </w:rPr>
              <m:t>805</m:t>
            </m:r>
            <m:r>
              <m:rPr>
                <m:sty m:val="b"/>
              </m:rPr>
              <w:rPr>
                <w:rFonts w:ascii="Cambria Math" w:hAnsi="Cambria Math" w:cs="Times New Roman"/>
                <w:color w:val="000000" w:themeColor="text1"/>
                <w:sz w:val="24"/>
                <w:szCs w:val="24"/>
              </w:rPr>
              <m:t xml:space="preserve">) </m:t>
            </m:r>
          </m:num>
          <m:den>
            <m:r>
              <m:rPr>
                <m:sty m:val="b"/>
              </m:rPr>
              <w:rPr>
                <w:rFonts w:ascii="Cambria Math" w:eastAsia="SimSun" w:hAnsi="Cambria Math" w:cs="Times New Roman"/>
                <w:color w:val="000000" w:themeColor="text1"/>
                <w:sz w:val="24"/>
                <w:szCs w:val="24"/>
                <w:lang w:val="en-GB"/>
              </w:rPr>
              <m:t>0</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05</m:t>
            </m:r>
            <m:r>
              <m:rPr>
                <m:sty m:val="b"/>
              </m:rPr>
              <w:rPr>
                <w:rFonts w:ascii="Cambria Math" w:eastAsia="SimSun" w:hAnsi="Cambria Math" w:cs="Times New Roman"/>
                <w:color w:val="000000" w:themeColor="text1"/>
                <w:sz w:val="24"/>
                <w:szCs w:val="24"/>
              </w:rPr>
              <m:t>²(</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0</m:t>
            </m:r>
            <m:r>
              <m:rPr>
                <m:sty m:val="b"/>
              </m:rPr>
              <w:rPr>
                <w:rFonts w:ascii="Cambria Math" w:eastAsia="SimSun" w:hAnsi="Cambria Math" w:cs="Times New Roman"/>
                <w:color w:val="000000" w:themeColor="text1"/>
                <w:sz w:val="24"/>
                <w:szCs w:val="24"/>
              </w:rPr>
              <m:t>.</m:t>
            </m:r>
            <m:r>
              <m:rPr>
                <m:sty m:val="b"/>
              </m:rPr>
              <w:rPr>
                <w:rFonts w:ascii="Cambria Math" w:eastAsia="SimSun" w:hAnsi="Cambria Math" w:cs="Times New Roman"/>
                <w:color w:val="000000" w:themeColor="text1"/>
                <w:sz w:val="24"/>
                <w:szCs w:val="24"/>
                <w:lang w:val="en-GB"/>
              </w:rPr>
              <m:t>1</m:t>
            </m:r>
            <m:r>
              <m:rPr>
                <m:sty m:val="b"/>
              </m:rPr>
              <w:rPr>
                <w:rFonts w:ascii="Cambria Math" w:eastAsia="SimSun" w:hAnsi="Cambria Math" w:cs="Times New Roman"/>
                <w:color w:val="000000" w:themeColor="text1"/>
                <w:sz w:val="24"/>
                <w:szCs w:val="24"/>
              </w:rPr>
              <m:t>)</m:t>
            </m:r>
          </m:den>
        </m:f>
      </m:oMath>
      <w:r w:rsidRPr="00EF4E22">
        <w:rPr>
          <w:rFonts w:ascii="Times New Roman" w:eastAsiaTheme="minorEastAsia" w:hAnsi="Times New Roman" w:cs="Times New Roman"/>
          <w:b/>
          <w:color w:val="000000" w:themeColor="text1"/>
          <w:sz w:val="24"/>
          <w:szCs w:val="24"/>
        </w:rPr>
        <w:t xml:space="preserve">  </w:t>
      </w:r>
    </w:p>
    <w:p w14:paraId="027950BC"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The minimum size required was therefore 804 individuals.</w:t>
      </w:r>
    </w:p>
    <w:p w14:paraId="031AF95E"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b/>
          <w:bCs/>
          <w:sz w:val="24"/>
          <w:szCs w:val="24"/>
          <w:lang w:eastAsia="fr-FR"/>
        </w:rPr>
        <w:t>Estimated number of people per household</w:t>
      </w:r>
      <w:r w:rsidR="00B3192A" w:rsidRPr="00EF4E22">
        <w:rPr>
          <w:rFonts w:ascii="Times New Roman" w:eastAsia="Times New Roman" w:hAnsi="Times New Roman" w:cs="Times New Roman"/>
          <w:sz w:val="24"/>
          <w:szCs w:val="24"/>
          <w:lang w:eastAsia="fr-FR"/>
        </w:rPr>
        <w:t xml:space="preserve"> </w:t>
      </w:r>
    </w:p>
    <w:p w14:paraId="3CDD400D" w14:textId="77777777" w:rsidR="00B64F47" w:rsidRPr="00B64F47" w:rsidRDefault="00B64F47" w:rsidP="00EF4E22">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Proportion of population in target age group (a): 80%;</w:t>
      </w:r>
    </w:p>
    <w:p w14:paraId="0EEF0657" w14:textId="77777777" w:rsidR="00B64F47" w:rsidRPr="00B64F47" w:rsidRDefault="00B64F47" w:rsidP="00EF4E22">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Fraction of the population covered (b): 90%;</w:t>
      </w:r>
    </w:p>
    <w:p w14:paraId="02D2FEB7" w14:textId="77777777" w:rsidR="00B64F47" w:rsidRPr="00B64F47" w:rsidRDefault="00B64F47" w:rsidP="00EF4E22">
      <w:pPr>
        <w:numPr>
          <w:ilvl w:val="0"/>
          <w:numId w:val="1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Average household size (c): 5.</w:t>
      </w:r>
    </w:p>
    <w:p w14:paraId="7382746A" w14:textId="77777777" w:rsidR="00B64F47" w:rsidRPr="00B64F47" w:rsidRDefault="00B64F47" w:rsidP="00EF4E22">
      <w:pPr>
        <w:spacing w:after="0"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sz w:val="24"/>
          <w:szCs w:val="24"/>
          <w:lang w:eastAsia="fr-FR"/>
        </w:rPr>
        <w:t xml:space="preserve">T= </w:t>
      </w:r>
      <w:proofErr w:type="spellStart"/>
      <w:r w:rsidRPr="00EF4E22">
        <w:rPr>
          <w:rFonts w:ascii="Times New Roman" w:eastAsia="Times New Roman" w:hAnsi="Times New Roman" w:cs="Times New Roman"/>
          <w:sz w:val="24"/>
          <w:szCs w:val="24"/>
          <w:lang w:eastAsia="fr-FR"/>
        </w:rPr>
        <w:t>a×b×c</w:t>
      </w:r>
      <w:proofErr w:type="spellEnd"/>
      <w:r w:rsidRPr="00EF4E22">
        <w:rPr>
          <w:rFonts w:ascii="Times New Roman" w:eastAsia="Times New Roman" w:hAnsi="Times New Roman" w:cs="Times New Roman"/>
          <w:sz w:val="24"/>
          <w:szCs w:val="24"/>
          <w:lang w:eastAsia="fr-FR"/>
        </w:rPr>
        <w:t xml:space="preserve"> = (0, </w:t>
      </w:r>
      <w:proofErr w:type="gramStart"/>
      <w:r w:rsidR="00513C11" w:rsidRPr="00EF4E22">
        <w:rPr>
          <w:rFonts w:ascii="Times New Roman" w:eastAsia="Times New Roman" w:hAnsi="Times New Roman" w:cs="Times New Roman"/>
          <w:sz w:val="24"/>
          <w:szCs w:val="24"/>
          <w:lang w:eastAsia="fr-FR"/>
        </w:rPr>
        <w:t>8)(</w:t>
      </w:r>
      <w:proofErr w:type="gramEnd"/>
      <w:r w:rsidR="00513C11" w:rsidRPr="00EF4E22">
        <w:rPr>
          <w:rFonts w:ascii="Times New Roman" w:eastAsia="Times New Roman" w:hAnsi="Times New Roman" w:cs="Times New Roman"/>
          <w:sz w:val="24"/>
          <w:szCs w:val="24"/>
          <w:lang w:eastAsia="fr-FR"/>
        </w:rPr>
        <w:t xml:space="preserve"> 0, 9)(5)=4 eligible persons per household</w:t>
      </w:r>
    </w:p>
    <w:p w14:paraId="6EB900B7"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Number of households required:</w:t>
      </w:r>
    </w:p>
    <w:p w14:paraId="4A5D6723" w14:textId="77777777" w:rsidR="00B64F47" w:rsidRPr="00B64F47" w:rsidRDefault="00B64F47" w:rsidP="00EF4E22">
      <w:pPr>
        <w:spacing w:after="0"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sz w:val="24"/>
          <w:szCs w:val="24"/>
          <w:lang w:eastAsia="fr-FR"/>
        </w:rPr>
        <w:t>804 /4=201 households</w:t>
      </w:r>
    </w:p>
    <w:p w14:paraId="7C4A90E3" w14:textId="77777777" w:rsidR="00EF3CDE" w:rsidRDefault="00EF3CDE"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EF4E22">
        <w:rPr>
          <w:rFonts w:ascii="Times New Roman" w:eastAsia="Times New Roman" w:hAnsi="Times New Roman" w:cs="Times New Roman"/>
          <w:b/>
          <w:bCs/>
          <w:sz w:val="24"/>
          <w:szCs w:val="24"/>
          <w:lang w:eastAsia="fr-FR"/>
        </w:rPr>
        <w:t>Sampling</w:t>
      </w:r>
    </w:p>
    <w:p w14:paraId="53A5593D" w14:textId="77777777" w:rsidR="00B64F47" w:rsidRPr="00B64F47"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lastRenderedPageBreak/>
        <w:t>A three-stage cluster random sampling was applied:</w:t>
      </w:r>
    </w:p>
    <w:p w14:paraId="095D4DE8" w14:textId="77777777" w:rsidR="00FB7386"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7386">
        <w:rPr>
          <w:rFonts w:ascii="Times New Roman" w:eastAsia="Times New Roman" w:hAnsi="Times New Roman" w:cs="Times New Roman"/>
          <w:bCs/>
          <w:sz w:val="24"/>
          <w:szCs w:val="24"/>
          <w:lang w:eastAsia="fr-FR"/>
        </w:rPr>
        <w:t xml:space="preserve">First </w:t>
      </w:r>
      <w:proofErr w:type="gramStart"/>
      <w:r w:rsidRPr="00FB7386">
        <w:rPr>
          <w:rFonts w:ascii="Times New Roman" w:eastAsia="Times New Roman" w:hAnsi="Times New Roman" w:cs="Times New Roman"/>
          <w:bCs/>
          <w:sz w:val="24"/>
          <w:szCs w:val="24"/>
          <w:lang w:eastAsia="fr-FR"/>
        </w:rPr>
        <w:t xml:space="preserve">stage </w:t>
      </w:r>
      <w:r w:rsidRPr="00B64F47">
        <w:rPr>
          <w:rFonts w:ascii="Times New Roman" w:eastAsia="Times New Roman" w:hAnsi="Times New Roman" w:cs="Times New Roman"/>
          <w:sz w:val="24"/>
          <w:szCs w:val="24"/>
          <w:lang w:eastAsia="fr-FR"/>
        </w:rPr>
        <w:t>:</w:t>
      </w:r>
      <w:proofErr w:type="gramEnd"/>
      <w:r w:rsidRPr="00B64F47">
        <w:rPr>
          <w:rFonts w:ascii="Times New Roman" w:eastAsia="Times New Roman" w:hAnsi="Times New Roman" w:cs="Times New Roman"/>
          <w:sz w:val="24"/>
          <w:szCs w:val="24"/>
          <w:lang w:eastAsia="fr-FR"/>
        </w:rPr>
        <w:t xml:space="preserve"> random selection of health areas: the 12 health areas were listed in alphabetical order and numbered from 1 to 12, then 6 areas were randomly selected using a random number generator (RNG).</w:t>
      </w:r>
    </w:p>
    <w:p w14:paraId="5B828177" w14:textId="77777777" w:rsidR="003B5451" w:rsidRPr="00FB7386"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7386">
        <w:rPr>
          <w:rFonts w:ascii="Times New Roman" w:eastAsia="Times New Roman" w:hAnsi="Times New Roman" w:cs="Times New Roman"/>
          <w:bCs/>
          <w:sz w:val="24"/>
          <w:szCs w:val="24"/>
          <w:lang w:eastAsia="fr-FR"/>
        </w:rPr>
        <w:t xml:space="preserve">Second </w:t>
      </w:r>
      <w:proofErr w:type="gramStart"/>
      <w:r w:rsidRPr="00FB7386">
        <w:rPr>
          <w:rFonts w:ascii="Times New Roman" w:eastAsia="Times New Roman" w:hAnsi="Times New Roman" w:cs="Times New Roman"/>
          <w:bCs/>
          <w:sz w:val="24"/>
          <w:szCs w:val="24"/>
          <w:lang w:eastAsia="fr-FR"/>
        </w:rPr>
        <w:t xml:space="preserve">stage </w:t>
      </w:r>
      <w:r w:rsidRPr="00B64F47">
        <w:rPr>
          <w:rFonts w:ascii="Times New Roman" w:eastAsia="Times New Roman" w:hAnsi="Times New Roman" w:cs="Times New Roman"/>
          <w:sz w:val="24"/>
          <w:szCs w:val="24"/>
          <w:lang w:eastAsia="fr-FR"/>
        </w:rPr>
        <w:t>:</w:t>
      </w:r>
      <w:proofErr w:type="gramEnd"/>
      <w:r w:rsidRPr="00B64F47">
        <w:rPr>
          <w:rFonts w:ascii="Times New Roman" w:eastAsia="Times New Roman" w:hAnsi="Times New Roman" w:cs="Times New Roman"/>
          <w:sz w:val="24"/>
          <w:szCs w:val="24"/>
          <w:lang w:eastAsia="fr-FR"/>
        </w:rPr>
        <w:t xml:space="preserve"> random selection of villages or neighborhoods: the sample size was distributed proportionally to the population of each health area. The number of households per area was calculated from the average household size. The sampling interval was determined by dividing the total population of the area by the number of clusters assigned to that area.</w:t>
      </w:r>
    </w:p>
    <w:p w14:paraId="38AD974F" w14:textId="65C07E82" w:rsidR="003B5451" w:rsidRPr="00EF4E22" w:rsidRDefault="00B64F47" w:rsidP="00EF4E22">
      <w:pPr>
        <w:spacing w:before="100" w:beforeAutospacing="1" w:after="100" w:afterAutospacing="1" w:line="360" w:lineRule="auto"/>
        <w:jc w:val="both"/>
        <w:rPr>
          <w:rFonts w:ascii="Times New Roman" w:eastAsia="Times New Roman" w:hAnsi="Times New Roman" w:cs="Times New Roman"/>
          <w:sz w:val="24"/>
          <w:szCs w:val="24"/>
          <w:lang w:eastAsia="fr-FR"/>
        </w:rPr>
      </w:pPr>
      <w:r w:rsidRPr="00FB7386">
        <w:rPr>
          <w:rFonts w:ascii="Times New Roman" w:eastAsia="Times New Roman" w:hAnsi="Times New Roman" w:cs="Times New Roman"/>
          <w:bCs/>
          <w:sz w:val="24"/>
          <w:szCs w:val="24"/>
          <w:lang w:eastAsia="fr-FR"/>
        </w:rPr>
        <w:t xml:space="preserve">Third stage </w:t>
      </w:r>
      <w:r w:rsidRPr="00B64F47">
        <w:rPr>
          <w:rFonts w:ascii="Times New Roman" w:eastAsia="Times New Roman" w:hAnsi="Times New Roman" w:cs="Times New Roman"/>
          <w:sz w:val="24"/>
          <w:szCs w:val="24"/>
          <w:lang w:eastAsia="fr-FR"/>
        </w:rPr>
        <w:t xml:space="preserve">: random selection of households forming each cluster: in accordance with WHO recommendations advocating a minimum of 7 and a maximum of 15 units per cluster, 10 households per cluster were selected. </w:t>
      </w:r>
      <w:r w:rsidR="00DC5044" w:rsidRPr="00EF4E2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lvukebnw","properties":{"formattedCitation":"(13)","plainCitation":"(13)","noteIndex":0},"citationItems":[{"id":"VnN5Np0i/mJqWykvS","uris":["http://zotero.org/users/14492610/items/PN53VIVB"],"itemData":{"id":667,"type":"article-journal","language":"en","source":"Zotero","title":"Indicators and Methods for Cross-Sectional Surveys of Vitamin and Mineral Status of Populations"}}],"schema":"https://github.com/citation-style-language/schema/raw/master/csl-citation.json"} </w:instrText>
      </w:r>
      <w:r w:rsidR="00DC5044" w:rsidRPr="00EF4E2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(13)</w:t>
      </w:r>
      <w:r w:rsidR="00DC5044" w:rsidRPr="00EF4E22">
        <w:rPr>
          <w:rFonts w:ascii="Times New Roman" w:eastAsia="Times New Roman" w:hAnsi="Times New Roman" w:cs="Times New Roman"/>
          <w:sz w:val="24"/>
          <w:szCs w:val="24"/>
          <w:lang w:eastAsia="fr-FR"/>
        </w:rPr>
        <w:fldChar w:fldCharType="end"/>
      </w:r>
    </w:p>
    <w:p w14:paraId="76928CCF" w14:textId="01376056" w:rsidR="005C468E" w:rsidRDefault="00B64F47"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64F47">
        <w:rPr>
          <w:rFonts w:ascii="Times New Roman" w:eastAsia="Times New Roman" w:hAnsi="Times New Roman" w:cs="Times New Roman"/>
          <w:sz w:val="24"/>
          <w:szCs w:val="24"/>
          <w:lang w:eastAsia="fr-FR"/>
        </w:rPr>
        <w:t xml:space="preserve">A total of 804 individuals aged over 5 years were recruited from 201 households to estimate the proportion of supplemented individuals in this age group in the </w:t>
      </w:r>
      <w:proofErr w:type="spellStart"/>
      <w:r w:rsidRPr="00B64F47">
        <w:rPr>
          <w:rFonts w:ascii="Times New Roman" w:eastAsia="Times New Roman" w:hAnsi="Times New Roman" w:cs="Times New Roman"/>
          <w:sz w:val="24"/>
          <w:szCs w:val="24"/>
          <w:lang w:eastAsia="fr-FR"/>
        </w:rPr>
        <w:t>Batcham</w:t>
      </w:r>
      <w:proofErr w:type="spellEnd"/>
      <w:r w:rsidRPr="00B64F47">
        <w:rPr>
          <w:rFonts w:ascii="Times New Roman" w:eastAsia="Times New Roman" w:hAnsi="Times New Roman" w:cs="Times New Roman"/>
          <w:sz w:val="24"/>
          <w:szCs w:val="24"/>
          <w:lang w:eastAsia="fr-FR"/>
        </w:rPr>
        <w:t xml:space="preserve"> health district. The assumptions were: an AMM coverage of 80.5% (district data), a 95% CI, a cluster effect of 3 (WHO recommendation) </w:t>
      </w:r>
      <w:r w:rsidR="00E91281" w:rsidRPr="00EF4E22">
        <w:rPr>
          <w:rFonts w:ascii="Times New Roman" w:eastAsia="Times New Roman" w:hAnsi="Times New Roman" w:cs="Times New Roman"/>
          <w:sz w:val="24"/>
          <w:szCs w:val="24"/>
          <w:lang w:eastAsia="fr-FR"/>
        </w:rPr>
        <w:fldChar w:fldCharType="begin"/>
      </w:r>
      <w:r w:rsidR="006931AF">
        <w:rPr>
          <w:rFonts w:ascii="Times New Roman" w:eastAsia="Times New Roman" w:hAnsi="Times New Roman" w:cs="Times New Roman"/>
          <w:sz w:val="24"/>
          <w:szCs w:val="24"/>
          <w:lang w:eastAsia="fr-FR"/>
        </w:rPr>
        <w:instrText xml:space="preserve"> ADDIN ZOTERO_ITEM CSL_CITATION {"citationID":"4eNeDw4s","properties":{"formattedCitation":"(14)","plainCitation":"(14)","noteIndex":0},"citationItems":[{"id":"VnN5Np0i/RuejBuXU","uris":["http://zotero.org/users/14492610/items/9CNXKJ67"],"itemData":{"id":671,"type":"document","title":"Microsoft Word - Part2_Section 2 Preparing the Sample.docx","URL":"https://cdn.who.int/media/docs/default-source/ncds/ncd-surveillance/steps/part2-section2.pdf?sfvrsn=9c33a896_2&amp;utm_source=chatgpt.com","accessed":{"date-parts":[["2025",8,13]]}}}],"schema":"https://github.com/citation-style-language/schema/raw/master/csl-citation.json"} </w:instrText>
      </w:r>
      <w:r w:rsidR="00E91281" w:rsidRPr="00EF4E22">
        <w:rPr>
          <w:rFonts w:ascii="Times New Roman" w:eastAsia="Times New Roman" w:hAnsi="Times New Roman" w:cs="Times New Roman"/>
          <w:sz w:val="24"/>
          <w:szCs w:val="24"/>
          <w:lang w:eastAsia="fr-FR"/>
        </w:rPr>
        <w:fldChar w:fldCharType="separate"/>
      </w:r>
      <w:r w:rsidR="006931AF" w:rsidRPr="006931AF">
        <w:rPr>
          <w:rFonts w:ascii="Times New Roman" w:hAnsi="Times New Roman" w:cs="Times New Roman"/>
          <w:sz w:val="24"/>
        </w:rPr>
        <w:t>(14)</w:t>
      </w:r>
      <w:r w:rsidR="00E91281" w:rsidRPr="00EF4E22">
        <w:rPr>
          <w:rFonts w:ascii="Times New Roman" w:eastAsia="Times New Roman" w:hAnsi="Times New Roman" w:cs="Times New Roman"/>
          <w:sz w:val="24"/>
          <w:szCs w:val="24"/>
          <w:lang w:eastAsia="fr-FR"/>
        </w:rPr>
        <w:fldChar w:fldCharType="end"/>
      </w:r>
      <w:r w:rsidRPr="00B64F47">
        <w:rPr>
          <w:rFonts w:ascii="Times New Roman" w:eastAsia="Times New Roman" w:hAnsi="Times New Roman" w:cs="Times New Roman"/>
          <w:sz w:val="24"/>
          <w:szCs w:val="24"/>
          <w:lang w:eastAsia="fr-FR"/>
        </w:rPr>
        <w:t>and an estimated response rate of 90.1%.</w:t>
      </w:r>
    </w:p>
    <w:p w14:paraId="6F30DC9B" w14:textId="77777777" w:rsidR="00334E6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b/>
          <w:bCs/>
          <w:sz w:val="24"/>
          <w:szCs w:val="24"/>
          <w:lang w:eastAsia="fr-FR"/>
        </w:rPr>
        <w:t>Data collection tools and procedures</w:t>
      </w:r>
    </w:p>
    <w:p w14:paraId="408C0671" w14:textId="77777777" w:rsidR="00BC0474" w:rsidRPr="00BC047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sz w:val="24"/>
          <w:szCs w:val="24"/>
          <w:lang w:eastAsia="fr-FR"/>
        </w:rPr>
        <w:t xml:space="preserve">Data collection took place from February to March 2022 using a structured, face-to-face, pre-tested digital questionnaire. Designed with KOBO </w:t>
      </w:r>
      <w:r w:rsidR="000277C7">
        <w:rPr>
          <w:rFonts w:ascii="Times New Roman" w:eastAsia="Times New Roman" w:hAnsi="Times New Roman" w:cs="Times New Roman"/>
          <w:sz w:val="24"/>
          <w:szCs w:val="24"/>
          <w:lang w:eastAsia="fr-FR"/>
        </w:rPr>
        <w:t xml:space="preserve">Collect </w:t>
      </w:r>
      <w:proofErr w:type="gramStart"/>
      <w:r w:rsidR="000277C7">
        <w:rPr>
          <w:rFonts w:ascii="Times New Roman" w:eastAsia="Times New Roman" w:hAnsi="Times New Roman" w:cs="Times New Roman"/>
          <w:sz w:val="24"/>
          <w:szCs w:val="24"/>
          <w:lang w:eastAsia="fr-FR"/>
        </w:rPr>
        <w:t xml:space="preserve">software </w:t>
      </w:r>
      <w:r w:rsidRPr="00BC0474">
        <w:rPr>
          <w:rFonts w:ascii="Times New Roman" w:eastAsia="Times New Roman" w:hAnsi="Times New Roman" w:cs="Times New Roman"/>
          <w:sz w:val="24"/>
          <w:szCs w:val="24"/>
          <w:lang w:eastAsia="fr-FR"/>
        </w:rPr>
        <w:t>.</w:t>
      </w:r>
      <w:proofErr w:type="gramEnd"/>
      <w:r w:rsidRPr="00BC0474">
        <w:rPr>
          <w:rFonts w:ascii="Times New Roman" w:eastAsia="Times New Roman" w:hAnsi="Times New Roman" w:cs="Times New Roman"/>
          <w:sz w:val="24"/>
          <w:szCs w:val="24"/>
          <w:lang w:eastAsia="fr-FR"/>
        </w:rPr>
        <w:t xml:space="preserve"> The questionnaire collected sociodemographic characteristics, participation in the TCDI campaign, reasons for non-adherence, and communication channels used during the intervention. Data collection was carried out by trained and supervised </w:t>
      </w:r>
      <w:proofErr w:type="gramStart"/>
      <w:r w:rsidRPr="00BC0474">
        <w:rPr>
          <w:rFonts w:ascii="Times New Roman" w:eastAsia="Times New Roman" w:hAnsi="Times New Roman" w:cs="Times New Roman"/>
          <w:sz w:val="24"/>
          <w:szCs w:val="24"/>
          <w:lang w:eastAsia="fr-FR"/>
        </w:rPr>
        <w:t xml:space="preserve">interviewers </w:t>
      </w:r>
      <w:r w:rsidR="009858BE" w:rsidRPr="00BC0474">
        <w:rPr>
          <w:rFonts w:ascii="Times New Roman" w:eastAsia="Times New Roman" w:hAnsi="Times New Roman" w:cs="Times New Roman"/>
          <w:sz w:val="24"/>
          <w:szCs w:val="24"/>
          <w:lang w:eastAsia="fr-FR"/>
        </w:rPr>
        <w:t>.</w:t>
      </w:r>
      <w:proofErr w:type="gramEnd"/>
    </w:p>
    <w:p w14:paraId="56DFF8B0" w14:textId="77777777" w:rsidR="00334E64" w:rsidRDefault="00723F60"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b/>
          <w:bCs/>
          <w:sz w:val="24"/>
          <w:szCs w:val="24"/>
          <w:lang w:eastAsia="fr-FR"/>
        </w:rPr>
        <w:t>Data analysis</w:t>
      </w:r>
    </w:p>
    <w:p w14:paraId="39A0A41E" w14:textId="77777777" w:rsidR="00406CE8" w:rsidRPr="00406CE8" w:rsidRDefault="00BC0474" w:rsidP="00406CE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sz w:val="24"/>
          <w:szCs w:val="24"/>
          <w:lang w:eastAsia="fr-FR"/>
        </w:rPr>
        <w:t xml:space="preserve">Data analysis followed the predefined analytical framework. Descriptive statistics (frequencies and percentages) were calculated to estimate actual TCDI coverage and describe the effectiveness of communication channels. Actual coverage was compared with administrative coverage reported by the </w:t>
      </w:r>
      <w:proofErr w:type="spellStart"/>
      <w:r w:rsidRPr="00BC0474">
        <w:rPr>
          <w:rFonts w:ascii="Times New Roman" w:eastAsia="Times New Roman" w:hAnsi="Times New Roman" w:cs="Times New Roman"/>
          <w:sz w:val="24"/>
          <w:szCs w:val="24"/>
          <w:lang w:eastAsia="fr-FR"/>
        </w:rPr>
        <w:t>Batcham</w:t>
      </w:r>
      <w:proofErr w:type="spellEnd"/>
      <w:r w:rsidRPr="00BC0474">
        <w:rPr>
          <w:rFonts w:ascii="Times New Roman" w:eastAsia="Times New Roman" w:hAnsi="Times New Roman" w:cs="Times New Roman"/>
          <w:sz w:val="24"/>
          <w:szCs w:val="24"/>
          <w:lang w:eastAsia="fr-FR"/>
        </w:rPr>
        <w:t xml:space="preserve"> health district using appropriate statistical tests for proportions. Bivariate and multivariate logistic regression analyses were performed to identify factors independently associated with TCDI non-adherence. Statistical significance was set at </w:t>
      </w:r>
      <w:r w:rsidRPr="00BC0474">
        <w:rPr>
          <w:rFonts w:ascii="Times New Roman" w:eastAsia="Times New Roman" w:hAnsi="Times New Roman" w:cs="Times New Roman"/>
          <w:sz w:val="24"/>
          <w:szCs w:val="24"/>
          <w:lang w:eastAsia="fr-FR"/>
        </w:rPr>
        <w:lastRenderedPageBreak/>
        <w:t>0.05, with 95% confidence intervals (CI).</w:t>
      </w:r>
      <w:r w:rsidR="00406CE8">
        <w:rPr>
          <w:rFonts w:ascii="Times New Roman" w:eastAsia="Times New Roman" w:hAnsi="Times New Roman" w:cs="Times New Roman"/>
          <w:sz w:val="24"/>
          <w:szCs w:val="24"/>
          <w:lang w:eastAsia="fr-FR"/>
        </w:rPr>
        <w:t xml:space="preserve"> </w:t>
      </w:r>
      <w:r w:rsidR="00406CE8" w:rsidRPr="00406CE8">
        <w:rPr>
          <w:rFonts w:ascii="Times New Roman" w:eastAsia="Times New Roman" w:hAnsi="Times New Roman" w:cs="Times New Roman"/>
          <w:sz w:val="24"/>
          <w:szCs w:val="24"/>
          <w:lang w:eastAsia="fr-FR"/>
        </w:rPr>
        <w:t>To compare between the actual proportion and the reported proportion, a chi square test was used to determine if there is an association with the following hypothesis:</w:t>
      </w:r>
    </w:p>
    <w:p w14:paraId="62C4E0E6" w14:textId="77777777" w:rsidR="00406CE8" w:rsidRPr="00406CE8" w:rsidRDefault="00406CE8" w:rsidP="00406CE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06CE8">
        <w:rPr>
          <w:rFonts w:ascii="Times New Roman" w:eastAsia="Times New Roman" w:hAnsi="Times New Roman" w:cs="Times New Roman"/>
          <w:sz w:val="24"/>
          <w:szCs w:val="24"/>
          <w:lang w:eastAsia="fr-FR"/>
        </w:rPr>
        <w:t>H0: there exists no difference between the proportions</w:t>
      </w:r>
    </w:p>
    <w:p w14:paraId="69545765" w14:textId="35F4B4C4" w:rsidR="00BC0474" w:rsidRPr="00BC0474" w:rsidRDefault="00406CE8" w:rsidP="00406CE8">
      <w:pPr>
        <w:spacing w:before="100" w:beforeAutospacing="1" w:after="100" w:afterAutospacing="1" w:line="360" w:lineRule="auto"/>
        <w:jc w:val="both"/>
        <w:rPr>
          <w:rFonts w:ascii="Times New Roman" w:eastAsia="Times New Roman" w:hAnsi="Times New Roman" w:cs="Times New Roman"/>
          <w:sz w:val="24"/>
          <w:szCs w:val="24"/>
          <w:lang w:eastAsia="fr-FR"/>
        </w:rPr>
      </w:pPr>
      <w:r w:rsidRPr="00406CE8">
        <w:rPr>
          <w:rFonts w:ascii="Times New Roman" w:eastAsia="Times New Roman" w:hAnsi="Times New Roman" w:cs="Times New Roman"/>
          <w:sz w:val="24"/>
          <w:szCs w:val="24"/>
          <w:lang w:eastAsia="fr-FR"/>
        </w:rPr>
        <w:t>H1: there exists a difference between the proportions</w:t>
      </w:r>
    </w:p>
    <w:p w14:paraId="63A9A743" w14:textId="77777777" w:rsidR="00334E6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b/>
          <w:bCs/>
          <w:sz w:val="24"/>
          <w:szCs w:val="24"/>
          <w:lang w:eastAsia="fr-FR"/>
        </w:rPr>
        <w:t>Ethical considerations</w:t>
      </w:r>
      <w:r w:rsidR="00334E64">
        <w:rPr>
          <w:rFonts w:ascii="Times New Roman" w:eastAsia="Times New Roman" w:hAnsi="Times New Roman" w:cs="Times New Roman"/>
          <w:sz w:val="24"/>
          <w:szCs w:val="24"/>
          <w:lang w:eastAsia="fr-FR"/>
        </w:rPr>
        <w:t xml:space="preserve"> </w:t>
      </w:r>
    </w:p>
    <w:p w14:paraId="7716CBB1" w14:textId="3F2B7BCE" w:rsidR="001A7779" w:rsidRPr="00BC0474" w:rsidRDefault="00BC0474" w:rsidP="00B130ED">
      <w:pPr>
        <w:spacing w:before="100" w:beforeAutospacing="1" w:after="100" w:afterAutospacing="1" w:line="360" w:lineRule="auto"/>
        <w:jc w:val="both"/>
        <w:rPr>
          <w:rFonts w:ascii="Times New Roman" w:eastAsia="Times New Roman" w:hAnsi="Times New Roman" w:cs="Times New Roman"/>
          <w:sz w:val="24"/>
          <w:szCs w:val="24"/>
          <w:lang w:eastAsia="fr-FR"/>
        </w:rPr>
      </w:pPr>
      <w:r w:rsidRPr="00BC0474">
        <w:rPr>
          <w:rFonts w:ascii="Times New Roman" w:eastAsia="Times New Roman" w:hAnsi="Times New Roman" w:cs="Times New Roman"/>
          <w:sz w:val="24"/>
          <w:szCs w:val="24"/>
          <w:lang w:eastAsia="fr-FR"/>
        </w:rPr>
        <w:t xml:space="preserve">The study protocol received ethical approval from the Western Regional Ethics Committee. Administrative authorizations were obtained from the </w:t>
      </w:r>
      <w:proofErr w:type="spellStart"/>
      <w:r w:rsidRPr="00BC0474">
        <w:rPr>
          <w:rFonts w:ascii="Times New Roman" w:eastAsia="Times New Roman" w:hAnsi="Times New Roman" w:cs="Times New Roman"/>
          <w:sz w:val="24"/>
          <w:szCs w:val="24"/>
          <w:lang w:eastAsia="fr-FR"/>
        </w:rPr>
        <w:t>Batcham</w:t>
      </w:r>
      <w:proofErr w:type="spellEnd"/>
      <w:r w:rsidRPr="00BC0474">
        <w:rPr>
          <w:rFonts w:ascii="Times New Roman" w:eastAsia="Times New Roman" w:hAnsi="Times New Roman" w:cs="Times New Roman"/>
          <w:sz w:val="24"/>
          <w:szCs w:val="24"/>
          <w:lang w:eastAsia="fr-FR"/>
        </w:rPr>
        <w:t xml:space="preserve"> Health District Service and the </w:t>
      </w:r>
      <w:proofErr w:type="spellStart"/>
      <w:r w:rsidRPr="00BC0474">
        <w:rPr>
          <w:rFonts w:ascii="Times New Roman" w:eastAsia="Times New Roman" w:hAnsi="Times New Roman" w:cs="Times New Roman"/>
          <w:sz w:val="24"/>
          <w:szCs w:val="24"/>
          <w:lang w:eastAsia="fr-FR"/>
        </w:rPr>
        <w:t>Batcham</w:t>
      </w:r>
      <w:proofErr w:type="spellEnd"/>
      <w:r w:rsidRPr="00BC0474">
        <w:rPr>
          <w:rFonts w:ascii="Times New Roman" w:eastAsia="Times New Roman" w:hAnsi="Times New Roman" w:cs="Times New Roman"/>
          <w:sz w:val="24"/>
          <w:szCs w:val="24"/>
          <w:lang w:eastAsia="fr-FR"/>
        </w:rPr>
        <w:t xml:space="preserve"> Sub-Prefecture. Participation was voluntary, with written informed consent or verbal assent obtained from each participant, or from parents/legal guardians for minors. Data confidentiality was guaranteed, with access limited to authorized members of the research team.</w:t>
      </w:r>
    </w:p>
    <w:p w14:paraId="40913BEA" w14:textId="77777777" w:rsidR="00CD57EE" w:rsidRPr="001A7779" w:rsidRDefault="001A7779" w:rsidP="001A7779">
      <w:pPr>
        <w:spacing w:before="100" w:beforeAutospacing="1" w:after="100" w:afterAutospacing="1" w:line="240" w:lineRule="auto"/>
        <w:rPr>
          <w:rFonts w:ascii="Times New Roman" w:eastAsia="Times New Roman" w:hAnsi="Times New Roman" w:cs="Times New Roman"/>
          <w:sz w:val="24"/>
          <w:szCs w:val="24"/>
          <w:lang w:eastAsia="fr-FR"/>
        </w:rPr>
      </w:pPr>
      <w:r w:rsidRPr="001A7779">
        <w:rPr>
          <w:rFonts w:ascii="Times New Roman" w:eastAsia="Times New Roman" w:hAnsi="Times New Roman" w:cs="Times New Roman"/>
          <w:sz w:val="44"/>
          <w:szCs w:val="24"/>
          <w:lang w:eastAsia="fr-FR"/>
        </w:rPr>
        <w:t>Results</w:t>
      </w:r>
      <w:r w:rsidRPr="001A7779">
        <w:rPr>
          <w:rFonts w:ascii="Times New Roman" w:eastAsia="Times New Roman" w:hAnsi="Times New Roman" w:cs="Times New Roman"/>
          <w:sz w:val="24"/>
          <w:szCs w:val="24"/>
          <w:lang w:eastAsia="fr-FR"/>
        </w:rPr>
        <w:t xml:space="preserve"> </w:t>
      </w:r>
    </w:p>
    <w:p w14:paraId="1EB4482B" w14:textId="77777777" w:rsidR="001A7779" w:rsidRPr="00156EAC" w:rsidRDefault="00156EAC" w:rsidP="00156EAC">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156EAC">
        <w:rPr>
          <w:rFonts w:ascii="Times New Roman" w:hAnsi="Times New Roman" w:cs="Times New Roman"/>
          <w:b/>
          <w:sz w:val="24"/>
          <w:szCs w:val="24"/>
          <w:lang w:val="en-GB"/>
        </w:rPr>
        <w:t>Socio demographic characteristics</w:t>
      </w:r>
    </w:p>
    <w:p w14:paraId="05414A07" w14:textId="25D5FD48" w:rsidR="00CC3D95" w:rsidRDefault="00CC3D95" w:rsidP="00156EAC">
      <w:pPr>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 xml:space="preserve">Participated </w:t>
      </w:r>
      <w:r w:rsidR="004B7225">
        <w:rPr>
          <w:rFonts w:ascii="Times New Roman" w:hAnsi="Times New Roman" w:cs="Times New Roman"/>
          <w:sz w:val="24"/>
          <w:szCs w:val="24"/>
          <w:lang w:val="en-GB"/>
        </w:rPr>
        <w:t>i</w:t>
      </w:r>
      <w:r w:rsidRPr="00156EAC">
        <w:rPr>
          <w:rFonts w:ascii="Times New Roman" w:hAnsi="Times New Roman" w:cs="Times New Roman"/>
          <w:sz w:val="24"/>
          <w:szCs w:val="24"/>
          <w:lang w:val="en-GB"/>
        </w:rPr>
        <w:t xml:space="preserve">n the campaign 420(52.4%) of the participants were male and 382(47.6%) of the respondents were females. Majority 440 (54.9%) of the participants had a secondary level of education. Most 501(62.47%) of the participants were aged between 16 and 50 years old. majority of the participants were from </w:t>
      </w: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w:t>
      </w:r>
      <w:proofErr w:type="spellStart"/>
      <w:r w:rsidRPr="00156EAC">
        <w:rPr>
          <w:rFonts w:ascii="Times New Roman" w:hAnsi="Times New Roman" w:cs="Times New Roman"/>
          <w:sz w:val="24"/>
          <w:szCs w:val="24"/>
          <w:lang w:val="en-GB"/>
        </w:rPr>
        <w:t>Chefferie</w:t>
      </w:r>
      <w:proofErr w:type="spellEnd"/>
      <w:r w:rsidRPr="00156EAC">
        <w:rPr>
          <w:rFonts w:ascii="Times New Roman" w:hAnsi="Times New Roman" w:cs="Times New Roman"/>
          <w:sz w:val="24"/>
          <w:szCs w:val="24"/>
          <w:lang w:val="en-GB"/>
        </w:rPr>
        <w:t xml:space="preserve"> 193(24.1%) and the least were from </w:t>
      </w:r>
      <w:proofErr w:type="spellStart"/>
      <w:r w:rsidRPr="00156EAC">
        <w:rPr>
          <w:rFonts w:ascii="Times New Roman" w:hAnsi="Times New Roman" w:cs="Times New Roman"/>
          <w:sz w:val="24"/>
          <w:szCs w:val="24"/>
          <w:lang w:val="en-GB"/>
        </w:rPr>
        <w:t>bagang</w:t>
      </w:r>
      <w:proofErr w:type="spellEnd"/>
      <w:r w:rsidRPr="00156EAC">
        <w:rPr>
          <w:rFonts w:ascii="Times New Roman" w:hAnsi="Times New Roman" w:cs="Times New Roman"/>
          <w:sz w:val="24"/>
          <w:szCs w:val="24"/>
          <w:lang w:val="en-GB"/>
        </w:rPr>
        <w:t xml:space="preserve"> west 93(11.6%).</w:t>
      </w:r>
    </w:p>
    <w:p w14:paraId="34C1AF0F" w14:textId="77777777" w:rsidR="00AC2FAB" w:rsidRPr="00156EAC" w:rsidRDefault="00AC2FAB" w:rsidP="00156EAC">
      <w:pPr>
        <w:spacing w:line="360" w:lineRule="auto"/>
        <w:jc w:val="both"/>
        <w:rPr>
          <w:rFonts w:ascii="Times New Roman" w:hAnsi="Times New Roman" w:cs="Times New Roman"/>
          <w:sz w:val="24"/>
          <w:szCs w:val="24"/>
          <w:lang w:val="en-GB"/>
        </w:rPr>
      </w:pPr>
    </w:p>
    <w:p w14:paraId="056594FD" w14:textId="77777777" w:rsidR="00CC3D95" w:rsidRPr="00156EAC" w:rsidRDefault="00CC3D95" w:rsidP="00156EAC">
      <w:pPr>
        <w:pStyle w:val="Caption"/>
        <w:spacing w:line="360" w:lineRule="auto"/>
        <w:jc w:val="both"/>
        <w:rPr>
          <w:rFonts w:ascii="Times New Roman" w:hAnsi="Times New Roman" w:cs="Times New Roman"/>
          <w:b/>
          <w:sz w:val="24"/>
          <w:szCs w:val="24"/>
          <w:lang w:val="en-GB"/>
        </w:rPr>
      </w:pPr>
      <w:bookmarkStart w:id="1" w:name="_Toc107492416"/>
      <w:r w:rsidRPr="00156EAC">
        <w:rPr>
          <w:rFonts w:ascii="Times New Roman" w:hAnsi="Times New Roman" w:cs="Times New Roman"/>
          <w:sz w:val="24"/>
          <w:szCs w:val="24"/>
        </w:rPr>
        <w:t xml:space="preserve">Table </w:t>
      </w:r>
      <w:r w:rsidRPr="00156EAC">
        <w:rPr>
          <w:rFonts w:ascii="Times New Roman" w:hAnsi="Times New Roman" w:cs="Times New Roman"/>
          <w:noProof/>
          <w:sz w:val="24"/>
          <w:szCs w:val="24"/>
        </w:rPr>
        <w:fldChar w:fldCharType="begin"/>
      </w:r>
      <w:r w:rsidRPr="00156EAC">
        <w:rPr>
          <w:rFonts w:ascii="Times New Roman" w:hAnsi="Times New Roman" w:cs="Times New Roman"/>
          <w:noProof/>
          <w:sz w:val="24"/>
          <w:szCs w:val="24"/>
        </w:rPr>
        <w:instrText xml:space="preserve"> SEQ Table \* ARABIC </w:instrText>
      </w:r>
      <w:r w:rsidRPr="00156EAC">
        <w:rPr>
          <w:rFonts w:ascii="Times New Roman" w:hAnsi="Times New Roman" w:cs="Times New Roman"/>
          <w:noProof/>
          <w:sz w:val="24"/>
          <w:szCs w:val="24"/>
        </w:rPr>
        <w:fldChar w:fldCharType="separate"/>
      </w:r>
      <w:r w:rsidR="00423B4B">
        <w:rPr>
          <w:rFonts w:ascii="Times New Roman" w:hAnsi="Times New Roman" w:cs="Times New Roman"/>
          <w:noProof/>
          <w:sz w:val="24"/>
          <w:szCs w:val="24"/>
        </w:rPr>
        <w:t>1</w:t>
      </w:r>
      <w:r w:rsidRPr="00156EAC">
        <w:rPr>
          <w:rFonts w:ascii="Times New Roman" w:hAnsi="Times New Roman" w:cs="Times New Roman"/>
          <w:noProof/>
          <w:sz w:val="24"/>
          <w:szCs w:val="24"/>
        </w:rPr>
        <w:fldChar w:fldCharType="end"/>
      </w:r>
      <w:r w:rsidR="00F323AF" w:rsidRPr="00156EAC">
        <w:rPr>
          <w:rFonts w:ascii="Times New Roman" w:hAnsi="Times New Roman" w:cs="Times New Roman"/>
          <w:noProof/>
          <w:sz w:val="24"/>
          <w:szCs w:val="24"/>
        </w:rPr>
        <w:t xml:space="preserve"> </w:t>
      </w:r>
      <w:r w:rsidRPr="00156EAC">
        <w:rPr>
          <w:rFonts w:ascii="Times New Roman" w:hAnsi="Times New Roman" w:cs="Times New Roman"/>
          <w:b/>
          <w:sz w:val="24"/>
          <w:szCs w:val="24"/>
          <w:lang w:val="en-GB"/>
        </w:rPr>
        <w:t>Socio demographic characteristics</w:t>
      </w:r>
      <w:bookmarkEnd w:id="1"/>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293"/>
        <w:gridCol w:w="2333"/>
        <w:gridCol w:w="2098"/>
      </w:tblGrid>
      <w:tr w:rsidR="00CC3D95" w:rsidRPr="00156EAC" w14:paraId="7713859B" w14:textId="77777777" w:rsidTr="00FC2BD3">
        <w:tc>
          <w:tcPr>
            <w:tcW w:w="2839" w:type="dxa"/>
            <w:tcBorders>
              <w:top w:val="single" w:sz="4" w:space="0" w:color="auto"/>
              <w:left w:val="nil"/>
              <w:bottom w:val="single" w:sz="4" w:space="0" w:color="auto"/>
              <w:right w:val="nil"/>
            </w:tcBorders>
            <w:vAlign w:val="center"/>
          </w:tcPr>
          <w:p w14:paraId="25116CC7"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tc>
        <w:tc>
          <w:tcPr>
            <w:tcW w:w="2839" w:type="dxa"/>
            <w:tcBorders>
              <w:top w:val="single" w:sz="4" w:space="0" w:color="auto"/>
              <w:left w:val="nil"/>
              <w:bottom w:val="single" w:sz="4" w:space="0" w:color="auto"/>
              <w:right w:val="nil"/>
            </w:tcBorders>
            <w:vAlign w:val="center"/>
            <w:hideMark/>
          </w:tcPr>
          <w:p w14:paraId="2886D0F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frequency</w:t>
            </w:r>
          </w:p>
        </w:tc>
        <w:tc>
          <w:tcPr>
            <w:tcW w:w="2839" w:type="dxa"/>
            <w:tcBorders>
              <w:top w:val="single" w:sz="4" w:space="0" w:color="auto"/>
              <w:left w:val="nil"/>
              <w:bottom w:val="single" w:sz="4" w:space="0" w:color="auto"/>
              <w:right w:val="nil"/>
            </w:tcBorders>
            <w:vAlign w:val="center"/>
            <w:hideMark/>
          </w:tcPr>
          <w:p w14:paraId="570BF9FC"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Percentage (%)</w:t>
            </w:r>
          </w:p>
        </w:tc>
        <w:tc>
          <w:tcPr>
            <w:tcW w:w="2839" w:type="dxa"/>
            <w:tcBorders>
              <w:top w:val="single" w:sz="4" w:space="0" w:color="auto"/>
              <w:left w:val="nil"/>
              <w:bottom w:val="single" w:sz="4" w:space="0" w:color="auto"/>
              <w:right w:val="nil"/>
            </w:tcBorders>
            <w:vAlign w:val="center"/>
            <w:hideMark/>
          </w:tcPr>
          <w:p w14:paraId="0182195C" w14:textId="77777777" w:rsidR="00CC3D95" w:rsidRPr="00156EAC" w:rsidRDefault="00FE62CB" w:rsidP="00156EAC">
            <w:pPr>
              <w:autoSpaceDE w:val="0"/>
              <w:autoSpaceDN w:val="0"/>
              <w:adjustRightInd w:val="0"/>
              <w:spacing w:line="360" w:lineRule="auto"/>
              <w:ind w:left="60" w:right="60"/>
              <w:jc w:val="both"/>
              <w:rPr>
                <w:rFonts w:ascii="Times New Roman" w:hAnsi="Times New Roman" w:cs="Times New Roman"/>
                <w:b/>
                <w:sz w:val="24"/>
                <w:szCs w:val="24"/>
                <w:lang w:val="fr-FR"/>
              </w:rPr>
            </w:pPr>
            <w:r w:rsidRPr="00156EAC">
              <w:rPr>
                <w:rFonts w:ascii="Times New Roman" w:hAnsi="Times New Roman" w:cs="Times New Roman"/>
                <w:b/>
                <w:sz w:val="24"/>
                <w:szCs w:val="24"/>
              </w:rPr>
              <w:t>95% CI (%)</w:t>
            </w:r>
          </w:p>
        </w:tc>
      </w:tr>
      <w:tr w:rsidR="00CC3D95" w:rsidRPr="00156EAC" w14:paraId="647271F4" w14:textId="77777777" w:rsidTr="00FC2BD3">
        <w:tc>
          <w:tcPr>
            <w:tcW w:w="2839" w:type="dxa"/>
            <w:tcBorders>
              <w:top w:val="single" w:sz="4" w:space="0" w:color="auto"/>
              <w:left w:val="nil"/>
              <w:bottom w:val="nil"/>
              <w:right w:val="nil"/>
            </w:tcBorders>
            <w:vAlign w:val="center"/>
            <w:hideMark/>
          </w:tcPr>
          <w:p w14:paraId="42F98B70"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Sex</w:t>
            </w:r>
          </w:p>
          <w:p w14:paraId="7A671DED"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Female</w:t>
            </w:r>
          </w:p>
          <w:p w14:paraId="60F40FEC" w14:textId="63C2FE1E" w:rsidR="00CC3D95" w:rsidRPr="00156EAC" w:rsidRDefault="004B722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M</w:t>
            </w:r>
            <w:r w:rsidR="00CC3D95" w:rsidRPr="00156EAC">
              <w:rPr>
                <w:rFonts w:ascii="Times New Roman" w:hAnsi="Times New Roman" w:cs="Times New Roman"/>
                <w:sz w:val="24"/>
                <w:szCs w:val="24"/>
                <w:lang w:val="en-GB"/>
              </w:rPr>
              <w:t>ale</w:t>
            </w:r>
          </w:p>
        </w:tc>
        <w:tc>
          <w:tcPr>
            <w:tcW w:w="2839" w:type="dxa"/>
            <w:tcBorders>
              <w:top w:val="single" w:sz="4" w:space="0" w:color="auto"/>
              <w:left w:val="nil"/>
              <w:bottom w:val="nil"/>
              <w:right w:val="nil"/>
            </w:tcBorders>
            <w:vAlign w:val="center"/>
          </w:tcPr>
          <w:p w14:paraId="0E13B045"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245E113F"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420</w:t>
            </w:r>
          </w:p>
          <w:p w14:paraId="47C870F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382</w:t>
            </w:r>
          </w:p>
        </w:tc>
        <w:tc>
          <w:tcPr>
            <w:tcW w:w="2839" w:type="dxa"/>
            <w:tcBorders>
              <w:top w:val="single" w:sz="4" w:space="0" w:color="auto"/>
              <w:left w:val="nil"/>
              <w:bottom w:val="nil"/>
              <w:right w:val="nil"/>
            </w:tcBorders>
            <w:vAlign w:val="center"/>
          </w:tcPr>
          <w:p w14:paraId="6FA337E1"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63A3A5C0"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52.4</w:t>
            </w:r>
          </w:p>
          <w:p w14:paraId="181AB010"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47.6</w:t>
            </w:r>
          </w:p>
        </w:tc>
        <w:tc>
          <w:tcPr>
            <w:tcW w:w="2839" w:type="dxa"/>
            <w:tcBorders>
              <w:top w:val="single" w:sz="4" w:space="0" w:color="auto"/>
              <w:left w:val="nil"/>
              <w:bottom w:val="nil"/>
              <w:right w:val="nil"/>
            </w:tcBorders>
            <w:vAlign w:val="center"/>
          </w:tcPr>
          <w:p w14:paraId="52E10C36"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1E9E4883"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48.9 - 55.8</w:t>
            </w:r>
          </w:p>
          <w:p w14:paraId="39509BB6" w14:textId="77777777" w:rsidR="00CC3D95" w:rsidRPr="00156EAC" w:rsidRDefault="00F323AF"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44.2- 51.1</w:t>
            </w:r>
          </w:p>
        </w:tc>
      </w:tr>
      <w:tr w:rsidR="00CC3D95" w:rsidRPr="00156EAC" w14:paraId="57E45B36" w14:textId="77777777" w:rsidTr="00FC2BD3">
        <w:tc>
          <w:tcPr>
            <w:tcW w:w="2839" w:type="dxa"/>
            <w:tcBorders>
              <w:top w:val="nil"/>
              <w:left w:val="nil"/>
              <w:bottom w:val="nil"/>
              <w:right w:val="nil"/>
            </w:tcBorders>
            <w:vAlign w:val="center"/>
            <w:hideMark/>
          </w:tcPr>
          <w:p w14:paraId="158A7981" w14:textId="77777777" w:rsidR="00CC3D95" w:rsidRPr="00156EAC" w:rsidRDefault="00CC3D95" w:rsidP="00156EAC">
            <w:pPr>
              <w:autoSpaceDE w:val="0"/>
              <w:autoSpaceDN w:val="0"/>
              <w:adjustRightInd w:val="0"/>
              <w:spacing w:line="360" w:lineRule="auto"/>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Education</w:t>
            </w:r>
          </w:p>
          <w:p w14:paraId="7C6417DC" w14:textId="77777777" w:rsidR="00CC3D95" w:rsidRPr="00156EAC" w:rsidRDefault="00CC3D95" w:rsidP="00156EAC">
            <w:pPr>
              <w:autoSpaceDE w:val="0"/>
              <w:autoSpaceDN w:val="0"/>
              <w:adjustRightInd w:val="0"/>
              <w:spacing w:line="360" w:lineRule="auto"/>
              <w:ind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none</w:t>
            </w:r>
          </w:p>
          <w:p w14:paraId="26F4567F"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primary</w:t>
            </w:r>
          </w:p>
          <w:p w14:paraId="06A71E7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lastRenderedPageBreak/>
              <w:t>secondary</w:t>
            </w:r>
          </w:p>
          <w:p w14:paraId="54490E1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tertiary</w:t>
            </w:r>
          </w:p>
        </w:tc>
        <w:tc>
          <w:tcPr>
            <w:tcW w:w="2839" w:type="dxa"/>
            <w:tcBorders>
              <w:top w:val="nil"/>
              <w:left w:val="nil"/>
              <w:bottom w:val="nil"/>
              <w:right w:val="nil"/>
            </w:tcBorders>
            <w:vAlign w:val="center"/>
          </w:tcPr>
          <w:p w14:paraId="11ADF45A"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5983E76D"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8</w:t>
            </w:r>
          </w:p>
          <w:p w14:paraId="34522C6C"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286</w:t>
            </w:r>
          </w:p>
          <w:p w14:paraId="4F7EED5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lastRenderedPageBreak/>
              <w:t>440</w:t>
            </w:r>
          </w:p>
          <w:p w14:paraId="5363449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67</w:t>
            </w:r>
          </w:p>
        </w:tc>
        <w:tc>
          <w:tcPr>
            <w:tcW w:w="2839" w:type="dxa"/>
            <w:tcBorders>
              <w:top w:val="nil"/>
              <w:left w:val="nil"/>
              <w:bottom w:val="nil"/>
              <w:right w:val="nil"/>
            </w:tcBorders>
            <w:vAlign w:val="center"/>
          </w:tcPr>
          <w:p w14:paraId="224A707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1CC8DCB2"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1.1</w:t>
            </w:r>
          </w:p>
          <w:p w14:paraId="60C7683C"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35.7</w:t>
            </w:r>
          </w:p>
          <w:p w14:paraId="5CF6C240"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lastRenderedPageBreak/>
              <w:t>54.9</w:t>
            </w:r>
          </w:p>
          <w:p w14:paraId="01870624"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8.4</w:t>
            </w:r>
          </w:p>
        </w:tc>
        <w:tc>
          <w:tcPr>
            <w:tcW w:w="2839" w:type="dxa"/>
            <w:tcBorders>
              <w:top w:val="nil"/>
              <w:left w:val="nil"/>
              <w:bottom w:val="nil"/>
              <w:right w:val="nil"/>
            </w:tcBorders>
            <w:vAlign w:val="center"/>
          </w:tcPr>
          <w:p w14:paraId="34035457"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7EC76F76"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0.5-1.9</w:t>
            </w:r>
          </w:p>
          <w:p w14:paraId="440BEFC0"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32.4-39.0</w:t>
            </w:r>
          </w:p>
          <w:p w14:paraId="18F96DF2"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lastRenderedPageBreak/>
              <w:t>51.4-58.3</w:t>
            </w:r>
          </w:p>
          <w:p w14:paraId="33FBA48C" w14:textId="77777777" w:rsidR="00CC3D95" w:rsidRPr="00156EAC" w:rsidRDefault="001D742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6.6-10.4</w:t>
            </w:r>
          </w:p>
        </w:tc>
      </w:tr>
      <w:tr w:rsidR="00CC3D95" w:rsidRPr="00156EAC" w14:paraId="00C660F8" w14:textId="77777777" w:rsidTr="00FC2BD3">
        <w:tc>
          <w:tcPr>
            <w:tcW w:w="2839" w:type="dxa"/>
            <w:tcBorders>
              <w:top w:val="nil"/>
              <w:left w:val="nil"/>
              <w:bottom w:val="nil"/>
              <w:right w:val="nil"/>
            </w:tcBorders>
            <w:vAlign w:val="center"/>
            <w:hideMark/>
          </w:tcPr>
          <w:p w14:paraId="6E8C03FA" w14:textId="77777777" w:rsidR="00CC3D95" w:rsidRPr="00156EAC" w:rsidRDefault="00CC3D95" w:rsidP="00156EAC">
            <w:pPr>
              <w:autoSpaceDE w:val="0"/>
              <w:autoSpaceDN w:val="0"/>
              <w:adjustRightInd w:val="0"/>
              <w:spacing w:line="360" w:lineRule="auto"/>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lastRenderedPageBreak/>
              <w:t>Age</w:t>
            </w:r>
          </w:p>
          <w:p w14:paraId="0C81741A"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5-15</w:t>
            </w:r>
          </w:p>
          <w:p w14:paraId="5D4FBAAC"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16-50</w:t>
            </w:r>
          </w:p>
          <w:p w14:paraId="56B93F49"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51-65</w:t>
            </w:r>
          </w:p>
          <w:p w14:paraId="1BBDB574"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&gt;65</w:t>
            </w:r>
          </w:p>
        </w:tc>
        <w:tc>
          <w:tcPr>
            <w:tcW w:w="2839" w:type="dxa"/>
            <w:tcBorders>
              <w:top w:val="nil"/>
              <w:left w:val="nil"/>
              <w:bottom w:val="nil"/>
              <w:right w:val="nil"/>
            </w:tcBorders>
            <w:vAlign w:val="center"/>
          </w:tcPr>
          <w:p w14:paraId="57E6E620"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p w14:paraId="5017424D"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145</w:t>
            </w:r>
          </w:p>
          <w:p w14:paraId="2757544C"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501</w:t>
            </w:r>
          </w:p>
          <w:p w14:paraId="5C49B6A8"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97</w:t>
            </w:r>
          </w:p>
          <w:p w14:paraId="12F13D13"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59</w:t>
            </w:r>
          </w:p>
        </w:tc>
        <w:tc>
          <w:tcPr>
            <w:tcW w:w="2839" w:type="dxa"/>
            <w:tcBorders>
              <w:top w:val="nil"/>
              <w:left w:val="nil"/>
              <w:bottom w:val="nil"/>
              <w:right w:val="nil"/>
            </w:tcBorders>
            <w:vAlign w:val="center"/>
          </w:tcPr>
          <w:p w14:paraId="4BC0C6E9"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p w14:paraId="3D9BBDA6"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18.08</w:t>
            </w:r>
          </w:p>
          <w:p w14:paraId="1AC75D74"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62.47</w:t>
            </w:r>
          </w:p>
          <w:p w14:paraId="6D58DDF1"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12.09</w:t>
            </w:r>
          </w:p>
          <w:p w14:paraId="0547463D" w14:textId="77777777" w:rsidR="00CC3D95" w:rsidRPr="00156EAC" w:rsidRDefault="007769CA"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7.36</w:t>
            </w:r>
          </w:p>
        </w:tc>
        <w:tc>
          <w:tcPr>
            <w:tcW w:w="2839" w:type="dxa"/>
            <w:tcBorders>
              <w:top w:val="nil"/>
              <w:left w:val="nil"/>
              <w:bottom w:val="nil"/>
              <w:right w:val="nil"/>
            </w:tcBorders>
            <w:vAlign w:val="center"/>
          </w:tcPr>
          <w:p w14:paraId="1A5E43FD" w14:textId="77777777" w:rsidR="00CC3D95" w:rsidRPr="00156EAC" w:rsidRDefault="00CC3D95" w:rsidP="00156EAC">
            <w:pPr>
              <w:autoSpaceDE w:val="0"/>
              <w:autoSpaceDN w:val="0"/>
              <w:adjustRightInd w:val="0"/>
              <w:spacing w:line="360" w:lineRule="auto"/>
              <w:jc w:val="both"/>
              <w:rPr>
                <w:rFonts w:ascii="Times New Roman" w:hAnsi="Times New Roman" w:cs="Times New Roman"/>
                <w:sz w:val="24"/>
                <w:szCs w:val="24"/>
                <w:lang w:val="en-GB"/>
              </w:rPr>
            </w:pPr>
          </w:p>
          <w:p w14:paraId="2D6312BC"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lang w:val="fr-FR"/>
              </w:rPr>
            </w:pPr>
            <w:r w:rsidRPr="00156EAC">
              <w:rPr>
                <w:rFonts w:ascii="Times New Roman" w:hAnsi="Times New Roman" w:cs="Times New Roman"/>
                <w:sz w:val="24"/>
                <w:szCs w:val="24"/>
              </w:rPr>
              <w:t>15.57 -20.89</w:t>
            </w:r>
          </w:p>
          <w:p w14:paraId="4CD27742"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rPr>
            </w:pPr>
            <w:r w:rsidRPr="00156EAC">
              <w:rPr>
                <w:rFonts w:ascii="Times New Roman" w:hAnsi="Times New Roman" w:cs="Times New Roman"/>
                <w:sz w:val="24"/>
                <w:szCs w:val="24"/>
              </w:rPr>
              <w:t>59.07 -65.75</w:t>
            </w:r>
          </w:p>
          <w:p w14:paraId="41360B53"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rPr>
            </w:pPr>
            <w:r w:rsidRPr="00156EAC">
              <w:rPr>
                <w:rFonts w:ascii="Times New Roman" w:hAnsi="Times New Roman" w:cs="Times New Roman"/>
                <w:sz w:val="24"/>
                <w:szCs w:val="24"/>
              </w:rPr>
              <w:t>10.02 -14.53</w:t>
            </w:r>
          </w:p>
          <w:p w14:paraId="515D3BA7" w14:textId="77777777" w:rsidR="00CC3D95" w:rsidRPr="00156EAC" w:rsidRDefault="000F41E9" w:rsidP="00156EAC">
            <w:pPr>
              <w:autoSpaceDE w:val="0"/>
              <w:autoSpaceDN w:val="0"/>
              <w:adjustRightInd w:val="0"/>
              <w:spacing w:line="360" w:lineRule="auto"/>
              <w:jc w:val="both"/>
              <w:rPr>
                <w:rFonts w:ascii="Times New Roman" w:hAnsi="Times New Roman" w:cs="Times New Roman"/>
                <w:sz w:val="24"/>
                <w:szCs w:val="24"/>
                <w:lang w:val="en-GB"/>
              </w:rPr>
            </w:pPr>
            <w:r w:rsidRPr="00156EAC">
              <w:rPr>
                <w:rFonts w:ascii="Times New Roman" w:hAnsi="Times New Roman" w:cs="Times New Roman"/>
                <w:sz w:val="24"/>
                <w:szCs w:val="24"/>
              </w:rPr>
              <w:t xml:space="preserve">5.75 </w:t>
            </w:r>
            <w:r w:rsidR="001D7429" w:rsidRPr="00156EAC">
              <w:rPr>
                <w:rFonts w:ascii="Times New Roman" w:hAnsi="Times New Roman" w:cs="Times New Roman"/>
                <w:sz w:val="24"/>
                <w:szCs w:val="24"/>
              </w:rPr>
              <w:tab/>
              <w:t>-9.37</w:t>
            </w:r>
          </w:p>
        </w:tc>
      </w:tr>
      <w:tr w:rsidR="00CC3D95" w:rsidRPr="00156EAC" w14:paraId="41C28EB7" w14:textId="77777777" w:rsidTr="00FC2BD3">
        <w:tc>
          <w:tcPr>
            <w:tcW w:w="2839" w:type="dxa"/>
            <w:tcBorders>
              <w:top w:val="nil"/>
              <w:left w:val="nil"/>
              <w:bottom w:val="single" w:sz="4" w:space="0" w:color="auto"/>
              <w:right w:val="nil"/>
            </w:tcBorders>
            <w:vAlign w:val="center"/>
            <w:hideMark/>
          </w:tcPr>
          <w:p w14:paraId="5582C1C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b/>
                <w:sz w:val="24"/>
                <w:szCs w:val="24"/>
                <w:lang w:val="en-GB"/>
              </w:rPr>
            </w:pPr>
            <w:r w:rsidRPr="00156EAC">
              <w:rPr>
                <w:rFonts w:ascii="Times New Roman" w:hAnsi="Times New Roman" w:cs="Times New Roman"/>
                <w:b/>
                <w:sz w:val="24"/>
                <w:szCs w:val="24"/>
                <w:lang w:val="en-GB"/>
              </w:rPr>
              <w:t>Health area</w:t>
            </w:r>
          </w:p>
          <w:p w14:paraId="14505479"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Bagang</w:t>
            </w:r>
            <w:proofErr w:type="spellEnd"/>
            <w:r w:rsidRPr="00156EAC">
              <w:rPr>
                <w:rFonts w:ascii="Times New Roman" w:hAnsi="Times New Roman" w:cs="Times New Roman"/>
                <w:sz w:val="24"/>
                <w:szCs w:val="24"/>
                <w:lang w:val="en-GB"/>
              </w:rPr>
              <w:t xml:space="preserve"> West</w:t>
            </w:r>
          </w:p>
          <w:p w14:paraId="68C563D8"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Bambi</w:t>
            </w:r>
          </w:p>
          <w:p w14:paraId="7794570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Bamougong</w:t>
            </w:r>
            <w:proofErr w:type="spellEnd"/>
          </w:p>
          <w:p w14:paraId="10DB36D5"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Chiefdom</w:t>
            </w:r>
          </w:p>
          <w:p w14:paraId="44D33EF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w:t>
            </w:r>
            <w:proofErr w:type="spellStart"/>
            <w:r w:rsidRPr="00156EAC">
              <w:rPr>
                <w:rFonts w:ascii="Times New Roman" w:hAnsi="Times New Roman" w:cs="Times New Roman"/>
                <w:sz w:val="24"/>
                <w:szCs w:val="24"/>
                <w:lang w:val="en-GB"/>
              </w:rPr>
              <w:t>Fiela</w:t>
            </w:r>
            <w:proofErr w:type="spellEnd"/>
          </w:p>
          <w:p w14:paraId="7722EB9B"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roofErr w:type="spellStart"/>
            <w:r w:rsidRPr="00156EAC">
              <w:rPr>
                <w:rFonts w:ascii="Times New Roman" w:hAnsi="Times New Roman" w:cs="Times New Roman"/>
                <w:sz w:val="24"/>
                <w:szCs w:val="24"/>
                <w:lang w:val="en-GB"/>
              </w:rPr>
              <w:t>Batcham</w:t>
            </w:r>
            <w:proofErr w:type="spellEnd"/>
            <w:r w:rsidRPr="00156EAC">
              <w:rPr>
                <w:rFonts w:ascii="Times New Roman" w:hAnsi="Times New Roman" w:cs="Times New Roman"/>
                <w:sz w:val="24"/>
                <w:szCs w:val="24"/>
                <w:lang w:val="en-GB"/>
              </w:rPr>
              <w:t xml:space="preserve"> City</w:t>
            </w:r>
          </w:p>
        </w:tc>
        <w:tc>
          <w:tcPr>
            <w:tcW w:w="2839" w:type="dxa"/>
            <w:tcBorders>
              <w:top w:val="nil"/>
              <w:left w:val="nil"/>
              <w:bottom w:val="single" w:sz="4" w:space="0" w:color="auto"/>
              <w:right w:val="nil"/>
            </w:tcBorders>
            <w:vAlign w:val="center"/>
          </w:tcPr>
          <w:p w14:paraId="11B598C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7EB249A0"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93</w:t>
            </w:r>
          </w:p>
          <w:p w14:paraId="18BF88B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94</w:t>
            </w:r>
          </w:p>
          <w:p w14:paraId="06EBDB07"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175</w:t>
            </w:r>
          </w:p>
          <w:p w14:paraId="213E3E29"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193</w:t>
            </w:r>
          </w:p>
          <w:p w14:paraId="6BE38196"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142</w:t>
            </w:r>
          </w:p>
          <w:p w14:paraId="11EF3767"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105</w:t>
            </w:r>
          </w:p>
        </w:tc>
        <w:tc>
          <w:tcPr>
            <w:tcW w:w="2839" w:type="dxa"/>
            <w:tcBorders>
              <w:top w:val="nil"/>
              <w:left w:val="nil"/>
              <w:bottom w:val="single" w:sz="4" w:space="0" w:color="auto"/>
              <w:right w:val="nil"/>
            </w:tcBorders>
            <w:vAlign w:val="center"/>
          </w:tcPr>
          <w:p w14:paraId="212D3114"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5DC08AC1"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11.6</w:t>
            </w:r>
          </w:p>
          <w:p w14:paraId="3E97FAAF"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11.7</w:t>
            </w:r>
          </w:p>
          <w:p w14:paraId="6778ECFB"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21.8</w:t>
            </w:r>
          </w:p>
          <w:p w14:paraId="2528381F"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24.1</w:t>
            </w:r>
          </w:p>
          <w:p w14:paraId="12FDB60F"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17.7</w:t>
            </w:r>
          </w:p>
          <w:p w14:paraId="2A3E2B27" w14:textId="77777777" w:rsidR="00CC3D95" w:rsidRPr="00156EAC" w:rsidRDefault="007769CA"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13.1</w:t>
            </w:r>
          </w:p>
        </w:tc>
        <w:tc>
          <w:tcPr>
            <w:tcW w:w="2839" w:type="dxa"/>
            <w:tcBorders>
              <w:top w:val="nil"/>
              <w:left w:val="nil"/>
              <w:bottom w:val="single" w:sz="4" w:space="0" w:color="auto"/>
              <w:right w:val="nil"/>
            </w:tcBorders>
            <w:vAlign w:val="center"/>
          </w:tcPr>
          <w:p w14:paraId="2E0A3882" w14:textId="77777777" w:rsidR="00CC3D95" w:rsidRPr="00156EAC" w:rsidRDefault="00CC3D95" w:rsidP="00156EAC">
            <w:pPr>
              <w:autoSpaceDE w:val="0"/>
              <w:autoSpaceDN w:val="0"/>
              <w:adjustRightInd w:val="0"/>
              <w:spacing w:line="360" w:lineRule="auto"/>
              <w:ind w:left="60" w:right="60"/>
              <w:jc w:val="both"/>
              <w:rPr>
                <w:rFonts w:ascii="Times New Roman" w:hAnsi="Times New Roman" w:cs="Times New Roman"/>
                <w:sz w:val="24"/>
                <w:szCs w:val="24"/>
                <w:lang w:val="en-GB"/>
              </w:rPr>
            </w:pPr>
          </w:p>
          <w:p w14:paraId="592695B0"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9.5- 13.9</w:t>
            </w:r>
          </w:p>
          <w:p w14:paraId="38495F33"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9.6-14.1</w:t>
            </w:r>
          </w:p>
          <w:p w14:paraId="71D5EE55"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19.1- 24.8</w:t>
            </w:r>
          </w:p>
          <w:p w14:paraId="372525AB"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21.2-27.1</w:t>
            </w:r>
          </w:p>
          <w:p w14:paraId="2722F574"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15.2-20.5</w:t>
            </w:r>
          </w:p>
          <w:p w14:paraId="032F1EF0" w14:textId="77777777" w:rsidR="00CC3D95" w:rsidRPr="00156EAC" w:rsidRDefault="000F41E9" w:rsidP="00156EAC">
            <w:pPr>
              <w:autoSpaceDE w:val="0"/>
              <w:autoSpaceDN w:val="0"/>
              <w:adjustRightInd w:val="0"/>
              <w:spacing w:line="360" w:lineRule="auto"/>
              <w:ind w:left="60" w:right="60"/>
              <w:jc w:val="both"/>
              <w:rPr>
                <w:rFonts w:ascii="Times New Roman" w:hAnsi="Times New Roman" w:cs="Times New Roman"/>
                <w:sz w:val="24"/>
                <w:szCs w:val="24"/>
                <w:lang w:val="en-GB"/>
              </w:rPr>
            </w:pPr>
            <w:r w:rsidRPr="00156EAC">
              <w:rPr>
                <w:rFonts w:ascii="Times New Roman" w:hAnsi="Times New Roman" w:cs="Times New Roman"/>
                <w:sz w:val="24"/>
                <w:szCs w:val="24"/>
                <w:lang w:val="en-GB"/>
              </w:rPr>
              <w:t>10.9-15.6</w:t>
            </w:r>
          </w:p>
        </w:tc>
      </w:tr>
    </w:tbl>
    <w:p w14:paraId="5FE9DECB" w14:textId="77777777" w:rsidR="001A7779" w:rsidRDefault="001A7779" w:rsidP="00156EAC">
      <w:pPr>
        <w:spacing w:before="100" w:beforeAutospacing="1" w:after="100" w:afterAutospacing="1" w:line="360" w:lineRule="auto"/>
        <w:jc w:val="both"/>
        <w:rPr>
          <w:rFonts w:ascii="Times New Roman" w:eastAsia="Times New Roman" w:hAnsi="Times New Roman" w:cs="Times New Roman"/>
          <w:sz w:val="24"/>
          <w:szCs w:val="24"/>
          <w:lang w:eastAsia="fr-FR"/>
        </w:rPr>
      </w:pPr>
    </w:p>
    <w:p w14:paraId="2A14FA33" w14:textId="77777777" w:rsidR="005E447B" w:rsidRPr="00D26F19" w:rsidRDefault="007F6A12" w:rsidP="007F6A12">
      <w:pPr>
        <w:pStyle w:val="ListParagraph"/>
        <w:numPr>
          <w:ilvl w:val="0"/>
          <w:numId w:val="15"/>
        </w:numPr>
        <w:spacing w:line="360" w:lineRule="auto"/>
        <w:jc w:val="both"/>
        <w:rPr>
          <w:rFonts w:ascii="Times New Roman" w:hAnsi="Times New Roman" w:cs="Times New Roman"/>
          <w:b/>
          <w:color w:val="000000" w:themeColor="text1"/>
          <w:sz w:val="24"/>
          <w:szCs w:val="24"/>
          <w:lang w:val="en-GB"/>
        </w:rPr>
      </w:pPr>
      <w:r w:rsidRPr="00D26F19">
        <w:rPr>
          <w:rFonts w:ascii="Times New Roman" w:hAnsi="Times New Roman" w:cs="Times New Roman"/>
          <w:b/>
          <w:color w:val="000000" w:themeColor="text1"/>
          <w:sz w:val="24"/>
          <w:szCs w:val="24"/>
          <w:lang w:val="en-GB"/>
        </w:rPr>
        <w:t>Therapeutic coverage</w:t>
      </w:r>
    </w:p>
    <w:p w14:paraId="01CF31F3" w14:textId="77777777" w:rsidR="00DF5E51" w:rsidRDefault="00DF5E51" w:rsidP="00DF5E51">
      <w:pPr>
        <w:autoSpaceDE w:val="0"/>
        <w:autoSpaceDN w:val="0"/>
        <w:adjustRightInd w:val="0"/>
        <w:spacing w:after="0" w:line="360" w:lineRule="auto"/>
        <w:jc w:val="both"/>
        <w:rPr>
          <w:rFonts w:ascii="Times New Roman" w:hAnsi="Times New Roman" w:cs="Times New Roman"/>
          <w:sz w:val="24"/>
          <w:szCs w:val="24"/>
          <w:lang w:val="en-GB"/>
        </w:rPr>
      </w:pPr>
      <w:r w:rsidRPr="00DF5E51">
        <w:rPr>
          <w:rFonts w:ascii="Times New Roman" w:hAnsi="Times New Roman" w:cs="Times New Roman"/>
          <w:sz w:val="24"/>
          <w:szCs w:val="24"/>
          <w:lang w:val="en-GB"/>
        </w:rPr>
        <w:t xml:space="preserve">In the table below we observe that the health area with the highest coverage was </w:t>
      </w:r>
      <w:proofErr w:type="spellStart"/>
      <w:r w:rsidRPr="00DF5E51">
        <w:rPr>
          <w:rFonts w:ascii="Times New Roman" w:hAnsi="Times New Roman" w:cs="Times New Roman"/>
          <w:sz w:val="24"/>
          <w:szCs w:val="24"/>
          <w:lang w:val="en-GB"/>
        </w:rPr>
        <w:t>batcham</w:t>
      </w:r>
      <w:proofErr w:type="spellEnd"/>
      <w:r w:rsidRPr="00DF5E51">
        <w:rPr>
          <w:rFonts w:ascii="Times New Roman" w:hAnsi="Times New Roman" w:cs="Times New Roman"/>
          <w:sz w:val="24"/>
          <w:szCs w:val="24"/>
          <w:lang w:val="en-GB"/>
        </w:rPr>
        <w:t xml:space="preserve"> </w:t>
      </w:r>
      <w:proofErr w:type="spellStart"/>
      <w:r w:rsidRPr="00DF5E51">
        <w:rPr>
          <w:rFonts w:ascii="Times New Roman" w:hAnsi="Times New Roman" w:cs="Times New Roman"/>
          <w:sz w:val="24"/>
          <w:szCs w:val="24"/>
          <w:lang w:val="en-GB"/>
        </w:rPr>
        <w:t>chefferie</w:t>
      </w:r>
      <w:proofErr w:type="spellEnd"/>
      <w:r w:rsidRPr="00DF5E51">
        <w:rPr>
          <w:rFonts w:ascii="Times New Roman" w:hAnsi="Times New Roman" w:cs="Times New Roman"/>
          <w:sz w:val="24"/>
          <w:szCs w:val="24"/>
          <w:lang w:val="en-GB"/>
        </w:rPr>
        <w:t xml:space="preserve"> 169(87.9%) followed by </w:t>
      </w:r>
      <w:proofErr w:type="spellStart"/>
      <w:r w:rsidRPr="00DF5E51">
        <w:rPr>
          <w:rFonts w:ascii="Times New Roman" w:hAnsi="Times New Roman" w:cs="Times New Roman"/>
          <w:sz w:val="24"/>
          <w:szCs w:val="24"/>
          <w:lang w:val="en-GB"/>
        </w:rPr>
        <w:t>bangang</w:t>
      </w:r>
      <w:proofErr w:type="spellEnd"/>
      <w:r w:rsidRPr="00DF5E51">
        <w:rPr>
          <w:rFonts w:ascii="Times New Roman" w:hAnsi="Times New Roman" w:cs="Times New Roman"/>
          <w:sz w:val="24"/>
          <w:szCs w:val="24"/>
          <w:lang w:val="en-GB"/>
        </w:rPr>
        <w:t xml:space="preserve"> </w:t>
      </w:r>
      <w:proofErr w:type="spellStart"/>
      <w:r w:rsidRPr="00DF5E51">
        <w:rPr>
          <w:rFonts w:ascii="Times New Roman" w:hAnsi="Times New Roman" w:cs="Times New Roman"/>
          <w:sz w:val="24"/>
          <w:szCs w:val="24"/>
          <w:lang w:val="en-GB"/>
        </w:rPr>
        <w:t>ouest</w:t>
      </w:r>
      <w:proofErr w:type="spellEnd"/>
      <w:r w:rsidRPr="00DF5E51">
        <w:rPr>
          <w:rFonts w:ascii="Times New Roman" w:hAnsi="Times New Roman" w:cs="Times New Roman"/>
          <w:sz w:val="24"/>
          <w:szCs w:val="24"/>
          <w:lang w:val="en-GB"/>
        </w:rPr>
        <w:t xml:space="preserve"> 81(87.1%) and then </w:t>
      </w:r>
      <w:proofErr w:type="spellStart"/>
      <w:r w:rsidRPr="00DF5E51">
        <w:rPr>
          <w:rFonts w:ascii="Times New Roman" w:hAnsi="Times New Roman" w:cs="Times New Roman"/>
          <w:sz w:val="24"/>
          <w:szCs w:val="24"/>
          <w:lang w:val="en-GB"/>
        </w:rPr>
        <w:t>bambi</w:t>
      </w:r>
      <w:proofErr w:type="spellEnd"/>
      <w:r w:rsidRPr="00DF5E51">
        <w:rPr>
          <w:rFonts w:ascii="Times New Roman" w:hAnsi="Times New Roman" w:cs="Times New Roman"/>
          <w:sz w:val="24"/>
          <w:szCs w:val="24"/>
          <w:lang w:val="en-GB"/>
        </w:rPr>
        <w:t xml:space="preserve"> 61(64.9%). The health areas with the least coverage was </w:t>
      </w:r>
      <w:proofErr w:type="spellStart"/>
      <w:r w:rsidRPr="00DF5E51">
        <w:rPr>
          <w:rFonts w:ascii="Times New Roman" w:hAnsi="Times New Roman" w:cs="Times New Roman"/>
          <w:sz w:val="24"/>
          <w:szCs w:val="24"/>
          <w:lang w:val="en-GB"/>
        </w:rPr>
        <w:t>bamougong</w:t>
      </w:r>
      <w:proofErr w:type="spellEnd"/>
      <w:r w:rsidRPr="00DF5E51">
        <w:rPr>
          <w:rFonts w:ascii="Times New Roman" w:hAnsi="Times New Roman" w:cs="Times New Roman"/>
          <w:sz w:val="24"/>
          <w:szCs w:val="24"/>
          <w:lang w:val="en-GB"/>
        </w:rPr>
        <w:t xml:space="preserve"> 57(32.6%) followed by </w:t>
      </w:r>
      <w:proofErr w:type="spellStart"/>
      <w:r w:rsidRPr="00DF5E51">
        <w:rPr>
          <w:rFonts w:ascii="Times New Roman" w:hAnsi="Times New Roman" w:cs="Times New Roman"/>
          <w:sz w:val="24"/>
          <w:szCs w:val="24"/>
          <w:lang w:val="en-GB"/>
        </w:rPr>
        <w:t>batcham</w:t>
      </w:r>
      <w:proofErr w:type="spellEnd"/>
      <w:r w:rsidRPr="00DF5E51">
        <w:rPr>
          <w:rFonts w:ascii="Times New Roman" w:hAnsi="Times New Roman" w:cs="Times New Roman"/>
          <w:sz w:val="24"/>
          <w:szCs w:val="24"/>
          <w:lang w:val="en-GB"/>
        </w:rPr>
        <w:t xml:space="preserve"> city 37(35.2%). Overall the health district of </w:t>
      </w:r>
      <w:proofErr w:type="spellStart"/>
      <w:r w:rsidRPr="00DF5E51">
        <w:rPr>
          <w:rFonts w:ascii="Times New Roman" w:hAnsi="Times New Roman" w:cs="Times New Roman"/>
          <w:sz w:val="24"/>
          <w:szCs w:val="24"/>
          <w:lang w:val="en-GB"/>
        </w:rPr>
        <w:t>batcham</w:t>
      </w:r>
      <w:proofErr w:type="spellEnd"/>
      <w:r w:rsidRPr="00DF5E51">
        <w:rPr>
          <w:rFonts w:ascii="Times New Roman" w:hAnsi="Times New Roman" w:cs="Times New Roman"/>
          <w:sz w:val="24"/>
          <w:szCs w:val="24"/>
          <w:lang w:val="en-GB"/>
        </w:rPr>
        <w:t xml:space="preserve"> had a drug coverage of 61.7%.</w:t>
      </w:r>
    </w:p>
    <w:p w14:paraId="04BBEC55" w14:textId="77777777" w:rsidR="00296E8C" w:rsidRPr="00DF5E51" w:rsidRDefault="00296E8C" w:rsidP="00DF5E51">
      <w:pPr>
        <w:autoSpaceDE w:val="0"/>
        <w:autoSpaceDN w:val="0"/>
        <w:adjustRightInd w:val="0"/>
        <w:spacing w:after="0" w:line="360" w:lineRule="auto"/>
        <w:jc w:val="both"/>
        <w:rPr>
          <w:rFonts w:ascii="Times New Roman" w:hAnsi="Times New Roman" w:cs="Times New Roman"/>
          <w:sz w:val="24"/>
          <w:szCs w:val="24"/>
          <w:lang w:val="en-GB"/>
        </w:rPr>
      </w:pPr>
    </w:p>
    <w:p w14:paraId="38661D13" w14:textId="77777777" w:rsidR="00DF5E51" w:rsidRPr="004B7225" w:rsidRDefault="00DF5E51" w:rsidP="00DF5E51">
      <w:pPr>
        <w:pStyle w:val="Caption"/>
        <w:rPr>
          <w:rFonts w:ascii="Times New Roman" w:hAnsi="Times New Roman" w:cs="Times New Roman"/>
          <w:i w:val="0"/>
          <w:iCs w:val="0"/>
          <w:color w:val="auto"/>
          <w:sz w:val="24"/>
          <w:szCs w:val="24"/>
          <w:lang w:val="en-GB"/>
        </w:rPr>
      </w:pPr>
      <w:bookmarkStart w:id="2" w:name="_Toc107492417"/>
      <w:r w:rsidRPr="004B7225">
        <w:rPr>
          <w:rFonts w:ascii="Times New Roman" w:hAnsi="Times New Roman" w:cs="Times New Roman"/>
          <w:i w:val="0"/>
          <w:iCs w:val="0"/>
          <w:color w:val="auto"/>
          <w:sz w:val="24"/>
          <w:szCs w:val="24"/>
          <w:lang w:val="en-CA"/>
        </w:rPr>
        <w:t xml:space="preserve">Table </w:t>
      </w:r>
      <w:r w:rsidRPr="004B7225">
        <w:rPr>
          <w:rFonts w:ascii="Times New Roman" w:hAnsi="Times New Roman" w:cs="Times New Roman"/>
          <w:i w:val="0"/>
          <w:iCs w:val="0"/>
          <w:color w:val="auto"/>
          <w:sz w:val="24"/>
          <w:szCs w:val="24"/>
        </w:rPr>
        <w:fldChar w:fldCharType="begin"/>
      </w:r>
      <w:r w:rsidRPr="004B7225">
        <w:rPr>
          <w:rFonts w:ascii="Times New Roman" w:hAnsi="Times New Roman" w:cs="Times New Roman"/>
          <w:i w:val="0"/>
          <w:iCs w:val="0"/>
          <w:color w:val="auto"/>
          <w:sz w:val="24"/>
          <w:szCs w:val="24"/>
          <w:lang w:val="en-CA"/>
        </w:rPr>
        <w:instrText xml:space="preserve"> SEQ Table \* ARABIC </w:instrText>
      </w:r>
      <w:r w:rsidRPr="004B7225">
        <w:rPr>
          <w:rFonts w:ascii="Times New Roman" w:hAnsi="Times New Roman" w:cs="Times New Roman"/>
          <w:i w:val="0"/>
          <w:iCs w:val="0"/>
          <w:color w:val="auto"/>
          <w:sz w:val="24"/>
          <w:szCs w:val="24"/>
        </w:rPr>
        <w:fldChar w:fldCharType="separate"/>
      </w:r>
      <w:r w:rsidR="00423B4B" w:rsidRPr="004B7225">
        <w:rPr>
          <w:rFonts w:ascii="Times New Roman" w:hAnsi="Times New Roman" w:cs="Times New Roman"/>
          <w:i w:val="0"/>
          <w:iCs w:val="0"/>
          <w:noProof/>
          <w:color w:val="auto"/>
          <w:sz w:val="24"/>
          <w:szCs w:val="24"/>
          <w:lang w:val="en-CA"/>
        </w:rPr>
        <w:t>2</w:t>
      </w:r>
      <w:r w:rsidRPr="004B7225">
        <w:rPr>
          <w:rFonts w:ascii="Times New Roman" w:hAnsi="Times New Roman" w:cs="Times New Roman"/>
          <w:i w:val="0"/>
          <w:iCs w:val="0"/>
          <w:color w:val="auto"/>
          <w:sz w:val="24"/>
          <w:szCs w:val="24"/>
        </w:rPr>
        <w:fldChar w:fldCharType="end"/>
      </w:r>
      <w:r w:rsidRPr="004B7225">
        <w:rPr>
          <w:rFonts w:ascii="Times New Roman" w:hAnsi="Times New Roman" w:cs="Times New Roman"/>
          <w:i w:val="0"/>
          <w:iCs w:val="0"/>
          <w:color w:val="auto"/>
          <w:sz w:val="24"/>
          <w:szCs w:val="24"/>
          <w:lang w:val="en-CA"/>
        </w:rPr>
        <w:t xml:space="preserve"> </w:t>
      </w:r>
      <w:r w:rsidRPr="004B7225">
        <w:rPr>
          <w:rFonts w:ascii="Times New Roman" w:hAnsi="Times New Roman" w:cs="Times New Roman"/>
          <w:i w:val="0"/>
          <w:iCs w:val="0"/>
          <w:color w:val="auto"/>
          <w:sz w:val="24"/>
          <w:szCs w:val="24"/>
          <w:lang w:val="en-GB"/>
        </w:rPr>
        <w:t xml:space="preserve">Therapeutic coverage of the 2021 round of </w:t>
      </w:r>
      <w:r w:rsidR="007F6A12" w:rsidRPr="004B7225">
        <w:rPr>
          <w:rFonts w:ascii="Times New Roman" w:hAnsi="Times New Roman" w:cs="Times New Roman"/>
          <w:i w:val="0"/>
          <w:iCs w:val="0"/>
          <w:color w:val="auto"/>
          <w:sz w:val="24"/>
          <w:szCs w:val="24"/>
          <w:lang w:val="en-GB"/>
        </w:rPr>
        <w:t xml:space="preserve">Community Directed Treatment with Ivermectin in the </w:t>
      </w:r>
      <w:proofErr w:type="spellStart"/>
      <w:r w:rsidR="007F6A12" w:rsidRPr="004B7225">
        <w:rPr>
          <w:rFonts w:ascii="Times New Roman" w:hAnsi="Times New Roman" w:cs="Times New Roman"/>
          <w:i w:val="0"/>
          <w:iCs w:val="0"/>
          <w:color w:val="auto"/>
          <w:sz w:val="24"/>
          <w:szCs w:val="24"/>
          <w:lang w:val="en-GB"/>
        </w:rPr>
        <w:t>Batcham</w:t>
      </w:r>
      <w:proofErr w:type="spellEnd"/>
      <w:r w:rsidR="007F6A12" w:rsidRPr="004B7225">
        <w:rPr>
          <w:rFonts w:ascii="Times New Roman" w:hAnsi="Times New Roman" w:cs="Times New Roman"/>
          <w:i w:val="0"/>
          <w:iCs w:val="0"/>
          <w:color w:val="auto"/>
          <w:sz w:val="24"/>
          <w:szCs w:val="24"/>
          <w:lang w:val="en-GB"/>
        </w:rPr>
        <w:t xml:space="preserve"> health district per HA</w:t>
      </w:r>
      <w:bookmarkEnd w:id="2"/>
    </w:p>
    <w:tbl>
      <w:tblPr>
        <w:tblStyle w:val="TableGrid"/>
        <w:tblW w:w="868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17"/>
        <w:gridCol w:w="1916"/>
        <w:gridCol w:w="1916"/>
        <w:gridCol w:w="1936"/>
      </w:tblGrid>
      <w:tr w:rsidR="00DF5E51" w:rsidRPr="00D26F19" w14:paraId="4CB4159F" w14:textId="77777777" w:rsidTr="00D26F19">
        <w:trPr>
          <w:trHeight w:val="341"/>
        </w:trPr>
        <w:tc>
          <w:tcPr>
            <w:tcW w:w="2915" w:type="dxa"/>
            <w:tcBorders>
              <w:top w:val="single" w:sz="4" w:space="0" w:color="auto"/>
              <w:bottom w:val="single" w:sz="4" w:space="0" w:color="auto"/>
            </w:tcBorders>
          </w:tcPr>
          <w:p w14:paraId="4076221B" w14:textId="77777777" w:rsidR="00DF5E51" w:rsidRPr="00D26F19" w:rsidRDefault="00DF5E51" w:rsidP="00FC2BD3">
            <w:pPr>
              <w:autoSpaceDE w:val="0"/>
              <w:autoSpaceDN w:val="0"/>
              <w:adjustRightInd w:val="0"/>
              <w:spacing w:line="320" w:lineRule="atLeast"/>
              <w:ind w:left="60" w:right="60"/>
              <w:jc w:val="both"/>
              <w:rPr>
                <w:rFonts w:ascii="Times New Roman" w:hAnsi="Times New Roman" w:cs="Times New Roman"/>
                <w:b/>
                <w:i/>
                <w:szCs w:val="18"/>
                <w:lang w:val="en-GB"/>
              </w:rPr>
            </w:pPr>
          </w:p>
        </w:tc>
        <w:tc>
          <w:tcPr>
            <w:tcW w:w="1916" w:type="dxa"/>
            <w:tcBorders>
              <w:top w:val="single" w:sz="4" w:space="0" w:color="auto"/>
              <w:bottom w:val="single" w:sz="4" w:space="0" w:color="auto"/>
            </w:tcBorders>
            <w:hideMark/>
          </w:tcPr>
          <w:p w14:paraId="0F0749EB" w14:textId="5B31BFB9" w:rsidR="00DF5E51" w:rsidRPr="00D26F19" w:rsidRDefault="004B7225" w:rsidP="00FC2BD3">
            <w:pPr>
              <w:autoSpaceDE w:val="0"/>
              <w:autoSpaceDN w:val="0"/>
              <w:adjustRightInd w:val="0"/>
              <w:spacing w:line="320" w:lineRule="atLeast"/>
              <w:ind w:left="60" w:right="60"/>
              <w:jc w:val="both"/>
              <w:rPr>
                <w:rFonts w:ascii="Times New Roman" w:hAnsi="Times New Roman" w:cs="Times New Roman"/>
                <w:b/>
                <w:sz w:val="24"/>
                <w:szCs w:val="18"/>
                <w:lang w:val="en-GB"/>
              </w:rPr>
            </w:pPr>
            <w:r w:rsidRPr="00D26F19">
              <w:rPr>
                <w:rFonts w:ascii="Times New Roman" w:hAnsi="Times New Roman" w:cs="Times New Roman"/>
                <w:b/>
                <w:sz w:val="24"/>
                <w:szCs w:val="18"/>
                <w:lang w:val="en-GB"/>
              </w:rPr>
              <w:t>F</w:t>
            </w:r>
            <w:r w:rsidR="00DF5E51" w:rsidRPr="00D26F19">
              <w:rPr>
                <w:rFonts w:ascii="Times New Roman" w:hAnsi="Times New Roman" w:cs="Times New Roman"/>
                <w:b/>
                <w:sz w:val="24"/>
                <w:szCs w:val="18"/>
                <w:lang w:val="en-GB"/>
              </w:rPr>
              <w:t>requency</w:t>
            </w:r>
          </w:p>
        </w:tc>
        <w:tc>
          <w:tcPr>
            <w:tcW w:w="1916" w:type="dxa"/>
            <w:tcBorders>
              <w:top w:val="single" w:sz="4" w:space="0" w:color="auto"/>
              <w:bottom w:val="single" w:sz="4" w:space="0" w:color="auto"/>
            </w:tcBorders>
            <w:hideMark/>
          </w:tcPr>
          <w:p w14:paraId="25AB6343" w14:textId="77777777" w:rsidR="00DF5E51" w:rsidRPr="00D26F19" w:rsidRDefault="00DF5E51" w:rsidP="00FC2BD3">
            <w:pPr>
              <w:autoSpaceDE w:val="0"/>
              <w:autoSpaceDN w:val="0"/>
              <w:adjustRightInd w:val="0"/>
              <w:spacing w:line="320" w:lineRule="atLeast"/>
              <w:ind w:left="60" w:right="60"/>
              <w:jc w:val="both"/>
              <w:rPr>
                <w:rFonts w:ascii="Times New Roman" w:hAnsi="Times New Roman" w:cs="Times New Roman"/>
                <w:b/>
                <w:sz w:val="24"/>
                <w:szCs w:val="18"/>
                <w:lang w:val="en-GB"/>
              </w:rPr>
            </w:pPr>
            <w:r w:rsidRPr="00D26F19">
              <w:rPr>
                <w:rFonts w:ascii="Times New Roman" w:hAnsi="Times New Roman" w:cs="Times New Roman"/>
                <w:b/>
                <w:sz w:val="24"/>
                <w:szCs w:val="18"/>
                <w:lang w:val="en-GB"/>
              </w:rPr>
              <w:t>Percentage (%)</w:t>
            </w:r>
          </w:p>
        </w:tc>
        <w:tc>
          <w:tcPr>
            <w:tcW w:w="1936" w:type="dxa"/>
            <w:tcBorders>
              <w:top w:val="single" w:sz="4" w:space="0" w:color="auto"/>
              <w:bottom w:val="single" w:sz="4" w:space="0" w:color="auto"/>
            </w:tcBorders>
            <w:hideMark/>
          </w:tcPr>
          <w:p w14:paraId="3B0BBF3B" w14:textId="77777777" w:rsidR="00DF5E51" w:rsidRPr="00D26F19" w:rsidRDefault="00DF5E51" w:rsidP="00FC2BD3">
            <w:pPr>
              <w:autoSpaceDE w:val="0"/>
              <w:autoSpaceDN w:val="0"/>
              <w:adjustRightInd w:val="0"/>
              <w:spacing w:line="320" w:lineRule="atLeast"/>
              <w:ind w:left="60" w:right="60"/>
              <w:jc w:val="both"/>
              <w:rPr>
                <w:rFonts w:ascii="Times New Roman" w:hAnsi="Times New Roman" w:cs="Times New Roman"/>
                <w:b/>
                <w:sz w:val="24"/>
                <w:szCs w:val="18"/>
                <w:lang w:val="fr-FR"/>
              </w:rPr>
            </w:pPr>
            <w:r w:rsidRPr="00D26F19">
              <w:rPr>
                <w:rFonts w:ascii="Times New Roman" w:hAnsi="Times New Roman" w:cs="Times New Roman"/>
                <w:b/>
                <w:sz w:val="24"/>
                <w:szCs w:val="18"/>
              </w:rPr>
              <w:t>95.0% CI</w:t>
            </w:r>
          </w:p>
        </w:tc>
      </w:tr>
      <w:tr w:rsidR="00DF5E51" w:rsidRPr="00BD55C0" w14:paraId="43BAD620" w14:textId="77777777" w:rsidTr="00D26F19">
        <w:trPr>
          <w:trHeight w:val="341"/>
        </w:trPr>
        <w:tc>
          <w:tcPr>
            <w:tcW w:w="2915" w:type="dxa"/>
            <w:tcBorders>
              <w:top w:val="single" w:sz="4" w:space="0" w:color="auto"/>
            </w:tcBorders>
            <w:hideMark/>
          </w:tcPr>
          <w:p w14:paraId="33AE50C6"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iCs/>
                <w:szCs w:val="18"/>
                <w:lang w:val="en-GB"/>
              </w:rPr>
            </w:pPr>
            <w:r w:rsidRPr="00BD55C0">
              <w:rPr>
                <w:rFonts w:ascii="Times New Roman" w:hAnsi="Times New Roman" w:cs="Times New Roman"/>
                <w:iCs/>
                <w:szCs w:val="18"/>
                <w:lang w:val="en-GB"/>
              </w:rPr>
              <w:t>BAGANG WEST</w:t>
            </w:r>
          </w:p>
        </w:tc>
        <w:tc>
          <w:tcPr>
            <w:tcW w:w="1916" w:type="dxa"/>
            <w:tcBorders>
              <w:top w:val="single" w:sz="4" w:space="0" w:color="auto"/>
            </w:tcBorders>
            <w:hideMark/>
          </w:tcPr>
          <w:p w14:paraId="415D97DE"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81</w:t>
            </w:r>
          </w:p>
        </w:tc>
        <w:tc>
          <w:tcPr>
            <w:tcW w:w="1916" w:type="dxa"/>
            <w:tcBorders>
              <w:top w:val="single" w:sz="4" w:space="0" w:color="auto"/>
            </w:tcBorders>
            <w:hideMark/>
          </w:tcPr>
          <w:p w14:paraId="3E97F49E"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87.1</w:t>
            </w:r>
          </w:p>
        </w:tc>
        <w:tc>
          <w:tcPr>
            <w:tcW w:w="1936" w:type="dxa"/>
            <w:tcBorders>
              <w:top w:val="single" w:sz="4" w:space="0" w:color="auto"/>
            </w:tcBorders>
            <w:hideMark/>
          </w:tcPr>
          <w:p w14:paraId="66902A7C"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79.2-92.7</w:t>
            </w:r>
          </w:p>
        </w:tc>
      </w:tr>
      <w:tr w:rsidR="00DF5E51" w:rsidRPr="00BD55C0" w14:paraId="73772370" w14:textId="77777777" w:rsidTr="00D26F19">
        <w:trPr>
          <w:trHeight w:val="375"/>
        </w:trPr>
        <w:tc>
          <w:tcPr>
            <w:tcW w:w="2915" w:type="dxa"/>
            <w:hideMark/>
          </w:tcPr>
          <w:p w14:paraId="71B565DC"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BAMBI</w:t>
            </w:r>
          </w:p>
        </w:tc>
        <w:tc>
          <w:tcPr>
            <w:tcW w:w="1916" w:type="dxa"/>
            <w:hideMark/>
          </w:tcPr>
          <w:p w14:paraId="571199C3"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61</w:t>
            </w:r>
          </w:p>
        </w:tc>
        <w:tc>
          <w:tcPr>
            <w:tcW w:w="1916" w:type="dxa"/>
            <w:hideMark/>
          </w:tcPr>
          <w:p w14:paraId="5944BCF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64.9</w:t>
            </w:r>
          </w:p>
        </w:tc>
        <w:tc>
          <w:tcPr>
            <w:tcW w:w="1936" w:type="dxa"/>
            <w:hideMark/>
          </w:tcPr>
          <w:p w14:paraId="3D11EB28"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54.9-74.0</w:t>
            </w:r>
          </w:p>
        </w:tc>
      </w:tr>
      <w:tr w:rsidR="00DF5E51" w:rsidRPr="00BD55C0" w14:paraId="56B476D7" w14:textId="77777777" w:rsidTr="00D26F19">
        <w:trPr>
          <w:trHeight w:val="358"/>
        </w:trPr>
        <w:tc>
          <w:tcPr>
            <w:tcW w:w="2915" w:type="dxa"/>
            <w:hideMark/>
          </w:tcPr>
          <w:p w14:paraId="3C976B96"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BAMOUGONG</w:t>
            </w:r>
          </w:p>
        </w:tc>
        <w:tc>
          <w:tcPr>
            <w:tcW w:w="1916" w:type="dxa"/>
            <w:hideMark/>
          </w:tcPr>
          <w:p w14:paraId="1807228D"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57</w:t>
            </w:r>
          </w:p>
        </w:tc>
        <w:tc>
          <w:tcPr>
            <w:tcW w:w="1916" w:type="dxa"/>
            <w:hideMark/>
          </w:tcPr>
          <w:p w14:paraId="64C5328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32.6</w:t>
            </w:r>
          </w:p>
        </w:tc>
        <w:tc>
          <w:tcPr>
            <w:tcW w:w="1936" w:type="dxa"/>
            <w:hideMark/>
          </w:tcPr>
          <w:p w14:paraId="7C2FF41A"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26.0-39.8</w:t>
            </w:r>
          </w:p>
        </w:tc>
      </w:tr>
      <w:tr w:rsidR="00DF5E51" w:rsidRPr="00BD55C0" w14:paraId="7025B22A" w14:textId="77777777" w:rsidTr="00D26F19">
        <w:trPr>
          <w:trHeight w:val="397"/>
        </w:trPr>
        <w:tc>
          <w:tcPr>
            <w:tcW w:w="2915" w:type="dxa"/>
            <w:hideMark/>
          </w:tcPr>
          <w:p w14:paraId="643FF76F"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BATCHAM CHIEF</w:t>
            </w:r>
          </w:p>
        </w:tc>
        <w:tc>
          <w:tcPr>
            <w:tcW w:w="1916" w:type="dxa"/>
            <w:hideMark/>
          </w:tcPr>
          <w:p w14:paraId="05045BA8"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169</w:t>
            </w:r>
          </w:p>
        </w:tc>
        <w:tc>
          <w:tcPr>
            <w:tcW w:w="1916" w:type="dxa"/>
            <w:hideMark/>
          </w:tcPr>
          <w:p w14:paraId="133CF8F3"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87.6</w:t>
            </w:r>
          </w:p>
        </w:tc>
        <w:tc>
          <w:tcPr>
            <w:tcW w:w="1936" w:type="dxa"/>
            <w:hideMark/>
          </w:tcPr>
          <w:p w14:paraId="25274F9B"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82.4-91.7</w:t>
            </w:r>
          </w:p>
        </w:tc>
      </w:tr>
      <w:tr w:rsidR="00DF5E51" w:rsidRPr="00BD55C0" w14:paraId="3571F78C" w14:textId="77777777" w:rsidTr="00D26F19">
        <w:trPr>
          <w:trHeight w:val="358"/>
        </w:trPr>
        <w:tc>
          <w:tcPr>
            <w:tcW w:w="2915" w:type="dxa"/>
            <w:hideMark/>
          </w:tcPr>
          <w:p w14:paraId="7130F2AF"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BATCHAM FIELA</w:t>
            </w:r>
          </w:p>
        </w:tc>
        <w:tc>
          <w:tcPr>
            <w:tcW w:w="1916" w:type="dxa"/>
            <w:hideMark/>
          </w:tcPr>
          <w:p w14:paraId="7DDB2678"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90</w:t>
            </w:r>
          </w:p>
        </w:tc>
        <w:tc>
          <w:tcPr>
            <w:tcW w:w="1916" w:type="dxa"/>
            <w:hideMark/>
          </w:tcPr>
          <w:p w14:paraId="5B5FD662"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63.4</w:t>
            </w:r>
          </w:p>
        </w:tc>
        <w:tc>
          <w:tcPr>
            <w:tcW w:w="1936" w:type="dxa"/>
            <w:hideMark/>
          </w:tcPr>
          <w:p w14:paraId="06B05322"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55.3-71.0</w:t>
            </w:r>
          </w:p>
        </w:tc>
      </w:tr>
      <w:tr w:rsidR="00DF5E51" w:rsidRPr="00BD55C0" w14:paraId="376FEA60" w14:textId="77777777" w:rsidTr="00D26F19">
        <w:trPr>
          <w:trHeight w:val="375"/>
        </w:trPr>
        <w:tc>
          <w:tcPr>
            <w:tcW w:w="2915" w:type="dxa"/>
            <w:hideMark/>
          </w:tcPr>
          <w:p w14:paraId="7032988A"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BATCHAM VILLE</w:t>
            </w:r>
          </w:p>
        </w:tc>
        <w:tc>
          <w:tcPr>
            <w:tcW w:w="1916" w:type="dxa"/>
            <w:hideMark/>
          </w:tcPr>
          <w:p w14:paraId="6012C870"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37</w:t>
            </w:r>
          </w:p>
        </w:tc>
        <w:tc>
          <w:tcPr>
            <w:tcW w:w="1916" w:type="dxa"/>
            <w:hideMark/>
          </w:tcPr>
          <w:p w14:paraId="4BA05684"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35.2</w:t>
            </w:r>
          </w:p>
        </w:tc>
        <w:tc>
          <w:tcPr>
            <w:tcW w:w="1936" w:type="dxa"/>
            <w:hideMark/>
          </w:tcPr>
          <w:p w14:paraId="6123DA0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26.6-44.7</w:t>
            </w:r>
          </w:p>
        </w:tc>
      </w:tr>
      <w:tr w:rsidR="00DF5E51" w:rsidRPr="00BD55C0" w14:paraId="5162072D" w14:textId="77777777" w:rsidTr="00D26F19">
        <w:trPr>
          <w:trHeight w:val="358"/>
        </w:trPr>
        <w:tc>
          <w:tcPr>
            <w:tcW w:w="2915" w:type="dxa"/>
            <w:hideMark/>
          </w:tcPr>
          <w:p w14:paraId="5B7F48AE"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Total</w:t>
            </w:r>
          </w:p>
        </w:tc>
        <w:tc>
          <w:tcPr>
            <w:tcW w:w="1916" w:type="dxa"/>
            <w:hideMark/>
          </w:tcPr>
          <w:p w14:paraId="3D1412F4" w14:textId="77777777" w:rsidR="00DF5E51" w:rsidRPr="00BD55C0" w:rsidRDefault="00DF5E51" w:rsidP="00FC2BD3">
            <w:pPr>
              <w:autoSpaceDE w:val="0"/>
              <w:autoSpaceDN w:val="0"/>
              <w:adjustRightInd w:val="0"/>
              <w:spacing w:line="320" w:lineRule="atLeast"/>
              <w:ind w:left="60" w:right="60"/>
              <w:jc w:val="both"/>
              <w:rPr>
                <w:rFonts w:ascii="Times New Roman" w:hAnsi="Times New Roman" w:cs="Times New Roman"/>
                <w:szCs w:val="18"/>
                <w:lang w:val="en-GB"/>
              </w:rPr>
            </w:pPr>
            <w:r w:rsidRPr="00BD55C0">
              <w:rPr>
                <w:rFonts w:ascii="Times New Roman" w:hAnsi="Times New Roman" w:cs="Times New Roman"/>
                <w:szCs w:val="18"/>
                <w:lang w:val="en-GB"/>
              </w:rPr>
              <w:t>495</w:t>
            </w:r>
          </w:p>
        </w:tc>
        <w:tc>
          <w:tcPr>
            <w:tcW w:w="1916" w:type="dxa"/>
            <w:hideMark/>
          </w:tcPr>
          <w:p w14:paraId="4627E904"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61.7</w:t>
            </w:r>
          </w:p>
        </w:tc>
        <w:tc>
          <w:tcPr>
            <w:tcW w:w="1936" w:type="dxa"/>
            <w:hideMark/>
          </w:tcPr>
          <w:p w14:paraId="04231825" w14:textId="77777777" w:rsidR="00DF5E51" w:rsidRPr="00BD55C0" w:rsidRDefault="00296E8C" w:rsidP="00FC2BD3">
            <w:pPr>
              <w:autoSpaceDE w:val="0"/>
              <w:autoSpaceDN w:val="0"/>
              <w:adjustRightInd w:val="0"/>
              <w:spacing w:line="320" w:lineRule="atLeast"/>
              <w:ind w:left="60" w:right="60"/>
              <w:jc w:val="both"/>
              <w:rPr>
                <w:rFonts w:ascii="Times New Roman" w:hAnsi="Times New Roman" w:cs="Times New Roman"/>
                <w:szCs w:val="18"/>
                <w:lang w:val="en-GB"/>
              </w:rPr>
            </w:pPr>
            <w:r>
              <w:rPr>
                <w:rFonts w:ascii="Times New Roman" w:hAnsi="Times New Roman" w:cs="Times New Roman"/>
                <w:szCs w:val="18"/>
                <w:lang w:val="en-GB"/>
              </w:rPr>
              <w:t>58.3-65.0</w:t>
            </w:r>
          </w:p>
        </w:tc>
      </w:tr>
    </w:tbl>
    <w:p w14:paraId="38BA2AFB" w14:textId="77777777" w:rsidR="00AE219D" w:rsidRPr="00DF5E51" w:rsidRDefault="00AE219D" w:rsidP="00687BDE">
      <w:pPr>
        <w:pStyle w:val="ListParagraph"/>
        <w:spacing w:before="100" w:beforeAutospacing="1" w:after="100" w:afterAutospacing="1" w:line="360" w:lineRule="auto"/>
        <w:jc w:val="both"/>
        <w:rPr>
          <w:rFonts w:ascii="Times New Roman" w:eastAsia="Times New Roman" w:hAnsi="Times New Roman" w:cs="Times New Roman"/>
          <w:sz w:val="24"/>
          <w:szCs w:val="24"/>
          <w:lang w:val="en-GB" w:eastAsia="fr-FR"/>
        </w:rPr>
      </w:pPr>
    </w:p>
    <w:p w14:paraId="17B0F6CA" w14:textId="1F7D6E19" w:rsidR="001120B1" w:rsidRPr="00764B25" w:rsidRDefault="00687BDE" w:rsidP="00687BDE">
      <w:pPr>
        <w:pStyle w:val="ListParagraph"/>
        <w:numPr>
          <w:ilvl w:val="0"/>
          <w:numId w:val="15"/>
        </w:numPr>
        <w:autoSpaceDE w:val="0"/>
        <w:autoSpaceDN w:val="0"/>
        <w:adjustRightInd w:val="0"/>
        <w:spacing w:after="0" w:line="400" w:lineRule="atLeast"/>
        <w:jc w:val="both"/>
        <w:rPr>
          <w:rFonts w:ascii="Times New Roman" w:hAnsi="Times New Roman" w:cs="Times New Roman"/>
          <w:sz w:val="24"/>
          <w:szCs w:val="24"/>
          <w:lang w:val="en-GB"/>
        </w:rPr>
      </w:pPr>
      <w:r w:rsidRPr="00764B25">
        <w:rPr>
          <w:rFonts w:ascii="Times New Roman" w:hAnsi="Times New Roman" w:cs="Times New Roman"/>
          <w:b/>
          <w:sz w:val="24"/>
          <w:szCs w:val="24"/>
          <w:lang w:val="en-GB"/>
        </w:rPr>
        <w:lastRenderedPageBreak/>
        <w:t>Comparison between the actual coverage and the reported coverag</w:t>
      </w:r>
      <w:r w:rsidR="00764B25">
        <w:rPr>
          <w:rFonts w:ascii="Times New Roman" w:hAnsi="Times New Roman" w:cs="Times New Roman"/>
          <w:b/>
          <w:sz w:val="24"/>
          <w:szCs w:val="24"/>
          <w:lang w:val="en-GB"/>
        </w:rPr>
        <w:t>e</w:t>
      </w:r>
    </w:p>
    <w:p w14:paraId="26B58A3D" w14:textId="77777777" w:rsidR="00687BDE" w:rsidRPr="00BD55C0" w:rsidRDefault="00687BDE" w:rsidP="00687BDE">
      <w:pPr>
        <w:pStyle w:val="Caption"/>
        <w:rPr>
          <w:rFonts w:ascii="Times New Roman" w:hAnsi="Times New Roman" w:cs="Times New Roman"/>
          <w:sz w:val="24"/>
          <w:szCs w:val="24"/>
          <w:lang w:val="en-GB"/>
        </w:rPr>
      </w:pPr>
      <w:bookmarkStart w:id="3" w:name="_Toc107492418"/>
      <w:r w:rsidRPr="009E0852">
        <w:rPr>
          <w:lang w:val="en-CA"/>
        </w:rPr>
        <w:t xml:space="preserve">Table </w:t>
      </w:r>
      <w:r>
        <w:fldChar w:fldCharType="begin"/>
      </w:r>
      <w:r w:rsidRPr="009E0852">
        <w:rPr>
          <w:lang w:val="en-CA"/>
        </w:rPr>
        <w:instrText xml:space="preserve"> SEQ Table \* ARABIC </w:instrText>
      </w:r>
      <w:r>
        <w:fldChar w:fldCharType="separate"/>
      </w:r>
      <w:r w:rsidR="00423B4B">
        <w:rPr>
          <w:noProof/>
          <w:lang w:val="en-CA"/>
        </w:rPr>
        <w:t>3</w:t>
      </w:r>
      <w:r>
        <w:fldChar w:fldCharType="end"/>
      </w:r>
      <w:r w:rsidRPr="009E0852">
        <w:rPr>
          <w:lang w:val="en-CA"/>
        </w:rPr>
        <w:t xml:space="preserve"> </w:t>
      </w:r>
      <w:r>
        <w:rPr>
          <w:rFonts w:ascii="Times New Roman" w:hAnsi="Times New Roman" w:cs="Times New Roman"/>
          <w:sz w:val="24"/>
          <w:szCs w:val="24"/>
          <w:lang w:val="en-GB"/>
        </w:rPr>
        <w:t>Comparison between actual and reported coverage</w:t>
      </w:r>
      <w:bookmarkEnd w:id="3"/>
    </w:p>
    <w:tbl>
      <w:tblPr>
        <w:tblStyle w:val="TableGrid"/>
        <w:tblW w:w="949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7"/>
        <w:gridCol w:w="1215"/>
        <w:gridCol w:w="1695"/>
        <w:gridCol w:w="1695"/>
        <w:gridCol w:w="816"/>
        <w:gridCol w:w="993"/>
        <w:gridCol w:w="1134"/>
      </w:tblGrid>
      <w:tr w:rsidR="00687BDE" w:rsidRPr="00BD55C0" w14:paraId="3973890C" w14:textId="77777777" w:rsidTr="00695CA4">
        <w:trPr>
          <w:trHeight w:val="517"/>
        </w:trPr>
        <w:tc>
          <w:tcPr>
            <w:tcW w:w="3160" w:type="dxa"/>
            <w:gridSpan w:val="2"/>
            <w:tcBorders>
              <w:top w:val="single" w:sz="4" w:space="0" w:color="auto"/>
              <w:bottom w:val="single" w:sz="4" w:space="0" w:color="auto"/>
            </w:tcBorders>
          </w:tcPr>
          <w:p w14:paraId="1D8510DE" w14:textId="77777777" w:rsidR="00687BDE" w:rsidRPr="00BD55C0" w:rsidRDefault="00687BDE" w:rsidP="001E7205">
            <w:pPr>
              <w:autoSpaceDE w:val="0"/>
              <w:autoSpaceDN w:val="0"/>
              <w:adjustRightInd w:val="0"/>
              <w:rPr>
                <w:rFonts w:ascii="Times New Roman" w:hAnsi="Times New Roman" w:cs="Times New Roman"/>
                <w:szCs w:val="18"/>
                <w:lang w:val="en-GB"/>
              </w:rPr>
            </w:pPr>
          </w:p>
        </w:tc>
        <w:tc>
          <w:tcPr>
            <w:tcW w:w="1695" w:type="dxa"/>
            <w:tcBorders>
              <w:top w:val="single" w:sz="4" w:space="0" w:color="auto"/>
              <w:bottom w:val="single" w:sz="4" w:space="0" w:color="auto"/>
            </w:tcBorders>
            <w:hideMark/>
          </w:tcPr>
          <w:p w14:paraId="14E4CBCC" w14:textId="77777777" w:rsidR="00687BDE" w:rsidRPr="00BD55C0" w:rsidRDefault="00203BE0"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Postponed</w:t>
            </w:r>
          </w:p>
        </w:tc>
        <w:tc>
          <w:tcPr>
            <w:tcW w:w="1695" w:type="dxa"/>
            <w:tcBorders>
              <w:top w:val="single" w:sz="4" w:space="0" w:color="auto"/>
              <w:bottom w:val="single" w:sz="4" w:space="0" w:color="auto"/>
            </w:tcBorders>
            <w:hideMark/>
          </w:tcPr>
          <w:p w14:paraId="286B1EF6" w14:textId="77777777" w:rsidR="00687BDE" w:rsidRPr="00BD55C0" w:rsidRDefault="00203BE0"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Current</w:t>
            </w:r>
          </w:p>
        </w:tc>
        <w:tc>
          <w:tcPr>
            <w:tcW w:w="816" w:type="dxa"/>
            <w:tcBorders>
              <w:top w:val="single" w:sz="4" w:space="0" w:color="auto"/>
              <w:bottom w:val="single" w:sz="4" w:space="0" w:color="auto"/>
            </w:tcBorders>
          </w:tcPr>
          <w:p w14:paraId="308F92A5" w14:textId="77777777" w:rsidR="00687BDE" w:rsidRPr="00BD55C0" w:rsidRDefault="00203BE0" w:rsidP="001E7205">
            <w:pPr>
              <w:autoSpaceDE w:val="0"/>
              <w:autoSpaceDN w:val="0"/>
              <w:adjustRightInd w:val="0"/>
              <w:rPr>
                <w:rFonts w:ascii="Times New Roman" w:hAnsi="Times New Roman" w:cs="Times New Roman"/>
                <w:szCs w:val="18"/>
                <w:lang w:val="en-GB"/>
              </w:rPr>
            </w:pPr>
            <w:r>
              <w:rPr>
                <w:rFonts w:ascii="Times New Roman" w:hAnsi="Times New Roman" w:cs="Times New Roman"/>
                <w:szCs w:val="18"/>
                <w:lang w:val="en-GB"/>
              </w:rPr>
              <w:t>Total</w:t>
            </w:r>
          </w:p>
        </w:tc>
        <w:tc>
          <w:tcPr>
            <w:tcW w:w="993" w:type="dxa"/>
            <w:tcBorders>
              <w:top w:val="single" w:sz="4" w:space="0" w:color="auto"/>
              <w:bottom w:val="single" w:sz="4" w:space="0" w:color="auto"/>
            </w:tcBorders>
            <w:hideMark/>
          </w:tcPr>
          <w:p w14:paraId="0EF97E2A" w14:textId="77777777" w:rsidR="00687BDE" w:rsidRPr="00BD55C0" w:rsidRDefault="00687BDE" w:rsidP="001E7205">
            <w:pPr>
              <w:autoSpaceDE w:val="0"/>
              <w:autoSpaceDN w:val="0"/>
              <w:adjustRightInd w:val="0"/>
              <w:rPr>
                <w:rFonts w:ascii="Times New Roman" w:hAnsi="Times New Roman" w:cs="Times New Roman"/>
                <w:szCs w:val="18"/>
                <w:vertAlign w:val="superscript"/>
                <w:lang w:val="en-GB"/>
              </w:rPr>
            </w:pPr>
            <w:r w:rsidRPr="00BD55C0">
              <w:rPr>
                <w:rFonts w:ascii="Times New Roman" w:hAnsi="Times New Roman" w:cs="Times New Roman"/>
                <w:szCs w:val="18"/>
                <w:lang w:val="en-GB"/>
              </w:rPr>
              <w:t xml:space="preserve">Chi </w:t>
            </w:r>
            <w:r w:rsidRPr="00BD55C0">
              <w:rPr>
                <w:rFonts w:ascii="Times New Roman" w:hAnsi="Times New Roman" w:cs="Times New Roman"/>
                <w:szCs w:val="18"/>
                <w:vertAlign w:val="superscript"/>
                <w:lang w:val="en-GB"/>
              </w:rPr>
              <w:t>2</w:t>
            </w:r>
          </w:p>
        </w:tc>
        <w:tc>
          <w:tcPr>
            <w:tcW w:w="1134" w:type="dxa"/>
            <w:tcBorders>
              <w:top w:val="single" w:sz="4" w:space="0" w:color="auto"/>
              <w:bottom w:val="single" w:sz="4" w:space="0" w:color="auto"/>
            </w:tcBorders>
            <w:hideMark/>
          </w:tcPr>
          <w:p w14:paraId="1469C9E8" w14:textId="77777777" w:rsidR="00687BDE" w:rsidRPr="00BD55C0" w:rsidRDefault="00687BDE" w:rsidP="001E7205">
            <w:pPr>
              <w:autoSpaceDE w:val="0"/>
              <w:autoSpaceDN w:val="0"/>
              <w:adjustRightInd w:val="0"/>
              <w:rPr>
                <w:rFonts w:ascii="Times New Roman" w:hAnsi="Times New Roman" w:cs="Times New Roman"/>
                <w:szCs w:val="18"/>
                <w:lang w:val="en-GB"/>
              </w:rPr>
            </w:pPr>
            <w:r w:rsidRPr="00BD55C0">
              <w:rPr>
                <w:rFonts w:ascii="Times New Roman" w:hAnsi="Times New Roman" w:cs="Times New Roman"/>
                <w:szCs w:val="18"/>
                <w:lang w:val="en-GB"/>
              </w:rPr>
              <w:t>P value</w:t>
            </w:r>
          </w:p>
        </w:tc>
      </w:tr>
      <w:tr w:rsidR="00687BDE" w:rsidRPr="00BD55C0" w14:paraId="79E52146" w14:textId="77777777" w:rsidTr="00695CA4">
        <w:trPr>
          <w:trHeight w:val="517"/>
        </w:trPr>
        <w:tc>
          <w:tcPr>
            <w:tcW w:w="1946" w:type="dxa"/>
            <w:vMerge w:val="restart"/>
            <w:tcBorders>
              <w:top w:val="single" w:sz="4" w:space="0" w:color="auto"/>
            </w:tcBorders>
            <w:hideMark/>
          </w:tcPr>
          <w:p w14:paraId="205D5AF1"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Taken drugs</w:t>
            </w:r>
          </w:p>
        </w:tc>
        <w:tc>
          <w:tcPr>
            <w:tcW w:w="1214" w:type="dxa"/>
            <w:tcBorders>
              <w:top w:val="single" w:sz="4" w:space="0" w:color="auto"/>
            </w:tcBorders>
            <w:hideMark/>
          </w:tcPr>
          <w:p w14:paraId="38769144"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No</w:t>
            </w:r>
          </w:p>
        </w:tc>
        <w:tc>
          <w:tcPr>
            <w:tcW w:w="1695" w:type="dxa"/>
            <w:tcBorders>
              <w:top w:val="single" w:sz="4" w:space="0" w:color="auto"/>
            </w:tcBorders>
            <w:hideMark/>
          </w:tcPr>
          <w:p w14:paraId="37AF9CA5"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10</w:t>
            </w:r>
          </w:p>
        </w:tc>
        <w:tc>
          <w:tcPr>
            <w:tcW w:w="1695" w:type="dxa"/>
            <w:tcBorders>
              <w:top w:val="single" w:sz="4" w:space="0" w:color="auto"/>
            </w:tcBorders>
            <w:hideMark/>
          </w:tcPr>
          <w:p w14:paraId="67192F98"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38</w:t>
            </w:r>
          </w:p>
        </w:tc>
        <w:tc>
          <w:tcPr>
            <w:tcW w:w="816" w:type="dxa"/>
            <w:tcBorders>
              <w:top w:val="single" w:sz="4" w:space="0" w:color="auto"/>
            </w:tcBorders>
            <w:hideMark/>
          </w:tcPr>
          <w:p w14:paraId="4C43C943"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48</w:t>
            </w:r>
          </w:p>
        </w:tc>
        <w:tc>
          <w:tcPr>
            <w:tcW w:w="993" w:type="dxa"/>
            <w:vMerge w:val="restart"/>
            <w:tcBorders>
              <w:top w:val="single" w:sz="4" w:space="0" w:color="auto"/>
            </w:tcBorders>
            <w:hideMark/>
          </w:tcPr>
          <w:p w14:paraId="5F8CF085"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21.49</w:t>
            </w:r>
          </w:p>
        </w:tc>
        <w:tc>
          <w:tcPr>
            <w:tcW w:w="1134" w:type="dxa"/>
            <w:vMerge w:val="restart"/>
            <w:tcBorders>
              <w:top w:val="single" w:sz="4" w:space="0" w:color="auto"/>
            </w:tcBorders>
            <w:hideMark/>
          </w:tcPr>
          <w:p w14:paraId="3CF40EB6" w14:textId="77777777" w:rsidR="00687BDE" w:rsidRPr="00203BE0" w:rsidRDefault="00687BDE" w:rsidP="001E7205">
            <w:pPr>
              <w:autoSpaceDE w:val="0"/>
              <w:autoSpaceDN w:val="0"/>
              <w:adjustRightInd w:val="0"/>
              <w:spacing w:line="320" w:lineRule="atLeast"/>
              <w:ind w:left="60" w:right="60"/>
              <w:rPr>
                <w:rFonts w:ascii="Times New Roman" w:hAnsi="Times New Roman" w:cs="Times New Roman"/>
                <w:b/>
                <w:szCs w:val="18"/>
                <w:lang w:val="en-GB"/>
              </w:rPr>
            </w:pPr>
            <w:r w:rsidRPr="00203BE0">
              <w:rPr>
                <w:rFonts w:ascii="Times New Roman" w:hAnsi="Times New Roman" w:cs="Times New Roman"/>
                <w:b/>
                <w:szCs w:val="18"/>
                <w:lang w:val="en-GB"/>
              </w:rPr>
              <w:t>0.000</w:t>
            </w:r>
          </w:p>
        </w:tc>
      </w:tr>
      <w:tr w:rsidR="00687BDE" w:rsidRPr="00BD55C0" w14:paraId="1BE72BC4" w14:textId="77777777" w:rsidTr="00695CA4">
        <w:trPr>
          <w:trHeight w:val="568"/>
        </w:trPr>
        <w:tc>
          <w:tcPr>
            <w:tcW w:w="3160" w:type="dxa"/>
            <w:vMerge/>
            <w:vAlign w:val="center"/>
            <w:hideMark/>
          </w:tcPr>
          <w:p w14:paraId="663A6D5E" w14:textId="77777777" w:rsidR="00687BDE" w:rsidRPr="00BD55C0" w:rsidRDefault="00687BDE" w:rsidP="001E7205">
            <w:pPr>
              <w:rPr>
                <w:rFonts w:ascii="Times New Roman" w:hAnsi="Times New Roman" w:cs="Times New Roman"/>
                <w:szCs w:val="18"/>
                <w:lang w:val="en-GB"/>
              </w:rPr>
            </w:pPr>
          </w:p>
        </w:tc>
        <w:tc>
          <w:tcPr>
            <w:tcW w:w="1214" w:type="dxa"/>
            <w:hideMark/>
          </w:tcPr>
          <w:p w14:paraId="6A82A190"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Yes</w:t>
            </w:r>
          </w:p>
        </w:tc>
        <w:tc>
          <w:tcPr>
            <w:tcW w:w="1695" w:type="dxa"/>
            <w:hideMark/>
          </w:tcPr>
          <w:p w14:paraId="307CF92A"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90</w:t>
            </w:r>
          </w:p>
        </w:tc>
        <w:tc>
          <w:tcPr>
            <w:tcW w:w="1695" w:type="dxa"/>
            <w:hideMark/>
          </w:tcPr>
          <w:p w14:paraId="456F90A8"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62</w:t>
            </w:r>
          </w:p>
        </w:tc>
        <w:tc>
          <w:tcPr>
            <w:tcW w:w="816" w:type="dxa"/>
            <w:hideMark/>
          </w:tcPr>
          <w:p w14:paraId="640D530C"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152</w:t>
            </w:r>
          </w:p>
        </w:tc>
        <w:tc>
          <w:tcPr>
            <w:tcW w:w="993" w:type="dxa"/>
            <w:vMerge/>
            <w:vAlign w:val="center"/>
            <w:hideMark/>
          </w:tcPr>
          <w:p w14:paraId="6E37E147" w14:textId="77777777" w:rsidR="00687BDE" w:rsidRPr="00BD55C0" w:rsidRDefault="00687BDE" w:rsidP="001E7205">
            <w:pPr>
              <w:rPr>
                <w:rFonts w:ascii="Times New Roman" w:hAnsi="Times New Roman" w:cs="Times New Roman"/>
                <w:szCs w:val="18"/>
                <w:lang w:val="en-GB"/>
              </w:rPr>
            </w:pPr>
          </w:p>
        </w:tc>
        <w:tc>
          <w:tcPr>
            <w:tcW w:w="1134" w:type="dxa"/>
            <w:vMerge/>
            <w:vAlign w:val="center"/>
            <w:hideMark/>
          </w:tcPr>
          <w:p w14:paraId="70CA4C8A" w14:textId="77777777" w:rsidR="00687BDE" w:rsidRPr="00BD55C0" w:rsidRDefault="00687BDE" w:rsidP="001E7205">
            <w:pPr>
              <w:rPr>
                <w:rFonts w:ascii="Times New Roman" w:hAnsi="Times New Roman" w:cs="Times New Roman"/>
                <w:szCs w:val="18"/>
                <w:lang w:val="en-GB"/>
              </w:rPr>
            </w:pPr>
          </w:p>
        </w:tc>
      </w:tr>
      <w:tr w:rsidR="00687BDE" w:rsidRPr="00BD55C0" w14:paraId="4EF5D7DC" w14:textId="77777777" w:rsidTr="00695CA4">
        <w:trPr>
          <w:trHeight w:val="517"/>
        </w:trPr>
        <w:tc>
          <w:tcPr>
            <w:tcW w:w="3160" w:type="dxa"/>
            <w:gridSpan w:val="2"/>
            <w:hideMark/>
          </w:tcPr>
          <w:p w14:paraId="0E86CBC2"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Total</w:t>
            </w:r>
          </w:p>
        </w:tc>
        <w:tc>
          <w:tcPr>
            <w:tcW w:w="1695" w:type="dxa"/>
            <w:hideMark/>
          </w:tcPr>
          <w:p w14:paraId="644384E0"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100</w:t>
            </w:r>
          </w:p>
        </w:tc>
        <w:tc>
          <w:tcPr>
            <w:tcW w:w="1695" w:type="dxa"/>
            <w:hideMark/>
          </w:tcPr>
          <w:p w14:paraId="0D4D7672"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100</w:t>
            </w:r>
          </w:p>
        </w:tc>
        <w:tc>
          <w:tcPr>
            <w:tcW w:w="816" w:type="dxa"/>
            <w:hideMark/>
          </w:tcPr>
          <w:p w14:paraId="6FC5AA8F" w14:textId="77777777" w:rsidR="00687BDE" w:rsidRPr="00BD55C0" w:rsidRDefault="00687BDE" w:rsidP="001E7205">
            <w:pPr>
              <w:autoSpaceDE w:val="0"/>
              <w:autoSpaceDN w:val="0"/>
              <w:adjustRightInd w:val="0"/>
              <w:spacing w:line="320" w:lineRule="atLeast"/>
              <w:ind w:left="60" w:right="60"/>
              <w:rPr>
                <w:rFonts w:ascii="Times New Roman" w:hAnsi="Times New Roman" w:cs="Times New Roman"/>
                <w:szCs w:val="18"/>
                <w:lang w:val="en-GB"/>
              </w:rPr>
            </w:pPr>
            <w:r w:rsidRPr="00BD55C0">
              <w:rPr>
                <w:rFonts w:ascii="Times New Roman" w:hAnsi="Times New Roman" w:cs="Times New Roman"/>
                <w:szCs w:val="18"/>
                <w:lang w:val="en-GB"/>
              </w:rPr>
              <w:t>200</w:t>
            </w:r>
          </w:p>
        </w:tc>
        <w:tc>
          <w:tcPr>
            <w:tcW w:w="993" w:type="dxa"/>
            <w:vMerge/>
            <w:vAlign w:val="center"/>
            <w:hideMark/>
          </w:tcPr>
          <w:p w14:paraId="0D2D242B" w14:textId="77777777" w:rsidR="00687BDE" w:rsidRPr="00BD55C0" w:rsidRDefault="00687BDE" w:rsidP="001E7205">
            <w:pPr>
              <w:rPr>
                <w:rFonts w:ascii="Times New Roman" w:hAnsi="Times New Roman" w:cs="Times New Roman"/>
                <w:szCs w:val="18"/>
                <w:lang w:val="en-GB"/>
              </w:rPr>
            </w:pPr>
          </w:p>
        </w:tc>
        <w:tc>
          <w:tcPr>
            <w:tcW w:w="1134" w:type="dxa"/>
            <w:vMerge/>
            <w:vAlign w:val="center"/>
            <w:hideMark/>
          </w:tcPr>
          <w:p w14:paraId="17D12E9C" w14:textId="77777777" w:rsidR="00687BDE" w:rsidRPr="00BD55C0" w:rsidRDefault="00687BDE" w:rsidP="001E7205">
            <w:pPr>
              <w:rPr>
                <w:rFonts w:ascii="Times New Roman" w:hAnsi="Times New Roman" w:cs="Times New Roman"/>
                <w:szCs w:val="18"/>
                <w:lang w:val="en-GB"/>
              </w:rPr>
            </w:pPr>
          </w:p>
        </w:tc>
      </w:tr>
    </w:tbl>
    <w:p w14:paraId="4866EDCF" w14:textId="77777777" w:rsidR="00687BDE" w:rsidRPr="00687BDE" w:rsidRDefault="00687BDE" w:rsidP="001E7205">
      <w:pPr>
        <w:rPr>
          <w:rFonts w:ascii="Times New Roman" w:hAnsi="Times New Roman" w:cs="Times New Roman"/>
          <w:lang w:val="en-GB"/>
        </w:rPr>
      </w:pPr>
    </w:p>
    <w:p w14:paraId="2FBE04B4" w14:textId="77777777" w:rsidR="00F55A8F" w:rsidRDefault="00F55A8F" w:rsidP="00F55A8F">
      <w:pPr>
        <w:pStyle w:val="ListParagraph"/>
        <w:numPr>
          <w:ilvl w:val="0"/>
          <w:numId w:val="15"/>
        </w:numPr>
        <w:jc w:val="both"/>
        <w:rPr>
          <w:rFonts w:ascii="Times New Roman" w:hAnsi="Times New Roman" w:cs="Times New Roman"/>
          <w:b/>
          <w:sz w:val="24"/>
          <w:lang w:val="en-GB"/>
        </w:rPr>
      </w:pPr>
      <w:r w:rsidRPr="00F55A8F">
        <w:rPr>
          <w:rFonts w:ascii="Times New Roman" w:hAnsi="Times New Roman" w:cs="Times New Roman"/>
          <w:b/>
          <w:sz w:val="24"/>
          <w:lang w:val="en-GB"/>
        </w:rPr>
        <w:t>Factors associated with non-adhesion</w:t>
      </w:r>
    </w:p>
    <w:p w14:paraId="4449D610" w14:textId="3B519730" w:rsidR="00F55A8F" w:rsidRPr="007045F6" w:rsidRDefault="00F55A8F" w:rsidP="007045F6">
      <w:pPr>
        <w:spacing w:line="360" w:lineRule="auto"/>
        <w:jc w:val="both"/>
        <w:rPr>
          <w:rFonts w:ascii="Times New Roman" w:hAnsi="Times New Roman" w:cs="Times New Roman"/>
          <w:color w:val="010205"/>
          <w:sz w:val="24"/>
          <w:szCs w:val="24"/>
          <w:lang w:val="en-GB"/>
        </w:rPr>
      </w:pPr>
      <w:r w:rsidRPr="00F55A8F">
        <w:rPr>
          <w:rFonts w:ascii="Times New Roman" w:hAnsi="Times New Roman" w:cs="Times New Roman"/>
          <w:sz w:val="24"/>
          <w:lang w:val="en-GB"/>
        </w:rPr>
        <w:t xml:space="preserve">The table below shows the factors associated with non-adhesion to drugs. For this analysis each variable was first taken independently in the unadjusted model then those which were significant at 5% in the unadjusted model were there on passed to the adjusted model. From this analysis, we note that awareness </w:t>
      </w:r>
      <w:r w:rsidRPr="00F55A8F">
        <w:rPr>
          <w:rFonts w:ascii="Times New Roman" w:eastAsia="Calibri" w:hAnsi="Times New Roman" w:cs="Times New Roman"/>
          <w:bCs/>
          <w:color w:val="000000" w:themeColor="text1"/>
          <w:sz w:val="24"/>
          <w:szCs w:val="24"/>
          <w:lang w:val="en-GB"/>
        </w:rPr>
        <w:t xml:space="preserve">(OR: </w:t>
      </w:r>
      <w:r w:rsidRPr="00F55A8F">
        <w:rPr>
          <w:rFonts w:ascii="Times New Roman" w:hAnsi="Times New Roman" w:cs="Times New Roman"/>
          <w:sz w:val="24"/>
          <w:lang w:val="en-GB"/>
        </w:rPr>
        <w:t xml:space="preserve">0.46; </w:t>
      </w:r>
      <w:r w:rsidRPr="00F55A8F">
        <w:rPr>
          <w:rFonts w:ascii="Times New Roman" w:hAnsi="Times New Roman" w:cs="Times New Roman"/>
          <w:color w:val="010205"/>
          <w:sz w:val="24"/>
          <w:szCs w:val="24"/>
          <w:lang w:val="en-GB"/>
        </w:rPr>
        <w:t xml:space="preserve">CI: </w:t>
      </w:r>
      <w:r w:rsidRPr="00F55A8F">
        <w:rPr>
          <w:rFonts w:ascii="Times New Roman" w:hAnsi="Times New Roman" w:cs="Times New Roman"/>
          <w:sz w:val="24"/>
          <w:lang w:val="en-GB"/>
        </w:rPr>
        <w:t>0.30-0.</w:t>
      </w:r>
      <w:proofErr w:type="gramStart"/>
      <w:r w:rsidRPr="00F55A8F">
        <w:rPr>
          <w:rFonts w:ascii="Times New Roman" w:hAnsi="Times New Roman" w:cs="Times New Roman"/>
          <w:sz w:val="24"/>
          <w:lang w:val="en-GB"/>
        </w:rPr>
        <w:t xml:space="preserve">70 </w:t>
      </w:r>
      <w:r w:rsidRPr="00F55A8F">
        <w:rPr>
          <w:rFonts w:ascii="Times New Roman" w:hAnsi="Times New Roman" w:cs="Times New Roman"/>
          <w:color w:val="010205"/>
          <w:sz w:val="24"/>
          <w:szCs w:val="24"/>
          <w:lang w:val="en-GB"/>
        </w:rPr>
        <w:t>;</w:t>
      </w:r>
      <w:proofErr w:type="gramEnd"/>
      <w:r w:rsidRPr="00F55A8F">
        <w:rPr>
          <w:rFonts w:ascii="Times New Roman" w:hAnsi="Times New Roman" w:cs="Times New Roman"/>
          <w:color w:val="010205"/>
          <w:sz w:val="24"/>
          <w:szCs w:val="24"/>
          <w:lang w:val="en-GB"/>
        </w:rPr>
        <w:t xml:space="preserve"> p=0.000), being censored (OR: </w:t>
      </w:r>
      <w:r w:rsidRPr="00F55A8F">
        <w:rPr>
          <w:rFonts w:ascii="Times New Roman" w:hAnsi="Times New Roman" w:cs="Times New Roman"/>
          <w:sz w:val="24"/>
          <w:lang w:val="en-GB"/>
        </w:rPr>
        <w:t xml:space="preserve">0.11; CI: 0.07-0.16; p=0.000) and being of male sex ( </w:t>
      </w:r>
      <w:r w:rsidRPr="00F55A8F">
        <w:rPr>
          <w:rFonts w:ascii="Times New Roman" w:eastAsia="Calibri" w:hAnsi="Times New Roman" w:cs="Times New Roman"/>
          <w:bCs/>
          <w:color w:val="000000" w:themeColor="text1"/>
          <w:sz w:val="24"/>
          <w:szCs w:val="24"/>
          <w:lang w:val="en-GB"/>
        </w:rPr>
        <w:t xml:space="preserve">(OR: </w:t>
      </w:r>
      <w:r w:rsidRPr="00F55A8F">
        <w:rPr>
          <w:rFonts w:ascii="Times New Roman" w:hAnsi="Times New Roman" w:cs="Times New Roman"/>
          <w:sz w:val="24"/>
          <w:lang w:val="en-GB"/>
        </w:rPr>
        <w:t xml:space="preserve">0.45; </w:t>
      </w:r>
      <w:r w:rsidRPr="00F55A8F">
        <w:rPr>
          <w:rFonts w:ascii="Times New Roman" w:hAnsi="Times New Roman" w:cs="Times New Roman"/>
          <w:color w:val="010205"/>
          <w:sz w:val="24"/>
          <w:szCs w:val="24"/>
          <w:lang w:val="en-GB"/>
        </w:rPr>
        <w:t xml:space="preserve">CI: </w:t>
      </w:r>
      <w:r w:rsidRPr="00F55A8F">
        <w:rPr>
          <w:rFonts w:ascii="Times New Roman" w:hAnsi="Times New Roman" w:cs="Times New Roman"/>
          <w:sz w:val="24"/>
          <w:lang w:val="en-GB"/>
        </w:rPr>
        <w:t xml:space="preserve">0.32-0.65; </w:t>
      </w:r>
      <w:r w:rsidRPr="00F55A8F">
        <w:rPr>
          <w:rFonts w:ascii="Times New Roman" w:hAnsi="Times New Roman" w:cs="Times New Roman"/>
          <w:color w:val="010205"/>
          <w:sz w:val="24"/>
          <w:szCs w:val="24"/>
          <w:lang w:val="en-GB"/>
        </w:rPr>
        <w:t xml:space="preserve">p=0.000) were significantly associated with non-adhesion to drug. Being aware of the campaign reduced by 54% the chances not to adhere to the drug compared to someone who was not </w:t>
      </w:r>
      <w:proofErr w:type="gramStart"/>
      <w:r w:rsidRPr="00F55A8F">
        <w:rPr>
          <w:rFonts w:ascii="Times New Roman" w:hAnsi="Times New Roman" w:cs="Times New Roman"/>
          <w:color w:val="010205"/>
          <w:sz w:val="24"/>
          <w:szCs w:val="24"/>
          <w:lang w:val="en-GB"/>
        </w:rPr>
        <w:t>aware .</w:t>
      </w:r>
      <w:proofErr w:type="gramEnd"/>
    </w:p>
    <w:p w14:paraId="5FA60238" w14:textId="402E14F5" w:rsidR="00F55A8F" w:rsidRPr="007045F6" w:rsidRDefault="00F55A8F" w:rsidP="002F0F36">
      <w:pPr>
        <w:pStyle w:val="Caption"/>
        <w:ind w:left="720"/>
        <w:rPr>
          <w:rFonts w:ascii="Times" w:hAnsi="Times" w:cs="Times"/>
          <w:b/>
          <w:bCs/>
          <w:i w:val="0"/>
          <w:iCs w:val="0"/>
          <w:color w:val="0D0D0D" w:themeColor="text1" w:themeTint="F2"/>
          <w:sz w:val="24"/>
          <w:szCs w:val="24"/>
          <w:lang w:val="en-GB"/>
        </w:rPr>
      </w:pPr>
      <w:bookmarkStart w:id="4" w:name="_Toc107492420"/>
      <w:r w:rsidRPr="007045F6">
        <w:rPr>
          <w:rFonts w:ascii="Times" w:hAnsi="Times" w:cs="Times"/>
          <w:b/>
          <w:bCs/>
          <w:i w:val="0"/>
          <w:iCs w:val="0"/>
          <w:color w:val="0D0D0D" w:themeColor="text1" w:themeTint="F2"/>
          <w:sz w:val="24"/>
          <w:szCs w:val="24"/>
          <w:lang w:val="en-CA"/>
        </w:rPr>
        <w:t xml:space="preserve">Table </w:t>
      </w:r>
      <w:r w:rsidRPr="007045F6">
        <w:rPr>
          <w:rFonts w:ascii="Times" w:hAnsi="Times" w:cs="Times"/>
          <w:b/>
          <w:bCs/>
          <w:i w:val="0"/>
          <w:iCs w:val="0"/>
          <w:color w:val="0D0D0D" w:themeColor="text1" w:themeTint="F2"/>
          <w:sz w:val="24"/>
          <w:szCs w:val="24"/>
        </w:rPr>
        <w:fldChar w:fldCharType="begin"/>
      </w:r>
      <w:r w:rsidRPr="007045F6">
        <w:rPr>
          <w:rFonts w:ascii="Times" w:hAnsi="Times" w:cs="Times"/>
          <w:b/>
          <w:bCs/>
          <w:i w:val="0"/>
          <w:iCs w:val="0"/>
          <w:color w:val="0D0D0D" w:themeColor="text1" w:themeTint="F2"/>
          <w:sz w:val="24"/>
          <w:szCs w:val="24"/>
          <w:lang w:val="en-CA"/>
        </w:rPr>
        <w:instrText xml:space="preserve"> SEQ Table \* ARABIC </w:instrText>
      </w:r>
      <w:r w:rsidRPr="007045F6">
        <w:rPr>
          <w:rFonts w:ascii="Times" w:hAnsi="Times" w:cs="Times"/>
          <w:b/>
          <w:bCs/>
          <w:i w:val="0"/>
          <w:iCs w:val="0"/>
          <w:color w:val="0D0D0D" w:themeColor="text1" w:themeTint="F2"/>
          <w:sz w:val="24"/>
          <w:szCs w:val="24"/>
        </w:rPr>
        <w:fldChar w:fldCharType="separate"/>
      </w:r>
      <w:r w:rsidR="00423B4B" w:rsidRPr="007045F6">
        <w:rPr>
          <w:rFonts w:ascii="Times" w:hAnsi="Times" w:cs="Times"/>
          <w:b/>
          <w:bCs/>
          <w:i w:val="0"/>
          <w:iCs w:val="0"/>
          <w:noProof/>
          <w:color w:val="0D0D0D" w:themeColor="text1" w:themeTint="F2"/>
          <w:sz w:val="24"/>
          <w:szCs w:val="24"/>
          <w:lang w:val="en-CA"/>
        </w:rPr>
        <w:t>4</w:t>
      </w:r>
      <w:r w:rsidRPr="007045F6">
        <w:rPr>
          <w:rFonts w:ascii="Times" w:hAnsi="Times" w:cs="Times"/>
          <w:b/>
          <w:bCs/>
          <w:i w:val="0"/>
          <w:iCs w:val="0"/>
          <w:color w:val="0D0D0D" w:themeColor="text1" w:themeTint="F2"/>
          <w:sz w:val="24"/>
          <w:szCs w:val="24"/>
        </w:rPr>
        <w:fldChar w:fldCharType="end"/>
      </w:r>
      <w:r w:rsidRPr="007045F6">
        <w:rPr>
          <w:rFonts w:ascii="Times" w:hAnsi="Times" w:cs="Times"/>
          <w:b/>
          <w:bCs/>
          <w:i w:val="0"/>
          <w:iCs w:val="0"/>
          <w:color w:val="0D0D0D" w:themeColor="text1" w:themeTint="F2"/>
          <w:sz w:val="24"/>
          <w:szCs w:val="24"/>
          <w:lang w:val="en-CA"/>
        </w:rPr>
        <w:t xml:space="preserve"> </w:t>
      </w:r>
      <w:r w:rsidRPr="007045F6">
        <w:rPr>
          <w:rFonts w:ascii="Times" w:hAnsi="Times" w:cs="Times"/>
          <w:b/>
          <w:bCs/>
          <w:i w:val="0"/>
          <w:iCs w:val="0"/>
          <w:color w:val="0D0D0D" w:themeColor="text1" w:themeTint="F2"/>
          <w:sz w:val="24"/>
          <w:szCs w:val="24"/>
          <w:lang w:val="en-GB"/>
        </w:rPr>
        <w:t>Factors associated with non-adhesio</w:t>
      </w:r>
      <w:bookmarkEnd w:id="4"/>
      <w:r w:rsidR="004B7225" w:rsidRPr="007045F6">
        <w:rPr>
          <w:rFonts w:ascii="Times" w:hAnsi="Times" w:cs="Times"/>
          <w:b/>
          <w:bCs/>
          <w:i w:val="0"/>
          <w:iCs w:val="0"/>
          <w:color w:val="0D0D0D" w:themeColor="text1" w:themeTint="F2"/>
          <w:sz w:val="24"/>
          <w:szCs w:val="24"/>
          <w:lang w:val="en-GB"/>
        </w:rPr>
        <w:t>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2"/>
        <w:gridCol w:w="1870"/>
        <w:gridCol w:w="1698"/>
        <w:gridCol w:w="1870"/>
        <w:gridCol w:w="1742"/>
      </w:tblGrid>
      <w:tr w:rsidR="008679F6" w:rsidRPr="00BD55C0" w14:paraId="44CD3B53" w14:textId="77777777" w:rsidTr="008679F6">
        <w:trPr>
          <w:trHeight w:val="578"/>
        </w:trPr>
        <w:tc>
          <w:tcPr>
            <w:tcW w:w="9072" w:type="dxa"/>
            <w:gridSpan w:val="5"/>
            <w:tcBorders>
              <w:top w:val="single" w:sz="4" w:space="0" w:color="auto"/>
              <w:left w:val="nil"/>
              <w:bottom w:val="single" w:sz="4" w:space="0" w:color="auto"/>
              <w:right w:val="nil"/>
            </w:tcBorders>
          </w:tcPr>
          <w:p w14:paraId="7EB01973" w14:textId="77777777" w:rsidR="008679F6" w:rsidRPr="00BD55C0" w:rsidRDefault="008679F6" w:rsidP="008679F6">
            <w:pPr>
              <w:jc w:val="center"/>
              <w:rPr>
                <w:rFonts w:ascii="Times New Roman" w:hAnsi="Times New Roman" w:cs="Times New Roman"/>
                <w:b/>
                <w:sz w:val="24"/>
                <w:lang w:val="en-GB"/>
              </w:rPr>
            </w:pPr>
            <w:r w:rsidRPr="00BD55C0">
              <w:rPr>
                <w:rFonts w:ascii="Times New Roman" w:hAnsi="Times New Roman" w:cs="Times New Roman"/>
                <w:b/>
                <w:sz w:val="24"/>
                <w:lang w:val="en-GB"/>
              </w:rPr>
              <w:t>Non-adherence to drug</w:t>
            </w:r>
          </w:p>
        </w:tc>
      </w:tr>
      <w:tr w:rsidR="00F55A8F" w:rsidRPr="00BD55C0" w14:paraId="176DE762" w14:textId="77777777" w:rsidTr="008679F6">
        <w:tc>
          <w:tcPr>
            <w:tcW w:w="1892" w:type="dxa"/>
            <w:tcBorders>
              <w:top w:val="single" w:sz="4" w:space="0" w:color="auto"/>
              <w:left w:val="nil"/>
              <w:bottom w:val="single" w:sz="4" w:space="0" w:color="auto"/>
              <w:right w:val="nil"/>
            </w:tcBorders>
          </w:tcPr>
          <w:p w14:paraId="1069C462" w14:textId="77777777" w:rsidR="00F55A8F" w:rsidRPr="00BD55C0" w:rsidRDefault="00F55A8F" w:rsidP="00FC2BD3">
            <w:pPr>
              <w:jc w:val="both"/>
              <w:rPr>
                <w:rFonts w:ascii="Times New Roman" w:hAnsi="Times New Roman" w:cs="Times New Roman"/>
                <w:b/>
                <w:sz w:val="24"/>
                <w:lang w:val="en-GB"/>
              </w:rPr>
            </w:pPr>
          </w:p>
        </w:tc>
        <w:tc>
          <w:tcPr>
            <w:tcW w:w="3568" w:type="dxa"/>
            <w:gridSpan w:val="2"/>
            <w:tcBorders>
              <w:top w:val="single" w:sz="4" w:space="0" w:color="auto"/>
              <w:left w:val="nil"/>
              <w:bottom w:val="single" w:sz="4" w:space="0" w:color="auto"/>
              <w:right w:val="nil"/>
            </w:tcBorders>
            <w:vAlign w:val="center"/>
            <w:hideMark/>
          </w:tcPr>
          <w:p w14:paraId="449FA64A"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Unadjusted model</w:t>
            </w:r>
          </w:p>
        </w:tc>
        <w:tc>
          <w:tcPr>
            <w:tcW w:w="3612" w:type="dxa"/>
            <w:gridSpan w:val="2"/>
            <w:tcBorders>
              <w:top w:val="single" w:sz="4" w:space="0" w:color="auto"/>
              <w:left w:val="nil"/>
              <w:bottom w:val="single" w:sz="4" w:space="0" w:color="auto"/>
              <w:right w:val="nil"/>
            </w:tcBorders>
            <w:vAlign w:val="center"/>
            <w:hideMark/>
          </w:tcPr>
          <w:p w14:paraId="3BBB31AF"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Adjusted model</w:t>
            </w:r>
          </w:p>
        </w:tc>
      </w:tr>
      <w:tr w:rsidR="00F55A8F" w:rsidRPr="00BD55C0" w14:paraId="0818815F" w14:textId="77777777" w:rsidTr="008679F6">
        <w:tc>
          <w:tcPr>
            <w:tcW w:w="1892" w:type="dxa"/>
            <w:tcBorders>
              <w:top w:val="single" w:sz="4" w:space="0" w:color="auto"/>
              <w:left w:val="nil"/>
              <w:bottom w:val="single" w:sz="4" w:space="0" w:color="auto"/>
              <w:right w:val="nil"/>
            </w:tcBorders>
            <w:hideMark/>
          </w:tcPr>
          <w:p w14:paraId="6E526826"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variables</w:t>
            </w:r>
          </w:p>
        </w:tc>
        <w:tc>
          <w:tcPr>
            <w:tcW w:w="1870" w:type="dxa"/>
            <w:tcBorders>
              <w:top w:val="single" w:sz="4" w:space="0" w:color="auto"/>
              <w:left w:val="nil"/>
              <w:bottom w:val="single" w:sz="4" w:space="0" w:color="auto"/>
              <w:right w:val="nil"/>
            </w:tcBorders>
            <w:vAlign w:val="center"/>
            <w:hideMark/>
          </w:tcPr>
          <w:p w14:paraId="6A7279EE"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OR(CI)</w:t>
            </w:r>
          </w:p>
        </w:tc>
        <w:tc>
          <w:tcPr>
            <w:tcW w:w="1698" w:type="dxa"/>
            <w:tcBorders>
              <w:top w:val="single" w:sz="4" w:space="0" w:color="auto"/>
              <w:left w:val="nil"/>
              <w:bottom w:val="single" w:sz="4" w:space="0" w:color="auto"/>
              <w:right w:val="nil"/>
            </w:tcBorders>
            <w:vAlign w:val="center"/>
            <w:hideMark/>
          </w:tcPr>
          <w:p w14:paraId="44BC90AD"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P value</w:t>
            </w:r>
          </w:p>
        </w:tc>
        <w:tc>
          <w:tcPr>
            <w:tcW w:w="1870" w:type="dxa"/>
            <w:tcBorders>
              <w:top w:val="single" w:sz="4" w:space="0" w:color="auto"/>
              <w:left w:val="nil"/>
              <w:bottom w:val="single" w:sz="4" w:space="0" w:color="auto"/>
              <w:right w:val="nil"/>
            </w:tcBorders>
            <w:vAlign w:val="center"/>
            <w:hideMark/>
          </w:tcPr>
          <w:p w14:paraId="1107284C"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OR(CI)</w:t>
            </w:r>
          </w:p>
        </w:tc>
        <w:tc>
          <w:tcPr>
            <w:tcW w:w="1742" w:type="dxa"/>
            <w:tcBorders>
              <w:top w:val="single" w:sz="4" w:space="0" w:color="auto"/>
              <w:left w:val="nil"/>
              <w:bottom w:val="single" w:sz="4" w:space="0" w:color="auto"/>
              <w:right w:val="nil"/>
            </w:tcBorders>
            <w:vAlign w:val="center"/>
            <w:hideMark/>
          </w:tcPr>
          <w:p w14:paraId="5AA1B137"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P value</w:t>
            </w:r>
          </w:p>
        </w:tc>
      </w:tr>
      <w:tr w:rsidR="00F55A8F" w:rsidRPr="00BD55C0" w14:paraId="398FB4EF" w14:textId="77777777" w:rsidTr="008679F6">
        <w:tc>
          <w:tcPr>
            <w:tcW w:w="1892" w:type="dxa"/>
            <w:tcBorders>
              <w:top w:val="single" w:sz="4" w:space="0" w:color="auto"/>
              <w:left w:val="nil"/>
              <w:bottom w:val="nil"/>
              <w:right w:val="nil"/>
            </w:tcBorders>
            <w:hideMark/>
          </w:tcPr>
          <w:p w14:paraId="2F27CCB0"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Age</w:t>
            </w:r>
          </w:p>
          <w:p w14:paraId="24E4581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16-50</w:t>
            </w:r>
          </w:p>
          <w:p w14:paraId="6714A0F4"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5-15</w:t>
            </w:r>
          </w:p>
          <w:p w14:paraId="1D6FA3B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51-65</w:t>
            </w:r>
          </w:p>
          <w:p w14:paraId="5EE916C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&gt;65</w:t>
            </w:r>
          </w:p>
        </w:tc>
        <w:tc>
          <w:tcPr>
            <w:tcW w:w="1870" w:type="dxa"/>
            <w:tcBorders>
              <w:top w:val="single" w:sz="4" w:space="0" w:color="auto"/>
              <w:left w:val="nil"/>
              <w:bottom w:val="nil"/>
              <w:right w:val="nil"/>
            </w:tcBorders>
            <w:vAlign w:val="center"/>
          </w:tcPr>
          <w:p w14:paraId="2F1B7B9A" w14:textId="77777777" w:rsidR="00F55A8F" w:rsidRPr="00BD55C0" w:rsidRDefault="00F55A8F" w:rsidP="00FC2BD3">
            <w:pPr>
              <w:jc w:val="both"/>
              <w:rPr>
                <w:rFonts w:ascii="Times New Roman" w:hAnsi="Times New Roman" w:cs="Times New Roman"/>
                <w:sz w:val="24"/>
                <w:lang w:val="en-GB"/>
              </w:rPr>
            </w:pPr>
          </w:p>
          <w:p w14:paraId="4C619C56"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7B75D7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1.04(0.71-1.53)</w:t>
            </w:r>
          </w:p>
          <w:p w14:paraId="3089905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1.27(0.81-1.97)</w:t>
            </w:r>
          </w:p>
          <w:p w14:paraId="28737250"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0.920.52-1.61)</w:t>
            </w:r>
          </w:p>
        </w:tc>
        <w:tc>
          <w:tcPr>
            <w:tcW w:w="1698" w:type="dxa"/>
            <w:tcBorders>
              <w:top w:val="single" w:sz="4" w:space="0" w:color="auto"/>
              <w:left w:val="nil"/>
              <w:bottom w:val="nil"/>
              <w:right w:val="nil"/>
            </w:tcBorders>
            <w:vAlign w:val="center"/>
          </w:tcPr>
          <w:p w14:paraId="6FF52194" w14:textId="77777777" w:rsidR="00F55A8F" w:rsidRPr="00BD55C0" w:rsidRDefault="00F55A8F" w:rsidP="00FC2BD3">
            <w:pPr>
              <w:jc w:val="both"/>
              <w:rPr>
                <w:rFonts w:ascii="Times New Roman" w:hAnsi="Times New Roman" w:cs="Times New Roman"/>
                <w:sz w:val="24"/>
                <w:lang w:val="en-GB"/>
              </w:rPr>
            </w:pPr>
          </w:p>
          <w:p w14:paraId="2A1625A6" w14:textId="77777777" w:rsidR="00F55A8F" w:rsidRPr="00BD55C0" w:rsidRDefault="00F55A8F" w:rsidP="00FC2BD3">
            <w:pPr>
              <w:jc w:val="both"/>
              <w:rPr>
                <w:rFonts w:ascii="Times New Roman" w:hAnsi="Times New Roman" w:cs="Times New Roman"/>
                <w:sz w:val="24"/>
                <w:lang w:val="en-GB"/>
              </w:rPr>
            </w:pPr>
          </w:p>
          <w:p w14:paraId="2EAF26F3"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0.810</w:t>
            </w:r>
          </w:p>
          <w:p w14:paraId="1076035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0.280</w:t>
            </w:r>
          </w:p>
          <w:p w14:paraId="1A6B940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0.770</w:t>
            </w:r>
          </w:p>
        </w:tc>
        <w:tc>
          <w:tcPr>
            <w:tcW w:w="1870" w:type="dxa"/>
            <w:tcBorders>
              <w:top w:val="single" w:sz="4" w:space="0" w:color="auto"/>
              <w:left w:val="nil"/>
              <w:bottom w:val="nil"/>
              <w:right w:val="nil"/>
            </w:tcBorders>
            <w:vAlign w:val="center"/>
          </w:tcPr>
          <w:p w14:paraId="2C1B6FF8" w14:textId="77777777" w:rsidR="00F55A8F" w:rsidRPr="00BD55C0" w:rsidRDefault="00F55A8F" w:rsidP="00FC2BD3">
            <w:pPr>
              <w:jc w:val="both"/>
              <w:rPr>
                <w:rFonts w:ascii="Times New Roman" w:hAnsi="Times New Roman" w:cs="Times New Roman"/>
                <w:sz w:val="24"/>
                <w:lang w:val="en-GB"/>
              </w:rPr>
            </w:pPr>
          </w:p>
          <w:p w14:paraId="33A34E3E" w14:textId="77777777" w:rsidR="00F55A8F" w:rsidRPr="00BD55C0" w:rsidRDefault="00F55A8F" w:rsidP="00FC2BD3">
            <w:pPr>
              <w:jc w:val="both"/>
              <w:rPr>
                <w:rFonts w:ascii="Times New Roman" w:hAnsi="Times New Roman" w:cs="Times New Roman"/>
                <w:sz w:val="24"/>
                <w:lang w:val="en-GB"/>
              </w:rPr>
            </w:pPr>
          </w:p>
          <w:p w14:paraId="1AFD6F80" w14:textId="77777777" w:rsidR="00F55A8F" w:rsidRPr="00BD55C0" w:rsidRDefault="00F55A8F" w:rsidP="00FC2BD3">
            <w:pPr>
              <w:jc w:val="both"/>
              <w:rPr>
                <w:rFonts w:ascii="Times New Roman" w:hAnsi="Times New Roman" w:cs="Times New Roman"/>
                <w:sz w:val="24"/>
                <w:lang w:val="en-GB"/>
              </w:rPr>
            </w:pPr>
          </w:p>
          <w:p w14:paraId="07AB463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c>
          <w:tcPr>
            <w:tcW w:w="1742" w:type="dxa"/>
            <w:tcBorders>
              <w:top w:val="single" w:sz="4" w:space="0" w:color="auto"/>
              <w:left w:val="nil"/>
              <w:bottom w:val="nil"/>
              <w:right w:val="nil"/>
            </w:tcBorders>
            <w:vAlign w:val="center"/>
          </w:tcPr>
          <w:p w14:paraId="50B14EBF" w14:textId="77777777" w:rsidR="00F55A8F" w:rsidRPr="00BD55C0" w:rsidRDefault="00F55A8F" w:rsidP="00FC2BD3">
            <w:pPr>
              <w:jc w:val="both"/>
              <w:rPr>
                <w:rFonts w:ascii="Times New Roman" w:hAnsi="Times New Roman" w:cs="Times New Roman"/>
                <w:sz w:val="24"/>
                <w:lang w:val="en-GB"/>
              </w:rPr>
            </w:pPr>
          </w:p>
          <w:p w14:paraId="3D26DA04" w14:textId="77777777" w:rsidR="00F55A8F" w:rsidRPr="00BD55C0" w:rsidRDefault="00F55A8F" w:rsidP="00FC2BD3">
            <w:pPr>
              <w:jc w:val="both"/>
              <w:rPr>
                <w:rFonts w:ascii="Times New Roman" w:hAnsi="Times New Roman" w:cs="Times New Roman"/>
                <w:sz w:val="24"/>
                <w:lang w:val="en-GB"/>
              </w:rPr>
            </w:pPr>
          </w:p>
          <w:p w14:paraId="1686A31F" w14:textId="77777777" w:rsidR="00F55A8F" w:rsidRPr="00BD55C0" w:rsidRDefault="00F55A8F" w:rsidP="00FC2BD3">
            <w:pPr>
              <w:jc w:val="both"/>
              <w:rPr>
                <w:rFonts w:ascii="Times New Roman" w:hAnsi="Times New Roman" w:cs="Times New Roman"/>
                <w:sz w:val="24"/>
                <w:lang w:val="en-GB"/>
              </w:rPr>
            </w:pPr>
          </w:p>
          <w:p w14:paraId="462CA3A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r>
      <w:tr w:rsidR="00F55A8F" w:rsidRPr="00BD55C0" w14:paraId="3D9F5D19" w14:textId="77777777" w:rsidTr="008679F6">
        <w:tc>
          <w:tcPr>
            <w:tcW w:w="1892" w:type="dxa"/>
            <w:tcBorders>
              <w:top w:val="nil"/>
              <w:left w:val="nil"/>
              <w:bottom w:val="nil"/>
              <w:right w:val="nil"/>
            </w:tcBorders>
            <w:hideMark/>
          </w:tcPr>
          <w:p w14:paraId="591CF82F"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Aware</w:t>
            </w:r>
          </w:p>
          <w:p w14:paraId="476A083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w:t>
            </w:r>
          </w:p>
          <w:p w14:paraId="49CA7B2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yes</w:t>
            </w:r>
          </w:p>
        </w:tc>
        <w:tc>
          <w:tcPr>
            <w:tcW w:w="1870" w:type="dxa"/>
            <w:tcBorders>
              <w:top w:val="nil"/>
              <w:left w:val="nil"/>
              <w:bottom w:val="nil"/>
              <w:right w:val="nil"/>
            </w:tcBorders>
            <w:vAlign w:val="center"/>
          </w:tcPr>
          <w:p w14:paraId="77E35816" w14:textId="77777777" w:rsidR="00F55A8F" w:rsidRPr="00BD55C0" w:rsidRDefault="00F55A8F" w:rsidP="00FC2BD3">
            <w:pPr>
              <w:jc w:val="both"/>
              <w:rPr>
                <w:rFonts w:ascii="Times New Roman" w:hAnsi="Times New Roman" w:cs="Times New Roman"/>
                <w:sz w:val="24"/>
                <w:lang w:val="en-GB"/>
              </w:rPr>
            </w:pPr>
          </w:p>
          <w:p w14:paraId="67B74AC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7DBCF88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0.15(0.10-0.21)</w:t>
            </w:r>
          </w:p>
        </w:tc>
        <w:tc>
          <w:tcPr>
            <w:tcW w:w="1698" w:type="dxa"/>
            <w:tcBorders>
              <w:top w:val="nil"/>
              <w:left w:val="nil"/>
              <w:bottom w:val="nil"/>
              <w:right w:val="nil"/>
            </w:tcBorders>
            <w:vAlign w:val="center"/>
          </w:tcPr>
          <w:p w14:paraId="55974861" w14:textId="77777777" w:rsidR="00F55A8F" w:rsidRPr="00FD60FE" w:rsidRDefault="00F55A8F" w:rsidP="00FC2BD3">
            <w:pPr>
              <w:jc w:val="both"/>
              <w:rPr>
                <w:rFonts w:ascii="Times New Roman" w:hAnsi="Times New Roman" w:cs="Times New Roman"/>
                <w:b/>
                <w:sz w:val="24"/>
                <w:lang w:val="en-GB"/>
              </w:rPr>
            </w:pPr>
          </w:p>
          <w:p w14:paraId="27C09C76" w14:textId="77777777" w:rsidR="00F55A8F" w:rsidRPr="00FD60FE" w:rsidRDefault="00F55A8F" w:rsidP="00FC2BD3">
            <w:pPr>
              <w:jc w:val="both"/>
              <w:rPr>
                <w:rFonts w:ascii="Times New Roman" w:hAnsi="Times New Roman" w:cs="Times New Roman"/>
                <w:b/>
                <w:sz w:val="24"/>
                <w:lang w:val="en-GB"/>
              </w:rPr>
            </w:pPr>
          </w:p>
          <w:p w14:paraId="233F31F0" w14:textId="77777777" w:rsidR="00F55A8F" w:rsidRPr="00FD60FE" w:rsidRDefault="00F55A8F" w:rsidP="00FC2BD3">
            <w:pPr>
              <w:jc w:val="both"/>
              <w:rPr>
                <w:rFonts w:ascii="Times New Roman" w:hAnsi="Times New Roman" w:cs="Times New Roman"/>
                <w:b/>
                <w:sz w:val="24"/>
                <w:lang w:val="en-GB"/>
              </w:rPr>
            </w:pPr>
            <w:r w:rsidRPr="00FD60FE">
              <w:rPr>
                <w:rFonts w:ascii="Times New Roman" w:hAnsi="Times New Roman" w:cs="Times New Roman"/>
                <w:b/>
                <w:sz w:val="24"/>
                <w:lang w:val="en-GB"/>
              </w:rPr>
              <w:t>0.000</w:t>
            </w:r>
          </w:p>
        </w:tc>
        <w:tc>
          <w:tcPr>
            <w:tcW w:w="1870" w:type="dxa"/>
            <w:tcBorders>
              <w:top w:val="nil"/>
              <w:left w:val="nil"/>
              <w:bottom w:val="nil"/>
              <w:right w:val="nil"/>
            </w:tcBorders>
            <w:vAlign w:val="center"/>
          </w:tcPr>
          <w:p w14:paraId="4A6B7A36" w14:textId="77777777" w:rsidR="00F55A8F" w:rsidRPr="00BD55C0" w:rsidRDefault="00F55A8F" w:rsidP="00FC2BD3">
            <w:pPr>
              <w:jc w:val="both"/>
              <w:rPr>
                <w:rFonts w:ascii="Times New Roman" w:hAnsi="Times New Roman" w:cs="Times New Roman"/>
                <w:sz w:val="24"/>
                <w:lang w:val="en-GB"/>
              </w:rPr>
            </w:pPr>
          </w:p>
          <w:p w14:paraId="183C420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ABE13A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0.46(0.30-0.70)</w:t>
            </w:r>
          </w:p>
        </w:tc>
        <w:tc>
          <w:tcPr>
            <w:tcW w:w="1742" w:type="dxa"/>
            <w:tcBorders>
              <w:top w:val="nil"/>
              <w:left w:val="nil"/>
              <w:bottom w:val="nil"/>
              <w:right w:val="nil"/>
            </w:tcBorders>
            <w:vAlign w:val="center"/>
          </w:tcPr>
          <w:p w14:paraId="490408D0" w14:textId="77777777" w:rsidR="00F55A8F" w:rsidRPr="00BD55C0" w:rsidRDefault="00F55A8F" w:rsidP="00FC2BD3">
            <w:pPr>
              <w:jc w:val="both"/>
              <w:rPr>
                <w:rFonts w:ascii="Times New Roman" w:hAnsi="Times New Roman" w:cs="Times New Roman"/>
                <w:sz w:val="24"/>
                <w:lang w:val="en-GB"/>
              </w:rPr>
            </w:pPr>
          </w:p>
          <w:p w14:paraId="3AD30109" w14:textId="77777777" w:rsidR="00F55A8F" w:rsidRPr="00BD55C0" w:rsidRDefault="00F55A8F" w:rsidP="00FC2BD3">
            <w:pPr>
              <w:jc w:val="both"/>
              <w:rPr>
                <w:rFonts w:ascii="Times New Roman" w:hAnsi="Times New Roman" w:cs="Times New Roman"/>
                <w:sz w:val="24"/>
                <w:lang w:val="en-GB"/>
              </w:rPr>
            </w:pPr>
          </w:p>
          <w:p w14:paraId="4BDB7835" w14:textId="77777777" w:rsidR="00F55A8F" w:rsidRPr="000E681D" w:rsidRDefault="00AC2CC6" w:rsidP="00FC2BD3">
            <w:pPr>
              <w:jc w:val="both"/>
              <w:rPr>
                <w:rFonts w:ascii="Times New Roman" w:hAnsi="Times New Roman" w:cs="Times New Roman"/>
                <w:b/>
                <w:bCs/>
                <w:sz w:val="24"/>
                <w:lang w:val="en-GB"/>
              </w:rPr>
            </w:pPr>
            <w:r>
              <w:rPr>
                <w:rFonts w:ascii="Times New Roman" w:hAnsi="Times New Roman" w:cs="Times New Roman"/>
                <w:b/>
                <w:bCs/>
                <w:sz w:val="24"/>
                <w:lang w:val="en-GB"/>
              </w:rPr>
              <w:t>0.0003</w:t>
            </w:r>
          </w:p>
        </w:tc>
      </w:tr>
      <w:tr w:rsidR="00F55A8F" w:rsidRPr="00BD55C0" w14:paraId="2210B950" w14:textId="77777777" w:rsidTr="008679F6">
        <w:tc>
          <w:tcPr>
            <w:tcW w:w="1892" w:type="dxa"/>
            <w:tcBorders>
              <w:top w:val="nil"/>
              <w:left w:val="nil"/>
              <w:bottom w:val="nil"/>
              <w:right w:val="nil"/>
            </w:tcBorders>
            <w:hideMark/>
          </w:tcPr>
          <w:p w14:paraId="25C36BBD"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Census</w:t>
            </w:r>
          </w:p>
          <w:p w14:paraId="5508FB7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w:t>
            </w:r>
          </w:p>
          <w:p w14:paraId="54A3DAD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yes</w:t>
            </w:r>
          </w:p>
        </w:tc>
        <w:tc>
          <w:tcPr>
            <w:tcW w:w="1870" w:type="dxa"/>
            <w:tcBorders>
              <w:top w:val="nil"/>
              <w:left w:val="nil"/>
              <w:bottom w:val="nil"/>
              <w:right w:val="nil"/>
            </w:tcBorders>
            <w:vAlign w:val="center"/>
          </w:tcPr>
          <w:p w14:paraId="2D0F8FC6" w14:textId="77777777" w:rsidR="00F55A8F" w:rsidRPr="00BD55C0" w:rsidRDefault="00F55A8F" w:rsidP="00FC2BD3">
            <w:pPr>
              <w:jc w:val="both"/>
              <w:rPr>
                <w:rFonts w:ascii="Times New Roman" w:hAnsi="Times New Roman" w:cs="Times New Roman"/>
                <w:sz w:val="24"/>
                <w:lang w:val="en-GB"/>
              </w:rPr>
            </w:pPr>
          </w:p>
          <w:p w14:paraId="490B69B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5E3293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0.07(0.05-0.11)</w:t>
            </w:r>
          </w:p>
        </w:tc>
        <w:tc>
          <w:tcPr>
            <w:tcW w:w="1698" w:type="dxa"/>
            <w:tcBorders>
              <w:top w:val="nil"/>
              <w:left w:val="nil"/>
              <w:bottom w:val="nil"/>
              <w:right w:val="nil"/>
            </w:tcBorders>
            <w:vAlign w:val="center"/>
            <w:hideMark/>
          </w:tcPr>
          <w:p w14:paraId="06B1AC88" w14:textId="77777777" w:rsidR="00F55A8F" w:rsidRPr="00FD60FE" w:rsidRDefault="00F55A8F" w:rsidP="00FC2BD3">
            <w:pPr>
              <w:jc w:val="both"/>
              <w:rPr>
                <w:rFonts w:ascii="Times New Roman" w:hAnsi="Times New Roman" w:cs="Times New Roman"/>
                <w:b/>
                <w:sz w:val="24"/>
                <w:lang w:val="en-GB"/>
              </w:rPr>
            </w:pPr>
            <w:r w:rsidRPr="00FD60FE">
              <w:rPr>
                <w:rFonts w:ascii="Times New Roman" w:hAnsi="Times New Roman" w:cs="Times New Roman"/>
                <w:b/>
                <w:sz w:val="24"/>
                <w:lang w:val="en-GB"/>
              </w:rPr>
              <w:t>0.000</w:t>
            </w:r>
          </w:p>
        </w:tc>
        <w:tc>
          <w:tcPr>
            <w:tcW w:w="1870" w:type="dxa"/>
            <w:tcBorders>
              <w:top w:val="nil"/>
              <w:left w:val="nil"/>
              <w:bottom w:val="nil"/>
              <w:right w:val="nil"/>
            </w:tcBorders>
            <w:vAlign w:val="center"/>
          </w:tcPr>
          <w:p w14:paraId="693486B1" w14:textId="77777777" w:rsidR="00F55A8F" w:rsidRPr="00BD55C0" w:rsidRDefault="00F55A8F" w:rsidP="00FC2BD3">
            <w:pPr>
              <w:jc w:val="both"/>
              <w:rPr>
                <w:rFonts w:ascii="Times New Roman" w:hAnsi="Times New Roman" w:cs="Times New Roman"/>
                <w:sz w:val="24"/>
                <w:lang w:val="en-GB"/>
              </w:rPr>
            </w:pPr>
          </w:p>
          <w:p w14:paraId="1F20115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2C46E731"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0.11(0.07-0.16)</w:t>
            </w:r>
          </w:p>
        </w:tc>
        <w:tc>
          <w:tcPr>
            <w:tcW w:w="1742" w:type="dxa"/>
            <w:tcBorders>
              <w:top w:val="nil"/>
              <w:left w:val="nil"/>
              <w:bottom w:val="nil"/>
              <w:right w:val="nil"/>
            </w:tcBorders>
            <w:vAlign w:val="center"/>
          </w:tcPr>
          <w:p w14:paraId="37200470" w14:textId="77777777" w:rsidR="00F55A8F" w:rsidRPr="00BD55C0" w:rsidRDefault="00F55A8F" w:rsidP="00FC2BD3">
            <w:pPr>
              <w:jc w:val="both"/>
              <w:rPr>
                <w:rFonts w:ascii="Times New Roman" w:hAnsi="Times New Roman" w:cs="Times New Roman"/>
                <w:sz w:val="24"/>
                <w:lang w:val="en-GB"/>
              </w:rPr>
            </w:pPr>
          </w:p>
          <w:p w14:paraId="62571B05" w14:textId="77777777" w:rsidR="00F55A8F" w:rsidRPr="00BD55C0" w:rsidRDefault="00F55A8F" w:rsidP="00FC2BD3">
            <w:pPr>
              <w:jc w:val="both"/>
              <w:rPr>
                <w:rFonts w:ascii="Times New Roman" w:hAnsi="Times New Roman" w:cs="Times New Roman"/>
                <w:sz w:val="24"/>
                <w:lang w:val="en-GB"/>
              </w:rPr>
            </w:pPr>
          </w:p>
          <w:p w14:paraId="42B482F5" w14:textId="77777777" w:rsidR="00F55A8F" w:rsidRPr="000E681D" w:rsidRDefault="00AC2CC6" w:rsidP="00FC2BD3">
            <w:pPr>
              <w:jc w:val="both"/>
              <w:rPr>
                <w:rFonts w:ascii="Times New Roman" w:hAnsi="Times New Roman" w:cs="Times New Roman"/>
                <w:b/>
                <w:bCs/>
                <w:sz w:val="24"/>
                <w:lang w:val="en-GB"/>
              </w:rPr>
            </w:pPr>
            <w:r>
              <w:rPr>
                <w:rFonts w:ascii="Times New Roman" w:hAnsi="Times New Roman" w:cs="Times New Roman"/>
                <w:b/>
                <w:bCs/>
                <w:sz w:val="24"/>
                <w:lang w:val="en-GB"/>
              </w:rPr>
              <w:t>0.000</w:t>
            </w:r>
          </w:p>
        </w:tc>
      </w:tr>
      <w:tr w:rsidR="00F55A8F" w:rsidRPr="00BD55C0" w14:paraId="0E168DA2" w14:textId="77777777" w:rsidTr="008679F6">
        <w:tc>
          <w:tcPr>
            <w:tcW w:w="1892" w:type="dxa"/>
            <w:tcBorders>
              <w:top w:val="nil"/>
              <w:left w:val="nil"/>
              <w:bottom w:val="nil"/>
              <w:right w:val="nil"/>
            </w:tcBorders>
            <w:hideMark/>
          </w:tcPr>
          <w:p w14:paraId="76A1F066"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Education</w:t>
            </w:r>
          </w:p>
          <w:p w14:paraId="3D907E0E"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None</w:t>
            </w:r>
          </w:p>
          <w:p w14:paraId="6B40A27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Primary</w:t>
            </w:r>
          </w:p>
          <w:p w14:paraId="29A4D49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Secondary</w:t>
            </w:r>
          </w:p>
          <w:p w14:paraId="337BA0E8"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higher</w:t>
            </w:r>
          </w:p>
        </w:tc>
        <w:tc>
          <w:tcPr>
            <w:tcW w:w="1870" w:type="dxa"/>
            <w:tcBorders>
              <w:top w:val="nil"/>
              <w:left w:val="nil"/>
              <w:bottom w:val="nil"/>
              <w:right w:val="nil"/>
            </w:tcBorders>
            <w:vAlign w:val="center"/>
          </w:tcPr>
          <w:p w14:paraId="28D8C324" w14:textId="77777777" w:rsidR="00F55A8F" w:rsidRPr="00BD55C0" w:rsidRDefault="00F55A8F" w:rsidP="00FC2BD3">
            <w:pPr>
              <w:jc w:val="both"/>
              <w:rPr>
                <w:rFonts w:ascii="Times New Roman" w:hAnsi="Times New Roman" w:cs="Times New Roman"/>
                <w:sz w:val="24"/>
                <w:lang w:val="en-GB"/>
              </w:rPr>
            </w:pPr>
          </w:p>
          <w:p w14:paraId="1EC3144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3CED6CE3"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0.12(0.01-1.02)</w:t>
            </w:r>
          </w:p>
          <w:p w14:paraId="7B7727C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006(0.00-0.51)</w:t>
            </w:r>
          </w:p>
          <w:p w14:paraId="253E5CB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0.12(0.01-1.05)</w:t>
            </w:r>
          </w:p>
        </w:tc>
        <w:tc>
          <w:tcPr>
            <w:tcW w:w="1698" w:type="dxa"/>
            <w:tcBorders>
              <w:top w:val="nil"/>
              <w:left w:val="nil"/>
              <w:bottom w:val="nil"/>
              <w:right w:val="nil"/>
            </w:tcBorders>
            <w:vAlign w:val="center"/>
          </w:tcPr>
          <w:p w14:paraId="64783E95" w14:textId="77777777" w:rsidR="00F55A8F" w:rsidRPr="00BD55C0" w:rsidRDefault="00F55A8F" w:rsidP="00FC2BD3">
            <w:pPr>
              <w:jc w:val="both"/>
              <w:rPr>
                <w:rFonts w:ascii="Times New Roman" w:hAnsi="Times New Roman" w:cs="Times New Roman"/>
                <w:sz w:val="24"/>
                <w:lang w:val="en-GB"/>
              </w:rPr>
            </w:pPr>
          </w:p>
          <w:p w14:paraId="7405D35C" w14:textId="77777777" w:rsidR="00F55A8F" w:rsidRPr="002D4FD3" w:rsidRDefault="00F55A8F" w:rsidP="00FC2BD3">
            <w:pPr>
              <w:jc w:val="both"/>
              <w:rPr>
                <w:rFonts w:ascii="Times New Roman" w:hAnsi="Times New Roman" w:cs="Times New Roman"/>
                <w:b/>
                <w:sz w:val="24"/>
                <w:lang w:val="en-GB"/>
              </w:rPr>
            </w:pPr>
          </w:p>
          <w:p w14:paraId="1E8A6C95" w14:textId="77777777" w:rsidR="00F55A8F" w:rsidRPr="002D4FD3" w:rsidRDefault="00F55A8F" w:rsidP="00FC2BD3">
            <w:pPr>
              <w:jc w:val="both"/>
              <w:rPr>
                <w:rFonts w:ascii="Times New Roman" w:hAnsi="Times New Roman" w:cs="Times New Roman"/>
                <w:b/>
                <w:sz w:val="24"/>
                <w:lang w:val="en-GB"/>
              </w:rPr>
            </w:pPr>
            <w:r w:rsidRPr="002D4FD3">
              <w:rPr>
                <w:rFonts w:ascii="Times New Roman" w:hAnsi="Times New Roman" w:cs="Times New Roman"/>
                <w:b/>
                <w:sz w:val="24"/>
                <w:lang w:val="en-GB"/>
              </w:rPr>
              <w:t>0.052</w:t>
            </w:r>
          </w:p>
          <w:p w14:paraId="3F7442DB" w14:textId="77777777" w:rsidR="00F55A8F" w:rsidRPr="002D4FD3" w:rsidRDefault="00F55A8F" w:rsidP="00FC2BD3">
            <w:pPr>
              <w:jc w:val="both"/>
              <w:rPr>
                <w:rFonts w:ascii="Times New Roman" w:hAnsi="Times New Roman" w:cs="Times New Roman"/>
                <w:b/>
                <w:sz w:val="24"/>
                <w:lang w:val="en-GB"/>
              </w:rPr>
            </w:pPr>
            <w:r w:rsidRPr="002D4FD3">
              <w:rPr>
                <w:rFonts w:ascii="Times New Roman" w:hAnsi="Times New Roman" w:cs="Times New Roman"/>
                <w:b/>
                <w:sz w:val="24"/>
                <w:lang w:val="en-GB"/>
              </w:rPr>
              <w:t>0.010</w:t>
            </w:r>
          </w:p>
          <w:p w14:paraId="6A35A445" w14:textId="77777777" w:rsidR="00F55A8F" w:rsidRPr="00BD55C0" w:rsidRDefault="00F55A8F" w:rsidP="00FC2BD3">
            <w:pPr>
              <w:jc w:val="both"/>
              <w:rPr>
                <w:rFonts w:ascii="Times New Roman" w:hAnsi="Times New Roman" w:cs="Times New Roman"/>
                <w:sz w:val="24"/>
                <w:lang w:val="en-GB"/>
              </w:rPr>
            </w:pPr>
            <w:r w:rsidRPr="002D4FD3">
              <w:rPr>
                <w:rFonts w:ascii="Times New Roman" w:hAnsi="Times New Roman" w:cs="Times New Roman"/>
                <w:b/>
                <w:sz w:val="24"/>
                <w:lang w:val="en-GB"/>
              </w:rPr>
              <w:t>0.056</w:t>
            </w:r>
          </w:p>
        </w:tc>
        <w:tc>
          <w:tcPr>
            <w:tcW w:w="1870" w:type="dxa"/>
            <w:tcBorders>
              <w:top w:val="nil"/>
              <w:left w:val="nil"/>
              <w:bottom w:val="nil"/>
              <w:right w:val="nil"/>
            </w:tcBorders>
            <w:vAlign w:val="center"/>
          </w:tcPr>
          <w:p w14:paraId="26EBEDAB" w14:textId="77777777" w:rsidR="00F55A8F" w:rsidRPr="00BD55C0" w:rsidRDefault="00F55A8F" w:rsidP="00FC2BD3">
            <w:pPr>
              <w:jc w:val="both"/>
              <w:rPr>
                <w:rFonts w:ascii="Times New Roman" w:hAnsi="Times New Roman" w:cs="Times New Roman"/>
                <w:sz w:val="24"/>
                <w:lang w:val="en-GB"/>
              </w:rPr>
            </w:pPr>
          </w:p>
          <w:p w14:paraId="4409839A"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3C0A738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0.29(0.02-2.88)</w:t>
            </w:r>
          </w:p>
          <w:p w14:paraId="77FFC26F"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0.15(0.01-1.52)</w:t>
            </w:r>
          </w:p>
          <w:p w14:paraId="29D310D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0.25(0.02-2.72)</w:t>
            </w:r>
          </w:p>
          <w:p w14:paraId="2139CCF7" w14:textId="77777777" w:rsidR="00F55A8F" w:rsidRPr="00BD55C0" w:rsidRDefault="00F55A8F" w:rsidP="00FC2BD3">
            <w:pPr>
              <w:jc w:val="both"/>
              <w:rPr>
                <w:rFonts w:ascii="Times New Roman" w:hAnsi="Times New Roman" w:cs="Times New Roman"/>
                <w:sz w:val="24"/>
                <w:lang w:val="en-GB"/>
              </w:rPr>
            </w:pPr>
          </w:p>
        </w:tc>
        <w:tc>
          <w:tcPr>
            <w:tcW w:w="1742" w:type="dxa"/>
            <w:tcBorders>
              <w:top w:val="nil"/>
              <w:left w:val="nil"/>
              <w:bottom w:val="nil"/>
              <w:right w:val="nil"/>
            </w:tcBorders>
            <w:vAlign w:val="center"/>
          </w:tcPr>
          <w:p w14:paraId="4178F6CC" w14:textId="77777777" w:rsidR="00F55A8F" w:rsidRPr="00BD55C0" w:rsidRDefault="00F55A8F" w:rsidP="00FC2BD3">
            <w:pPr>
              <w:jc w:val="both"/>
              <w:rPr>
                <w:rFonts w:ascii="Times New Roman" w:hAnsi="Times New Roman" w:cs="Times New Roman"/>
                <w:sz w:val="24"/>
                <w:lang w:val="en-GB"/>
              </w:rPr>
            </w:pPr>
          </w:p>
          <w:p w14:paraId="58A0CC7F" w14:textId="77777777" w:rsidR="00F55A8F" w:rsidRPr="00BD55C0" w:rsidRDefault="00F55A8F" w:rsidP="00FC2BD3">
            <w:pPr>
              <w:jc w:val="both"/>
              <w:rPr>
                <w:rFonts w:ascii="Times New Roman" w:hAnsi="Times New Roman" w:cs="Times New Roman"/>
                <w:sz w:val="24"/>
                <w:lang w:val="en-GB"/>
              </w:rPr>
            </w:pPr>
          </w:p>
          <w:p w14:paraId="2BD1FC8E"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0.29</w:t>
            </w:r>
          </w:p>
          <w:p w14:paraId="31D293F3"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0.11</w:t>
            </w:r>
          </w:p>
          <w:p w14:paraId="7682AC3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0.25</w:t>
            </w:r>
          </w:p>
        </w:tc>
      </w:tr>
      <w:tr w:rsidR="00F55A8F" w:rsidRPr="00BD55C0" w14:paraId="25491C02" w14:textId="77777777" w:rsidTr="008679F6">
        <w:tc>
          <w:tcPr>
            <w:tcW w:w="1892" w:type="dxa"/>
            <w:tcBorders>
              <w:top w:val="nil"/>
              <w:left w:val="nil"/>
              <w:bottom w:val="nil"/>
              <w:right w:val="nil"/>
            </w:tcBorders>
            <w:hideMark/>
          </w:tcPr>
          <w:p w14:paraId="124441DE"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Here</w:t>
            </w:r>
          </w:p>
          <w:p w14:paraId="5F9F9619"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No</w:t>
            </w:r>
          </w:p>
          <w:p w14:paraId="084E1C9F"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lastRenderedPageBreak/>
              <w:t>yes</w:t>
            </w:r>
          </w:p>
        </w:tc>
        <w:tc>
          <w:tcPr>
            <w:tcW w:w="1870" w:type="dxa"/>
            <w:tcBorders>
              <w:top w:val="nil"/>
              <w:left w:val="nil"/>
              <w:bottom w:val="nil"/>
              <w:right w:val="nil"/>
            </w:tcBorders>
            <w:vAlign w:val="center"/>
          </w:tcPr>
          <w:p w14:paraId="37ACA394" w14:textId="77777777" w:rsidR="00F55A8F" w:rsidRPr="00BD55C0" w:rsidRDefault="00F55A8F" w:rsidP="00FC2BD3">
            <w:pPr>
              <w:jc w:val="both"/>
              <w:rPr>
                <w:rFonts w:ascii="Times New Roman" w:hAnsi="Times New Roman" w:cs="Times New Roman"/>
                <w:sz w:val="24"/>
                <w:lang w:val="en-GB"/>
              </w:rPr>
            </w:pPr>
          </w:p>
          <w:p w14:paraId="750C37D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70C7DD9E"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lastRenderedPageBreak/>
              <w:t>1.26(0.71-2.23)</w:t>
            </w:r>
          </w:p>
        </w:tc>
        <w:tc>
          <w:tcPr>
            <w:tcW w:w="1698" w:type="dxa"/>
            <w:tcBorders>
              <w:top w:val="nil"/>
              <w:left w:val="nil"/>
              <w:bottom w:val="nil"/>
              <w:right w:val="nil"/>
            </w:tcBorders>
            <w:vAlign w:val="center"/>
          </w:tcPr>
          <w:p w14:paraId="3E8DE96A" w14:textId="77777777" w:rsidR="00F55A8F" w:rsidRPr="00BD55C0" w:rsidRDefault="00F55A8F" w:rsidP="00FC2BD3">
            <w:pPr>
              <w:jc w:val="both"/>
              <w:rPr>
                <w:rFonts w:ascii="Times New Roman" w:hAnsi="Times New Roman" w:cs="Times New Roman"/>
                <w:sz w:val="24"/>
                <w:lang w:val="en-GB"/>
              </w:rPr>
            </w:pPr>
          </w:p>
          <w:p w14:paraId="65405A74" w14:textId="77777777" w:rsidR="00F55A8F" w:rsidRPr="00BD55C0" w:rsidRDefault="00F55A8F" w:rsidP="00FC2BD3">
            <w:pPr>
              <w:jc w:val="both"/>
              <w:rPr>
                <w:rFonts w:ascii="Times New Roman" w:hAnsi="Times New Roman" w:cs="Times New Roman"/>
                <w:sz w:val="24"/>
                <w:lang w:val="en-GB"/>
              </w:rPr>
            </w:pPr>
          </w:p>
          <w:p w14:paraId="70DAF0E6"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lastRenderedPageBreak/>
              <w:t>0.41</w:t>
            </w:r>
          </w:p>
        </w:tc>
        <w:tc>
          <w:tcPr>
            <w:tcW w:w="1870" w:type="dxa"/>
            <w:tcBorders>
              <w:top w:val="nil"/>
              <w:left w:val="nil"/>
              <w:bottom w:val="nil"/>
              <w:right w:val="nil"/>
            </w:tcBorders>
            <w:vAlign w:val="center"/>
          </w:tcPr>
          <w:p w14:paraId="1A58A2D0" w14:textId="77777777" w:rsidR="00F55A8F" w:rsidRPr="00BD55C0" w:rsidRDefault="00F55A8F" w:rsidP="00FC2BD3">
            <w:pPr>
              <w:jc w:val="both"/>
              <w:rPr>
                <w:rFonts w:ascii="Times New Roman" w:hAnsi="Times New Roman" w:cs="Times New Roman"/>
                <w:sz w:val="24"/>
                <w:lang w:val="en-GB"/>
              </w:rPr>
            </w:pPr>
          </w:p>
          <w:p w14:paraId="556AD7C2"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c>
          <w:tcPr>
            <w:tcW w:w="1742" w:type="dxa"/>
            <w:tcBorders>
              <w:top w:val="nil"/>
              <w:left w:val="nil"/>
              <w:bottom w:val="nil"/>
              <w:right w:val="nil"/>
            </w:tcBorders>
            <w:vAlign w:val="center"/>
          </w:tcPr>
          <w:p w14:paraId="7EE41147" w14:textId="77777777" w:rsidR="00F55A8F" w:rsidRPr="00BD55C0" w:rsidRDefault="00F55A8F" w:rsidP="00FC2BD3">
            <w:pPr>
              <w:jc w:val="both"/>
              <w:rPr>
                <w:rFonts w:ascii="Times New Roman" w:hAnsi="Times New Roman" w:cs="Times New Roman"/>
                <w:sz w:val="24"/>
                <w:lang w:val="en-GB"/>
              </w:rPr>
            </w:pPr>
          </w:p>
          <w:p w14:paraId="0E77CEE7"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w:t>
            </w:r>
          </w:p>
        </w:tc>
      </w:tr>
      <w:tr w:rsidR="00F55A8F" w:rsidRPr="00BD55C0" w14:paraId="23B9A653" w14:textId="77777777" w:rsidTr="008679F6">
        <w:tc>
          <w:tcPr>
            <w:tcW w:w="1892" w:type="dxa"/>
            <w:tcBorders>
              <w:top w:val="nil"/>
              <w:left w:val="nil"/>
              <w:bottom w:val="single" w:sz="4" w:space="0" w:color="auto"/>
              <w:right w:val="nil"/>
            </w:tcBorders>
            <w:hideMark/>
          </w:tcPr>
          <w:p w14:paraId="00C43306" w14:textId="77777777" w:rsidR="00F55A8F" w:rsidRPr="00BD55C0" w:rsidRDefault="00F55A8F" w:rsidP="00FC2BD3">
            <w:pPr>
              <w:jc w:val="both"/>
              <w:rPr>
                <w:rFonts w:ascii="Times New Roman" w:hAnsi="Times New Roman" w:cs="Times New Roman"/>
                <w:b/>
                <w:sz w:val="24"/>
                <w:lang w:val="en-GB"/>
              </w:rPr>
            </w:pPr>
            <w:r w:rsidRPr="00BD55C0">
              <w:rPr>
                <w:rFonts w:ascii="Times New Roman" w:hAnsi="Times New Roman" w:cs="Times New Roman"/>
                <w:b/>
                <w:sz w:val="24"/>
                <w:lang w:val="en-GB"/>
              </w:rPr>
              <w:t>Sex</w:t>
            </w:r>
          </w:p>
          <w:p w14:paraId="01E62CCC"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Female</w:t>
            </w:r>
          </w:p>
          <w:p w14:paraId="765149C0"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male</w:t>
            </w:r>
          </w:p>
        </w:tc>
        <w:tc>
          <w:tcPr>
            <w:tcW w:w="1870" w:type="dxa"/>
            <w:tcBorders>
              <w:top w:val="nil"/>
              <w:left w:val="nil"/>
              <w:bottom w:val="single" w:sz="4" w:space="0" w:color="auto"/>
              <w:right w:val="nil"/>
            </w:tcBorders>
            <w:vAlign w:val="center"/>
          </w:tcPr>
          <w:p w14:paraId="27874692" w14:textId="77777777" w:rsidR="00F55A8F" w:rsidRPr="00BD55C0" w:rsidRDefault="00F55A8F" w:rsidP="00FC2BD3">
            <w:pPr>
              <w:jc w:val="both"/>
              <w:rPr>
                <w:rFonts w:ascii="Times New Roman" w:hAnsi="Times New Roman" w:cs="Times New Roman"/>
                <w:sz w:val="24"/>
                <w:lang w:val="en-GB"/>
              </w:rPr>
            </w:pPr>
          </w:p>
          <w:p w14:paraId="0BAB04EB"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3AE84F7D"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0.42(0.31-0.57)</w:t>
            </w:r>
          </w:p>
        </w:tc>
        <w:tc>
          <w:tcPr>
            <w:tcW w:w="1698" w:type="dxa"/>
            <w:tcBorders>
              <w:top w:val="nil"/>
              <w:left w:val="nil"/>
              <w:bottom w:val="single" w:sz="4" w:space="0" w:color="auto"/>
              <w:right w:val="nil"/>
            </w:tcBorders>
            <w:vAlign w:val="center"/>
          </w:tcPr>
          <w:p w14:paraId="7D3E3703" w14:textId="77777777" w:rsidR="00F55A8F" w:rsidRPr="00BD55C0" w:rsidRDefault="00F55A8F" w:rsidP="00FC2BD3">
            <w:pPr>
              <w:jc w:val="both"/>
              <w:rPr>
                <w:rFonts w:ascii="Times New Roman" w:hAnsi="Times New Roman" w:cs="Times New Roman"/>
                <w:sz w:val="24"/>
                <w:lang w:val="en-GB"/>
              </w:rPr>
            </w:pPr>
          </w:p>
          <w:p w14:paraId="56D16EAA" w14:textId="77777777" w:rsidR="00F55A8F" w:rsidRPr="00BD55C0" w:rsidRDefault="00F55A8F" w:rsidP="00FC2BD3">
            <w:pPr>
              <w:jc w:val="both"/>
              <w:rPr>
                <w:rFonts w:ascii="Times New Roman" w:hAnsi="Times New Roman" w:cs="Times New Roman"/>
                <w:sz w:val="24"/>
                <w:lang w:val="en-GB"/>
              </w:rPr>
            </w:pPr>
          </w:p>
          <w:p w14:paraId="3B8F6446" w14:textId="77777777" w:rsidR="00F55A8F" w:rsidRPr="00FD60FE" w:rsidRDefault="00F55A8F" w:rsidP="00FC2BD3">
            <w:pPr>
              <w:jc w:val="both"/>
              <w:rPr>
                <w:rFonts w:ascii="Times New Roman" w:hAnsi="Times New Roman" w:cs="Times New Roman"/>
                <w:b/>
                <w:sz w:val="24"/>
                <w:lang w:val="en-GB"/>
              </w:rPr>
            </w:pPr>
            <w:r w:rsidRPr="00FD60FE">
              <w:rPr>
                <w:rFonts w:ascii="Times New Roman" w:hAnsi="Times New Roman" w:cs="Times New Roman"/>
                <w:b/>
                <w:sz w:val="24"/>
                <w:lang w:val="en-GB"/>
              </w:rPr>
              <w:t>0.000</w:t>
            </w:r>
          </w:p>
        </w:tc>
        <w:tc>
          <w:tcPr>
            <w:tcW w:w="1870" w:type="dxa"/>
            <w:tcBorders>
              <w:top w:val="nil"/>
              <w:left w:val="nil"/>
              <w:bottom w:val="single" w:sz="4" w:space="0" w:color="auto"/>
              <w:right w:val="nil"/>
            </w:tcBorders>
            <w:vAlign w:val="center"/>
          </w:tcPr>
          <w:p w14:paraId="07069638" w14:textId="77777777" w:rsidR="00F55A8F" w:rsidRPr="00BD55C0" w:rsidRDefault="00F55A8F" w:rsidP="00FC2BD3">
            <w:pPr>
              <w:jc w:val="both"/>
              <w:rPr>
                <w:rFonts w:ascii="Times New Roman" w:hAnsi="Times New Roman" w:cs="Times New Roman"/>
                <w:sz w:val="24"/>
                <w:lang w:val="en-GB"/>
              </w:rPr>
            </w:pPr>
          </w:p>
          <w:p w14:paraId="22BD8C15"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1</w:t>
            </w:r>
          </w:p>
          <w:p w14:paraId="5CB3BBC6" w14:textId="77777777" w:rsidR="00F55A8F" w:rsidRPr="00BD55C0" w:rsidRDefault="00F55A8F" w:rsidP="00FC2BD3">
            <w:pPr>
              <w:jc w:val="both"/>
              <w:rPr>
                <w:rFonts w:ascii="Times New Roman" w:hAnsi="Times New Roman" w:cs="Times New Roman"/>
                <w:sz w:val="24"/>
                <w:lang w:val="en-GB"/>
              </w:rPr>
            </w:pPr>
            <w:r w:rsidRPr="00BD55C0">
              <w:rPr>
                <w:rFonts w:ascii="Times New Roman" w:hAnsi="Times New Roman" w:cs="Times New Roman"/>
                <w:sz w:val="24"/>
                <w:lang w:val="en-GB"/>
              </w:rPr>
              <w:t>0.45(0.32-0.65)</w:t>
            </w:r>
          </w:p>
        </w:tc>
        <w:tc>
          <w:tcPr>
            <w:tcW w:w="1742" w:type="dxa"/>
            <w:tcBorders>
              <w:top w:val="nil"/>
              <w:left w:val="nil"/>
              <w:bottom w:val="single" w:sz="4" w:space="0" w:color="auto"/>
              <w:right w:val="nil"/>
            </w:tcBorders>
            <w:vAlign w:val="center"/>
          </w:tcPr>
          <w:p w14:paraId="763772F8" w14:textId="77777777" w:rsidR="00F55A8F" w:rsidRPr="00BD55C0" w:rsidRDefault="00F55A8F" w:rsidP="00FC2BD3">
            <w:pPr>
              <w:jc w:val="both"/>
              <w:rPr>
                <w:rFonts w:ascii="Times New Roman" w:hAnsi="Times New Roman" w:cs="Times New Roman"/>
                <w:sz w:val="24"/>
                <w:lang w:val="en-GB"/>
              </w:rPr>
            </w:pPr>
          </w:p>
          <w:p w14:paraId="48427E58" w14:textId="77777777" w:rsidR="00F55A8F" w:rsidRPr="00BD55C0" w:rsidRDefault="00F55A8F" w:rsidP="00FC2BD3">
            <w:pPr>
              <w:jc w:val="both"/>
              <w:rPr>
                <w:rFonts w:ascii="Times New Roman" w:hAnsi="Times New Roman" w:cs="Times New Roman"/>
                <w:sz w:val="24"/>
                <w:lang w:val="en-GB"/>
              </w:rPr>
            </w:pPr>
          </w:p>
          <w:p w14:paraId="39F5BF53" w14:textId="77777777" w:rsidR="00F55A8F" w:rsidRPr="000E681D" w:rsidRDefault="00AC2CC6" w:rsidP="00FC2BD3">
            <w:pPr>
              <w:jc w:val="both"/>
              <w:rPr>
                <w:rFonts w:ascii="Times New Roman" w:hAnsi="Times New Roman" w:cs="Times New Roman"/>
                <w:b/>
                <w:bCs/>
                <w:sz w:val="24"/>
                <w:lang w:val="en-GB"/>
              </w:rPr>
            </w:pPr>
            <w:r>
              <w:rPr>
                <w:rFonts w:ascii="Times New Roman" w:hAnsi="Times New Roman" w:cs="Times New Roman"/>
                <w:b/>
                <w:bCs/>
                <w:sz w:val="24"/>
                <w:lang w:val="en-GB"/>
              </w:rPr>
              <w:t>0.000</w:t>
            </w:r>
          </w:p>
        </w:tc>
      </w:tr>
    </w:tbl>
    <w:p w14:paraId="242E8975" w14:textId="77777777" w:rsidR="007B2619" w:rsidRPr="00CE496C" w:rsidRDefault="007B2619" w:rsidP="00CE496C">
      <w:pPr>
        <w:spacing w:before="100" w:beforeAutospacing="1" w:after="100" w:afterAutospacing="1" w:line="360" w:lineRule="auto"/>
        <w:jc w:val="both"/>
        <w:rPr>
          <w:rFonts w:ascii="Times New Roman" w:eastAsia="Times New Roman" w:hAnsi="Times New Roman" w:cs="Times New Roman"/>
          <w:sz w:val="24"/>
          <w:szCs w:val="24"/>
          <w:lang w:val="en-GB" w:eastAsia="fr-FR"/>
        </w:rPr>
      </w:pPr>
    </w:p>
    <w:p w14:paraId="285C1609" w14:textId="77777777" w:rsidR="00AE219D" w:rsidRPr="00CF35D8" w:rsidRDefault="002F6774" w:rsidP="00207033">
      <w:pPr>
        <w:pStyle w:val="ListParagraph"/>
        <w:numPr>
          <w:ilvl w:val="0"/>
          <w:numId w:val="15"/>
        </w:numPr>
        <w:spacing w:before="100" w:beforeAutospacing="1" w:after="100" w:afterAutospacing="1" w:line="360" w:lineRule="auto"/>
        <w:jc w:val="both"/>
        <w:rPr>
          <w:rFonts w:ascii="Times New Roman" w:eastAsia="Times New Roman" w:hAnsi="Times New Roman" w:cs="Times New Roman"/>
          <w:b/>
          <w:sz w:val="24"/>
          <w:szCs w:val="24"/>
          <w:lang w:val="en-GB" w:eastAsia="fr-FR"/>
        </w:rPr>
      </w:pPr>
      <w:r w:rsidRPr="00CF35D8">
        <w:rPr>
          <w:rFonts w:ascii="Times New Roman" w:hAnsi="Times New Roman" w:cs="Times New Roman"/>
          <w:b/>
          <w:color w:val="000000" w:themeColor="text1"/>
          <w:sz w:val="24"/>
          <w:szCs w:val="24"/>
        </w:rPr>
        <w:t>Communication channel effectiveness</w:t>
      </w:r>
    </w:p>
    <w:p w14:paraId="48960310" w14:textId="77777777" w:rsidR="007045F6" w:rsidRPr="007045F6" w:rsidRDefault="007045F6" w:rsidP="007045F6">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7045F6">
        <w:rPr>
          <w:rFonts w:ascii="Times New Roman" w:eastAsia="Times New Roman" w:hAnsi="Times New Roman" w:cs="Times New Roman"/>
          <w:sz w:val="24"/>
          <w:szCs w:val="24"/>
          <w:lang w:val="en-US" w:eastAsia="fr-FR"/>
        </w:rPr>
        <w:t>Communication coverage varied by channel. Community Health Workers reached 74.4% of respondents, and social groups reached 75.9%, indicating moderate effectiveness. Churches (82.9%) and census activities (85.1%) demonstrated greater impact, while SMS (85.7%) and the internet (100%) recorded the highest proportions, though small sample sizes limit the reliability of these findings. Television reached 77.6%, performing less effectively than targeted community-based approaches. Overall, direct interpersonal and community channels proved more effective than mass media in achieving message penetration.</w:t>
      </w:r>
    </w:p>
    <w:p w14:paraId="2059DC3A" w14:textId="77777777" w:rsidR="00EF5BBE" w:rsidRPr="00EF5BBE" w:rsidRDefault="00EF5BBE" w:rsidP="00EF5BBE">
      <w:pPr>
        <w:spacing w:before="100" w:beforeAutospacing="1" w:after="100" w:afterAutospacing="1" w:line="240" w:lineRule="auto"/>
        <w:rPr>
          <w:rFonts w:ascii="Times New Roman" w:eastAsia="Times New Roman" w:hAnsi="Times New Roman" w:cs="Times New Roman"/>
          <w:sz w:val="24"/>
          <w:szCs w:val="24"/>
          <w:lang w:val="en-GB" w:eastAsia="fr-FR"/>
        </w:rPr>
      </w:pPr>
    </w:p>
    <w:p w14:paraId="326261A1" w14:textId="53873346" w:rsidR="00423B4B" w:rsidRPr="007045F6" w:rsidRDefault="00423B4B" w:rsidP="00423B4B">
      <w:pPr>
        <w:pStyle w:val="Caption"/>
        <w:keepNext/>
        <w:rPr>
          <w:rFonts w:ascii="Times" w:hAnsi="Times" w:cs="Times"/>
          <w:i w:val="0"/>
          <w:iCs w:val="0"/>
          <w:color w:val="0D0D0D" w:themeColor="text1" w:themeTint="F2"/>
          <w:sz w:val="24"/>
          <w:szCs w:val="24"/>
          <w:lang w:val="en-GB"/>
        </w:rPr>
      </w:pPr>
      <w:r w:rsidRPr="007045F6">
        <w:rPr>
          <w:rFonts w:ascii="Times" w:hAnsi="Times" w:cs="Times"/>
          <w:i w:val="0"/>
          <w:iCs w:val="0"/>
          <w:color w:val="0D0D0D" w:themeColor="text1" w:themeTint="F2"/>
          <w:sz w:val="24"/>
          <w:szCs w:val="24"/>
          <w:lang w:val="en-GB"/>
        </w:rPr>
        <w:t xml:space="preserve">Table </w:t>
      </w:r>
      <w:r w:rsidR="002F0F36">
        <w:rPr>
          <w:rFonts w:ascii="Times" w:hAnsi="Times" w:cs="Times"/>
          <w:i w:val="0"/>
          <w:iCs w:val="0"/>
          <w:color w:val="0D0D0D" w:themeColor="text1" w:themeTint="F2"/>
          <w:sz w:val="24"/>
          <w:szCs w:val="24"/>
        </w:rPr>
        <w:t xml:space="preserve">5 </w:t>
      </w:r>
      <w:r w:rsidRPr="007045F6">
        <w:rPr>
          <w:rFonts w:ascii="Times" w:hAnsi="Times" w:cs="Times"/>
          <w:i w:val="0"/>
          <w:iCs w:val="0"/>
          <w:color w:val="0D0D0D" w:themeColor="text1" w:themeTint="F2"/>
          <w:sz w:val="24"/>
          <w:szCs w:val="24"/>
          <w:lang w:val="en-GB"/>
        </w:rPr>
        <w:t xml:space="preserve">communication channel effectiveness during Community Directed Treatment with Ivermectin at the </w:t>
      </w:r>
      <w:proofErr w:type="spellStart"/>
      <w:r w:rsidRPr="007045F6">
        <w:rPr>
          <w:rFonts w:ascii="Times" w:hAnsi="Times" w:cs="Times"/>
          <w:i w:val="0"/>
          <w:iCs w:val="0"/>
          <w:color w:val="0D0D0D" w:themeColor="text1" w:themeTint="F2"/>
          <w:sz w:val="24"/>
          <w:szCs w:val="24"/>
          <w:lang w:val="en-GB"/>
        </w:rPr>
        <w:t>Batcham</w:t>
      </w:r>
      <w:proofErr w:type="spellEnd"/>
      <w:r w:rsidRPr="007045F6">
        <w:rPr>
          <w:rFonts w:ascii="Times" w:hAnsi="Times" w:cs="Times"/>
          <w:i w:val="0"/>
          <w:iCs w:val="0"/>
          <w:color w:val="0D0D0D" w:themeColor="text1" w:themeTint="F2"/>
          <w:sz w:val="24"/>
          <w:szCs w:val="24"/>
          <w:lang w:val="en-GB"/>
        </w:rPr>
        <w:t xml:space="preserve"> health district</w:t>
      </w:r>
    </w:p>
    <w:tbl>
      <w:tblPr>
        <w:tblStyle w:val="TableGrid"/>
        <w:tblW w:w="7508"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20"/>
        <w:gridCol w:w="1373"/>
        <w:gridCol w:w="2274"/>
        <w:gridCol w:w="2341"/>
      </w:tblGrid>
      <w:tr w:rsidR="00CE496C" w:rsidRPr="00524F79" w14:paraId="7F350998" w14:textId="77777777" w:rsidTr="00A50375">
        <w:trPr>
          <w:trHeight w:val="706"/>
        </w:trPr>
        <w:tc>
          <w:tcPr>
            <w:tcW w:w="1520" w:type="dxa"/>
            <w:tcBorders>
              <w:top w:val="single" w:sz="4" w:space="0" w:color="auto"/>
              <w:bottom w:val="single" w:sz="4" w:space="0" w:color="auto"/>
            </w:tcBorders>
          </w:tcPr>
          <w:p w14:paraId="03483F0D" w14:textId="77777777" w:rsidR="00CE496C" w:rsidRPr="009D5D81" w:rsidRDefault="00CE496C" w:rsidP="00A50375">
            <w:pPr>
              <w:autoSpaceDE w:val="0"/>
              <w:autoSpaceDN w:val="0"/>
              <w:adjustRightInd w:val="0"/>
              <w:rPr>
                <w:rFonts w:ascii="Times New Roman" w:hAnsi="Times New Roman" w:cs="Times New Roman"/>
                <w:b/>
                <w:lang w:val="en-GB"/>
              </w:rPr>
            </w:pPr>
            <w:r w:rsidRPr="009D5D81">
              <w:rPr>
                <w:rFonts w:ascii="Times New Roman" w:hAnsi="Times New Roman" w:cs="Times New Roman"/>
                <w:b/>
                <w:lang w:val="en-GB"/>
              </w:rPr>
              <w:t>Source of information</w:t>
            </w:r>
          </w:p>
        </w:tc>
        <w:tc>
          <w:tcPr>
            <w:tcW w:w="1373" w:type="dxa"/>
            <w:tcBorders>
              <w:top w:val="single" w:sz="4" w:space="0" w:color="auto"/>
              <w:bottom w:val="single" w:sz="4" w:space="0" w:color="auto"/>
            </w:tcBorders>
          </w:tcPr>
          <w:p w14:paraId="05A775DF" w14:textId="77777777" w:rsidR="00CE496C" w:rsidRPr="009D5D81" w:rsidRDefault="009D5D81" w:rsidP="00A50375">
            <w:pPr>
              <w:autoSpaceDE w:val="0"/>
              <w:autoSpaceDN w:val="0"/>
              <w:adjustRightInd w:val="0"/>
              <w:spacing w:line="320" w:lineRule="atLeast"/>
              <w:ind w:left="60" w:right="60"/>
              <w:rPr>
                <w:rFonts w:ascii="Times New Roman" w:hAnsi="Times New Roman" w:cs="Times New Roman"/>
                <w:b/>
                <w:lang w:val="en-GB"/>
              </w:rPr>
            </w:pPr>
            <w:r w:rsidRPr="009D5D81">
              <w:rPr>
                <w:rFonts w:ascii="Times New Roman" w:hAnsi="Times New Roman" w:cs="Times New Roman"/>
                <w:b/>
                <w:lang w:val="en-GB"/>
              </w:rPr>
              <w:t>Frequency</w:t>
            </w:r>
          </w:p>
        </w:tc>
        <w:tc>
          <w:tcPr>
            <w:tcW w:w="2274" w:type="dxa"/>
            <w:tcBorders>
              <w:top w:val="single" w:sz="4" w:space="0" w:color="auto"/>
              <w:bottom w:val="single" w:sz="4" w:space="0" w:color="auto"/>
            </w:tcBorders>
          </w:tcPr>
          <w:p w14:paraId="04619C92" w14:textId="77777777" w:rsidR="00CE496C" w:rsidRPr="009D5D81" w:rsidRDefault="009D5D81" w:rsidP="00A50375">
            <w:pPr>
              <w:autoSpaceDE w:val="0"/>
              <w:autoSpaceDN w:val="0"/>
              <w:adjustRightInd w:val="0"/>
              <w:spacing w:line="320" w:lineRule="atLeast"/>
              <w:ind w:left="60" w:right="60"/>
              <w:rPr>
                <w:rFonts w:ascii="Times New Roman" w:hAnsi="Times New Roman" w:cs="Times New Roman"/>
                <w:b/>
                <w:lang w:val="en-GB"/>
              </w:rPr>
            </w:pPr>
            <w:r w:rsidRPr="009D5D81">
              <w:rPr>
                <w:rFonts w:ascii="Times New Roman" w:hAnsi="Times New Roman" w:cs="Times New Roman"/>
                <w:b/>
                <w:lang w:val="en-GB"/>
              </w:rPr>
              <w:t>Percentage (%)</w:t>
            </w:r>
          </w:p>
        </w:tc>
        <w:tc>
          <w:tcPr>
            <w:tcW w:w="2341" w:type="dxa"/>
            <w:tcBorders>
              <w:top w:val="single" w:sz="4" w:space="0" w:color="auto"/>
              <w:bottom w:val="single" w:sz="4" w:space="0" w:color="auto"/>
            </w:tcBorders>
          </w:tcPr>
          <w:p w14:paraId="2FC04C1F" w14:textId="77777777" w:rsidR="00CE496C" w:rsidRPr="009D5D81" w:rsidRDefault="00CE496C" w:rsidP="00A50375">
            <w:pPr>
              <w:autoSpaceDE w:val="0"/>
              <w:autoSpaceDN w:val="0"/>
              <w:adjustRightInd w:val="0"/>
              <w:spacing w:line="320" w:lineRule="atLeast"/>
              <w:ind w:left="60" w:right="60"/>
              <w:rPr>
                <w:rFonts w:ascii="Times New Roman" w:hAnsi="Times New Roman" w:cs="Times New Roman"/>
                <w:b/>
                <w:lang w:val="en-GB"/>
              </w:rPr>
            </w:pPr>
            <w:r w:rsidRPr="009D5D81">
              <w:rPr>
                <w:rFonts w:ascii="Times New Roman" w:hAnsi="Times New Roman" w:cs="Times New Roman"/>
                <w:b/>
                <w:lang w:val="en-GB"/>
              </w:rPr>
              <w:t>95%CI (%)</w:t>
            </w:r>
          </w:p>
        </w:tc>
      </w:tr>
      <w:tr w:rsidR="00CE496C" w:rsidRPr="00524F79" w14:paraId="58E6D72F" w14:textId="77777777" w:rsidTr="00A50375">
        <w:trPr>
          <w:trHeight w:val="429"/>
        </w:trPr>
        <w:tc>
          <w:tcPr>
            <w:tcW w:w="1520" w:type="dxa"/>
            <w:tcBorders>
              <w:top w:val="single" w:sz="4" w:space="0" w:color="auto"/>
            </w:tcBorders>
          </w:tcPr>
          <w:p w14:paraId="30BDF857" w14:textId="77777777" w:rsidR="00CE496C" w:rsidRPr="006656DE" w:rsidRDefault="00CB6CC2"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CHW</w:t>
            </w:r>
          </w:p>
        </w:tc>
        <w:tc>
          <w:tcPr>
            <w:tcW w:w="1373" w:type="dxa"/>
            <w:tcBorders>
              <w:top w:val="single" w:sz="4" w:space="0" w:color="auto"/>
            </w:tcBorders>
          </w:tcPr>
          <w:p w14:paraId="02ECFFA5"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186</w:t>
            </w:r>
          </w:p>
        </w:tc>
        <w:tc>
          <w:tcPr>
            <w:tcW w:w="2274" w:type="dxa"/>
            <w:tcBorders>
              <w:top w:val="single" w:sz="4" w:space="0" w:color="auto"/>
            </w:tcBorders>
          </w:tcPr>
          <w:p w14:paraId="59180ED8"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74.4</w:t>
            </w:r>
          </w:p>
        </w:tc>
        <w:tc>
          <w:tcPr>
            <w:tcW w:w="2341" w:type="dxa"/>
            <w:tcBorders>
              <w:top w:val="single" w:sz="4" w:space="0" w:color="auto"/>
            </w:tcBorders>
          </w:tcPr>
          <w:p w14:paraId="0AFE4D44"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(68.7-79.5)</w:t>
            </w:r>
          </w:p>
        </w:tc>
      </w:tr>
      <w:tr w:rsidR="00CE496C" w:rsidRPr="00524F79" w14:paraId="18D39814" w14:textId="77777777" w:rsidTr="00A50375">
        <w:trPr>
          <w:trHeight w:val="452"/>
        </w:trPr>
        <w:tc>
          <w:tcPr>
            <w:tcW w:w="1520" w:type="dxa"/>
          </w:tcPr>
          <w:p w14:paraId="2ADA09BB" w14:textId="77777777" w:rsidR="00CE496C" w:rsidRPr="006656DE" w:rsidRDefault="00CE496C"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Soc G</w:t>
            </w:r>
          </w:p>
        </w:tc>
        <w:tc>
          <w:tcPr>
            <w:tcW w:w="1373" w:type="dxa"/>
          </w:tcPr>
          <w:p w14:paraId="09B414BE"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355</w:t>
            </w:r>
          </w:p>
        </w:tc>
        <w:tc>
          <w:tcPr>
            <w:tcW w:w="2274" w:type="dxa"/>
          </w:tcPr>
          <w:p w14:paraId="5C8C6D47"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75.9</w:t>
            </w:r>
          </w:p>
        </w:tc>
        <w:tc>
          <w:tcPr>
            <w:tcW w:w="2341" w:type="dxa"/>
          </w:tcPr>
          <w:p w14:paraId="124915BC"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(71.8-79.6)</w:t>
            </w:r>
          </w:p>
        </w:tc>
      </w:tr>
      <w:tr w:rsidR="00CE496C" w:rsidRPr="00524F79" w14:paraId="6C8ADC5C" w14:textId="77777777" w:rsidTr="00A50375">
        <w:trPr>
          <w:trHeight w:val="452"/>
        </w:trPr>
        <w:tc>
          <w:tcPr>
            <w:tcW w:w="1520" w:type="dxa"/>
          </w:tcPr>
          <w:p w14:paraId="087DF563" w14:textId="77777777" w:rsidR="00CE496C" w:rsidRPr="006656DE" w:rsidRDefault="005018F4"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Church</w:t>
            </w:r>
          </w:p>
        </w:tc>
        <w:tc>
          <w:tcPr>
            <w:tcW w:w="1373" w:type="dxa"/>
          </w:tcPr>
          <w:p w14:paraId="633B7A54"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68</w:t>
            </w:r>
          </w:p>
        </w:tc>
        <w:tc>
          <w:tcPr>
            <w:tcW w:w="2274" w:type="dxa"/>
          </w:tcPr>
          <w:p w14:paraId="7BD0DE86"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82.9</w:t>
            </w:r>
          </w:p>
        </w:tc>
        <w:tc>
          <w:tcPr>
            <w:tcW w:w="2341" w:type="dxa"/>
          </w:tcPr>
          <w:p w14:paraId="16F5BE1B"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(73.7-89.9)</w:t>
            </w:r>
          </w:p>
        </w:tc>
      </w:tr>
      <w:tr w:rsidR="00CE496C" w:rsidRPr="00524F79" w14:paraId="04F5552E" w14:textId="77777777" w:rsidTr="00A50375">
        <w:trPr>
          <w:trHeight w:val="429"/>
        </w:trPr>
        <w:tc>
          <w:tcPr>
            <w:tcW w:w="1520" w:type="dxa"/>
          </w:tcPr>
          <w:p w14:paraId="2634AB5C" w14:textId="77777777" w:rsidR="00CE496C" w:rsidRPr="006656DE" w:rsidRDefault="00CB6CC2"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SMS</w:t>
            </w:r>
          </w:p>
        </w:tc>
        <w:tc>
          <w:tcPr>
            <w:tcW w:w="1373" w:type="dxa"/>
          </w:tcPr>
          <w:p w14:paraId="4D9EBEAA"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12</w:t>
            </w:r>
          </w:p>
        </w:tc>
        <w:tc>
          <w:tcPr>
            <w:tcW w:w="2274" w:type="dxa"/>
          </w:tcPr>
          <w:p w14:paraId="5E055C38"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85.7</w:t>
            </w:r>
          </w:p>
        </w:tc>
        <w:tc>
          <w:tcPr>
            <w:tcW w:w="2341" w:type="dxa"/>
          </w:tcPr>
          <w:p w14:paraId="0EAFAFBB"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(61.5-96.9)</w:t>
            </w:r>
          </w:p>
        </w:tc>
      </w:tr>
      <w:tr w:rsidR="00CE496C" w:rsidRPr="00524F79" w14:paraId="47AB6244" w14:textId="77777777" w:rsidTr="00A50375">
        <w:trPr>
          <w:trHeight w:val="452"/>
        </w:trPr>
        <w:tc>
          <w:tcPr>
            <w:tcW w:w="1520" w:type="dxa"/>
          </w:tcPr>
          <w:p w14:paraId="52D17AAF" w14:textId="77777777" w:rsidR="00CE496C" w:rsidRPr="006656DE" w:rsidRDefault="005018F4"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Census</w:t>
            </w:r>
          </w:p>
        </w:tc>
        <w:tc>
          <w:tcPr>
            <w:tcW w:w="1373" w:type="dxa"/>
          </w:tcPr>
          <w:p w14:paraId="495C7586"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388</w:t>
            </w:r>
          </w:p>
        </w:tc>
        <w:tc>
          <w:tcPr>
            <w:tcW w:w="2274" w:type="dxa"/>
          </w:tcPr>
          <w:p w14:paraId="7B15695F"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85.1</w:t>
            </w:r>
          </w:p>
        </w:tc>
        <w:tc>
          <w:tcPr>
            <w:tcW w:w="2341" w:type="dxa"/>
          </w:tcPr>
          <w:p w14:paraId="7F785D97"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(81.6-88.1)</w:t>
            </w:r>
          </w:p>
        </w:tc>
      </w:tr>
      <w:tr w:rsidR="00CE496C" w:rsidRPr="00524F79" w14:paraId="1B37D1FE" w14:textId="77777777" w:rsidTr="00A50375">
        <w:trPr>
          <w:trHeight w:val="429"/>
        </w:trPr>
        <w:tc>
          <w:tcPr>
            <w:tcW w:w="1520" w:type="dxa"/>
          </w:tcPr>
          <w:p w14:paraId="14E5A0A6" w14:textId="77777777" w:rsidR="00CE496C" w:rsidRPr="006656DE" w:rsidRDefault="005018F4"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Internet</w:t>
            </w:r>
          </w:p>
        </w:tc>
        <w:tc>
          <w:tcPr>
            <w:tcW w:w="1373" w:type="dxa"/>
          </w:tcPr>
          <w:p w14:paraId="4850C0E5"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9</w:t>
            </w:r>
          </w:p>
        </w:tc>
        <w:tc>
          <w:tcPr>
            <w:tcW w:w="2274" w:type="dxa"/>
          </w:tcPr>
          <w:p w14:paraId="5D04DAB2"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100</w:t>
            </w:r>
          </w:p>
        </w:tc>
        <w:tc>
          <w:tcPr>
            <w:tcW w:w="2341" w:type="dxa"/>
          </w:tcPr>
          <w:p w14:paraId="1E46BFC6"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w:t>
            </w:r>
          </w:p>
        </w:tc>
      </w:tr>
      <w:tr w:rsidR="00CE496C" w:rsidRPr="00524F79" w14:paraId="6085ABD3" w14:textId="77777777" w:rsidTr="00A50375">
        <w:trPr>
          <w:trHeight w:val="449"/>
        </w:trPr>
        <w:tc>
          <w:tcPr>
            <w:tcW w:w="1520" w:type="dxa"/>
          </w:tcPr>
          <w:p w14:paraId="477FC68E" w14:textId="77777777" w:rsidR="00CE496C" w:rsidRPr="006656DE" w:rsidRDefault="00CB6CC2" w:rsidP="00A50375">
            <w:pPr>
              <w:autoSpaceDE w:val="0"/>
              <w:autoSpaceDN w:val="0"/>
              <w:adjustRightInd w:val="0"/>
              <w:rPr>
                <w:rFonts w:ascii="Times New Roman" w:hAnsi="Times New Roman" w:cs="Times New Roman"/>
                <w:lang w:val="en-GB"/>
              </w:rPr>
            </w:pPr>
            <w:r w:rsidRPr="00524F79">
              <w:rPr>
                <w:rFonts w:ascii="Times New Roman" w:hAnsi="Times New Roman" w:cs="Times New Roman"/>
                <w:lang w:val="en-GB"/>
              </w:rPr>
              <w:t>TV</w:t>
            </w:r>
          </w:p>
        </w:tc>
        <w:tc>
          <w:tcPr>
            <w:tcW w:w="1373" w:type="dxa"/>
          </w:tcPr>
          <w:p w14:paraId="0BF101CB"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6656DE">
              <w:rPr>
                <w:rFonts w:ascii="Times New Roman" w:hAnsi="Times New Roman" w:cs="Times New Roman"/>
                <w:lang w:val="en-GB"/>
              </w:rPr>
              <w:t>76</w:t>
            </w:r>
          </w:p>
        </w:tc>
        <w:tc>
          <w:tcPr>
            <w:tcW w:w="2274" w:type="dxa"/>
          </w:tcPr>
          <w:p w14:paraId="37DE71CF"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Times New Roman" w:hAnsi="Times New Roman" w:cs="Times New Roman"/>
                <w:lang w:val="en-GB"/>
              </w:rPr>
              <w:t>77.6</w:t>
            </w:r>
          </w:p>
        </w:tc>
        <w:tc>
          <w:tcPr>
            <w:tcW w:w="2341" w:type="dxa"/>
          </w:tcPr>
          <w:p w14:paraId="6BC0DA5A" w14:textId="77777777" w:rsidR="00CE496C" w:rsidRPr="006656DE" w:rsidRDefault="00CE496C" w:rsidP="00A50375">
            <w:pPr>
              <w:autoSpaceDE w:val="0"/>
              <w:autoSpaceDN w:val="0"/>
              <w:adjustRightInd w:val="0"/>
              <w:spacing w:line="320" w:lineRule="atLeast"/>
              <w:ind w:left="60" w:right="60"/>
              <w:rPr>
                <w:rFonts w:ascii="Times New Roman" w:hAnsi="Times New Roman" w:cs="Times New Roman"/>
                <w:lang w:val="en-GB"/>
              </w:rPr>
            </w:pPr>
            <w:r w:rsidRPr="00524F79">
              <w:rPr>
                <w:rFonts w:ascii="Arial" w:hAnsi="Arial" w:cs="Arial"/>
                <w:color w:val="010205"/>
              </w:rPr>
              <w:t>(68.6-84.9)</w:t>
            </w:r>
          </w:p>
        </w:tc>
      </w:tr>
    </w:tbl>
    <w:p w14:paraId="234377B0" w14:textId="2D61918B" w:rsidR="00CF35D8" w:rsidRPr="00406CE8" w:rsidRDefault="006C03A9" w:rsidP="00406CE8">
      <w:pPr>
        <w:pStyle w:val="ListParagraph"/>
        <w:spacing w:before="100" w:beforeAutospacing="1" w:after="100" w:afterAutospacing="1" w:line="360" w:lineRule="auto"/>
        <w:jc w:val="both"/>
        <w:rPr>
          <w:rFonts w:ascii="Times New Roman" w:eastAsia="Times New Roman" w:hAnsi="Times New Roman" w:cs="Times New Roman"/>
          <w:sz w:val="20"/>
          <w:szCs w:val="24"/>
          <w:lang w:val="en-GB" w:eastAsia="fr-FR"/>
        </w:rPr>
      </w:pPr>
      <w:r>
        <w:rPr>
          <w:rFonts w:ascii="Times New Roman" w:eastAsia="Times New Roman" w:hAnsi="Times New Roman" w:cs="Times New Roman"/>
          <w:noProof/>
          <w:sz w:val="20"/>
          <w:szCs w:val="24"/>
          <w:lang w:val="en-US"/>
        </w:rPr>
        <mc:AlternateContent>
          <mc:Choice Requires="wps">
            <w:drawing>
              <wp:anchor distT="0" distB="0" distL="114300" distR="114300" simplePos="0" relativeHeight="251659264" behindDoc="0" locked="0" layoutInCell="1" allowOverlap="1" wp14:anchorId="1213F782" wp14:editId="230AE356">
                <wp:simplePos x="0" y="0"/>
                <wp:positionH relativeFrom="margin">
                  <wp:align>left</wp:align>
                </wp:positionH>
                <wp:positionV relativeFrom="paragraph">
                  <wp:posOffset>1270</wp:posOffset>
                </wp:positionV>
                <wp:extent cx="6029325" cy="3238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60293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DAC67F" w14:textId="77777777" w:rsidR="00FC2BD3" w:rsidRPr="007045F6" w:rsidRDefault="00FC2BD3">
                            <w:pPr>
                              <w:rPr>
                                <w:sz w:val="20"/>
                                <w:szCs w:val="20"/>
                                <w:lang w:val="en-GB"/>
                              </w:rPr>
                            </w:pPr>
                            <w:r w:rsidRPr="007045F6">
                              <w:rPr>
                                <w:rFonts w:ascii="Times New Roman" w:eastAsia="Times New Roman" w:hAnsi="Times New Roman" w:cs="Times New Roman"/>
                                <w:sz w:val="20"/>
                                <w:szCs w:val="20"/>
                                <w:lang w:val="en-GB" w:eastAsia="fr-FR"/>
                              </w:rPr>
                              <w:t xml:space="preserve">CHW: Community Health Workers, </w:t>
                            </w:r>
                            <w:r w:rsidRPr="007045F6">
                              <w:rPr>
                                <w:rFonts w:ascii="Times New Roman" w:hAnsi="Times New Roman" w:cs="Times New Roman"/>
                                <w:sz w:val="20"/>
                                <w:szCs w:val="20"/>
                                <w:lang w:val="en-GB"/>
                              </w:rPr>
                              <w:t xml:space="preserve">SMS: messages, Soc G: </w:t>
                            </w:r>
                            <w:r w:rsidRPr="007045F6">
                              <w:rPr>
                                <w:rFonts w:ascii="Times New Roman" w:eastAsia="Times New Roman" w:hAnsi="Times New Roman" w:cs="Times New Roman"/>
                                <w:sz w:val="20"/>
                                <w:szCs w:val="20"/>
                                <w:lang w:val="en-GB" w:eastAsia="fr-FR"/>
                              </w:rPr>
                              <w:t>Social groups TV: Television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13F782" id="_x0000_t202" coordsize="21600,21600" o:spt="202" path="m,l,21600r21600,l21600,xe">
                <v:stroke joinstyle="miter"/>
                <v:path gradientshapeok="t" o:connecttype="rect"/>
              </v:shapetype>
              <v:shape id="Zone de texte 1" o:spid="_x0000_s1026" type="#_x0000_t202" style="position:absolute;left:0;text-align:left;margin-left:0;margin-top:.1pt;width:474.75pt;height:25.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" fillcolor="white [3201]" stroked="f" strokeweight=".5pt">
                <v:textbox>
                  <w:txbxContent>
                    <w:p w14:paraId="2BDAC67F" w14:textId="77777777" w:rsidR="00FC2BD3" w:rsidRPr="007045F6" w:rsidRDefault="00FC2BD3">
                      <w:pPr>
                        <w:rPr>
                          <w:sz w:val="20"/>
                          <w:szCs w:val="20"/>
                          <w:lang w:val="en-GB"/>
                        </w:rPr>
                      </w:pPr>
                      <w:r w:rsidRPr="007045F6">
                        <w:rPr>
                          <w:rFonts w:ascii="Times New Roman" w:eastAsia="Times New Roman" w:hAnsi="Times New Roman" w:cs="Times New Roman"/>
                          <w:sz w:val="20"/>
                          <w:szCs w:val="20"/>
                          <w:lang w:val="en-GB" w:eastAsia="fr-FR"/>
                        </w:rPr>
                        <w:t xml:space="preserve">CHW: Community Health Workers, </w:t>
                      </w:r>
                      <w:r w:rsidRPr="007045F6">
                        <w:rPr>
                          <w:rFonts w:ascii="Times New Roman" w:hAnsi="Times New Roman" w:cs="Times New Roman"/>
                          <w:sz w:val="20"/>
                          <w:szCs w:val="20"/>
                          <w:lang w:val="en-GB"/>
                        </w:rPr>
                        <w:t xml:space="preserve">SMS: messages, Soc G: </w:t>
                      </w:r>
                      <w:r w:rsidRPr="007045F6">
                        <w:rPr>
                          <w:rFonts w:ascii="Times New Roman" w:eastAsia="Times New Roman" w:hAnsi="Times New Roman" w:cs="Times New Roman"/>
                          <w:sz w:val="20"/>
                          <w:szCs w:val="20"/>
                          <w:lang w:val="en-GB" w:eastAsia="fr-FR"/>
                        </w:rPr>
                        <w:t>Social groups TV: Television</w:t>
                      </w:r>
                    </w:p>
                  </w:txbxContent>
                </v:textbox>
                <w10:wrap anchorx="margin"/>
              </v:shape>
            </w:pict>
          </mc:Fallback>
        </mc:AlternateContent>
      </w:r>
    </w:p>
    <w:p w14:paraId="4BF4C4E4" w14:textId="77777777" w:rsidR="00406CE8" w:rsidRDefault="00CF35D8" w:rsidP="00406CE8">
      <w:pPr>
        <w:spacing w:before="100" w:beforeAutospacing="1" w:after="100" w:afterAutospacing="1" w:line="360" w:lineRule="auto"/>
        <w:jc w:val="both"/>
        <w:rPr>
          <w:rFonts w:ascii="Times New Roman" w:eastAsia="Times New Roman" w:hAnsi="Times New Roman" w:cs="Times New Roman"/>
          <w:b/>
          <w:sz w:val="44"/>
          <w:szCs w:val="24"/>
          <w:lang w:val="en-GB" w:eastAsia="fr-FR"/>
        </w:rPr>
      </w:pPr>
      <w:r w:rsidRPr="000A6D7D">
        <w:rPr>
          <w:rFonts w:ascii="Times New Roman" w:eastAsia="Times New Roman" w:hAnsi="Times New Roman" w:cs="Times New Roman"/>
          <w:b/>
          <w:sz w:val="44"/>
          <w:szCs w:val="24"/>
          <w:lang w:val="en-GB" w:eastAsia="fr-FR"/>
        </w:rPr>
        <w:t>Discussion</w:t>
      </w:r>
    </w:p>
    <w:p w14:paraId="0D6CDBC1" w14:textId="08324748" w:rsidR="00CF35D8" w:rsidRPr="00406CE8" w:rsidRDefault="00CF35D8" w:rsidP="00406CE8">
      <w:pPr>
        <w:spacing w:before="100" w:beforeAutospacing="1" w:after="100" w:afterAutospacing="1" w:line="360" w:lineRule="auto"/>
        <w:jc w:val="both"/>
        <w:rPr>
          <w:rFonts w:ascii="Times New Roman" w:eastAsia="Times New Roman" w:hAnsi="Times New Roman" w:cs="Times New Roman"/>
          <w:b/>
          <w:sz w:val="44"/>
          <w:szCs w:val="24"/>
          <w:lang w:val="en-GB" w:eastAsia="fr-FR"/>
        </w:rPr>
      </w:pPr>
      <w:r w:rsidRPr="00A2653E">
        <w:rPr>
          <w:rFonts w:ascii="Times New Roman" w:hAnsi="Times New Roman" w:cs="Times New Roman"/>
          <w:b/>
          <w:color w:val="000000" w:themeColor="text1"/>
          <w:sz w:val="24"/>
          <w:szCs w:val="24"/>
          <w:lang w:val="en-GB"/>
        </w:rPr>
        <w:t>Therapeutic coverage</w:t>
      </w:r>
    </w:p>
    <w:p w14:paraId="6094BC4E" w14:textId="77777777"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lastRenderedPageBreak/>
        <w:t xml:space="preserve">The objective of this survey was to assess progress toward the elimination of onchocerciasis in the </w:t>
      </w:r>
      <w:proofErr w:type="spellStart"/>
      <w:r w:rsidRPr="00C63485">
        <w:rPr>
          <w:rFonts w:ascii="Times New Roman" w:hAnsi="Times New Roman" w:cs="Times New Roman"/>
          <w:color w:val="131413"/>
          <w:sz w:val="24"/>
          <w:szCs w:val="24"/>
          <w:lang w:val="en-CA"/>
        </w:rPr>
        <w:t>Batcham</w:t>
      </w:r>
      <w:proofErr w:type="spellEnd"/>
      <w:r w:rsidRPr="00C63485">
        <w:rPr>
          <w:rFonts w:ascii="Times New Roman" w:hAnsi="Times New Roman" w:cs="Times New Roman"/>
          <w:color w:val="131413"/>
          <w:sz w:val="24"/>
          <w:szCs w:val="24"/>
          <w:lang w:val="en-CA"/>
        </w:rPr>
        <w:t xml:space="preserve"> Health District. The study enrolled 802 participants targeted for Community-Directed Treatment with Ivermectin (CDTi). Of these, 420 (52.0%) were males and 382 (47.6%) were females. The majority belonged to the 16–50 years age group (n = 501; 62.47%). Secondary education was the most common level attained. Six health areas were included, with </w:t>
      </w:r>
      <w:proofErr w:type="spellStart"/>
      <w:r w:rsidRPr="00C63485">
        <w:rPr>
          <w:rFonts w:ascii="Times New Roman" w:hAnsi="Times New Roman" w:cs="Times New Roman"/>
          <w:color w:val="131413"/>
          <w:sz w:val="24"/>
          <w:szCs w:val="24"/>
          <w:lang w:val="en-CA"/>
        </w:rPr>
        <w:t>Batcham</w:t>
      </w:r>
      <w:proofErr w:type="spellEnd"/>
      <w:r w:rsidRPr="00C63485">
        <w:rPr>
          <w:rFonts w:ascii="Times New Roman" w:hAnsi="Times New Roman" w:cs="Times New Roman"/>
          <w:color w:val="131413"/>
          <w:sz w:val="24"/>
          <w:szCs w:val="24"/>
          <w:lang w:val="en-CA"/>
        </w:rPr>
        <w:t xml:space="preserve"> </w:t>
      </w:r>
      <w:proofErr w:type="spellStart"/>
      <w:r w:rsidRPr="00C63485">
        <w:rPr>
          <w:rFonts w:ascii="Times New Roman" w:hAnsi="Times New Roman" w:cs="Times New Roman"/>
          <w:color w:val="131413"/>
          <w:sz w:val="24"/>
          <w:szCs w:val="24"/>
          <w:lang w:val="en-CA"/>
        </w:rPr>
        <w:t>Chefferie</w:t>
      </w:r>
      <w:proofErr w:type="spellEnd"/>
      <w:r w:rsidRPr="00C63485">
        <w:rPr>
          <w:rFonts w:ascii="Times New Roman" w:hAnsi="Times New Roman" w:cs="Times New Roman"/>
          <w:color w:val="131413"/>
          <w:sz w:val="24"/>
          <w:szCs w:val="24"/>
          <w:lang w:val="en-CA"/>
        </w:rPr>
        <w:t xml:space="preserve"> accounting for the largest share (n = 193; 24.1%).</w:t>
      </w:r>
    </w:p>
    <w:p w14:paraId="7F9467F0" w14:textId="77777777"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t>Therapeutic Coverage Findings</w:t>
      </w:r>
    </w:p>
    <w:p w14:paraId="54C64C02" w14:textId="646F4B7C"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This study compared actual therapeutic coverage with the administrative coverage reported for CDTi in the </w:t>
      </w:r>
      <w:proofErr w:type="spellStart"/>
      <w:r w:rsidRPr="00C63485">
        <w:rPr>
          <w:rFonts w:ascii="Times New Roman" w:hAnsi="Times New Roman" w:cs="Times New Roman"/>
          <w:color w:val="131413"/>
          <w:sz w:val="24"/>
          <w:szCs w:val="24"/>
          <w:lang w:val="en-CA"/>
        </w:rPr>
        <w:t>Batcham</w:t>
      </w:r>
      <w:proofErr w:type="spellEnd"/>
      <w:r w:rsidRPr="00C63485">
        <w:rPr>
          <w:rFonts w:ascii="Times New Roman" w:hAnsi="Times New Roman" w:cs="Times New Roman"/>
          <w:color w:val="131413"/>
          <w:sz w:val="24"/>
          <w:szCs w:val="24"/>
          <w:lang w:val="en-CA"/>
        </w:rPr>
        <w:t xml:space="preserve"> Health District. While the district reported a 90% coverage rate, the survey revealed an actual coverage of 62%, a statistically significant difference (p &lt; 0.001). The observed coverage fell below the WHO-recommended minimum of ≥80% required for onchocerciasis elimination [14].</w:t>
      </w:r>
    </w:p>
    <w:p w14:paraId="565ECEDA" w14:textId="77777777"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Coverage varied between health areas, partly due to differences in the timing of ivermectin introduction and the number of treatment rounds completed. These findings suggest that, although ivermectin was consistently available, annual treatment was not uniform across all areas. This pattern contrasts with findings from </w:t>
      </w:r>
      <w:proofErr w:type="spellStart"/>
      <w:r w:rsidRPr="00C63485">
        <w:rPr>
          <w:rFonts w:ascii="Times New Roman" w:hAnsi="Times New Roman" w:cs="Times New Roman"/>
          <w:color w:val="131413"/>
          <w:sz w:val="24"/>
          <w:szCs w:val="24"/>
          <w:lang w:val="en-CA"/>
        </w:rPr>
        <w:t>Tombel</w:t>
      </w:r>
      <w:proofErr w:type="spellEnd"/>
      <w:r w:rsidRPr="00C63485">
        <w:rPr>
          <w:rFonts w:ascii="Times New Roman" w:hAnsi="Times New Roman" w:cs="Times New Roman"/>
          <w:color w:val="131413"/>
          <w:sz w:val="24"/>
          <w:szCs w:val="24"/>
          <w:lang w:val="en-CA"/>
        </w:rPr>
        <w:t xml:space="preserve"> Health District [16] but aligns with observations from Kaduna State, Nigeria [15]. Reported barriers to participation included adverse drug reactions, inadequate management of side effects, absence during distribution, and pre-existing health problems.</w:t>
      </w:r>
    </w:p>
    <w:p w14:paraId="402B33CA" w14:textId="77777777"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Statistical Comparison of Reported vs. Actual Coverage</w:t>
      </w:r>
    </w:p>
    <w:p w14:paraId="546EB1AF" w14:textId="646A2F6A"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The chi-square test confirmed a statistically significant discrepancy between reported and surveyed coverage (χ² = 21.49 vs. χ² critical = 3.84, df = 1; p &lt; 0.001), indicating a substantial over</w:t>
      </w:r>
      <w:r w:rsidR="00F1040A">
        <w:rPr>
          <w:rFonts w:ascii="Times New Roman" w:hAnsi="Times New Roman" w:cs="Times New Roman"/>
          <w:color w:val="131413"/>
          <w:sz w:val="24"/>
          <w:szCs w:val="24"/>
          <w:lang w:val="en-CA"/>
        </w:rPr>
        <w:t xml:space="preserve"> </w:t>
      </w:r>
      <w:r w:rsidRPr="00C63485">
        <w:rPr>
          <w:rFonts w:ascii="Times New Roman" w:hAnsi="Times New Roman" w:cs="Times New Roman"/>
          <w:color w:val="131413"/>
          <w:sz w:val="24"/>
          <w:szCs w:val="24"/>
          <w:lang w:val="en-CA"/>
        </w:rPr>
        <w:t>estimation in administrative reports. Similar discrepancies have been documented in other mass drug administration (MDA) programs, often linked to reporting bias, data quality limitations, and inaccuracies in population estimates [17]. Such overestimations can create a misleading impression of program success, obscuring areas where coverage remains insufficient to interrupt transmission [18]. Strengthening monitoring systems through independent coverage surveys and community-based verification is therefore recommended [19].</w:t>
      </w:r>
    </w:p>
    <w:p w14:paraId="5B096DE6" w14:textId="5D04F59E"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t>Factors Associated with Non-Adherenc</w:t>
      </w:r>
      <w:r w:rsidR="00764B25" w:rsidRPr="00764B25">
        <w:rPr>
          <w:rFonts w:ascii="Times New Roman" w:hAnsi="Times New Roman" w:cs="Times New Roman"/>
          <w:b/>
          <w:color w:val="131413"/>
          <w:sz w:val="24"/>
          <w:szCs w:val="24"/>
          <w:lang w:val="en-CA"/>
        </w:rPr>
        <w:t>e</w:t>
      </w:r>
    </w:p>
    <w:p w14:paraId="13C9F1BD" w14:textId="05BEEA56"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lastRenderedPageBreak/>
        <w:t>Multivariate analysis identified prior awareness of the campaign, participation in the census, and male gender as significant predictors of adherence. Awareness reduced the odds of non-adherence by 54% (OR = 0.46; 95% CI: 0.30–0.70; p &lt; 0.001), while census participation reduced it by 89% (OR = 0.11; 95% CI: 0.07–0.16; p &lt; 0.001). Being male was associated with a 55% reduction in non-adherence compared to being female (OR = 0.45; 95% CI: 0.32–0.65; p &lt; 0.001). These findings highlight the importance of social mobilization and community engagement, consistent with previous research [17].</w:t>
      </w:r>
      <w:r w:rsidR="00992AB3">
        <w:rPr>
          <w:rFonts w:ascii="Times New Roman" w:hAnsi="Times New Roman" w:cs="Times New Roman"/>
          <w:color w:val="131413"/>
          <w:sz w:val="24"/>
          <w:szCs w:val="24"/>
          <w:lang w:val="en-CA"/>
        </w:rPr>
        <w:t xml:space="preserve"> This result is compared to a study done in</w:t>
      </w:r>
      <w:r w:rsidR="00764B25">
        <w:rPr>
          <w:rFonts w:ascii="Times New Roman" w:hAnsi="Times New Roman" w:cs="Times New Roman"/>
          <w:color w:val="131413"/>
          <w:sz w:val="24"/>
          <w:szCs w:val="24"/>
          <w:lang w:val="en-CA"/>
        </w:rPr>
        <w:t xml:space="preserve"> </w:t>
      </w:r>
      <w:proofErr w:type="spellStart"/>
      <w:r w:rsidR="00764B25">
        <w:rPr>
          <w:rFonts w:ascii="Times New Roman" w:hAnsi="Times New Roman" w:cs="Times New Roman"/>
          <w:color w:val="131413"/>
          <w:sz w:val="24"/>
          <w:szCs w:val="24"/>
          <w:lang w:val="en-CA"/>
        </w:rPr>
        <w:t>Maheeenge</w:t>
      </w:r>
      <w:proofErr w:type="spellEnd"/>
      <w:r w:rsidR="00764B25">
        <w:rPr>
          <w:rFonts w:ascii="Times New Roman" w:hAnsi="Times New Roman" w:cs="Times New Roman"/>
          <w:color w:val="131413"/>
          <w:sz w:val="24"/>
          <w:szCs w:val="24"/>
          <w:lang w:val="en-CA"/>
        </w:rPr>
        <w:t>,</w:t>
      </w:r>
      <w:r w:rsidR="00992AB3">
        <w:rPr>
          <w:rFonts w:ascii="Times New Roman" w:hAnsi="Times New Roman" w:cs="Times New Roman"/>
          <w:color w:val="131413"/>
          <w:sz w:val="24"/>
          <w:szCs w:val="24"/>
          <w:lang w:val="en-CA"/>
        </w:rPr>
        <w:t xml:space="preserve"> Tanzania where </w:t>
      </w:r>
      <w:r w:rsidR="00992AB3" w:rsidRPr="00992AB3">
        <w:rPr>
          <w:rFonts w:ascii="Times New Roman" w:hAnsi="Times New Roman" w:cs="Times New Roman"/>
          <w:color w:val="131413"/>
          <w:sz w:val="24"/>
          <w:szCs w:val="24"/>
          <w:lang w:val="en-CA"/>
        </w:rPr>
        <w:t>Iverme</w:t>
      </w:r>
      <w:r w:rsidR="00764B25">
        <w:rPr>
          <w:rFonts w:ascii="Times New Roman" w:hAnsi="Times New Roman" w:cs="Times New Roman"/>
          <w:color w:val="131413"/>
          <w:sz w:val="24"/>
          <w:szCs w:val="24"/>
          <w:lang w:val="en-CA"/>
        </w:rPr>
        <w:t xml:space="preserve">ctin uptake </w:t>
      </w:r>
      <w:r w:rsidR="00992AB3">
        <w:rPr>
          <w:rFonts w:ascii="Times New Roman" w:hAnsi="Times New Roman" w:cs="Times New Roman"/>
          <w:color w:val="131413"/>
          <w:sz w:val="24"/>
          <w:szCs w:val="24"/>
          <w:lang w:val="en-CA"/>
        </w:rPr>
        <w:t>is</w:t>
      </w:r>
      <w:r w:rsidR="00992AB3" w:rsidRPr="00992AB3">
        <w:rPr>
          <w:rFonts w:ascii="Times New Roman" w:hAnsi="Times New Roman" w:cs="Times New Roman"/>
          <w:color w:val="131413"/>
          <w:sz w:val="24"/>
          <w:szCs w:val="24"/>
          <w:lang w:val="en-CA"/>
        </w:rPr>
        <w:t xml:space="preserve"> optimised by continuous advocacy about the importance of taking ivermectin to prevent </w:t>
      </w:r>
      <w:proofErr w:type="spellStart"/>
      <w:r w:rsidR="00992AB3" w:rsidRPr="00992AB3">
        <w:rPr>
          <w:rFonts w:ascii="Times New Roman" w:hAnsi="Times New Roman" w:cs="Times New Roman"/>
          <w:color w:val="131413"/>
          <w:sz w:val="24"/>
          <w:szCs w:val="24"/>
          <w:lang w:val="en-CA"/>
        </w:rPr>
        <w:t>onchocerciasisassociated</w:t>
      </w:r>
      <w:proofErr w:type="spellEnd"/>
      <w:r w:rsidR="00992AB3" w:rsidRPr="00992AB3">
        <w:rPr>
          <w:rFonts w:ascii="Times New Roman" w:hAnsi="Times New Roman" w:cs="Times New Roman"/>
          <w:color w:val="131413"/>
          <w:sz w:val="24"/>
          <w:szCs w:val="24"/>
          <w:lang w:val="en-CA"/>
        </w:rPr>
        <w:t xml:space="preserve"> morbidity</w:t>
      </w:r>
      <w:r w:rsidR="00992AB3">
        <w:rPr>
          <w:rFonts w:ascii="Times New Roman" w:hAnsi="Times New Roman" w:cs="Times New Roman"/>
          <w:color w:val="131413"/>
          <w:sz w:val="24"/>
          <w:szCs w:val="24"/>
          <w:lang w:val="en-CA"/>
        </w:rPr>
        <w:t xml:space="preserve"> </w:t>
      </w:r>
      <w:r w:rsidR="00992AB3">
        <w:rPr>
          <w:rFonts w:ascii="Times New Roman" w:hAnsi="Times New Roman" w:cs="Times New Roman"/>
          <w:color w:val="131413"/>
          <w:sz w:val="24"/>
          <w:szCs w:val="24"/>
          <w:lang w:val="en-CA"/>
        </w:rPr>
        <w:fldChar w:fldCharType="begin"/>
      </w:r>
      <w:r w:rsidR="006931AF">
        <w:rPr>
          <w:rFonts w:ascii="Times New Roman" w:hAnsi="Times New Roman" w:cs="Times New Roman"/>
          <w:color w:val="131413"/>
          <w:sz w:val="24"/>
          <w:szCs w:val="24"/>
          <w:lang w:val="en-CA"/>
        </w:rPr>
        <w:instrText xml:space="preserve"> ADDIN ZOTERO_ITEM CSL_CITATION {"citationID":"MxEjYpSQ","properties":{"formattedCitation":"(15)","plainCitation":"(15)","noteIndex":0},"citationItems":[{"id":290,"uris":["http://zotero.org/users/local/RDYzIoy0/items/PZM3R2MA"],"itemData":{"id":290,"type":"article-journal","abstract":"Introduction: Despite over 20 years of community-directed treatment with ivermectin (CDTI) in Mahenge area in Tanzania, the prevalence of onchocerciasis has remained high (over 40% in children 6-10 years using antibody testing and 49% using skinsnips in adults). The area has one of the highest prevalence of epilepsy, exceeding 3.5% in some of rural villages.\nMethods: Between June and July 2019, in four rural villages using qualitative methods, we assessed factors potentially associated with the persistence of high Onchocerca volvulus transmission.\nResults: Eleven focus group discussions were organized with persons with epilepsy and their caretakers, community resource persons, and community drug distributors (CDDs), and two in-depth interviews with district programme coordinators of neglected tropical diseases (NTD). Factors considered being responsible for the persistence of onchocerciasis transmission included not taking ivermectin during CDTI for fear of adverse reactions such as itching, swelling and misconception that the drug causes infertility. Challenges for high CDTI coverage included, long walking distance by CDDs to deliver drugs to households, persons being away for farming, low awareness of the disease including the association between onchocerciasis and epilepsy and limited supervision by the NTD coordinators.\nConclusion: Ivermectin uptake in Mahenge should be optimised by continuous advocacy about the importance of taking ivermectin to prevent onchocerciasisassociated morbidity and by improving supervision during CDTI.","container-title":"Frontiers in Tropical Diseases","DOI":"10.3389/fitd.2023.1079012","ISSN":"2673-7515","journalAbbreviation":"Front. Trop. Dis","language":"en","page":"1079012","source":"DOI.org (Crossref)","title":"Factors associated with low-uptake of ivermectin in Mahenge, an area with high prevalence of onchocerciasis and epilepsy in Tanzania: A qualitative perspective","title-short":"Factors associated with low-uptake of ivermectin in Mahenge, an area with high prevalence of onchocerciasis and epilepsy in Tanzania","volume":"4","author":[{"family":"Bhwana","given":"Dan"},{"family":"Massawe","given":"Isolide S."},{"family":"Mushi","given":"Adiel K."},{"family":"Magili","given":"Pendo"},{"family":"Amaral","given":"Luís-Jorge"},{"family":"Makunde","given":"Williams"},{"family":"Mmbando","given":"Bruno P."},{"family":"Colebunders","given":"Robert"}],"issued":{"date-parts":[["2023",4,3]]}}}],"schema":"https://github.com/citation-style-language/schema/raw/master/csl-citation.json"} </w:instrText>
      </w:r>
      <w:r w:rsidR="00992AB3">
        <w:rPr>
          <w:rFonts w:ascii="Times New Roman" w:hAnsi="Times New Roman" w:cs="Times New Roman"/>
          <w:color w:val="131413"/>
          <w:sz w:val="24"/>
          <w:szCs w:val="24"/>
          <w:lang w:val="en-CA"/>
        </w:rPr>
        <w:fldChar w:fldCharType="separate"/>
      </w:r>
      <w:r w:rsidR="006931AF" w:rsidRPr="006931AF">
        <w:rPr>
          <w:rFonts w:ascii="Times New Roman" w:hAnsi="Times New Roman" w:cs="Times New Roman"/>
          <w:sz w:val="24"/>
        </w:rPr>
        <w:t>(15)</w:t>
      </w:r>
      <w:r w:rsidR="00992AB3">
        <w:rPr>
          <w:rFonts w:ascii="Times New Roman" w:hAnsi="Times New Roman" w:cs="Times New Roman"/>
          <w:color w:val="131413"/>
          <w:sz w:val="24"/>
          <w:szCs w:val="24"/>
          <w:lang w:val="en-CA"/>
        </w:rPr>
        <w:fldChar w:fldCharType="end"/>
      </w:r>
    </w:p>
    <w:p w14:paraId="02B9B077" w14:textId="77777777"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 xml:space="preserve">The protective effect of census participation may be linked to improved household identification and direct contact with distribution teams [18]. However, challenges remain among individuals who were not sensitized or were absent during census activities. As </w:t>
      </w:r>
      <w:proofErr w:type="spellStart"/>
      <w:r w:rsidRPr="00C63485">
        <w:rPr>
          <w:rFonts w:ascii="Times New Roman" w:hAnsi="Times New Roman" w:cs="Times New Roman"/>
          <w:color w:val="131413"/>
          <w:sz w:val="24"/>
          <w:szCs w:val="24"/>
          <w:lang w:val="en-CA"/>
        </w:rPr>
        <w:t>Katabarwa</w:t>
      </w:r>
      <w:proofErr w:type="spellEnd"/>
      <w:r w:rsidRPr="00C63485">
        <w:rPr>
          <w:rFonts w:ascii="Times New Roman" w:hAnsi="Times New Roman" w:cs="Times New Roman"/>
          <w:color w:val="131413"/>
          <w:sz w:val="24"/>
          <w:szCs w:val="24"/>
          <w:lang w:val="en-CA"/>
        </w:rPr>
        <w:t xml:space="preserve"> et al. (2010) [17] note, reaching mobile and marginalized populations requires tailored distribution strategies. Combining targeted communication campaigns with comprehensive census coverage may improve equity and treatment uptake [20].</w:t>
      </w:r>
    </w:p>
    <w:p w14:paraId="062DC053" w14:textId="5FBA42E0"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t>Effectiveness of Communication Channel</w:t>
      </w:r>
      <w:r w:rsidR="00764B25" w:rsidRPr="00764B25">
        <w:rPr>
          <w:rFonts w:ascii="Times New Roman" w:hAnsi="Times New Roman" w:cs="Times New Roman"/>
          <w:b/>
          <w:color w:val="131413"/>
          <w:sz w:val="24"/>
          <w:szCs w:val="24"/>
          <w:lang w:val="en-CA"/>
        </w:rPr>
        <w:t>s</w:t>
      </w:r>
    </w:p>
    <w:p w14:paraId="2437D458" w14:textId="78E3ECB6"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Communication coverage varied across channels. Community Health Workers and social groups reached 74.4% and 75.9% of respondents, respectively, reflecting moderate but widespread community engagement. Churches (82.9%) and census activities (85.1%) achieved higher coverage, emphasizing the value of structured, interpersonal mobilization.</w:t>
      </w:r>
      <w:r w:rsidR="00764B25">
        <w:rPr>
          <w:rFonts w:ascii="Times New Roman" w:hAnsi="Times New Roman" w:cs="Times New Roman"/>
          <w:color w:val="131413"/>
          <w:sz w:val="24"/>
          <w:szCs w:val="24"/>
          <w:lang w:val="en-CA"/>
        </w:rPr>
        <w:t xml:space="preserve"> This is similar to a study done in </w:t>
      </w:r>
      <w:proofErr w:type="spellStart"/>
      <w:r w:rsidR="00764B25">
        <w:rPr>
          <w:rFonts w:ascii="Times New Roman" w:hAnsi="Times New Roman" w:cs="Times New Roman"/>
          <w:color w:val="131413"/>
          <w:sz w:val="24"/>
          <w:szCs w:val="24"/>
          <w:lang w:val="en-CA"/>
        </w:rPr>
        <w:t>Jimma</w:t>
      </w:r>
      <w:proofErr w:type="spellEnd"/>
      <w:r w:rsidR="00764B25">
        <w:rPr>
          <w:rFonts w:ascii="Times New Roman" w:hAnsi="Times New Roman" w:cs="Times New Roman"/>
          <w:color w:val="131413"/>
          <w:sz w:val="24"/>
          <w:szCs w:val="24"/>
          <w:lang w:val="en-CA"/>
        </w:rPr>
        <w:t xml:space="preserve">, </w:t>
      </w:r>
      <w:proofErr w:type="spellStart"/>
      <w:r w:rsidR="00764B25">
        <w:rPr>
          <w:rFonts w:ascii="Times New Roman" w:hAnsi="Times New Roman" w:cs="Times New Roman"/>
          <w:color w:val="131413"/>
          <w:sz w:val="24"/>
          <w:szCs w:val="24"/>
          <w:lang w:val="en-CA"/>
        </w:rPr>
        <w:t>Ethopia</w:t>
      </w:r>
      <w:proofErr w:type="spellEnd"/>
      <w:r w:rsidR="00764B25">
        <w:rPr>
          <w:rFonts w:ascii="Times New Roman" w:hAnsi="Times New Roman" w:cs="Times New Roman"/>
          <w:color w:val="131413"/>
          <w:sz w:val="24"/>
          <w:szCs w:val="24"/>
          <w:lang w:val="en-CA"/>
        </w:rPr>
        <w:t xml:space="preserve"> where</w:t>
      </w:r>
      <w:r w:rsidR="00764B25" w:rsidRPr="00764B25">
        <w:t xml:space="preserve"> </w:t>
      </w:r>
      <w:r w:rsidR="00764B25">
        <w:rPr>
          <w:rFonts w:ascii="Times New Roman" w:hAnsi="Times New Roman" w:cs="Times New Roman"/>
          <w:color w:val="131413"/>
          <w:sz w:val="24"/>
          <w:szCs w:val="24"/>
          <w:lang w:val="en-CA"/>
        </w:rPr>
        <w:t>it was</w:t>
      </w:r>
      <w:r w:rsidR="00764B25" w:rsidRPr="00764B25">
        <w:rPr>
          <w:rFonts w:ascii="Times New Roman" w:hAnsi="Times New Roman" w:cs="Times New Roman"/>
          <w:color w:val="131413"/>
          <w:sz w:val="24"/>
          <w:szCs w:val="24"/>
          <w:lang w:val="en-CA"/>
        </w:rPr>
        <w:t xml:space="preserve"> crucial to develop well-designed, harmonized and culturally appropriate health education and communication activities that are integra</w:t>
      </w:r>
      <w:r w:rsidR="00764B25">
        <w:rPr>
          <w:rFonts w:ascii="Times New Roman" w:hAnsi="Times New Roman" w:cs="Times New Roman"/>
          <w:color w:val="131413"/>
          <w:sz w:val="24"/>
          <w:szCs w:val="24"/>
          <w:lang w:val="en-CA"/>
        </w:rPr>
        <w:t xml:space="preserve">ted into the mass drug administration </w:t>
      </w:r>
      <w:r w:rsidR="00764B25" w:rsidRPr="00764B25">
        <w:rPr>
          <w:rFonts w:ascii="Times New Roman" w:hAnsi="Times New Roman" w:cs="Times New Roman"/>
          <w:color w:val="131413"/>
          <w:sz w:val="24"/>
          <w:szCs w:val="24"/>
          <w:lang w:val="en-CA"/>
        </w:rPr>
        <w:t>efforts</w:t>
      </w:r>
      <w:r w:rsidR="00764B25">
        <w:rPr>
          <w:rFonts w:ascii="Times New Roman" w:hAnsi="Times New Roman" w:cs="Times New Roman"/>
          <w:color w:val="131413"/>
          <w:sz w:val="24"/>
          <w:szCs w:val="24"/>
          <w:lang w:val="en-CA"/>
        </w:rPr>
        <w:t xml:space="preserve"> </w:t>
      </w:r>
      <w:r w:rsidR="00764B25">
        <w:rPr>
          <w:rFonts w:ascii="Times New Roman" w:hAnsi="Times New Roman" w:cs="Times New Roman"/>
          <w:color w:val="131413"/>
          <w:sz w:val="24"/>
          <w:szCs w:val="24"/>
          <w:lang w:val="en-CA"/>
        </w:rPr>
        <w:fldChar w:fldCharType="begin"/>
      </w:r>
      <w:r w:rsidR="006931AF">
        <w:rPr>
          <w:rFonts w:ascii="Times New Roman" w:hAnsi="Times New Roman" w:cs="Times New Roman"/>
          <w:color w:val="131413"/>
          <w:sz w:val="24"/>
          <w:szCs w:val="24"/>
          <w:lang w:val="en-CA"/>
        </w:rPr>
        <w:instrText xml:space="preserve"> ADDIN ZOTERO_ITEM CSL_CITATION {"citationID":"rbv0avcY","properties":{"formattedCitation":"(16)","plainCitation":"(16)","noteIndex":0},"citationItems":[{"id":292,"uris":["http://zotero.org/users/local/RDYzIoy0/items/T3RXVUCF"],"itemData":{"id":292,"type":"article-journal","abstract":"Background: Despite control efforts, including mass drug administration (MDA), neglected tropical diseases (NTDs) continue to pose a significant public health threat, particularly in rural Ethiopia. Integrating social and behavior change communication (SBCC) into MDA is essential for success. This study aimed to evaluate the effectiveness of tailored SBCC integrated into MDA campaigns to enhance community knowledge, perception, and preventive behaviors regarding targeted NTDs in the Jimma, Ethiopia.\nMethods: A community-based study was conducted using a pre-test post-test design. A multistage sampling technique was employed for surveys, while for qualitative insights, purposive sampling was employed. SBCC interventions tailored to local needs were implemented. Changes in knowledge, perception, and practices were evaluated using Cohen’s d. Additionally, a score for key outcome variables comparisons were made to examine variations based on socio-demographic factors, employing suitable statistical tests. Qualitative data were analyzed thematically using Atlas.ti 7.1.5.\nResults: The prevalence of SBCC exposure was 88.8%. The intervention had a more significant impact on improving knowledge and preventive practices related to Onchocerciasis (OC) compared to Soil-transmitted helminthes (STH). Specifically, most OC outcomes showed moderate to large effect sizes. In contrast, the effect on STH was more limited, with only knowledge of consequences improving moderately and preventive practices showing a small effect size. The mean score for OC preventive practices varied by educational level and sex, while the median score for STH perception varied among educational level and marital status. Additionally, score variation was observed across districts for all key outcome variables.\nConclusion: The majority of the population was exposed to SBCC resulting in improvements in knowledge, perception, and preventive behaviors regarding OC and knowledge of consequences of STH and its prevention behavior. This highlights the importance of incorporating well-designed SBCC activities in to MDA campaigns to optimize the control and eventual elimination of targeted NTDs.","container-title":"Risk Management and Healthcare Policy","DOI":"10.2147/RMHP.S468390","ISSN":"1179-1594","journalAbbreviation":"RMHP","language":"en","license":"https://creativecommons.org/licenses/by/4.0/","page":"2331-2357","source":"DOI.org (Crossref)","title":"Effectiveness of Integrated Social and Behavior Change Communication Interventions in Mass Drug Administration Campaigns in Enhancing Knowledge, Perceptions, and Preventive Practices for Neglected Tropical Diseases in Jimma","volume":"Volume 17","author":[{"family":"Abdissa","given":"Daba"},{"family":"Kebede","given":"Yohannes"},{"family":"Morankar","given":"Sudhakar"},{"family":"Abraham","given":"Gelila"},{"family":"Bulcha","given":"Gebeyehu"},{"family":"Shiferaw","given":"Teshome"},{"family":"Berhanu","given":"Nimona"},{"family":"Teshome","given":"Firanbon"},{"family":"Miecha","given":"Hirpa"},{"family":"Birhanu","given":"Zewdie"}],"issued":{"date-parts":[["2024",10]]}}}],"schema":"https://github.com/citation-style-language/schema/raw/master/csl-citation.json"} </w:instrText>
      </w:r>
      <w:r w:rsidR="00764B25">
        <w:rPr>
          <w:rFonts w:ascii="Times New Roman" w:hAnsi="Times New Roman" w:cs="Times New Roman"/>
          <w:color w:val="131413"/>
          <w:sz w:val="24"/>
          <w:szCs w:val="24"/>
          <w:lang w:val="en-CA"/>
        </w:rPr>
        <w:fldChar w:fldCharType="separate"/>
      </w:r>
      <w:r w:rsidR="006931AF" w:rsidRPr="006931AF">
        <w:rPr>
          <w:rFonts w:ascii="Times New Roman" w:hAnsi="Times New Roman" w:cs="Times New Roman"/>
          <w:sz w:val="24"/>
        </w:rPr>
        <w:t>(16)</w:t>
      </w:r>
      <w:r w:rsidR="00764B25">
        <w:rPr>
          <w:rFonts w:ascii="Times New Roman" w:hAnsi="Times New Roman" w:cs="Times New Roman"/>
          <w:color w:val="131413"/>
          <w:sz w:val="24"/>
          <w:szCs w:val="24"/>
          <w:lang w:val="en-CA"/>
        </w:rPr>
        <w:fldChar w:fldCharType="end"/>
      </w:r>
      <w:r w:rsidR="00764B25" w:rsidRPr="00764B25">
        <w:rPr>
          <w:rFonts w:ascii="Times New Roman" w:hAnsi="Times New Roman" w:cs="Times New Roman"/>
          <w:color w:val="131413"/>
          <w:sz w:val="24"/>
          <w:szCs w:val="24"/>
          <w:lang w:val="en-CA"/>
        </w:rPr>
        <w:t xml:space="preserve">. </w:t>
      </w:r>
      <w:r w:rsidR="00764B25">
        <w:rPr>
          <w:rFonts w:ascii="Times New Roman" w:hAnsi="Times New Roman" w:cs="Times New Roman"/>
          <w:color w:val="131413"/>
          <w:sz w:val="24"/>
          <w:szCs w:val="24"/>
          <w:lang w:val="en-CA"/>
        </w:rPr>
        <w:t xml:space="preserve"> </w:t>
      </w:r>
    </w:p>
    <w:p w14:paraId="57349C24" w14:textId="7EB2441B" w:rsidR="00C63485" w:rsidRPr="00C63485" w:rsidRDefault="00C63485" w:rsidP="00C63485">
      <w:pPr>
        <w:spacing w:before="100" w:beforeAutospacing="1" w:after="100" w:afterAutospacing="1" w:line="360" w:lineRule="auto"/>
        <w:jc w:val="both"/>
        <w:rPr>
          <w:rFonts w:ascii="Times New Roman" w:hAnsi="Times New Roman" w:cs="Times New Roman"/>
          <w:color w:val="131413"/>
          <w:sz w:val="24"/>
          <w:szCs w:val="24"/>
          <w:lang w:val="en-CA"/>
        </w:rPr>
      </w:pPr>
      <w:r w:rsidRPr="00C63485">
        <w:rPr>
          <w:rFonts w:ascii="Times New Roman" w:hAnsi="Times New Roman" w:cs="Times New Roman"/>
          <w:color w:val="131413"/>
          <w:sz w:val="24"/>
          <w:szCs w:val="24"/>
          <w:lang w:val="en-CA"/>
        </w:rPr>
        <w:t>Digital channels such as SMS (85.7%) and internet (100%) reported the highest coverage rates; however, these results are based on small samples (n = 12 and n = 9, respectively), limiting their reliability. Television reached 77.6%, performing slightly below the most effective community-based methods. This aligns with findings from other African onchocerciasis programs, where interpersonal and event-based strategies consistently outperform mass media [17].</w:t>
      </w:r>
      <w:r w:rsidR="00764B25">
        <w:rPr>
          <w:rFonts w:ascii="Times New Roman" w:hAnsi="Times New Roman" w:cs="Times New Roman"/>
          <w:color w:val="131413"/>
          <w:sz w:val="24"/>
          <w:szCs w:val="24"/>
          <w:lang w:val="en-CA"/>
        </w:rPr>
        <w:t xml:space="preserve"> </w:t>
      </w:r>
      <w:r w:rsidRPr="00C63485">
        <w:rPr>
          <w:rFonts w:ascii="Times New Roman" w:hAnsi="Times New Roman" w:cs="Times New Roman"/>
          <w:color w:val="131413"/>
          <w:sz w:val="24"/>
          <w:szCs w:val="24"/>
          <w:lang w:val="en-CA"/>
        </w:rPr>
        <w:t>The evidence supports integrating multiple, complementary channels—particularly CHWs, local leaders, and census activities—to maximize reach and ensure equitable awareness [21, 22].</w:t>
      </w:r>
    </w:p>
    <w:p w14:paraId="1856F376" w14:textId="77777777" w:rsidR="00C63485" w:rsidRPr="00764B25" w:rsidRDefault="00C63485" w:rsidP="00C63485">
      <w:pPr>
        <w:spacing w:before="100" w:beforeAutospacing="1" w:after="100" w:afterAutospacing="1" w:line="360" w:lineRule="auto"/>
        <w:jc w:val="both"/>
        <w:rPr>
          <w:rFonts w:ascii="Times New Roman" w:hAnsi="Times New Roman" w:cs="Times New Roman"/>
          <w:b/>
          <w:color w:val="131413"/>
          <w:sz w:val="24"/>
          <w:szCs w:val="24"/>
          <w:lang w:val="en-CA"/>
        </w:rPr>
      </w:pPr>
      <w:r w:rsidRPr="00764B25">
        <w:rPr>
          <w:rFonts w:ascii="Times New Roman" w:hAnsi="Times New Roman" w:cs="Times New Roman"/>
          <w:b/>
          <w:color w:val="131413"/>
          <w:sz w:val="24"/>
          <w:szCs w:val="24"/>
          <w:lang w:val="en-CA"/>
        </w:rPr>
        <w:lastRenderedPageBreak/>
        <w:t>Conclusion</w:t>
      </w:r>
    </w:p>
    <w:p w14:paraId="407A203C" w14:textId="5AC6BC4C" w:rsidR="00205CE8" w:rsidRDefault="00C63485" w:rsidP="00C63485">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C63485">
        <w:rPr>
          <w:rFonts w:ascii="Times New Roman" w:hAnsi="Times New Roman" w:cs="Times New Roman"/>
          <w:color w:val="131413"/>
          <w:sz w:val="24"/>
          <w:szCs w:val="24"/>
          <w:lang w:val="en-CA"/>
        </w:rPr>
        <w:t xml:space="preserve">This independent survey revealed actual therapeutic coverage of just above three-fifths of the target population—well below both the district’s reported 90% and the WHO-recommended threshold. Census participation, campaign awareness, and gender were key determinants of adherence, while census activities, social gatherings, and CHWs proved to be the most effective communication channels. The discrepancy between administrative and survey coverage underscores the need for independent verification and strengthened monitoring to support onchocerciasis elimination efforts in the </w:t>
      </w:r>
      <w:proofErr w:type="spellStart"/>
      <w:r w:rsidRPr="00C63485">
        <w:rPr>
          <w:rFonts w:ascii="Times New Roman" w:hAnsi="Times New Roman" w:cs="Times New Roman"/>
          <w:color w:val="131413"/>
          <w:sz w:val="24"/>
          <w:szCs w:val="24"/>
          <w:lang w:val="en-CA"/>
        </w:rPr>
        <w:t>Batcham</w:t>
      </w:r>
      <w:proofErr w:type="spellEnd"/>
      <w:r w:rsidRPr="00C63485">
        <w:rPr>
          <w:rFonts w:ascii="Times New Roman" w:hAnsi="Times New Roman" w:cs="Times New Roman"/>
          <w:color w:val="131413"/>
          <w:sz w:val="24"/>
          <w:szCs w:val="24"/>
          <w:lang w:val="en-CA"/>
        </w:rPr>
        <w:t xml:space="preserve"> Health District.</w:t>
      </w:r>
    </w:p>
    <w:p w14:paraId="28337684" w14:textId="77777777" w:rsidR="009723CC" w:rsidRPr="009723CC" w:rsidRDefault="009723CC" w:rsidP="00DF7ADA">
      <w:pPr>
        <w:spacing w:before="100" w:beforeAutospacing="1" w:after="100" w:afterAutospacing="1" w:line="360" w:lineRule="auto"/>
        <w:jc w:val="both"/>
        <w:rPr>
          <w:rFonts w:ascii="Times New Roman" w:eastAsia="Times New Roman" w:hAnsi="Times New Roman" w:cs="Times New Roman"/>
          <w:sz w:val="24"/>
          <w:szCs w:val="24"/>
          <w:lang w:val="en-GB" w:eastAsia="fr-FR"/>
        </w:rPr>
      </w:pPr>
      <w:r w:rsidRPr="009723CC">
        <w:rPr>
          <w:rFonts w:ascii="Times New Roman" w:eastAsia="Times New Roman" w:hAnsi="Times New Roman" w:cs="Times New Roman"/>
          <w:sz w:val="44"/>
          <w:szCs w:val="24"/>
          <w:lang w:val="en-GB" w:eastAsia="fr-FR"/>
        </w:rPr>
        <w:t>References:</w:t>
      </w:r>
    </w:p>
    <w:p w14:paraId="491860A9" w14:textId="77777777" w:rsidR="006931AF" w:rsidRPr="006931AF" w:rsidRDefault="00D03CB2" w:rsidP="006931AF">
      <w:pPr>
        <w:pStyle w:val="Bibliography"/>
        <w:rPr>
          <w:rFonts w:ascii="Times New Roman" w:hAnsi="Times New Roman" w:cs="Times New Roman"/>
          <w:sz w:val="24"/>
        </w:rPr>
      </w:pPr>
      <w:r>
        <w:rPr>
          <w:rFonts w:eastAsia="Times New Roman"/>
          <w:lang w:val="en-GB" w:eastAsia="fr-FR"/>
        </w:rPr>
        <w:fldChar w:fldCharType="begin"/>
      </w:r>
      <w:r w:rsidR="006931AF">
        <w:rPr>
          <w:rFonts w:eastAsia="Times New Roman"/>
          <w:lang w:val="en-GB" w:eastAsia="fr-FR"/>
        </w:rPr>
        <w:instrText xml:space="preserve"> ADDIN ZOTERO_BIBL {"uncited":[],"omitted":[],"custom":[]} CSL_BIBLIOGRAPHY </w:instrText>
      </w:r>
      <w:r>
        <w:rPr>
          <w:rFonts w:eastAsia="Times New Roman"/>
          <w:lang w:val="en-GB" w:eastAsia="fr-FR"/>
        </w:rPr>
        <w:fldChar w:fldCharType="separate"/>
      </w:r>
      <w:r w:rsidR="006931AF" w:rsidRPr="006931AF">
        <w:rPr>
          <w:rFonts w:ascii="Times New Roman" w:hAnsi="Times New Roman" w:cs="Times New Roman"/>
          <w:sz w:val="24"/>
        </w:rPr>
        <w:t>1.</w:t>
      </w:r>
      <w:r w:rsidR="006931AF" w:rsidRPr="006931AF">
        <w:rPr>
          <w:rFonts w:ascii="Times New Roman" w:hAnsi="Times New Roman" w:cs="Times New Roman"/>
          <w:sz w:val="24"/>
        </w:rPr>
        <w:tab/>
        <w:t>Elimination of human onchocerciasis: progress report, 2023–2024 [Internet]. [cité 12 août 2025]. Disponible sur: https://www.who.int/publications/i/item/who-wer-9941-577-590</w:t>
      </w:r>
    </w:p>
    <w:p w14:paraId="4741122E"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2.</w:t>
      </w:r>
      <w:r w:rsidRPr="006931AF">
        <w:rPr>
          <w:rFonts w:ascii="Times New Roman" w:hAnsi="Times New Roman" w:cs="Times New Roman"/>
          <w:sz w:val="24"/>
        </w:rPr>
        <w:tab/>
        <w:t xml:space="preserve">Santé WHO= O mondiale de la. Elimination of human onchocerciasis: progress report, 2018–2019 – Élimination de l’onchocercose humaine: rapport de situation, 2018-2019. Wkly Epidemiol Rec Relevé Épidémiologique Hebd. 8 nov 2019;94(45):513‑23. </w:t>
      </w:r>
    </w:p>
    <w:p w14:paraId="26633FEF"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3.</w:t>
      </w:r>
      <w:r w:rsidRPr="006931AF">
        <w:rPr>
          <w:rFonts w:ascii="Times New Roman" w:hAnsi="Times New Roman" w:cs="Times New Roman"/>
          <w:sz w:val="24"/>
        </w:rPr>
        <w:tab/>
        <w:t xml:space="preserve">Bienvenu Nwane P, Nana-Djeunga HC, Toche NN, Domché A, Bertrand FN, Niamsi YE, et al. Status of human onchocerciasis transmission in the Adamaoua region of Cameroon after 20 years of ivermectin mass distribution. PLoS Negl Trop Dis. mars 2025;19(3):e0011511. </w:t>
      </w:r>
    </w:p>
    <w:p w14:paraId="489889C4"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4.</w:t>
      </w:r>
      <w:r w:rsidRPr="006931AF">
        <w:rPr>
          <w:rFonts w:ascii="Times New Roman" w:hAnsi="Times New Roman" w:cs="Times New Roman"/>
          <w:sz w:val="24"/>
        </w:rPr>
        <w:tab/>
        <w:t xml:space="preserve">Colebunders R, Kaiser C, Basáñez MG, Olliaro P, Lakwo T, Siewe Fodjo JN. Reducing onchocerciasis-associated morbidity in onchocerciasis-endemic foci with high ongoing transmission: a focus on the children. Int J Infect Dis. mars 2022;116:302‑5. </w:t>
      </w:r>
    </w:p>
    <w:p w14:paraId="1EEA0B28"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5.</w:t>
      </w:r>
      <w:r w:rsidRPr="006931AF">
        <w:rPr>
          <w:rFonts w:ascii="Times New Roman" w:hAnsi="Times New Roman" w:cs="Times New Roman"/>
          <w:sz w:val="24"/>
        </w:rPr>
        <w:tab/>
        <w:t xml:space="preserve">Siewe Fodjo JN, Ngarka L, Njamnshi WY, Enyong PA, Zoung-Kanyi Bissek AC, Njamnshi AK. Onchocerciasis in the Ntui Health District of Cameroon: epidemiological, entomological and parasitological findings in relation to elimination prospects. Parasit Vectors. 28 nov 2022;15(1):444. </w:t>
      </w:r>
    </w:p>
    <w:p w14:paraId="13BAC70A"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6.</w:t>
      </w:r>
      <w:r w:rsidRPr="006931AF">
        <w:rPr>
          <w:rFonts w:ascii="Times New Roman" w:hAnsi="Times New Roman" w:cs="Times New Roman"/>
          <w:sz w:val="24"/>
        </w:rPr>
        <w:tab/>
        <w:t>Élimination de l’onchocercose humaine : rapport d’étape, 2023-2024 [Internet]. [cité 12 août 2025]. Disponible sur: https://www.who.int/publications/i/item/who-wer-9941-577-590</w:t>
      </w:r>
    </w:p>
    <w:p w14:paraId="7F728560"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7.</w:t>
      </w:r>
      <w:r w:rsidRPr="006931AF">
        <w:rPr>
          <w:rFonts w:ascii="Times New Roman" w:hAnsi="Times New Roman" w:cs="Times New Roman"/>
          <w:sz w:val="24"/>
        </w:rPr>
        <w:tab/>
        <w:t xml:space="preserve">Katabarwa MN, Griswold E, Habomugisha P, Eyamba A, Byamukama E, Nwane P, et al. Comparison of Reported and Survey-Based Coverage in Onchocerciasis Programs over a Period of 8 Years in Cameroon and Uganda. Am J Trop Med Hyg. mai 2019;100(5):1208‑15. </w:t>
      </w:r>
    </w:p>
    <w:p w14:paraId="67739D4C"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8.</w:t>
      </w:r>
      <w:r w:rsidRPr="006931AF">
        <w:rPr>
          <w:rFonts w:ascii="Times New Roman" w:hAnsi="Times New Roman" w:cs="Times New Roman"/>
          <w:sz w:val="24"/>
        </w:rPr>
        <w:tab/>
        <w:t>evaluation-onchocerciasis-control.pdf [Internet]. [cité 12 août 2025]. Disponible sur: https://www.who.int/docs/default-source/documents/evaluation/evaluation-onchocerciasis-control.pdf</w:t>
      </w:r>
    </w:p>
    <w:p w14:paraId="59665C54"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lastRenderedPageBreak/>
        <w:t>9.</w:t>
      </w:r>
      <w:r w:rsidRPr="006931AF">
        <w:rPr>
          <w:rFonts w:ascii="Times New Roman" w:hAnsi="Times New Roman" w:cs="Times New Roman"/>
          <w:sz w:val="24"/>
        </w:rPr>
        <w:tab/>
        <w:t xml:space="preserve">Dissak-Delon FN, Kamga GR, Humblet PC, Robert A, Souopgui J, Kamgno J, et al. Do Communities Really “Direct” in Community-Directed Interventions? A Qualitative Assessment of Beneficiaries’ Perceptions at 20 Years of Community Directed Treatment with Ivermectin in Cameroon. Trop Med Infect Dis. 15 juill 2019;4(3):105. </w:t>
      </w:r>
    </w:p>
    <w:p w14:paraId="46F0D5B0"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10.</w:t>
      </w:r>
      <w:r w:rsidRPr="006931AF">
        <w:rPr>
          <w:rFonts w:ascii="Times New Roman" w:hAnsi="Times New Roman" w:cs="Times New Roman"/>
          <w:sz w:val="24"/>
        </w:rPr>
        <w:tab/>
        <w:t xml:space="preserve">Tekle AH, Zouré HGM, Noma M, Boussinesq M, Coffeng LE, Stolk WA, et al. Progress towards onchocerciasis elimination in the participating countries of the African Programme for Onchocerciasis Control: epidemiological evaluation results. Infect Dis Poverty. 27 juin 2016;5(1):66. </w:t>
      </w:r>
    </w:p>
    <w:p w14:paraId="20428C3E"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11.</w:t>
      </w:r>
      <w:r w:rsidRPr="006931AF">
        <w:rPr>
          <w:rFonts w:ascii="Times New Roman" w:hAnsi="Times New Roman" w:cs="Times New Roman"/>
          <w:sz w:val="24"/>
        </w:rPr>
        <w:tab/>
        <w:t xml:space="preserve">Nana-Djeunga HC, Domche A, Niamsi-Emalio Y, Moungui HC, Walker M, Basáñez MG, et al. Situation analysis of onchocerciasis in Cameroon: a protocol for systematic review of epidemiological studies and impact of disease control interventions. Syst Rev. 11 févr 2020;9:27. </w:t>
      </w:r>
    </w:p>
    <w:p w14:paraId="340AEF0E"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12.</w:t>
      </w:r>
      <w:r w:rsidRPr="006931AF">
        <w:rPr>
          <w:rFonts w:ascii="Times New Roman" w:hAnsi="Times New Roman" w:cs="Times New Roman"/>
          <w:sz w:val="24"/>
        </w:rPr>
        <w:tab/>
        <w:t xml:space="preserve">Tekle AH, Elhassan E, Isiyaku S, Amazigo UV, Bush S, Noma M, et al. Impact of long-term treatment of onchocerciasis with ivermectin in Kaduna State, Nigeria: first evidence of the potential for elimination in the operational area of the African Programme for Onchocerciasis Control. Parasit Vectors. 7 févr 2012;5:28. </w:t>
      </w:r>
    </w:p>
    <w:p w14:paraId="2281BF55"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13.</w:t>
      </w:r>
      <w:r w:rsidRPr="006931AF">
        <w:rPr>
          <w:rFonts w:ascii="Times New Roman" w:hAnsi="Times New Roman" w:cs="Times New Roman"/>
          <w:sz w:val="24"/>
        </w:rPr>
        <w:tab/>
        <w:t xml:space="preserve">Indicators and Methods for Cross-Sectional Surveys of Vitamin and Mineral Status of Populations. </w:t>
      </w:r>
    </w:p>
    <w:p w14:paraId="6695F226"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14.</w:t>
      </w:r>
      <w:r w:rsidRPr="006931AF">
        <w:rPr>
          <w:rFonts w:ascii="Times New Roman" w:hAnsi="Times New Roman" w:cs="Times New Roman"/>
          <w:sz w:val="24"/>
        </w:rPr>
        <w:tab/>
        <w:t>Microsoft Word - Part2_Section 2 Preparing the Sample.docx [Internet]. [cité 13 août 2025]. Disponible sur: https://cdn.who.int/media/docs/default-source/ncds/ncd-surveillance/steps/part2-section2.pdf?sfvrsn=9c33a896_2&amp;utm_source=chatgpt.com</w:t>
      </w:r>
    </w:p>
    <w:p w14:paraId="21778694"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15.</w:t>
      </w:r>
      <w:r w:rsidRPr="006931AF">
        <w:rPr>
          <w:rFonts w:ascii="Times New Roman" w:hAnsi="Times New Roman" w:cs="Times New Roman"/>
          <w:sz w:val="24"/>
        </w:rPr>
        <w:tab/>
        <w:t xml:space="preserve">Bhwana D, Massawe IS, Mushi AK, Magili P, Amaral LJ, Makunde W, et al. Factors associated with low-uptake of ivermectin in Mahenge, an area with high prevalence of onchocerciasis and epilepsy in Tanzania: A qualitative perspective. Front Trop Dis. 3 avr 2023;4:1079012. </w:t>
      </w:r>
    </w:p>
    <w:p w14:paraId="0172AF64" w14:textId="77777777" w:rsidR="006931AF" w:rsidRPr="006931AF" w:rsidRDefault="006931AF" w:rsidP="006931AF">
      <w:pPr>
        <w:pStyle w:val="Bibliography"/>
        <w:rPr>
          <w:rFonts w:ascii="Times New Roman" w:hAnsi="Times New Roman" w:cs="Times New Roman"/>
          <w:sz w:val="24"/>
        </w:rPr>
      </w:pPr>
      <w:r w:rsidRPr="006931AF">
        <w:rPr>
          <w:rFonts w:ascii="Times New Roman" w:hAnsi="Times New Roman" w:cs="Times New Roman"/>
          <w:sz w:val="24"/>
        </w:rPr>
        <w:t>16.</w:t>
      </w:r>
      <w:r w:rsidRPr="006931AF">
        <w:rPr>
          <w:rFonts w:ascii="Times New Roman" w:hAnsi="Times New Roman" w:cs="Times New Roman"/>
          <w:sz w:val="24"/>
        </w:rPr>
        <w:tab/>
        <w:t xml:space="preserve">Abdissa D, Kebede Y, Morankar S, Abraham G, Bulcha G, Shiferaw T, et al. Effectiveness of Integrated Social and Behavior Change Communication Interventions in Mass Drug Administration Campaigns in Enhancing Knowledge, Perceptions, and Preventive Practices for Neglected Tropical Diseases in Jimma. Risk Manag Healthc Policy. oct 2024;Volume 17:2331‑57. </w:t>
      </w:r>
    </w:p>
    <w:p w14:paraId="73AE8F7E" w14:textId="4DBFC9A4" w:rsidR="009723CC" w:rsidRPr="00D03CB2" w:rsidRDefault="00D03CB2" w:rsidP="00DF7ADA">
      <w:pPr>
        <w:spacing w:before="100" w:beforeAutospacing="1" w:after="100" w:afterAutospacing="1"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val="en-GB" w:eastAsia="fr-FR"/>
        </w:rPr>
        <w:fldChar w:fldCharType="end"/>
      </w:r>
    </w:p>
    <w:p w14:paraId="0AC3BC1A" w14:textId="77777777" w:rsidR="009723CC" w:rsidRPr="00D03CB2" w:rsidRDefault="009723CC" w:rsidP="00DF7ADA">
      <w:pPr>
        <w:spacing w:before="100" w:beforeAutospacing="1" w:after="100" w:afterAutospacing="1" w:line="360" w:lineRule="auto"/>
        <w:jc w:val="both"/>
        <w:rPr>
          <w:rFonts w:ascii="Times New Roman" w:eastAsia="Times New Roman" w:hAnsi="Times New Roman" w:cs="Times New Roman"/>
          <w:sz w:val="24"/>
          <w:szCs w:val="24"/>
          <w:lang w:eastAsia="fr-FR"/>
        </w:rPr>
      </w:pPr>
    </w:p>
    <w:sectPr w:rsidR="009723CC" w:rsidRPr="00D03CB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84527" w14:textId="77777777" w:rsidR="00FA2DFF" w:rsidRDefault="00FA2DFF" w:rsidP="00AB611F">
      <w:pPr>
        <w:spacing w:after="0" w:line="240" w:lineRule="auto"/>
      </w:pPr>
      <w:r>
        <w:separator/>
      </w:r>
    </w:p>
  </w:endnote>
  <w:endnote w:type="continuationSeparator" w:id="0">
    <w:p w14:paraId="38B02A55" w14:textId="77777777" w:rsidR="00FA2DFF" w:rsidRDefault="00FA2DFF" w:rsidP="00AB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B31A6" w14:textId="77777777" w:rsidR="00AB611F" w:rsidRDefault="00AB6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5AA70" w14:textId="77777777" w:rsidR="00AB611F" w:rsidRDefault="00AB6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F3D6" w14:textId="77777777" w:rsidR="00AB611F" w:rsidRDefault="00AB6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F3B59" w14:textId="77777777" w:rsidR="00FA2DFF" w:rsidRDefault="00FA2DFF" w:rsidP="00AB611F">
      <w:pPr>
        <w:spacing w:after="0" w:line="240" w:lineRule="auto"/>
      </w:pPr>
      <w:r>
        <w:separator/>
      </w:r>
    </w:p>
  </w:footnote>
  <w:footnote w:type="continuationSeparator" w:id="0">
    <w:p w14:paraId="638F36F2" w14:textId="77777777" w:rsidR="00FA2DFF" w:rsidRDefault="00FA2DFF" w:rsidP="00AB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E87F" w14:textId="58778804" w:rsidR="00AB611F" w:rsidRDefault="00AB611F">
    <w:pPr>
      <w:pStyle w:val="Header"/>
    </w:pPr>
    <w:r>
      <w:rPr>
        <w:noProof/>
      </w:rPr>
      <w:pict w14:anchorId="54C65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4712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D1DDD" w14:textId="4C40DCD6" w:rsidR="00AB611F" w:rsidRDefault="00AB611F">
    <w:pPr>
      <w:pStyle w:val="Header"/>
    </w:pPr>
    <w:r>
      <w:rPr>
        <w:noProof/>
      </w:rPr>
      <w:pict w14:anchorId="73883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4712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223BF" w14:textId="0A1B50E6" w:rsidR="00AB611F" w:rsidRDefault="00AB611F">
    <w:pPr>
      <w:pStyle w:val="Header"/>
    </w:pPr>
    <w:r>
      <w:rPr>
        <w:noProof/>
      </w:rPr>
      <w:pict w14:anchorId="7B3DB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74712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B8C"/>
    <w:multiLevelType w:val="hybridMultilevel"/>
    <w:tmpl w:val="BD5E6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4B681C"/>
    <w:multiLevelType w:val="multilevel"/>
    <w:tmpl w:val="9F1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2959"/>
    <w:multiLevelType w:val="multilevel"/>
    <w:tmpl w:val="F188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37B44"/>
    <w:multiLevelType w:val="multilevel"/>
    <w:tmpl w:val="89920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E022F"/>
    <w:multiLevelType w:val="multilevel"/>
    <w:tmpl w:val="EE2E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0E0C57"/>
    <w:multiLevelType w:val="hybridMultilevel"/>
    <w:tmpl w:val="BD5E6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ECC0294"/>
    <w:multiLevelType w:val="multilevel"/>
    <w:tmpl w:val="4266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1685A"/>
    <w:multiLevelType w:val="multilevel"/>
    <w:tmpl w:val="27BA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B077F6"/>
    <w:multiLevelType w:val="multilevel"/>
    <w:tmpl w:val="F7EE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9237B"/>
    <w:multiLevelType w:val="multilevel"/>
    <w:tmpl w:val="ABF68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8F1C4C"/>
    <w:multiLevelType w:val="hybridMultilevel"/>
    <w:tmpl w:val="BD5E6A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F737C6"/>
    <w:multiLevelType w:val="multilevel"/>
    <w:tmpl w:val="CA80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876AD"/>
    <w:multiLevelType w:val="multilevel"/>
    <w:tmpl w:val="2418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321FC"/>
    <w:multiLevelType w:val="multilevel"/>
    <w:tmpl w:val="CDA2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71783"/>
    <w:multiLevelType w:val="multilevel"/>
    <w:tmpl w:val="6CC2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36AC7"/>
    <w:multiLevelType w:val="multilevel"/>
    <w:tmpl w:val="304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DC0639"/>
    <w:multiLevelType w:val="multilevel"/>
    <w:tmpl w:val="B8E0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A81F30"/>
    <w:multiLevelType w:val="multilevel"/>
    <w:tmpl w:val="6A384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CB7DAF"/>
    <w:multiLevelType w:val="multilevel"/>
    <w:tmpl w:val="F8127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D1D0A"/>
    <w:multiLevelType w:val="multilevel"/>
    <w:tmpl w:val="A4306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032CE1"/>
    <w:multiLevelType w:val="multilevel"/>
    <w:tmpl w:val="DA76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
  </w:num>
  <w:num w:numId="3">
    <w:abstractNumId w:val="19"/>
  </w:num>
  <w:num w:numId="4">
    <w:abstractNumId w:val="9"/>
  </w:num>
  <w:num w:numId="5">
    <w:abstractNumId w:val="12"/>
  </w:num>
  <w:num w:numId="6">
    <w:abstractNumId w:val="20"/>
  </w:num>
  <w:num w:numId="7">
    <w:abstractNumId w:val="14"/>
  </w:num>
  <w:num w:numId="8">
    <w:abstractNumId w:val="7"/>
  </w:num>
  <w:num w:numId="9">
    <w:abstractNumId w:val="2"/>
  </w:num>
  <w:num w:numId="10">
    <w:abstractNumId w:val="11"/>
  </w:num>
  <w:num w:numId="11">
    <w:abstractNumId w:val="3"/>
  </w:num>
  <w:num w:numId="12">
    <w:abstractNumId w:val="1"/>
  </w:num>
  <w:num w:numId="13">
    <w:abstractNumId w:val="13"/>
  </w:num>
  <w:num w:numId="14">
    <w:abstractNumId w:val="4"/>
  </w:num>
  <w:num w:numId="15">
    <w:abstractNumId w:val="0"/>
  </w:num>
  <w:num w:numId="16">
    <w:abstractNumId w:val="10"/>
  </w:num>
  <w:num w:numId="17">
    <w:abstractNumId w:val="5"/>
  </w:num>
  <w:num w:numId="18">
    <w:abstractNumId w:val="16"/>
  </w:num>
  <w:num w:numId="19">
    <w:abstractNumId w:val="17"/>
  </w:num>
  <w:num w:numId="20">
    <w:abstractNumId w:val="18"/>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EAE"/>
    <w:rsid w:val="00002DFD"/>
    <w:rsid w:val="00005A52"/>
    <w:rsid w:val="00020C3F"/>
    <w:rsid w:val="0002408A"/>
    <w:rsid w:val="000242D0"/>
    <w:rsid w:val="000277C7"/>
    <w:rsid w:val="0003373C"/>
    <w:rsid w:val="000623F9"/>
    <w:rsid w:val="00065126"/>
    <w:rsid w:val="00083F5B"/>
    <w:rsid w:val="00086DC4"/>
    <w:rsid w:val="000A5BF3"/>
    <w:rsid w:val="000A6D7D"/>
    <w:rsid w:val="000B47C3"/>
    <w:rsid w:val="000D6299"/>
    <w:rsid w:val="000E23BB"/>
    <w:rsid w:val="000F41E9"/>
    <w:rsid w:val="00101F88"/>
    <w:rsid w:val="001120B1"/>
    <w:rsid w:val="00122F73"/>
    <w:rsid w:val="001265D9"/>
    <w:rsid w:val="00145E21"/>
    <w:rsid w:val="0014785E"/>
    <w:rsid w:val="00153189"/>
    <w:rsid w:val="00156EAC"/>
    <w:rsid w:val="00161288"/>
    <w:rsid w:val="00172BAC"/>
    <w:rsid w:val="0018026A"/>
    <w:rsid w:val="00195612"/>
    <w:rsid w:val="001A1999"/>
    <w:rsid w:val="001A7779"/>
    <w:rsid w:val="001A77FA"/>
    <w:rsid w:val="001B4AA2"/>
    <w:rsid w:val="001C606D"/>
    <w:rsid w:val="001D7429"/>
    <w:rsid w:val="001E550C"/>
    <w:rsid w:val="001E7205"/>
    <w:rsid w:val="00203BE0"/>
    <w:rsid w:val="00205CE8"/>
    <w:rsid w:val="00207033"/>
    <w:rsid w:val="00207A3D"/>
    <w:rsid w:val="002220AE"/>
    <w:rsid w:val="00232558"/>
    <w:rsid w:val="00253A37"/>
    <w:rsid w:val="0026059B"/>
    <w:rsid w:val="002606E4"/>
    <w:rsid w:val="002616A7"/>
    <w:rsid w:val="00263195"/>
    <w:rsid w:val="00272B88"/>
    <w:rsid w:val="00296E8C"/>
    <w:rsid w:val="002B5064"/>
    <w:rsid w:val="002B67AF"/>
    <w:rsid w:val="002B7BA3"/>
    <w:rsid w:val="002C023F"/>
    <w:rsid w:val="002C5A8C"/>
    <w:rsid w:val="002D347B"/>
    <w:rsid w:val="002D3593"/>
    <w:rsid w:val="002D4FD3"/>
    <w:rsid w:val="002D6378"/>
    <w:rsid w:val="002F0F36"/>
    <w:rsid w:val="002F4162"/>
    <w:rsid w:val="002F6774"/>
    <w:rsid w:val="00305AD2"/>
    <w:rsid w:val="003111AE"/>
    <w:rsid w:val="003152A3"/>
    <w:rsid w:val="00330E0B"/>
    <w:rsid w:val="003317FB"/>
    <w:rsid w:val="00332AA3"/>
    <w:rsid w:val="00334E64"/>
    <w:rsid w:val="00342BAD"/>
    <w:rsid w:val="00366548"/>
    <w:rsid w:val="003967AA"/>
    <w:rsid w:val="003B5451"/>
    <w:rsid w:val="003C3CC9"/>
    <w:rsid w:val="003E589A"/>
    <w:rsid w:val="003E7C9F"/>
    <w:rsid w:val="003F6C39"/>
    <w:rsid w:val="0040284C"/>
    <w:rsid w:val="00406CE8"/>
    <w:rsid w:val="00413794"/>
    <w:rsid w:val="00423B4B"/>
    <w:rsid w:val="004437AF"/>
    <w:rsid w:val="00455F35"/>
    <w:rsid w:val="00466D34"/>
    <w:rsid w:val="0047313A"/>
    <w:rsid w:val="004733A1"/>
    <w:rsid w:val="00481589"/>
    <w:rsid w:val="004A5219"/>
    <w:rsid w:val="004B7225"/>
    <w:rsid w:val="004C50AF"/>
    <w:rsid w:val="004D3F2C"/>
    <w:rsid w:val="00500051"/>
    <w:rsid w:val="00500CD7"/>
    <w:rsid w:val="005018F4"/>
    <w:rsid w:val="005020FF"/>
    <w:rsid w:val="0051267D"/>
    <w:rsid w:val="00513C11"/>
    <w:rsid w:val="00514E3F"/>
    <w:rsid w:val="00525C52"/>
    <w:rsid w:val="00536653"/>
    <w:rsid w:val="00572206"/>
    <w:rsid w:val="005840FA"/>
    <w:rsid w:val="005A6CC0"/>
    <w:rsid w:val="005B3A52"/>
    <w:rsid w:val="005C468E"/>
    <w:rsid w:val="005D13ED"/>
    <w:rsid w:val="005E447B"/>
    <w:rsid w:val="00613B11"/>
    <w:rsid w:val="00642109"/>
    <w:rsid w:val="00646A5C"/>
    <w:rsid w:val="00651F86"/>
    <w:rsid w:val="006612D7"/>
    <w:rsid w:val="00665CE9"/>
    <w:rsid w:val="00673B3E"/>
    <w:rsid w:val="006758B7"/>
    <w:rsid w:val="0067647C"/>
    <w:rsid w:val="00687BDE"/>
    <w:rsid w:val="00692775"/>
    <w:rsid w:val="006931AF"/>
    <w:rsid w:val="00695CA4"/>
    <w:rsid w:val="006C03A9"/>
    <w:rsid w:val="006C7859"/>
    <w:rsid w:val="006D2D09"/>
    <w:rsid w:val="006F784E"/>
    <w:rsid w:val="007045F6"/>
    <w:rsid w:val="00711569"/>
    <w:rsid w:val="00723F60"/>
    <w:rsid w:val="00761C65"/>
    <w:rsid w:val="00764B25"/>
    <w:rsid w:val="007769CA"/>
    <w:rsid w:val="007902DE"/>
    <w:rsid w:val="007A5922"/>
    <w:rsid w:val="007B2619"/>
    <w:rsid w:val="007B30A8"/>
    <w:rsid w:val="007C23E3"/>
    <w:rsid w:val="007D1BB2"/>
    <w:rsid w:val="007F6A12"/>
    <w:rsid w:val="00800025"/>
    <w:rsid w:val="008136D5"/>
    <w:rsid w:val="00813F7E"/>
    <w:rsid w:val="008679F6"/>
    <w:rsid w:val="00874EEB"/>
    <w:rsid w:val="008A6552"/>
    <w:rsid w:val="008B2716"/>
    <w:rsid w:val="00906102"/>
    <w:rsid w:val="0094230D"/>
    <w:rsid w:val="009452B2"/>
    <w:rsid w:val="0095019D"/>
    <w:rsid w:val="00953E7D"/>
    <w:rsid w:val="00953F28"/>
    <w:rsid w:val="00954027"/>
    <w:rsid w:val="00961E4F"/>
    <w:rsid w:val="009723CC"/>
    <w:rsid w:val="00972586"/>
    <w:rsid w:val="009748A2"/>
    <w:rsid w:val="0098028D"/>
    <w:rsid w:val="009858BE"/>
    <w:rsid w:val="00992AB3"/>
    <w:rsid w:val="00993EF1"/>
    <w:rsid w:val="00994B2D"/>
    <w:rsid w:val="009A5845"/>
    <w:rsid w:val="009B0A3D"/>
    <w:rsid w:val="009B645E"/>
    <w:rsid w:val="009C1339"/>
    <w:rsid w:val="009C5911"/>
    <w:rsid w:val="009D5D81"/>
    <w:rsid w:val="009E37C8"/>
    <w:rsid w:val="009E7E52"/>
    <w:rsid w:val="009F5576"/>
    <w:rsid w:val="00A067F6"/>
    <w:rsid w:val="00A17ADB"/>
    <w:rsid w:val="00A2650B"/>
    <w:rsid w:val="00A2653E"/>
    <w:rsid w:val="00A27C0B"/>
    <w:rsid w:val="00A50375"/>
    <w:rsid w:val="00A57005"/>
    <w:rsid w:val="00A80B57"/>
    <w:rsid w:val="00AB611F"/>
    <w:rsid w:val="00AC2CC6"/>
    <w:rsid w:val="00AC2FAB"/>
    <w:rsid w:val="00AD3A9D"/>
    <w:rsid w:val="00AE219D"/>
    <w:rsid w:val="00AE5106"/>
    <w:rsid w:val="00AF36EA"/>
    <w:rsid w:val="00B130ED"/>
    <w:rsid w:val="00B13D7A"/>
    <w:rsid w:val="00B159C9"/>
    <w:rsid w:val="00B16A7B"/>
    <w:rsid w:val="00B3192A"/>
    <w:rsid w:val="00B3602D"/>
    <w:rsid w:val="00B541B6"/>
    <w:rsid w:val="00B64F47"/>
    <w:rsid w:val="00B7108B"/>
    <w:rsid w:val="00B94EF5"/>
    <w:rsid w:val="00BC0474"/>
    <w:rsid w:val="00BE3F49"/>
    <w:rsid w:val="00BF45B0"/>
    <w:rsid w:val="00C11184"/>
    <w:rsid w:val="00C27A20"/>
    <w:rsid w:val="00C47083"/>
    <w:rsid w:val="00C6338F"/>
    <w:rsid w:val="00C63485"/>
    <w:rsid w:val="00C66394"/>
    <w:rsid w:val="00C73E35"/>
    <w:rsid w:val="00C7467B"/>
    <w:rsid w:val="00C75701"/>
    <w:rsid w:val="00C80A95"/>
    <w:rsid w:val="00CA11F0"/>
    <w:rsid w:val="00CA6CB2"/>
    <w:rsid w:val="00CB6CC2"/>
    <w:rsid w:val="00CC3D95"/>
    <w:rsid w:val="00CC6DB8"/>
    <w:rsid w:val="00CD57EE"/>
    <w:rsid w:val="00CE496C"/>
    <w:rsid w:val="00CF35D8"/>
    <w:rsid w:val="00D014FC"/>
    <w:rsid w:val="00D03CB2"/>
    <w:rsid w:val="00D1534D"/>
    <w:rsid w:val="00D26F19"/>
    <w:rsid w:val="00D4408B"/>
    <w:rsid w:val="00D7122B"/>
    <w:rsid w:val="00D978DF"/>
    <w:rsid w:val="00DB3963"/>
    <w:rsid w:val="00DB4CE0"/>
    <w:rsid w:val="00DC2925"/>
    <w:rsid w:val="00DC5044"/>
    <w:rsid w:val="00DD2EC3"/>
    <w:rsid w:val="00DD6D08"/>
    <w:rsid w:val="00DD75E9"/>
    <w:rsid w:val="00DF1B35"/>
    <w:rsid w:val="00DF56F5"/>
    <w:rsid w:val="00DF5E51"/>
    <w:rsid w:val="00DF7ADA"/>
    <w:rsid w:val="00E5736A"/>
    <w:rsid w:val="00E865F9"/>
    <w:rsid w:val="00E91281"/>
    <w:rsid w:val="00EA0EF3"/>
    <w:rsid w:val="00EF3CDE"/>
    <w:rsid w:val="00EF4E22"/>
    <w:rsid w:val="00EF5BBE"/>
    <w:rsid w:val="00EF7F90"/>
    <w:rsid w:val="00F0587E"/>
    <w:rsid w:val="00F1040A"/>
    <w:rsid w:val="00F1120A"/>
    <w:rsid w:val="00F11959"/>
    <w:rsid w:val="00F23F39"/>
    <w:rsid w:val="00F323AF"/>
    <w:rsid w:val="00F32D27"/>
    <w:rsid w:val="00F336B5"/>
    <w:rsid w:val="00F52EAE"/>
    <w:rsid w:val="00F55A8F"/>
    <w:rsid w:val="00F560F8"/>
    <w:rsid w:val="00FA2DFF"/>
    <w:rsid w:val="00FB7386"/>
    <w:rsid w:val="00FC2BD3"/>
    <w:rsid w:val="00FD60FE"/>
    <w:rsid w:val="00FE62CB"/>
    <w:rsid w:val="00FF3C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726664B2"/>
  <w15:docId w15:val="{051E887C-C757-44A3-8B09-39E540BB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6654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6C3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3F6C39"/>
    <w:rPr>
      <w:i/>
      <w:iCs/>
    </w:rPr>
  </w:style>
  <w:style w:type="character" w:styleId="Strong">
    <w:name w:val="Strong"/>
    <w:basedOn w:val="DefaultParagraphFont"/>
    <w:uiPriority w:val="22"/>
    <w:qFormat/>
    <w:rsid w:val="00665CE9"/>
    <w:rPr>
      <w:b/>
      <w:bCs/>
    </w:rPr>
  </w:style>
  <w:style w:type="character" w:customStyle="1" w:styleId="katex">
    <w:name w:val="katex"/>
    <w:basedOn w:val="DefaultParagraphFont"/>
    <w:rsid w:val="00B64F47"/>
  </w:style>
  <w:style w:type="character" w:styleId="CommentReference">
    <w:name w:val="annotation reference"/>
    <w:basedOn w:val="DefaultParagraphFont"/>
    <w:uiPriority w:val="99"/>
    <w:unhideWhenUsed/>
    <w:rsid w:val="00DF56F5"/>
    <w:rPr>
      <w:sz w:val="16"/>
      <w:szCs w:val="16"/>
    </w:rPr>
  </w:style>
  <w:style w:type="paragraph" w:styleId="CommentText">
    <w:name w:val="annotation text"/>
    <w:basedOn w:val="Normal"/>
    <w:link w:val="CommentTextChar"/>
    <w:uiPriority w:val="99"/>
    <w:semiHidden/>
    <w:unhideWhenUsed/>
    <w:rsid w:val="00DF56F5"/>
    <w:pPr>
      <w:spacing w:line="240" w:lineRule="auto"/>
    </w:pPr>
    <w:rPr>
      <w:sz w:val="20"/>
      <w:szCs w:val="20"/>
    </w:rPr>
  </w:style>
  <w:style w:type="character" w:customStyle="1" w:styleId="CommentTextChar">
    <w:name w:val="Comment Text Char"/>
    <w:basedOn w:val="DefaultParagraphFont"/>
    <w:link w:val="CommentText"/>
    <w:uiPriority w:val="99"/>
    <w:semiHidden/>
    <w:rsid w:val="00DF56F5"/>
    <w:rPr>
      <w:sz w:val="20"/>
      <w:szCs w:val="20"/>
      <w:lang w:val="en"/>
    </w:rPr>
  </w:style>
  <w:style w:type="paragraph" w:styleId="BalloonText">
    <w:name w:val="Balloon Text"/>
    <w:basedOn w:val="Normal"/>
    <w:link w:val="BalloonTextChar"/>
    <w:uiPriority w:val="99"/>
    <w:semiHidden/>
    <w:unhideWhenUsed/>
    <w:rsid w:val="00DF5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6F5"/>
    <w:rPr>
      <w:rFonts w:ascii="Segoe UI" w:hAnsi="Segoe UI" w:cs="Segoe UI"/>
      <w:sz w:val="18"/>
      <w:szCs w:val="18"/>
    </w:rPr>
  </w:style>
  <w:style w:type="paragraph" w:styleId="Caption">
    <w:name w:val="caption"/>
    <w:basedOn w:val="Normal"/>
    <w:next w:val="Normal"/>
    <w:uiPriority w:val="35"/>
    <w:unhideWhenUsed/>
    <w:qFormat/>
    <w:rsid w:val="00CC3D95"/>
    <w:pPr>
      <w:spacing w:after="200" w:line="240" w:lineRule="auto"/>
    </w:pPr>
    <w:rPr>
      <w:i/>
      <w:iCs/>
      <w:color w:val="44546A" w:themeColor="text2"/>
      <w:sz w:val="18"/>
      <w:szCs w:val="18"/>
    </w:rPr>
  </w:style>
  <w:style w:type="table" w:styleId="TableGrid">
    <w:name w:val="Table Grid"/>
    <w:basedOn w:val="TableNormal"/>
    <w:uiPriority w:val="39"/>
    <w:rsid w:val="00CC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EAC"/>
    <w:pPr>
      <w:ind w:left="720"/>
      <w:contextualSpacing/>
    </w:pPr>
  </w:style>
  <w:style w:type="table" w:customStyle="1" w:styleId="PlainTable21">
    <w:name w:val="Plain Table 21"/>
    <w:basedOn w:val="TableNormal"/>
    <w:uiPriority w:val="42"/>
    <w:rsid w:val="009D5D8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366548"/>
    <w:rPr>
      <w:rFonts w:ascii="Times New Roman" w:eastAsia="Times New Roman" w:hAnsi="Times New Roman" w:cs="Times New Roman"/>
      <w:b/>
      <w:bCs/>
      <w:sz w:val="27"/>
      <w:szCs w:val="27"/>
      <w:lang w:val="en" w:eastAsia="fr-FR"/>
    </w:rPr>
  </w:style>
  <w:style w:type="paragraph" w:styleId="Bibliography">
    <w:name w:val="Bibliography"/>
    <w:basedOn w:val="Normal"/>
    <w:next w:val="Normal"/>
    <w:uiPriority w:val="37"/>
    <w:unhideWhenUsed/>
    <w:rsid w:val="00D03CB2"/>
    <w:pPr>
      <w:tabs>
        <w:tab w:val="left" w:pos="384"/>
      </w:tabs>
      <w:spacing w:after="240" w:line="240" w:lineRule="auto"/>
      <w:ind w:left="384" w:hanging="384"/>
    </w:pPr>
  </w:style>
  <w:style w:type="paragraph" w:styleId="CommentSubject">
    <w:name w:val="annotation subject"/>
    <w:basedOn w:val="CommentText"/>
    <w:next w:val="CommentText"/>
    <w:link w:val="CommentSubjectChar"/>
    <w:uiPriority w:val="99"/>
    <w:semiHidden/>
    <w:unhideWhenUsed/>
    <w:rsid w:val="00673B3E"/>
    <w:rPr>
      <w:b/>
      <w:bCs/>
    </w:rPr>
  </w:style>
  <w:style w:type="character" w:customStyle="1" w:styleId="CommentSubjectChar">
    <w:name w:val="Comment Subject Char"/>
    <w:basedOn w:val="CommentTextChar"/>
    <w:link w:val="CommentSubject"/>
    <w:uiPriority w:val="99"/>
    <w:semiHidden/>
    <w:rsid w:val="00673B3E"/>
    <w:rPr>
      <w:b/>
      <w:bCs/>
      <w:sz w:val="20"/>
      <w:szCs w:val="20"/>
      <w:lang w:val="en"/>
    </w:rPr>
  </w:style>
  <w:style w:type="paragraph" w:styleId="Header">
    <w:name w:val="header"/>
    <w:basedOn w:val="Normal"/>
    <w:link w:val="HeaderChar"/>
    <w:uiPriority w:val="99"/>
    <w:unhideWhenUsed/>
    <w:rsid w:val="00AB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11F"/>
  </w:style>
  <w:style w:type="paragraph" w:styleId="Footer">
    <w:name w:val="footer"/>
    <w:basedOn w:val="Normal"/>
    <w:link w:val="FooterChar"/>
    <w:uiPriority w:val="99"/>
    <w:unhideWhenUsed/>
    <w:rsid w:val="00AB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4585">
      <w:bodyDiv w:val="1"/>
      <w:marLeft w:val="0"/>
      <w:marRight w:val="0"/>
      <w:marTop w:val="0"/>
      <w:marBottom w:val="0"/>
      <w:divBdr>
        <w:top w:val="none" w:sz="0" w:space="0" w:color="auto"/>
        <w:left w:val="none" w:sz="0" w:space="0" w:color="auto"/>
        <w:bottom w:val="none" w:sz="0" w:space="0" w:color="auto"/>
        <w:right w:val="none" w:sz="0" w:space="0" w:color="auto"/>
      </w:divBdr>
    </w:div>
    <w:div w:id="64960450">
      <w:bodyDiv w:val="1"/>
      <w:marLeft w:val="0"/>
      <w:marRight w:val="0"/>
      <w:marTop w:val="0"/>
      <w:marBottom w:val="0"/>
      <w:divBdr>
        <w:top w:val="none" w:sz="0" w:space="0" w:color="auto"/>
        <w:left w:val="none" w:sz="0" w:space="0" w:color="auto"/>
        <w:bottom w:val="none" w:sz="0" w:space="0" w:color="auto"/>
        <w:right w:val="none" w:sz="0" w:space="0" w:color="auto"/>
      </w:divBdr>
    </w:div>
    <w:div w:id="89861467">
      <w:bodyDiv w:val="1"/>
      <w:marLeft w:val="0"/>
      <w:marRight w:val="0"/>
      <w:marTop w:val="0"/>
      <w:marBottom w:val="0"/>
      <w:divBdr>
        <w:top w:val="none" w:sz="0" w:space="0" w:color="auto"/>
        <w:left w:val="none" w:sz="0" w:space="0" w:color="auto"/>
        <w:bottom w:val="none" w:sz="0" w:space="0" w:color="auto"/>
        <w:right w:val="none" w:sz="0" w:space="0" w:color="auto"/>
      </w:divBdr>
    </w:div>
    <w:div w:id="96608057">
      <w:bodyDiv w:val="1"/>
      <w:marLeft w:val="0"/>
      <w:marRight w:val="0"/>
      <w:marTop w:val="0"/>
      <w:marBottom w:val="0"/>
      <w:divBdr>
        <w:top w:val="none" w:sz="0" w:space="0" w:color="auto"/>
        <w:left w:val="none" w:sz="0" w:space="0" w:color="auto"/>
        <w:bottom w:val="none" w:sz="0" w:space="0" w:color="auto"/>
        <w:right w:val="none" w:sz="0" w:space="0" w:color="auto"/>
      </w:divBdr>
    </w:div>
    <w:div w:id="313993218">
      <w:bodyDiv w:val="1"/>
      <w:marLeft w:val="0"/>
      <w:marRight w:val="0"/>
      <w:marTop w:val="0"/>
      <w:marBottom w:val="0"/>
      <w:divBdr>
        <w:top w:val="none" w:sz="0" w:space="0" w:color="auto"/>
        <w:left w:val="none" w:sz="0" w:space="0" w:color="auto"/>
        <w:bottom w:val="none" w:sz="0" w:space="0" w:color="auto"/>
        <w:right w:val="none" w:sz="0" w:space="0" w:color="auto"/>
      </w:divBdr>
    </w:div>
    <w:div w:id="337733910">
      <w:bodyDiv w:val="1"/>
      <w:marLeft w:val="0"/>
      <w:marRight w:val="0"/>
      <w:marTop w:val="0"/>
      <w:marBottom w:val="0"/>
      <w:divBdr>
        <w:top w:val="none" w:sz="0" w:space="0" w:color="auto"/>
        <w:left w:val="none" w:sz="0" w:space="0" w:color="auto"/>
        <w:bottom w:val="none" w:sz="0" w:space="0" w:color="auto"/>
        <w:right w:val="none" w:sz="0" w:space="0" w:color="auto"/>
      </w:divBdr>
    </w:div>
    <w:div w:id="616257031">
      <w:bodyDiv w:val="1"/>
      <w:marLeft w:val="0"/>
      <w:marRight w:val="0"/>
      <w:marTop w:val="0"/>
      <w:marBottom w:val="0"/>
      <w:divBdr>
        <w:top w:val="none" w:sz="0" w:space="0" w:color="auto"/>
        <w:left w:val="none" w:sz="0" w:space="0" w:color="auto"/>
        <w:bottom w:val="none" w:sz="0" w:space="0" w:color="auto"/>
        <w:right w:val="none" w:sz="0" w:space="0" w:color="auto"/>
      </w:divBdr>
    </w:div>
    <w:div w:id="731347090">
      <w:bodyDiv w:val="1"/>
      <w:marLeft w:val="0"/>
      <w:marRight w:val="0"/>
      <w:marTop w:val="0"/>
      <w:marBottom w:val="0"/>
      <w:divBdr>
        <w:top w:val="none" w:sz="0" w:space="0" w:color="auto"/>
        <w:left w:val="none" w:sz="0" w:space="0" w:color="auto"/>
        <w:bottom w:val="none" w:sz="0" w:space="0" w:color="auto"/>
        <w:right w:val="none" w:sz="0" w:space="0" w:color="auto"/>
      </w:divBdr>
    </w:div>
    <w:div w:id="740324143">
      <w:bodyDiv w:val="1"/>
      <w:marLeft w:val="0"/>
      <w:marRight w:val="0"/>
      <w:marTop w:val="0"/>
      <w:marBottom w:val="0"/>
      <w:divBdr>
        <w:top w:val="none" w:sz="0" w:space="0" w:color="auto"/>
        <w:left w:val="none" w:sz="0" w:space="0" w:color="auto"/>
        <w:bottom w:val="none" w:sz="0" w:space="0" w:color="auto"/>
        <w:right w:val="none" w:sz="0" w:space="0" w:color="auto"/>
      </w:divBdr>
    </w:div>
    <w:div w:id="816268779">
      <w:bodyDiv w:val="1"/>
      <w:marLeft w:val="0"/>
      <w:marRight w:val="0"/>
      <w:marTop w:val="0"/>
      <w:marBottom w:val="0"/>
      <w:divBdr>
        <w:top w:val="none" w:sz="0" w:space="0" w:color="auto"/>
        <w:left w:val="none" w:sz="0" w:space="0" w:color="auto"/>
        <w:bottom w:val="none" w:sz="0" w:space="0" w:color="auto"/>
        <w:right w:val="none" w:sz="0" w:space="0" w:color="auto"/>
      </w:divBdr>
    </w:div>
    <w:div w:id="997346152">
      <w:bodyDiv w:val="1"/>
      <w:marLeft w:val="0"/>
      <w:marRight w:val="0"/>
      <w:marTop w:val="0"/>
      <w:marBottom w:val="0"/>
      <w:divBdr>
        <w:top w:val="none" w:sz="0" w:space="0" w:color="auto"/>
        <w:left w:val="none" w:sz="0" w:space="0" w:color="auto"/>
        <w:bottom w:val="none" w:sz="0" w:space="0" w:color="auto"/>
        <w:right w:val="none" w:sz="0" w:space="0" w:color="auto"/>
      </w:divBdr>
    </w:div>
    <w:div w:id="1007712089">
      <w:bodyDiv w:val="1"/>
      <w:marLeft w:val="0"/>
      <w:marRight w:val="0"/>
      <w:marTop w:val="0"/>
      <w:marBottom w:val="0"/>
      <w:divBdr>
        <w:top w:val="none" w:sz="0" w:space="0" w:color="auto"/>
        <w:left w:val="none" w:sz="0" w:space="0" w:color="auto"/>
        <w:bottom w:val="none" w:sz="0" w:space="0" w:color="auto"/>
        <w:right w:val="none" w:sz="0" w:space="0" w:color="auto"/>
      </w:divBdr>
    </w:div>
    <w:div w:id="1087458195">
      <w:bodyDiv w:val="1"/>
      <w:marLeft w:val="0"/>
      <w:marRight w:val="0"/>
      <w:marTop w:val="0"/>
      <w:marBottom w:val="0"/>
      <w:divBdr>
        <w:top w:val="none" w:sz="0" w:space="0" w:color="auto"/>
        <w:left w:val="none" w:sz="0" w:space="0" w:color="auto"/>
        <w:bottom w:val="none" w:sz="0" w:space="0" w:color="auto"/>
        <w:right w:val="none" w:sz="0" w:space="0" w:color="auto"/>
      </w:divBdr>
    </w:div>
    <w:div w:id="1117914468">
      <w:bodyDiv w:val="1"/>
      <w:marLeft w:val="0"/>
      <w:marRight w:val="0"/>
      <w:marTop w:val="0"/>
      <w:marBottom w:val="0"/>
      <w:divBdr>
        <w:top w:val="none" w:sz="0" w:space="0" w:color="auto"/>
        <w:left w:val="none" w:sz="0" w:space="0" w:color="auto"/>
        <w:bottom w:val="none" w:sz="0" w:space="0" w:color="auto"/>
        <w:right w:val="none" w:sz="0" w:space="0" w:color="auto"/>
      </w:divBdr>
    </w:div>
    <w:div w:id="1141731779">
      <w:bodyDiv w:val="1"/>
      <w:marLeft w:val="0"/>
      <w:marRight w:val="0"/>
      <w:marTop w:val="0"/>
      <w:marBottom w:val="0"/>
      <w:divBdr>
        <w:top w:val="none" w:sz="0" w:space="0" w:color="auto"/>
        <w:left w:val="none" w:sz="0" w:space="0" w:color="auto"/>
        <w:bottom w:val="none" w:sz="0" w:space="0" w:color="auto"/>
        <w:right w:val="none" w:sz="0" w:space="0" w:color="auto"/>
      </w:divBdr>
    </w:div>
    <w:div w:id="1144854252">
      <w:bodyDiv w:val="1"/>
      <w:marLeft w:val="0"/>
      <w:marRight w:val="0"/>
      <w:marTop w:val="0"/>
      <w:marBottom w:val="0"/>
      <w:divBdr>
        <w:top w:val="none" w:sz="0" w:space="0" w:color="auto"/>
        <w:left w:val="none" w:sz="0" w:space="0" w:color="auto"/>
        <w:bottom w:val="none" w:sz="0" w:space="0" w:color="auto"/>
        <w:right w:val="none" w:sz="0" w:space="0" w:color="auto"/>
      </w:divBdr>
    </w:div>
    <w:div w:id="1181355009">
      <w:bodyDiv w:val="1"/>
      <w:marLeft w:val="0"/>
      <w:marRight w:val="0"/>
      <w:marTop w:val="0"/>
      <w:marBottom w:val="0"/>
      <w:divBdr>
        <w:top w:val="none" w:sz="0" w:space="0" w:color="auto"/>
        <w:left w:val="none" w:sz="0" w:space="0" w:color="auto"/>
        <w:bottom w:val="none" w:sz="0" w:space="0" w:color="auto"/>
        <w:right w:val="none" w:sz="0" w:space="0" w:color="auto"/>
      </w:divBdr>
    </w:div>
    <w:div w:id="1210335897">
      <w:bodyDiv w:val="1"/>
      <w:marLeft w:val="0"/>
      <w:marRight w:val="0"/>
      <w:marTop w:val="0"/>
      <w:marBottom w:val="0"/>
      <w:divBdr>
        <w:top w:val="none" w:sz="0" w:space="0" w:color="auto"/>
        <w:left w:val="none" w:sz="0" w:space="0" w:color="auto"/>
        <w:bottom w:val="none" w:sz="0" w:space="0" w:color="auto"/>
        <w:right w:val="none" w:sz="0" w:space="0" w:color="auto"/>
      </w:divBdr>
    </w:div>
    <w:div w:id="1431857468">
      <w:bodyDiv w:val="1"/>
      <w:marLeft w:val="0"/>
      <w:marRight w:val="0"/>
      <w:marTop w:val="0"/>
      <w:marBottom w:val="0"/>
      <w:divBdr>
        <w:top w:val="none" w:sz="0" w:space="0" w:color="auto"/>
        <w:left w:val="none" w:sz="0" w:space="0" w:color="auto"/>
        <w:bottom w:val="none" w:sz="0" w:space="0" w:color="auto"/>
        <w:right w:val="none" w:sz="0" w:space="0" w:color="auto"/>
      </w:divBdr>
    </w:div>
    <w:div w:id="1489906097">
      <w:bodyDiv w:val="1"/>
      <w:marLeft w:val="0"/>
      <w:marRight w:val="0"/>
      <w:marTop w:val="0"/>
      <w:marBottom w:val="0"/>
      <w:divBdr>
        <w:top w:val="none" w:sz="0" w:space="0" w:color="auto"/>
        <w:left w:val="none" w:sz="0" w:space="0" w:color="auto"/>
        <w:bottom w:val="none" w:sz="0" w:space="0" w:color="auto"/>
        <w:right w:val="none" w:sz="0" w:space="0" w:color="auto"/>
      </w:divBdr>
    </w:div>
    <w:div w:id="1563786112">
      <w:bodyDiv w:val="1"/>
      <w:marLeft w:val="0"/>
      <w:marRight w:val="0"/>
      <w:marTop w:val="0"/>
      <w:marBottom w:val="0"/>
      <w:divBdr>
        <w:top w:val="none" w:sz="0" w:space="0" w:color="auto"/>
        <w:left w:val="none" w:sz="0" w:space="0" w:color="auto"/>
        <w:bottom w:val="none" w:sz="0" w:space="0" w:color="auto"/>
        <w:right w:val="none" w:sz="0" w:space="0" w:color="auto"/>
      </w:divBdr>
    </w:div>
    <w:div w:id="1633049340">
      <w:bodyDiv w:val="1"/>
      <w:marLeft w:val="0"/>
      <w:marRight w:val="0"/>
      <w:marTop w:val="0"/>
      <w:marBottom w:val="0"/>
      <w:divBdr>
        <w:top w:val="none" w:sz="0" w:space="0" w:color="auto"/>
        <w:left w:val="none" w:sz="0" w:space="0" w:color="auto"/>
        <w:bottom w:val="none" w:sz="0" w:space="0" w:color="auto"/>
        <w:right w:val="none" w:sz="0" w:space="0" w:color="auto"/>
      </w:divBdr>
    </w:div>
    <w:div w:id="1781950831">
      <w:bodyDiv w:val="1"/>
      <w:marLeft w:val="0"/>
      <w:marRight w:val="0"/>
      <w:marTop w:val="0"/>
      <w:marBottom w:val="0"/>
      <w:divBdr>
        <w:top w:val="none" w:sz="0" w:space="0" w:color="auto"/>
        <w:left w:val="none" w:sz="0" w:space="0" w:color="auto"/>
        <w:bottom w:val="none" w:sz="0" w:space="0" w:color="auto"/>
        <w:right w:val="none" w:sz="0" w:space="0" w:color="auto"/>
      </w:divBdr>
    </w:div>
    <w:div w:id="1840386913">
      <w:bodyDiv w:val="1"/>
      <w:marLeft w:val="0"/>
      <w:marRight w:val="0"/>
      <w:marTop w:val="0"/>
      <w:marBottom w:val="0"/>
      <w:divBdr>
        <w:top w:val="none" w:sz="0" w:space="0" w:color="auto"/>
        <w:left w:val="none" w:sz="0" w:space="0" w:color="auto"/>
        <w:bottom w:val="none" w:sz="0" w:space="0" w:color="auto"/>
        <w:right w:val="none" w:sz="0" w:space="0" w:color="auto"/>
      </w:divBdr>
    </w:div>
    <w:div w:id="1877352060">
      <w:bodyDiv w:val="1"/>
      <w:marLeft w:val="0"/>
      <w:marRight w:val="0"/>
      <w:marTop w:val="0"/>
      <w:marBottom w:val="0"/>
      <w:divBdr>
        <w:top w:val="none" w:sz="0" w:space="0" w:color="auto"/>
        <w:left w:val="none" w:sz="0" w:space="0" w:color="auto"/>
        <w:bottom w:val="none" w:sz="0" w:space="0" w:color="auto"/>
        <w:right w:val="none" w:sz="0" w:space="0" w:color="auto"/>
      </w:divBdr>
    </w:div>
    <w:div w:id="1880819748">
      <w:bodyDiv w:val="1"/>
      <w:marLeft w:val="0"/>
      <w:marRight w:val="0"/>
      <w:marTop w:val="0"/>
      <w:marBottom w:val="0"/>
      <w:divBdr>
        <w:top w:val="none" w:sz="0" w:space="0" w:color="auto"/>
        <w:left w:val="none" w:sz="0" w:space="0" w:color="auto"/>
        <w:bottom w:val="none" w:sz="0" w:space="0" w:color="auto"/>
        <w:right w:val="none" w:sz="0" w:space="0" w:color="auto"/>
      </w:divBdr>
    </w:div>
    <w:div w:id="2002459899">
      <w:bodyDiv w:val="1"/>
      <w:marLeft w:val="0"/>
      <w:marRight w:val="0"/>
      <w:marTop w:val="0"/>
      <w:marBottom w:val="0"/>
      <w:divBdr>
        <w:top w:val="none" w:sz="0" w:space="0" w:color="auto"/>
        <w:left w:val="none" w:sz="0" w:space="0" w:color="auto"/>
        <w:bottom w:val="none" w:sz="0" w:space="0" w:color="auto"/>
        <w:right w:val="none" w:sz="0" w:space="0" w:color="auto"/>
      </w:divBdr>
    </w:div>
    <w:div w:id="213328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FF2A-4E0E-456C-9F60-CE6DE5BD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9171</Words>
  <Characters>52276</Characters>
  <Application>Microsoft Office Word</Application>
  <DocSecurity>0</DocSecurity>
  <Lines>435</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Computer</dc:creator>
  <cp:keywords/>
  <dc:description/>
  <cp:lastModifiedBy>SDI 1084</cp:lastModifiedBy>
  <cp:revision>13</cp:revision>
  <dcterms:created xsi:type="dcterms:W3CDTF">2025-09-15T14:32:00Z</dcterms:created>
  <dcterms:modified xsi:type="dcterms:W3CDTF">2025-09-16T08:07:00Z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zotero-version="7.0.20"&gt;&lt;session id="VnN5Np0i"/&gt;&lt;style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