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2F6C3" w14:textId="77777777" w:rsidR="00C446FA" w:rsidRPr="00D4732B" w:rsidRDefault="00C446FA" w:rsidP="00C0391F">
      <w:pPr>
        <w:spacing w:before="4" w:after="4"/>
        <w:rPr>
          <w:rFonts w:ascii="Phetsarath OT" w:eastAsia="Phetsarath OT" w:hAnsi="Phetsarath OT" w:cs="Phetsarath OT"/>
          <w:sz w:val="24"/>
          <w:szCs w:val="24"/>
        </w:rPr>
      </w:pPr>
      <w:bookmarkStart w:id="0" w:name="_Hlk175329038"/>
      <w:bookmarkEnd w:id="0"/>
    </w:p>
    <w:p w14:paraId="49316AAD" w14:textId="3C3AD621" w:rsidR="00C0391F" w:rsidRPr="00D4732B" w:rsidRDefault="00C0391F" w:rsidP="00946885">
      <w:pPr>
        <w:spacing w:before="4" w:after="4"/>
        <w:rPr>
          <w:rFonts w:ascii="Phetsarath OT" w:eastAsia="Phetsarath OT" w:hAnsi="Phetsarath OT" w:cs="Phetsarath OT"/>
          <w:sz w:val="24"/>
          <w:szCs w:val="24"/>
          <w:cs/>
        </w:rPr>
      </w:pPr>
    </w:p>
    <w:p w14:paraId="0C700A4F" w14:textId="12A65EC0" w:rsidR="0035375F" w:rsidRDefault="0035375F" w:rsidP="00CB72AD">
      <w:pPr>
        <w:pStyle w:val="ListParagraph"/>
        <w:spacing w:before="4" w:after="4"/>
        <w:ind w:left="1418"/>
        <w:jc w:val="center"/>
        <w:rPr>
          <w:rFonts w:ascii="Times New Roman" w:hAnsi="Times New Roman" w:cs="Times New Roman"/>
          <w:b/>
          <w:bCs/>
          <w:sz w:val="28"/>
          <w:lang w:bidi="lo-LA"/>
        </w:rPr>
      </w:pPr>
      <w:bookmarkStart w:id="1" w:name="_Hlk174721460"/>
      <w:r w:rsidRPr="00C446FA">
        <w:rPr>
          <w:rFonts w:ascii="Times New Roman" w:hAnsi="Times New Roman" w:cs="Times New Roman"/>
          <w:b/>
          <w:bCs/>
          <w:sz w:val="28"/>
          <w:lang w:bidi="lo-LA"/>
        </w:rPr>
        <w:t>Case Report</w:t>
      </w:r>
      <w:bookmarkEnd w:id="1"/>
    </w:p>
    <w:p w14:paraId="3D446D2C" w14:textId="77777777" w:rsidR="00390980" w:rsidRPr="00C446FA" w:rsidRDefault="00390980" w:rsidP="00CB72AD">
      <w:pPr>
        <w:pStyle w:val="ListParagraph"/>
        <w:spacing w:before="4" w:after="4"/>
        <w:ind w:left="1418"/>
        <w:jc w:val="center"/>
        <w:rPr>
          <w:rFonts w:ascii="Times New Roman" w:hAnsi="Times New Roman" w:cs="Times New Roman"/>
          <w:b/>
          <w:bCs/>
          <w:sz w:val="28"/>
          <w:lang w:bidi="lo-LA"/>
        </w:rPr>
      </w:pPr>
    </w:p>
    <w:p w14:paraId="3B375FB2" w14:textId="3E45D5A4" w:rsidR="0026152A" w:rsidRDefault="0035375F" w:rsidP="00CB72AD">
      <w:pPr>
        <w:pStyle w:val="ListParagraph"/>
        <w:spacing w:before="4" w:after="4"/>
        <w:ind w:left="1418"/>
        <w:jc w:val="center"/>
        <w:rPr>
          <w:rFonts w:ascii="Times New Roman" w:hAnsi="Times New Roman" w:cs="Times New Roman"/>
          <w:sz w:val="28"/>
          <w:lang w:bidi="lo-LA"/>
        </w:rPr>
      </w:pPr>
      <w:r w:rsidRPr="00C446FA">
        <w:rPr>
          <w:rFonts w:ascii="Times New Roman" w:hAnsi="Times New Roman" w:cs="Times New Roman"/>
          <w:sz w:val="28"/>
          <w:lang w:bidi="lo-LA"/>
        </w:rPr>
        <w:t>Management of Combined</w:t>
      </w:r>
      <w:r w:rsidRPr="00C446FA">
        <w:rPr>
          <w:rFonts w:ascii="Times New Roman" w:hAnsi="Times New Roman" w:cs="Times New Roman"/>
          <w:sz w:val="28"/>
          <w:cs/>
          <w:lang w:bidi="lo-LA"/>
        </w:rPr>
        <w:t xml:space="preserve"> </w:t>
      </w:r>
      <w:r w:rsidRPr="00C446FA">
        <w:rPr>
          <w:rFonts w:ascii="Times New Roman" w:hAnsi="Times New Roman" w:cs="Times New Roman"/>
          <w:sz w:val="28"/>
          <w:lang w:bidi="lo-LA"/>
        </w:rPr>
        <w:t>Periodontal</w:t>
      </w:r>
      <w:r w:rsidR="0026152A" w:rsidRPr="00C446FA">
        <w:rPr>
          <w:rFonts w:ascii="Times New Roman" w:hAnsi="Times New Roman" w:cs="Times New Roman"/>
          <w:sz w:val="28"/>
          <w:cs/>
          <w:lang w:bidi="lo-LA"/>
        </w:rPr>
        <w:t xml:space="preserve"> </w:t>
      </w:r>
      <w:r w:rsidR="0026152A" w:rsidRPr="00C446FA">
        <w:rPr>
          <w:rFonts w:ascii="Times New Roman" w:hAnsi="Times New Roman" w:cs="Times New Roman"/>
          <w:sz w:val="28"/>
          <w:lang w:bidi="lo-LA"/>
        </w:rPr>
        <w:t xml:space="preserve">treatment with </w:t>
      </w:r>
      <w:r w:rsidRPr="00C446FA">
        <w:rPr>
          <w:rFonts w:ascii="Times New Roman" w:hAnsi="Times New Roman" w:cs="Times New Roman"/>
          <w:sz w:val="28"/>
          <w:lang w:bidi="lo-LA"/>
        </w:rPr>
        <w:t xml:space="preserve">endodontic </w:t>
      </w:r>
      <w:r w:rsidR="0026152A" w:rsidRPr="00C446FA">
        <w:rPr>
          <w:rFonts w:ascii="Times New Roman" w:hAnsi="Times New Roman" w:cs="Times New Roman"/>
          <w:sz w:val="28"/>
          <w:lang w:bidi="lo-LA"/>
        </w:rPr>
        <w:t>therapy</w:t>
      </w:r>
      <w:r w:rsidRPr="00C446FA">
        <w:rPr>
          <w:rFonts w:ascii="Times New Roman" w:hAnsi="Times New Roman" w:cs="Times New Roman"/>
          <w:sz w:val="28"/>
          <w:lang w:bidi="lo-LA"/>
        </w:rPr>
        <w:t>: A Case</w:t>
      </w:r>
      <w:r w:rsidR="008B0A9C">
        <w:rPr>
          <w:rFonts w:ascii="Times New Roman" w:hAnsi="Times New Roman" w:cs="Times New Roman"/>
          <w:sz w:val="28"/>
          <w:lang w:bidi="lo-LA"/>
        </w:rPr>
        <w:t xml:space="preserve"> report</w:t>
      </w:r>
    </w:p>
    <w:p w14:paraId="21194595" w14:textId="77777777" w:rsidR="009F5ED0" w:rsidRDefault="009F5ED0" w:rsidP="00CB72AD">
      <w:pPr>
        <w:pStyle w:val="ListParagraph"/>
        <w:spacing w:before="4" w:after="4"/>
        <w:ind w:left="1418"/>
        <w:jc w:val="center"/>
        <w:rPr>
          <w:rFonts w:ascii="Times New Roman" w:hAnsi="Times New Roman" w:cs="Times New Roman"/>
          <w:sz w:val="28"/>
          <w:lang w:bidi="lo-LA"/>
        </w:rPr>
      </w:pPr>
    </w:p>
    <w:p w14:paraId="6361FB8A" w14:textId="0D863B6A" w:rsidR="00FB2166" w:rsidRDefault="00FB2166" w:rsidP="00833257">
      <w:pPr>
        <w:pStyle w:val="ListParagraph"/>
        <w:spacing w:before="4" w:after="4"/>
        <w:ind w:left="1418"/>
        <w:rPr>
          <w:rFonts w:ascii="Times New Roman" w:hAnsi="Times New Roman" w:cs="Times New Roman"/>
          <w:sz w:val="28"/>
          <w:lang w:bidi="lo-LA"/>
        </w:rPr>
      </w:pPr>
    </w:p>
    <w:p w14:paraId="71A214CA" w14:textId="72048DEE" w:rsidR="005E13D3" w:rsidRDefault="005E13D3" w:rsidP="00833257">
      <w:pPr>
        <w:pStyle w:val="ListParagraph"/>
        <w:spacing w:before="4" w:after="4"/>
        <w:ind w:left="1418"/>
        <w:rPr>
          <w:rFonts w:ascii="Times New Roman" w:hAnsi="Times New Roman" w:cs="Times New Roman"/>
          <w:sz w:val="28"/>
          <w:lang w:bidi="lo-LA"/>
        </w:rPr>
      </w:pPr>
    </w:p>
    <w:p w14:paraId="33C5C9BD" w14:textId="45D92F40" w:rsidR="005E13D3" w:rsidRDefault="005E13D3" w:rsidP="00833257">
      <w:pPr>
        <w:pStyle w:val="ListParagraph"/>
        <w:spacing w:before="4" w:after="4"/>
        <w:ind w:left="1418"/>
        <w:rPr>
          <w:rFonts w:ascii="Times New Roman" w:hAnsi="Times New Roman" w:cs="Times New Roman"/>
          <w:sz w:val="28"/>
          <w:lang w:bidi="lo-LA"/>
        </w:rPr>
      </w:pPr>
    </w:p>
    <w:p w14:paraId="37F6910D" w14:textId="092781A8" w:rsidR="005E13D3" w:rsidRDefault="005E13D3" w:rsidP="00833257">
      <w:pPr>
        <w:pStyle w:val="ListParagraph"/>
        <w:spacing w:before="4" w:after="4"/>
        <w:ind w:left="1418"/>
        <w:rPr>
          <w:rFonts w:ascii="Times New Roman" w:hAnsi="Times New Roman" w:cs="Times New Roman"/>
          <w:sz w:val="28"/>
          <w:lang w:bidi="lo-LA"/>
        </w:rPr>
      </w:pPr>
    </w:p>
    <w:p w14:paraId="4BA5CD04" w14:textId="32B6FB21" w:rsidR="005E13D3" w:rsidRDefault="005E13D3" w:rsidP="00833257">
      <w:pPr>
        <w:pStyle w:val="ListParagraph"/>
        <w:spacing w:before="4" w:after="4"/>
        <w:ind w:left="1418"/>
        <w:rPr>
          <w:rFonts w:ascii="Times New Roman" w:hAnsi="Times New Roman" w:cs="Times New Roman"/>
          <w:sz w:val="28"/>
          <w:lang w:bidi="lo-LA"/>
        </w:rPr>
      </w:pPr>
    </w:p>
    <w:p w14:paraId="30CCF150" w14:textId="77777777" w:rsidR="005E13D3" w:rsidRPr="00833257" w:rsidRDefault="005E13D3" w:rsidP="00833257">
      <w:pPr>
        <w:pStyle w:val="ListParagraph"/>
        <w:spacing w:before="4" w:after="4"/>
        <w:ind w:left="1418"/>
        <w:rPr>
          <w:rFonts w:ascii="Times New Roman" w:hAnsi="Times New Roman" w:cs="Times New Roman"/>
          <w:sz w:val="28"/>
          <w:lang w:bidi="lo-LA"/>
        </w:rPr>
      </w:pPr>
      <w:bookmarkStart w:id="2" w:name="_GoBack"/>
      <w:bookmarkEnd w:id="2"/>
    </w:p>
    <w:p w14:paraId="1FAFB31F" w14:textId="77777777" w:rsidR="000F5440" w:rsidRPr="005C3447" w:rsidRDefault="002A4EB5" w:rsidP="005C3447">
      <w:pPr>
        <w:jc w:val="both"/>
        <w:rPr>
          <w:rFonts w:ascii="Times New Roman" w:hAnsi="Times New Roman" w:cs="Times New Roman"/>
          <w:b/>
          <w:bCs/>
          <w:color w:val="000000"/>
          <w:sz w:val="24"/>
          <w:szCs w:val="24"/>
        </w:rPr>
      </w:pPr>
      <w:r w:rsidRPr="005C3447">
        <w:rPr>
          <w:rFonts w:ascii="Times New Roman" w:hAnsi="Times New Roman" w:cs="Times New Roman"/>
          <w:b/>
          <w:bCs/>
          <w:color w:val="000000"/>
          <w:sz w:val="24"/>
          <w:szCs w:val="24"/>
        </w:rPr>
        <w:t>Abstract</w:t>
      </w:r>
      <w:r w:rsidR="00C446FA" w:rsidRPr="005C3447">
        <w:rPr>
          <w:rFonts w:ascii="Times New Roman" w:hAnsi="Times New Roman" w:cs="Times New Roman"/>
          <w:b/>
          <w:bCs/>
          <w:color w:val="000000"/>
          <w:sz w:val="24"/>
          <w:szCs w:val="24"/>
        </w:rPr>
        <w:t>:</w:t>
      </w:r>
    </w:p>
    <w:p w14:paraId="596CB60F" w14:textId="4C5A2EE4" w:rsidR="008B0A9C" w:rsidRPr="004F2BCE" w:rsidRDefault="008B0A9C" w:rsidP="008B0A9C">
      <w:pPr>
        <w:jc w:val="both"/>
        <w:rPr>
          <w:rFonts w:ascii="Times New Roman" w:hAnsi="Times New Roman" w:cs="Times New Roman"/>
          <w:sz w:val="24"/>
          <w:szCs w:val="24"/>
        </w:rPr>
      </w:pPr>
      <w:r>
        <w:rPr>
          <w:rFonts w:ascii="Times New Roman" w:hAnsi="Times New Roman" w:cs="Times New Roman"/>
          <w:color w:val="000000"/>
          <w:sz w:val="24"/>
          <w:szCs w:val="24"/>
        </w:rPr>
        <w:t>This case report explores about m</w:t>
      </w:r>
      <w:r w:rsidRPr="00C446FA">
        <w:rPr>
          <w:rFonts w:ascii="Times New Roman" w:hAnsi="Times New Roman" w:cs="Times New Roman"/>
          <w:sz w:val="28"/>
        </w:rPr>
        <w:t>anagement of Combined</w:t>
      </w:r>
      <w:r w:rsidRPr="00C446FA">
        <w:rPr>
          <w:rFonts w:ascii="Times New Roman" w:hAnsi="Times New Roman" w:cs="Times New Roman"/>
          <w:sz w:val="28"/>
          <w:cs/>
        </w:rPr>
        <w:t xml:space="preserve"> </w:t>
      </w:r>
      <w:r w:rsidRPr="00C446FA">
        <w:rPr>
          <w:rFonts w:ascii="Times New Roman" w:hAnsi="Times New Roman" w:cs="Times New Roman"/>
          <w:sz w:val="28"/>
        </w:rPr>
        <w:t>Periodontal</w:t>
      </w:r>
      <w:r w:rsidRPr="00C446FA">
        <w:rPr>
          <w:rFonts w:ascii="Times New Roman" w:hAnsi="Times New Roman" w:cs="Times New Roman"/>
          <w:sz w:val="28"/>
          <w:cs/>
        </w:rPr>
        <w:t xml:space="preserve"> </w:t>
      </w:r>
      <w:r w:rsidRPr="00C446FA">
        <w:rPr>
          <w:rFonts w:ascii="Times New Roman" w:hAnsi="Times New Roman" w:cs="Times New Roman"/>
          <w:sz w:val="28"/>
        </w:rPr>
        <w:t>treatment with endodontic therapy</w:t>
      </w:r>
      <w:r>
        <w:rPr>
          <w:rFonts w:ascii="Times New Roman" w:hAnsi="Times New Roman" w:cs="Times New Roman"/>
          <w:sz w:val="28"/>
        </w:rPr>
        <w:t>.</w:t>
      </w:r>
      <w:r w:rsidRPr="008B0A9C">
        <w:rPr>
          <w:rFonts w:ascii="Times New Roman" w:eastAsia="Times New Roman" w:hAnsi="Times New Roman" w:cs="Times New Roman"/>
          <w:sz w:val="24"/>
          <w:szCs w:val="24"/>
          <w:lang w:bidi="th-TH"/>
        </w:rPr>
        <w:t xml:space="preserve"> </w:t>
      </w:r>
      <w:r w:rsidRPr="000F5440">
        <w:rPr>
          <w:rFonts w:ascii="Times New Roman" w:eastAsia="Times New Roman" w:hAnsi="Times New Roman" w:cs="Times New Roman"/>
          <w:sz w:val="24"/>
          <w:szCs w:val="24"/>
          <w:lang w:bidi="th-TH"/>
        </w:rPr>
        <w:t>The periodontal disease is a factor for tooth loss in patients with periodontitis; it is pulpal infection, necrosis, and deep caries</w:t>
      </w:r>
      <w:r>
        <w:rPr>
          <w:rFonts w:ascii="Times New Roman" w:eastAsia="Times New Roman" w:hAnsi="Times New Roman" w:cs="Times New Roman"/>
          <w:sz w:val="24"/>
          <w:szCs w:val="24"/>
          <w:lang w:bidi="th-TH"/>
        </w:rPr>
        <w:t>.</w:t>
      </w:r>
      <w:r w:rsidRPr="008B0A9C">
        <w:t xml:space="preserve"> </w:t>
      </w:r>
      <w:r>
        <w:t>A 39-year-old woman reported from the Periodontology Unit, Department of Endodontics, Faculty of Dentistry, with the chief complaint of tooth length and swelling from gums in relation to upper left front tooth for last 1 year. Root cannel treatment RCT by Calcium Hydroxide Ca (OH)</w:t>
      </w:r>
      <w:r>
        <w:rPr>
          <w:vertAlign w:val="subscript"/>
        </w:rPr>
        <w:t>2</w:t>
      </w:r>
      <w:r>
        <w:t> 30 days and then root cannel filling by gutta-percha was performed and periodontal open flap technique.</w:t>
      </w:r>
      <w:r w:rsidRPr="008B0A9C">
        <w:t xml:space="preserve"> </w:t>
      </w:r>
      <w:r>
        <w:t xml:space="preserve">Clinical examination showed that PD recovered to within a normal range (approximately 3–4 mm), and tooth mobility was reduced. </w:t>
      </w:r>
      <w:r w:rsidRPr="00682B0F">
        <w:t>Imbedded in a subsequent and structured maintenance system in addition to better conformity on the part of the patient, questionable and hopeless teeth could maintain for long</w:t>
      </w:r>
      <w:r>
        <w:t xml:space="preserve">. </w:t>
      </w:r>
      <w:r w:rsidRPr="004F2BCE">
        <w:rPr>
          <w:rFonts w:ascii="Times New Roman" w:hAnsi="Times New Roman" w:cs="Times New Roman"/>
          <w:sz w:val="24"/>
          <w:szCs w:val="24"/>
        </w:rPr>
        <w:t>The treatment should follow a suggested protocol, which starts with Root cannel treatment by Calcium Hydroxide Ca (OH)2, immediately followed by RCT of the affected tooth. Subsequently, the surgical periodontal.</w:t>
      </w:r>
    </w:p>
    <w:p w14:paraId="6FD3EA41" w14:textId="6627D496" w:rsidR="00C446FA" w:rsidRPr="005C3447" w:rsidRDefault="000F5440" w:rsidP="005C3447">
      <w:pPr>
        <w:jc w:val="both"/>
        <w:rPr>
          <w:rFonts w:ascii="Times New Roman" w:hAnsi="Times New Roman" w:cs="Times New Roman"/>
          <w:color w:val="000000"/>
          <w:sz w:val="24"/>
          <w:szCs w:val="24"/>
        </w:rPr>
      </w:pPr>
      <w:r w:rsidRPr="005C3447">
        <w:rPr>
          <w:rFonts w:ascii="Times New Roman" w:hAnsi="Times New Roman" w:cs="Times New Roman"/>
          <w:b/>
          <w:bCs/>
          <w:color w:val="000000"/>
          <w:sz w:val="24"/>
          <w:szCs w:val="24"/>
        </w:rPr>
        <w:t xml:space="preserve">Key Words: </w:t>
      </w:r>
      <w:proofErr w:type="spellStart"/>
      <w:r w:rsidRPr="005C3447">
        <w:rPr>
          <w:rFonts w:ascii="Times New Roman" w:hAnsi="Times New Roman" w:cs="Times New Roman"/>
          <w:color w:val="000000"/>
          <w:sz w:val="24"/>
          <w:szCs w:val="24"/>
        </w:rPr>
        <w:t>Palatogingival</w:t>
      </w:r>
      <w:proofErr w:type="spellEnd"/>
      <w:r w:rsidRPr="005C3447">
        <w:rPr>
          <w:rFonts w:ascii="Times New Roman" w:hAnsi="Times New Roman" w:cs="Times New Roman"/>
          <w:color w:val="000000"/>
          <w:sz w:val="24"/>
          <w:szCs w:val="24"/>
        </w:rPr>
        <w:t xml:space="preserve"> groove, </w:t>
      </w:r>
      <w:r w:rsidR="00C26D9E" w:rsidRPr="005C3447">
        <w:rPr>
          <w:rFonts w:ascii="Times New Roman" w:hAnsi="Times New Roman" w:cs="Times New Roman"/>
          <w:color w:val="000000"/>
          <w:sz w:val="24"/>
          <w:szCs w:val="24"/>
        </w:rPr>
        <w:t xml:space="preserve">therapy of </w:t>
      </w:r>
      <w:r w:rsidRPr="005C3447">
        <w:rPr>
          <w:rFonts w:ascii="Times New Roman" w:hAnsi="Times New Roman" w:cs="Times New Roman"/>
          <w:color w:val="000000"/>
          <w:sz w:val="24"/>
          <w:szCs w:val="24"/>
        </w:rPr>
        <w:t>periodontal-endodontic lesion</w:t>
      </w:r>
    </w:p>
    <w:p w14:paraId="25BC137A" w14:textId="77777777" w:rsidR="00C446FA" w:rsidRPr="005C3447" w:rsidRDefault="00F41B01" w:rsidP="005C3447">
      <w:pPr>
        <w:jc w:val="both"/>
        <w:rPr>
          <w:rFonts w:ascii="Times New Roman" w:hAnsi="Times New Roman" w:cs="Times New Roman"/>
          <w:b/>
          <w:bCs/>
          <w:color w:val="000000"/>
          <w:sz w:val="24"/>
          <w:szCs w:val="24"/>
        </w:rPr>
      </w:pPr>
      <w:r w:rsidRPr="005C3447">
        <w:rPr>
          <w:rFonts w:ascii="Times New Roman" w:hAnsi="Times New Roman" w:cs="Times New Roman"/>
          <w:b/>
          <w:bCs/>
          <w:color w:val="000000"/>
          <w:sz w:val="24"/>
          <w:szCs w:val="24"/>
        </w:rPr>
        <w:t>Introduction:</w:t>
      </w:r>
    </w:p>
    <w:p w14:paraId="0687F723" w14:textId="5E9899DC" w:rsidR="006D0F77" w:rsidRPr="000F5440" w:rsidRDefault="00B61A6A" w:rsidP="005C3447">
      <w:pPr>
        <w:jc w:val="both"/>
        <w:rPr>
          <w:rFonts w:ascii="Times New Roman" w:eastAsia="Times New Roman" w:hAnsi="Times New Roman" w:cs="Times New Roman"/>
          <w:sz w:val="24"/>
          <w:szCs w:val="24"/>
          <w:lang w:bidi="th-TH"/>
        </w:rPr>
      </w:pPr>
      <w:r>
        <w:rPr>
          <w:rFonts w:ascii="Times New Roman" w:hAnsi="Times New Roman" w:cs="Times New Roman"/>
          <w:b/>
          <w:bCs/>
          <w:color w:val="000000"/>
          <w:sz w:val="24"/>
          <w:szCs w:val="24"/>
        </w:rPr>
        <w:t xml:space="preserve">    </w:t>
      </w:r>
      <w:r w:rsidR="00F804F1" w:rsidRPr="00C446FA">
        <w:rPr>
          <w:rFonts w:ascii="Times New Roman" w:hAnsi="Times New Roman" w:cs="Times New Roman"/>
          <w:b/>
          <w:bCs/>
          <w:color w:val="000000"/>
          <w:sz w:val="24"/>
          <w:szCs w:val="24"/>
        </w:rPr>
        <w:t xml:space="preserve"> </w:t>
      </w:r>
      <w:r w:rsidR="000F5440" w:rsidRPr="000F5440">
        <w:rPr>
          <w:rFonts w:ascii="Times New Roman" w:eastAsia="Times New Roman" w:hAnsi="Times New Roman" w:cs="Times New Roman"/>
          <w:sz w:val="24"/>
          <w:szCs w:val="24"/>
          <w:lang w:bidi="th-TH"/>
        </w:rPr>
        <w:t xml:space="preserve">This case report describes the successful management of a left maxillary lateral incisor. The development, pathology, and effectiveness of management approaches in cases involving a combined periodontal-endodontic lesion with </w:t>
      </w:r>
      <w:proofErr w:type="spellStart"/>
      <w:r w:rsidR="000F5440" w:rsidRPr="000F5440">
        <w:rPr>
          <w:rFonts w:ascii="Times New Roman" w:eastAsia="Times New Roman" w:hAnsi="Times New Roman" w:cs="Times New Roman"/>
          <w:sz w:val="24"/>
          <w:szCs w:val="24"/>
          <w:lang w:bidi="th-TH"/>
        </w:rPr>
        <w:t>peripocket</w:t>
      </w:r>
      <w:proofErr w:type="spellEnd"/>
      <w:r w:rsidR="000F5440" w:rsidRPr="000F5440">
        <w:rPr>
          <w:rFonts w:ascii="Times New Roman" w:eastAsia="Times New Roman" w:hAnsi="Times New Roman" w:cs="Times New Roman"/>
          <w:sz w:val="24"/>
          <w:szCs w:val="24"/>
          <w:lang w:bidi="th-TH"/>
        </w:rPr>
        <w:t xml:space="preserve"> depth (PD 9 mm) and a pulp necrosis. The periodontal classification of teeth is based on the bone of attachment loss and probing pocket depth [1]. The periodontal disease is a factor for tooth loss in patients with periodontitis; it is pulpal infection, necrosis, and deep caries [2]. Anyway, new research has demonstrated that, even with periodontic-endodontic problems, teeth as hopeless can be successfully treated [3]. Robison &amp; Cooley (1988) explained that the palato-radicular groove, distolingual groove, radicular lingual </w:t>
      </w:r>
      <w:r w:rsidR="000F5440" w:rsidRPr="000F5440">
        <w:rPr>
          <w:rFonts w:ascii="Times New Roman" w:eastAsia="Times New Roman" w:hAnsi="Times New Roman" w:cs="Times New Roman"/>
          <w:sz w:val="24"/>
          <w:szCs w:val="24"/>
          <w:lang w:bidi="th-TH"/>
        </w:rPr>
        <w:lastRenderedPageBreak/>
        <w:t xml:space="preserve">groove, </w:t>
      </w:r>
      <w:proofErr w:type="spellStart"/>
      <w:r w:rsidR="000F5440" w:rsidRPr="000F5440">
        <w:rPr>
          <w:rFonts w:ascii="Times New Roman" w:eastAsia="Times New Roman" w:hAnsi="Times New Roman" w:cs="Times New Roman"/>
          <w:sz w:val="24"/>
          <w:szCs w:val="24"/>
          <w:lang w:bidi="th-TH"/>
        </w:rPr>
        <w:t>corono</w:t>
      </w:r>
      <w:proofErr w:type="spellEnd"/>
      <w:r w:rsidR="000F5440" w:rsidRPr="000F5440">
        <w:rPr>
          <w:rFonts w:ascii="Times New Roman" w:eastAsia="Times New Roman" w:hAnsi="Times New Roman" w:cs="Times New Roman"/>
          <w:sz w:val="24"/>
          <w:szCs w:val="24"/>
          <w:lang w:bidi="th-TH"/>
        </w:rPr>
        <w:t xml:space="preserve"> radicular groove, and </w:t>
      </w:r>
      <w:proofErr w:type="spellStart"/>
      <w:r w:rsidR="000F5440" w:rsidRPr="000F5440">
        <w:rPr>
          <w:rFonts w:ascii="Times New Roman" w:eastAsia="Times New Roman" w:hAnsi="Times New Roman" w:cs="Times New Roman"/>
          <w:sz w:val="24"/>
          <w:szCs w:val="24"/>
          <w:lang w:bidi="th-TH"/>
        </w:rPr>
        <w:t>palatogingival</w:t>
      </w:r>
      <w:proofErr w:type="spellEnd"/>
      <w:r w:rsidR="000F5440" w:rsidRPr="000F5440">
        <w:rPr>
          <w:rFonts w:ascii="Times New Roman" w:eastAsia="Times New Roman" w:hAnsi="Times New Roman" w:cs="Times New Roman"/>
          <w:sz w:val="24"/>
          <w:szCs w:val="24"/>
          <w:lang w:bidi="th-TH"/>
        </w:rPr>
        <w:t xml:space="preserve"> groove are wrong development malformations that occur in the lingual aspect of maxillary incisors.</w:t>
      </w:r>
    </w:p>
    <w:p w14:paraId="2B488D04" w14:textId="77777777" w:rsidR="00A313E3" w:rsidRDefault="00F27840" w:rsidP="00A313E3">
      <w:pPr>
        <w:pStyle w:val="NormalWeb"/>
        <w:rPr>
          <w:b/>
          <w:bCs/>
        </w:rPr>
      </w:pPr>
      <w:r w:rsidRPr="004A1C9B">
        <w:rPr>
          <w:b/>
          <w:bCs/>
        </w:rPr>
        <w:t>Case Report</w:t>
      </w:r>
      <w:r w:rsidR="00C446FA" w:rsidRPr="004A1C9B">
        <w:rPr>
          <w:b/>
          <w:bCs/>
        </w:rPr>
        <w:t>:</w:t>
      </w:r>
    </w:p>
    <w:p w14:paraId="059A2C3D" w14:textId="27411934" w:rsidR="009B0DA0" w:rsidRPr="00A313E3" w:rsidRDefault="00A313E3" w:rsidP="005C3447">
      <w:pPr>
        <w:pStyle w:val="NormalWeb"/>
        <w:jc w:val="both"/>
      </w:pPr>
      <w:r w:rsidRPr="00A313E3">
        <w:t xml:space="preserve"> </w:t>
      </w:r>
      <w:r>
        <w:t xml:space="preserve">A 39-year-old woman reported from the Periodontology Unit, Department of Endodontics, Faculty of Dentistry, with the chief complaint of tooth length and swelling from gums in relation to upper left front tooth N:22 for the last 1 year. Examination revealed a </w:t>
      </w:r>
      <w:proofErr w:type="spellStart"/>
      <w:r>
        <w:t>distopalatal</w:t>
      </w:r>
      <w:proofErr w:type="spellEnd"/>
      <w:r>
        <w:t xml:space="preserve"> deep probing pocket depth (PPD) of 9 mm, which overlapped with the location of a </w:t>
      </w:r>
      <w:proofErr w:type="spellStart"/>
      <w:r>
        <w:t>palatogingival</w:t>
      </w:r>
      <w:proofErr w:type="spellEnd"/>
      <w:r>
        <w:t xml:space="preserve"> groove. The tooth did not react to an electric pulp test and showed tooth mobility (Figs. 1,2). The radiographic examination revealed a periapical lesion on tooth N:22, a radiolucent line indicating a putative accessory root, and bone resorption in the </w:t>
      </w:r>
      <w:proofErr w:type="spellStart"/>
      <w:r>
        <w:t>palato</w:t>
      </w:r>
      <w:proofErr w:type="spellEnd"/>
      <w:r>
        <w:t xml:space="preserve"> area tooth N:22. The diagnosis was localized chronic periodontitis and pulp necrosis, a combined periodontal-endodontic lesion potentially caused by a </w:t>
      </w:r>
      <w:proofErr w:type="spellStart"/>
      <w:r>
        <w:t>palatogingival</w:t>
      </w:r>
      <w:proofErr w:type="spellEnd"/>
      <w:r>
        <w:t xml:space="preserve"> groove. Root cannel treatment RCT by Calcium Hydroxide Ca (OH)</w:t>
      </w:r>
      <w:r>
        <w:rPr>
          <w:vertAlign w:val="subscript"/>
        </w:rPr>
        <w:t>2</w:t>
      </w:r>
      <w:r>
        <w:t> 30 days and then root cannel filling by gutta-percha was performed and periodontal open flap technique (Figs. 3,4,5). POF to remove the inflammatory dental alveolar bone treatment and repair pocket depth. To open the flap, local anesthesia was done with 2% lidocaine within epinephrine 1:100.000 in an appropriate dose. A reverse bevel incision is made at the attached gingiva angled to excise the periodontal pocket. Two releasing incisions are made mesial and distal to the defect gingival crest 1-3 mm. After the flap is elevated, pocketing tissues are discarded, osseous surgery can be performed, and the flap is then apically repositioned and suturing with 4-0 nylon. Medicine (drug suspension): Amoxicillin 500 mg, 2 tablets times 3 per day during 7 days; Ibuprofen 400 mg, 1 tablet every 6 or 8 hours after meal during 5 days; Chlorhexidine gluconate 0.12% rinse one a day during 2 weeks; and also asked the patient to give oral health hygiene after that recall for checkup in 10 days and also asked the patient to give oral health hygiene. After treatment, the patient was recalled periodically at 1, 3, 6, 9, 12, 15, 20, 26, and 36 months (Figs 6,7). Clinical examination showed that PD recovered to within a normal range (approximately 3–4 mm), and tooth mobility was reduced.</w:t>
      </w:r>
    </w:p>
    <w:p w14:paraId="6BC7E1A0" w14:textId="77777777" w:rsidR="00772D2D" w:rsidRDefault="00772D2D" w:rsidP="001425C3">
      <w:pPr>
        <w:jc w:val="thaiDistribute"/>
        <w:rPr>
          <w:rFonts w:ascii="Times New Roman" w:hAnsi="Times New Roman" w:cstheme="minorBidi"/>
          <w:sz w:val="24"/>
          <w:szCs w:val="24"/>
        </w:rPr>
      </w:pPr>
      <w:r>
        <w:rPr>
          <w:noProof/>
        </w:rPr>
        <w:drawing>
          <wp:inline distT="0" distB="0" distL="0" distR="0" wp14:anchorId="6B2004DC" wp14:editId="436E2602">
            <wp:extent cx="2857500" cy="2705218"/>
            <wp:effectExtent l="0" t="0" r="0" b="0"/>
            <wp:docPr id="17" name="Picture 8" descr="C:\Users\PC\Desktop\ຄົນເຈັບຂຽນບົດ\53921354_2010294652597548_17976326029584629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descr="C:\Users\PC\Desktop\ຄົນເຈັບຂຽນບົດ\53921354_2010294652597548_1797632602958462976_n.jpg"/>
                    <pic:cNvPicPr>
                      <a:picLocks noChangeAspect="1" noChangeArrowheads="1"/>
                    </pic:cNvPicPr>
                  </pic:nvPicPr>
                  <pic:blipFill>
                    <a:blip r:embed="rId7" cstate="print"/>
                    <a:srcRect l="35000" t="32222" r="30000" b="34444"/>
                    <a:stretch>
                      <a:fillRect/>
                    </a:stretch>
                  </pic:blipFill>
                  <pic:spPr bwMode="auto">
                    <a:xfrm>
                      <a:off x="0" y="0"/>
                      <a:ext cx="2888963" cy="2735004"/>
                    </a:xfrm>
                    <a:prstGeom prst="rect">
                      <a:avLst/>
                    </a:prstGeom>
                    <a:noFill/>
                  </pic:spPr>
                </pic:pic>
              </a:graphicData>
            </a:graphic>
          </wp:inline>
        </w:drawing>
      </w:r>
      <w:r>
        <w:rPr>
          <w:noProof/>
        </w:rPr>
        <w:drawing>
          <wp:inline distT="0" distB="0" distL="0" distR="0" wp14:anchorId="3DA45520" wp14:editId="44ADAAE8">
            <wp:extent cx="2760345" cy="2702123"/>
            <wp:effectExtent l="0" t="0" r="1905" b="3175"/>
            <wp:docPr id="18" name="Picture 3" descr="C:\Users\PC\Desktop\ນ. ແກ້ວ\IMG_7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descr="C:\Users\PC\Desktop\ນ. ແກ້ວ\IMG_7663.JPG"/>
                    <pic:cNvPicPr>
                      <a:picLocks noChangeAspect="1" noChangeArrowheads="1"/>
                    </pic:cNvPicPr>
                  </pic:nvPicPr>
                  <pic:blipFill>
                    <a:blip r:embed="rId8" cstate="print"/>
                    <a:srcRect l="14595" t="41788" r="53515" b="26447"/>
                    <a:stretch>
                      <a:fillRect/>
                    </a:stretch>
                  </pic:blipFill>
                  <pic:spPr bwMode="auto">
                    <a:xfrm>
                      <a:off x="0" y="0"/>
                      <a:ext cx="2786555" cy="2727780"/>
                    </a:xfrm>
                    <a:prstGeom prst="rect">
                      <a:avLst/>
                    </a:prstGeom>
                    <a:noFill/>
                  </pic:spPr>
                </pic:pic>
              </a:graphicData>
            </a:graphic>
          </wp:inline>
        </w:drawing>
      </w:r>
    </w:p>
    <w:p w14:paraId="018367CA" w14:textId="44D99FDA" w:rsidR="00772D2D" w:rsidRDefault="00035B8B" w:rsidP="001425C3">
      <w:pPr>
        <w:jc w:val="thaiDistribute"/>
        <w:rPr>
          <w:rFonts w:ascii="Times New Roman" w:hAnsi="Times New Roman" w:cstheme="minorBidi"/>
          <w:sz w:val="24"/>
          <w:szCs w:val="24"/>
        </w:rPr>
      </w:pPr>
      <w:bookmarkStart w:id="3" w:name="_Hlk175330355"/>
      <w:r>
        <w:rPr>
          <w:rFonts w:ascii="Times New Roman" w:hAnsi="Times New Roman" w:cstheme="minorBidi"/>
          <w:sz w:val="24"/>
          <w:szCs w:val="24"/>
        </w:rPr>
        <w:t xml:space="preserve">(Fig1) </w:t>
      </w:r>
      <w:bookmarkEnd w:id="3"/>
      <w:r>
        <w:rPr>
          <w:rFonts w:ascii="Times New Roman" w:hAnsi="Times New Roman" w:cstheme="minorBidi"/>
          <w:sz w:val="24"/>
          <w:szCs w:val="24"/>
        </w:rPr>
        <w:t xml:space="preserve">abscess of plaque and </w:t>
      </w:r>
      <w:proofErr w:type="spellStart"/>
      <w:r>
        <w:rPr>
          <w:rFonts w:ascii="Times New Roman" w:hAnsi="Times New Roman" w:cstheme="minorBidi"/>
          <w:sz w:val="24"/>
          <w:szCs w:val="24"/>
        </w:rPr>
        <w:t>calcus</w:t>
      </w:r>
      <w:proofErr w:type="spellEnd"/>
      <w:r>
        <w:rPr>
          <w:rFonts w:ascii="Times New Roman" w:hAnsi="Times New Roman" w:cstheme="minorBidi"/>
          <w:sz w:val="24"/>
          <w:szCs w:val="24"/>
        </w:rPr>
        <w:t xml:space="preserve"> under</w:t>
      </w:r>
      <w:r w:rsidR="007675B5">
        <w:rPr>
          <w:rFonts w:ascii="Times New Roman" w:hAnsi="Times New Roman" w:cstheme="minorBidi"/>
          <w:sz w:val="24"/>
          <w:szCs w:val="24"/>
        </w:rPr>
        <w:t xml:space="preserve">      </w:t>
      </w:r>
      <w:proofErr w:type="gramStart"/>
      <w:r w:rsidR="007675B5">
        <w:rPr>
          <w:rFonts w:ascii="Times New Roman" w:hAnsi="Times New Roman" w:cstheme="minorBidi"/>
          <w:sz w:val="24"/>
          <w:szCs w:val="24"/>
        </w:rPr>
        <w:t xml:space="preserve">   (</w:t>
      </w:r>
      <w:proofErr w:type="gramEnd"/>
      <w:r w:rsidR="007675B5">
        <w:rPr>
          <w:rFonts w:ascii="Times New Roman" w:hAnsi="Times New Roman" w:cstheme="minorBidi"/>
          <w:sz w:val="24"/>
          <w:szCs w:val="24"/>
        </w:rPr>
        <w:t xml:space="preserve">Fig2) </w:t>
      </w:r>
      <w:r w:rsidR="00AC7E85">
        <w:rPr>
          <w:rFonts w:ascii="Times New Roman" w:eastAsia="Phetsarath OT" w:hAnsi="Times New Roman" w:cs="Times New Roman"/>
          <w:color w:val="000000" w:themeColor="text1"/>
          <w:sz w:val="24"/>
          <w:szCs w:val="24"/>
        </w:rPr>
        <w:t>tooth long</w:t>
      </w:r>
      <w:r w:rsidR="00AC7E85" w:rsidRPr="00FE15BA">
        <w:rPr>
          <w:rFonts w:ascii="Times New Roman" w:eastAsia="Phetsarath OT" w:hAnsi="Times New Roman" w:cs="Times New Roman"/>
          <w:color w:val="000000" w:themeColor="text1"/>
          <w:sz w:val="24"/>
          <w:szCs w:val="24"/>
        </w:rPr>
        <w:t xml:space="preserve"> and swelling </w:t>
      </w:r>
      <w:r w:rsidR="00AC7E85">
        <w:rPr>
          <w:rFonts w:ascii="Times New Roman" w:eastAsia="Phetsarath OT" w:hAnsi="Times New Roman" w:cs="Times New Roman"/>
          <w:color w:val="000000" w:themeColor="text1"/>
          <w:sz w:val="24"/>
          <w:szCs w:val="24"/>
        </w:rPr>
        <w:t>of</w:t>
      </w:r>
      <w:r w:rsidR="00AC7E85" w:rsidRPr="00FE15BA">
        <w:rPr>
          <w:rFonts w:ascii="Times New Roman" w:eastAsia="Phetsarath OT" w:hAnsi="Times New Roman" w:cs="Times New Roman"/>
          <w:color w:val="000000" w:themeColor="text1"/>
          <w:sz w:val="24"/>
          <w:szCs w:val="24"/>
        </w:rPr>
        <w:t xml:space="preserve"> gums in </w:t>
      </w:r>
      <w:r w:rsidR="00AC7E85">
        <w:rPr>
          <w:rFonts w:ascii="Times New Roman" w:eastAsia="Phetsarath OT" w:hAnsi="Times New Roman" w:cs="Times New Roman"/>
          <w:color w:val="000000" w:themeColor="text1"/>
          <w:sz w:val="24"/>
          <w:szCs w:val="24"/>
        </w:rPr>
        <w:t xml:space="preserve">      </w:t>
      </w:r>
    </w:p>
    <w:p w14:paraId="36E185BA" w14:textId="4EB8FC20" w:rsidR="00035B8B" w:rsidRDefault="00035B8B" w:rsidP="001425C3">
      <w:pPr>
        <w:jc w:val="thaiDistribute"/>
        <w:rPr>
          <w:rFonts w:ascii="Times New Roman" w:hAnsi="Times New Roman" w:cs="Times New Roman"/>
          <w:sz w:val="24"/>
          <w:szCs w:val="24"/>
          <w:lang w:eastAsia="ko-KR"/>
        </w:rPr>
      </w:pPr>
      <w:r>
        <w:rPr>
          <w:rFonts w:ascii="Times New Roman" w:hAnsi="Times New Roman" w:cstheme="minorBidi"/>
          <w:sz w:val="24"/>
          <w:szCs w:val="24"/>
        </w:rPr>
        <w:lastRenderedPageBreak/>
        <w:t xml:space="preserve">The gum, </w:t>
      </w:r>
      <w:r w:rsidRPr="00AC04E1">
        <w:rPr>
          <w:rFonts w:ascii="Times New Roman" w:hAnsi="Times New Roman" w:cs="Times New Roman"/>
          <w:sz w:val="24"/>
          <w:szCs w:val="24"/>
          <w:lang w:eastAsia="ko-KR"/>
        </w:rPr>
        <w:t>peri pocket depth (PD 9 mm)</w:t>
      </w:r>
      <w:r w:rsidR="00AC7E85">
        <w:rPr>
          <w:rFonts w:ascii="Times New Roman" w:hAnsi="Times New Roman" w:cs="Times New Roman"/>
          <w:sz w:val="24"/>
          <w:szCs w:val="24"/>
          <w:lang w:eastAsia="ko-KR"/>
        </w:rPr>
        <w:t xml:space="preserve">             relation </w:t>
      </w:r>
      <w:r w:rsidR="00AC7E85" w:rsidRPr="00FE15BA">
        <w:rPr>
          <w:rFonts w:ascii="Times New Roman" w:eastAsia="Phetsarath OT" w:hAnsi="Times New Roman" w:cs="Times New Roman"/>
          <w:color w:val="000000" w:themeColor="text1"/>
          <w:sz w:val="24"/>
          <w:szCs w:val="24"/>
        </w:rPr>
        <w:t xml:space="preserve">to upper left front tooth </w:t>
      </w:r>
      <w:r w:rsidR="00AC7E85">
        <w:rPr>
          <w:rFonts w:ascii="Times New Roman" w:eastAsia="Phetsarath OT" w:hAnsi="Times New Roman" w:cs="Times New Roman"/>
          <w:color w:val="000000" w:themeColor="text1"/>
          <w:sz w:val="24"/>
          <w:szCs w:val="24"/>
        </w:rPr>
        <w:t>N:</w:t>
      </w:r>
      <w:r w:rsidR="00AC7E85" w:rsidRPr="00FE15BA">
        <w:rPr>
          <w:rFonts w:ascii="Times New Roman" w:eastAsia="Phetsarath OT" w:hAnsi="Times New Roman" w:cs="Times New Roman"/>
          <w:color w:val="000000" w:themeColor="text1"/>
          <w:sz w:val="24"/>
          <w:szCs w:val="24"/>
        </w:rPr>
        <w:t>22</w:t>
      </w:r>
    </w:p>
    <w:p w14:paraId="690FA6BA" w14:textId="64BEACFF" w:rsidR="00772D2D" w:rsidRDefault="00AC7E85" w:rsidP="001425C3">
      <w:pPr>
        <w:jc w:val="thaiDistribute"/>
        <w:rPr>
          <w:rFonts w:ascii="Times New Roman" w:hAnsi="Times New Roman" w:cstheme="minorBidi"/>
          <w:sz w:val="24"/>
          <w:szCs w:val="24"/>
        </w:rPr>
      </w:pPr>
      <w:r>
        <w:rPr>
          <w:rFonts w:ascii="Times New Roman" w:hAnsi="Times New Roman" w:cs="Times New Roman"/>
          <w:sz w:val="24"/>
          <w:szCs w:val="24"/>
          <w:lang w:eastAsia="ko-KR"/>
        </w:rPr>
        <w:t>In maxillary left lateral</w:t>
      </w:r>
      <w:r w:rsidR="00814542">
        <w:rPr>
          <w:rFonts w:ascii="Times New Roman" w:hAnsi="Times New Roman" w:cs="Times New Roman"/>
          <w:sz w:val="24"/>
          <w:szCs w:val="24"/>
          <w:lang w:eastAsia="ko-KR"/>
        </w:rPr>
        <w:t xml:space="preserve">                                        </w:t>
      </w:r>
      <w:proofErr w:type="gramStart"/>
      <w:r w:rsidR="00814542">
        <w:rPr>
          <w:rFonts w:ascii="Times New Roman" w:hAnsi="Times New Roman" w:cs="Times New Roman"/>
          <w:sz w:val="24"/>
          <w:szCs w:val="24"/>
          <w:lang w:eastAsia="ko-KR"/>
        </w:rPr>
        <w:t xml:space="preserve">and  </w:t>
      </w:r>
      <w:r w:rsidR="00814542" w:rsidRPr="00FE15BA">
        <w:rPr>
          <w:rFonts w:ascii="Times New Roman" w:eastAsia="Phetsarath OT" w:hAnsi="Times New Roman" w:cs="Times New Roman"/>
          <w:color w:val="000000" w:themeColor="text1"/>
          <w:sz w:val="24"/>
          <w:szCs w:val="24"/>
        </w:rPr>
        <w:t>tooth</w:t>
      </w:r>
      <w:proofErr w:type="gramEnd"/>
      <w:r w:rsidR="00814542" w:rsidRPr="00FE15BA">
        <w:rPr>
          <w:rFonts w:ascii="Times New Roman" w:eastAsia="Phetsarath OT" w:hAnsi="Times New Roman" w:cs="Times New Roman"/>
          <w:color w:val="000000" w:themeColor="text1"/>
          <w:sz w:val="24"/>
          <w:szCs w:val="24"/>
        </w:rPr>
        <w:t xml:space="preserve"> mobility</w:t>
      </w:r>
    </w:p>
    <w:p w14:paraId="5699F8AA" w14:textId="551F6D94" w:rsidR="00972A68" w:rsidRDefault="00772D2D" w:rsidP="001425C3">
      <w:pPr>
        <w:jc w:val="thaiDistribute"/>
        <w:rPr>
          <w:rFonts w:ascii="Times New Roman" w:hAnsi="Times New Roman" w:cstheme="minorBidi"/>
          <w:sz w:val="24"/>
          <w:szCs w:val="24"/>
        </w:rPr>
      </w:pPr>
      <w:r>
        <w:rPr>
          <w:noProof/>
        </w:rPr>
        <w:drawing>
          <wp:inline distT="0" distB="0" distL="0" distR="0" wp14:anchorId="76C41E31" wp14:editId="1755E9E8">
            <wp:extent cx="2801936" cy="2852289"/>
            <wp:effectExtent l="0" t="0" r="0" b="5715"/>
            <wp:docPr id="19" name="Picture 3" descr="C:\Users\PC\Desktop\ຄົນເຈັບຂຽນບົດ\59301679_324291704935450_70922664778389258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C:\Users\PC\Desktop\ຄົນເຈັບຂຽນບົດ\59301679_324291704935450_7092266477838925824_n.jpg"/>
                    <pic:cNvPicPr>
                      <a:picLocks noChangeAspect="1" noChangeArrowheads="1"/>
                    </pic:cNvPicPr>
                  </pic:nvPicPr>
                  <pic:blipFill>
                    <a:blip r:embed="rId9" cstate="print"/>
                    <a:srcRect l="18033" t="17381" r="52459" b="51667"/>
                    <a:stretch>
                      <a:fillRect/>
                    </a:stretch>
                  </pic:blipFill>
                  <pic:spPr bwMode="auto">
                    <a:xfrm>
                      <a:off x="0" y="0"/>
                      <a:ext cx="2821801" cy="2872511"/>
                    </a:xfrm>
                    <a:prstGeom prst="rect">
                      <a:avLst/>
                    </a:prstGeom>
                    <a:noFill/>
                  </pic:spPr>
                </pic:pic>
              </a:graphicData>
            </a:graphic>
          </wp:inline>
        </w:drawing>
      </w:r>
      <w:r>
        <w:rPr>
          <w:noProof/>
        </w:rPr>
        <w:drawing>
          <wp:inline distT="0" distB="0" distL="0" distR="0" wp14:anchorId="7699DCAC" wp14:editId="26BF0A7C">
            <wp:extent cx="2713355" cy="2856948"/>
            <wp:effectExtent l="0" t="0" r="0" b="635"/>
            <wp:docPr id="21" name="Picture 4" descr="C:\Users\PC\Desktop\ຄົນເຈັບຂຽນບົດ\59301679_324291704935450_70922664778389258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descr="C:\Users\PC\Desktop\ຄົນເຈັບຂຽນບົດ\59301679_324291704935450_7092266477838925824_n.jpg"/>
                    <pic:cNvPicPr>
                      <a:picLocks noChangeAspect="1" noChangeArrowheads="1"/>
                    </pic:cNvPicPr>
                  </pic:nvPicPr>
                  <pic:blipFill>
                    <a:blip r:embed="rId9" cstate="print"/>
                    <a:srcRect l="70000" t="29048" r="1667" b="41667"/>
                    <a:stretch>
                      <a:fillRect/>
                    </a:stretch>
                  </pic:blipFill>
                  <pic:spPr bwMode="auto">
                    <a:xfrm>
                      <a:off x="0" y="0"/>
                      <a:ext cx="2742209" cy="2887329"/>
                    </a:xfrm>
                    <a:prstGeom prst="rect">
                      <a:avLst/>
                    </a:prstGeom>
                    <a:noFill/>
                  </pic:spPr>
                </pic:pic>
              </a:graphicData>
            </a:graphic>
          </wp:inline>
        </w:drawing>
      </w:r>
    </w:p>
    <w:p w14:paraId="4963F9EB" w14:textId="4BA36890" w:rsidR="00645997" w:rsidRDefault="00645997" w:rsidP="00645997">
      <w:pPr>
        <w:jc w:val="thaiDistribute"/>
        <w:rPr>
          <w:rFonts w:ascii="Times New Roman" w:hAnsi="Times New Roman" w:cstheme="minorBidi"/>
          <w:sz w:val="24"/>
          <w:szCs w:val="24"/>
        </w:rPr>
      </w:pPr>
      <w:r>
        <w:rPr>
          <w:rFonts w:ascii="Times New Roman" w:hAnsi="Times New Roman" w:cstheme="minorBidi"/>
          <w:sz w:val="24"/>
          <w:szCs w:val="24"/>
        </w:rPr>
        <w:t>(Fig3) T</w:t>
      </w:r>
      <w:r w:rsidRPr="00645997">
        <w:rPr>
          <w:rFonts w:ascii="Times New Roman" w:hAnsi="Times New Roman" w:cstheme="minorBidi"/>
          <w:sz w:val="24"/>
          <w:szCs w:val="24"/>
        </w:rPr>
        <w:t>he periapical</w:t>
      </w:r>
      <w:r>
        <w:rPr>
          <w:rFonts w:ascii="Times New Roman" w:hAnsi="Times New Roman" w:cstheme="minorBidi"/>
          <w:sz w:val="24"/>
          <w:szCs w:val="24"/>
        </w:rPr>
        <w:t xml:space="preserve"> </w:t>
      </w:r>
      <w:r w:rsidRPr="00645997">
        <w:rPr>
          <w:rFonts w:ascii="Times New Roman" w:hAnsi="Times New Roman" w:cstheme="minorBidi"/>
          <w:sz w:val="24"/>
          <w:szCs w:val="24"/>
        </w:rPr>
        <w:t xml:space="preserve">radiograph of tooth </w:t>
      </w:r>
      <w:r>
        <w:rPr>
          <w:rFonts w:ascii="Times New Roman" w:hAnsi="Times New Roman" w:cstheme="minorBidi"/>
          <w:sz w:val="24"/>
          <w:szCs w:val="24"/>
        </w:rPr>
        <w:t xml:space="preserve">     </w:t>
      </w:r>
      <w:proofErr w:type="gramStart"/>
      <w:r>
        <w:rPr>
          <w:rFonts w:ascii="Times New Roman" w:hAnsi="Times New Roman" w:cstheme="minorBidi"/>
          <w:sz w:val="24"/>
          <w:szCs w:val="24"/>
        </w:rPr>
        <w:t xml:space="preserve">   </w:t>
      </w:r>
      <w:bookmarkStart w:id="4" w:name="_Hlk175332910"/>
      <w:r>
        <w:rPr>
          <w:rFonts w:ascii="Times New Roman" w:hAnsi="Times New Roman" w:cstheme="minorBidi"/>
          <w:sz w:val="24"/>
          <w:szCs w:val="24"/>
        </w:rPr>
        <w:t>(</w:t>
      </w:r>
      <w:proofErr w:type="gramEnd"/>
      <w:r>
        <w:rPr>
          <w:rFonts w:ascii="Times New Roman" w:hAnsi="Times New Roman" w:cstheme="minorBidi"/>
          <w:sz w:val="24"/>
          <w:szCs w:val="24"/>
        </w:rPr>
        <w:t>Fig4)</w:t>
      </w:r>
      <w:r w:rsidR="00743A3B">
        <w:rPr>
          <w:rFonts w:ascii="Times New Roman" w:hAnsi="Times New Roman" w:cstheme="minorBidi"/>
          <w:sz w:val="24"/>
          <w:szCs w:val="24"/>
        </w:rPr>
        <w:t xml:space="preserve"> </w:t>
      </w:r>
      <w:bookmarkEnd w:id="4"/>
      <w:r w:rsidR="00743A3B">
        <w:rPr>
          <w:rFonts w:ascii="Times New Roman" w:eastAsia="Phetsarath OT" w:hAnsi="Times New Roman" w:cs="Times New Roman"/>
          <w:color w:val="000000" w:themeColor="text1"/>
          <w:sz w:val="24"/>
          <w:szCs w:val="24"/>
        </w:rPr>
        <w:t xml:space="preserve">Root cannel treatment </w:t>
      </w:r>
      <w:r w:rsidR="00743A3B" w:rsidRPr="00FE15BA">
        <w:rPr>
          <w:rFonts w:ascii="Times New Roman" w:eastAsia="Phetsarath OT" w:hAnsi="Times New Roman" w:cs="Times New Roman"/>
          <w:color w:val="000000" w:themeColor="text1"/>
          <w:sz w:val="24"/>
          <w:szCs w:val="24"/>
        </w:rPr>
        <w:t xml:space="preserve"> RCT</w:t>
      </w:r>
    </w:p>
    <w:p w14:paraId="31BBA95F" w14:textId="0DB9FA2D" w:rsidR="00645997" w:rsidRDefault="00645997" w:rsidP="00645997">
      <w:pPr>
        <w:jc w:val="thaiDistribute"/>
        <w:rPr>
          <w:rFonts w:ascii="Times New Roman" w:hAnsi="Times New Roman" w:cs="Times New Roman"/>
          <w:sz w:val="24"/>
          <w:szCs w:val="24"/>
        </w:rPr>
      </w:pPr>
      <w:r w:rsidRPr="00645997">
        <w:rPr>
          <w:rFonts w:ascii="Times New Roman" w:hAnsi="Times New Roman" w:cstheme="minorBidi"/>
          <w:sz w:val="24"/>
          <w:szCs w:val="24"/>
        </w:rPr>
        <w:t>N;22 showing a periapical lesion.</w:t>
      </w:r>
      <w:r w:rsidR="00743A3B">
        <w:rPr>
          <w:rFonts w:ascii="Times New Roman" w:hAnsi="Times New Roman" w:cstheme="minorBidi"/>
          <w:sz w:val="24"/>
          <w:szCs w:val="24"/>
        </w:rPr>
        <w:t xml:space="preserve">                      </w:t>
      </w:r>
      <w:r w:rsidR="00743A3B" w:rsidRPr="00743A3B">
        <w:rPr>
          <w:rFonts w:ascii="Times New Roman" w:hAnsi="Times New Roman" w:cs="Times New Roman"/>
          <w:sz w:val="24"/>
          <w:szCs w:val="24"/>
        </w:rPr>
        <w:t xml:space="preserve">gingiva around tooth </w:t>
      </w:r>
      <w:r w:rsidR="00743A3B">
        <w:rPr>
          <w:rFonts w:ascii="Times New Roman" w:hAnsi="Times New Roman" w:cs="Times New Roman"/>
          <w:sz w:val="24"/>
          <w:szCs w:val="24"/>
        </w:rPr>
        <w:t>N:22</w:t>
      </w:r>
      <w:r w:rsidR="00743A3B" w:rsidRPr="00743A3B">
        <w:rPr>
          <w:rFonts w:ascii="Times New Roman" w:hAnsi="Times New Roman" w:cs="Times New Roman"/>
          <w:sz w:val="24"/>
          <w:szCs w:val="24"/>
        </w:rPr>
        <w:t xml:space="preserve"> became healthy,</w:t>
      </w:r>
    </w:p>
    <w:p w14:paraId="32BF561B" w14:textId="0DFC3C92" w:rsidR="00743A3B" w:rsidRDefault="00743A3B" w:rsidP="00645997">
      <w:pPr>
        <w:jc w:val="thaiDistribute"/>
        <w:rPr>
          <w:rFonts w:ascii="Times New Roman" w:hAnsi="Times New Roman" w:cs="Times New Roman"/>
          <w:sz w:val="24"/>
          <w:szCs w:val="24"/>
        </w:rPr>
      </w:pPr>
      <w:r>
        <w:rPr>
          <w:rFonts w:ascii="Times New Roman" w:hAnsi="Times New Roman" w:cs="Times New Roman"/>
          <w:sz w:val="24"/>
          <w:szCs w:val="24"/>
        </w:rPr>
        <w:t xml:space="preserve">                                                                            </w:t>
      </w:r>
      <w:r w:rsidRPr="00743A3B">
        <w:rPr>
          <w:rFonts w:ascii="Times New Roman" w:hAnsi="Times New Roman" w:cs="Times New Roman"/>
          <w:sz w:val="24"/>
          <w:szCs w:val="24"/>
        </w:rPr>
        <w:t>and the periapical lesion resolved</w:t>
      </w:r>
      <w:r>
        <w:rPr>
          <w:rFonts w:ascii="Times New Roman" w:hAnsi="Times New Roman" w:cs="Times New Roman"/>
          <w:sz w:val="24"/>
          <w:szCs w:val="24"/>
        </w:rPr>
        <w:t xml:space="preserve"> </w:t>
      </w:r>
    </w:p>
    <w:p w14:paraId="797DC5B2" w14:textId="77777777" w:rsidR="00743A3B" w:rsidRDefault="00743A3B" w:rsidP="00743A3B">
      <w:pPr>
        <w:jc w:val="thaiDistribute"/>
        <w:rPr>
          <w:rFonts w:ascii="Times New Roman" w:hAnsi="Times New Roman" w:cs="Times New Roman"/>
          <w:sz w:val="24"/>
          <w:szCs w:val="24"/>
        </w:rPr>
      </w:pPr>
      <w:r>
        <w:rPr>
          <w:rFonts w:ascii="Times New Roman" w:hAnsi="Times New Roman" w:cs="Times New Roman"/>
          <w:sz w:val="24"/>
          <w:szCs w:val="24"/>
        </w:rPr>
        <w:t xml:space="preserve">                                                                            </w:t>
      </w:r>
      <w:r w:rsidRPr="00743A3B">
        <w:rPr>
          <w:rFonts w:ascii="Times New Roman" w:hAnsi="Times New Roman" w:cs="Times New Roman"/>
          <w:sz w:val="24"/>
          <w:szCs w:val="24"/>
        </w:rPr>
        <w:t>without any complication</w:t>
      </w:r>
    </w:p>
    <w:p w14:paraId="20AC65E9" w14:textId="691641C3" w:rsidR="00743A3B" w:rsidRPr="00972A68" w:rsidRDefault="00743A3B" w:rsidP="00645997">
      <w:pPr>
        <w:jc w:val="thaiDistribute"/>
        <w:rPr>
          <w:rFonts w:ascii="Times New Roman" w:hAnsi="Times New Roman" w:cstheme="minorBidi"/>
          <w:sz w:val="24"/>
          <w:szCs w:val="24"/>
        </w:rPr>
      </w:pPr>
    </w:p>
    <w:p w14:paraId="4EA2A0AA" w14:textId="0CF30C48" w:rsidR="00C446FA" w:rsidRDefault="00772D2D" w:rsidP="001425C3">
      <w:pPr>
        <w:jc w:val="thaiDistribute"/>
        <w:rPr>
          <w:noProof/>
        </w:rPr>
      </w:pPr>
      <w:r>
        <w:rPr>
          <w:noProof/>
        </w:rPr>
        <w:drawing>
          <wp:inline distT="0" distB="0" distL="0" distR="0" wp14:anchorId="7629E750" wp14:editId="376093B9">
            <wp:extent cx="2105025" cy="147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4160" t="22611" r="26097" b="48094"/>
                    <a:stretch/>
                  </pic:blipFill>
                  <pic:spPr bwMode="auto">
                    <a:xfrm>
                      <a:off x="0" y="0"/>
                      <a:ext cx="2127911" cy="1486325"/>
                    </a:xfrm>
                    <a:prstGeom prst="rect">
                      <a:avLst/>
                    </a:prstGeom>
                    <a:noFill/>
                    <a:ln>
                      <a:noFill/>
                    </a:ln>
                    <a:extLst>
                      <a:ext uri="{53640926-AAD7-44D8-BBD7-CCE9431645EC}">
                        <a14:shadowObscured xmlns:a14="http://schemas.microsoft.com/office/drawing/2010/main"/>
                      </a:ext>
                    </a:extLst>
                  </pic:spPr>
                </pic:pic>
              </a:graphicData>
            </a:graphic>
          </wp:inline>
        </w:drawing>
      </w:r>
      <w:r w:rsidR="00595C47">
        <w:rPr>
          <w:noProof/>
        </w:rPr>
        <w:t xml:space="preserve"> </w:t>
      </w:r>
      <w:r w:rsidR="00595C47">
        <w:rPr>
          <w:noProof/>
        </w:rPr>
        <w:drawing>
          <wp:inline distT="0" distB="0" distL="0" distR="0" wp14:anchorId="11565DE8" wp14:editId="34413ED7">
            <wp:extent cx="1747923" cy="1452222"/>
            <wp:effectExtent l="0" t="0" r="5080" b="0"/>
            <wp:docPr id="24" name="Picture 7" descr="C:\Users\PC\Desktop\ຄົນເຈັບຂຽນບົດ\61131930_691484294620574_56856905569869496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7" descr="C:\Users\PC\Desktop\ຄົນເຈັບຂຽນບົດ\61131930_691484294620574_5685690556986949632_n.jpg"/>
                    <pic:cNvPicPr>
                      <a:picLocks noChangeAspect="1" noChangeArrowheads="1"/>
                    </pic:cNvPicPr>
                  </pic:nvPicPr>
                  <pic:blipFill>
                    <a:blip r:embed="rId11" cstate="print"/>
                    <a:srcRect l="31818" t="43333" r="25000" b="33453"/>
                    <a:stretch>
                      <a:fillRect/>
                    </a:stretch>
                  </pic:blipFill>
                  <pic:spPr bwMode="auto">
                    <a:xfrm>
                      <a:off x="0" y="0"/>
                      <a:ext cx="1759829" cy="1462114"/>
                    </a:xfrm>
                    <a:prstGeom prst="rect">
                      <a:avLst/>
                    </a:prstGeom>
                    <a:noFill/>
                  </pic:spPr>
                </pic:pic>
              </a:graphicData>
            </a:graphic>
          </wp:inline>
        </w:drawing>
      </w:r>
      <w:r w:rsidR="00595C47" w:rsidRPr="00595C47">
        <w:rPr>
          <w:noProof/>
        </w:rPr>
        <w:t xml:space="preserve"> </w:t>
      </w:r>
      <w:r w:rsidR="00C6184B" w:rsidRPr="00C6184B">
        <w:t xml:space="preserve"> </w:t>
      </w:r>
      <w:r>
        <w:rPr>
          <w:noProof/>
        </w:rPr>
        <w:drawing>
          <wp:inline distT="0" distB="0" distL="0" distR="0" wp14:anchorId="343E78BC" wp14:editId="11F3FFFA">
            <wp:extent cx="1743075" cy="1445805"/>
            <wp:effectExtent l="0" t="0" r="0" b="2540"/>
            <wp:docPr id="25" name="Picture 5" descr="C:\Users\PC\Desktop\ຄົນເຈັບຂຽນບົດ\70382437_2478913982366066_42233298829076070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5" descr="C:\Users\PC\Desktop\ຄົນເຈັບຂຽນບົດ\70382437_2478913982366066_4223329882907607040_n.jpg"/>
                    <pic:cNvPicPr>
                      <a:picLocks noChangeAspect="1" noChangeArrowheads="1"/>
                    </pic:cNvPicPr>
                  </pic:nvPicPr>
                  <pic:blipFill>
                    <a:blip r:embed="rId12" cstate="print"/>
                    <a:srcRect l="22727" t="10000" r="35664" b="61667"/>
                    <a:stretch>
                      <a:fillRect/>
                    </a:stretch>
                  </pic:blipFill>
                  <pic:spPr bwMode="auto">
                    <a:xfrm>
                      <a:off x="0" y="0"/>
                      <a:ext cx="1766843" cy="1465519"/>
                    </a:xfrm>
                    <a:prstGeom prst="rect">
                      <a:avLst/>
                    </a:prstGeom>
                    <a:noFill/>
                  </pic:spPr>
                </pic:pic>
              </a:graphicData>
            </a:graphic>
          </wp:inline>
        </w:drawing>
      </w:r>
    </w:p>
    <w:p w14:paraId="168E2C61" w14:textId="5C48546B" w:rsidR="00127CC3" w:rsidRDefault="00743A3B" w:rsidP="001425C3">
      <w:pPr>
        <w:jc w:val="thaiDistribute"/>
        <w:rPr>
          <w:rFonts w:ascii="Times New Roman" w:eastAsia="Phetsarath OT" w:hAnsi="Times New Roman" w:cs="Times New Roman"/>
          <w:color w:val="000000" w:themeColor="text1"/>
          <w:kern w:val="24"/>
          <w:sz w:val="24"/>
          <w:szCs w:val="24"/>
        </w:rPr>
      </w:pPr>
      <w:bookmarkStart w:id="5" w:name="_Hlk175333137"/>
      <w:r>
        <w:rPr>
          <w:rFonts w:ascii="Times New Roman" w:hAnsi="Times New Roman" w:cstheme="minorBidi"/>
          <w:sz w:val="24"/>
          <w:szCs w:val="24"/>
        </w:rPr>
        <w:t>(Fig</w:t>
      </w:r>
      <w:r w:rsidR="00127CC3">
        <w:rPr>
          <w:rFonts w:ascii="Times New Roman" w:hAnsi="Times New Roman" w:cstheme="minorBidi"/>
          <w:sz w:val="24"/>
          <w:szCs w:val="24"/>
        </w:rPr>
        <w:t>5</w:t>
      </w:r>
      <w:r>
        <w:rPr>
          <w:rFonts w:ascii="Times New Roman" w:hAnsi="Times New Roman" w:cstheme="minorBidi"/>
          <w:sz w:val="24"/>
          <w:szCs w:val="24"/>
        </w:rPr>
        <w:t xml:space="preserve">) </w:t>
      </w:r>
      <w:bookmarkEnd w:id="5"/>
      <w:r w:rsidR="00127CC3" w:rsidRPr="00FE15BA">
        <w:rPr>
          <w:rFonts w:ascii="Times New Roman" w:eastAsia="Phetsarath OT" w:hAnsi="Times New Roman" w:cs="Times New Roman"/>
          <w:color w:val="000000" w:themeColor="text1"/>
          <w:kern w:val="24"/>
          <w:sz w:val="24"/>
          <w:szCs w:val="24"/>
        </w:rPr>
        <w:t xml:space="preserve">Periodontal open flap </w:t>
      </w:r>
      <w:r w:rsidR="00127CC3">
        <w:rPr>
          <w:rFonts w:ascii="Times New Roman" w:eastAsia="Phetsarath OT" w:hAnsi="Times New Roman" w:cs="Times New Roman"/>
          <w:color w:val="000000" w:themeColor="text1"/>
          <w:kern w:val="24"/>
          <w:sz w:val="24"/>
          <w:szCs w:val="24"/>
        </w:rPr>
        <w:t xml:space="preserve">      </w:t>
      </w:r>
      <w:proofErr w:type="gramStart"/>
      <w:r w:rsidR="00127CC3">
        <w:rPr>
          <w:rFonts w:ascii="Times New Roman" w:eastAsia="Phetsarath OT" w:hAnsi="Times New Roman" w:cs="Times New Roman"/>
          <w:color w:val="000000" w:themeColor="text1"/>
          <w:kern w:val="24"/>
          <w:sz w:val="24"/>
          <w:szCs w:val="24"/>
        </w:rPr>
        <w:t xml:space="preserve">   </w:t>
      </w:r>
      <w:bookmarkStart w:id="6" w:name="_Hlk175398797"/>
      <w:r w:rsidR="00127CC3">
        <w:rPr>
          <w:rFonts w:ascii="Times New Roman" w:hAnsi="Times New Roman" w:cstheme="minorBidi"/>
          <w:sz w:val="24"/>
          <w:szCs w:val="24"/>
        </w:rPr>
        <w:t>(</w:t>
      </w:r>
      <w:proofErr w:type="gramEnd"/>
      <w:r w:rsidR="00127CC3">
        <w:rPr>
          <w:rFonts w:ascii="Times New Roman" w:hAnsi="Times New Roman" w:cstheme="minorBidi"/>
          <w:sz w:val="24"/>
          <w:szCs w:val="24"/>
        </w:rPr>
        <w:t xml:space="preserve">Fig6) </w:t>
      </w:r>
      <w:bookmarkEnd w:id="6"/>
      <w:r w:rsidR="00127CC3">
        <w:rPr>
          <w:rFonts w:ascii="Times New Roman" w:hAnsi="Times New Roman" w:cstheme="minorBidi"/>
          <w:sz w:val="24"/>
          <w:szCs w:val="24"/>
        </w:rPr>
        <w:t>Tooth healthy in</w:t>
      </w:r>
      <w:r w:rsidR="00A25064">
        <w:rPr>
          <w:rFonts w:ascii="Times New Roman" w:hAnsi="Times New Roman" w:cstheme="minorBidi"/>
          <w:sz w:val="24"/>
          <w:szCs w:val="24"/>
        </w:rPr>
        <w:t xml:space="preserve">           (Fig7) Follow up 36 months</w:t>
      </w:r>
    </w:p>
    <w:p w14:paraId="63912A12" w14:textId="401EA05F" w:rsidR="00127CC3" w:rsidRDefault="00127CC3" w:rsidP="001425C3">
      <w:pPr>
        <w:jc w:val="thaiDistribute"/>
        <w:rPr>
          <w:rFonts w:ascii="Times New Roman" w:eastAsia="Phetsarath OT" w:hAnsi="Times New Roman" w:cs="Times New Roman"/>
          <w:color w:val="000000" w:themeColor="text1"/>
          <w:sz w:val="24"/>
          <w:szCs w:val="24"/>
        </w:rPr>
      </w:pPr>
      <w:r w:rsidRPr="00FE15BA">
        <w:rPr>
          <w:rFonts w:ascii="Times New Roman" w:eastAsia="Phetsarath OT" w:hAnsi="Times New Roman" w:cs="Times New Roman"/>
          <w:color w:val="000000" w:themeColor="text1"/>
          <w:kern w:val="24"/>
          <w:sz w:val="24"/>
          <w:szCs w:val="24"/>
        </w:rPr>
        <w:t>Technique</w:t>
      </w:r>
      <w:r>
        <w:rPr>
          <w:rFonts w:ascii="Times New Roman" w:eastAsia="Phetsarath OT" w:hAnsi="Times New Roman" w:cs="Times New Roman"/>
          <w:color w:val="000000" w:themeColor="text1"/>
          <w:kern w:val="24"/>
          <w:sz w:val="24"/>
          <w:szCs w:val="24"/>
        </w:rPr>
        <w:t xml:space="preserve"> </w:t>
      </w:r>
      <w:r w:rsidRPr="00FE15BA">
        <w:rPr>
          <w:rFonts w:ascii="Times New Roman" w:eastAsia="Phetsarath OT" w:hAnsi="Times New Roman" w:cs="Times New Roman"/>
          <w:color w:val="000000" w:themeColor="text1"/>
          <w:kern w:val="24"/>
          <w:sz w:val="24"/>
          <w:szCs w:val="24"/>
        </w:rPr>
        <w:t>and</w:t>
      </w:r>
      <w:r w:rsidRPr="00FE15BA">
        <w:rPr>
          <w:rFonts w:ascii="Times New Roman" w:eastAsia="Phetsarath OT" w:hAnsi="Times New Roman" w:cs="Times New Roman"/>
          <w:color w:val="000000" w:themeColor="text1"/>
          <w:sz w:val="24"/>
          <w:szCs w:val="24"/>
        </w:rPr>
        <w:t xml:space="preserve"> suturing </w:t>
      </w:r>
      <w:r>
        <w:rPr>
          <w:rFonts w:ascii="Times New Roman" w:eastAsia="Phetsarath OT" w:hAnsi="Times New Roman" w:cs="Times New Roman"/>
          <w:color w:val="000000" w:themeColor="text1"/>
          <w:sz w:val="24"/>
          <w:szCs w:val="24"/>
        </w:rPr>
        <w:t xml:space="preserve">                 three months </w:t>
      </w:r>
      <w:r w:rsidR="00C11A9E">
        <w:rPr>
          <w:rFonts w:ascii="Times New Roman" w:eastAsia="Phetsarath OT" w:hAnsi="Times New Roman" w:cs="Times New Roman"/>
          <w:color w:val="000000" w:themeColor="text1"/>
          <w:sz w:val="24"/>
          <w:szCs w:val="24"/>
        </w:rPr>
        <w:t xml:space="preserve"> </w:t>
      </w:r>
      <w:r w:rsidR="00A25064">
        <w:rPr>
          <w:rFonts w:ascii="Times New Roman" w:eastAsia="Phetsarath OT" w:hAnsi="Times New Roman" w:cs="Times New Roman"/>
          <w:color w:val="000000" w:themeColor="text1"/>
          <w:sz w:val="24"/>
          <w:szCs w:val="24"/>
        </w:rPr>
        <w:t xml:space="preserve">                           after treatment and splint</w:t>
      </w:r>
    </w:p>
    <w:p w14:paraId="45554C76" w14:textId="4C9AA3F7" w:rsidR="00127CC3" w:rsidRPr="00127CC3" w:rsidRDefault="00127CC3" w:rsidP="001425C3">
      <w:pPr>
        <w:jc w:val="thaiDistribute"/>
        <w:rPr>
          <w:rFonts w:ascii="Times New Roman" w:eastAsia="Phetsarath OT" w:hAnsi="Times New Roman" w:cs="Times New Roman"/>
          <w:color w:val="000000" w:themeColor="text1"/>
          <w:kern w:val="24"/>
          <w:sz w:val="24"/>
          <w:szCs w:val="24"/>
        </w:rPr>
      </w:pPr>
      <w:r w:rsidRPr="00FE15BA">
        <w:rPr>
          <w:rFonts w:ascii="Times New Roman" w:eastAsia="Phetsarath OT" w:hAnsi="Times New Roman" w:cs="Times New Roman"/>
          <w:color w:val="000000" w:themeColor="text1"/>
          <w:sz w:val="24"/>
          <w:szCs w:val="24"/>
        </w:rPr>
        <w:t xml:space="preserve">with </w:t>
      </w:r>
      <w:r w:rsidRPr="00FE15BA">
        <w:rPr>
          <w:rFonts w:ascii="Times New Roman" w:eastAsia="Phetsarath OT" w:hAnsi="Times New Roman" w:cs="Times New Roman"/>
          <w:color w:val="000000" w:themeColor="text1"/>
          <w:sz w:val="24"/>
          <w:szCs w:val="24"/>
          <w:cs/>
        </w:rPr>
        <w:t>4-0</w:t>
      </w:r>
      <w:r w:rsidRPr="00FE15BA">
        <w:rPr>
          <w:rFonts w:ascii="Times New Roman" w:eastAsia="Phetsarath OT" w:hAnsi="Times New Roman" w:cs="Times New Roman"/>
          <w:color w:val="000000" w:themeColor="text1"/>
          <w:sz w:val="24"/>
          <w:szCs w:val="24"/>
        </w:rPr>
        <w:t xml:space="preserve"> nylon</w:t>
      </w:r>
    </w:p>
    <w:p w14:paraId="7F79F322" w14:textId="77777777" w:rsidR="00517C41" w:rsidRDefault="00B379C8" w:rsidP="0033446C">
      <w:pPr>
        <w:jc w:val="thaiDistribute"/>
        <w:rPr>
          <w:rFonts w:ascii="Times New Roman" w:hAnsi="Times New Roman" w:cs="Times New Roman"/>
          <w:b/>
          <w:bCs/>
          <w:sz w:val="24"/>
          <w:szCs w:val="24"/>
        </w:rPr>
      </w:pPr>
      <w:r w:rsidRPr="004A1C9B">
        <w:rPr>
          <w:rFonts w:ascii="Times New Roman" w:hAnsi="Times New Roman" w:cs="Times New Roman"/>
          <w:b/>
          <w:bCs/>
          <w:sz w:val="24"/>
          <w:szCs w:val="24"/>
        </w:rPr>
        <w:t>Discussion</w:t>
      </w:r>
      <w:r w:rsidR="00B61A6A" w:rsidRPr="004A1C9B">
        <w:rPr>
          <w:rFonts w:ascii="Times New Roman" w:hAnsi="Times New Roman" w:cs="Times New Roman"/>
          <w:b/>
          <w:bCs/>
          <w:sz w:val="24"/>
          <w:szCs w:val="24"/>
        </w:rPr>
        <w:t>:</w:t>
      </w:r>
      <w:r w:rsidRPr="004A1C9B">
        <w:rPr>
          <w:rFonts w:ascii="Times New Roman" w:hAnsi="Times New Roman" w:cs="Times New Roman"/>
          <w:b/>
          <w:bCs/>
          <w:sz w:val="24"/>
          <w:szCs w:val="24"/>
        </w:rPr>
        <w:t xml:space="preserve"> </w:t>
      </w:r>
    </w:p>
    <w:p w14:paraId="4CA90105" w14:textId="009A50F1" w:rsidR="002E7B73" w:rsidRPr="00682B0F" w:rsidRDefault="005B2FD1" w:rsidP="005C3447">
      <w:pPr>
        <w:pStyle w:val="NormalWeb"/>
        <w:jc w:val="both"/>
      </w:pPr>
      <w:r w:rsidRPr="004A1C9B">
        <w:rPr>
          <w:b/>
          <w:bCs/>
        </w:rPr>
        <w:t xml:space="preserve"> </w:t>
      </w:r>
      <w:r w:rsidR="00517C41">
        <w:t xml:space="preserve">This report described A cases of periodontal-endodontic conditions involving a </w:t>
      </w:r>
      <w:proofErr w:type="spellStart"/>
      <w:r w:rsidR="00517C41">
        <w:t>palatogingival</w:t>
      </w:r>
      <w:proofErr w:type="spellEnd"/>
      <w:r w:rsidR="00517C41">
        <w:t xml:space="preserve"> groove on the palatal surface of a maxillary lateral incisor N:22. This case is </w:t>
      </w:r>
      <w:proofErr w:type="gramStart"/>
      <w:r w:rsidR="00517C41">
        <w:t>follow</w:t>
      </w:r>
      <w:proofErr w:type="gramEnd"/>
      <w:r w:rsidR="00517C41">
        <w:t xml:space="preserve"> up 36 months </w:t>
      </w:r>
      <w:r w:rsidR="00517C41">
        <w:lastRenderedPageBreak/>
        <w:t xml:space="preserve">after treatment. Maybe these treatment options may not be the most suitable and most effective at treating the periodontic-endodontic lesion and complications of pulp necrosis. </w:t>
      </w:r>
      <w:proofErr w:type="spellStart"/>
      <w:r w:rsidR="00517C41">
        <w:t>Palatogingival</w:t>
      </w:r>
      <w:proofErr w:type="spellEnd"/>
      <w:r w:rsidR="00517C41">
        <w:t xml:space="preserve"> groove is a morphological aberration known to frequently affect maxillary incisor teeth, with a rate of affliction seen to be higher in lateral incisors (4.4–5.6%) compared to central incisors (0.28–3.4%). [4,5]. Present as a structural variation Kogon SL (1986) and Withers JA (1981</w:t>
      </w:r>
      <w:r w:rsidR="00517C41" w:rsidRPr="00682B0F">
        <w:t>)</w:t>
      </w:r>
      <w:r w:rsidR="005C3447" w:rsidRPr="00682B0F">
        <w:t xml:space="preserve">. </w:t>
      </w:r>
      <w:r w:rsidR="00890560" w:rsidRPr="00682B0F">
        <w:t>In the past</w:t>
      </w:r>
      <w:r w:rsidR="005B2273" w:rsidRPr="00682B0F">
        <w:t xml:space="preserve">, the development of </w:t>
      </w:r>
      <w:r w:rsidR="00890560" w:rsidRPr="00682B0F">
        <w:t xml:space="preserve">palate radicular groove of mankind is cited, </w:t>
      </w:r>
      <w:r w:rsidR="005B2273" w:rsidRPr="00682B0F">
        <w:t>and 12-21%</w:t>
      </w:r>
      <w:r w:rsidR="00890560" w:rsidRPr="00682B0F">
        <w:t xml:space="preserve"> of prevalence </w:t>
      </w:r>
      <w:r w:rsidR="005B2273" w:rsidRPr="00682B0F">
        <w:t xml:space="preserve">during the megalithic period (Robison &amp; Cooley, 1988). </w:t>
      </w:r>
      <w:r w:rsidR="00890560" w:rsidRPr="00682B0F">
        <w:t xml:space="preserve">A study </w:t>
      </w:r>
      <w:r w:rsidR="00560A41" w:rsidRPr="00682B0F">
        <w:t xml:space="preserve">revealed </w:t>
      </w:r>
      <w:r w:rsidR="005B2273" w:rsidRPr="00682B0F">
        <w:t xml:space="preserve">that the </w:t>
      </w:r>
      <w:r w:rsidR="00560A41" w:rsidRPr="00682B0F">
        <w:t>majority</w:t>
      </w:r>
      <w:r w:rsidR="005B2273" w:rsidRPr="00682B0F">
        <w:t xml:space="preserve"> of </w:t>
      </w:r>
      <w:proofErr w:type="spellStart"/>
      <w:r w:rsidR="005B2273" w:rsidRPr="00682B0F">
        <w:t>palatogingival</w:t>
      </w:r>
      <w:proofErr w:type="spellEnd"/>
      <w:r w:rsidR="005B2273" w:rsidRPr="00682B0F">
        <w:t xml:space="preserve"> groove in </w:t>
      </w:r>
      <w:proofErr w:type="spellStart"/>
      <w:r w:rsidR="005B2273" w:rsidRPr="00682B0F">
        <w:t>maxillaryn</w:t>
      </w:r>
      <w:proofErr w:type="spellEnd"/>
      <w:r w:rsidR="005B2273" w:rsidRPr="00682B0F">
        <w:t xml:space="preserve"> lateral incisor suggest </w:t>
      </w:r>
      <w:r w:rsidR="00560A41" w:rsidRPr="00682B0F">
        <w:t>probability</w:t>
      </w:r>
      <w:r w:rsidR="005B2273" w:rsidRPr="00682B0F">
        <w:t xml:space="preserve"> that the groove </w:t>
      </w:r>
      <w:r w:rsidR="00560A41" w:rsidRPr="00682B0F">
        <w:t>develops</w:t>
      </w:r>
      <w:r w:rsidR="005B2273" w:rsidRPr="00682B0F">
        <w:t xml:space="preserve"> from an undesirable position of the lateral incisor during</w:t>
      </w:r>
      <w:r w:rsidR="00B379C8" w:rsidRPr="00682B0F">
        <w:t xml:space="preserve"> </w:t>
      </w:r>
      <w:r w:rsidR="004D4C6C" w:rsidRPr="00682B0F">
        <w:t>the period of maxillary growth.</w:t>
      </w:r>
      <w:r w:rsidR="00B379C8" w:rsidRPr="00682B0F">
        <w:t xml:space="preserve"> </w:t>
      </w:r>
      <w:r w:rsidR="00560A41" w:rsidRPr="00682B0F">
        <w:t xml:space="preserve">To date, the best </w:t>
      </w:r>
      <w:r w:rsidR="0033446C" w:rsidRPr="00682B0F">
        <w:t>diagnos</w:t>
      </w:r>
      <w:r w:rsidR="00560A41" w:rsidRPr="00682B0F">
        <w:t>tic method is referred to</w:t>
      </w:r>
      <w:r w:rsidR="0033446C" w:rsidRPr="00682B0F">
        <w:t xml:space="preserve"> intraoral radiographs, such as periapical radiographs and horizontal and vertical bitewings</w:t>
      </w:r>
      <w:bookmarkStart w:id="7" w:name="_Hlk175328890"/>
      <w:r w:rsidR="0033446C" w:rsidRPr="00682B0F">
        <w:t xml:space="preserve"> [</w:t>
      </w:r>
      <w:r w:rsidR="005C64FB" w:rsidRPr="00682B0F">
        <w:t>6</w:t>
      </w:r>
      <w:r w:rsidR="0033446C" w:rsidRPr="00682B0F">
        <w:t xml:space="preserve">].  </w:t>
      </w:r>
      <w:bookmarkEnd w:id="7"/>
      <w:r w:rsidR="0033446C" w:rsidRPr="00682B0F">
        <w:t xml:space="preserve">The </w:t>
      </w:r>
      <w:r w:rsidR="00560A41" w:rsidRPr="00682B0F">
        <w:t xml:space="preserve">objective </w:t>
      </w:r>
      <w:r w:rsidR="0033446C" w:rsidRPr="00682B0F">
        <w:t xml:space="preserve">of the anti-infective therapy was to </w:t>
      </w:r>
      <w:r w:rsidR="00560A41" w:rsidRPr="00682B0F">
        <w:t>overwhelm</w:t>
      </w:r>
      <w:r w:rsidR="0033446C" w:rsidRPr="00682B0F">
        <w:t xml:space="preserve"> the bacterial load and to </w:t>
      </w:r>
      <w:r w:rsidR="00560A41" w:rsidRPr="00682B0F">
        <w:t>launch</w:t>
      </w:r>
      <w:r w:rsidR="0033446C" w:rsidRPr="00682B0F">
        <w:t xml:space="preserve"> a balance between bacterial burden and host response to </w:t>
      </w:r>
      <w:r w:rsidR="00560A41" w:rsidRPr="00682B0F">
        <w:t>permit</w:t>
      </w:r>
      <w:r w:rsidR="0033446C" w:rsidRPr="00682B0F">
        <w:t xml:space="preserve"> for healing. </w:t>
      </w:r>
      <w:r w:rsidR="00560A41" w:rsidRPr="00682B0F">
        <w:t>Hence</w:t>
      </w:r>
      <w:r w:rsidR="0033446C" w:rsidRPr="00682B0F">
        <w:t xml:space="preserve">, due to the periodontic-endodontic lesion at the lower left first molar was </w:t>
      </w:r>
      <w:r w:rsidR="002A2C26" w:rsidRPr="00682B0F">
        <w:t>crucial, which</w:t>
      </w:r>
      <w:r w:rsidR="0033446C" w:rsidRPr="00682B0F">
        <w:t xml:space="preserve"> therapy regimen include endodontic treatment. </w:t>
      </w:r>
      <w:r w:rsidR="002A2C26" w:rsidRPr="00682B0F">
        <w:t xml:space="preserve"> </w:t>
      </w:r>
      <w:proofErr w:type="spellStart"/>
      <w:r w:rsidR="0033446C" w:rsidRPr="00682B0F">
        <w:t>Vakalis</w:t>
      </w:r>
      <w:proofErr w:type="spellEnd"/>
      <w:r w:rsidR="0033446C" w:rsidRPr="00682B0F">
        <w:t xml:space="preserve"> and collaborators </w:t>
      </w:r>
      <w:r w:rsidR="002A2C26" w:rsidRPr="00682B0F">
        <w:t>indicated</w:t>
      </w:r>
      <w:r w:rsidR="0033446C" w:rsidRPr="00682B0F">
        <w:t xml:space="preserve"> that RCT </w:t>
      </w:r>
      <w:r w:rsidR="002A2C26" w:rsidRPr="00682B0F">
        <w:t xml:space="preserve">with </w:t>
      </w:r>
      <w:r w:rsidR="0033446C" w:rsidRPr="00682B0F">
        <w:t xml:space="preserve">nonsurgical periodontal treatment </w:t>
      </w:r>
      <w:r w:rsidR="002A2C26" w:rsidRPr="00682B0F">
        <w:t>show the most efficient</w:t>
      </w:r>
      <w:r w:rsidR="0033446C" w:rsidRPr="00682B0F">
        <w:t xml:space="preserve"> result in the </w:t>
      </w:r>
      <w:r w:rsidR="002A2C26" w:rsidRPr="00682B0F">
        <w:t>enhancement</w:t>
      </w:r>
      <w:r w:rsidR="0033446C" w:rsidRPr="00682B0F">
        <w:t xml:space="preserve"> of clinical parameters together with alveolar</w:t>
      </w:r>
      <w:r w:rsidR="005C3447" w:rsidRPr="00682B0F">
        <w:t xml:space="preserve"> </w:t>
      </w:r>
      <w:r w:rsidR="0033446C" w:rsidRPr="00682B0F">
        <w:t>bone gain [</w:t>
      </w:r>
      <w:r w:rsidR="005C64FB" w:rsidRPr="00682B0F">
        <w:t>7</w:t>
      </w:r>
      <w:r w:rsidR="0033446C" w:rsidRPr="00682B0F">
        <w:t>].</w:t>
      </w:r>
      <w:r w:rsidR="005C3447" w:rsidRPr="00682B0F">
        <w:t xml:space="preserve"> </w:t>
      </w:r>
      <w:proofErr w:type="spellStart"/>
      <w:r w:rsidR="0033446C" w:rsidRPr="00682B0F">
        <w:t>Cortellini</w:t>
      </w:r>
      <w:proofErr w:type="spellEnd"/>
      <w:r w:rsidR="0033446C" w:rsidRPr="00682B0F">
        <w:t xml:space="preserve"> et al. </w:t>
      </w:r>
      <w:r w:rsidR="002A2C26" w:rsidRPr="00682B0F">
        <w:t xml:space="preserve">illustrated </w:t>
      </w:r>
      <w:r w:rsidR="0033446C" w:rsidRPr="00682B0F">
        <w:t xml:space="preserve">that regenerative periodontal </w:t>
      </w:r>
      <w:r w:rsidR="002A2C26" w:rsidRPr="00682B0F">
        <w:t>care</w:t>
      </w:r>
      <w:r w:rsidR="0033446C" w:rsidRPr="00682B0F">
        <w:t xml:space="preserve"> is eff</w:t>
      </w:r>
      <w:r w:rsidR="002A2C26" w:rsidRPr="00682B0F">
        <w:t>icacious</w:t>
      </w:r>
      <w:r w:rsidR="0033446C" w:rsidRPr="00682B0F">
        <w:t xml:space="preserve"> even in hopeless teeth and </w:t>
      </w:r>
      <w:r w:rsidR="002A2C26" w:rsidRPr="00682B0F">
        <w:t>may perhaps</w:t>
      </w:r>
      <w:r w:rsidR="0033446C" w:rsidRPr="00682B0F">
        <w:t xml:space="preserve"> be an </w:t>
      </w:r>
      <w:r w:rsidR="002A2C26" w:rsidRPr="00682B0F">
        <w:t>option</w:t>
      </w:r>
      <w:r w:rsidR="0033446C" w:rsidRPr="00682B0F">
        <w:t xml:space="preserve"> to extraction</w:t>
      </w:r>
      <w:r w:rsidR="002A2C26" w:rsidRPr="00682B0F">
        <w:t xml:space="preserve"> [3]</w:t>
      </w:r>
      <w:r w:rsidR="0033446C" w:rsidRPr="00682B0F">
        <w:t>.</w:t>
      </w:r>
      <w:r w:rsidR="005C3447" w:rsidRPr="00682B0F">
        <w:t xml:space="preserve"> </w:t>
      </w:r>
      <w:r w:rsidR="0033446C" w:rsidRPr="00682B0F">
        <w:t xml:space="preserve"> Imbedded in a </w:t>
      </w:r>
      <w:r w:rsidR="005C3447" w:rsidRPr="00682B0F">
        <w:t>subsequent</w:t>
      </w:r>
      <w:r w:rsidR="0033446C" w:rsidRPr="00682B0F">
        <w:t xml:space="preserve"> and structured maintenance system in addition to </w:t>
      </w:r>
      <w:r w:rsidR="005C3447" w:rsidRPr="00682B0F">
        <w:t>better conformity</w:t>
      </w:r>
      <w:r w:rsidR="0033446C" w:rsidRPr="00682B0F">
        <w:t xml:space="preserve"> on the part of the patient, questionable and hopeless teeth </w:t>
      </w:r>
      <w:r w:rsidR="005C3447" w:rsidRPr="00682B0F">
        <w:t>could</w:t>
      </w:r>
      <w:r w:rsidR="0033446C" w:rsidRPr="00682B0F">
        <w:t xml:space="preserve"> </w:t>
      </w:r>
      <w:r w:rsidR="005C3447" w:rsidRPr="00682B0F">
        <w:t>maintain</w:t>
      </w:r>
      <w:r w:rsidR="0033446C" w:rsidRPr="00682B0F">
        <w:t xml:space="preserve"> </w:t>
      </w:r>
      <w:r w:rsidR="005C3447" w:rsidRPr="00682B0F">
        <w:t xml:space="preserve">for long </w:t>
      </w:r>
      <w:r w:rsidR="0033446C" w:rsidRPr="00682B0F">
        <w:t>[</w:t>
      </w:r>
      <w:r w:rsidR="005C64FB" w:rsidRPr="00682B0F">
        <w:t>8</w:t>
      </w:r>
      <w:r w:rsidR="0033446C" w:rsidRPr="00682B0F">
        <w:t xml:space="preserve">]. </w:t>
      </w:r>
      <w:r w:rsidR="005C3447" w:rsidRPr="00682B0F">
        <w:t xml:space="preserve"> </w:t>
      </w:r>
      <w:r w:rsidR="0033446C" w:rsidRPr="00682B0F">
        <w:t xml:space="preserve">To </w:t>
      </w:r>
      <w:r w:rsidR="005C3447" w:rsidRPr="00682B0F">
        <w:t>keep</w:t>
      </w:r>
      <w:r w:rsidR="0033446C" w:rsidRPr="00682B0F">
        <w:t xml:space="preserve"> the treatment outcome, several studies </w:t>
      </w:r>
      <w:r w:rsidR="005C3447" w:rsidRPr="00682B0F">
        <w:t>reported</w:t>
      </w:r>
      <w:r w:rsidR="0033446C" w:rsidRPr="00682B0F">
        <w:t xml:space="preserve"> that patients who </w:t>
      </w:r>
      <w:r w:rsidR="005C3447" w:rsidRPr="00682B0F">
        <w:t>conform</w:t>
      </w:r>
      <w:r w:rsidR="0033446C" w:rsidRPr="00682B0F">
        <w:t xml:space="preserve"> with </w:t>
      </w:r>
      <w:r w:rsidR="005C3447" w:rsidRPr="00682B0F">
        <w:t>normal</w:t>
      </w:r>
      <w:r w:rsidR="0033446C" w:rsidRPr="00682B0F">
        <w:t xml:space="preserve"> periodontal maintenance visits experience less attachment loss and lose fewer teeth than patients who </w:t>
      </w:r>
      <w:r w:rsidR="005C3447" w:rsidRPr="00682B0F">
        <w:t>get</w:t>
      </w:r>
      <w:r w:rsidR="0033446C" w:rsidRPr="00682B0F">
        <w:t xml:space="preserve"> less periodontal maintenance [</w:t>
      </w:r>
      <w:r w:rsidR="005C64FB" w:rsidRPr="00682B0F">
        <w:t>9</w:t>
      </w:r>
      <w:r w:rsidR="0033446C" w:rsidRPr="00682B0F">
        <w:t>–</w:t>
      </w:r>
      <w:r w:rsidR="005C64FB" w:rsidRPr="00682B0F">
        <w:t>10</w:t>
      </w:r>
      <w:r w:rsidR="0033446C" w:rsidRPr="00682B0F">
        <w:t>].</w:t>
      </w:r>
    </w:p>
    <w:p w14:paraId="5326279D" w14:textId="46B7664D" w:rsidR="001B2ABA" w:rsidRPr="004F2BCE" w:rsidRDefault="001B2ABA" w:rsidP="0033446C">
      <w:pPr>
        <w:jc w:val="thaiDistribute"/>
        <w:rPr>
          <w:rFonts w:ascii="Times New Roman" w:hAnsi="Times New Roman" w:cs="Times New Roman"/>
          <w:b/>
          <w:bCs/>
          <w:sz w:val="24"/>
          <w:szCs w:val="24"/>
        </w:rPr>
      </w:pPr>
      <w:r w:rsidRPr="004F2BCE">
        <w:rPr>
          <w:rFonts w:ascii="Times New Roman" w:hAnsi="Times New Roman" w:cs="Times New Roman"/>
          <w:b/>
          <w:bCs/>
          <w:sz w:val="24"/>
          <w:szCs w:val="24"/>
        </w:rPr>
        <w:t>Conclusion</w:t>
      </w:r>
      <w:r w:rsidR="00B61A6A" w:rsidRPr="004F2BCE">
        <w:rPr>
          <w:rFonts w:ascii="Times New Roman" w:hAnsi="Times New Roman" w:cs="Times New Roman"/>
          <w:b/>
          <w:bCs/>
          <w:sz w:val="24"/>
          <w:szCs w:val="24"/>
        </w:rPr>
        <w:t>:</w:t>
      </w:r>
    </w:p>
    <w:p w14:paraId="04DC7497" w14:textId="3AD78529" w:rsidR="004F2BCE" w:rsidRPr="004F2BCE" w:rsidRDefault="004F2BCE" w:rsidP="0033446C">
      <w:pPr>
        <w:jc w:val="thaiDistribute"/>
        <w:rPr>
          <w:rFonts w:ascii="Times New Roman" w:hAnsi="Times New Roman" w:cs="Times New Roman"/>
          <w:sz w:val="24"/>
          <w:szCs w:val="24"/>
        </w:rPr>
      </w:pPr>
      <w:r w:rsidRPr="004F2BCE">
        <w:rPr>
          <w:rFonts w:ascii="Times New Roman" w:hAnsi="Times New Roman" w:cs="Times New Roman"/>
          <w:sz w:val="24"/>
          <w:szCs w:val="24"/>
        </w:rPr>
        <w:t xml:space="preserve">This case report demonstrates that </w:t>
      </w:r>
      <w:proofErr w:type="spellStart"/>
      <w:proofErr w:type="gramStart"/>
      <w:r w:rsidRPr="004F2BCE">
        <w:rPr>
          <w:rFonts w:ascii="Times New Roman" w:hAnsi="Times New Roman" w:cs="Times New Roman"/>
          <w:sz w:val="24"/>
          <w:szCs w:val="24"/>
        </w:rPr>
        <w:t>a</w:t>
      </w:r>
      <w:proofErr w:type="spellEnd"/>
      <w:proofErr w:type="gramEnd"/>
      <w:r w:rsidRPr="004F2BCE">
        <w:rPr>
          <w:rFonts w:ascii="Times New Roman" w:hAnsi="Times New Roman" w:cs="Times New Roman"/>
          <w:sz w:val="24"/>
          <w:szCs w:val="24"/>
        </w:rPr>
        <w:t xml:space="preserve"> even in teeth with periodontic-endodontic lesions with primary periodontal origin and pulp necrosis. The treatment should follow a suggested protocol, which starts with Root cannel treatment by Calcium Hydroxide Ca (OH)2, immediately followed by RCT of the affected tooth. Subsequently, the surgical periodontal.</w:t>
      </w:r>
    </w:p>
    <w:p w14:paraId="094718E6" w14:textId="5B6FA105" w:rsidR="001B2ABA" w:rsidRPr="004A1C9B" w:rsidRDefault="00B61A6A" w:rsidP="001B2ABA">
      <w:pPr>
        <w:jc w:val="thaiDistribute"/>
        <w:rPr>
          <w:rFonts w:ascii="Times New Roman" w:hAnsi="Times New Roman" w:cs="Times New Roman"/>
          <w:b/>
          <w:bCs/>
          <w:sz w:val="24"/>
          <w:szCs w:val="24"/>
        </w:rPr>
      </w:pPr>
      <w:r w:rsidRPr="004A1C9B">
        <w:rPr>
          <w:rFonts w:ascii="Times New Roman" w:hAnsi="Times New Roman" w:cs="Times New Roman"/>
          <w:b/>
          <w:bCs/>
          <w:sz w:val="24"/>
          <w:szCs w:val="24"/>
        </w:rPr>
        <w:t>References:</w:t>
      </w:r>
    </w:p>
    <w:p w14:paraId="0AFE6617" w14:textId="10B465D2" w:rsidR="009F0D74" w:rsidRPr="00147CD0" w:rsidRDefault="009F0D74" w:rsidP="009F0D74">
      <w:pPr>
        <w:jc w:val="thaiDistribute"/>
        <w:rPr>
          <w:rFonts w:ascii="Times New Roman" w:hAnsi="Times New Roman" w:cs="Times New Roman"/>
          <w:sz w:val="24"/>
          <w:szCs w:val="24"/>
        </w:rPr>
      </w:pPr>
      <w:r w:rsidRPr="00147CD0">
        <w:rPr>
          <w:rFonts w:ascii="Times New Roman" w:hAnsi="Times New Roman" w:cs="Times New Roman"/>
          <w:sz w:val="24"/>
          <w:szCs w:val="24"/>
        </w:rPr>
        <w:t>[</w:t>
      </w:r>
      <w:r w:rsidR="005C64FB">
        <w:rPr>
          <w:rFonts w:ascii="Times New Roman" w:hAnsi="Times New Roman" w:cs="Times New Roman"/>
          <w:sz w:val="24"/>
          <w:szCs w:val="24"/>
        </w:rPr>
        <w:t>1</w:t>
      </w:r>
      <w:r w:rsidRPr="00147CD0">
        <w:rPr>
          <w:rFonts w:ascii="Times New Roman" w:hAnsi="Times New Roman" w:cs="Times New Roman"/>
          <w:sz w:val="24"/>
          <w:szCs w:val="24"/>
        </w:rPr>
        <w:t>] M. K. McGuire and M. E. Nunn, “Prognosis versus actual outcome. II. The effectiveness of clinical parameters in developing an accurate prognosis,” Journal of Periodontology, vol. 67, no. 7, pp. 658–665, 1996.</w:t>
      </w:r>
    </w:p>
    <w:p w14:paraId="25EC8DA3" w14:textId="32CE7A37" w:rsidR="009F0D74" w:rsidRPr="00147CD0" w:rsidRDefault="009F0D74" w:rsidP="009F0D74">
      <w:pPr>
        <w:jc w:val="thaiDistribute"/>
        <w:rPr>
          <w:rFonts w:ascii="Times New Roman" w:hAnsi="Times New Roman" w:cs="Times New Roman"/>
          <w:sz w:val="24"/>
          <w:szCs w:val="24"/>
        </w:rPr>
      </w:pPr>
      <w:r w:rsidRPr="00147CD0">
        <w:rPr>
          <w:rFonts w:ascii="Times New Roman" w:hAnsi="Times New Roman" w:cs="Times New Roman"/>
          <w:sz w:val="24"/>
          <w:szCs w:val="24"/>
        </w:rPr>
        <w:t>[</w:t>
      </w:r>
      <w:r w:rsidR="005C64FB">
        <w:rPr>
          <w:rFonts w:ascii="Times New Roman" w:hAnsi="Times New Roman" w:cs="Times New Roman"/>
          <w:sz w:val="24"/>
          <w:szCs w:val="24"/>
        </w:rPr>
        <w:t>2</w:t>
      </w:r>
      <w:r w:rsidRPr="00147CD0">
        <w:rPr>
          <w:rFonts w:ascii="Times New Roman" w:hAnsi="Times New Roman" w:cs="Times New Roman"/>
          <w:sz w:val="24"/>
          <w:szCs w:val="24"/>
        </w:rPr>
        <w:t xml:space="preserve">] C. M. </w:t>
      </w:r>
      <w:proofErr w:type="spellStart"/>
      <w:r w:rsidRPr="00147CD0">
        <w:rPr>
          <w:rFonts w:ascii="Times New Roman" w:hAnsi="Times New Roman" w:cs="Times New Roman"/>
          <w:sz w:val="24"/>
          <w:szCs w:val="24"/>
        </w:rPr>
        <w:t>Faggion</w:t>
      </w:r>
      <w:proofErr w:type="spellEnd"/>
      <w:r w:rsidRPr="00147CD0">
        <w:rPr>
          <w:rFonts w:ascii="Times New Roman" w:hAnsi="Times New Roman" w:cs="Times New Roman"/>
          <w:sz w:val="24"/>
          <w:szCs w:val="24"/>
        </w:rPr>
        <w:t xml:space="preserve"> Jr., G. Petersilka, D. E. Lange, J. </w:t>
      </w:r>
      <w:proofErr w:type="spellStart"/>
      <w:r w:rsidRPr="00147CD0">
        <w:rPr>
          <w:rFonts w:ascii="Times New Roman" w:hAnsi="Times New Roman" w:cs="Times New Roman"/>
          <w:sz w:val="24"/>
          <w:szCs w:val="24"/>
        </w:rPr>
        <w:t>Gerss</w:t>
      </w:r>
      <w:proofErr w:type="spellEnd"/>
      <w:r w:rsidRPr="00147CD0">
        <w:rPr>
          <w:rFonts w:ascii="Times New Roman" w:hAnsi="Times New Roman" w:cs="Times New Roman"/>
          <w:sz w:val="24"/>
          <w:szCs w:val="24"/>
        </w:rPr>
        <w:t xml:space="preserve">, and T. F. </w:t>
      </w:r>
      <w:proofErr w:type="spellStart"/>
      <w:r w:rsidRPr="00147CD0">
        <w:rPr>
          <w:rFonts w:ascii="Times New Roman" w:hAnsi="Times New Roman" w:cs="Times New Roman"/>
          <w:sz w:val="24"/>
          <w:szCs w:val="24"/>
        </w:rPr>
        <w:t>Flemmig</w:t>
      </w:r>
      <w:proofErr w:type="spellEnd"/>
      <w:r w:rsidRPr="00147CD0">
        <w:rPr>
          <w:rFonts w:ascii="Times New Roman" w:hAnsi="Times New Roman" w:cs="Times New Roman"/>
          <w:sz w:val="24"/>
          <w:szCs w:val="24"/>
        </w:rPr>
        <w:t>, “Prognostic model for tooth survival in patients treated for periodontitis,” Journal of Clinical Periodontology, vol. 34, no. 3, pp. 226–231, 2007.</w:t>
      </w:r>
    </w:p>
    <w:p w14:paraId="64812351" w14:textId="6E9A6182" w:rsidR="009F0D74" w:rsidRPr="00147CD0" w:rsidRDefault="009F0D74" w:rsidP="009F0D74">
      <w:pPr>
        <w:jc w:val="thaiDistribute"/>
        <w:rPr>
          <w:rFonts w:ascii="Times New Roman" w:hAnsi="Times New Roman" w:cs="Times New Roman"/>
          <w:sz w:val="24"/>
          <w:szCs w:val="24"/>
        </w:rPr>
      </w:pPr>
      <w:r w:rsidRPr="00147CD0">
        <w:rPr>
          <w:rFonts w:ascii="Times New Roman" w:hAnsi="Times New Roman" w:cs="Times New Roman"/>
          <w:sz w:val="24"/>
          <w:szCs w:val="24"/>
        </w:rPr>
        <w:t>[</w:t>
      </w:r>
      <w:r w:rsidR="005C64FB">
        <w:rPr>
          <w:rFonts w:ascii="Times New Roman" w:hAnsi="Times New Roman" w:cs="Times New Roman"/>
          <w:sz w:val="24"/>
          <w:szCs w:val="24"/>
        </w:rPr>
        <w:t>3</w:t>
      </w:r>
      <w:r w:rsidRPr="00147CD0">
        <w:rPr>
          <w:rFonts w:ascii="Times New Roman" w:hAnsi="Times New Roman" w:cs="Times New Roman"/>
          <w:sz w:val="24"/>
          <w:szCs w:val="24"/>
        </w:rPr>
        <w:t xml:space="preserve">] P. </w:t>
      </w:r>
      <w:proofErr w:type="spellStart"/>
      <w:r w:rsidRPr="00147CD0">
        <w:rPr>
          <w:rFonts w:ascii="Times New Roman" w:hAnsi="Times New Roman" w:cs="Times New Roman"/>
          <w:sz w:val="24"/>
          <w:szCs w:val="24"/>
        </w:rPr>
        <w:t>Cortellini</w:t>
      </w:r>
      <w:proofErr w:type="spellEnd"/>
      <w:r w:rsidRPr="00147CD0">
        <w:rPr>
          <w:rFonts w:ascii="Times New Roman" w:hAnsi="Times New Roman" w:cs="Times New Roman"/>
          <w:sz w:val="24"/>
          <w:szCs w:val="24"/>
        </w:rPr>
        <w:t xml:space="preserve">, G. </w:t>
      </w:r>
      <w:proofErr w:type="spellStart"/>
      <w:r w:rsidRPr="00147CD0">
        <w:rPr>
          <w:rFonts w:ascii="Times New Roman" w:hAnsi="Times New Roman" w:cs="Times New Roman"/>
          <w:sz w:val="24"/>
          <w:szCs w:val="24"/>
        </w:rPr>
        <w:t>Stalpers</w:t>
      </w:r>
      <w:proofErr w:type="spellEnd"/>
      <w:r w:rsidRPr="00147CD0">
        <w:rPr>
          <w:rFonts w:ascii="Times New Roman" w:hAnsi="Times New Roman" w:cs="Times New Roman"/>
          <w:sz w:val="24"/>
          <w:szCs w:val="24"/>
        </w:rPr>
        <w:t>, A. Mollo, and M. S. Tonetti, “Periodontal regeneration versus extraction and prosthetic replacement of teeth severely compromised by attachment loss to the apex: 5year results of an ongoing randomized clinical trial,” Journal of Clinical Periodontology, vol. 38, no. 10, pp. 915–924, 2011.</w:t>
      </w:r>
    </w:p>
    <w:p w14:paraId="6CA30BA5" w14:textId="76F0F1DC" w:rsidR="00147CD0" w:rsidRPr="00147CD0" w:rsidRDefault="00147CD0" w:rsidP="00147CD0">
      <w:pPr>
        <w:jc w:val="thaiDistribute"/>
        <w:rPr>
          <w:rStyle w:val="nowrap"/>
          <w:rFonts w:ascii="Times New Roman" w:hAnsi="Times New Roman" w:cs="Times New Roman"/>
          <w:color w:val="212121"/>
          <w:sz w:val="24"/>
          <w:szCs w:val="24"/>
          <w:shd w:val="clear" w:color="auto" w:fill="FFFFFF"/>
        </w:rPr>
      </w:pPr>
      <w:r w:rsidRPr="00147CD0">
        <w:rPr>
          <w:rStyle w:val="element-citation"/>
          <w:rFonts w:ascii="Times New Roman" w:hAnsi="Times New Roman" w:cs="Times New Roman"/>
          <w:color w:val="212121"/>
          <w:sz w:val="24"/>
          <w:szCs w:val="24"/>
          <w:shd w:val="clear" w:color="auto" w:fill="FFFFFF"/>
        </w:rPr>
        <w:t>[</w:t>
      </w:r>
      <w:r w:rsidR="005C64FB">
        <w:rPr>
          <w:rStyle w:val="element-citation"/>
          <w:rFonts w:ascii="Times New Roman" w:hAnsi="Times New Roman" w:cs="Times New Roman"/>
          <w:color w:val="212121"/>
          <w:sz w:val="24"/>
          <w:szCs w:val="24"/>
          <w:shd w:val="clear" w:color="auto" w:fill="FFFFFF"/>
        </w:rPr>
        <w:t>4</w:t>
      </w:r>
      <w:r w:rsidRPr="00147CD0">
        <w:rPr>
          <w:rStyle w:val="element-citation"/>
          <w:rFonts w:ascii="Times New Roman" w:hAnsi="Times New Roman" w:cs="Times New Roman"/>
          <w:color w:val="212121"/>
          <w:sz w:val="24"/>
          <w:szCs w:val="24"/>
          <w:shd w:val="clear" w:color="auto" w:fill="FFFFFF"/>
        </w:rPr>
        <w:t>] Kogon SL. The prevalence, location and conformation of palato-radicular grooves in maxillary incisors. </w:t>
      </w:r>
      <w:r w:rsidRPr="00147CD0">
        <w:rPr>
          <w:rStyle w:val="ref-journal"/>
          <w:rFonts w:ascii="Times New Roman" w:hAnsi="Times New Roman" w:cs="Times New Roman"/>
          <w:i/>
          <w:iCs/>
          <w:color w:val="212121"/>
          <w:sz w:val="24"/>
          <w:szCs w:val="24"/>
          <w:shd w:val="clear" w:color="auto" w:fill="FFFFFF"/>
        </w:rPr>
        <w:t>J Periodontol. </w:t>
      </w:r>
      <w:r w:rsidRPr="00147CD0">
        <w:rPr>
          <w:rStyle w:val="element-citation"/>
          <w:rFonts w:ascii="Times New Roman" w:hAnsi="Times New Roman" w:cs="Times New Roman"/>
          <w:color w:val="212121"/>
          <w:sz w:val="24"/>
          <w:szCs w:val="24"/>
          <w:shd w:val="clear" w:color="auto" w:fill="FFFFFF"/>
        </w:rPr>
        <w:t>1986;</w:t>
      </w:r>
      <w:r w:rsidRPr="00147CD0">
        <w:rPr>
          <w:rStyle w:val="ref-vol"/>
          <w:rFonts w:ascii="Times New Roman" w:hAnsi="Times New Roman" w:cs="Times New Roman"/>
          <w:color w:val="212121"/>
          <w:sz w:val="24"/>
          <w:szCs w:val="24"/>
          <w:shd w:val="clear" w:color="auto" w:fill="FFFFFF"/>
        </w:rPr>
        <w:t>57</w:t>
      </w:r>
      <w:r w:rsidRPr="00147CD0">
        <w:rPr>
          <w:rStyle w:val="element-citation"/>
          <w:rFonts w:ascii="Times New Roman" w:hAnsi="Times New Roman" w:cs="Times New Roman"/>
          <w:color w:val="212121"/>
          <w:sz w:val="24"/>
          <w:szCs w:val="24"/>
          <w:shd w:val="clear" w:color="auto" w:fill="FFFFFF"/>
        </w:rPr>
        <w:t>(4):231–4.</w:t>
      </w:r>
    </w:p>
    <w:p w14:paraId="180C36DF" w14:textId="6338BC94" w:rsidR="00147CD0" w:rsidRPr="00147CD0" w:rsidRDefault="00147CD0" w:rsidP="009F0D74">
      <w:pPr>
        <w:jc w:val="thaiDistribute"/>
        <w:rPr>
          <w:rFonts w:ascii="Times New Roman" w:hAnsi="Times New Roman" w:cs="Times New Roman"/>
          <w:color w:val="212121"/>
          <w:sz w:val="24"/>
          <w:szCs w:val="24"/>
          <w:shd w:val="clear" w:color="auto" w:fill="FFFFFF"/>
        </w:rPr>
      </w:pPr>
      <w:r w:rsidRPr="00147CD0">
        <w:rPr>
          <w:rFonts w:ascii="Times New Roman" w:hAnsi="Times New Roman" w:cs="Times New Roman"/>
          <w:color w:val="212121"/>
          <w:sz w:val="24"/>
          <w:szCs w:val="24"/>
          <w:shd w:val="clear" w:color="auto" w:fill="FFFFFF"/>
        </w:rPr>
        <w:lastRenderedPageBreak/>
        <w:t>[</w:t>
      </w:r>
      <w:r w:rsidR="005C64FB">
        <w:rPr>
          <w:rFonts w:ascii="Times New Roman" w:hAnsi="Times New Roman" w:cs="Times New Roman"/>
          <w:color w:val="212121"/>
          <w:sz w:val="24"/>
          <w:szCs w:val="24"/>
          <w:shd w:val="clear" w:color="auto" w:fill="FFFFFF"/>
        </w:rPr>
        <w:t>5</w:t>
      </w:r>
      <w:r w:rsidRPr="00147CD0">
        <w:rPr>
          <w:rFonts w:ascii="Times New Roman" w:hAnsi="Times New Roman" w:cs="Times New Roman"/>
          <w:color w:val="212121"/>
          <w:sz w:val="24"/>
          <w:szCs w:val="24"/>
          <w:shd w:val="clear" w:color="auto" w:fill="FFFFFF"/>
        </w:rPr>
        <w:t>] </w:t>
      </w:r>
      <w:r w:rsidRPr="00147CD0">
        <w:rPr>
          <w:rStyle w:val="element-citation"/>
          <w:rFonts w:ascii="Times New Roman" w:hAnsi="Times New Roman" w:cs="Times New Roman"/>
          <w:color w:val="212121"/>
          <w:sz w:val="24"/>
          <w:szCs w:val="24"/>
          <w:shd w:val="clear" w:color="auto" w:fill="FFFFFF"/>
        </w:rPr>
        <w:t>Withers JA, Brunsvold MA, Killoy WJ, Rahe AJ. The relationship of palato-gingival grooves to localized periodontal disease. </w:t>
      </w:r>
      <w:r w:rsidRPr="00147CD0">
        <w:rPr>
          <w:rStyle w:val="ref-journal"/>
          <w:rFonts w:ascii="Times New Roman" w:hAnsi="Times New Roman" w:cs="Times New Roman"/>
          <w:i/>
          <w:iCs/>
          <w:color w:val="212121"/>
          <w:sz w:val="24"/>
          <w:szCs w:val="24"/>
          <w:shd w:val="clear" w:color="auto" w:fill="FFFFFF"/>
        </w:rPr>
        <w:t>J Periodontol. </w:t>
      </w:r>
      <w:r w:rsidRPr="00147CD0">
        <w:rPr>
          <w:rStyle w:val="element-citation"/>
          <w:rFonts w:ascii="Times New Roman" w:hAnsi="Times New Roman" w:cs="Times New Roman"/>
          <w:color w:val="212121"/>
          <w:sz w:val="24"/>
          <w:szCs w:val="24"/>
          <w:shd w:val="clear" w:color="auto" w:fill="FFFFFF"/>
        </w:rPr>
        <w:t>1981;</w:t>
      </w:r>
      <w:r w:rsidRPr="00147CD0">
        <w:rPr>
          <w:rStyle w:val="ref-vol"/>
          <w:rFonts w:ascii="Times New Roman" w:hAnsi="Times New Roman" w:cs="Times New Roman"/>
          <w:color w:val="212121"/>
          <w:sz w:val="24"/>
          <w:szCs w:val="24"/>
          <w:shd w:val="clear" w:color="auto" w:fill="FFFFFF"/>
        </w:rPr>
        <w:t>52</w:t>
      </w:r>
      <w:r w:rsidRPr="00147CD0">
        <w:rPr>
          <w:rStyle w:val="element-citation"/>
          <w:rFonts w:ascii="Times New Roman" w:hAnsi="Times New Roman" w:cs="Times New Roman"/>
          <w:color w:val="212121"/>
          <w:sz w:val="24"/>
          <w:szCs w:val="24"/>
          <w:shd w:val="clear" w:color="auto" w:fill="FFFFFF"/>
        </w:rPr>
        <w:t>(1):41–4. </w:t>
      </w:r>
    </w:p>
    <w:p w14:paraId="6736E43E" w14:textId="4BCF1F60" w:rsidR="005942E5" w:rsidRPr="00147CD0" w:rsidRDefault="005942E5" w:rsidP="005942E5">
      <w:pPr>
        <w:jc w:val="thaiDistribute"/>
        <w:rPr>
          <w:rFonts w:ascii="Times New Roman" w:hAnsi="Times New Roman" w:cs="Times New Roman"/>
          <w:sz w:val="24"/>
          <w:szCs w:val="24"/>
        </w:rPr>
      </w:pPr>
      <w:r w:rsidRPr="00147CD0">
        <w:rPr>
          <w:rFonts w:ascii="Times New Roman" w:hAnsi="Times New Roman" w:cs="Times New Roman"/>
          <w:sz w:val="24"/>
          <w:szCs w:val="24"/>
        </w:rPr>
        <w:t>[</w:t>
      </w:r>
      <w:r w:rsidR="005C64FB">
        <w:rPr>
          <w:rFonts w:ascii="Times New Roman" w:hAnsi="Times New Roman" w:cs="Times New Roman"/>
          <w:sz w:val="24"/>
          <w:szCs w:val="24"/>
        </w:rPr>
        <w:t>6</w:t>
      </w:r>
      <w:r w:rsidRPr="00147CD0">
        <w:rPr>
          <w:rFonts w:ascii="Times New Roman" w:hAnsi="Times New Roman" w:cs="Times New Roman"/>
          <w:sz w:val="24"/>
          <w:szCs w:val="24"/>
        </w:rPr>
        <w:t xml:space="preserve">] AAP, “Position paper: diagnosis of periodontal diseases,” Jour- </w:t>
      </w:r>
      <w:proofErr w:type="spellStart"/>
      <w:r w:rsidRPr="00147CD0">
        <w:rPr>
          <w:rFonts w:ascii="Times New Roman" w:hAnsi="Times New Roman" w:cs="Times New Roman"/>
          <w:sz w:val="24"/>
          <w:szCs w:val="24"/>
        </w:rPr>
        <w:t>nal</w:t>
      </w:r>
      <w:proofErr w:type="spellEnd"/>
      <w:r w:rsidRPr="00147CD0">
        <w:rPr>
          <w:rFonts w:ascii="Times New Roman" w:hAnsi="Times New Roman" w:cs="Times New Roman"/>
          <w:sz w:val="24"/>
          <w:szCs w:val="24"/>
        </w:rPr>
        <w:t xml:space="preserve"> of Periodontology, vol. 74, no. 8, pp. 1237–1247, 2003.</w:t>
      </w:r>
    </w:p>
    <w:p w14:paraId="1DD42C50" w14:textId="018A8380" w:rsidR="005942E5" w:rsidRPr="00147CD0" w:rsidRDefault="005942E5" w:rsidP="005942E5">
      <w:pPr>
        <w:jc w:val="thaiDistribute"/>
        <w:rPr>
          <w:rFonts w:ascii="Times New Roman" w:hAnsi="Times New Roman" w:cs="Times New Roman"/>
          <w:sz w:val="24"/>
          <w:szCs w:val="24"/>
        </w:rPr>
      </w:pPr>
      <w:r w:rsidRPr="00147CD0">
        <w:rPr>
          <w:rFonts w:ascii="Times New Roman" w:hAnsi="Times New Roman" w:cs="Times New Roman"/>
          <w:sz w:val="24"/>
          <w:szCs w:val="24"/>
        </w:rPr>
        <w:t>[</w:t>
      </w:r>
      <w:r w:rsidR="005C64FB">
        <w:rPr>
          <w:rFonts w:ascii="Times New Roman" w:hAnsi="Times New Roman" w:cs="Times New Roman"/>
          <w:sz w:val="24"/>
          <w:szCs w:val="24"/>
        </w:rPr>
        <w:t>7</w:t>
      </w:r>
      <w:r w:rsidRPr="00147CD0">
        <w:rPr>
          <w:rFonts w:ascii="Times New Roman" w:hAnsi="Times New Roman" w:cs="Times New Roman"/>
          <w:sz w:val="24"/>
          <w:szCs w:val="24"/>
        </w:rPr>
        <w:t xml:space="preserve">] S. V. </w:t>
      </w:r>
      <w:proofErr w:type="spellStart"/>
      <w:r w:rsidRPr="00147CD0">
        <w:rPr>
          <w:rFonts w:ascii="Times New Roman" w:hAnsi="Times New Roman" w:cs="Times New Roman"/>
          <w:sz w:val="24"/>
          <w:szCs w:val="24"/>
        </w:rPr>
        <w:t>Vakalis</w:t>
      </w:r>
      <w:proofErr w:type="spellEnd"/>
      <w:r w:rsidRPr="00147CD0">
        <w:rPr>
          <w:rFonts w:ascii="Times New Roman" w:hAnsi="Times New Roman" w:cs="Times New Roman"/>
          <w:sz w:val="24"/>
          <w:szCs w:val="24"/>
        </w:rPr>
        <w:t xml:space="preserve">, J. M. Whitworth, R. P. Ellwood, and P. M. </w:t>
      </w:r>
      <w:proofErr w:type="spellStart"/>
      <w:proofErr w:type="gramStart"/>
      <w:r w:rsidRPr="00147CD0">
        <w:rPr>
          <w:rFonts w:ascii="Times New Roman" w:hAnsi="Times New Roman" w:cs="Times New Roman"/>
          <w:sz w:val="24"/>
          <w:szCs w:val="24"/>
        </w:rPr>
        <w:t>Preshaw</w:t>
      </w:r>
      <w:proofErr w:type="spellEnd"/>
      <w:r w:rsidRPr="00147CD0">
        <w:rPr>
          <w:rFonts w:ascii="Times New Roman" w:hAnsi="Times New Roman" w:cs="Times New Roman"/>
          <w:sz w:val="24"/>
          <w:szCs w:val="24"/>
        </w:rPr>
        <w:t>,“</w:t>
      </w:r>
      <w:proofErr w:type="gramEnd"/>
      <w:r w:rsidRPr="00147CD0">
        <w:rPr>
          <w:rFonts w:ascii="Times New Roman" w:hAnsi="Times New Roman" w:cs="Times New Roman"/>
          <w:sz w:val="24"/>
          <w:szCs w:val="24"/>
        </w:rPr>
        <w:t>A pilot study of treatment of periodontal-endodontic lesions,” International Dental Journal, vol. 55, no. 5, pp. 313–318, 2005.</w:t>
      </w:r>
    </w:p>
    <w:p w14:paraId="21339106" w14:textId="6824F244" w:rsidR="005942E5" w:rsidRPr="00147CD0" w:rsidRDefault="005942E5" w:rsidP="005942E5">
      <w:pPr>
        <w:jc w:val="thaiDistribute"/>
        <w:rPr>
          <w:rFonts w:ascii="Times New Roman" w:hAnsi="Times New Roman" w:cs="Times New Roman"/>
          <w:sz w:val="24"/>
          <w:szCs w:val="24"/>
        </w:rPr>
      </w:pPr>
      <w:r w:rsidRPr="00147CD0">
        <w:rPr>
          <w:rFonts w:ascii="Times New Roman" w:hAnsi="Times New Roman" w:cs="Times New Roman"/>
          <w:sz w:val="24"/>
          <w:szCs w:val="24"/>
        </w:rPr>
        <w:t>[</w:t>
      </w:r>
      <w:r w:rsidR="005C64FB">
        <w:rPr>
          <w:rFonts w:ascii="Times New Roman" w:hAnsi="Times New Roman" w:cs="Times New Roman"/>
          <w:sz w:val="24"/>
          <w:szCs w:val="24"/>
        </w:rPr>
        <w:t>8</w:t>
      </w:r>
      <w:r w:rsidRPr="00147CD0">
        <w:rPr>
          <w:rFonts w:ascii="Times New Roman" w:hAnsi="Times New Roman" w:cs="Times New Roman"/>
          <w:sz w:val="24"/>
          <w:szCs w:val="24"/>
        </w:rPr>
        <w:t xml:space="preserve">] C. Graetz, C. E. </w:t>
      </w:r>
      <w:proofErr w:type="spellStart"/>
      <w:r w:rsidRPr="00147CD0">
        <w:rPr>
          <w:rFonts w:ascii="Times New Roman" w:hAnsi="Times New Roman" w:cs="Times New Roman"/>
          <w:sz w:val="24"/>
          <w:szCs w:val="24"/>
        </w:rPr>
        <w:t>D¨orfer</w:t>
      </w:r>
      <w:proofErr w:type="spellEnd"/>
      <w:r w:rsidRPr="00147CD0">
        <w:rPr>
          <w:rFonts w:ascii="Times New Roman" w:hAnsi="Times New Roman" w:cs="Times New Roman"/>
          <w:sz w:val="24"/>
          <w:szCs w:val="24"/>
        </w:rPr>
        <w:t>, M. Kahl et al., “Retention of ques-</w:t>
      </w:r>
      <w:proofErr w:type="spellStart"/>
      <w:r w:rsidRPr="00147CD0">
        <w:rPr>
          <w:rFonts w:ascii="Times New Roman" w:hAnsi="Times New Roman" w:cs="Times New Roman"/>
          <w:sz w:val="24"/>
          <w:szCs w:val="24"/>
        </w:rPr>
        <w:t>tionable</w:t>
      </w:r>
      <w:proofErr w:type="spellEnd"/>
      <w:r w:rsidRPr="00147CD0">
        <w:rPr>
          <w:rFonts w:ascii="Times New Roman" w:hAnsi="Times New Roman" w:cs="Times New Roman"/>
          <w:sz w:val="24"/>
          <w:szCs w:val="24"/>
        </w:rPr>
        <w:t xml:space="preserve"> and hopeless teeth in compliant patients treated for aggressive periodontitis,” Journal of Clinical Periodontology, vol.</w:t>
      </w:r>
    </w:p>
    <w:p w14:paraId="524F5890" w14:textId="77777777" w:rsidR="005942E5" w:rsidRPr="00147CD0" w:rsidRDefault="005942E5" w:rsidP="005942E5">
      <w:pPr>
        <w:jc w:val="thaiDistribute"/>
        <w:rPr>
          <w:rFonts w:ascii="Times New Roman" w:hAnsi="Times New Roman" w:cs="Times New Roman"/>
          <w:sz w:val="24"/>
          <w:szCs w:val="24"/>
        </w:rPr>
      </w:pPr>
      <w:r w:rsidRPr="00147CD0">
        <w:rPr>
          <w:rFonts w:ascii="Times New Roman" w:hAnsi="Times New Roman" w:cs="Times New Roman"/>
          <w:sz w:val="24"/>
          <w:szCs w:val="24"/>
        </w:rPr>
        <w:t>38, no. 8, pp. 707–714, 2011.</w:t>
      </w:r>
    </w:p>
    <w:p w14:paraId="11A3BD59" w14:textId="70548FF3" w:rsidR="005942E5" w:rsidRPr="00147CD0" w:rsidRDefault="005942E5" w:rsidP="005942E5">
      <w:pPr>
        <w:jc w:val="thaiDistribute"/>
        <w:rPr>
          <w:rFonts w:ascii="Times New Roman" w:hAnsi="Times New Roman" w:cs="Times New Roman"/>
          <w:sz w:val="24"/>
          <w:szCs w:val="24"/>
        </w:rPr>
      </w:pPr>
      <w:r w:rsidRPr="00147CD0">
        <w:rPr>
          <w:rFonts w:ascii="Times New Roman" w:hAnsi="Times New Roman" w:cs="Times New Roman"/>
          <w:sz w:val="24"/>
          <w:szCs w:val="24"/>
        </w:rPr>
        <w:t>[</w:t>
      </w:r>
      <w:r w:rsidR="005C64FB">
        <w:rPr>
          <w:rFonts w:ascii="Times New Roman" w:hAnsi="Times New Roman" w:cs="Times New Roman"/>
          <w:sz w:val="24"/>
          <w:szCs w:val="24"/>
        </w:rPr>
        <w:t>9</w:t>
      </w:r>
      <w:r w:rsidRPr="00147CD0">
        <w:rPr>
          <w:rFonts w:ascii="Times New Roman" w:hAnsi="Times New Roman" w:cs="Times New Roman"/>
          <w:sz w:val="24"/>
          <w:szCs w:val="24"/>
        </w:rPr>
        <w:t>] T. G. Wilson Jr., M. E. Glover, A. K. Malik, J. A. Schoen, and D. Dorsett, “Tooth loss in maintenance patients in a private periodontal practice,” Journal of Periodontology, vol. 58, no. 4,</w:t>
      </w:r>
    </w:p>
    <w:p w14:paraId="51A3A71E" w14:textId="77777777" w:rsidR="005942E5" w:rsidRPr="005942E5" w:rsidRDefault="005942E5" w:rsidP="005942E5">
      <w:pPr>
        <w:jc w:val="thaiDistribute"/>
        <w:rPr>
          <w:rFonts w:ascii="Times New Roman" w:hAnsi="Times New Roman" w:cs="Times New Roman"/>
          <w:sz w:val="24"/>
          <w:szCs w:val="24"/>
        </w:rPr>
      </w:pPr>
      <w:r w:rsidRPr="005942E5">
        <w:rPr>
          <w:rFonts w:ascii="Times New Roman" w:hAnsi="Times New Roman" w:cs="Times New Roman"/>
          <w:sz w:val="24"/>
          <w:szCs w:val="24"/>
        </w:rPr>
        <w:t>pp. 231–235, 1987.</w:t>
      </w:r>
    </w:p>
    <w:p w14:paraId="64CE19D8" w14:textId="54F6A62F" w:rsidR="005942E5" w:rsidRDefault="005942E5" w:rsidP="005942E5">
      <w:pPr>
        <w:jc w:val="thaiDistribute"/>
        <w:rPr>
          <w:rFonts w:ascii="Times New Roman" w:hAnsi="Times New Roman" w:cs="Times New Roman"/>
          <w:sz w:val="24"/>
          <w:szCs w:val="24"/>
        </w:rPr>
      </w:pPr>
      <w:r w:rsidRPr="005942E5">
        <w:rPr>
          <w:rFonts w:ascii="Times New Roman" w:hAnsi="Times New Roman" w:cs="Times New Roman"/>
          <w:sz w:val="24"/>
          <w:szCs w:val="24"/>
        </w:rPr>
        <w:t>[</w:t>
      </w:r>
      <w:r w:rsidR="005C64FB">
        <w:rPr>
          <w:rFonts w:ascii="Times New Roman" w:hAnsi="Times New Roman" w:cs="Times New Roman"/>
          <w:sz w:val="24"/>
          <w:szCs w:val="24"/>
        </w:rPr>
        <w:t>10</w:t>
      </w:r>
      <w:r w:rsidRPr="005942E5">
        <w:rPr>
          <w:rFonts w:ascii="Times New Roman" w:hAnsi="Times New Roman" w:cs="Times New Roman"/>
          <w:sz w:val="24"/>
          <w:szCs w:val="24"/>
        </w:rPr>
        <w:t>] W. Becker, B. E. Becker, and L. E. Berg, “Periodontal treatment</w:t>
      </w:r>
      <w:r>
        <w:rPr>
          <w:rFonts w:ascii="Times New Roman" w:hAnsi="Times New Roman" w:cs="Times New Roman"/>
          <w:sz w:val="24"/>
          <w:szCs w:val="24"/>
        </w:rPr>
        <w:t xml:space="preserve"> </w:t>
      </w:r>
      <w:r w:rsidRPr="005942E5">
        <w:rPr>
          <w:rFonts w:ascii="Times New Roman" w:hAnsi="Times New Roman" w:cs="Times New Roman"/>
          <w:sz w:val="24"/>
          <w:szCs w:val="24"/>
        </w:rPr>
        <w:t>without maintenance: a retrospective study in 44 patients,”</w:t>
      </w:r>
      <w:r>
        <w:rPr>
          <w:rFonts w:ascii="Times New Roman" w:hAnsi="Times New Roman" w:cs="Times New Roman"/>
          <w:sz w:val="24"/>
          <w:szCs w:val="24"/>
        </w:rPr>
        <w:t xml:space="preserve"> </w:t>
      </w:r>
      <w:r w:rsidRPr="005942E5">
        <w:rPr>
          <w:rFonts w:ascii="Times New Roman" w:hAnsi="Times New Roman" w:cs="Times New Roman"/>
          <w:sz w:val="24"/>
          <w:szCs w:val="24"/>
        </w:rPr>
        <w:t>Journal of Periodontology, vol. 55, no. 9, pp. 505–509, 1984</w:t>
      </w:r>
    </w:p>
    <w:p w14:paraId="79A0CFB5" w14:textId="294D43AC" w:rsidR="00037104" w:rsidRDefault="00037104" w:rsidP="005942E5">
      <w:pPr>
        <w:jc w:val="thaiDistribute"/>
        <w:rPr>
          <w:rFonts w:ascii="Times New Roman" w:hAnsi="Times New Roman" w:cs="Times New Roman"/>
          <w:sz w:val="24"/>
          <w:szCs w:val="24"/>
        </w:rPr>
      </w:pPr>
    </w:p>
    <w:p w14:paraId="1429ED23" w14:textId="0BEA42A5" w:rsidR="00037104" w:rsidRDefault="00037104" w:rsidP="005942E5">
      <w:pPr>
        <w:jc w:val="thaiDistribute"/>
        <w:rPr>
          <w:rFonts w:ascii="Times New Roman" w:hAnsi="Times New Roman" w:cs="Times New Roman"/>
          <w:sz w:val="24"/>
          <w:szCs w:val="24"/>
        </w:rPr>
      </w:pPr>
    </w:p>
    <w:p w14:paraId="350B6026" w14:textId="77777777" w:rsidR="00FD4388" w:rsidRDefault="00FD4388" w:rsidP="005942E5">
      <w:pPr>
        <w:jc w:val="thaiDistribute"/>
        <w:rPr>
          <w:rFonts w:ascii="Times New Roman" w:hAnsi="Times New Roman" w:cs="Times New Roman"/>
          <w:sz w:val="24"/>
          <w:szCs w:val="24"/>
        </w:rPr>
      </w:pPr>
    </w:p>
    <w:p w14:paraId="0A98E86C" w14:textId="77777777" w:rsidR="002E7B73" w:rsidRPr="002E7B73" w:rsidRDefault="002E7B73" w:rsidP="002E7B73">
      <w:pPr>
        <w:pStyle w:val="NormalWeb"/>
        <w:spacing w:after="0"/>
        <w:rPr>
          <w:rFonts w:eastAsiaTheme="minorEastAsia"/>
          <w:color w:val="FF0000"/>
          <w:kern w:val="24"/>
        </w:rPr>
      </w:pPr>
    </w:p>
    <w:p w14:paraId="22876538" w14:textId="271940BE" w:rsidR="00842745" w:rsidRPr="00842745" w:rsidRDefault="00842745" w:rsidP="00842745">
      <w:pPr>
        <w:pStyle w:val="NormalWeb"/>
        <w:spacing w:before="0" w:beforeAutospacing="0" w:after="0" w:afterAutospacing="0"/>
        <w:rPr>
          <w:color w:val="FF0000"/>
        </w:rPr>
      </w:pPr>
    </w:p>
    <w:p w14:paraId="3F42DD80" w14:textId="77777777" w:rsidR="00842745" w:rsidRDefault="00842745" w:rsidP="00842745">
      <w:pPr>
        <w:pStyle w:val="NormalWeb"/>
        <w:spacing w:before="0" w:beforeAutospacing="0" w:after="0" w:afterAutospacing="0"/>
      </w:pPr>
      <w:r>
        <w:rPr>
          <w:rFonts w:ascii="Phetsarath OT" w:eastAsia="Phetsarath OT" w:hAnsi="Phetsarath OT" w:cs="Phetsarath OT" w:hint="eastAsia"/>
          <w:color w:val="000000" w:themeColor="text1"/>
          <w:kern w:val="24"/>
        </w:rPr>
        <w:t xml:space="preserve"> </w:t>
      </w:r>
    </w:p>
    <w:p w14:paraId="5A39E369" w14:textId="77777777" w:rsidR="00842745" w:rsidRPr="001425C3" w:rsidRDefault="00842745" w:rsidP="001425C3">
      <w:pPr>
        <w:jc w:val="thaiDistribute"/>
        <w:rPr>
          <w:rFonts w:ascii="Phetsarath OT" w:hAnsi="Phetsarath OT" w:cs="Phetsarath OT"/>
          <w:sz w:val="24"/>
          <w:szCs w:val="24"/>
        </w:rPr>
      </w:pPr>
    </w:p>
    <w:p w14:paraId="6A6C8CA0" w14:textId="77777777" w:rsidR="00286D59" w:rsidRDefault="00286D59" w:rsidP="006D0F77">
      <w:pPr>
        <w:jc w:val="thaiDistribute"/>
        <w:rPr>
          <w:rFonts w:ascii="Phetsarath OT" w:hAnsi="Phetsarath OT" w:cs="Phetsarath OT"/>
          <w:sz w:val="24"/>
          <w:szCs w:val="24"/>
        </w:rPr>
      </w:pPr>
    </w:p>
    <w:p w14:paraId="0B2FB343" w14:textId="3FFCBBE6" w:rsidR="00286D59" w:rsidRDefault="00286D59" w:rsidP="006D0F77">
      <w:pPr>
        <w:jc w:val="thaiDistribute"/>
        <w:rPr>
          <w:rFonts w:ascii="Phetsarath OT" w:hAnsi="Phetsarath OT" w:cs="Phetsarath OT"/>
          <w:sz w:val="24"/>
          <w:szCs w:val="24"/>
        </w:rPr>
      </w:pPr>
    </w:p>
    <w:p w14:paraId="5DC146FC" w14:textId="5ACD28FB" w:rsidR="00286D59" w:rsidRDefault="00286D59" w:rsidP="006D0F77">
      <w:pPr>
        <w:jc w:val="thaiDistribute"/>
        <w:rPr>
          <w:rFonts w:ascii="Phetsarath OT" w:hAnsi="Phetsarath OT" w:cs="Phetsarath OT"/>
          <w:sz w:val="24"/>
          <w:szCs w:val="24"/>
        </w:rPr>
      </w:pPr>
    </w:p>
    <w:p w14:paraId="0BAA138E" w14:textId="77777777" w:rsidR="00286D59" w:rsidRDefault="00286D59" w:rsidP="006D0F77">
      <w:pPr>
        <w:jc w:val="thaiDistribute"/>
        <w:rPr>
          <w:rFonts w:ascii="Phetsarath OT" w:hAnsi="Phetsarath OT" w:cs="Phetsarath OT"/>
          <w:sz w:val="24"/>
          <w:szCs w:val="24"/>
        </w:rPr>
      </w:pPr>
    </w:p>
    <w:p w14:paraId="0CB45601" w14:textId="77777777" w:rsidR="00562936" w:rsidRPr="00AC04E1" w:rsidRDefault="00562936" w:rsidP="006D0F77">
      <w:pPr>
        <w:jc w:val="thaiDistribute"/>
        <w:rPr>
          <w:rFonts w:ascii="Times New Roman" w:hAnsi="Times New Roman" w:cs="Times New Roman"/>
          <w:color w:val="000000"/>
          <w:sz w:val="24"/>
          <w:szCs w:val="24"/>
        </w:rPr>
      </w:pPr>
    </w:p>
    <w:p w14:paraId="7556E6A4" w14:textId="77777777" w:rsidR="00047A9D" w:rsidRPr="00894925" w:rsidRDefault="00047A9D"/>
    <w:sectPr w:rsidR="00047A9D" w:rsidRPr="0089492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B1087" w14:textId="77777777" w:rsidR="00C71649" w:rsidRDefault="00C71649" w:rsidP="00772D2D">
      <w:pPr>
        <w:spacing w:after="0" w:line="240" w:lineRule="auto"/>
      </w:pPr>
      <w:r>
        <w:separator/>
      </w:r>
    </w:p>
  </w:endnote>
  <w:endnote w:type="continuationSeparator" w:id="0">
    <w:p w14:paraId="5E8E8C29" w14:textId="77777777" w:rsidR="00C71649" w:rsidRDefault="00C71649" w:rsidP="00772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hetsarath OT">
    <w:altName w:val="Malgun Gothic"/>
    <w:charset w:val="81"/>
    <w:family w:val="auto"/>
    <w:pitch w:val="variable"/>
    <w:sig w:usb0="F7FFAEFF" w:usb1="FBDFFFFF" w:usb2="1FFBFFFF" w:usb3="00000000" w:csb0="803F01FF" w:csb1="00000000"/>
  </w:font>
  <w:font w:name="AngsanaNew">
    <w:altName w:val="Microsoft JhengHei"/>
    <w:panose1 w:val="00000000000000000000"/>
    <w:charset w:val="88"/>
    <w:family w:val="auto"/>
    <w:notTrueType/>
    <w:pitch w:val="default"/>
    <w:sig w:usb0="00000000"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Arial Unicode MS">
    <w:altName w:val="Yu Gothic"/>
    <w:panose1 w:val="020B0604020202020204"/>
    <w:charset w:val="80"/>
    <w:family w:val="swiss"/>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C7356" w14:textId="77777777" w:rsidR="005E13D3" w:rsidRDefault="005E1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B232B" w14:textId="77777777" w:rsidR="005E13D3" w:rsidRDefault="005E1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7C0DE" w14:textId="77777777" w:rsidR="005E13D3" w:rsidRDefault="005E1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2A99B" w14:textId="77777777" w:rsidR="00C71649" w:rsidRDefault="00C71649" w:rsidP="00772D2D">
      <w:pPr>
        <w:spacing w:after="0" w:line="240" w:lineRule="auto"/>
      </w:pPr>
      <w:r>
        <w:separator/>
      </w:r>
    </w:p>
  </w:footnote>
  <w:footnote w:type="continuationSeparator" w:id="0">
    <w:p w14:paraId="5AA6711F" w14:textId="77777777" w:rsidR="00C71649" w:rsidRDefault="00C71649" w:rsidP="00772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17937" w14:textId="2FAC6AC7" w:rsidR="005E13D3" w:rsidRDefault="005E13D3">
    <w:pPr>
      <w:pStyle w:val="Header"/>
    </w:pPr>
    <w:r>
      <w:rPr>
        <w:noProof/>
      </w:rPr>
      <w:pict w14:anchorId="66D25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969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89EA" w14:textId="6ED01B92" w:rsidR="005E13D3" w:rsidRDefault="005E13D3">
    <w:pPr>
      <w:pStyle w:val="Header"/>
    </w:pPr>
    <w:r>
      <w:rPr>
        <w:noProof/>
      </w:rPr>
      <w:pict w14:anchorId="79B9F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969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CE06B" w14:textId="67336782" w:rsidR="005E13D3" w:rsidRDefault="005E13D3">
    <w:pPr>
      <w:pStyle w:val="Header"/>
    </w:pPr>
    <w:r>
      <w:rPr>
        <w:noProof/>
      </w:rPr>
      <w:pict w14:anchorId="4A242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969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B425F"/>
    <w:multiLevelType w:val="hybridMultilevel"/>
    <w:tmpl w:val="61406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114413"/>
    <w:multiLevelType w:val="hybridMultilevel"/>
    <w:tmpl w:val="C540ABE6"/>
    <w:lvl w:ilvl="0" w:tplc="7EBC94D2">
      <w:start w:val="1"/>
      <w:numFmt w:val="bullet"/>
      <w:lvlText w:val="-"/>
      <w:lvlJc w:val="left"/>
      <w:pPr>
        <w:ind w:left="1440" w:hanging="360"/>
      </w:pPr>
      <w:rPr>
        <w:rFonts w:ascii="Phetsarath OT" w:eastAsia="AngsanaNew" w:hAnsi="Phetsarath OT" w:cs="Phetsarath O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F927C14"/>
    <w:multiLevelType w:val="hybridMultilevel"/>
    <w:tmpl w:val="67604A4C"/>
    <w:lvl w:ilvl="0" w:tplc="294E01C0">
      <w:numFmt w:val="bullet"/>
      <w:lvlText w:val="-"/>
      <w:lvlJc w:val="left"/>
      <w:pPr>
        <w:ind w:left="720" w:hanging="360"/>
      </w:pPr>
      <w:rPr>
        <w:rFonts w:ascii="Phetsarath OT" w:eastAsiaTheme="minorHAnsi" w:hAnsi="Phetsarath OT" w:cs="Phetsarath O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Y0NbYwsDAwszA3tLBU0lEKTi0uzszPAykwrAUAm33mLywAAAA="/>
  </w:docVars>
  <w:rsids>
    <w:rsidRoot w:val="00894925"/>
    <w:rsid w:val="00014CC6"/>
    <w:rsid w:val="00026039"/>
    <w:rsid w:val="00035B8B"/>
    <w:rsid w:val="00037104"/>
    <w:rsid w:val="00040AAD"/>
    <w:rsid w:val="00044C67"/>
    <w:rsid w:val="00047A9D"/>
    <w:rsid w:val="00055FE2"/>
    <w:rsid w:val="000624D9"/>
    <w:rsid w:val="0006292A"/>
    <w:rsid w:val="0008799B"/>
    <w:rsid w:val="00090E2B"/>
    <w:rsid w:val="000923A3"/>
    <w:rsid w:val="00092FD3"/>
    <w:rsid w:val="000A291E"/>
    <w:rsid w:val="000B229D"/>
    <w:rsid w:val="000F5440"/>
    <w:rsid w:val="00127CC3"/>
    <w:rsid w:val="001425C3"/>
    <w:rsid w:val="00147CD0"/>
    <w:rsid w:val="00161F2B"/>
    <w:rsid w:val="001657F6"/>
    <w:rsid w:val="0019015B"/>
    <w:rsid w:val="001B2ABA"/>
    <w:rsid w:val="001E0AF8"/>
    <w:rsid w:val="00220CC4"/>
    <w:rsid w:val="0026152A"/>
    <w:rsid w:val="00270104"/>
    <w:rsid w:val="002753F0"/>
    <w:rsid w:val="00286D59"/>
    <w:rsid w:val="00292BC7"/>
    <w:rsid w:val="002A2C26"/>
    <w:rsid w:val="002A4EB5"/>
    <w:rsid w:val="002E2C0C"/>
    <w:rsid w:val="002E7B73"/>
    <w:rsid w:val="00304A30"/>
    <w:rsid w:val="003250E7"/>
    <w:rsid w:val="00332B19"/>
    <w:rsid w:val="0033446C"/>
    <w:rsid w:val="00341709"/>
    <w:rsid w:val="0035375F"/>
    <w:rsid w:val="00361A79"/>
    <w:rsid w:val="00362601"/>
    <w:rsid w:val="0037597D"/>
    <w:rsid w:val="00390980"/>
    <w:rsid w:val="003951B3"/>
    <w:rsid w:val="003A48AE"/>
    <w:rsid w:val="003D39B2"/>
    <w:rsid w:val="003D4682"/>
    <w:rsid w:val="003E7AC9"/>
    <w:rsid w:val="0041663B"/>
    <w:rsid w:val="00435240"/>
    <w:rsid w:val="004958EC"/>
    <w:rsid w:val="004A1C9B"/>
    <w:rsid w:val="004A296A"/>
    <w:rsid w:val="004D4C6C"/>
    <w:rsid w:val="004E1693"/>
    <w:rsid w:val="004F2BCE"/>
    <w:rsid w:val="00504E73"/>
    <w:rsid w:val="00517C41"/>
    <w:rsid w:val="00523CF7"/>
    <w:rsid w:val="00555E84"/>
    <w:rsid w:val="00560A41"/>
    <w:rsid w:val="00562936"/>
    <w:rsid w:val="00585EC5"/>
    <w:rsid w:val="005942E5"/>
    <w:rsid w:val="00595C47"/>
    <w:rsid w:val="005B2273"/>
    <w:rsid w:val="005B2FD1"/>
    <w:rsid w:val="005C3447"/>
    <w:rsid w:val="005C64FB"/>
    <w:rsid w:val="005E13D3"/>
    <w:rsid w:val="005E7996"/>
    <w:rsid w:val="0060164D"/>
    <w:rsid w:val="00606EDE"/>
    <w:rsid w:val="00617CCD"/>
    <w:rsid w:val="00645997"/>
    <w:rsid w:val="00682B0F"/>
    <w:rsid w:val="006D0F77"/>
    <w:rsid w:val="007001CE"/>
    <w:rsid w:val="00743A3B"/>
    <w:rsid w:val="00762376"/>
    <w:rsid w:val="007675B5"/>
    <w:rsid w:val="00772D2D"/>
    <w:rsid w:val="007948AD"/>
    <w:rsid w:val="007A40C8"/>
    <w:rsid w:val="007C13FF"/>
    <w:rsid w:val="007D5707"/>
    <w:rsid w:val="007F2BC0"/>
    <w:rsid w:val="00814542"/>
    <w:rsid w:val="00825C49"/>
    <w:rsid w:val="00833257"/>
    <w:rsid w:val="00842745"/>
    <w:rsid w:val="00857670"/>
    <w:rsid w:val="00890560"/>
    <w:rsid w:val="00894925"/>
    <w:rsid w:val="008A28AD"/>
    <w:rsid w:val="008B0A9C"/>
    <w:rsid w:val="008C0D58"/>
    <w:rsid w:val="008C70F4"/>
    <w:rsid w:val="00914C75"/>
    <w:rsid w:val="00946885"/>
    <w:rsid w:val="00972A68"/>
    <w:rsid w:val="009B0DA0"/>
    <w:rsid w:val="009F0D74"/>
    <w:rsid w:val="009F5ED0"/>
    <w:rsid w:val="00A17CB0"/>
    <w:rsid w:val="00A25064"/>
    <w:rsid w:val="00A313E3"/>
    <w:rsid w:val="00AC04E1"/>
    <w:rsid w:val="00AC7E85"/>
    <w:rsid w:val="00AD063D"/>
    <w:rsid w:val="00AF6566"/>
    <w:rsid w:val="00B31E46"/>
    <w:rsid w:val="00B379C8"/>
    <w:rsid w:val="00B61A6A"/>
    <w:rsid w:val="00B96D79"/>
    <w:rsid w:val="00BD6C10"/>
    <w:rsid w:val="00BF34CE"/>
    <w:rsid w:val="00BF79E2"/>
    <w:rsid w:val="00C0391F"/>
    <w:rsid w:val="00C11A9E"/>
    <w:rsid w:val="00C26D9E"/>
    <w:rsid w:val="00C446FA"/>
    <w:rsid w:val="00C6184B"/>
    <w:rsid w:val="00C71649"/>
    <w:rsid w:val="00C7364B"/>
    <w:rsid w:val="00CB72AD"/>
    <w:rsid w:val="00CF350F"/>
    <w:rsid w:val="00D4732B"/>
    <w:rsid w:val="00DA568B"/>
    <w:rsid w:val="00E02A5B"/>
    <w:rsid w:val="00E2750D"/>
    <w:rsid w:val="00EA0572"/>
    <w:rsid w:val="00EA23DF"/>
    <w:rsid w:val="00EC484E"/>
    <w:rsid w:val="00EE1A32"/>
    <w:rsid w:val="00F02B52"/>
    <w:rsid w:val="00F27840"/>
    <w:rsid w:val="00F3121E"/>
    <w:rsid w:val="00F41B01"/>
    <w:rsid w:val="00F53BC6"/>
    <w:rsid w:val="00F74808"/>
    <w:rsid w:val="00F769C5"/>
    <w:rsid w:val="00F804F1"/>
    <w:rsid w:val="00FB2166"/>
    <w:rsid w:val="00FD4388"/>
    <w:rsid w:val="00FE15BA"/>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F0C44C"/>
  <w15:chartTrackingRefBased/>
  <w15:docId w15:val="{A61326F8-2F18-4F70-9376-FF25A953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lo-L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925"/>
    <w:pPr>
      <w:spacing w:after="200" w:line="276" w:lineRule="auto"/>
      <w:ind w:left="720"/>
      <w:contextualSpacing/>
    </w:pPr>
    <w:rPr>
      <w:rFonts w:cstheme="minorBidi"/>
      <w:szCs w:val="28"/>
      <w:lang w:bidi="th-TH"/>
    </w:rPr>
  </w:style>
  <w:style w:type="paragraph" w:styleId="NormalWeb">
    <w:name w:val="Normal (Web)"/>
    <w:basedOn w:val="Normal"/>
    <w:uiPriority w:val="99"/>
    <w:unhideWhenUsed/>
    <w:rsid w:val="00842745"/>
    <w:pPr>
      <w:spacing w:before="100" w:beforeAutospacing="1" w:after="100" w:afterAutospacing="1" w:line="240" w:lineRule="auto"/>
    </w:pPr>
    <w:rPr>
      <w:rFonts w:ascii="Times New Roman" w:eastAsia="Times New Roman" w:hAnsi="Times New Roman" w:cs="Times New Roman"/>
      <w:sz w:val="24"/>
      <w:szCs w:val="24"/>
      <w:lang w:bidi="th-TH"/>
    </w:rPr>
  </w:style>
  <w:style w:type="character" w:customStyle="1" w:styleId="element-citation">
    <w:name w:val="element-citation"/>
    <w:basedOn w:val="DefaultParagraphFont"/>
    <w:rsid w:val="00037104"/>
  </w:style>
  <w:style w:type="character" w:customStyle="1" w:styleId="ref-journal">
    <w:name w:val="ref-journal"/>
    <w:basedOn w:val="DefaultParagraphFont"/>
    <w:rsid w:val="00037104"/>
  </w:style>
  <w:style w:type="character" w:customStyle="1" w:styleId="ref-vol">
    <w:name w:val="ref-vol"/>
    <w:basedOn w:val="DefaultParagraphFont"/>
    <w:rsid w:val="00037104"/>
  </w:style>
  <w:style w:type="character" w:styleId="Hyperlink">
    <w:name w:val="Hyperlink"/>
    <w:basedOn w:val="DefaultParagraphFont"/>
    <w:uiPriority w:val="99"/>
    <w:unhideWhenUsed/>
    <w:rsid w:val="00037104"/>
    <w:rPr>
      <w:color w:val="0000FF"/>
      <w:u w:val="single"/>
    </w:rPr>
  </w:style>
  <w:style w:type="character" w:customStyle="1" w:styleId="nowrap">
    <w:name w:val="nowrap"/>
    <w:basedOn w:val="DefaultParagraphFont"/>
    <w:rsid w:val="00037104"/>
  </w:style>
  <w:style w:type="paragraph" w:styleId="Header">
    <w:name w:val="header"/>
    <w:basedOn w:val="Normal"/>
    <w:link w:val="HeaderChar"/>
    <w:uiPriority w:val="99"/>
    <w:unhideWhenUsed/>
    <w:rsid w:val="00772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D2D"/>
    <w:rPr>
      <w:rFonts w:cs="Arial Unicode MS"/>
    </w:rPr>
  </w:style>
  <w:style w:type="paragraph" w:styleId="Footer">
    <w:name w:val="footer"/>
    <w:basedOn w:val="Normal"/>
    <w:link w:val="FooterChar"/>
    <w:uiPriority w:val="99"/>
    <w:unhideWhenUsed/>
    <w:rsid w:val="00772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D2D"/>
    <w:rPr>
      <w:rFonts w:cs="Arial Unicode MS"/>
    </w:rPr>
  </w:style>
  <w:style w:type="character" w:styleId="Strong">
    <w:name w:val="Strong"/>
    <w:basedOn w:val="DefaultParagraphFont"/>
    <w:uiPriority w:val="22"/>
    <w:qFormat/>
    <w:rsid w:val="000F5440"/>
    <w:rPr>
      <w:b/>
      <w:bCs/>
    </w:rPr>
  </w:style>
  <w:style w:type="character" w:styleId="UnresolvedMention">
    <w:name w:val="Unresolved Mention"/>
    <w:basedOn w:val="DefaultParagraphFont"/>
    <w:uiPriority w:val="99"/>
    <w:semiHidden/>
    <w:unhideWhenUsed/>
    <w:rsid w:val="009F5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5467">
      <w:bodyDiv w:val="1"/>
      <w:marLeft w:val="0"/>
      <w:marRight w:val="0"/>
      <w:marTop w:val="0"/>
      <w:marBottom w:val="0"/>
      <w:divBdr>
        <w:top w:val="none" w:sz="0" w:space="0" w:color="auto"/>
        <w:left w:val="none" w:sz="0" w:space="0" w:color="auto"/>
        <w:bottom w:val="none" w:sz="0" w:space="0" w:color="auto"/>
        <w:right w:val="none" w:sz="0" w:space="0" w:color="auto"/>
      </w:divBdr>
    </w:div>
    <w:div w:id="26494945">
      <w:bodyDiv w:val="1"/>
      <w:marLeft w:val="0"/>
      <w:marRight w:val="0"/>
      <w:marTop w:val="0"/>
      <w:marBottom w:val="0"/>
      <w:divBdr>
        <w:top w:val="none" w:sz="0" w:space="0" w:color="auto"/>
        <w:left w:val="none" w:sz="0" w:space="0" w:color="auto"/>
        <w:bottom w:val="none" w:sz="0" w:space="0" w:color="auto"/>
        <w:right w:val="none" w:sz="0" w:space="0" w:color="auto"/>
      </w:divBdr>
    </w:div>
    <w:div w:id="37055171">
      <w:bodyDiv w:val="1"/>
      <w:marLeft w:val="0"/>
      <w:marRight w:val="0"/>
      <w:marTop w:val="0"/>
      <w:marBottom w:val="0"/>
      <w:divBdr>
        <w:top w:val="none" w:sz="0" w:space="0" w:color="auto"/>
        <w:left w:val="none" w:sz="0" w:space="0" w:color="auto"/>
        <w:bottom w:val="none" w:sz="0" w:space="0" w:color="auto"/>
        <w:right w:val="none" w:sz="0" w:space="0" w:color="auto"/>
      </w:divBdr>
    </w:div>
    <w:div w:id="164978925">
      <w:bodyDiv w:val="1"/>
      <w:marLeft w:val="0"/>
      <w:marRight w:val="0"/>
      <w:marTop w:val="0"/>
      <w:marBottom w:val="0"/>
      <w:divBdr>
        <w:top w:val="none" w:sz="0" w:space="0" w:color="auto"/>
        <w:left w:val="none" w:sz="0" w:space="0" w:color="auto"/>
        <w:bottom w:val="none" w:sz="0" w:space="0" w:color="auto"/>
        <w:right w:val="none" w:sz="0" w:space="0" w:color="auto"/>
      </w:divBdr>
    </w:div>
    <w:div w:id="302396974">
      <w:bodyDiv w:val="1"/>
      <w:marLeft w:val="0"/>
      <w:marRight w:val="0"/>
      <w:marTop w:val="0"/>
      <w:marBottom w:val="0"/>
      <w:divBdr>
        <w:top w:val="none" w:sz="0" w:space="0" w:color="auto"/>
        <w:left w:val="none" w:sz="0" w:space="0" w:color="auto"/>
        <w:bottom w:val="none" w:sz="0" w:space="0" w:color="auto"/>
        <w:right w:val="none" w:sz="0" w:space="0" w:color="auto"/>
      </w:divBdr>
    </w:div>
    <w:div w:id="366682118">
      <w:bodyDiv w:val="1"/>
      <w:marLeft w:val="0"/>
      <w:marRight w:val="0"/>
      <w:marTop w:val="0"/>
      <w:marBottom w:val="0"/>
      <w:divBdr>
        <w:top w:val="none" w:sz="0" w:space="0" w:color="auto"/>
        <w:left w:val="none" w:sz="0" w:space="0" w:color="auto"/>
        <w:bottom w:val="none" w:sz="0" w:space="0" w:color="auto"/>
        <w:right w:val="none" w:sz="0" w:space="0" w:color="auto"/>
      </w:divBdr>
    </w:div>
    <w:div w:id="1169637121">
      <w:bodyDiv w:val="1"/>
      <w:marLeft w:val="0"/>
      <w:marRight w:val="0"/>
      <w:marTop w:val="0"/>
      <w:marBottom w:val="0"/>
      <w:divBdr>
        <w:top w:val="none" w:sz="0" w:space="0" w:color="auto"/>
        <w:left w:val="none" w:sz="0" w:space="0" w:color="auto"/>
        <w:bottom w:val="none" w:sz="0" w:space="0" w:color="auto"/>
        <w:right w:val="none" w:sz="0" w:space="0" w:color="auto"/>
      </w:divBdr>
      <w:divsChild>
        <w:div w:id="680467938">
          <w:marLeft w:val="0"/>
          <w:marRight w:val="240"/>
          <w:marTop w:val="0"/>
          <w:marBottom w:val="0"/>
          <w:divBdr>
            <w:top w:val="none" w:sz="0" w:space="0" w:color="auto"/>
            <w:left w:val="none" w:sz="0" w:space="0" w:color="auto"/>
            <w:bottom w:val="none" w:sz="0" w:space="0" w:color="auto"/>
            <w:right w:val="none" w:sz="0" w:space="0" w:color="auto"/>
          </w:divBdr>
          <w:divsChild>
            <w:div w:id="1933392614">
              <w:marLeft w:val="0"/>
              <w:marRight w:val="0"/>
              <w:marTop w:val="0"/>
              <w:marBottom w:val="0"/>
              <w:divBdr>
                <w:top w:val="none" w:sz="0" w:space="0" w:color="auto"/>
                <w:left w:val="none" w:sz="0" w:space="0" w:color="auto"/>
                <w:bottom w:val="none" w:sz="0" w:space="0" w:color="auto"/>
                <w:right w:val="none" w:sz="0" w:space="0" w:color="auto"/>
              </w:divBdr>
              <w:divsChild>
                <w:div w:id="1578175031">
                  <w:marLeft w:val="0"/>
                  <w:marRight w:val="0"/>
                  <w:marTop w:val="0"/>
                  <w:marBottom w:val="0"/>
                  <w:divBdr>
                    <w:top w:val="none" w:sz="0" w:space="0" w:color="auto"/>
                    <w:left w:val="none" w:sz="0" w:space="0" w:color="auto"/>
                    <w:bottom w:val="none" w:sz="0" w:space="0" w:color="auto"/>
                    <w:right w:val="none" w:sz="0" w:space="0" w:color="auto"/>
                  </w:divBdr>
                  <w:divsChild>
                    <w:div w:id="1106270120">
                      <w:marLeft w:val="0"/>
                      <w:marRight w:val="0"/>
                      <w:marTop w:val="0"/>
                      <w:marBottom w:val="0"/>
                      <w:divBdr>
                        <w:top w:val="none" w:sz="0" w:space="0" w:color="auto"/>
                        <w:left w:val="none" w:sz="0" w:space="0" w:color="auto"/>
                        <w:bottom w:val="none" w:sz="0" w:space="0" w:color="auto"/>
                        <w:right w:val="none" w:sz="0" w:space="0" w:color="auto"/>
                      </w:divBdr>
                      <w:divsChild>
                        <w:div w:id="1930847057">
                          <w:marLeft w:val="0"/>
                          <w:marRight w:val="0"/>
                          <w:marTop w:val="0"/>
                          <w:marBottom w:val="0"/>
                          <w:divBdr>
                            <w:top w:val="none" w:sz="0" w:space="0" w:color="auto"/>
                            <w:left w:val="none" w:sz="0" w:space="0" w:color="auto"/>
                            <w:bottom w:val="none" w:sz="0" w:space="0" w:color="auto"/>
                            <w:right w:val="none" w:sz="0" w:space="0" w:color="auto"/>
                          </w:divBdr>
                          <w:divsChild>
                            <w:div w:id="2115981477">
                              <w:marLeft w:val="0"/>
                              <w:marRight w:val="0"/>
                              <w:marTop w:val="0"/>
                              <w:marBottom w:val="0"/>
                              <w:divBdr>
                                <w:top w:val="none" w:sz="0" w:space="0" w:color="auto"/>
                                <w:left w:val="none" w:sz="0" w:space="0" w:color="auto"/>
                                <w:bottom w:val="none" w:sz="0" w:space="0" w:color="auto"/>
                                <w:right w:val="none" w:sz="0" w:space="0" w:color="auto"/>
                              </w:divBdr>
                              <w:divsChild>
                                <w:div w:id="40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443196">
          <w:marLeft w:val="0"/>
          <w:marRight w:val="0"/>
          <w:marTop w:val="0"/>
          <w:marBottom w:val="0"/>
          <w:divBdr>
            <w:top w:val="none" w:sz="0" w:space="0" w:color="auto"/>
            <w:left w:val="none" w:sz="0" w:space="0" w:color="auto"/>
            <w:bottom w:val="none" w:sz="0" w:space="0" w:color="auto"/>
            <w:right w:val="none" w:sz="0" w:space="0" w:color="auto"/>
          </w:divBdr>
          <w:divsChild>
            <w:div w:id="174983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4000">
      <w:bodyDiv w:val="1"/>
      <w:marLeft w:val="0"/>
      <w:marRight w:val="0"/>
      <w:marTop w:val="0"/>
      <w:marBottom w:val="0"/>
      <w:divBdr>
        <w:top w:val="none" w:sz="0" w:space="0" w:color="auto"/>
        <w:left w:val="none" w:sz="0" w:space="0" w:color="auto"/>
        <w:bottom w:val="none" w:sz="0" w:space="0" w:color="auto"/>
        <w:right w:val="none" w:sz="0" w:space="0" w:color="auto"/>
      </w:divBdr>
    </w:div>
    <w:div w:id="1450855561">
      <w:bodyDiv w:val="1"/>
      <w:marLeft w:val="0"/>
      <w:marRight w:val="0"/>
      <w:marTop w:val="0"/>
      <w:marBottom w:val="0"/>
      <w:divBdr>
        <w:top w:val="none" w:sz="0" w:space="0" w:color="auto"/>
        <w:left w:val="none" w:sz="0" w:space="0" w:color="auto"/>
        <w:bottom w:val="none" w:sz="0" w:space="0" w:color="auto"/>
        <w:right w:val="none" w:sz="0" w:space="0" w:color="auto"/>
      </w:divBdr>
    </w:div>
    <w:div w:id="1622805528">
      <w:bodyDiv w:val="1"/>
      <w:marLeft w:val="0"/>
      <w:marRight w:val="0"/>
      <w:marTop w:val="0"/>
      <w:marBottom w:val="0"/>
      <w:divBdr>
        <w:top w:val="none" w:sz="0" w:space="0" w:color="auto"/>
        <w:left w:val="none" w:sz="0" w:space="0" w:color="auto"/>
        <w:bottom w:val="none" w:sz="0" w:space="0" w:color="auto"/>
        <w:right w:val="none" w:sz="0" w:space="0" w:color="auto"/>
      </w:divBdr>
    </w:div>
    <w:div w:id="1882668198">
      <w:bodyDiv w:val="1"/>
      <w:marLeft w:val="0"/>
      <w:marRight w:val="0"/>
      <w:marTop w:val="0"/>
      <w:marBottom w:val="0"/>
      <w:divBdr>
        <w:top w:val="none" w:sz="0" w:space="0" w:color="auto"/>
        <w:left w:val="none" w:sz="0" w:space="0" w:color="auto"/>
        <w:bottom w:val="none" w:sz="0" w:space="0" w:color="auto"/>
        <w:right w:val="none" w:sz="0" w:space="0" w:color="auto"/>
      </w:divBdr>
    </w:div>
    <w:div w:id="201310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5</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advice ww</dc:creator>
  <cp:keywords/>
  <dc:description/>
  <cp:lastModifiedBy>SDI 1180</cp:lastModifiedBy>
  <cp:revision>151</cp:revision>
  <dcterms:created xsi:type="dcterms:W3CDTF">2024-05-15T06:03:00Z</dcterms:created>
  <dcterms:modified xsi:type="dcterms:W3CDTF">2025-10-03T12:14:00Z</dcterms:modified>
</cp:coreProperties>
</file>