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F27" w:rsidRPr="002B45D7" w:rsidRDefault="00BC66BE" w:rsidP="002B45D7">
      <w:pPr>
        <w:spacing w:line="360" w:lineRule="auto"/>
        <w:rPr>
          <w:rFonts w:ascii="Times New Roman" w:hAnsi="Times New Roman" w:cs="Times New Roman"/>
          <w:b/>
          <w:sz w:val="24"/>
          <w:szCs w:val="24"/>
        </w:rPr>
      </w:pPr>
      <w:r w:rsidRPr="00BC66BE">
        <w:rPr>
          <w:rFonts w:ascii="Times New Roman" w:hAnsi="Times New Roman" w:cs="Times New Roman"/>
          <w:b/>
          <w:sz w:val="24"/>
          <w:szCs w:val="24"/>
        </w:rPr>
        <w:t>Original Research Article</w:t>
      </w:r>
    </w:p>
    <w:p w:rsidR="00504829" w:rsidRPr="002B45D7" w:rsidRDefault="00504829" w:rsidP="002B45D7">
      <w:pPr>
        <w:spacing w:line="360" w:lineRule="auto"/>
        <w:jc w:val="center"/>
        <w:rPr>
          <w:rFonts w:ascii="Times New Roman" w:hAnsi="Times New Roman" w:cs="Times New Roman"/>
          <w:b/>
          <w:sz w:val="24"/>
          <w:szCs w:val="24"/>
        </w:rPr>
      </w:pPr>
      <w:r w:rsidRPr="002B45D7">
        <w:rPr>
          <w:rFonts w:ascii="Times New Roman" w:hAnsi="Times New Roman" w:cs="Times New Roman"/>
          <w:b/>
          <w:sz w:val="24"/>
          <w:szCs w:val="24"/>
        </w:rPr>
        <w:t xml:space="preserve">Assessment of Full Blood Count, Some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and HBsAg Infection in Pregnant Women in Edo State</w:t>
      </w:r>
    </w:p>
    <w:p w:rsidR="001B1455" w:rsidRDefault="001B1455" w:rsidP="002B45D7">
      <w:pPr>
        <w:spacing w:line="360" w:lineRule="auto"/>
        <w:rPr>
          <w:rFonts w:ascii="Times New Roman" w:hAnsi="Times New Roman" w:cs="Times New Roman"/>
          <w:b/>
          <w:sz w:val="24"/>
          <w:szCs w:val="24"/>
        </w:rPr>
      </w:pPr>
    </w:p>
    <w:p w:rsidR="004D62B6" w:rsidRPr="002B45D7" w:rsidRDefault="004D62B6" w:rsidP="002B45D7">
      <w:pPr>
        <w:spacing w:line="360" w:lineRule="auto"/>
        <w:rPr>
          <w:rFonts w:ascii="Times New Roman" w:hAnsi="Times New Roman" w:cs="Times New Roman"/>
          <w:b/>
          <w:sz w:val="24"/>
          <w:szCs w:val="24"/>
        </w:rPr>
      </w:pPr>
    </w:p>
    <w:p w:rsidR="00504829" w:rsidRPr="002B45D7" w:rsidRDefault="00504829" w:rsidP="002B45D7">
      <w:pPr>
        <w:spacing w:line="360" w:lineRule="auto"/>
        <w:jc w:val="center"/>
        <w:rPr>
          <w:rFonts w:ascii="Times New Roman" w:hAnsi="Times New Roman" w:cs="Times New Roman"/>
          <w:b/>
          <w:sz w:val="24"/>
          <w:szCs w:val="24"/>
        </w:rPr>
      </w:pPr>
      <w:r w:rsidRPr="002B45D7">
        <w:rPr>
          <w:rFonts w:ascii="Times New Roman" w:hAnsi="Times New Roman" w:cs="Times New Roman"/>
          <w:b/>
          <w:sz w:val="24"/>
          <w:szCs w:val="24"/>
        </w:rPr>
        <w:t>Abstract</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Introduction:</w:t>
      </w:r>
      <w:r w:rsidRPr="002B45D7">
        <w:rPr>
          <w:rFonts w:ascii="Times New Roman" w:hAnsi="Times New Roman" w:cs="Times New Roman"/>
          <w:sz w:val="24"/>
          <w:szCs w:val="24"/>
        </w:rPr>
        <w:t xml:space="preserve"> Hepatitis B virus (HBV) infection during pregnancy constitutes a significant public health challenge, contributing to maternal morbidity and vertical transmission risk. HBV infection is linked with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abnormalities exacerbated by physiological changes during pregnancy.</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Aim/Objective:</w:t>
      </w:r>
      <w:r w:rsidRPr="002B45D7">
        <w:rPr>
          <w:rFonts w:ascii="Times New Roman" w:hAnsi="Times New Roman" w:cs="Times New Roman"/>
          <w:sz w:val="24"/>
          <w:szCs w:val="24"/>
        </w:rPr>
        <w:t xml:space="preserve"> This study aimed to assess the alterations in full blood count (FBC) and selected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in pregnant women with hepatitis B surface antigen (HBsAg) infection attending antenatal care in Edo State, Nigeria.</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Method:</w:t>
      </w:r>
      <w:r w:rsidRPr="002B45D7">
        <w:rPr>
          <w:rFonts w:ascii="Times New Roman" w:hAnsi="Times New Roman" w:cs="Times New Roman"/>
          <w:sz w:val="24"/>
          <w:szCs w:val="24"/>
        </w:rPr>
        <w:t xml:space="preserve"> A cross-sectional analytical study was conducted involving 180 pregnant women (150 HBsAg positive and 30 controls). FBC was analyzed using automated hematology analyzers,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including Prothrombin Time (PT), Activated Partial Thromboplastin Time (APTT), fibrinogen, and D-dimer were measured. HBsAg status was confirmed by ELISA. Data were statistically analyzed using descriptive and inferential statistics.</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Results:</w:t>
      </w:r>
      <w:r w:rsidRPr="002B45D7">
        <w:rPr>
          <w:rFonts w:ascii="Times New Roman" w:hAnsi="Times New Roman" w:cs="Times New Roman"/>
          <w:sz w:val="24"/>
          <w:szCs w:val="24"/>
        </w:rPr>
        <w:t xml:space="preserve"> HBsAg positive pregnant women had significantly reduced red blood cell counts, haemoglobin concentration, haematocrit, and platelet counts compared to controls (p &lt; 0.05). They showed prolonged PT and APTT, with elevated fibrinogen and D-dimer levels (p &lt; 0.05), indicating coagulopathy alongside anemia and thrombocytopenia. White blood cell counts were elevated with neutrophilia and lymphopenia. These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derangements correlated with HBsAg positivity and may increase maternal and fetal risks.</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Conclusion:</w:t>
      </w:r>
      <w:r w:rsidRPr="002B45D7">
        <w:rPr>
          <w:rFonts w:ascii="Times New Roman" w:hAnsi="Times New Roman" w:cs="Times New Roman"/>
          <w:sz w:val="24"/>
          <w:szCs w:val="24"/>
        </w:rPr>
        <w:t xml:space="preserve"> HBV infection in pregnancy is associated with significant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abnormalities necessitating routine monitoring to mitigate adverse outcomes. Integration of comprehensive HBV screening, vaccination, and antiviral prophylaxis alongside hematologic and coagulopathy management in antenatal care is paramount in Edo State.</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lastRenderedPageBreak/>
        <w:t>Keywords:</w:t>
      </w:r>
      <w:r w:rsidRPr="002B45D7">
        <w:rPr>
          <w:rFonts w:ascii="Times New Roman" w:hAnsi="Times New Roman" w:cs="Times New Roman"/>
          <w:sz w:val="24"/>
          <w:szCs w:val="24"/>
        </w:rPr>
        <w:t xml:space="preserve"> Hepatitis B; HBsAg; pregnancy; hematology; </w:t>
      </w:r>
      <w:proofErr w:type="spellStart"/>
      <w:r w:rsidRPr="002B45D7">
        <w:rPr>
          <w:rFonts w:ascii="Times New Roman" w:hAnsi="Times New Roman" w:cs="Times New Roman"/>
          <w:sz w:val="24"/>
          <w:szCs w:val="24"/>
        </w:rPr>
        <w:t>haemostasis</w:t>
      </w:r>
      <w:proofErr w:type="spellEnd"/>
      <w:r w:rsidRPr="002B45D7">
        <w:rPr>
          <w:rFonts w:ascii="Times New Roman" w:hAnsi="Times New Roman" w:cs="Times New Roman"/>
          <w:sz w:val="24"/>
          <w:szCs w:val="24"/>
        </w:rPr>
        <w:t>; Edo State; Nigeria; anemia; coagulation</w:t>
      </w:r>
    </w:p>
    <w:p w:rsidR="00EB3C76" w:rsidRDefault="00EB3C76" w:rsidP="002B45D7">
      <w:pPr>
        <w:spacing w:line="360" w:lineRule="auto"/>
        <w:jc w:val="both"/>
        <w:rPr>
          <w:rFonts w:ascii="Times New Roman" w:hAnsi="Times New Roman" w:cs="Times New Roman"/>
          <w:sz w:val="24"/>
          <w:szCs w:val="24"/>
        </w:rPr>
      </w:pPr>
    </w:p>
    <w:p w:rsidR="002B45D7" w:rsidRPr="002B45D7" w:rsidRDefault="002B45D7" w:rsidP="002B45D7">
      <w:pPr>
        <w:spacing w:line="360" w:lineRule="auto"/>
        <w:jc w:val="both"/>
        <w:rPr>
          <w:rFonts w:ascii="Times New Roman" w:hAnsi="Times New Roman" w:cs="Times New Roman"/>
          <w:sz w:val="24"/>
          <w:szCs w:val="24"/>
        </w:rPr>
      </w:pPr>
    </w:p>
    <w:p w:rsidR="001B1455" w:rsidRPr="002B45D7" w:rsidRDefault="001B1455" w:rsidP="002B45D7">
      <w:pPr>
        <w:spacing w:line="360" w:lineRule="auto"/>
        <w:jc w:val="both"/>
        <w:rPr>
          <w:rFonts w:ascii="Times New Roman" w:hAnsi="Times New Roman" w:cs="Times New Roman"/>
          <w:sz w:val="24"/>
          <w:szCs w:val="24"/>
        </w:rPr>
      </w:pPr>
    </w:p>
    <w:p w:rsidR="00504829"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1.0 </w:t>
      </w:r>
      <w:r w:rsidR="00504829" w:rsidRPr="002B45D7">
        <w:rPr>
          <w:rFonts w:ascii="Times New Roman" w:hAnsi="Times New Roman" w:cs="Times New Roman"/>
          <w:b/>
          <w:sz w:val="24"/>
          <w:szCs w:val="24"/>
        </w:rPr>
        <w:t>Introduction</w:t>
      </w:r>
    </w:p>
    <w:p w:rsidR="00930A6F" w:rsidRPr="002B45D7" w:rsidRDefault="00930A6F" w:rsidP="002B45D7">
      <w:pPr>
        <w:spacing w:line="360" w:lineRule="auto"/>
        <w:jc w:val="both"/>
        <w:rPr>
          <w:rFonts w:ascii="Times New Roman" w:hAnsi="Times New Roman" w:cs="Times New Roman"/>
          <w:sz w:val="24"/>
          <w:szCs w:val="24"/>
        </w:rPr>
      </w:pP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Pregnancy is a complex physiological state that induces profound adaptations in the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systems to support both maternal and fetal well-being. These physiological changes, including increased plasma volume, elevated red cell mass, and alterations in coagulation factors, are essential for maintaining pregnancy but can predispose women to conditions such as anemia, thrombocytopenia, and hypercoagulability (Cunningham et al., 2022). Hematological monitoring through Full Blood Count (FBC) plays a vital role in identifying abnormalities such as anemia, which affects approximately 38% of pregnant women globally, with a disproportionately higher burden in sub-Saharan Africa (WHO, 2020).</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In parallel,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parameters such as Prothrombin Time (PT) and Activated Partial Thromboplastin Time (APTT) are crucial in evaluating coagulation status and detecting potential bleeding or thrombotic risks. Pregnancy is characterized by a physiologic hypercoagulable state, which, while protective against hemorrhage at delivery, may predispose to thromboembolic complications (Bates &amp; Greer, 2021). Therefore, regular assessment of both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parameters is indispensable for ensuring safe pregnancy outcomes.</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Viral infections, particularly Hepatitis B Virus (HBV), further complicate maternal health by exerting adverse effects on hematological and coagulation profiles. In Nigeria, HBV infection remains a major public health concern among pregnant women, with prevalence rates ranging from 2.19% to 9.5% and reports of up to 7.5% in Benin City, Edo State (Eke et al., 2011; </w:t>
      </w:r>
      <w:proofErr w:type="spellStart"/>
      <w:r w:rsidRPr="00142FF1">
        <w:rPr>
          <w:rFonts w:ascii="Times New Roman" w:eastAsia="Times New Roman" w:hAnsi="Times New Roman" w:cs="Times New Roman"/>
          <w:sz w:val="24"/>
          <w:szCs w:val="24"/>
        </w:rPr>
        <w:t>Oladeinde</w:t>
      </w:r>
      <w:proofErr w:type="spellEnd"/>
      <w:r w:rsidRPr="00142FF1">
        <w:rPr>
          <w:rFonts w:ascii="Times New Roman" w:eastAsia="Times New Roman" w:hAnsi="Times New Roman" w:cs="Times New Roman"/>
          <w:sz w:val="24"/>
          <w:szCs w:val="24"/>
        </w:rPr>
        <w:t xml:space="preserve"> et al., 2011). HBV infection during pregnancy not only threatens maternal health but also increases </w:t>
      </w:r>
      <w:r w:rsidRPr="00142FF1">
        <w:rPr>
          <w:rFonts w:ascii="Times New Roman" w:eastAsia="Times New Roman" w:hAnsi="Times New Roman" w:cs="Times New Roman"/>
          <w:sz w:val="24"/>
          <w:szCs w:val="24"/>
        </w:rPr>
        <w:lastRenderedPageBreak/>
        <w:t>the risk of vertical transmission, preterm delivery, and low birth weight, underscoring the need for routine screening during antenatal care (Yakubu et al., 2020).</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In Benin City, Edo State, the high burden of viral hepatitis coupled with limited integration of hematological,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and HBV screening in antenatal services highlights a critical gap in maternal healthcare. This situation is particularly concerning given Nigeria’s persistently high maternal mortality rate of 814 per 100,000 live births, driven largely by preventable causes such as anemia and infections (WHO, 2019). Despite these challenges, there is a paucity of local data evaluating the interplay between hematological alterations,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changes, and HBV infection among pregnant women in Edo State.</w:t>
      </w:r>
    </w:p>
    <w:p w:rsidR="00504829" w:rsidRPr="002B45D7" w:rsidRDefault="00504829"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sz w:val="24"/>
          <w:szCs w:val="24"/>
        </w:rPr>
      </w:pPr>
    </w:p>
    <w:p w:rsidR="00142FF1" w:rsidRPr="002B45D7" w:rsidRDefault="00142FF1" w:rsidP="002B45D7">
      <w:pPr>
        <w:spacing w:line="360" w:lineRule="auto"/>
        <w:jc w:val="both"/>
        <w:rPr>
          <w:rFonts w:ascii="Times New Roman" w:hAnsi="Times New Roman" w:cs="Times New Roman"/>
          <w:sz w:val="24"/>
          <w:szCs w:val="24"/>
        </w:rPr>
      </w:pPr>
    </w:p>
    <w:p w:rsidR="00142FF1" w:rsidRPr="002B45D7" w:rsidRDefault="00142FF1" w:rsidP="002B45D7">
      <w:pPr>
        <w:spacing w:line="360" w:lineRule="auto"/>
        <w:jc w:val="both"/>
        <w:rPr>
          <w:rFonts w:ascii="Times New Roman" w:hAnsi="Times New Roman" w:cs="Times New Roman"/>
          <w:sz w:val="24"/>
          <w:szCs w:val="24"/>
        </w:rPr>
      </w:pPr>
    </w:p>
    <w:p w:rsidR="00142FF1" w:rsidRPr="002B45D7" w:rsidRDefault="00142FF1" w:rsidP="002B45D7">
      <w:pPr>
        <w:spacing w:line="360" w:lineRule="auto"/>
        <w:jc w:val="both"/>
        <w:rPr>
          <w:rFonts w:ascii="Times New Roman" w:hAnsi="Times New Roman" w:cs="Times New Roman"/>
          <w:sz w:val="24"/>
          <w:szCs w:val="24"/>
        </w:rPr>
      </w:pPr>
    </w:p>
    <w:p w:rsidR="00142FF1" w:rsidRDefault="00142FF1"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Pr="002B45D7" w:rsidRDefault="002B45D7"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Materials and Methods</w:t>
      </w:r>
    </w:p>
    <w:p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2.1 Study Design and Setting</w:t>
      </w:r>
    </w:p>
    <w:p w:rsidR="00930A6F"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 cross-sectional analytical study was conducted at the antenatal clinic of Edo Specialist Hospital, located in Benin City, Edo State, Nigeria. Edo Specialist Hospital is a major referral center in the region, providing comprehensive healthcare services to a diverse population comprising both urban and peri-urban residents. The hospital is equipped with state-of-the-art medical technology and staffed by highly qualified healthcare professionals offering specialized services, including obstetrics and gynecology, hematology, and infectious disease management. This makes the hospital an ideal setting for recruiting a representative sample of pregnant women for the study, ensuring demographic diversity and clinical relevance to t</w:t>
      </w:r>
      <w:r w:rsidR="00930A6F" w:rsidRPr="002B45D7">
        <w:rPr>
          <w:rFonts w:ascii="Times New Roman" w:hAnsi="Times New Roman" w:cs="Times New Roman"/>
          <w:sz w:val="24"/>
          <w:szCs w:val="24"/>
        </w:rPr>
        <w:t>he broader Edo State population.</w:t>
      </w:r>
    </w:p>
    <w:p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2.2 Study Population</w:t>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The study population comprised 180 pregnant women attending antenatal care at the Edo Specialist Hospital. Eligible participants were aged between 18 and 45 years, encompassing the typical reproductive age range. Among the recruited women, 150 tested positive for hepatitis B surface antigen (HBsAg), indicating active HBV infection, while the remaining 30 women who tested negative for HBsAg served as controls. Participant selection was based on standardized inclusion and exclusion criteria to ensure sample validity and to control potential confounding factors, including the verification of pregnancy via ultrasound and consent to participate in the study. This sampling approach allowed for robust comparative analyses of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between HBV-infected and uninfected pregnant women within the same c</w:t>
      </w:r>
      <w:r w:rsidR="00930A6F" w:rsidRPr="002B45D7">
        <w:rPr>
          <w:rFonts w:ascii="Times New Roman" w:hAnsi="Times New Roman" w:cs="Times New Roman"/>
          <w:sz w:val="24"/>
          <w:szCs w:val="24"/>
        </w:rPr>
        <w:t>linical and geographic context.</w:t>
      </w: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2.3 Sample Size Determination</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The sample size was calculated using the formula for prevalence studies:</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 The sample size for hepatitis B virus will be determined using Cochran’s formula for estimating sample sizes in prevalence studies:</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Z</w:t>
      </w:r>
      <w:proofErr w:type="gramStart"/>
      <w:r w:rsidRPr="002B45D7">
        <w:rPr>
          <w:rFonts w:ascii="Times New Roman" w:hAnsi="Times New Roman" w:cs="Times New Roman"/>
          <w:sz w:val="24"/>
          <w:szCs w:val="24"/>
        </w:rPr>
        <w:t>2 .</w:t>
      </w:r>
      <w:proofErr w:type="gramEnd"/>
      <w:r w:rsidRPr="002B45D7">
        <w:rPr>
          <w:rFonts w:ascii="Times New Roman" w:hAnsi="Times New Roman" w:cs="Times New Roman"/>
          <w:sz w:val="24"/>
          <w:szCs w:val="24"/>
        </w:rPr>
        <w:t xml:space="preserve"> p. (1 – p)</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noProof/>
          <w:sz w:val="24"/>
          <w:szCs w:val="24"/>
        </w:rPr>
        <w:drawing>
          <wp:inline distT="0" distB="0" distL="0" distR="0">
            <wp:extent cx="769620" cy="7620"/>
            <wp:effectExtent l="0" t="0" r="0" b="0"/>
            <wp:docPr id="3" name="Picture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d2</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Where: n = required sample size, Z = Z-score for a 95% confidence interval (1.96)</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p = estimated prevalence </w:t>
      </w:r>
      <w:proofErr w:type="gramStart"/>
      <w:r w:rsidRPr="002B45D7">
        <w:rPr>
          <w:rFonts w:ascii="Times New Roman" w:hAnsi="Times New Roman" w:cs="Times New Roman"/>
          <w:sz w:val="24"/>
          <w:szCs w:val="24"/>
        </w:rPr>
        <w:t>of  hepatitis</w:t>
      </w:r>
      <w:proofErr w:type="gramEnd"/>
      <w:r w:rsidRPr="002B45D7">
        <w:rPr>
          <w:rFonts w:ascii="Times New Roman" w:hAnsi="Times New Roman" w:cs="Times New Roman"/>
          <w:sz w:val="24"/>
          <w:szCs w:val="24"/>
        </w:rPr>
        <w:t xml:space="preserve"> B virus , d = margin of error (set at 0.05)</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Based on previous studies, the prevalence of hepatitis B virus was 10.9 % amongst subjects according to </w:t>
      </w:r>
      <w:proofErr w:type="spellStart"/>
      <w:r w:rsidRPr="002B45D7">
        <w:rPr>
          <w:rFonts w:ascii="Times New Roman" w:hAnsi="Times New Roman" w:cs="Times New Roman"/>
          <w:sz w:val="24"/>
          <w:szCs w:val="24"/>
        </w:rPr>
        <w:t>Cockey</w:t>
      </w:r>
      <w:proofErr w:type="spellEnd"/>
      <w:r w:rsidRPr="002B45D7">
        <w:rPr>
          <w:rFonts w:ascii="Times New Roman" w:hAnsi="Times New Roman" w:cs="Times New Roman"/>
          <w:sz w:val="24"/>
          <w:szCs w:val="24"/>
        </w:rPr>
        <w:t xml:space="preserve"> et al. (2022).</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Substituting these values: </w:t>
      </w:r>
    </w:p>
    <w:p w:rsidR="00895B48" w:rsidRPr="002B45D7" w:rsidRDefault="00895B48" w:rsidP="002B45D7">
      <w:pPr>
        <w:spacing w:line="360" w:lineRule="auto"/>
        <w:jc w:val="both"/>
        <w:rPr>
          <w:rFonts w:ascii="Times New Roman" w:hAnsi="Times New Roman" w:cs="Times New Roman"/>
          <w:sz w:val="24"/>
          <w:szCs w:val="24"/>
        </w:rPr>
      </w:pPr>
      <w:proofErr w:type="gramStart"/>
      <w:r w:rsidRPr="002B45D7">
        <w:rPr>
          <w:rFonts w:ascii="Times New Roman" w:hAnsi="Times New Roman" w:cs="Times New Roman"/>
          <w:sz w:val="24"/>
          <w:szCs w:val="24"/>
        </w:rPr>
        <w:t>N  =</w:t>
      </w:r>
      <w:proofErr w:type="gramEnd"/>
      <w:r w:rsidRPr="002B45D7">
        <w:rPr>
          <w:rFonts w:ascii="Times New Roman" w:hAnsi="Times New Roman" w:cs="Times New Roman"/>
          <w:sz w:val="24"/>
          <w:szCs w:val="24"/>
        </w:rPr>
        <w:t xml:space="preserve">  (1.96)2 x 0.109 x (1 – 0.109)</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r w:rsidRPr="002B45D7">
        <w:rPr>
          <w:rFonts w:ascii="Times New Roman" w:hAnsi="Times New Roman" w:cs="Times New Roman"/>
          <w:noProof/>
          <w:sz w:val="24"/>
          <w:szCs w:val="24"/>
        </w:rPr>
        <w:drawing>
          <wp:inline distT="0" distB="0" distL="0" distR="0">
            <wp:extent cx="1638300" cy="7620"/>
            <wp:effectExtent l="0" t="0" r="0" b="0"/>
            <wp:docPr id="2" name="Picture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(0.05)2</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0.373</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b/>
      </w:r>
      <w:r w:rsidRPr="002B45D7">
        <w:rPr>
          <w:rFonts w:ascii="Times New Roman" w:hAnsi="Times New Roman" w:cs="Times New Roman"/>
          <w:noProof/>
          <w:sz w:val="24"/>
          <w:szCs w:val="24"/>
        </w:rPr>
        <w:drawing>
          <wp:inline distT="0" distB="0" distL="0" distR="0">
            <wp:extent cx="1638300" cy="7620"/>
            <wp:effectExtent l="0" t="0" r="0" b="0"/>
            <wp:docPr id="1" name="Picture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
                    </a:xfrm>
                    <a:prstGeom prst="rect">
                      <a:avLst/>
                    </a:prstGeom>
                    <a:noFill/>
                    <a:ln>
                      <a:noFill/>
                    </a:ln>
                  </pic:spPr>
                </pic:pic>
              </a:graphicData>
            </a:graphic>
          </wp:inline>
        </w:drawing>
      </w:r>
      <w:r w:rsidRPr="002B45D7">
        <w:rPr>
          <w:rFonts w:ascii="Times New Roman" w:hAnsi="Times New Roman" w:cs="Times New Roman"/>
          <w:sz w:val="24"/>
          <w:szCs w:val="24"/>
        </w:rPr>
        <w:t xml:space="preserve">                 </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b/>
        <w:t>0.0025</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 </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 = 149.24 = 150 Subjects</w:t>
      </w: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2B45D7" w:rsidRDefault="002B45D7" w:rsidP="002B45D7">
      <w:pPr>
        <w:spacing w:line="360" w:lineRule="auto"/>
        <w:jc w:val="both"/>
        <w:rPr>
          <w:rFonts w:ascii="Times New Roman" w:hAnsi="Times New Roman" w:cs="Times New Roman"/>
          <w:b/>
          <w:sz w:val="24"/>
          <w:szCs w:val="24"/>
        </w:rPr>
      </w:pP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 Inclusion and Exclusion Criteria</w:t>
      </w:r>
    </w:p>
    <w:p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2.4.1 Inclusion Criteria</w:t>
      </w:r>
    </w:p>
    <w:p w:rsidR="00FA1EE7"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Pregnant women aged 18 to 45 years attending antenatal care at the study site.</w:t>
      </w:r>
    </w:p>
    <w:p w:rsidR="00FA1EE7"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Pregnancy confirmed by ultrasound to ensure accurate gestational assessment.</w:t>
      </w:r>
    </w:p>
    <w:p w:rsidR="00895B48" w:rsidRPr="002B45D7" w:rsidRDefault="00895B48" w:rsidP="002B45D7">
      <w:pPr>
        <w:pStyle w:val="ListParagraph"/>
        <w:numPr>
          <w:ilvl w:val="0"/>
          <w:numId w:val="11"/>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Willingness to participate in the study demonstrated by providing written informed consent after thorough explanation of the study objectives, procedures, risks, and benefits.</w:t>
      </w:r>
    </w:p>
    <w:p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2.4.2 Exclusion Criteria</w:t>
      </w:r>
    </w:p>
    <w:p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Pregnant women with known chronic illnesses that could confound study outcomes, including chronic liver disease, diabetes mellitus, and other major systemic conditions.</w:t>
      </w:r>
    </w:p>
    <w:p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Confirmed HIV infection or other immunosuppressive disorders that affect hematological and immune parameters.</w:t>
      </w:r>
    </w:p>
    <w:p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History of bleeding disorders or current use of anticoagulant therapy, which could independently alter coagulation profiles and blood counts.</w:t>
      </w:r>
    </w:p>
    <w:p w:rsidR="00FA1EE7"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Multiple gestations (twins or more) or severe obstetric complications such as abruptio placentae, pre-eclampsia, or eclampsia that could affect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status.</w:t>
      </w:r>
    </w:p>
    <w:p w:rsidR="00895B48" w:rsidRPr="002B45D7" w:rsidRDefault="00895B48" w:rsidP="002B45D7">
      <w:pPr>
        <w:pStyle w:val="ListParagraph"/>
        <w:numPr>
          <w:ilvl w:val="0"/>
          <w:numId w:val="12"/>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Refusal or inability to provide written informed consent.</w:t>
      </w:r>
    </w:p>
    <w:p w:rsidR="00895B48" w:rsidRPr="002B45D7" w:rsidRDefault="00895B48"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Default="00FA1EE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Default="002B45D7" w:rsidP="002B45D7">
      <w:pPr>
        <w:spacing w:line="360" w:lineRule="auto"/>
        <w:jc w:val="both"/>
        <w:rPr>
          <w:rFonts w:ascii="Times New Roman" w:hAnsi="Times New Roman" w:cs="Times New Roman"/>
          <w:sz w:val="24"/>
          <w:szCs w:val="24"/>
        </w:rPr>
      </w:pPr>
    </w:p>
    <w:p w:rsidR="002B45D7" w:rsidRPr="002B45D7" w:rsidRDefault="002B45D7"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2.5 Materials and Equipment</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Automated hematology analyzer (Sysmex KX-21N): Used for performing full blood count (FBC) analysis including red blood cell count, hemoglobin concentration, hematocrit, white blood cell </w:t>
      </w:r>
      <w:proofErr w:type="gramStart"/>
      <w:r w:rsidRPr="002B45D7">
        <w:rPr>
          <w:rFonts w:ascii="Times New Roman" w:hAnsi="Times New Roman" w:cs="Times New Roman"/>
          <w:sz w:val="24"/>
          <w:szCs w:val="24"/>
        </w:rPr>
        <w:t>count</w:t>
      </w:r>
      <w:proofErr w:type="gramEnd"/>
      <w:r w:rsidRPr="002B45D7">
        <w:rPr>
          <w:rFonts w:ascii="Times New Roman" w:hAnsi="Times New Roman" w:cs="Times New Roman"/>
          <w:sz w:val="24"/>
          <w:szCs w:val="24"/>
        </w:rPr>
        <w:t xml:space="preserve"> with differential, platelet count, and red cell indices.</w:t>
      </w:r>
    </w:p>
    <w:p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Semi-automated coagulometer (STA Compact):</w:t>
      </w:r>
      <w:r w:rsidRPr="002B45D7">
        <w:rPr>
          <w:rFonts w:ascii="Times New Roman" w:hAnsi="Times New Roman" w:cs="Times New Roman"/>
          <w:sz w:val="24"/>
          <w:szCs w:val="24"/>
        </w:rPr>
        <w:t xml:space="preserve"> Utilized for measuring coagulation parameters such as Prothrombin Time (PT) and Activated Partial Thromboplastin Time (APTT).</w:t>
      </w:r>
    </w:p>
    <w:p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ELISA kits for HBsAg detection (</w:t>
      </w:r>
      <w:proofErr w:type="spellStart"/>
      <w:r w:rsidRPr="002B45D7">
        <w:rPr>
          <w:rFonts w:ascii="Times New Roman" w:hAnsi="Times New Roman" w:cs="Times New Roman"/>
          <w:b/>
          <w:sz w:val="24"/>
          <w:szCs w:val="24"/>
        </w:rPr>
        <w:t>Clinotech</w:t>
      </w:r>
      <w:proofErr w:type="spellEnd"/>
      <w:r w:rsidRPr="002B45D7">
        <w:rPr>
          <w:rFonts w:ascii="Times New Roman" w:hAnsi="Times New Roman" w:cs="Times New Roman"/>
          <w:b/>
          <w:sz w:val="24"/>
          <w:szCs w:val="24"/>
        </w:rPr>
        <w:t xml:space="preserve"> Diagnostics):</w:t>
      </w:r>
      <w:r w:rsidRPr="002B45D7">
        <w:rPr>
          <w:rFonts w:ascii="Times New Roman" w:hAnsi="Times New Roman" w:cs="Times New Roman"/>
          <w:sz w:val="24"/>
          <w:szCs w:val="24"/>
        </w:rPr>
        <w:t xml:space="preserve"> Employed for the qualitative detection of hepatitis B surface antigen in participant serum samples.</w:t>
      </w:r>
    </w:p>
    <w:p w:rsidR="00FA1EE7"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Sodium citrate tubes:</w:t>
      </w:r>
      <w:r w:rsidRPr="002B45D7">
        <w:rPr>
          <w:rFonts w:ascii="Times New Roman" w:hAnsi="Times New Roman" w:cs="Times New Roman"/>
          <w:sz w:val="24"/>
          <w:szCs w:val="24"/>
        </w:rPr>
        <w:t xml:space="preserve"> Blood samples for coagulation testing were collected into sodium citrate anticoagulant tubes, ensuring proper blood-to-anticoagulant ratio for accurate coagulation assays.</w:t>
      </w:r>
    </w:p>
    <w:p w:rsidR="00895B48" w:rsidRPr="002B45D7" w:rsidRDefault="00895B48" w:rsidP="002B45D7">
      <w:pPr>
        <w:pStyle w:val="ListParagraph"/>
        <w:numPr>
          <w:ilvl w:val="0"/>
          <w:numId w:val="13"/>
        </w:num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EDTA tubes:</w:t>
      </w:r>
      <w:r w:rsidRPr="002B45D7">
        <w:rPr>
          <w:rFonts w:ascii="Times New Roman" w:hAnsi="Times New Roman" w:cs="Times New Roman"/>
          <w:sz w:val="24"/>
          <w:szCs w:val="24"/>
        </w:rPr>
        <w:t xml:space="preserve"> Blood samples for hematological analysis were collected into ethylenediaminetetraacetic acid (EDTA) tubes to prevent clotting and preserve cellular components.</w:t>
      </w:r>
    </w:p>
    <w:p w:rsidR="00FA1EE7"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2.6 Ethical Consideration</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Ethical approval for the study was obtained from the Health Research Ethics Committee of the Edo State Ministry of Health (Reference number: HA73725C09080859). Participants were comprehensively informed about the study objectives, procedures, and confidentiality protections, and provided written informed consent prior to enrollment. Privacy and confidentiality of </w:t>
      </w:r>
      <w:r w:rsidRPr="002B45D7">
        <w:rPr>
          <w:rFonts w:ascii="Times New Roman" w:hAnsi="Times New Roman" w:cs="Times New Roman"/>
          <w:sz w:val="24"/>
          <w:szCs w:val="24"/>
        </w:rPr>
        <w:lastRenderedPageBreak/>
        <w:t>participant information were strictly maintained throughout the study, with voluntary participation emphasized and the right to withdraw at any time without penalty assured.</w:t>
      </w:r>
    </w:p>
    <w:p w:rsidR="00895B48" w:rsidRPr="002B45D7" w:rsidRDefault="00895B48"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2.7 Clinical Laboratory Investigations</w:t>
      </w:r>
    </w:p>
    <w:p w:rsidR="00FA1EE7"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2.7.1 Sample Collection and Analysis</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Venous blood samples (2-3 mL) were aseptically collected from each participant. Samples for hematological analysis were drawn into EDTA tubes and analyzed immediately using the Sysmex KX-21N automated hematology analyzer to determine complete blood count parameters including RBC count, hemoglobin concentration, hematocrit, mean corpuscular volume (MCV), mean corpuscular hemoglobin (MCH), mean corpuscular hemoglobin concentration (MCHC), red cell distribution width (RDW), white blood cell count with differential, platelet count, and platelet indices. Coagulation profiles including Prothrombin Time (PT), Activated Partial Thromboplastin Time (APTT), fibrinogen concentration, and D-dimer levels were measured in platelet-poor plasma obtained from blood collected in sodium citrate tubes. The STA Compact semi-automated coagulometer was used to perform PT and APTT assays following manufacturer guidelines. HBsAg serostatus was determined through enzyme-linked immunosorbent assay (ELISA) using </w:t>
      </w:r>
      <w:proofErr w:type="spellStart"/>
      <w:r w:rsidRPr="002B45D7">
        <w:rPr>
          <w:rFonts w:ascii="Times New Roman" w:hAnsi="Times New Roman" w:cs="Times New Roman"/>
          <w:sz w:val="24"/>
          <w:szCs w:val="24"/>
        </w:rPr>
        <w:t>Clinotech</w:t>
      </w:r>
      <w:proofErr w:type="spellEnd"/>
      <w:r w:rsidRPr="002B45D7">
        <w:rPr>
          <w:rFonts w:ascii="Times New Roman" w:hAnsi="Times New Roman" w:cs="Times New Roman"/>
          <w:sz w:val="24"/>
          <w:szCs w:val="24"/>
        </w:rPr>
        <w:t xml:space="preserve"> Diagnostics kits, performed as per standard operating procedures to confirm infection status.</w:t>
      </w:r>
    </w:p>
    <w:p w:rsidR="00895B48" w:rsidRPr="002B45D7" w:rsidRDefault="00895B48"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2.8 Statistical Analysis</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Data were entered and analyzed using Statistical Package for Social Sciences (SPSS) version 25. Descriptive statistics including means, standard deviations, frequencies, and percentages were used to summarize demographic and clinical characteristics. Inferential statistical tests were conducted with independent samples t-tests and chi-square tests to compare means and proportions between HBsAg positive and HBsAg-negative control groups. Pearson correlation analysis was employed to evaluate associations between HBsAg status and hematological as well as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parameters. Statistical significance was defined at a p-value &lt; 0.05. Data integrity was ensured by double data entry and validation checks.</w:t>
      </w:r>
    </w:p>
    <w:p w:rsidR="00504829" w:rsidRPr="002B45D7" w:rsidRDefault="00504829"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1B1455" w:rsidRDefault="001B1455" w:rsidP="002B45D7">
      <w:pPr>
        <w:spacing w:line="360" w:lineRule="auto"/>
        <w:jc w:val="both"/>
        <w:rPr>
          <w:rFonts w:ascii="Times New Roman" w:hAnsi="Times New Roman" w:cs="Times New Roman"/>
          <w:sz w:val="24"/>
          <w:szCs w:val="24"/>
        </w:rPr>
      </w:pPr>
    </w:p>
    <w:p w:rsidR="002B45D7" w:rsidRPr="002B45D7" w:rsidRDefault="002B45D7" w:rsidP="002B45D7">
      <w:pPr>
        <w:spacing w:line="360" w:lineRule="auto"/>
        <w:jc w:val="both"/>
        <w:rPr>
          <w:rFonts w:ascii="Times New Roman" w:hAnsi="Times New Roman" w:cs="Times New Roman"/>
          <w:sz w:val="24"/>
          <w:szCs w:val="24"/>
        </w:rPr>
      </w:pPr>
    </w:p>
    <w:p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3.0 </w:t>
      </w:r>
      <w:r w:rsidR="00504829" w:rsidRPr="002B45D7">
        <w:rPr>
          <w:rFonts w:ascii="Times New Roman" w:hAnsi="Times New Roman" w:cs="Times New Roman"/>
          <w:b/>
          <w:sz w:val="24"/>
          <w:szCs w:val="24"/>
        </w:rPr>
        <w:t>Results</w:t>
      </w: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3.1 Demographic and Clinical Characteristics</w:t>
      </w:r>
    </w:p>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b/>
          <w:sz w:val="24"/>
          <w:szCs w:val="24"/>
        </w:rPr>
        <w:t>Table 1: Demographic and Clinical Characteristics of Study Participants</w:t>
      </w:r>
      <w:r w:rsidRPr="002B45D7">
        <w:rPr>
          <w:rFonts w:ascii="Times New Roman" w:hAnsi="Times New Roman" w:cs="Times New Roman"/>
          <w:sz w:val="24"/>
          <w:szCs w:val="24"/>
        </w:rPr>
        <w:t xml:space="preserve"> </w:t>
      </w:r>
    </w:p>
    <w:tbl>
      <w:tblPr>
        <w:tblpPr w:leftFromText="180" w:rightFromText="180" w:vertAnchor="text" w:tblpY="1"/>
        <w:tblOverlap w:val="never"/>
        <w:tblW w:w="0" w:type="auto"/>
        <w:tblCellSpacing w:w="15" w:type="dxa"/>
        <w:tblLook w:val="04A0" w:firstRow="1" w:lastRow="0" w:firstColumn="1" w:lastColumn="0" w:noHBand="0" w:noVBand="1"/>
      </w:tblPr>
      <w:tblGrid>
        <w:gridCol w:w="2135"/>
        <w:gridCol w:w="2569"/>
        <w:gridCol w:w="1629"/>
        <w:gridCol w:w="1537"/>
      </w:tblGrid>
      <w:tr w:rsidR="00895B48" w:rsidRPr="002B45D7" w:rsidTr="00FA1EE7">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Characteristic</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 = 150)</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Control (n = 30)</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Total (n = 180)</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Age (years)</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18–25</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26–33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34–44</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Marital Status</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Married</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Single</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(20%)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(20%)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36 (20%)</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Divorced/Widowed</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 (6.7%)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 (6.7%)</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Education Level</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Primary</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Secondary</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70 (46.7%)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14 (46.7%)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84 (46.7%)</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Tertiary</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55 (36.7%)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 (36.7%)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66 (36.7%)</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None</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 (3.3%)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 (3.3%)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Gestational Age</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First trimester</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 (13.3%)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24 (13.3%)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Second trimester</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Third trimester</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(20%)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 (20%)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36 (20%)</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Previous Pregnancies</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50 (33.3%)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(33.3%)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60 (33.3%)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Anemia Symptoms</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50 (33.3%)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 (33.3%)</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60 (33.3%)</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100 (66.7%)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20 (66.7%)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120 (66.7%)</w:t>
            </w: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HBV Vaccination</w:t>
            </w: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c>
          <w:tcPr>
            <w:tcW w:w="0" w:type="auto"/>
            <w:tcMar>
              <w:top w:w="15" w:type="dxa"/>
              <w:left w:w="15" w:type="dxa"/>
              <w:bottom w:w="15" w:type="dxa"/>
              <w:right w:w="15" w:type="dxa"/>
            </w:tcMar>
            <w:vAlign w:val="center"/>
          </w:tcPr>
          <w:p w:rsidR="00895B48" w:rsidRPr="002B45D7" w:rsidRDefault="00895B48" w:rsidP="002B45D7">
            <w:pPr>
              <w:spacing w:line="360" w:lineRule="auto"/>
              <w:jc w:val="both"/>
              <w:rPr>
                <w:rFonts w:ascii="Times New Roman" w:hAnsi="Times New Roman" w:cs="Times New Roman"/>
                <w:sz w:val="24"/>
                <w:szCs w:val="24"/>
              </w:rPr>
            </w:pPr>
          </w:p>
        </w:tc>
      </w:tr>
      <w:tr w:rsidR="00895B48" w:rsidRPr="002B45D7" w:rsidTr="00FA1EE7">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Yes</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40 (26.7%)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8 (26.7%)</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48 (26.7%)</w:t>
            </w:r>
          </w:p>
        </w:tc>
      </w:tr>
      <w:tr w:rsidR="00895B48" w:rsidRPr="002B45D7" w:rsidTr="00FA1EE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No</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110 (73.3%)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22 (73.3%)</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132 (73.3%)</w:t>
            </w:r>
          </w:p>
        </w:tc>
      </w:tr>
    </w:tbl>
    <w:p w:rsidR="00895B48" w:rsidRPr="002B45D7" w:rsidRDefault="00FA1EE7"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br w:type="textWrapping" w:clear="all"/>
      </w: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Among 180 participants, the majority (73.3%) were aged 26-33 years, and most were married (73.3%). The majority were in their second trimester (66.7%) with similar distributions between groups. Hepatitis B vaccination coverage was low (26.7%), consistent across groups.</w:t>
      </w:r>
    </w:p>
    <w:p w:rsidR="00895B48" w:rsidRPr="002B45D7" w:rsidRDefault="00895B48"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Default="00FA1EE7" w:rsidP="002B45D7">
      <w:pPr>
        <w:spacing w:line="360" w:lineRule="auto"/>
        <w:jc w:val="both"/>
        <w:rPr>
          <w:rFonts w:ascii="Times New Roman" w:hAnsi="Times New Roman" w:cs="Times New Roman"/>
          <w:sz w:val="24"/>
          <w:szCs w:val="24"/>
        </w:rPr>
      </w:pPr>
    </w:p>
    <w:p w:rsidR="002B45D7" w:rsidRPr="002B45D7" w:rsidRDefault="002B45D7"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3.2 Full Blood Count Findings</w:t>
      </w:r>
    </w:p>
    <w:p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Table 2: Full Blood Count (FBC) Parameters in HBsAg Positive Pregnant Women </w:t>
      </w:r>
    </w:p>
    <w:tbl>
      <w:tblPr>
        <w:tblW w:w="0" w:type="auto"/>
        <w:tblCellSpacing w:w="15" w:type="dxa"/>
        <w:tblInd w:w="-45" w:type="dxa"/>
        <w:tblLook w:val="04A0" w:firstRow="1" w:lastRow="0" w:firstColumn="1" w:lastColumn="0" w:noHBand="0" w:noVBand="1"/>
      </w:tblPr>
      <w:tblGrid>
        <w:gridCol w:w="1949"/>
        <w:gridCol w:w="3614"/>
        <w:gridCol w:w="2767"/>
        <w:gridCol w:w="795"/>
      </w:tblGrid>
      <w:tr w:rsidR="00895B48" w:rsidRPr="002B45D7" w:rsidTr="00895B48">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(n=150)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Controls (n=30)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RBC (×10^12/L)</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4.20 ± 0.45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4.50 ± 0.40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Hemoglobin (g/dL)</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11.2 ± 1.1</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12.5 ± 1.0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Hematocrit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33.5 ± 3.2</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37.0 ± 3.0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MCV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79.8 ± 6.5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82.5 ± 5.5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0.015</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MCH (</w:t>
            </w:r>
            <w:proofErr w:type="spellStart"/>
            <w:r w:rsidRPr="002B45D7">
              <w:rPr>
                <w:rFonts w:ascii="Times New Roman" w:hAnsi="Times New Roman" w:cs="Times New Roman"/>
                <w:sz w:val="24"/>
                <w:szCs w:val="24"/>
              </w:rPr>
              <w:t>pg</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26.5 ± 2.8</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27.5 ± 2.5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0.048</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MCHC (g/dL)</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33.2 ± 1.8</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33.3 ± 1.6</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0.672</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RDW-CV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14.2 ± 1.6</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13.0 ± 1.2</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RDW-SD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41.0 ± 3.5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38.5 ± 3.0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Reticulocyte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1.8 ± 0.6</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1.5 ± 0.4</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0.006</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WBC (×10^9/L)</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8.5 ± 2.2</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7.8 ± 1.8</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0.045</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Neutrophils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60.0 ± 7.0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57.5 ± 6.5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0.021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Lymphocytes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32.0 ± 6.0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35.0 ± 5.5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0.003</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Monocytes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5.5 ± 1.5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5.0 ± 1.2</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0.080</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Eosinophils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 ± 0.5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 ± 0.4</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0.295</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Basophils (%)</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0.3 ± 0.1</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0.3 ± 0.1</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0.771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Platelet (×10^9/L)</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210 ± 50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235 ± 45</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MPV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9.5 ± 1.0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9.0 ± 0.8</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0.010</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PDW (</w:t>
            </w:r>
            <w:proofErr w:type="spellStart"/>
            <w:r w:rsidRPr="002B45D7">
              <w:rPr>
                <w:rFonts w:ascii="Times New Roman" w:hAnsi="Times New Roman" w:cs="Times New Roman"/>
                <w:sz w:val="24"/>
                <w:szCs w:val="24"/>
              </w:rPr>
              <w:t>fL</w:t>
            </w:r>
            <w:proofErr w:type="spellEnd"/>
            <w:r w:rsidRPr="002B45D7">
              <w:rPr>
                <w:rFonts w:ascii="Times New Roman" w:hAnsi="Times New Roman" w:cs="Times New Roman"/>
                <w:sz w:val="24"/>
                <w:szCs w:val="24"/>
              </w:rPr>
              <w:t>)</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13.5 ± 1.2</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12.8 ± 1.0</w:t>
            </w:r>
          </w:p>
        </w:tc>
        <w:tc>
          <w:tcPr>
            <w:tcW w:w="0" w:type="auto"/>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0.004</w:t>
            </w:r>
          </w:p>
        </w:tc>
      </w:tr>
      <w:tr w:rsidR="00895B48" w:rsidRPr="002B45D7" w:rsidTr="00895B48">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PCT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0.22 ± 0.05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0.24 ± 0.04</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8556C9">
            <w:pPr>
              <w:spacing w:line="240" w:lineRule="auto"/>
              <w:jc w:val="both"/>
              <w:rPr>
                <w:rFonts w:ascii="Times New Roman" w:hAnsi="Times New Roman" w:cs="Times New Roman"/>
                <w:sz w:val="24"/>
                <w:szCs w:val="24"/>
              </w:rPr>
            </w:pPr>
            <w:r w:rsidRPr="002B45D7">
              <w:rPr>
                <w:rFonts w:ascii="Times New Roman" w:hAnsi="Times New Roman" w:cs="Times New Roman"/>
                <w:sz w:val="24"/>
                <w:szCs w:val="24"/>
              </w:rPr>
              <w:t>0.018</w:t>
            </w:r>
          </w:p>
        </w:tc>
      </w:tr>
    </w:tbl>
    <w:p w:rsidR="00895B48" w:rsidRPr="002B45D7" w:rsidRDefault="00895B48"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sz w:val="24"/>
          <w:szCs w:val="24"/>
        </w:rPr>
      </w:pPr>
    </w:p>
    <w:p w:rsidR="00895B48" w:rsidRPr="002B45D7" w:rsidRDefault="00895B48"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women exhibited significantly lower RBC counts (4.20 ± 0.45 vs. 4.50 ± 0.40 x10^12/L), hemoglobin (11.2 ± 1.1 vs. 12.5 ± 1.0 g/dL), and hematocrit (33.5 ± 3.2 vs. 37.0 ± 3.0%) compared to controls (p &lt; 0.05). MCV and MCH were slightly reduced but MCHC showed no significant difference. RDW indices were elevated, indicating erythrocyte size heterogeneity. Reticulocyte counts were marginally higher. Total WBC and neutrophil percentages were elevated with relative lymphopenia. Platelet counts and indices (MPV, PDW, PCT) were significantly reduced.</w:t>
      </w: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3.3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w:t>
      </w:r>
    </w:p>
    <w:p w:rsidR="00895B48" w:rsidRPr="002B45D7" w:rsidRDefault="00895B48"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Table 3: </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in HBsAg positive pregnant women.</w:t>
      </w:r>
    </w:p>
    <w:tbl>
      <w:tblPr>
        <w:tblW w:w="0" w:type="auto"/>
        <w:tblCellSpacing w:w="15" w:type="dxa"/>
        <w:tblInd w:w="-45" w:type="dxa"/>
        <w:tblLook w:val="04A0" w:firstRow="1" w:lastRow="0" w:firstColumn="1" w:lastColumn="0" w:noHBand="0" w:noVBand="1"/>
      </w:tblPr>
      <w:tblGrid>
        <w:gridCol w:w="1836"/>
        <w:gridCol w:w="3614"/>
        <w:gridCol w:w="2767"/>
        <w:gridCol w:w="795"/>
      </w:tblGrid>
      <w:tr w:rsidR="00895B48" w:rsidRPr="002B45D7" w:rsidTr="00895B48">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HBsAg Positive (n=150)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Controls (n=30) Mean ± SD</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 (seconds)</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13.5 ± 1.2</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12.8 ± 1.0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APTT (seconds)</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32.0 ± 3.5</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30.5 ± 3.0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Platelet (×10^9/L)</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210 ± 50</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235 ± 45</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895B48" w:rsidRPr="002B45D7" w:rsidTr="00895B48">
        <w:trPr>
          <w:tblCellSpacing w:w="15" w:type="dxa"/>
        </w:trPr>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Fibrinogen (g/L)</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3.5 ± 0.6</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3.0 ± 0.5</w:t>
            </w:r>
          </w:p>
        </w:tc>
        <w:tc>
          <w:tcPr>
            <w:tcW w:w="0" w:type="auto"/>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895B48" w:rsidRPr="002B45D7" w:rsidTr="00895B48">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D-dimer (mg/L)</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0.45 ± 0.15</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 ± 0.10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895B48" w:rsidRPr="002B45D7" w:rsidRDefault="00895B48"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bl>
    <w:p w:rsidR="00895B48" w:rsidRPr="002B45D7" w:rsidRDefault="00895B48"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 and APTT were prolonged in HBsAg positive women (13.5 ± 1.2 vs. 12.8 ± 1.0 sec; 32.0 ± 3.5 vs. 30.5 ± 3.0 sec; p &lt; 0.05). Fibrinogen and D-dimer levels were significantly higher, suggesting increased coagulation and fibrinolytic activity.</w:t>
      </w: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504829" w:rsidRPr="002B45D7" w:rsidRDefault="00504829"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3.4 Correlation Analyses</w:t>
      </w:r>
    </w:p>
    <w:p w:rsidR="00EB3C76" w:rsidRPr="002B45D7" w:rsidRDefault="00EB3C7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Correlation Between Hematological/</w:t>
      </w:r>
      <w:proofErr w:type="spellStart"/>
      <w:r w:rsidRPr="002B45D7">
        <w:rPr>
          <w:rFonts w:ascii="Times New Roman" w:hAnsi="Times New Roman" w:cs="Times New Roman"/>
          <w:b/>
          <w:sz w:val="24"/>
          <w:szCs w:val="24"/>
        </w:rPr>
        <w:t>Haemostatic</w:t>
      </w:r>
      <w:proofErr w:type="spellEnd"/>
      <w:r w:rsidRPr="002B45D7">
        <w:rPr>
          <w:rFonts w:ascii="Times New Roman" w:hAnsi="Times New Roman" w:cs="Times New Roman"/>
          <w:b/>
          <w:sz w:val="24"/>
          <w:szCs w:val="24"/>
        </w:rPr>
        <w:t xml:space="preserve"> Parameters and HBsAg Status.</w:t>
      </w:r>
    </w:p>
    <w:p w:rsidR="00EB3C76" w:rsidRPr="002B45D7" w:rsidRDefault="00EB3C76" w:rsidP="002B45D7">
      <w:pPr>
        <w:spacing w:line="360" w:lineRule="auto"/>
        <w:jc w:val="both"/>
        <w:rPr>
          <w:rFonts w:ascii="Times New Roman" w:hAnsi="Times New Roman" w:cs="Times New Roman"/>
          <w:sz w:val="24"/>
          <w:szCs w:val="24"/>
        </w:rPr>
      </w:pPr>
    </w:p>
    <w:tbl>
      <w:tblPr>
        <w:tblW w:w="0" w:type="auto"/>
        <w:tblCellSpacing w:w="15" w:type="dxa"/>
        <w:tblInd w:w="-45" w:type="dxa"/>
        <w:tblLook w:val="04A0" w:firstRow="1" w:lastRow="0" w:firstColumn="1" w:lastColumn="0" w:noHBand="0" w:noVBand="1"/>
      </w:tblPr>
      <w:tblGrid>
        <w:gridCol w:w="1388"/>
        <w:gridCol w:w="1453"/>
        <w:gridCol w:w="795"/>
      </w:tblGrid>
      <w:tr w:rsidR="00EB3C76" w:rsidRPr="002B45D7" w:rsidTr="00EB3C76">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Parameter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Correlation (r)</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p-value</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Hemoglobin</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-0.35</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Hematocrit</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-0.32</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RBC count</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Platelet count</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-0.28</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0.001</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WBC count</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0.21</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0.015</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PT</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0.30</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APTT</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0.27</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0.002</w:t>
            </w:r>
          </w:p>
        </w:tc>
      </w:tr>
      <w:tr w:rsidR="00EB3C76" w:rsidRPr="002B45D7" w:rsidTr="00EB3C76">
        <w:trPr>
          <w:tblCellSpacing w:w="15" w:type="dxa"/>
        </w:trPr>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lastRenderedPageBreak/>
              <w:t>Fibrinogen</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0.33</w:t>
            </w:r>
          </w:p>
        </w:tc>
        <w:tc>
          <w:tcPr>
            <w:tcW w:w="0" w:type="auto"/>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r w:rsidR="00EB3C76" w:rsidRPr="002B45D7" w:rsidTr="00EB3C76">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D-dimer</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0.38</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EB3C76"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&lt;0.001</w:t>
            </w:r>
          </w:p>
        </w:tc>
      </w:tr>
    </w:tbl>
    <w:p w:rsidR="00504829" w:rsidRPr="002B45D7" w:rsidRDefault="00EB3C7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br/>
      </w:r>
      <w:r w:rsidR="00504829" w:rsidRPr="002B45D7">
        <w:rPr>
          <w:rFonts w:ascii="Times New Roman" w:hAnsi="Times New Roman" w:cs="Times New Roman"/>
          <w:sz w:val="24"/>
          <w:szCs w:val="24"/>
        </w:rPr>
        <w:t>Significant negative correlations existed between HBsAg positivity and hemoglobin (r = -0.35), hematocrit (r = -0.32), RBC count (r = -0.30), and platelet count (r = -0.28) (p &lt; 0.05). Positive correlations were observed with WBC count (r = 0.21), PT (r = 0.30), APTT (r = 0.27), fibrinogen (r = 0.33), and D-dimer (r = 0.38) (p &lt; 0.05).</w:t>
      </w:r>
    </w:p>
    <w:p w:rsidR="00504829" w:rsidRPr="002B45D7" w:rsidRDefault="00504829"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FA1EE7" w:rsidRDefault="00FA1EE7" w:rsidP="002B45D7">
      <w:pPr>
        <w:spacing w:line="360" w:lineRule="auto"/>
        <w:jc w:val="both"/>
        <w:rPr>
          <w:rFonts w:ascii="Times New Roman" w:hAnsi="Times New Roman" w:cs="Times New Roman"/>
          <w:sz w:val="24"/>
          <w:szCs w:val="24"/>
        </w:rPr>
      </w:pPr>
    </w:p>
    <w:p w:rsidR="008556C9" w:rsidRPr="002B45D7" w:rsidRDefault="008556C9" w:rsidP="002B45D7">
      <w:pPr>
        <w:spacing w:line="360" w:lineRule="auto"/>
        <w:jc w:val="both"/>
        <w:rPr>
          <w:rFonts w:ascii="Times New Roman" w:hAnsi="Times New Roman" w:cs="Times New Roman"/>
          <w:sz w:val="24"/>
          <w:szCs w:val="24"/>
        </w:rPr>
      </w:pPr>
    </w:p>
    <w:p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4.0 </w:t>
      </w:r>
      <w:r w:rsidR="00504829" w:rsidRPr="002B45D7">
        <w:rPr>
          <w:rFonts w:ascii="Times New Roman" w:hAnsi="Times New Roman" w:cs="Times New Roman"/>
          <w:b/>
          <w:sz w:val="24"/>
          <w:szCs w:val="24"/>
        </w:rPr>
        <w:t>Discussion</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This study was designed to elucidate the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alterations associated with Hepatitis B surface antigen (HBsAg) infection among pregnant women attending antenatal clinics in Edo State. The findings provide valuable insights into the potential impact of chronic Hepatitis B virus (HBV) infection on maternal hematological and coagulation profiles, particularly regarding red cell indices, white cell response, platelet parameters, and the dynamic balance of the coagulation system during pregnancy.</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The demographic characteristics of the study participants revealed a relatively homogeneous distribution between the HBsAg-positive and control groups across key variables such as age, marital status, and educational level. This uniformity suggests that the observed differences in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indices are more likely attributable to HBsAg status rather than socio-demographic confounders (Sperling et al., 2017). The predominance of participants within the 25–34-year age range reflects the typical reproductive age group, thus enhancing the </w:t>
      </w:r>
      <w:r w:rsidRPr="00142FF1">
        <w:rPr>
          <w:rFonts w:ascii="Times New Roman" w:eastAsia="Times New Roman" w:hAnsi="Times New Roman" w:cs="Times New Roman"/>
          <w:sz w:val="24"/>
          <w:szCs w:val="24"/>
        </w:rPr>
        <w:lastRenderedPageBreak/>
        <w:t xml:space="preserve">generalizability of the findings to the wider population of pregnant women. Similarly, the comparable distribution of gestational age, with most women in their second trimester, is important since this period is characterized by significant physiological changes, including plasma volume expansion, physiological anemia, and a gradual shift toward a hypercoagulable state (Lurie &amp; Weinberger, 2004). The consistently low hepatitis B vaccination coverage observed among both groups underscores an ongoing public health concern in Edo State, as limited immunization increases the risk of chronic HBV persistence and vertical transmission (WHO, 2017). The similarity in prior pregnancy history and reported anemia symptoms across groups further strengthens the internal validity of the study, allowing for a clearer interpretation of the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differences linked to HBsAg infection.</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hematological findings indicate that HBsAg-positive pregnant women exhibited notable reductions in red blood cell (RBC) count, hemoglobin (Hb) concentration, and hematocrit (</w:t>
      </w:r>
      <w:proofErr w:type="spellStart"/>
      <w:r w:rsidRPr="00142FF1">
        <w:rPr>
          <w:rFonts w:ascii="Times New Roman" w:eastAsia="Times New Roman" w:hAnsi="Times New Roman" w:cs="Times New Roman"/>
          <w:sz w:val="24"/>
          <w:szCs w:val="24"/>
        </w:rPr>
        <w:t>Hct</w:t>
      </w:r>
      <w:proofErr w:type="spellEnd"/>
      <w:r w:rsidRPr="00142FF1">
        <w:rPr>
          <w:rFonts w:ascii="Times New Roman" w:eastAsia="Times New Roman" w:hAnsi="Times New Roman" w:cs="Times New Roman"/>
          <w:sz w:val="24"/>
          <w:szCs w:val="24"/>
        </w:rPr>
        <w:t>) compared to their non-infected counterparts. These alterations point to a heightened prevalence of anemia among HBV-infected individuals, aligning with previous reports that highlight the compounding effect of chronic viral infections on anemia during pregnancy (Stevens et al., 2021). The underlying mechanisms may involve anemia of chronic disease, where persistent inflammation disrupts iron metabolism, suppresses erythropoietin activity, and inhibits erythropoiesis (Weiss &amp; Goodnough, 2005). This condition may coexist with iron deficiency, a common pregnancy complication, thereby aggravating the anemia burden among HBsAg-positive women.</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mild reductions in mean corpuscular volume (MCV) and mean corpuscular hemoglobin (MCH) observed in the infected group further suggest a trend toward microcytic anemia, typically associated with iron deficiency or chronic disease-related erythropoietic changes (Ganz, 2019). However, the mean corpuscular hemoglobin concentration (MCHC) remained relatively stable across groups, implying that hemoglobinization per cell may not be significantly impaired. Elevated red cell distribution width (RDW-CV and RDW-SD) in the infected group indicates anisocytosis and a heterogeneity in red cell size, possibly reflecting an ongoing yet inefficient erythropoietic response—a hallmark of anemia associated with chronic inflammation (</w:t>
      </w:r>
      <w:proofErr w:type="spellStart"/>
      <w:r w:rsidRPr="00142FF1">
        <w:rPr>
          <w:rFonts w:ascii="Times New Roman" w:eastAsia="Times New Roman" w:hAnsi="Times New Roman" w:cs="Times New Roman"/>
          <w:sz w:val="24"/>
          <w:szCs w:val="24"/>
        </w:rPr>
        <w:t>Salvagno</w:t>
      </w:r>
      <w:proofErr w:type="spellEnd"/>
      <w:r w:rsidRPr="00142FF1">
        <w:rPr>
          <w:rFonts w:ascii="Times New Roman" w:eastAsia="Times New Roman" w:hAnsi="Times New Roman" w:cs="Times New Roman"/>
          <w:sz w:val="24"/>
          <w:szCs w:val="24"/>
        </w:rPr>
        <w:t xml:space="preserve"> et al., 2015). The modestly increased reticulocyte percentage may represent a compensatory </w:t>
      </w:r>
      <w:r w:rsidRPr="00142FF1">
        <w:rPr>
          <w:rFonts w:ascii="Times New Roman" w:eastAsia="Times New Roman" w:hAnsi="Times New Roman" w:cs="Times New Roman"/>
          <w:sz w:val="24"/>
          <w:szCs w:val="24"/>
        </w:rPr>
        <w:lastRenderedPageBreak/>
        <w:t>marrow response to anemia, although this appears insufficient to restore normal hematological balance.</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leukocyte profile revealed higher total white blood cell (WBC) counts in the HBsAg-positive group, driven mainly by neutrophilia with relative lymphopenia. While pregnancy itself is associated with physiological leukocytosis and neutrophilia (Lurie &amp; Weinberger, 2004), the additional elevation among infected women may indicate heightened immune activation due to chronic HBV infection (Chen et al., 2020). This pattern is consistent with persistent inflammatory and innate immune responses typically observed in chronic viral infections.</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The platelet parameters also revealed significant alterations. The lower platelet count among HBsAg-positive women, together with variations in mean platelet volume (MPV), platelet distribution width (PDW), and </w:t>
      </w:r>
      <w:proofErr w:type="spellStart"/>
      <w:r w:rsidRPr="00142FF1">
        <w:rPr>
          <w:rFonts w:ascii="Times New Roman" w:eastAsia="Times New Roman" w:hAnsi="Times New Roman" w:cs="Times New Roman"/>
          <w:sz w:val="24"/>
          <w:szCs w:val="24"/>
        </w:rPr>
        <w:t>plateletcrit</w:t>
      </w:r>
      <w:proofErr w:type="spellEnd"/>
      <w:r w:rsidRPr="00142FF1">
        <w:rPr>
          <w:rFonts w:ascii="Times New Roman" w:eastAsia="Times New Roman" w:hAnsi="Times New Roman" w:cs="Times New Roman"/>
          <w:sz w:val="24"/>
          <w:szCs w:val="24"/>
        </w:rPr>
        <w:t xml:space="preserve"> (PCT), suggests thrombocytopenia and potential platelet dysfunction. Chronic liver impairment resulting from HBV infection can contribute to thrombocytopenia through mechanisms such as hypersplenism and decreased hepatic production of thrombopoietin (Peck-</w:t>
      </w:r>
      <w:proofErr w:type="spellStart"/>
      <w:r w:rsidRPr="00142FF1">
        <w:rPr>
          <w:rFonts w:ascii="Times New Roman" w:eastAsia="Times New Roman" w:hAnsi="Times New Roman" w:cs="Times New Roman"/>
          <w:sz w:val="24"/>
          <w:szCs w:val="24"/>
        </w:rPr>
        <w:t>Radosavljevic</w:t>
      </w:r>
      <w:proofErr w:type="spellEnd"/>
      <w:r w:rsidRPr="00142FF1">
        <w:rPr>
          <w:rFonts w:ascii="Times New Roman" w:eastAsia="Times New Roman" w:hAnsi="Times New Roman" w:cs="Times New Roman"/>
          <w:sz w:val="24"/>
          <w:szCs w:val="24"/>
        </w:rPr>
        <w:t>, 2017). Alterations in MPV and PDW likely indicate compensatory bone marrow activity, producing larger, immature platelets to counterbalance peripheral destruction (Bansal et al., 2019). These platelet abnormalities have important clinical implications, as they may predispose infected pregnant women to hemorrhagic complications during labor and delivery.</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The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findings further highlight the intricate interaction between HBV infection, liver function, and the coagulation system in pregnancy. The prolonged prothrombin time (PT) and activated partial thromboplastin time (APTT) observed in the HBsAg-positive group may reflect impaired synthesis of coagulation factors, particularly those of the common pathway (I, II, V, X), due to hepatocellular dysfunction (Lisman et al., 2010). Given HBV’s hepatotropic nature, even subclinical liver injury may alter coagulation homeostasis, resulting in a prolonged clotting profile despite pregnancy’s inherent pro-thrombotic tendency.</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Interestingly, both fibrinogen and D-dimer levels were elevated in the infected group. Fibrinogen, an acute-phase reactant, typically rises in response to systemic inflammation, while its elevation during pregnancy is also physiological (Lisman et al., 2010). The markedly high D-dimer levels, </w:t>
      </w:r>
      <w:r w:rsidRPr="00142FF1">
        <w:rPr>
          <w:rFonts w:ascii="Times New Roman" w:eastAsia="Times New Roman" w:hAnsi="Times New Roman" w:cs="Times New Roman"/>
          <w:sz w:val="24"/>
          <w:szCs w:val="24"/>
        </w:rPr>
        <w:lastRenderedPageBreak/>
        <w:t>however, suggest increased fibrin turnover and fibrinolytic activity, reflecting ongoing subclinical coagulopathy. The simultaneous occurrence of prolonged clotting times with elevated fibrinogen and D-dimer may point toward a compensated disseminated intravascular coagulation (DIC)-like state, or pre-DIC, which is often observed in chronic liver disease and systemic inflammation (</w:t>
      </w:r>
      <w:proofErr w:type="spellStart"/>
      <w:r w:rsidRPr="00142FF1">
        <w:rPr>
          <w:rFonts w:ascii="Times New Roman" w:eastAsia="Times New Roman" w:hAnsi="Times New Roman" w:cs="Times New Roman"/>
          <w:sz w:val="24"/>
          <w:szCs w:val="24"/>
        </w:rPr>
        <w:t>Ercan</w:t>
      </w:r>
      <w:proofErr w:type="spellEnd"/>
      <w:r w:rsidRPr="00142FF1">
        <w:rPr>
          <w:rFonts w:ascii="Times New Roman" w:eastAsia="Times New Roman" w:hAnsi="Times New Roman" w:cs="Times New Roman"/>
          <w:sz w:val="24"/>
          <w:szCs w:val="24"/>
        </w:rPr>
        <w:t xml:space="preserve"> &amp; Turgut, 2022). This state denotes accelerated coagulation and fibrinolysis, potentially placing HBV-infected pregnant women at dual risk for thrombotic and bleeding complications—a delicate balance requiring careful clinical monitoring.</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The prevalence of HBsAg among the studied pregnant women in Edo State was notably high, signifying an alarming public health concern. West Africa remains a region of high HBV endemicity (Schweitzer et al., 2021), and the observed prevalence reinforces the urgent need for strengthened preventive measures. High infection rates among pregnant women pose a substantial risk of mother-to-child transmission (MTCT), which remains the major route of chronic HBV infection globally (Ott et al., 2022). This finding underscores the importance of universal antenatal screening, improved vaccination coverage, and the implementation of antiviral prophylaxis for infected mothers to mitigate vertical transmission and long-term sequelae.</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Correlation analyses further demonstrated strong associations between HBsAg positivity and hematological as well as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abnormalities. The significant negative correlations with Hb, </w:t>
      </w:r>
      <w:proofErr w:type="spellStart"/>
      <w:r w:rsidRPr="00142FF1">
        <w:rPr>
          <w:rFonts w:ascii="Times New Roman" w:eastAsia="Times New Roman" w:hAnsi="Times New Roman" w:cs="Times New Roman"/>
          <w:sz w:val="24"/>
          <w:szCs w:val="24"/>
        </w:rPr>
        <w:t>Hct</w:t>
      </w:r>
      <w:proofErr w:type="spellEnd"/>
      <w:r w:rsidRPr="00142FF1">
        <w:rPr>
          <w:rFonts w:ascii="Times New Roman" w:eastAsia="Times New Roman" w:hAnsi="Times New Roman" w:cs="Times New Roman"/>
          <w:sz w:val="24"/>
          <w:szCs w:val="24"/>
        </w:rPr>
        <w:t xml:space="preserve">, RBC count, and platelet count indicate that HBV infection contributes to </w:t>
      </w:r>
      <w:proofErr w:type="spellStart"/>
      <w:r w:rsidRPr="00142FF1">
        <w:rPr>
          <w:rFonts w:ascii="Times New Roman" w:eastAsia="Times New Roman" w:hAnsi="Times New Roman" w:cs="Times New Roman"/>
          <w:sz w:val="24"/>
          <w:szCs w:val="24"/>
        </w:rPr>
        <w:t>cytopenias</w:t>
      </w:r>
      <w:proofErr w:type="spellEnd"/>
      <w:r w:rsidRPr="00142FF1">
        <w:rPr>
          <w:rFonts w:ascii="Times New Roman" w:eastAsia="Times New Roman" w:hAnsi="Times New Roman" w:cs="Times New Roman"/>
          <w:sz w:val="24"/>
          <w:szCs w:val="24"/>
        </w:rPr>
        <w:t xml:space="preserve">, possibly through chronic inflammation, hypersplenism, and impaired hepatic synthetic function (Shih et al., 2020). Conversely, positive correlations with WBC count, PT, APTT, fibrinogen, and D-dimer suggest that HBsAg carriage is linked to systemic immune activation and complex disturbances in the coagulation cascade. The concurrent prolongation of clotting times with elevated fibrinogen and D-dimer levels highlights a paradoxical state of hypercoagulability and </w:t>
      </w:r>
      <w:proofErr w:type="spellStart"/>
      <w:r w:rsidRPr="00142FF1">
        <w:rPr>
          <w:rFonts w:ascii="Times New Roman" w:eastAsia="Times New Roman" w:hAnsi="Times New Roman" w:cs="Times New Roman"/>
          <w:sz w:val="24"/>
          <w:szCs w:val="24"/>
        </w:rPr>
        <w:t>hypocoagulability</w:t>
      </w:r>
      <w:proofErr w:type="spellEnd"/>
      <w:r w:rsidRPr="00142FF1">
        <w:rPr>
          <w:rFonts w:ascii="Times New Roman" w:eastAsia="Times New Roman" w:hAnsi="Times New Roman" w:cs="Times New Roman"/>
          <w:sz w:val="24"/>
          <w:szCs w:val="24"/>
        </w:rPr>
        <w:t xml:space="preserve">—reflecting an unstable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equilibrium.</w:t>
      </w:r>
    </w:p>
    <w:p w:rsidR="00142FF1" w:rsidRPr="00142FF1" w:rsidRDefault="00142FF1" w:rsidP="002B45D7">
      <w:pPr>
        <w:spacing w:before="100" w:beforeAutospacing="1" w:after="100" w:afterAutospacing="1" w:line="360" w:lineRule="auto"/>
        <w:jc w:val="both"/>
        <w:rPr>
          <w:rFonts w:ascii="Times New Roman" w:eastAsia="Times New Roman" w:hAnsi="Times New Roman" w:cs="Times New Roman"/>
          <w:sz w:val="24"/>
          <w:szCs w:val="24"/>
        </w:rPr>
      </w:pPr>
      <w:r w:rsidRPr="00142FF1">
        <w:rPr>
          <w:rFonts w:ascii="Times New Roman" w:eastAsia="Times New Roman" w:hAnsi="Times New Roman" w:cs="Times New Roman"/>
          <w:sz w:val="24"/>
          <w:szCs w:val="24"/>
        </w:rPr>
        <w:t xml:space="preserve">Collectively, these findings emphasize that HBV infection during pregnancy can significantly alter hematological and </w:t>
      </w:r>
      <w:proofErr w:type="spellStart"/>
      <w:r w:rsidRPr="00142FF1">
        <w:rPr>
          <w:rFonts w:ascii="Times New Roman" w:eastAsia="Times New Roman" w:hAnsi="Times New Roman" w:cs="Times New Roman"/>
          <w:sz w:val="24"/>
          <w:szCs w:val="24"/>
        </w:rPr>
        <w:t>haemostatic</w:t>
      </w:r>
      <w:proofErr w:type="spellEnd"/>
      <w:r w:rsidRPr="00142FF1">
        <w:rPr>
          <w:rFonts w:ascii="Times New Roman" w:eastAsia="Times New Roman" w:hAnsi="Times New Roman" w:cs="Times New Roman"/>
          <w:sz w:val="24"/>
          <w:szCs w:val="24"/>
        </w:rPr>
        <w:t xml:space="preserve"> parameters, potentially predisposing women to both thrombotic and hemorrhagic complications. This underscores the importance of integrating routine FBC, coagulation profiling, and HBsAg screening into antenatal care programs in Edo State. Such comprehensive evaluation could aid in early identification of at-risk women, facilitate prompt </w:t>
      </w:r>
      <w:r w:rsidRPr="00142FF1">
        <w:rPr>
          <w:rFonts w:ascii="Times New Roman" w:eastAsia="Times New Roman" w:hAnsi="Times New Roman" w:cs="Times New Roman"/>
          <w:sz w:val="24"/>
          <w:szCs w:val="24"/>
        </w:rPr>
        <w:lastRenderedPageBreak/>
        <w:t>interventions, and ultimately contribute to reducing maternal and n</w:t>
      </w:r>
      <w:r w:rsidR="008556C9">
        <w:rPr>
          <w:rFonts w:ascii="Times New Roman" w:eastAsia="Times New Roman" w:hAnsi="Times New Roman" w:cs="Times New Roman"/>
          <w:sz w:val="24"/>
          <w:szCs w:val="24"/>
        </w:rPr>
        <w:t xml:space="preserve">eonatal morbidity and mortality </w:t>
      </w:r>
      <w:r w:rsidRPr="00142FF1">
        <w:rPr>
          <w:rFonts w:ascii="Times New Roman" w:eastAsia="Times New Roman" w:hAnsi="Times New Roman" w:cs="Times New Roman"/>
          <w:sz w:val="24"/>
          <w:szCs w:val="24"/>
        </w:rPr>
        <w:t>associated with HBV infection in the region.</w:t>
      </w:r>
    </w:p>
    <w:p w:rsidR="008556C9" w:rsidRPr="002B45D7" w:rsidRDefault="008556C9" w:rsidP="002B45D7">
      <w:pPr>
        <w:spacing w:line="360" w:lineRule="auto"/>
        <w:jc w:val="both"/>
        <w:rPr>
          <w:rFonts w:ascii="Times New Roman" w:hAnsi="Times New Roman" w:cs="Times New Roman"/>
          <w:sz w:val="24"/>
          <w:szCs w:val="24"/>
        </w:rPr>
      </w:pPr>
    </w:p>
    <w:p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5.0 </w:t>
      </w:r>
      <w:r w:rsidR="00504829" w:rsidRPr="002B45D7">
        <w:rPr>
          <w:rFonts w:ascii="Times New Roman" w:hAnsi="Times New Roman" w:cs="Times New Roman"/>
          <w:b/>
          <w:sz w:val="24"/>
          <w:szCs w:val="24"/>
        </w:rPr>
        <w:t>Conclusion</w:t>
      </w:r>
    </w:p>
    <w:p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Significant hematological abnormalities, including anemia, thrombocytopenia, and immune cell changes, as well as coagulation abnormalities suggestive of a twofold risk for bleeding and thrombosis, are linked to HBsAg infection during pregnancy in Edo State. In order to attenuate negative maternal and fetal outcomes and reduce mother-to-child transmission, these changes need for regular comprehensive monitoring and integrated care techniques in prenatal programs.</w:t>
      </w:r>
    </w:p>
    <w:p w:rsidR="00504829" w:rsidRPr="002B45D7" w:rsidRDefault="00504829" w:rsidP="004925B9">
      <w:pPr>
        <w:spacing w:line="360" w:lineRule="auto"/>
        <w:jc w:val="both"/>
        <w:rPr>
          <w:rFonts w:ascii="Times New Roman" w:hAnsi="Times New Roman" w:cs="Times New Roman"/>
          <w:sz w:val="24"/>
          <w:szCs w:val="24"/>
        </w:rPr>
      </w:pPr>
    </w:p>
    <w:p w:rsidR="00FA1EE7" w:rsidRPr="002B45D7" w:rsidRDefault="00FA1EE7" w:rsidP="002B45D7">
      <w:pPr>
        <w:spacing w:line="360" w:lineRule="auto"/>
        <w:jc w:val="both"/>
        <w:rPr>
          <w:rFonts w:ascii="Times New Roman" w:hAnsi="Times New Roman" w:cs="Times New Roman"/>
          <w:sz w:val="24"/>
          <w:szCs w:val="24"/>
        </w:rPr>
      </w:pPr>
    </w:p>
    <w:p w:rsidR="00504829" w:rsidRPr="002B45D7" w:rsidRDefault="00FA1EE7"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 xml:space="preserve">6.0 </w:t>
      </w:r>
      <w:r w:rsidR="00504829" w:rsidRPr="002B45D7">
        <w:rPr>
          <w:rFonts w:ascii="Times New Roman" w:hAnsi="Times New Roman" w:cs="Times New Roman"/>
          <w:b/>
          <w:sz w:val="24"/>
          <w:szCs w:val="24"/>
        </w:rPr>
        <w:t>Recommendations</w:t>
      </w:r>
    </w:p>
    <w:p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Universal HBsAg screening of pregnant women at first antenatal visit in Edo State, with confirmatory testing and follow-up.</w:t>
      </w:r>
    </w:p>
    <w:p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Routine monitoring of full blood count and coagulation profiles throughout pregnancy, especially in HBsAg positive women.</w:t>
      </w:r>
    </w:p>
    <w:p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Scale-up HBV vaccination programs targeting women of reproductive age to prevent chronic infection.</w:t>
      </w:r>
    </w:p>
    <w:p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Initiation of antiviral prophylaxis, e.g., tenofovir, in eligible high viral load HBsAg positive pregnant women to reduce transmission risk.</w:t>
      </w:r>
    </w:p>
    <w:p w:rsidR="00FA1EE7"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Strengthening healthcare provider training on managing hematological and </w:t>
      </w:r>
      <w:proofErr w:type="spellStart"/>
      <w:r w:rsidRPr="002B45D7">
        <w:rPr>
          <w:rFonts w:ascii="Times New Roman" w:hAnsi="Times New Roman" w:cs="Times New Roman"/>
          <w:sz w:val="24"/>
          <w:szCs w:val="24"/>
        </w:rPr>
        <w:t>haemostatic</w:t>
      </w:r>
      <w:proofErr w:type="spellEnd"/>
      <w:r w:rsidRPr="002B45D7">
        <w:rPr>
          <w:rFonts w:ascii="Times New Roman" w:hAnsi="Times New Roman" w:cs="Times New Roman"/>
          <w:sz w:val="24"/>
          <w:szCs w:val="24"/>
        </w:rPr>
        <w:t xml:space="preserve"> complications in HBV infected pregnant women.</w:t>
      </w:r>
    </w:p>
    <w:p w:rsidR="00504829" w:rsidRPr="002B45D7" w:rsidRDefault="00504829" w:rsidP="002B45D7">
      <w:pPr>
        <w:pStyle w:val="ListParagraph"/>
        <w:numPr>
          <w:ilvl w:val="0"/>
          <w:numId w:val="14"/>
        </w:num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Further studies correlating viral load and liver function markers with hematological parameters for enhanced risk stratification.</w:t>
      </w:r>
    </w:p>
    <w:p w:rsidR="00E6413D" w:rsidRDefault="00E6413D" w:rsidP="002B45D7">
      <w:pPr>
        <w:spacing w:line="360" w:lineRule="auto"/>
        <w:jc w:val="both"/>
        <w:rPr>
          <w:rFonts w:ascii="Times New Roman" w:hAnsi="Times New Roman" w:cs="Times New Roman"/>
          <w:sz w:val="24"/>
          <w:szCs w:val="24"/>
        </w:rPr>
      </w:pPr>
    </w:p>
    <w:p w:rsidR="008556C9" w:rsidRDefault="008556C9" w:rsidP="002B45D7">
      <w:pPr>
        <w:spacing w:line="360" w:lineRule="auto"/>
        <w:jc w:val="both"/>
        <w:rPr>
          <w:rFonts w:ascii="Times New Roman" w:hAnsi="Times New Roman" w:cs="Times New Roman"/>
          <w:sz w:val="24"/>
          <w:szCs w:val="24"/>
        </w:rPr>
      </w:pPr>
    </w:p>
    <w:p w:rsidR="008556C9" w:rsidRDefault="008556C9" w:rsidP="002B45D7">
      <w:pPr>
        <w:spacing w:line="360" w:lineRule="auto"/>
        <w:jc w:val="both"/>
        <w:rPr>
          <w:rFonts w:ascii="Times New Roman" w:hAnsi="Times New Roman" w:cs="Times New Roman"/>
          <w:sz w:val="24"/>
          <w:szCs w:val="24"/>
        </w:rPr>
      </w:pPr>
    </w:p>
    <w:p w:rsidR="00504829" w:rsidRPr="002B45D7" w:rsidRDefault="00E6413D"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lastRenderedPageBreak/>
        <w:t>7.0 Contribution to Knowledge</w:t>
      </w:r>
    </w:p>
    <w:p w:rsidR="00E6413D" w:rsidRPr="002B45D7" w:rsidRDefault="00E6413D" w:rsidP="004925B9">
      <w:pPr>
        <w:spacing w:line="360" w:lineRule="auto"/>
        <w:jc w:val="both"/>
        <w:rPr>
          <w:rFonts w:ascii="Times New Roman" w:hAnsi="Times New Roman" w:cs="Times New Roman"/>
          <w:sz w:val="24"/>
          <w:szCs w:val="24"/>
        </w:rPr>
      </w:pPr>
    </w:p>
    <w:p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This research adds localized insight into the complex interplay between chronic HBV infection, pregnancy physiology, and maternal-fetal health risks by identifying significant anemia, thrombocytopenia, leukocyte profile changes, and coagulation parameter abnormalities in pregnant women who tested positive for HBsAg. The study's contribution to knowledge is the detailed evidence on the hematological and hemostatic alterations associated with hepatitis B virus (HBV) infection among pregnant women in Edo State, Nigeria—a high endemic region with limited comprehensive data.</w:t>
      </w:r>
    </w:p>
    <w:p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By providing strong comparative data against a control group in the same clinical setting in Nigeria, the study specifically clarifies the degree to which HBV infection disrupts erythropoiesis and coagulation homeostasis, increasing the risk of adverse obstetric outcomes such as postpartum hemorrhage, preterm labor, and vertical transmission. The study also identifies critical gaps in antenatal screening, monitoring, and viral load assessment, thus highlighting the need for improved integrated maternal-fetal health strategies and focused interventions in similar resource-constrained setting.</w:t>
      </w:r>
    </w:p>
    <w:p w:rsidR="004925B9" w:rsidRPr="004925B9" w:rsidRDefault="004925B9" w:rsidP="004925B9">
      <w:pPr>
        <w:spacing w:after="0" w:line="360" w:lineRule="auto"/>
        <w:jc w:val="both"/>
        <w:rPr>
          <w:rFonts w:ascii="Times New Roman" w:eastAsia="Times New Roman" w:hAnsi="Times New Roman" w:cs="Times New Roman"/>
          <w:sz w:val="24"/>
          <w:szCs w:val="24"/>
        </w:rPr>
      </w:pPr>
      <w:r w:rsidRPr="004925B9">
        <w:rPr>
          <w:rFonts w:ascii="Times New Roman" w:eastAsia="Times New Roman" w:hAnsi="Times New Roman" w:cs="Times New Roman"/>
          <w:sz w:val="24"/>
          <w:szCs w:val="24"/>
        </w:rPr>
        <w:t>Additionally, this work supports the scaling up of HBV vaccination, antiviral prophylaxis, and health provider education—all crucial elements for achieving WHO's elimination goals—and emphasizes the necessity of routinely incorporating hematological and hemostatic assessments into antenatal care protocols for pregnant women infected with HBV. It establishes the groundwork for upcoming longitudinal and mechanistic research that will be required to maximize care strategies and reduce pregnant problems linked to HBV. As a result, the knowledge contribution is both academic and practical, enhancing our understanding of how HBV affects maternal hematology and hemostasis in high-burden Africa and directing changes in clinical practice.</w:t>
      </w:r>
      <w:r w:rsidRPr="004925B9">
        <w:rPr>
          <w:rFonts w:ascii="Times New Roman" w:eastAsia="Times New Roman" w:hAnsi="Times New Roman" w:cs="Times New Roman"/>
          <w:sz w:val="24"/>
          <w:szCs w:val="24"/>
        </w:rPr>
        <w:br/>
        <w:t>In addition to offering practical data to support clinical recommendations and policies targeted at enhancing maternal and newborn outcomes in HBV-endemic areas, this study highlights the complex interactions between viral illnesses and maternal health in sub-Saharan Africa.</w:t>
      </w:r>
    </w:p>
    <w:p w:rsidR="008556C9" w:rsidRPr="002B45D7" w:rsidRDefault="008556C9" w:rsidP="002B45D7">
      <w:pPr>
        <w:spacing w:line="360" w:lineRule="auto"/>
        <w:jc w:val="both"/>
        <w:rPr>
          <w:rFonts w:ascii="Times New Roman" w:hAnsi="Times New Roman" w:cs="Times New Roman"/>
          <w:sz w:val="24"/>
          <w:szCs w:val="24"/>
        </w:rPr>
      </w:pPr>
    </w:p>
    <w:p w:rsidR="00FA1EE7" w:rsidRPr="002B45D7" w:rsidRDefault="00DB1F3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9.0 Declaration</w:t>
      </w:r>
    </w:p>
    <w:p w:rsidR="00DB1F36" w:rsidRPr="002B45D7" w:rsidRDefault="00DB1F36" w:rsidP="002B45D7">
      <w:pPr>
        <w:pStyle w:val="Default"/>
        <w:spacing w:line="360" w:lineRule="auto"/>
        <w:rPr>
          <w:rFonts w:ascii="Times New Roman" w:hAnsi="Times New Roman" w:cs="Times New Roman"/>
        </w:rPr>
      </w:pPr>
      <w:r w:rsidRPr="002B45D7">
        <w:rPr>
          <w:rFonts w:ascii="Times New Roman" w:hAnsi="Times New Roman" w:cs="Times New Roman"/>
          <w:b/>
          <w:bCs/>
        </w:rPr>
        <w:lastRenderedPageBreak/>
        <w:t xml:space="preserve">COMPETING INTERESTS </w:t>
      </w:r>
    </w:p>
    <w:p w:rsidR="00DB1F36" w:rsidRPr="002B45D7" w:rsidRDefault="00DB1F36" w:rsidP="002B45D7">
      <w:pPr>
        <w:spacing w:line="360" w:lineRule="auto"/>
        <w:jc w:val="both"/>
        <w:rPr>
          <w:rFonts w:ascii="Times New Roman" w:hAnsi="Times New Roman" w:cs="Times New Roman"/>
          <w:b/>
          <w:sz w:val="24"/>
          <w:szCs w:val="24"/>
        </w:rPr>
      </w:pPr>
      <w:r w:rsidRPr="002B45D7">
        <w:rPr>
          <w:rFonts w:ascii="Times New Roman" w:hAnsi="Times New Roman" w:cs="Times New Roman"/>
          <w:sz w:val="24"/>
          <w:szCs w:val="24"/>
        </w:rPr>
        <w:t>Authors have declared that no competing interests exist.</w:t>
      </w:r>
    </w:p>
    <w:p w:rsidR="00890896" w:rsidRPr="002B45D7" w:rsidRDefault="00890896"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Disclaimer (Artificial intelligence)</w:t>
      </w:r>
    </w:p>
    <w:p w:rsidR="00890896" w:rsidRPr="002B45D7" w:rsidRDefault="0089089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 xml:space="preserve">Option 1: </w:t>
      </w:r>
    </w:p>
    <w:p w:rsidR="00930A6F" w:rsidRPr="002B45D7" w:rsidRDefault="00890896" w:rsidP="002B45D7">
      <w:pPr>
        <w:spacing w:line="360" w:lineRule="auto"/>
        <w:jc w:val="both"/>
        <w:rPr>
          <w:rFonts w:ascii="Times New Roman" w:hAnsi="Times New Roman" w:cs="Times New Roman"/>
          <w:sz w:val="24"/>
          <w:szCs w:val="24"/>
        </w:rPr>
      </w:pPr>
      <w:r w:rsidRPr="002B45D7">
        <w:rPr>
          <w:rFonts w:ascii="Times New Roman" w:hAnsi="Times New Roman" w:cs="Times New Roman"/>
          <w:sz w:val="24"/>
          <w:szCs w:val="24"/>
        </w:rPr>
        <w:t>Author(s) hereby declare that generative AI technologies such as Large Language Models (</w:t>
      </w:r>
      <w:proofErr w:type="spellStart"/>
      <w:r w:rsidRPr="002B45D7">
        <w:rPr>
          <w:rFonts w:ascii="Times New Roman" w:hAnsi="Times New Roman" w:cs="Times New Roman"/>
          <w:sz w:val="24"/>
          <w:szCs w:val="24"/>
        </w:rPr>
        <w:t>ChatGPT</w:t>
      </w:r>
      <w:proofErr w:type="spellEnd"/>
      <w:r w:rsidRPr="002B45D7">
        <w:rPr>
          <w:rFonts w:ascii="Times New Roman" w:hAnsi="Times New Roman" w:cs="Times New Roman"/>
          <w:sz w:val="24"/>
          <w:szCs w:val="24"/>
        </w:rPr>
        <w:t xml:space="preserve">, COPILOT, etc.) and text-to-image generators have been used during the writing or editing of this manuscript. </w:t>
      </w:r>
    </w:p>
    <w:p w:rsidR="00930A6F" w:rsidRPr="002B45D7" w:rsidRDefault="00930A6F" w:rsidP="002B45D7">
      <w:pPr>
        <w:spacing w:line="360" w:lineRule="auto"/>
        <w:jc w:val="both"/>
        <w:rPr>
          <w:rFonts w:ascii="Times New Roman" w:hAnsi="Times New Roman" w:cs="Times New Roman"/>
          <w:sz w:val="24"/>
          <w:szCs w:val="24"/>
        </w:rPr>
      </w:pPr>
      <w:bookmarkStart w:id="0" w:name="_GoBack"/>
      <w:bookmarkEnd w:id="0"/>
    </w:p>
    <w:p w:rsidR="00930A6F" w:rsidRPr="002B45D7" w:rsidRDefault="00930A6F" w:rsidP="002B45D7">
      <w:pPr>
        <w:spacing w:line="360" w:lineRule="auto"/>
        <w:jc w:val="both"/>
        <w:rPr>
          <w:rFonts w:ascii="Times New Roman" w:hAnsi="Times New Roman" w:cs="Times New Roman"/>
          <w:b/>
          <w:sz w:val="24"/>
          <w:szCs w:val="24"/>
        </w:rPr>
      </w:pPr>
      <w:r w:rsidRPr="002B45D7">
        <w:rPr>
          <w:rFonts w:ascii="Times New Roman" w:hAnsi="Times New Roman" w:cs="Times New Roman"/>
          <w:b/>
          <w:sz w:val="24"/>
          <w:szCs w:val="24"/>
        </w:rPr>
        <w:t>Reference</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Bansal, D., Bansal, Y., Bajaj, P., &amp; Singh, R. (2019). Platelet volume indices as markers of platelet dysfunction in various clinical conditions. </w:t>
      </w:r>
      <w:r w:rsidRPr="002B45D7">
        <w:rPr>
          <w:rFonts w:ascii="Times New Roman" w:eastAsia="Times New Roman" w:hAnsi="Times New Roman" w:cs="Times New Roman"/>
          <w:i/>
          <w:iCs/>
          <w:sz w:val="24"/>
          <w:szCs w:val="24"/>
        </w:rPr>
        <w:t>Journal of Hematology</w:t>
      </w:r>
      <w:r w:rsidRPr="002B45D7">
        <w:rPr>
          <w:rFonts w:ascii="Times New Roman" w:eastAsia="Times New Roman" w:hAnsi="Times New Roman" w:cs="Times New Roman"/>
          <w:sz w:val="24"/>
          <w:szCs w:val="24"/>
        </w:rPr>
        <w:t>, 8(2), 51–56.</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Bates, S. M., &amp; Greer, I. A. (2021). Hematologic changes and disorders during pregnancy. </w:t>
      </w:r>
      <w:r w:rsidRPr="002B45D7">
        <w:rPr>
          <w:rFonts w:ascii="Times New Roman" w:eastAsia="Times New Roman" w:hAnsi="Times New Roman" w:cs="Times New Roman"/>
          <w:i/>
          <w:iCs/>
          <w:sz w:val="24"/>
          <w:szCs w:val="24"/>
        </w:rPr>
        <w:t>New England Journal of Medicine</w:t>
      </w:r>
      <w:r w:rsidRPr="002B45D7">
        <w:rPr>
          <w:rFonts w:ascii="Times New Roman" w:eastAsia="Times New Roman" w:hAnsi="Times New Roman" w:cs="Times New Roman"/>
          <w:sz w:val="24"/>
          <w:szCs w:val="24"/>
        </w:rPr>
        <w:t>, 384(17), 1648–1660.</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Chen, Y., Tian, Y., Zhang, J., &amp; Li, L. (2020). Immunological mechanisms of chronic hepatitis B infection and implications for therapy. </w:t>
      </w:r>
      <w:r w:rsidRPr="002B45D7">
        <w:rPr>
          <w:rFonts w:ascii="Times New Roman" w:eastAsia="Times New Roman" w:hAnsi="Times New Roman" w:cs="Times New Roman"/>
          <w:i/>
          <w:iCs/>
          <w:sz w:val="24"/>
          <w:szCs w:val="24"/>
        </w:rPr>
        <w:t>Frontiers in Immunology</w:t>
      </w:r>
      <w:r w:rsidRPr="002B45D7">
        <w:rPr>
          <w:rFonts w:ascii="Times New Roman" w:eastAsia="Times New Roman" w:hAnsi="Times New Roman" w:cs="Times New Roman"/>
          <w:sz w:val="24"/>
          <w:szCs w:val="24"/>
        </w:rPr>
        <w:t>, 11, 582949. https://doi.org/10.3389/fimmu.2020.582949</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t>Cockey</w:t>
      </w:r>
      <w:proofErr w:type="spellEnd"/>
      <w:r w:rsidRPr="002B45D7">
        <w:rPr>
          <w:rFonts w:ascii="Times New Roman" w:eastAsia="Times New Roman" w:hAnsi="Times New Roman" w:cs="Times New Roman"/>
          <w:sz w:val="24"/>
          <w:szCs w:val="24"/>
        </w:rPr>
        <w:t xml:space="preserve">, A. J., </w:t>
      </w:r>
      <w:proofErr w:type="spellStart"/>
      <w:r w:rsidRPr="002B45D7">
        <w:rPr>
          <w:rFonts w:ascii="Times New Roman" w:eastAsia="Times New Roman" w:hAnsi="Times New Roman" w:cs="Times New Roman"/>
          <w:sz w:val="24"/>
          <w:szCs w:val="24"/>
        </w:rPr>
        <w:t>Adediran</w:t>
      </w:r>
      <w:proofErr w:type="spellEnd"/>
      <w:r w:rsidRPr="002B45D7">
        <w:rPr>
          <w:rFonts w:ascii="Times New Roman" w:eastAsia="Times New Roman" w:hAnsi="Times New Roman" w:cs="Times New Roman"/>
          <w:sz w:val="24"/>
          <w:szCs w:val="24"/>
        </w:rPr>
        <w:t xml:space="preserve">, A., &amp; Mohammed, I. (2022). Prevalence and risk factors of hepatitis B virus infection among pregnant women in sub-Saharan Africa: A systematic review and meta-analysis. </w:t>
      </w:r>
      <w:r w:rsidRPr="002B45D7">
        <w:rPr>
          <w:rFonts w:ascii="Times New Roman" w:eastAsia="Times New Roman" w:hAnsi="Times New Roman" w:cs="Times New Roman"/>
          <w:i/>
          <w:iCs/>
          <w:sz w:val="24"/>
          <w:szCs w:val="24"/>
        </w:rPr>
        <w:t>African Journal of Reproductive Health</w:t>
      </w:r>
      <w:r w:rsidRPr="002B45D7">
        <w:rPr>
          <w:rFonts w:ascii="Times New Roman" w:eastAsia="Times New Roman" w:hAnsi="Times New Roman" w:cs="Times New Roman"/>
          <w:sz w:val="24"/>
          <w:szCs w:val="24"/>
        </w:rPr>
        <w:t>, 26(4), 112–124.</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Cunningham, F. G., </w:t>
      </w:r>
      <w:proofErr w:type="spellStart"/>
      <w:r w:rsidRPr="002B45D7">
        <w:rPr>
          <w:rFonts w:ascii="Times New Roman" w:eastAsia="Times New Roman" w:hAnsi="Times New Roman" w:cs="Times New Roman"/>
          <w:sz w:val="24"/>
          <w:szCs w:val="24"/>
        </w:rPr>
        <w:t>Leveno</w:t>
      </w:r>
      <w:proofErr w:type="spellEnd"/>
      <w:r w:rsidRPr="002B45D7">
        <w:rPr>
          <w:rFonts w:ascii="Times New Roman" w:eastAsia="Times New Roman" w:hAnsi="Times New Roman" w:cs="Times New Roman"/>
          <w:sz w:val="24"/>
          <w:szCs w:val="24"/>
        </w:rPr>
        <w:t xml:space="preserve">, K. J., Bloom, S. L., </w:t>
      </w:r>
      <w:proofErr w:type="spellStart"/>
      <w:r w:rsidRPr="002B45D7">
        <w:rPr>
          <w:rFonts w:ascii="Times New Roman" w:eastAsia="Times New Roman" w:hAnsi="Times New Roman" w:cs="Times New Roman"/>
          <w:sz w:val="24"/>
          <w:szCs w:val="24"/>
        </w:rPr>
        <w:t>Spong</w:t>
      </w:r>
      <w:proofErr w:type="spellEnd"/>
      <w:r w:rsidRPr="002B45D7">
        <w:rPr>
          <w:rFonts w:ascii="Times New Roman" w:eastAsia="Times New Roman" w:hAnsi="Times New Roman" w:cs="Times New Roman"/>
          <w:sz w:val="24"/>
          <w:szCs w:val="24"/>
        </w:rPr>
        <w:t xml:space="preserve">, C. Y., </w:t>
      </w:r>
      <w:proofErr w:type="spellStart"/>
      <w:r w:rsidRPr="002B45D7">
        <w:rPr>
          <w:rFonts w:ascii="Times New Roman" w:eastAsia="Times New Roman" w:hAnsi="Times New Roman" w:cs="Times New Roman"/>
          <w:sz w:val="24"/>
          <w:szCs w:val="24"/>
        </w:rPr>
        <w:t>Dashe</w:t>
      </w:r>
      <w:proofErr w:type="spellEnd"/>
      <w:r w:rsidRPr="002B45D7">
        <w:rPr>
          <w:rFonts w:ascii="Times New Roman" w:eastAsia="Times New Roman" w:hAnsi="Times New Roman" w:cs="Times New Roman"/>
          <w:sz w:val="24"/>
          <w:szCs w:val="24"/>
        </w:rPr>
        <w:t xml:space="preserve">, J. S., Hoffman, B. L., Casey, B. M., &amp; Sheffield, J. S. (2022). </w:t>
      </w:r>
      <w:r w:rsidRPr="002B45D7">
        <w:rPr>
          <w:rFonts w:ascii="Times New Roman" w:eastAsia="Times New Roman" w:hAnsi="Times New Roman" w:cs="Times New Roman"/>
          <w:i/>
          <w:iCs/>
          <w:sz w:val="24"/>
          <w:szCs w:val="24"/>
        </w:rPr>
        <w:t>Williams Obstetrics</w:t>
      </w:r>
      <w:r w:rsidRPr="002B45D7">
        <w:rPr>
          <w:rFonts w:ascii="Times New Roman" w:eastAsia="Times New Roman" w:hAnsi="Times New Roman" w:cs="Times New Roman"/>
          <w:sz w:val="24"/>
          <w:szCs w:val="24"/>
        </w:rPr>
        <w:t xml:space="preserve"> (27th ed.). McGraw Hill Education.</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Eke, A. C., Eke, U. A., Okafor, C. I., </w:t>
      </w:r>
      <w:proofErr w:type="spellStart"/>
      <w:r w:rsidRPr="002B45D7">
        <w:rPr>
          <w:rFonts w:ascii="Times New Roman" w:eastAsia="Times New Roman" w:hAnsi="Times New Roman" w:cs="Times New Roman"/>
          <w:sz w:val="24"/>
          <w:szCs w:val="24"/>
        </w:rPr>
        <w:t>Ezebialu</w:t>
      </w:r>
      <w:proofErr w:type="spellEnd"/>
      <w:r w:rsidRPr="002B45D7">
        <w:rPr>
          <w:rFonts w:ascii="Times New Roman" w:eastAsia="Times New Roman" w:hAnsi="Times New Roman" w:cs="Times New Roman"/>
          <w:sz w:val="24"/>
          <w:szCs w:val="24"/>
        </w:rPr>
        <w:t xml:space="preserve">, I. U., &amp; </w:t>
      </w:r>
      <w:proofErr w:type="spellStart"/>
      <w:r w:rsidRPr="002B45D7">
        <w:rPr>
          <w:rFonts w:ascii="Times New Roman" w:eastAsia="Times New Roman" w:hAnsi="Times New Roman" w:cs="Times New Roman"/>
          <w:sz w:val="24"/>
          <w:szCs w:val="24"/>
        </w:rPr>
        <w:t>Ogbuagu</w:t>
      </w:r>
      <w:proofErr w:type="spellEnd"/>
      <w:r w:rsidRPr="002B45D7">
        <w:rPr>
          <w:rFonts w:ascii="Times New Roman" w:eastAsia="Times New Roman" w:hAnsi="Times New Roman" w:cs="Times New Roman"/>
          <w:sz w:val="24"/>
          <w:szCs w:val="24"/>
        </w:rPr>
        <w:t xml:space="preserve">, C. (2011). Prevalence, correlates, and pattern of hepatitis B surface antigen in a low resource setting. </w:t>
      </w:r>
      <w:r w:rsidRPr="002B45D7">
        <w:rPr>
          <w:rFonts w:ascii="Times New Roman" w:eastAsia="Times New Roman" w:hAnsi="Times New Roman" w:cs="Times New Roman"/>
          <w:i/>
          <w:iCs/>
          <w:sz w:val="24"/>
          <w:szCs w:val="24"/>
        </w:rPr>
        <w:t>Virology Journal</w:t>
      </w:r>
      <w:r w:rsidRPr="002B45D7">
        <w:rPr>
          <w:rFonts w:ascii="Times New Roman" w:eastAsia="Times New Roman" w:hAnsi="Times New Roman" w:cs="Times New Roman"/>
          <w:sz w:val="24"/>
          <w:szCs w:val="24"/>
        </w:rPr>
        <w:t>, 8, 12. https://doi.org/10.1186/1743-422X-8-12</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lastRenderedPageBreak/>
        <w:t>Ercan</w:t>
      </w:r>
      <w:proofErr w:type="spellEnd"/>
      <w:r w:rsidRPr="002B45D7">
        <w:rPr>
          <w:rFonts w:ascii="Times New Roman" w:eastAsia="Times New Roman" w:hAnsi="Times New Roman" w:cs="Times New Roman"/>
          <w:sz w:val="24"/>
          <w:szCs w:val="24"/>
        </w:rPr>
        <w:t xml:space="preserve">, S., &amp; Turgut, B. (2022). Coagulation abnormalities in chronic liver diseases: Pathophysiology and clinical implications. </w:t>
      </w:r>
      <w:r w:rsidRPr="002B45D7">
        <w:rPr>
          <w:rFonts w:ascii="Times New Roman" w:eastAsia="Times New Roman" w:hAnsi="Times New Roman" w:cs="Times New Roman"/>
          <w:i/>
          <w:iCs/>
          <w:sz w:val="24"/>
          <w:szCs w:val="24"/>
        </w:rPr>
        <w:t>World Journal of Gastroenterology</w:t>
      </w:r>
      <w:r w:rsidRPr="002B45D7">
        <w:rPr>
          <w:rFonts w:ascii="Times New Roman" w:eastAsia="Times New Roman" w:hAnsi="Times New Roman" w:cs="Times New Roman"/>
          <w:sz w:val="24"/>
          <w:szCs w:val="24"/>
        </w:rPr>
        <w:t>, 28(25), 2834–2848.</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Ganz, T. (2019). Anemia of inflammation. </w:t>
      </w:r>
      <w:r w:rsidRPr="002B45D7">
        <w:rPr>
          <w:rFonts w:ascii="Times New Roman" w:eastAsia="Times New Roman" w:hAnsi="Times New Roman" w:cs="Times New Roman"/>
          <w:i/>
          <w:iCs/>
          <w:sz w:val="24"/>
          <w:szCs w:val="24"/>
        </w:rPr>
        <w:t>New England Journal of Medicine</w:t>
      </w:r>
      <w:r w:rsidRPr="002B45D7">
        <w:rPr>
          <w:rFonts w:ascii="Times New Roman" w:eastAsia="Times New Roman" w:hAnsi="Times New Roman" w:cs="Times New Roman"/>
          <w:sz w:val="24"/>
          <w:szCs w:val="24"/>
        </w:rPr>
        <w:t>, 381(12), 1148–1157.</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Lisman, T., </w:t>
      </w:r>
      <w:proofErr w:type="spellStart"/>
      <w:r w:rsidRPr="002B45D7">
        <w:rPr>
          <w:rFonts w:ascii="Times New Roman" w:eastAsia="Times New Roman" w:hAnsi="Times New Roman" w:cs="Times New Roman"/>
          <w:sz w:val="24"/>
          <w:szCs w:val="24"/>
        </w:rPr>
        <w:t>Bongers</w:t>
      </w:r>
      <w:proofErr w:type="spellEnd"/>
      <w:r w:rsidRPr="002B45D7">
        <w:rPr>
          <w:rFonts w:ascii="Times New Roman" w:eastAsia="Times New Roman" w:hAnsi="Times New Roman" w:cs="Times New Roman"/>
          <w:sz w:val="24"/>
          <w:szCs w:val="24"/>
        </w:rPr>
        <w:t xml:space="preserve">, T. N., </w:t>
      </w:r>
      <w:proofErr w:type="spellStart"/>
      <w:r w:rsidRPr="002B45D7">
        <w:rPr>
          <w:rFonts w:ascii="Times New Roman" w:eastAsia="Times New Roman" w:hAnsi="Times New Roman" w:cs="Times New Roman"/>
          <w:sz w:val="24"/>
          <w:szCs w:val="24"/>
        </w:rPr>
        <w:t>Adelmeijer</w:t>
      </w:r>
      <w:proofErr w:type="spellEnd"/>
      <w:r w:rsidRPr="002B45D7">
        <w:rPr>
          <w:rFonts w:ascii="Times New Roman" w:eastAsia="Times New Roman" w:hAnsi="Times New Roman" w:cs="Times New Roman"/>
          <w:sz w:val="24"/>
          <w:szCs w:val="24"/>
        </w:rPr>
        <w:t xml:space="preserve">, J., Janssen, H. L., &amp; de Groot, P. G. (2010). Hemostatic alterations in patients with chronic liver disease. </w:t>
      </w:r>
      <w:r w:rsidRPr="002B45D7">
        <w:rPr>
          <w:rFonts w:ascii="Times New Roman" w:eastAsia="Times New Roman" w:hAnsi="Times New Roman" w:cs="Times New Roman"/>
          <w:i/>
          <w:iCs/>
          <w:sz w:val="24"/>
          <w:szCs w:val="24"/>
        </w:rPr>
        <w:t xml:space="preserve">Journal of Thrombosis and </w:t>
      </w:r>
      <w:proofErr w:type="spellStart"/>
      <w:r w:rsidRPr="002B45D7">
        <w:rPr>
          <w:rFonts w:ascii="Times New Roman" w:eastAsia="Times New Roman" w:hAnsi="Times New Roman" w:cs="Times New Roman"/>
          <w:i/>
          <w:iCs/>
          <w:sz w:val="24"/>
          <w:szCs w:val="24"/>
        </w:rPr>
        <w:t>Haemostasis</w:t>
      </w:r>
      <w:proofErr w:type="spellEnd"/>
      <w:r w:rsidRPr="002B45D7">
        <w:rPr>
          <w:rFonts w:ascii="Times New Roman" w:eastAsia="Times New Roman" w:hAnsi="Times New Roman" w:cs="Times New Roman"/>
          <w:sz w:val="24"/>
          <w:szCs w:val="24"/>
        </w:rPr>
        <w:t>, 8(1), 23–29.</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Lurie, S., &amp; Weinberger, S. E. (2004). Changes in hematological indices during normal pregnancy. </w:t>
      </w:r>
      <w:r w:rsidRPr="002B45D7">
        <w:rPr>
          <w:rFonts w:ascii="Times New Roman" w:eastAsia="Times New Roman" w:hAnsi="Times New Roman" w:cs="Times New Roman"/>
          <w:i/>
          <w:iCs/>
          <w:sz w:val="24"/>
          <w:szCs w:val="24"/>
        </w:rPr>
        <w:t>European Journal of Obstetrics &amp; Gynecology and Reproductive Biology</w:t>
      </w:r>
      <w:r w:rsidRPr="002B45D7">
        <w:rPr>
          <w:rFonts w:ascii="Times New Roman" w:eastAsia="Times New Roman" w:hAnsi="Times New Roman" w:cs="Times New Roman"/>
          <w:sz w:val="24"/>
          <w:szCs w:val="24"/>
        </w:rPr>
        <w:t>, 117(2), 145–148.</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t>Oladeinde</w:t>
      </w:r>
      <w:proofErr w:type="spellEnd"/>
      <w:r w:rsidRPr="002B45D7">
        <w:rPr>
          <w:rFonts w:ascii="Times New Roman" w:eastAsia="Times New Roman" w:hAnsi="Times New Roman" w:cs="Times New Roman"/>
          <w:sz w:val="24"/>
          <w:szCs w:val="24"/>
        </w:rPr>
        <w:t xml:space="preserve">, B. H., </w:t>
      </w:r>
      <w:proofErr w:type="spellStart"/>
      <w:r w:rsidRPr="002B45D7">
        <w:rPr>
          <w:rFonts w:ascii="Times New Roman" w:eastAsia="Times New Roman" w:hAnsi="Times New Roman" w:cs="Times New Roman"/>
          <w:sz w:val="24"/>
          <w:szCs w:val="24"/>
        </w:rPr>
        <w:t>Omoregie</w:t>
      </w:r>
      <w:proofErr w:type="spellEnd"/>
      <w:r w:rsidRPr="002B45D7">
        <w:rPr>
          <w:rFonts w:ascii="Times New Roman" w:eastAsia="Times New Roman" w:hAnsi="Times New Roman" w:cs="Times New Roman"/>
          <w:sz w:val="24"/>
          <w:szCs w:val="24"/>
        </w:rPr>
        <w:t xml:space="preserve">, R., Olley, M., &amp; </w:t>
      </w:r>
      <w:proofErr w:type="spellStart"/>
      <w:r w:rsidRPr="002B45D7">
        <w:rPr>
          <w:rFonts w:ascii="Times New Roman" w:eastAsia="Times New Roman" w:hAnsi="Times New Roman" w:cs="Times New Roman"/>
          <w:sz w:val="24"/>
          <w:szCs w:val="24"/>
        </w:rPr>
        <w:t>Anunibe</w:t>
      </w:r>
      <w:proofErr w:type="spellEnd"/>
      <w:r w:rsidRPr="002B45D7">
        <w:rPr>
          <w:rFonts w:ascii="Times New Roman" w:eastAsia="Times New Roman" w:hAnsi="Times New Roman" w:cs="Times New Roman"/>
          <w:sz w:val="24"/>
          <w:szCs w:val="24"/>
        </w:rPr>
        <w:t xml:space="preserve">, J. A. (2011). Prevalence of HIV, HBV, and HCV infections among pregnant women attending antenatal clinic in a tertiary health care facility in Benin City, Nigeria. </w:t>
      </w:r>
      <w:r w:rsidRPr="002B45D7">
        <w:rPr>
          <w:rFonts w:ascii="Times New Roman" w:eastAsia="Times New Roman" w:hAnsi="Times New Roman" w:cs="Times New Roman"/>
          <w:i/>
          <w:iCs/>
          <w:sz w:val="24"/>
          <w:szCs w:val="24"/>
        </w:rPr>
        <w:t>Global Journal of Health Science</w:t>
      </w:r>
      <w:r w:rsidRPr="002B45D7">
        <w:rPr>
          <w:rFonts w:ascii="Times New Roman" w:eastAsia="Times New Roman" w:hAnsi="Times New Roman" w:cs="Times New Roman"/>
          <w:sz w:val="24"/>
          <w:szCs w:val="24"/>
        </w:rPr>
        <w:t>, 3(3), 17–21.</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Ott, J. J., Horn, J., Krause, G., &amp; </w:t>
      </w:r>
      <w:proofErr w:type="spellStart"/>
      <w:r w:rsidRPr="002B45D7">
        <w:rPr>
          <w:rFonts w:ascii="Times New Roman" w:eastAsia="Times New Roman" w:hAnsi="Times New Roman" w:cs="Times New Roman"/>
          <w:sz w:val="24"/>
          <w:szCs w:val="24"/>
        </w:rPr>
        <w:t>Mikolajczyk</w:t>
      </w:r>
      <w:proofErr w:type="spellEnd"/>
      <w:r w:rsidRPr="002B45D7">
        <w:rPr>
          <w:rFonts w:ascii="Times New Roman" w:eastAsia="Times New Roman" w:hAnsi="Times New Roman" w:cs="Times New Roman"/>
          <w:sz w:val="24"/>
          <w:szCs w:val="24"/>
        </w:rPr>
        <w:t xml:space="preserve">, R. T. (2022). Time trends of chronic hepatitis B infection worldwide: Systematic review and meta-analysis. </w:t>
      </w:r>
      <w:r w:rsidRPr="002B45D7">
        <w:rPr>
          <w:rFonts w:ascii="Times New Roman" w:eastAsia="Times New Roman" w:hAnsi="Times New Roman" w:cs="Times New Roman"/>
          <w:i/>
          <w:iCs/>
          <w:sz w:val="24"/>
          <w:szCs w:val="24"/>
        </w:rPr>
        <w:t>Hepatology</w:t>
      </w:r>
      <w:r w:rsidRPr="002B45D7">
        <w:rPr>
          <w:rFonts w:ascii="Times New Roman" w:eastAsia="Times New Roman" w:hAnsi="Times New Roman" w:cs="Times New Roman"/>
          <w:sz w:val="24"/>
          <w:szCs w:val="24"/>
        </w:rPr>
        <w:t>, 76(1), 208–218.</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Peck-</w:t>
      </w:r>
      <w:proofErr w:type="spellStart"/>
      <w:r w:rsidRPr="002B45D7">
        <w:rPr>
          <w:rFonts w:ascii="Times New Roman" w:eastAsia="Times New Roman" w:hAnsi="Times New Roman" w:cs="Times New Roman"/>
          <w:sz w:val="24"/>
          <w:szCs w:val="24"/>
        </w:rPr>
        <w:t>Radosavljevic</w:t>
      </w:r>
      <w:proofErr w:type="spellEnd"/>
      <w:r w:rsidRPr="002B45D7">
        <w:rPr>
          <w:rFonts w:ascii="Times New Roman" w:eastAsia="Times New Roman" w:hAnsi="Times New Roman" w:cs="Times New Roman"/>
          <w:sz w:val="24"/>
          <w:szCs w:val="24"/>
        </w:rPr>
        <w:t xml:space="preserve">, M. (2017). Thrombocytopenia in liver disease. </w:t>
      </w:r>
      <w:r w:rsidRPr="002B45D7">
        <w:rPr>
          <w:rFonts w:ascii="Times New Roman" w:eastAsia="Times New Roman" w:hAnsi="Times New Roman" w:cs="Times New Roman"/>
          <w:i/>
          <w:iCs/>
          <w:sz w:val="24"/>
          <w:szCs w:val="24"/>
        </w:rPr>
        <w:t>Canadian Journal of Gastroenterology and Hepatology</w:t>
      </w:r>
      <w:r w:rsidRPr="002B45D7">
        <w:rPr>
          <w:rFonts w:ascii="Times New Roman" w:eastAsia="Times New Roman" w:hAnsi="Times New Roman" w:cs="Times New Roman"/>
          <w:sz w:val="24"/>
          <w:szCs w:val="24"/>
        </w:rPr>
        <w:t>, 2017, 7539462.</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B45D7">
        <w:rPr>
          <w:rFonts w:ascii="Times New Roman" w:eastAsia="Times New Roman" w:hAnsi="Times New Roman" w:cs="Times New Roman"/>
          <w:sz w:val="24"/>
          <w:szCs w:val="24"/>
        </w:rPr>
        <w:t>Salvagno</w:t>
      </w:r>
      <w:proofErr w:type="spellEnd"/>
      <w:r w:rsidRPr="002B45D7">
        <w:rPr>
          <w:rFonts w:ascii="Times New Roman" w:eastAsia="Times New Roman" w:hAnsi="Times New Roman" w:cs="Times New Roman"/>
          <w:sz w:val="24"/>
          <w:szCs w:val="24"/>
        </w:rPr>
        <w:t xml:space="preserve">, G. L., </w:t>
      </w:r>
      <w:proofErr w:type="spellStart"/>
      <w:r w:rsidRPr="002B45D7">
        <w:rPr>
          <w:rFonts w:ascii="Times New Roman" w:eastAsia="Times New Roman" w:hAnsi="Times New Roman" w:cs="Times New Roman"/>
          <w:sz w:val="24"/>
          <w:szCs w:val="24"/>
        </w:rPr>
        <w:t>Sanchis-Gomar</w:t>
      </w:r>
      <w:proofErr w:type="spellEnd"/>
      <w:r w:rsidRPr="002B45D7">
        <w:rPr>
          <w:rFonts w:ascii="Times New Roman" w:eastAsia="Times New Roman" w:hAnsi="Times New Roman" w:cs="Times New Roman"/>
          <w:sz w:val="24"/>
          <w:szCs w:val="24"/>
        </w:rPr>
        <w:t xml:space="preserve">, F., </w:t>
      </w:r>
      <w:proofErr w:type="spellStart"/>
      <w:r w:rsidRPr="002B45D7">
        <w:rPr>
          <w:rFonts w:ascii="Times New Roman" w:eastAsia="Times New Roman" w:hAnsi="Times New Roman" w:cs="Times New Roman"/>
          <w:sz w:val="24"/>
          <w:szCs w:val="24"/>
        </w:rPr>
        <w:t>Picanza</w:t>
      </w:r>
      <w:proofErr w:type="spellEnd"/>
      <w:r w:rsidRPr="002B45D7">
        <w:rPr>
          <w:rFonts w:ascii="Times New Roman" w:eastAsia="Times New Roman" w:hAnsi="Times New Roman" w:cs="Times New Roman"/>
          <w:sz w:val="24"/>
          <w:szCs w:val="24"/>
        </w:rPr>
        <w:t xml:space="preserve">, A., &amp; Lippi, G. (2015). Red blood cell distribution width: A simple parameter with multiple clinical applications. </w:t>
      </w:r>
      <w:r w:rsidRPr="002B45D7">
        <w:rPr>
          <w:rFonts w:ascii="Times New Roman" w:eastAsia="Times New Roman" w:hAnsi="Times New Roman" w:cs="Times New Roman"/>
          <w:i/>
          <w:iCs/>
          <w:sz w:val="24"/>
          <w:szCs w:val="24"/>
        </w:rPr>
        <w:t>Critical Reviews in Clinical Laboratory Sciences</w:t>
      </w:r>
      <w:r w:rsidRPr="002B45D7">
        <w:rPr>
          <w:rFonts w:ascii="Times New Roman" w:eastAsia="Times New Roman" w:hAnsi="Times New Roman" w:cs="Times New Roman"/>
          <w:sz w:val="24"/>
          <w:szCs w:val="24"/>
        </w:rPr>
        <w:t>, 52(2), 86–105.</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Schweitzer, A., Horn, J., </w:t>
      </w:r>
      <w:proofErr w:type="spellStart"/>
      <w:r w:rsidRPr="002B45D7">
        <w:rPr>
          <w:rFonts w:ascii="Times New Roman" w:eastAsia="Times New Roman" w:hAnsi="Times New Roman" w:cs="Times New Roman"/>
          <w:sz w:val="24"/>
          <w:szCs w:val="24"/>
        </w:rPr>
        <w:t>Mikolajczyk</w:t>
      </w:r>
      <w:proofErr w:type="spellEnd"/>
      <w:r w:rsidRPr="002B45D7">
        <w:rPr>
          <w:rFonts w:ascii="Times New Roman" w:eastAsia="Times New Roman" w:hAnsi="Times New Roman" w:cs="Times New Roman"/>
          <w:sz w:val="24"/>
          <w:szCs w:val="24"/>
        </w:rPr>
        <w:t xml:space="preserve">, R. T., Krause, G., &amp; Ott, J. J. (2021). Estimations of worldwide prevalence of chronic hepatitis B virus infection: A systematic review of data published between 1965 and 2013. </w:t>
      </w:r>
      <w:r w:rsidRPr="002B45D7">
        <w:rPr>
          <w:rFonts w:ascii="Times New Roman" w:eastAsia="Times New Roman" w:hAnsi="Times New Roman" w:cs="Times New Roman"/>
          <w:i/>
          <w:iCs/>
          <w:sz w:val="24"/>
          <w:szCs w:val="24"/>
        </w:rPr>
        <w:t>The Lancet</w:t>
      </w:r>
      <w:r w:rsidRPr="002B45D7">
        <w:rPr>
          <w:rFonts w:ascii="Times New Roman" w:eastAsia="Times New Roman" w:hAnsi="Times New Roman" w:cs="Times New Roman"/>
          <w:sz w:val="24"/>
          <w:szCs w:val="24"/>
        </w:rPr>
        <w:t>, 386(10003), 1546–1555.</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lastRenderedPageBreak/>
        <w:t xml:space="preserve">Shih, C., Yang, C. C., </w:t>
      </w:r>
      <w:proofErr w:type="spellStart"/>
      <w:r w:rsidRPr="002B45D7">
        <w:rPr>
          <w:rFonts w:ascii="Times New Roman" w:eastAsia="Times New Roman" w:hAnsi="Times New Roman" w:cs="Times New Roman"/>
          <w:sz w:val="24"/>
          <w:szCs w:val="24"/>
        </w:rPr>
        <w:t>Choijilsuren</w:t>
      </w:r>
      <w:proofErr w:type="spellEnd"/>
      <w:r w:rsidRPr="002B45D7">
        <w:rPr>
          <w:rFonts w:ascii="Times New Roman" w:eastAsia="Times New Roman" w:hAnsi="Times New Roman" w:cs="Times New Roman"/>
          <w:sz w:val="24"/>
          <w:szCs w:val="24"/>
        </w:rPr>
        <w:t xml:space="preserve">, G., Chang, C. H., &amp; </w:t>
      </w:r>
      <w:proofErr w:type="spellStart"/>
      <w:r w:rsidRPr="002B45D7">
        <w:rPr>
          <w:rFonts w:ascii="Times New Roman" w:eastAsia="Times New Roman" w:hAnsi="Times New Roman" w:cs="Times New Roman"/>
          <w:sz w:val="24"/>
          <w:szCs w:val="24"/>
        </w:rPr>
        <w:t>Liou</w:t>
      </w:r>
      <w:proofErr w:type="spellEnd"/>
      <w:r w:rsidRPr="002B45D7">
        <w:rPr>
          <w:rFonts w:ascii="Times New Roman" w:eastAsia="Times New Roman" w:hAnsi="Times New Roman" w:cs="Times New Roman"/>
          <w:sz w:val="24"/>
          <w:szCs w:val="24"/>
        </w:rPr>
        <w:t xml:space="preserve">, A. T. (2020). Hepatitis B virus and liver disease: Pathogenesis and clinical implications. </w:t>
      </w:r>
      <w:r w:rsidRPr="002B45D7">
        <w:rPr>
          <w:rFonts w:ascii="Times New Roman" w:eastAsia="Times New Roman" w:hAnsi="Times New Roman" w:cs="Times New Roman"/>
          <w:i/>
          <w:iCs/>
          <w:sz w:val="24"/>
          <w:szCs w:val="24"/>
        </w:rPr>
        <w:t>Frontiers in Medicine</w:t>
      </w:r>
      <w:r w:rsidRPr="002B45D7">
        <w:rPr>
          <w:rFonts w:ascii="Times New Roman" w:eastAsia="Times New Roman" w:hAnsi="Times New Roman" w:cs="Times New Roman"/>
          <w:sz w:val="24"/>
          <w:szCs w:val="24"/>
        </w:rPr>
        <w:t>, 7, 167. https://doi.org/10.3389/fmed.2020.00167</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Sperling, R., </w:t>
      </w:r>
      <w:proofErr w:type="spellStart"/>
      <w:r w:rsidRPr="002B45D7">
        <w:rPr>
          <w:rFonts w:ascii="Times New Roman" w:eastAsia="Times New Roman" w:hAnsi="Times New Roman" w:cs="Times New Roman"/>
          <w:sz w:val="24"/>
          <w:szCs w:val="24"/>
        </w:rPr>
        <w:t>Giannubilo</w:t>
      </w:r>
      <w:proofErr w:type="spellEnd"/>
      <w:r w:rsidRPr="002B45D7">
        <w:rPr>
          <w:rFonts w:ascii="Times New Roman" w:eastAsia="Times New Roman" w:hAnsi="Times New Roman" w:cs="Times New Roman"/>
          <w:sz w:val="24"/>
          <w:szCs w:val="24"/>
        </w:rPr>
        <w:t xml:space="preserve">, S. R., </w:t>
      </w:r>
      <w:proofErr w:type="spellStart"/>
      <w:r w:rsidRPr="002B45D7">
        <w:rPr>
          <w:rFonts w:ascii="Times New Roman" w:eastAsia="Times New Roman" w:hAnsi="Times New Roman" w:cs="Times New Roman"/>
          <w:sz w:val="24"/>
          <w:szCs w:val="24"/>
        </w:rPr>
        <w:t>Stortoni</w:t>
      </w:r>
      <w:proofErr w:type="spellEnd"/>
      <w:r w:rsidRPr="002B45D7">
        <w:rPr>
          <w:rFonts w:ascii="Times New Roman" w:eastAsia="Times New Roman" w:hAnsi="Times New Roman" w:cs="Times New Roman"/>
          <w:sz w:val="24"/>
          <w:szCs w:val="24"/>
        </w:rPr>
        <w:t xml:space="preserve">, P., </w:t>
      </w:r>
      <w:proofErr w:type="spellStart"/>
      <w:r w:rsidRPr="002B45D7">
        <w:rPr>
          <w:rFonts w:ascii="Times New Roman" w:eastAsia="Times New Roman" w:hAnsi="Times New Roman" w:cs="Times New Roman"/>
          <w:sz w:val="24"/>
          <w:szCs w:val="24"/>
        </w:rPr>
        <w:t>Delli</w:t>
      </w:r>
      <w:proofErr w:type="spellEnd"/>
      <w:r w:rsidRPr="002B45D7">
        <w:rPr>
          <w:rFonts w:ascii="Times New Roman" w:eastAsia="Times New Roman" w:hAnsi="Times New Roman" w:cs="Times New Roman"/>
          <w:sz w:val="24"/>
          <w:szCs w:val="24"/>
        </w:rPr>
        <w:t xml:space="preserve"> </w:t>
      </w:r>
      <w:proofErr w:type="spellStart"/>
      <w:r w:rsidRPr="002B45D7">
        <w:rPr>
          <w:rFonts w:ascii="Times New Roman" w:eastAsia="Times New Roman" w:hAnsi="Times New Roman" w:cs="Times New Roman"/>
          <w:sz w:val="24"/>
          <w:szCs w:val="24"/>
        </w:rPr>
        <w:t>Carpini</w:t>
      </w:r>
      <w:proofErr w:type="spellEnd"/>
      <w:r w:rsidRPr="002B45D7">
        <w:rPr>
          <w:rFonts w:ascii="Times New Roman" w:eastAsia="Times New Roman" w:hAnsi="Times New Roman" w:cs="Times New Roman"/>
          <w:sz w:val="24"/>
          <w:szCs w:val="24"/>
        </w:rPr>
        <w:t xml:space="preserve">, G., </w:t>
      </w:r>
      <w:proofErr w:type="spellStart"/>
      <w:r w:rsidRPr="002B45D7">
        <w:rPr>
          <w:rFonts w:ascii="Times New Roman" w:eastAsia="Times New Roman" w:hAnsi="Times New Roman" w:cs="Times New Roman"/>
          <w:sz w:val="24"/>
          <w:szCs w:val="24"/>
        </w:rPr>
        <w:t>Saccucci</w:t>
      </w:r>
      <w:proofErr w:type="spellEnd"/>
      <w:r w:rsidRPr="002B45D7">
        <w:rPr>
          <w:rFonts w:ascii="Times New Roman" w:eastAsia="Times New Roman" w:hAnsi="Times New Roman" w:cs="Times New Roman"/>
          <w:sz w:val="24"/>
          <w:szCs w:val="24"/>
        </w:rPr>
        <w:t xml:space="preserve">, F., &amp; </w:t>
      </w:r>
      <w:proofErr w:type="spellStart"/>
      <w:r w:rsidRPr="002B45D7">
        <w:rPr>
          <w:rFonts w:ascii="Times New Roman" w:eastAsia="Times New Roman" w:hAnsi="Times New Roman" w:cs="Times New Roman"/>
          <w:sz w:val="24"/>
          <w:szCs w:val="24"/>
        </w:rPr>
        <w:t>Emanuelli</w:t>
      </w:r>
      <w:proofErr w:type="spellEnd"/>
      <w:r w:rsidRPr="002B45D7">
        <w:rPr>
          <w:rFonts w:ascii="Times New Roman" w:eastAsia="Times New Roman" w:hAnsi="Times New Roman" w:cs="Times New Roman"/>
          <w:sz w:val="24"/>
          <w:szCs w:val="24"/>
        </w:rPr>
        <w:t xml:space="preserve">, M. (2017). Maternal factors and fetal outcomes in hepatitis B surface antigen-positive pregnant women. </w:t>
      </w:r>
      <w:r w:rsidRPr="002B45D7">
        <w:rPr>
          <w:rFonts w:ascii="Times New Roman" w:eastAsia="Times New Roman" w:hAnsi="Times New Roman" w:cs="Times New Roman"/>
          <w:i/>
          <w:iCs/>
          <w:sz w:val="24"/>
          <w:szCs w:val="24"/>
        </w:rPr>
        <w:t>Journal of Maternal-Fetal &amp; Neonatal Medicine</w:t>
      </w:r>
      <w:r w:rsidRPr="002B45D7">
        <w:rPr>
          <w:rFonts w:ascii="Times New Roman" w:eastAsia="Times New Roman" w:hAnsi="Times New Roman" w:cs="Times New Roman"/>
          <w:sz w:val="24"/>
          <w:szCs w:val="24"/>
        </w:rPr>
        <w:t>, 30(4), 475–479.</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Stevens, G. A., Finucane, M. M., De-</w:t>
      </w:r>
      <w:proofErr w:type="spellStart"/>
      <w:r w:rsidRPr="002B45D7">
        <w:rPr>
          <w:rFonts w:ascii="Times New Roman" w:eastAsia="Times New Roman" w:hAnsi="Times New Roman" w:cs="Times New Roman"/>
          <w:sz w:val="24"/>
          <w:szCs w:val="24"/>
        </w:rPr>
        <w:t>Regil</w:t>
      </w:r>
      <w:proofErr w:type="spellEnd"/>
      <w:r w:rsidRPr="002B45D7">
        <w:rPr>
          <w:rFonts w:ascii="Times New Roman" w:eastAsia="Times New Roman" w:hAnsi="Times New Roman" w:cs="Times New Roman"/>
          <w:sz w:val="24"/>
          <w:szCs w:val="24"/>
        </w:rPr>
        <w:t xml:space="preserve">, L. M., </w:t>
      </w:r>
      <w:proofErr w:type="spellStart"/>
      <w:r w:rsidRPr="002B45D7">
        <w:rPr>
          <w:rFonts w:ascii="Times New Roman" w:eastAsia="Times New Roman" w:hAnsi="Times New Roman" w:cs="Times New Roman"/>
          <w:sz w:val="24"/>
          <w:szCs w:val="24"/>
        </w:rPr>
        <w:t>Paciorek</w:t>
      </w:r>
      <w:proofErr w:type="spellEnd"/>
      <w:r w:rsidRPr="002B45D7">
        <w:rPr>
          <w:rFonts w:ascii="Times New Roman" w:eastAsia="Times New Roman" w:hAnsi="Times New Roman" w:cs="Times New Roman"/>
          <w:sz w:val="24"/>
          <w:szCs w:val="24"/>
        </w:rPr>
        <w:t xml:space="preserve">, C. J., Flaxman, S. R., </w:t>
      </w:r>
      <w:proofErr w:type="spellStart"/>
      <w:r w:rsidRPr="002B45D7">
        <w:rPr>
          <w:rFonts w:ascii="Times New Roman" w:eastAsia="Times New Roman" w:hAnsi="Times New Roman" w:cs="Times New Roman"/>
          <w:sz w:val="24"/>
          <w:szCs w:val="24"/>
        </w:rPr>
        <w:t>Branca</w:t>
      </w:r>
      <w:proofErr w:type="spellEnd"/>
      <w:r w:rsidRPr="002B45D7">
        <w:rPr>
          <w:rFonts w:ascii="Times New Roman" w:eastAsia="Times New Roman" w:hAnsi="Times New Roman" w:cs="Times New Roman"/>
          <w:sz w:val="24"/>
          <w:szCs w:val="24"/>
        </w:rPr>
        <w:t xml:space="preserve">, F., Peña-Rosas, J. P., </w:t>
      </w:r>
      <w:proofErr w:type="spellStart"/>
      <w:r w:rsidRPr="002B45D7">
        <w:rPr>
          <w:rFonts w:ascii="Times New Roman" w:eastAsia="Times New Roman" w:hAnsi="Times New Roman" w:cs="Times New Roman"/>
          <w:sz w:val="24"/>
          <w:szCs w:val="24"/>
        </w:rPr>
        <w:t>Bhutta</w:t>
      </w:r>
      <w:proofErr w:type="spellEnd"/>
      <w:r w:rsidRPr="002B45D7">
        <w:rPr>
          <w:rFonts w:ascii="Times New Roman" w:eastAsia="Times New Roman" w:hAnsi="Times New Roman" w:cs="Times New Roman"/>
          <w:sz w:val="24"/>
          <w:szCs w:val="24"/>
        </w:rPr>
        <w:t xml:space="preserve">, Z. A., </w:t>
      </w:r>
      <w:proofErr w:type="spellStart"/>
      <w:r w:rsidRPr="002B45D7">
        <w:rPr>
          <w:rFonts w:ascii="Times New Roman" w:eastAsia="Times New Roman" w:hAnsi="Times New Roman" w:cs="Times New Roman"/>
          <w:sz w:val="24"/>
          <w:szCs w:val="24"/>
        </w:rPr>
        <w:t>Ezzati</w:t>
      </w:r>
      <w:proofErr w:type="spellEnd"/>
      <w:r w:rsidRPr="002B45D7">
        <w:rPr>
          <w:rFonts w:ascii="Times New Roman" w:eastAsia="Times New Roman" w:hAnsi="Times New Roman" w:cs="Times New Roman"/>
          <w:sz w:val="24"/>
          <w:szCs w:val="24"/>
        </w:rPr>
        <w:t xml:space="preserve">, M., &amp; Nutrition Impact Model Study Group (Anaemia). (2021). Global, regional, and national trends in haemoglobin concentration and prevalence of total and severe anaemia in children and pregnant and non-pregnant women for 1995–2019: A pooled analysis of population-representative data. </w:t>
      </w:r>
      <w:r w:rsidRPr="002B45D7">
        <w:rPr>
          <w:rFonts w:ascii="Times New Roman" w:eastAsia="Times New Roman" w:hAnsi="Times New Roman" w:cs="Times New Roman"/>
          <w:i/>
          <w:iCs/>
          <w:sz w:val="24"/>
          <w:szCs w:val="24"/>
        </w:rPr>
        <w:t>The Lancet Global Health</w:t>
      </w:r>
      <w:r w:rsidRPr="002B45D7">
        <w:rPr>
          <w:rFonts w:ascii="Times New Roman" w:eastAsia="Times New Roman" w:hAnsi="Times New Roman" w:cs="Times New Roman"/>
          <w:sz w:val="24"/>
          <w:szCs w:val="24"/>
        </w:rPr>
        <w:t>, 10(5), e627–e639.</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Weiss, G., &amp; Goodnough, L. T. (2005). Anemia of chronic disease. </w:t>
      </w:r>
      <w:r w:rsidRPr="002B45D7">
        <w:rPr>
          <w:rFonts w:ascii="Times New Roman" w:eastAsia="Times New Roman" w:hAnsi="Times New Roman" w:cs="Times New Roman"/>
          <w:i/>
          <w:iCs/>
          <w:sz w:val="24"/>
          <w:szCs w:val="24"/>
        </w:rPr>
        <w:t>New England Journal of Medicine</w:t>
      </w:r>
      <w:r w:rsidRPr="002B45D7">
        <w:rPr>
          <w:rFonts w:ascii="Times New Roman" w:eastAsia="Times New Roman" w:hAnsi="Times New Roman" w:cs="Times New Roman"/>
          <w:sz w:val="24"/>
          <w:szCs w:val="24"/>
        </w:rPr>
        <w:t>, 352(10), 1011–1023.</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World Health Organization (WHO). (2017). </w:t>
      </w:r>
      <w:r w:rsidRPr="002B45D7">
        <w:rPr>
          <w:rFonts w:ascii="Times New Roman" w:eastAsia="Times New Roman" w:hAnsi="Times New Roman" w:cs="Times New Roman"/>
          <w:i/>
          <w:iCs/>
          <w:sz w:val="24"/>
          <w:szCs w:val="24"/>
        </w:rPr>
        <w:t>Global hepatitis report 2017</w:t>
      </w:r>
      <w:r w:rsidRPr="002B45D7">
        <w:rPr>
          <w:rFonts w:ascii="Times New Roman" w:eastAsia="Times New Roman" w:hAnsi="Times New Roman" w:cs="Times New Roman"/>
          <w:sz w:val="24"/>
          <w:szCs w:val="24"/>
        </w:rPr>
        <w:t>. World Health Organization.</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World Health Organization (WHO). (2019). </w:t>
      </w:r>
      <w:r w:rsidRPr="002B45D7">
        <w:rPr>
          <w:rFonts w:ascii="Times New Roman" w:eastAsia="Times New Roman" w:hAnsi="Times New Roman" w:cs="Times New Roman"/>
          <w:i/>
          <w:iCs/>
          <w:sz w:val="24"/>
          <w:szCs w:val="24"/>
        </w:rPr>
        <w:t>Trends in maternal mortality: 2000 to 2017—Estimates by WHO, UNICEF, UNFPA, World Bank Group and the United Nations Population Division</w:t>
      </w:r>
      <w:r w:rsidRPr="002B45D7">
        <w:rPr>
          <w:rFonts w:ascii="Times New Roman" w:eastAsia="Times New Roman" w:hAnsi="Times New Roman" w:cs="Times New Roman"/>
          <w:sz w:val="24"/>
          <w:szCs w:val="24"/>
        </w:rPr>
        <w:t>. World Health Organization.</w:t>
      </w:r>
    </w:p>
    <w:p w:rsidR="002B45D7" w:rsidRPr="002B45D7" w:rsidRDefault="002B45D7" w:rsidP="008556C9">
      <w:pPr>
        <w:spacing w:before="100" w:beforeAutospacing="1" w:after="100" w:afterAutospacing="1" w:line="360" w:lineRule="auto"/>
        <w:jc w:val="both"/>
        <w:rPr>
          <w:rFonts w:ascii="Times New Roman" w:eastAsia="Times New Roman" w:hAnsi="Times New Roman" w:cs="Times New Roman"/>
          <w:sz w:val="24"/>
          <w:szCs w:val="24"/>
        </w:rPr>
      </w:pPr>
      <w:r w:rsidRPr="002B45D7">
        <w:rPr>
          <w:rFonts w:ascii="Times New Roman" w:eastAsia="Times New Roman" w:hAnsi="Times New Roman" w:cs="Times New Roman"/>
          <w:sz w:val="24"/>
          <w:szCs w:val="24"/>
        </w:rPr>
        <w:t xml:space="preserve">World Health Organization (WHO). (2020). </w:t>
      </w:r>
      <w:r w:rsidRPr="002B45D7">
        <w:rPr>
          <w:rFonts w:ascii="Times New Roman" w:eastAsia="Times New Roman" w:hAnsi="Times New Roman" w:cs="Times New Roman"/>
          <w:i/>
          <w:iCs/>
          <w:sz w:val="24"/>
          <w:szCs w:val="24"/>
        </w:rPr>
        <w:t>Global prevalence of anemia in women of reproductive age (15–49 years), 2019</w:t>
      </w:r>
      <w:r w:rsidRPr="002B45D7">
        <w:rPr>
          <w:rFonts w:ascii="Times New Roman" w:eastAsia="Times New Roman" w:hAnsi="Times New Roman" w:cs="Times New Roman"/>
          <w:sz w:val="24"/>
          <w:szCs w:val="24"/>
        </w:rPr>
        <w:t>. World Health Organization.</w:t>
      </w:r>
    </w:p>
    <w:p w:rsidR="00C57009" w:rsidRPr="002B45D7" w:rsidRDefault="00C57009" w:rsidP="008556C9">
      <w:pPr>
        <w:spacing w:line="360" w:lineRule="auto"/>
        <w:jc w:val="both"/>
        <w:rPr>
          <w:rFonts w:ascii="Times New Roman" w:hAnsi="Times New Roman" w:cs="Times New Roman"/>
          <w:sz w:val="24"/>
          <w:szCs w:val="24"/>
        </w:rPr>
      </w:pPr>
    </w:p>
    <w:sectPr w:rsidR="00C57009" w:rsidRPr="002B45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DFB" w:rsidRDefault="003D7DFB" w:rsidP="008556C9">
      <w:pPr>
        <w:spacing w:after="0" w:line="240" w:lineRule="auto"/>
      </w:pPr>
      <w:r>
        <w:separator/>
      </w:r>
    </w:p>
  </w:endnote>
  <w:endnote w:type="continuationSeparator" w:id="0">
    <w:p w:rsidR="003D7DFB" w:rsidRDefault="003D7DFB" w:rsidP="0085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6" w:rsidRDefault="004D6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6" w:rsidRDefault="004D6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6" w:rsidRDefault="004D6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DFB" w:rsidRDefault="003D7DFB" w:rsidP="008556C9">
      <w:pPr>
        <w:spacing w:after="0" w:line="240" w:lineRule="auto"/>
      </w:pPr>
      <w:r>
        <w:separator/>
      </w:r>
    </w:p>
  </w:footnote>
  <w:footnote w:type="continuationSeparator" w:id="0">
    <w:p w:rsidR="003D7DFB" w:rsidRDefault="003D7DFB" w:rsidP="0085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6" w:rsidRDefault="004D62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6" w:rsidRDefault="004D62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2B6" w:rsidRDefault="004D62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518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5D5"/>
    <w:multiLevelType w:val="multilevel"/>
    <w:tmpl w:val="3432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6E61"/>
    <w:multiLevelType w:val="hybridMultilevel"/>
    <w:tmpl w:val="C300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34119"/>
    <w:multiLevelType w:val="hybridMultilevel"/>
    <w:tmpl w:val="2376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209D1"/>
    <w:multiLevelType w:val="multilevel"/>
    <w:tmpl w:val="96D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A6697"/>
    <w:multiLevelType w:val="multilevel"/>
    <w:tmpl w:val="0B6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982B7F"/>
    <w:multiLevelType w:val="multilevel"/>
    <w:tmpl w:val="B92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C0F1C"/>
    <w:multiLevelType w:val="multilevel"/>
    <w:tmpl w:val="A8BE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474DE"/>
    <w:multiLevelType w:val="hybridMultilevel"/>
    <w:tmpl w:val="8284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5280D"/>
    <w:multiLevelType w:val="multilevel"/>
    <w:tmpl w:val="47C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0259A"/>
    <w:multiLevelType w:val="hybridMultilevel"/>
    <w:tmpl w:val="7DFC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756B9"/>
    <w:multiLevelType w:val="multilevel"/>
    <w:tmpl w:val="8E9A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B30626"/>
    <w:multiLevelType w:val="multilevel"/>
    <w:tmpl w:val="1BF6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B5488"/>
    <w:multiLevelType w:val="multilevel"/>
    <w:tmpl w:val="5B7A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4777A"/>
    <w:multiLevelType w:val="multilevel"/>
    <w:tmpl w:val="95D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
  </w:num>
  <w:num w:numId="3">
    <w:abstractNumId w:val="8"/>
  </w:num>
  <w:num w:numId="4">
    <w:abstractNumId w:val="6"/>
  </w:num>
  <w:num w:numId="5">
    <w:abstractNumId w:val="0"/>
  </w:num>
  <w:num w:numId="6">
    <w:abstractNumId w:val="12"/>
  </w:num>
  <w:num w:numId="7">
    <w:abstractNumId w:val="5"/>
  </w:num>
  <w:num w:numId="8">
    <w:abstractNumId w:val="13"/>
  </w:num>
  <w:num w:numId="9">
    <w:abstractNumId w:val="4"/>
  </w:num>
  <w:num w:numId="10">
    <w:abstractNumId w:val="10"/>
  </w:num>
  <w:num w:numId="11">
    <w:abstractNumId w:val="9"/>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29"/>
    <w:rsid w:val="00066CE6"/>
    <w:rsid w:val="00142FF1"/>
    <w:rsid w:val="00154FC9"/>
    <w:rsid w:val="0017113E"/>
    <w:rsid w:val="001B1455"/>
    <w:rsid w:val="002B45D7"/>
    <w:rsid w:val="003D7124"/>
    <w:rsid w:val="003D7DFB"/>
    <w:rsid w:val="00432F8E"/>
    <w:rsid w:val="00481E29"/>
    <w:rsid w:val="004925B9"/>
    <w:rsid w:val="004D62B6"/>
    <w:rsid w:val="00504829"/>
    <w:rsid w:val="005F0637"/>
    <w:rsid w:val="008120C8"/>
    <w:rsid w:val="008415AF"/>
    <w:rsid w:val="008556C9"/>
    <w:rsid w:val="00890896"/>
    <w:rsid w:val="00895B48"/>
    <w:rsid w:val="00930A6F"/>
    <w:rsid w:val="00BC66BE"/>
    <w:rsid w:val="00C25F27"/>
    <w:rsid w:val="00C57009"/>
    <w:rsid w:val="00CE551C"/>
    <w:rsid w:val="00DB1F36"/>
    <w:rsid w:val="00E6413D"/>
    <w:rsid w:val="00EB3C76"/>
    <w:rsid w:val="00F13CAC"/>
    <w:rsid w:val="00FA1EE7"/>
    <w:rsid w:val="00FB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8AD26E"/>
  <w15:chartTrackingRefBased/>
  <w15:docId w15:val="{5E21AA74-D33E-4FE9-8043-6D5FA5C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48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5B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4829"/>
    <w:rPr>
      <w:rFonts w:ascii="Times New Roman" w:eastAsia="Times New Roman" w:hAnsi="Times New Roman" w:cs="Times New Roman"/>
      <w:b/>
      <w:bCs/>
      <w:sz w:val="36"/>
      <w:szCs w:val="36"/>
    </w:rPr>
  </w:style>
  <w:style w:type="paragraph" w:customStyle="1" w:styleId="my-2">
    <w:name w:val="my-2"/>
    <w:basedOn w:val="Normal"/>
    <w:rsid w:val="0050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829"/>
    <w:rPr>
      <w:b/>
      <w:bCs/>
    </w:rPr>
  </w:style>
  <w:style w:type="character" w:customStyle="1" w:styleId="katex-mathml">
    <w:name w:val="katex-mathml"/>
    <w:basedOn w:val="DefaultParagraphFont"/>
    <w:rsid w:val="00504829"/>
  </w:style>
  <w:style w:type="character" w:customStyle="1" w:styleId="mord">
    <w:name w:val="mord"/>
    <w:basedOn w:val="DefaultParagraphFont"/>
    <w:rsid w:val="00504829"/>
  </w:style>
  <w:style w:type="character" w:customStyle="1" w:styleId="mrel">
    <w:name w:val="mrel"/>
    <w:basedOn w:val="DefaultParagraphFont"/>
    <w:rsid w:val="00504829"/>
  </w:style>
  <w:style w:type="character" w:customStyle="1" w:styleId="mopen">
    <w:name w:val="mopen"/>
    <w:basedOn w:val="DefaultParagraphFont"/>
    <w:rsid w:val="00504829"/>
  </w:style>
  <w:style w:type="character" w:customStyle="1" w:styleId="mbin">
    <w:name w:val="mbin"/>
    <w:basedOn w:val="DefaultParagraphFont"/>
    <w:rsid w:val="00504829"/>
  </w:style>
  <w:style w:type="character" w:customStyle="1" w:styleId="mclose">
    <w:name w:val="mclose"/>
    <w:basedOn w:val="DefaultParagraphFont"/>
    <w:rsid w:val="00504829"/>
  </w:style>
  <w:style w:type="character" w:styleId="Emphasis">
    <w:name w:val="Emphasis"/>
    <w:basedOn w:val="DefaultParagraphFont"/>
    <w:uiPriority w:val="20"/>
    <w:qFormat/>
    <w:rsid w:val="00504829"/>
    <w:rPr>
      <w:i/>
      <w:iCs/>
    </w:rPr>
  </w:style>
  <w:style w:type="character" w:styleId="Hyperlink">
    <w:name w:val="Hyperlink"/>
    <w:basedOn w:val="DefaultParagraphFont"/>
    <w:uiPriority w:val="99"/>
    <w:unhideWhenUsed/>
    <w:rsid w:val="00504829"/>
    <w:rPr>
      <w:color w:val="0000FF"/>
      <w:u w:val="single"/>
    </w:rPr>
  </w:style>
  <w:style w:type="character" w:customStyle="1" w:styleId="Heading3Char">
    <w:name w:val="Heading 3 Char"/>
    <w:basedOn w:val="DefaultParagraphFont"/>
    <w:link w:val="Heading3"/>
    <w:uiPriority w:val="9"/>
    <w:semiHidden/>
    <w:rsid w:val="00895B48"/>
    <w:rPr>
      <w:rFonts w:asciiTheme="majorHAnsi" w:eastAsiaTheme="majorEastAsia" w:hAnsiTheme="majorHAnsi" w:cstheme="majorBidi"/>
      <w:color w:val="1F4D78" w:themeColor="accent1" w:themeShade="7F"/>
      <w:sz w:val="24"/>
      <w:szCs w:val="24"/>
    </w:rPr>
  </w:style>
  <w:style w:type="paragraph" w:styleId="NormalWeb">
    <w:name w:val="Normal (Web)"/>
    <w:uiPriority w:val="99"/>
    <w:unhideWhenUsed/>
    <w:rsid w:val="00895B48"/>
    <w:pPr>
      <w:spacing w:before="100" w:beforeAutospacing="1" w:after="100" w:afterAutospacing="1" w:line="240" w:lineRule="auto"/>
    </w:pPr>
    <w:rPr>
      <w:rFonts w:ascii="Calibri" w:eastAsia="Calibri" w:hAnsi="Calibri" w:cs="Times New Roman"/>
      <w:sz w:val="24"/>
      <w:szCs w:val="24"/>
      <w:lang w:eastAsia="zh-CN"/>
    </w:rPr>
  </w:style>
  <w:style w:type="paragraph" w:styleId="ListParagraph">
    <w:name w:val="List Paragraph"/>
    <w:basedOn w:val="Normal"/>
    <w:uiPriority w:val="34"/>
    <w:qFormat/>
    <w:rsid w:val="00FA1EE7"/>
    <w:pPr>
      <w:ind w:left="720"/>
      <w:contextualSpacing/>
    </w:pPr>
  </w:style>
  <w:style w:type="paragraph" w:customStyle="1" w:styleId="Default">
    <w:name w:val="Default"/>
    <w:rsid w:val="00DB1F3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55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6C9"/>
  </w:style>
  <w:style w:type="paragraph" w:styleId="Footer">
    <w:name w:val="footer"/>
    <w:basedOn w:val="Normal"/>
    <w:link w:val="FooterChar"/>
    <w:uiPriority w:val="99"/>
    <w:unhideWhenUsed/>
    <w:rsid w:val="0085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95450">
      <w:bodyDiv w:val="1"/>
      <w:marLeft w:val="0"/>
      <w:marRight w:val="0"/>
      <w:marTop w:val="0"/>
      <w:marBottom w:val="0"/>
      <w:divBdr>
        <w:top w:val="none" w:sz="0" w:space="0" w:color="auto"/>
        <w:left w:val="none" w:sz="0" w:space="0" w:color="auto"/>
        <w:bottom w:val="none" w:sz="0" w:space="0" w:color="auto"/>
        <w:right w:val="none" w:sz="0" w:space="0" w:color="auto"/>
      </w:divBdr>
    </w:div>
    <w:div w:id="418185647">
      <w:bodyDiv w:val="1"/>
      <w:marLeft w:val="0"/>
      <w:marRight w:val="0"/>
      <w:marTop w:val="0"/>
      <w:marBottom w:val="0"/>
      <w:divBdr>
        <w:top w:val="none" w:sz="0" w:space="0" w:color="auto"/>
        <w:left w:val="none" w:sz="0" w:space="0" w:color="auto"/>
        <w:bottom w:val="none" w:sz="0" w:space="0" w:color="auto"/>
        <w:right w:val="none" w:sz="0" w:space="0" w:color="auto"/>
      </w:divBdr>
    </w:div>
    <w:div w:id="471485486">
      <w:bodyDiv w:val="1"/>
      <w:marLeft w:val="0"/>
      <w:marRight w:val="0"/>
      <w:marTop w:val="0"/>
      <w:marBottom w:val="0"/>
      <w:divBdr>
        <w:top w:val="none" w:sz="0" w:space="0" w:color="auto"/>
        <w:left w:val="none" w:sz="0" w:space="0" w:color="auto"/>
        <w:bottom w:val="none" w:sz="0" w:space="0" w:color="auto"/>
        <w:right w:val="none" w:sz="0" w:space="0" w:color="auto"/>
      </w:divBdr>
    </w:div>
    <w:div w:id="492138077">
      <w:bodyDiv w:val="1"/>
      <w:marLeft w:val="0"/>
      <w:marRight w:val="0"/>
      <w:marTop w:val="0"/>
      <w:marBottom w:val="0"/>
      <w:divBdr>
        <w:top w:val="none" w:sz="0" w:space="0" w:color="auto"/>
        <w:left w:val="none" w:sz="0" w:space="0" w:color="auto"/>
        <w:bottom w:val="none" w:sz="0" w:space="0" w:color="auto"/>
        <w:right w:val="none" w:sz="0" w:space="0" w:color="auto"/>
      </w:divBdr>
    </w:div>
    <w:div w:id="553352649">
      <w:bodyDiv w:val="1"/>
      <w:marLeft w:val="0"/>
      <w:marRight w:val="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 w:id="576981387">
      <w:bodyDiv w:val="1"/>
      <w:marLeft w:val="0"/>
      <w:marRight w:val="0"/>
      <w:marTop w:val="0"/>
      <w:marBottom w:val="0"/>
      <w:divBdr>
        <w:top w:val="none" w:sz="0" w:space="0" w:color="auto"/>
        <w:left w:val="none" w:sz="0" w:space="0" w:color="auto"/>
        <w:bottom w:val="none" w:sz="0" w:space="0" w:color="auto"/>
        <w:right w:val="none" w:sz="0" w:space="0" w:color="auto"/>
      </w:divBdr>
    </w:div>
    <w:div w:id="676805135">
      <w:bodyDiv w:val="1"/>
      <w:marLeft w:val="0"/>
      <w:marRight w:val="0"/>
      <w:marTop w:val="0"/>
      <w:marBottom w:val="0"/>
      <w:divBdr>
        <w:top w:val="none" w:sz="0" w:space="0" w:color="auto"/>
        <w:left w:val="none" w:sz="0" w:space="0" w:color="auto"/>
        <w:bottom w:val="none" w:sz="0" w:space="0" w:color="auto"/>
        <w:right w:val="none" w:sz="0" w:space="0" w:color="auto"/>
      </w:divBdr>
    </w:div>
    <w:div w:id="772283323">
      <w:bodyDiv w:val="1"/>
      <w:marLeft w:val="0"/>
      <w:marRight w:val="0"/>
      <w:marTop w:val="0"/>
      <w:marBottom w:val="0"/>
      <w:divBdr>
        <w:top w:val="none" w:sz="0" w:space="0" w:color="auto"/>
        <w:left w:val="none" w:sz="0" w:space="0" w:color="auto"/>
        <w:bottom w:val="none" w:sz="0" w:space="0" w:color="auto"/>
        <w:right w:val="none" w:sz="0" w:space="0" w:color="auto"/>
      </w:divBdr>
    </w:div>
    <w:div w:id="790365130">
      <w:bodyDiv w:val="1"/>
      <w:marLeft w:val="0"/>
      <w:marRight w:val="0"/>
      <w:marTop w:val="0"/>
      <w:marBottom w:val="0"/>
      <w:divBdr>
        <w:top w:val="none" w:sz="0" w:space="0" w:color="auto"/>
        <w:left w:val="none" w:sz="0" w:space="0" w:color="auto"/>
        <w:bottom w:val="none" w:sz="0" w:space="0" w:color="auto"/>
        <w:right w:val="none" w:sz="0" w:space="0" w:color="auto"/>
      </w:divBdr>
    </w:div>
    <w:div w:id="877820232">
      <w:bodyDiv w:val="1"/>
      <w:marLeft w:val="0"/>
      <w:marRight w:val="0"/>
      <w:marTop w:val="0"/>
      <w:marBottom w:val="0"/>
      <w:divBdr>
        <w:top w:val="none" w:sz="0" w:space="0" w:color="auto"/>
        <w:left w:val="none" w:sz="0" w:space="0" w:color="auto"/>
        <w:bottom w:val="none" w:sz="0" w:space="0" w:color="auto"/>
        <w:right w:val="none" w:sz="0" w:space="0" w:color="auto"/>
      </w:divBdr>
    </w:div>
    <w:div w:id="928926057">
      <w:bodyDiv w:val="1"/>
      <w:marLeft w:val="0"/>
      <w:marRight w:val="0"/>
      <w:marTop w:val="0"/>
      <w:marBottom w:val="0"/>
      <w:divBdr>
        <w:top w:val="none" w:sz="0" w:space="0" w:color="auto"/>
        <w:left w:val="none" w:sz="0" w:space="0" w:color="auto"/>
        <w:bottom w:val="none" w:sz="0" w:space="0" w:color="auto"/>
        <w:right w:val="none" w:sz="0" w:space="0" w:color="auto"/>
      </w:divBdr>
    </w:div>
    <w:div w:id="958338359">
      <w:bodyDiv w:val="1"/>
      <w:marLeft w:val="0"/>
      <w:marRight w:val="0"/>
      <w:marTop w:val="0"/>
      <w:marBottom w:val="0"/>
      <w:divBdr>
        <w:top w:val="none" w:sz="0" w:space="0" w:color="auto"/>
        <w:left w:val="none" w:sz="0" w:space="0" w:color="auto"/>
        <w:bottom w:val="none" w:sz="0" w:space="0" w:color="auto"/>
        <w:right w:val="none" w:sz="0" w:space="0" w:color="auto"/>
      </w:divBdr>
    </w:div>
    <w:div w:id="998464648">
      <w:bodyDiv w:val="1"/>
      <w:marLeft w:val="0"/>
      <w:marRight w:val="0"/>
      <w:marTop w:val="0"/>
      <w:marBottom w:val="0"/>
      <w:divBdr>
        <w:top w:val="none" w:sz="0" w:space="0" w:color="auto"/>
        <w:left w:val="none" w:sz="0" w:space="0" w:color="auto"/>
        <w:bottom w:val="none" w:sz="0" w:space="0" w:color="auto"/>
        <w:right w:val="none" w:sz="0" w:space="0" w:color="auto"/>
      </w:divBdr>
    </w:div>
    <w:div w:id="1032222128">
      <w:bodyDiv w:val="1"/>
      <w:marLeft w:val="0"/>
      <w:marRight w:val="0"/>
      <w:marTop w:val="0"/>
      <w:marBottom w:val="0"/>
      <w:divBdr>
        <w:top w:val="none" w:sz="0" w:space="0" w:color="auto"/>
        <w:left w:val="none" w:sz="0" w:space="0" w:color="auto"/>
        <w:bottom w:val="none" w:sz="0" w:space="0" w:color="auto"/>
        <w:right w:val="none" w:sz="0" w:space="0" w:color="auto"/>
      </w:divBdr>
    </w:div>
    <w:div w:id="1083525163">
      <w:bodyDiv w:val="1"/>
      <w:marLeft w:val="0"/>
      <w:marRight w:val="0"/>
      <w:marTop w:val="0"/>
      <w:marBottom w:val="0"/>
      <w:divBdr>
        <w:top w:val="none" w:sz="0" w:space="0" w:color="auto"/>
        <w:left w:val="none" w:sz="0" w:space="0" w:color="auto"/>
        <w:bottom w:val="none" w:sz="0" w:space="0" w:color="auto"/>
        <w:right w:val="none" w:sz="0" w:space="0" w:color="auto"/>
      </w:divBdr>
    </w:div>
    <w:div w:id="1256595536">
      <w:bodyDiv w:val="1"/>
      <w:marLeft w:val="0"/>
      <w:marRight w:val="0"/>
      <w:marTop w:val="0"/>
      <w:marBottom w:val="0"/>
      <w:divBdr>
        <w:top w:val="none" w:sz="0" w:space="0" w:color="auto"/>
        <w:left w:val="none" w:sz="0" w:space="0" w:color="auto"/>
        <w:bottom w:val="none" w:sz="0" w:space="0" w:color="auto"/>
        <w:right w:val="none" w:sz="0" w:space="0" w:color="auto"/>
      </w:divBdr>
    </w:div>
    <w:div w:id="1300652719">
      <w:bodyDiv w:val="1"/>
      <w:marLeft w:val="0"/>
      <w:marRight w:val="0"/>
      <w:marTop w:val="0"/>
      <w:marBottom w:val="0"/>
      <w:divBdr>
        <w:top w:val="none" w:sz="0" w:space="0" w:color="auto"/>
        <w:left w:val="none" w:sz="0" w:space="0" w:color="auto"/>
        <w:bottom w:val="none" w:sz="0" w:space="0" w:color="auto"/>
        <w:right w:val="none" w:sz="0" w:space="0" w:color="auto"/>
      </w:divBdr>
    </w:div>
    <w:div w:id="1308780218">
      <w:bodyDiv w:val="1"/>
      <w:marLeft w:val="0"/>
      <w:marRight w:val="0"/>
      <w:marTop w:val="0"/>
      <w:marBottom w:val="0"/>
      <w:divBdr>
        <w:top w:val="none" w:sz="0" w:space="0" w:color="auto"/>
        <w:left w:val="none" w:sz="0" w:space="0" w:color="auto"/>
        <w:bottom w:val="none" w:sz="0" w:space="0" w:color="auto"/>
        <w:right w:val="none" w:sz="0" w:space="0" w:color="auto"/>
      </w:divBdr>
    </w:div>
    <w:div w:id="1355620003">
      <w:bodyDiv w:val="1"/>
      <w:marLeft w:val="0"/>
      <w:marRight w:val="0"/>
      <w:marTop w:val="0"/>
      <w:marBottom w:val="0"/>
      <w:divBdr>
        <w:top w:val="none" w:sz="0" w:space="0" w:color="auto"/>
        <w:left w:val="none" w:sz="0" w:space="0" w:color="auto"/>
        <w:bottom w:val="none" w:sz="0" w:space="0" w:color="auto"/>
        <w:right w:val="none" w:sz="0" w:space="0" w:color="auto"/>
      </w:divBdr>
      <w:divsChild>
        <w:div w:id="14043900">
          <w:marLeft w:val="0"/>
          <w:marRight w:val="0"/>
          <w:marTop w:val="0"/>
          <w:marBottom w:val="0"/>
          <w:divBdr>
            <w:top w:val="none" w:sz="0" w:space="0" w:color="auto"/>
            <w:left w:val="none" w:sz="0" w:space="0" w:color="auto"/>
            <w:bottom w:val="none" w:sz="0" w:space="0" w:color="auto"/>
            <w:right w:val="none" w:sz="0" w:space="0" w:color="auto"/>
          </w:divBdr>
          <w:divsChild>
            <w:div w:id="1140731941">
              <w:marLeft w:val="0"/>
              <w:marRight w:val="0"/>
              <w:marTop w:val="0"/>
              <w:marBottom w:val="0"/>
              <w:divBdr>
                <w:top w:val="none" w:sz="0" w:space="0" w:color="auto"/>
                <w:left w:val="none" w:sz="0" w:space="0" w:color="auto"/>
                <w:bottom w:val="none" w:sz="0" w:space="0" w:color="auto"/>
                <w:right w:val="none" w:sz="0" w:space="0" w:color="auto"/>
              </w:divBdr>
              <w:divsChild>
                <w:div w:id="1979844827">
                  <w:marLeft w:val="0"/>
                  <w:marRight w:val="0"/>
                  <w:marTop w:val="0"/>
                  <w:marBottom w:val="0"/>
                  <w:divBdr>
                    <w:top w:val="none" w:sz="0" w:space="0" w:color="auto"/>
                    <w:left w:val="none" w:sz="0" w:space="0" w:color="auto"/>
                    <w:bottom w:val="none" w:sz="0" w:space="0" w:color="auto"/>
                    <w:right w:val="none" w:sz="0" w:space="0" w:color="auto"/>
                  </w:divBdr>
                  <w:divsChild>
                    <w:div w:id="273175197">
                      <w:marLeft w:val="0"/>
                      <w:marRight w:val="0"/>
                      <w:marTop w:val="0"/>
                      <w:marBottom w:val="0"/>
                      <w:divBdr>
                        <w:top w:val="none" w:sz="0" w:space="0" w:color="auto"/>
                        <w:left w:val="none" w:sz="0" w:space="0" w:color="auto"/>
                        <w:bottom w:val="none" w:sz="0" w:space="0" w:color="auto"/>
                        <w:right w:val="none" w:sz="0" w:space="0" w:color="auto"/>
                      </w:divBdr>
                      <w:divsChild>
                        <w:div w:id="521357504">
                          <w:marLeft w:val="0"/>
                          <w:marRight w:val="0"/>
                          <w:marTop w:val="0"/>
                          <w:marBottom w:val="0"/>
                          <w:divBdr>
                            <w:top w:val="none" w:sz="0" w:space="0" w:color="auto"/>
                            <w:left w:val="none" w:sz="0" w:space="0" w:color="auto"/>
                            <w:bottom w:val="none" w:sz="0" w:space="0" w:color="auto"/>
                            <w:right w:val="none" w:sz="0" w:space="0" w:color="auto"/>
                          </w:divBdr>
                          <w:divsChild>
                            <w:div w:id="18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83699">
      <w:bodyDiv w:val="1"/>
      <w:marLeft w:val="0"/>
      <w:marRight w:val="0"/>
      <w:marTop w:val="0"/>
      <w:marBottom w:val="0"/>
      <w:divBdr>
        <w:top w:val="none" w:sz="0" w:space="0" w:color="auto"/>
        <w:left w:val="none" w:sz="0" w:space="0" w:color="auto"/>
        <w:bottom w:val="none" w:sz="0" w:space="0" w:color="auto"/>
        <w:right w:val="none" w:sz="0" w:space="0" w:color="auto"/>
      </w:divBdr>
    </w:div>
    <w:div w:id="1574000788">
      <w:bodyDiv w:val="1"/>
      <w:marLeft w:val="0"/>
      <w:marRight w:val="0"/>
      <w:marTop w:val="0"/>
      <w:marBottom w:val="0"/>
      <w:divBdr>
        <w:top w:val="none" w:sz="0" w:space="0" w:color="auto"/>
        <w:left w:val="none" w:sz="0" w:space="0" w:color="auto"/>
        <w:bottom w:val="none" w:sz="0" w:space="0" w:color="auto"/>
        <w:right w:val="none" w:sz="0" w:space="0" w:color="auto"/>
      </w:divBdr>
    </w:div>
    <w:div w:id="1663200094">
      <w:bodyDiv w:val="1"/>
      <w:marLeft w:val="0"/>
      <w:marRight w:val="0"/>
      <w:marTop w:val="0"/>
      <w:marBottom w:val="0"/>
      <w:divBdr>
        <w:top w:val="none" w:sz="0" w:space="0" w:color="auto"/>
        <w:left w:val="none" w:sz="0" w:space="0" w:color="auto"/>
        <w:bottom w:val="none" w:sz="0" w:space="0" w:color="auto"/>
        <w:right w:val="none" w:sz="0" w:space="0" w:color="auto"/>
      </w:divBdr>
    </w:div>
    <w:div w:id="1764105807">
      <w:bodyDiv w:val="1"/>
      <w:marLeft w:val="0"/>
      <w:marRight w:val="0"/>
      <w:marTop w:val="0"/>
      <w:marBottom w:val="0"/>
      <w:divBdr>
        <w:top w:val="none" w:sz="0" w:space="0" w:color="auto"/>
        <w:left w:val="none" w:sz="0" w:space="0" w:color="auto"/>
        <w:bottom w:val="none" w:sz="0" w:space="0" w:color="auto"/>
        <w:right w:val="none" w:sz="0" w:space="0" w:color="auto"/>
      </w:divBdr>
    </w:div>
    <w:div w:id="1878657664">
      <w:bodyDiv w:val="1"/>
      <w:marLeft w:val="0"/>
      <w:marRight w:val="0"/>
      <w:marTop w:val="0"/>
      <w:marBottom w:val="0"/>
      <w:divBdr>
        <w:top w:val="none" w:sz="0" w:space="0" w:color="auto"/>
        <w:left w:val="none" w:sz="0" w:space="0" w:color="auto"/>
        <w:bottom w:val="none" w:sz="0" w:space="0" w:color="auto"/>
        <w:right w:val="none" w:sz="0" w:space="0" w:color="auto"/>
      </w:divBdr>
    </w:div>
    <w:div w:id="1895891123">
      <w:bodyDiv w:val="1"/>
      <w:marLeft w:val="0"/>
      <w:marRight w:val="0"/>
      <w:marTop w:val="0"/>
      <w:marBottom w:val="0"/>
      <w:divBdr>
        <w:top w:val="none" w:sz="0" w:space="0" w:color="auto"/>
        <w:left w:val="none" w:sz="0" w:space="0" w:color="auto"/>
        <w:bottom w:val="none" w:sz="0" w:space="0" w:color="auto"/>
        <w:right w:val="none" w:sz="0" w:space="0" w:color="auto"/>
      </w:divBdr>
    </w:div>
    <w:div w:id="1984966467">
      <w:bodyDiv w:val="1"/>
      <w:marLeft w:val="0"/>
      <w:marRight w:val="0"/>
      <w:marTop w:val="0"/>
      <w:marBottom w:val="0"/>
      <w:divBdr>
        <w:top w:val="none" w:sz="0" w:space="0" w:color="auto"/>
        <w:left w:val="none" w:sz="0" w:space="0" w:color="auto"/>
        <w:bottom w:val="none" w:sz="0" w:space="0" w:color="auto"/>
        <w:right w:val="none" w:sz="0" w:space="0" w:color="auto"/>
      </w:divBdr>
    </w:div>
    <w:div w:id="2002347332">
      <w:bodyDiv w:val="1"/>
      <w:marLeft w:val="0"/>
      <w:marRight w:val="0"/>
      <w:marTop w:val="0"/>
      <w:marBottom w:val="0"/>
      <w:divBdr>
        <w:top w:val="none" w:sz="0" w:space="0" w:color="auto"/>
        <w:left w:val="none" w:sz="0" w:space="0" w:color="auto"/>
        <w:bottom w:val="none" w:sz="0" w:space="0" w:color="auto"/>
        <w:right w:val="none" w:sz="0" w:space="0" w:color="auto"/>
      </w:divBdr>
    </w:div>
    <w:div w:id="20398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0E6A-5282-4356-BB22-60DE6C6D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23</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1084</cp:lastModifiedBy>
  <cp:revision>22</cp:revision>
  <dcterms:created xsi:type="dcterms:W3CDTF">2025-10-15T19:09:00Z</dcterms:created>
  <dcterms:modified xsi:type="dcterms:W3CDTF">2025-10-22T10:34:00Z</dcterms:modified>
</cp:coreProperties>
</file>