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04" w:rsidRPr="001460EC" w:rsidRDefault="00955304" w:rsidP="00955304">
      <w:pPr>
        <w:spacing w:before="100" w:beforeAutospacing="1" w:after="100" w:afterAutospacing="1" w:line="240" w:lineRule="auto"/>
        <w:jc w:val="center"/>
        <w:outlineLvl w:val="0"/>
        <w:rPr>
          <w:rFonts w:eastAsia="Times New Roman" w:cstheme="minorHAnsi"/>
          <w:b/>
          <w:bCs/>
          <w:kern w:val="36"/>
          <w:sz w:val="28"/>
          <w:szCs w:val="28"/>
        </w:rPr>
      </w:pPr>
      <w:bookmarkStart w:id="0" w:name="_Hlk210473499"/>
      <w:r w:rsidRPr="001460EC">
        <w:rPr>
          <w:rFonts w:eastAsia="Times New Roman" w:cstheme="minorHAnsi"/>
          <w:b/>
          <w:bCs/>
          <w:kern w:val="36"/>
          <w:sz w:val="28"/>
          <w:szCs w:val="28"/>
        </w:rPr>
        <w:t>Association between ABO/Rhesus blood groups and selected transfusion-transmissible infections among blood donors attending University College Hospital, Ibadan, Oyo State, Nigeria</w:t>
      </w:r>
      <w:bookmarkEnd w:id="0"/>
    </w:p>
    <w:p w:rsidR="007D5B01" w:rsidRPr="001460EC" w:rsidRDefault="007D5B01" w:rsidP="007D5B01">
      <w:pPr>
        <w:spacing w:before="100" w:beforeAutospacing="1" w:after="100" w:afterAutospacing="1" w:line="240" w:lineRule="auto"/>
        <w:jc w:val="both"/>
        <w:outlineLvl w:val="0"/>
        <w:rPr>
          <w:rFonts w:eastAsia="Times New Roman" w:cstheme="minorHAnsi"/>
          <w:b/>
          <w:bCs/>
          <w:kern w:val="36"/>
          <w:sz w:val="28"/>
          <w:szCs w:val="28"/>
        </w:rPr>
      </w:pPr>
    </w:p>
    <w:p w:rsidR="007D5B01" w:rsidRPr="001460EC" w:rsidRDefault="007D5B01" w:rsidP="007D5B01">
      <w:pPr>
        <w:spacing w:before="100" w:beforeAutospacing="1" w:after="100" w:afterAutospacing="1" w:line="240" w:lineRule="auto"/>
        <w:jc w:val="both"/>
        <w:outlineLvl w:val="1"/>
        <w:rPr>
          <w:rFonts w:eastAsia="Times New Roman" w:cstheme="minorHAnsi"/>
          <w:b/>
          <w:bCs/>
          <w:sz w:val="28"/>
          <w:szCs w:val="28"/>
        </w:rPr>
      </w:pPr>
      <w:r w:rsidRPr="001460EC">
        <w:rPr>
          <w:rFonts w:eastAsia="Times New Roman" w:cstheme="minorHAnsi"/>
          <w:b/>
          <w:bCs/>
          <w:sz w:val="28"/>
          <w:szCs w:val="28"/>
        </w:rPr>
        <w:t>Abstract</w:t>
      </w:r>
    </w:p>
    <w:p w:rsidR="007D5B01" w:rsidRPr="001460EC" w:rsidRDefault="007D5B01" w:rsidP="007D5B01">
      <w:pPr>
        <w:jc w:val="both"/>
        <w:rPr>
          <w:rFonts w:eastAsia="Times New Roman" w:cstheme="minorHAnsi"/>
          <w:sz w:val="24"/>
          <w:szCs w:val="24"/>
        </w:rPr>
      </w:pPr>
      <w:r w:rsidRPr="001460EC">
        <w:rPr>
          <w:rFonts w:eastAsia="Times New Roman" w:cstheme="minorHAnsi"/>
          <w:b/>
          <w:bCs/>
          <w:sz w:val="24"/>
          <w:szCs w:val="24"/>
        </w:rPr>
        <w:t>Introduction:</w:t>
      </w:r>
      <w:r w:rsidRPr="001460EC">
        <w:rPr>
          <w:rFonts w:eastAsia="Times New Roman" w:cstheme="minorHAnsi"/>
          <w:sz w:val="24"/>
          <w:szCs w:val="24"/>
        </w:rPr>
        <w:t xml:space="preserve"> In low- and middle-income nations, transfusion-transmissible diseases (TTIs), primarily syphilis, hepatitis B virus (HBV), hepatitis C virus (HCV), and HIV, continue to pose a threat to blood safety. Whether red-cell antigen systems (A</w:t>
      </w:r>
      <w:bookmarkStart w:id="1" w:name="_GoBack"/>
      <w:bookmarkEnd w:id="1"/>
      <w:r w:rsidRPr="001460EC">
        <w:rPr>
          <w:rFonts w:eastAsia="Times New Roman" w:cstheme="minorHAnsi"/>
          <w:sz w:val="24"/>
          <w:szCs w:val="24"/>
        </w:rPr>
        <w:t xml:space="preserve">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affect vulnerability to these illnesses is of interest since it may affect donor screening methods.</w:t>
      </w:r>
    </w:p>
    <w:p w:rsidR="007D5B01" w:rsidRPr="001460EC" w:rsidRDefault="007D5B01" w:rsidP="007D5B01">
      <w:pPr>
        <w:jc w:val="both"/>
        <w:rPr>
          <w:rFonts w:eastAsia="Times New Roman" w:cstheme="minorHAnsi"/>
          <w:sz w:val="24"/>
          <w:szCs w:val="24"/>
        </w:rPr>
      </w:pPr>
      <w:r w:rsidRPr="001460EC">
        <w:rPr>
          <w:rFonts w:eastAsia="Times New Roman" w:cstheme="minorHAnsi"/>
          <w:b/>
          <w:bCs/>
          <w:sz w:val="24"/>
          <w:szCs w:val="24"/>
        </w:rPr>
        <w:t>Aim:</w:t>
      </w:r>
      <w:r w:rsidRPr="001460EC">
        <w:rPr>
          <w:rFonts w:eastAsia="Times New Roman" w:cstheme="minorHAnsi"/>
          <w:sz w:val="24"/>
          <w:szCs w:val="24"/>
        </w:rPr>
        <w:t xml:space="preserve"> To find out how common HBV, HCV, HIV, and syphilis are among blood donors at University College Hospital (UCH), Ibadan, and to look into any connections between these TTIs and the phenotypes of the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groups.</w:t>
      </w:r>
    </w:p>
    <w:p w:rsidR="007D5B01" w:rsidRPr="001460EC" w:rsidRDefault="007D5B01" w:rsidP="007D5B01">
      <w:pPr>
        <w:jc w:val="both"/>
        <w:rPr>
          <w:rFonts w:eastAsia="Times New Roman" w:cstheme="minorHAnsi"/>
          <w:sz w:val="24"/>
          <w:szCs w:val="24"/>
        </w:rPr>
      </w:pPr>
      <w:r w:rsidRPr="001460EC">
        <w:rPr>
          <w:rFonts w:eastAsia="Times New Roman" w:cstheme="minorHAnsi"/>
          <w:b/>
          <w:bCs/>
          <w:sz w:val="24"/>
          <w:szCs w:val="24"/>
        </w:rPr>
        <w:t>Methods:</w:t>
      </w:r>
      <w:r w:rsidRPr="001460EC">
        <w:rPr>
          <w:rFonts w:eastAsia="Times New Roman" w:cstheme="minorHAnsi"/>
          <w:sz w:val="24"/>
          <w:szCs w:val="24"/>
        </w:rPr>
        <w:t xml:space="preserve"> 144 willing potential donors who were selected by simple random sampling participated in a descriptive cross-sectional study. With a reference prevalence of 9.3% and a 10% attrition adjustment, the sample size was determined using Cochran's formula, producing 144 individuals. Each donor provided five milliliters of venous blood, and the standard hemagglutination (tile) method was used to group the blood according to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Commercially available ELISA kits for HBV, HCV, and HIV were utilized for serological screening; syphilis was detected by fast diagnostic testing (ELISA confirmation/retest of equivocal results as per protocol). Descriptive statistics, chi-square tests for associations between ABO groups and TTIs, and testing for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associations were used to analyze the data; p &lt; 0.05 indicated significant. SPSS v24 was used for this analysis. The methods and processes used were the same as those outlined in the original document.</w:t>
      </w:r>
    </w:p>
    <w:p w:rsidR="007D5B01" w:rsidRPr="001460EC" w:rsidRDefault="007D5B01" w:rsidP="007D5B01">
      <w:pPr>
        <w:jc w:val="both"/>
        <w:rPr>
          <w:rFonts w:eastAsia="Times New Roman" w:cstheme="minorHAnsi"/>
          <w:sz w:val="24"/>
          <w:szCs w:val="24"/>
        </w:rPr>
      </w:pPr>
      <w:r w:rsidRPr="001460EC">
        <w:rPr>
          <w:rFonts w:eastAsia="Times New Roman" w:cstheme="minorHAnsi"/>
          <w:b/>
          <w:bCs/>
          <w:sz w:val="24"/>
          <w:szCs w:val="24"/>
        </w:rPr>
        <w:t>Results:</w:t>
      </w:r>
      <w:r w:rsidRPr="001460EC">
        <w:rPr>
          <w:rFonts w:eastAsia="Times New Roman" w:cstheme="minorHAnsi"/>
          <w:sz w:val="24"/>
          <w:szCs w:val="24"/>
        </w:rPr>
        <w:t xml:space="preserve"> The majority of donors (91.7%) are men, and 41.7% are between the ages of 18 and 25.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positive 140 (97.2%)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negative 4 (2.8%); ABO distribution: O 105 (72.9%), A 22 (15.3%), B 13 (9.0%), and AB 4 (2.8%). In total, 9 out of 144 donors (6.25%) had at least one TTI test result. HIV 2/144 (1.39%), syphilis 3/144 (2.08%), and HBV 4/144 (2.78%) were the </w:t>
      </w:r>
      <w:proofErr w:type="spellStart"/>
      <w:r w:rsidRPr="001460EC">
        <w:rPr>
          <w:rFonts w:eastAsia="Times New Roman" w:cstheme="minorHAnsi"/>
          <w:sz w:val="24"/>
          <w:szCs w:val="24"/>
        </w:rPr>
        <w:t>prevalences</w:t>
      </w:r>
      <w:proofErr w:type="spellEnd"/>
      <w:r w:rsidRPr="001460EC">
        <w:rPr>
          <w:rFonts w:eastAsia="Times New Roman" w:cstheme="minorHAnsi"/>
          <w:sz w:val="24"/>
          <w:szCs w:val="24"/>
        </w:rPr>
        <w:t xml:space="preserve">; no HCV cases were found. Although group O donors (n = 6) had the highest absolute number of infections, there was no statistically significant correlation between TTI status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status (χ² = 0.28, df = 1, p = 0.60) or ABO group and TTI status (χ² = 3.14, df = 3, p = 0.37).</w:t>
      </w:r>
    </w:p>
    <w:p w:rsidR="007D5B01" w:rsidRPr="001460EC" w:rsidRDefault="007D5B01" w:rsidP="007D5B01">
      <w:pPr>
        <w:jc w:val="both"/>
        <w:rPr>
          <w:rFonts w:eastAsia="Times New Roman" w:cstheme="minorHAnsi"/>
          <w:sz w:val="24"/>
          <w:szCs w:val="24"/>
        </w:rPr>
      </w:pPr>
      <w:r w:rsidRPr="001460EC">
        <w:rPr>
          <w:rFonts w:eastAsia="Times New Roman" w:cstheme="minorHAnsi"/>
          <w:b/>
          <w:bCs/>
          <w:sz w:val="24"/>
          <w:szCs w:val="24"/>
        </w:rPr>
        <w:t>Conclusion:</w:t>
      </w:r>
      <w:r w:rsidRPr="001460EC">
        <w:rPr>
          <w:rFonts w:eastAsia="Times New Roman" w:cstheme="minorHAnsi"/>
          <w:sz w:val="24"/>
          <w:szCs w:val="24"/>
        </w:rPr>
        <w:t xml:space="preserve"> The prevalence of syphilis, HIV, and HBV was low in this UCH donor group, and no HCV was found. The ABO or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phenotypes were not shown to predict TTI status. The key </w:t>
      </w:r>
      <w:r w:rsidRPr="001460EC">
        <w:rPr>
          <w:rFonts w:eastAsia="Times New Roman" w:cstheme="minorHAnsi"/>
          <w:sz w:val="24"/>
          <w:szCs w:val="24"/>
        </w:rPr>
        <w:lastRenderedPageBreak/>
        <w:t>approach to blood safety continues to be the maintenance of sensitive screening and strong donor selection.</w:t>
      </w:r>
    </w:p>
    <w:p w:rsidR="007D5B01" w:rsidRPr="001460EC" w:rsidRDefault="007D5B01" w:rsidP="007D5B01">
      <w:pPr>
        <w:spacing w:before="100" w:beforeAutospacing="1" w:after="100" w:afterAutospacing="1" w:line="240" w:lineRule="auto"/>
        <w:jc w:val="both"/>
        <w:rPr>
          <w:rFonts w:eastAsia="Times New Roman" w:cstheme="minorHAnsi"/>
          <w:sz w:val="24"/>
          <w:szCs w:val="24"/>
        </w:rPr>
      </w:pPr>
      <w:r w:rsidRPr="001460EC">
        <w:rPr>
          <w:rFonts w:eastAsia="Times New Roman" w:cstheme="minorHAnsi"/>
          <w:b/>
          <w:bCs/>
          <w:sz w:val="24"/>
          <w:szCs w:val="24"/>
        </w:rPr>
        <w:t>Keywords:</w:t>
      </w:r>
      <w:r w:rsidRPr="001460EC">
        <w:rPr>
          <w:rFonts w:eastAsia="Times New Roman" w:cstheme="minorHAnsi"/>
          <w:sz w:val="24"/>
          <w:szCs w:val="24"/>
        </w:rPr>
        <w:t xml:space="preserve"> Transfusion-transmissible infections; ABO blood group; Rhesus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HBV; HIV; Syphilis; blood donors; Nigeria.</w:t>
      </w:r>
    </w:p>
    <w:p w:rsidR="00426112" w:rsidRPr="001460EC" w:rsidRDefault="00426112"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jc w:val="both"/>
        <w:rPr>
          <w:rFonts w:cstheme="minorHAnsi"/>
        </w:rPr>
      </w:pPr>
    </w:p>
    <w:p w:rsidR="007D5B01" w:rsidRPr="001460EC" w:rsidRDefault="007D5B01" w:rsidP="007D5B01">
      <w:pPr>
        <w:pStyle w:val="Heading2"/>
      </w:pPr>
      <w:r w:rsidRPr="001460EC">
        <w:lastRenderedPageBreak/>
        <w:t>1.0 Introduction</w:t>
      </w:r>
    </w:p>
    <w:p w:rsidR="000364D7" w:rsidRPr="001460EC" w:rsidRDefault="000364D7"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A vital and frequently life-saving medical procedure, blood transfusions are used to treat hematological illnesses, severe anemia, obstetric emergencies, trauma, and surgery. Blood transfusions have a danger of spreading infectious germs from donor to recipient, known as transfusion-transmissible infections (TTIs), despite their enormous clinical benefit. TTIs are a major public health concern, particularly in low- and middle-income nations like Nigeria, where endemic infections are common and infrastructure limitations may reduce the sensitivity and accuracy of screening tests (World Health Organization [WHO], 2025; </w:t>
      </w:r>
      <w:proofErr w:type="spellStart"/>
      <w:r w:rsidRPr="001460EC">
        <w:rPr>
          <w:rFonts w:eastAsia="Times New Roman" w:cstheme="minorHAnsi"/>
          <w:sz w:val="24"/>
          <w:szCs w:val="24"/>
        </w:rPr>
        <w:t>Kanyike</w:t>
      </w:r>
      <w:proofErr w:type="spellEnd"/>
      <w:r w:rsidRPr="001460EC">
        <w:rPr>
          <w:rFonts w:eastAsia="Times New Roman" w:cstheme="minorHAnsi"/>
          <w:sz w:val="24"/>
          <w:szCs w:val="24"/>
        </w:rPr>
        <w:t xml:space="preserve"> et al., 2025; Hadfield et al., 2024).</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Every year, about 118.5 million blood donations are made worldwide, with Sub-Saharan Africa having a significant blood need because to the high rates of trauma, sickle cell disease, malaria, and maternal hemorrhage (WHO, 2025; Amaechi &amp; colleagues, 2025). The risk of transfusion transmission is increased by difficulties in screening technologies, donor selection, and regionally specific epidemiological characteristics (</w:t>
      </w:r>
      <w:proofErr w:type="spellStart"/>
      <w:r w:rsidRPr="001460EC">
        <w:rPr>
          <w:rFonts w:eastAsia="Times New Roman" w:cstheme="minorHAnsi"/>
          <w:sz w:val="24"/>
          <w:szCs w:val="24"/>
        </w:rPr>
        <w:t>Candotti</w:t>
      </w:r>
      <w:proofErr w:type="spellEnd"/>
      <w:r w:rsidRPr="001460EC">
        <w:rPr>
          <w:rFonts w:eastAsia="Times New Roman" w:cstheme="minorHAnsi"/>
          <w:sz w:val="24"/>
          <w:szCs w:val="24"/>
        </w:rPr>
        <w:t xml:space="preserve">, 2021; </w:t>
      </w:r>
      <w:proofErr w:type="spellStart"/>
      <w:r w:rsidRPr="001460EC">
        <w:rPr>
          <w:rFonts w:eastAsia="Times New Roman" w:cstheme="minorHAnsi"/>
          <w:sz w:val="24"/>
          <w:szCs w:val="24"/>
        </w:rPr>
        <w:t>Singogo</w:t>
      </w:r>
      <w:proofErr w:type="spellEnd"/>
      <w:r w:rsidRPr="001460EC">
        <w:rPr>
          <w:rFonts w:eastAsia="Times New Roman" w:cstheme="minorHAnsi"/>
          <w:sz w:val="24"/>
          <w:szCs w:val="24"/>
        </w:rPr>
        <w:t xml:space="preserve"> et al., 2023).</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Human immunodeficiency virus (HIV), hepatitis B virus (HBV), hepatitis C virus (HCV), and Treponema pallidum-caused syphilis are the main TTIs of international significance. These bacteria cause chronic morbidity and mortality in addition to endangering the safety of transfusions. As hepatotropic viruses, HBV and HCV can induce acute infections that lead to cirrhosis, hepatocellular cancer, and chronic liver disease (Zhang, 2019;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Undiagnosed HIV infection causes increasing immunosuppression and increases vulnerability to opportunistic infections. Inadequately screened blood can be used to transmit syphilis, a sexually transmitted </w:t>
      </w:r>
      <w:proofErr w:type="spellStart"/>
      <w:r w:rsidRPr="001460EC">
        <w:rPr>
          <w:rFonts w:eastAsia="Times New Roman" w:cstheme="minorHAnsi"/>
          <w:sz w:val="24"/>
          <w:szCs w:val="24"/>
        </w:rPr>
        <w:t>spirochaetal</w:t>
      </w:r>
      <w:proofErr w:type="spellEnd"/>
      <w:r w:rsidRPr="001460EC">
        <w:rPr>
          <w:rFonts w:eastAsia="Times New Roman" w:cstheme="minorHAnsi"/>
          <w:sz w:val="24"/>
          <w:szCs w:val="24"/>
        </w:rPr>
        <w:t xml:space="preserve"> infection that can lead to neurological and systemic problems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w:t>
      </w:r>
      <w:proofErr w:type="spellStart"/>
      <w:r w:rsidRPr="001460EC">
        <w:rPr>
          <w:rFonts w:eastAsia="Times New Roman" w:cstheme="minorHAnsi"/>
          <w:sz w:val="24"/>
          <w:szCs w:val="24"/>
        </w:rPr>
        <w:t>Buseri</w:t>
      </w:r>
      <w:proofErr w:type="spellEnd"/>
      <w:r w:rsidRPr="001460EC">
        <w:rPr>
          <w:rFonts w:eastAsia="Times New Roman" w:cstheme="minorHAnsi"/>
          <w:sz w:val="24"/>
          <w:szCs w:val="24"/>
        </w:rPr>
        <w:t>, 2009).</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Even with significant improvements in blood screening procedures, TTIs continue to be a significant problem in Nigeria. Blood donors have a seroprevalence of approximately 2.8% for HBV, 1.6% for HIV, 2.1% for HCV, and 3.4% for syphilis, according to recent studies; prevalence rates are greater in some populations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w:t>
      </w:r>
      <w:proofErr w:type="spellStart"/>
      <w:r w:rsidRPr="001460EC">
        <w:rPr>
          <w:rFonts w:eastAsia="Times New Roman" w:cstheme="minorHAnsi"/>
          <w:sz w:val="24"/>
          <w:szCs w:val="24"/>
        </w:rPr>
        <w:t>Kanyike</w:t>
      </w:r>
      <w:proofErr w:type="spellEnd"/>
      <w:r w:rsidRPr="001460EC">
        <w:rPr>
          <w:rFonts w:eastAsia="Times New Roman" w:cstheme="minorHAnsi"/>
          <w:sz w:val="24"/>
          <w:szCs w:val="24"/>
        </w:rPr>
        <w:t xml:space="preserve"> et al., 2025; Amaechi et al., 2025). These results are consistent with regional data indicating higher frequency in older donors and males, and several recent investigations have found that syphilis was the most </w:t>
      </w:r>
      <w:r w:rsidRPr="001460EC">
        <w:rPr>
          <w:rFonts w:eastAsia="Times New Roman" w:cstheme="minorHAnsi"/>
          <w:sz w:val="24"/>
          <w:szCs w:val="24"/>
        </w:rPr>
        <w:lastRenderedPageBreak/>
        <w:t>common transfusion-transmitted infection (</w:t>
      </w:r>
      <w:proofErr w:type="spellStart"/>
      <w:r w:rsidRPr="001460EC">
        <w:rPr>
          <w:rFonts w:eastAsia="Times New Roman" w:cstheme="minorHAnsi"/>
          <w:sz w:val="24"/>
          <w:szCs w:val="24"/>
        </w:rPr>
        <w:t>Kanyike</w:t>
      </w:r>
      <w:proofErr w:type="spellEnd"/>
      <w:r w:rsidRPr="001460EC">
        <w:rPr>
          <w:rFonts w:eastAsia="Times New Roman" w:cstheme="minorHAnsi"/>
          <w:sz w:val="24"/>
          <w:szCs w:val="24"/>
        </w:rPr>
        <w:t xml:space="preserve"> et al., 2025; Hadfield et al., 2024). High-risk behavioral characteristics and co-infection occurrences make the region's transfusion safety situation even more complex (Amaechi et al., 2025; </w:t>
      </w:r>
      <w:proofErr w:type="spellStart"/>
      <w:r w:rsidRPr="001460EC">
        <w:rPr>
          <w:rFonts w:eastAsia="Times New Roman" w:cstheme="minorHAnsi"/>
          <w:sz w:val="24"/>
          <w:szCs w:val="24"/>
        </w:rPr>
        <w:t>Singogo</w:t>
      </w:r>
      <w:proofErr w:type="spellEnd"/>
      <w:r w:rsidRPr="001460EC">
        <w:rPr>
          <w:rFonts w:eastAsia="Times New Roman" w:cstheme="minorHAnsi"/>
          <w:sz w:val="24"/>
          <w:szCs w:val="24"/>
        </w:rPr>
        <w:t xml:space="preserve"> et al., 2023).</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TTI vulnerability has been suggested to be influenced by host genetic and immunological variables, such as the ABO and Rhesus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type systems. The presence or lack of the highly immunogenic D antigen is the primary characteristic of the Rh system, whereas the presence of A and/or B carbohydrate antigens on the surface of red blood cells and epithelial cells defines the ABO system. These blood group antigens are distributed differently throughout the world, with group O predominating in the majority of African populations (de Silva Santos et al., 2024; </w:t>
      </w:r>
      <w:proofErr w:type="spellStart"/>
      <w:r w:rsidRPr="001460EC">
        <w:rPr>
          <w:rFonts w:eastAsia="Times New Roman" w:cstheme="minorHAnsi"/>
          <w:sz w:val="24"/>
          <w:szCs w:val="24"/>
        </w:rPr>
        <w:t>Alabdulmonem</w:t>
      </w:r>
      <w:proofErr w:type="spellEnd"/>
      <w:r w:rsidRPr="001460EC">
        <w:rPr>
          <w:rFonts w:eastAsia="Times New Roman" w:cstheme="minorHAnsi"/>
          <w:sz w:val="24"/>
          <w:szCs w:val="24"/>
        </w:rPr>
        <w:t xml:space="preserve"> et al., 2020).</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The way that ABO/Rh groups affect infections has been explained by a number of biological mechanisms, such as the facilitation or inhibition of pathogen attachment through host cell-surface carbohydrates and the mediation of immune responses by naturally occurring anti-A and anti-B antibodies that are prevalent in group </w:t>
      </w:r>
      <w:proofErr w:type="spellStart"/>
      <w:r w:rsidRPr="001460EC">
        <w:rPr>
          <w:rFonts w:eastAsia="Times New Roman" w:cstheme="minorHAnsi"/>
          <w:sz w:val="24"/>
          <w:szCs w:val="24"/>
        </w:rPr>
        <w:t>O</w:t>
      </w:r>
      <w:proofErr w:type="spellEnd"/>
      <w:r w:rsidRPr="001460EC">
        <w:rPr>
          <w:rFonts w:eastAsia="Times New Roman" w:cstheme="minorHAnsi"/>
          <w:sz w:val="24"/>
          <w:szCs w:val="24"/>
        </w:rPr>
        <w:t xml:space="preserve"> individuals (</w:t>
      </w:r>
      <w:proofErr w:type="spellStart"/>
      <w:r w:rsidRPr="001460EC">
        <w:rPr>
          <w:rFonts w:eastAsia="Times New Roman" w:cstheme="minorHAnsi"/>
          <w:sz w:val="24"/>
          <w:szCs w:val="24"/>
        </w:rPr>
        <w:t>Legese</w:t>
      </w:r>
      <w:proofErr w:type="spellEnd"/>
      <w:r w:rsidRPr="001460EC">
        <w:rPr>
          <w:rFonts w:eastAsia="Times New Roman" w:cstheme="minorHAnsi"/>
          <w:sz w:val="24"/>
          <w:szCs w:val="24"/>
        </w:rPr>
        <w:t xml:space="preserve"> et al., 2022; Shaikh et al., 2024).</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The findings of several studies examining the relationships between ABO/Rh blood types and TTIs have been mixed. According to certain recent studies, blood group B people have a statistically greater prevalence of HBV, whereas blood group A people are more likely to have HIV infection (</w:t>
      </w:r>
      <w:proofErr w:type="spellStart"/>
      <w:r w:rsidRPr="001460EC">
        <w:rPr>
          <w:rFonts w:eastAsia="Times New Roman" w:cstheme="minorHAnsi"/>
          <w:sz w:val="24"/>
          <w:szCs w:val="24"/>
        </w:rPr>
        <w:t>Efobi</w:t>
      </w:r>
      <w:proofErr w:type="spellEnd"/>
      <w:r w:rsidRPr="001460EC">
        <w:rPr>
          <w:rFonts w:eastAsia="Times New Roman" w:cstheme="minorHAnsi"/>
          <w:sz w:val="24"/>
          <w:szCs w:val="24"/>
        </w:rPr>
        <w:t xml:space="preserve"> et al., 2025; Shaikh et al., 2024). However, there is still conflicting and frequently context-dependent evidence suggesting compelling linkages (</w:t>
      </w:r>
      <w:proofErr w:type="spellStart"/>
      <w:r w:rsidRPr="001460EC">
        <w:rPr>
          <w:rFonts w:eastAsia="Times New Roman" w:cstheme="minorHAnsi"/>
          <w:sz w:val="24"/>
          <w:szCs w:val="24"/>
        </w:rPr>
        <w:t>Legese</w:t>
      </w:r>
      <w:proofErr w:type="spellEnd"/>
      <w:r w:rsidRPr="001460EC">
        <w:rPr>
          <w:rFonts w:eastAsia="Times New Roman" w:cstheme="minorHAnsi"/>
          <w:sz w:val="24"/>
          <w:szCs w:val="24"/>
        </w:rPr>
        <w:t xml:space="preserve"> et al., 2022;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Published research on syphilis and other TTIs is largely sparse and does not consistently link blood group types to the disease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Strong data on the prevalence of TTIs and their potential correlations with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group phenotypes are essential given Nigeria's urgent need to guarantee the microbiological safety of donated blood, particularly in tertiary healthcare facilities like the University College Hospital (UCH), Ibadan, where a large number of diverse donors are present. This information can be used to improve donor risk assessment, streamline transfusion regulations, and direct future transfusion medicine research (WHO, 2025;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2"/>
        <w:spacing w:line="360" w:lineRule="auto"/>
        <w:jc w:val="both"/>
        <w:rPr>
          <w:rFonts w:asciiTheme="minorHAnsi" w:hAnsiTheme="minorHAnsi" w:cstheme="minorHAnsi"/>
          <w:sz w:val="24"/>
          <w:szCs w:val="24"/>
        </w:rPr>
      </w:pPr>
      <w:r w:rsidRPr="001460EC">
        <w:rPr>
          <w:rFonts w:asciiTheme="minorHAnsi" w:hAnsiTheme="minorHAnsi" w:cstheme="minorHAnsi"/>
          <w:sz w:val="24"/>
          <w:szCs w:val="24"/>
        </w:rPr>
        <w:lastRenderedPageBreak/>
        <w:t>2.0 Materials and Methods</w:t>
      </w: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2.1 Study Design and Setting</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The descriptive cross-sectional design used in this study is suitable for determining the frequency of transfusion-transmissible infections (TTIs) and investigating correlations with host characteristics such ABO and Rhesus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blood types. The study was conducted at the University College Hospital (UCH) Blood Donation Center in Ibadan, Oyo State, Nigeria. A premier tertiary healthcare facility in West Africa, UCH acts as a referral hub for Oyo State and the surrounding areas. Studying blood group distribution and transfusion safety criteria is made possible by the enormous pool of voluntary and family replacement donors that the UCH blood bank manages.</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2.2 Study Design</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The cross-sectional approach made it possible to gather phenotypic, serological, and sociodemographic data all at once. This strategy effectively finds patterns of connection without the need for long-term monitoring. If the inclusion criteria were satisfied and informed consent was acquired, each donor was recruited in the study after undergoing regular pre-donation screening.</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2.3 Sample Size Determination</w:t>
      </w:r>
    </w:p>
    <w:p w:rsidR="007D5B01" w:rsidRPr="001460EC" w:rsidRDefault="007D5B01" w:rsidP="00EF52F0">
      <w:pPr>
        <w:pStyle w:val="NormalWeb"/>
        <w:spacing w:line="360" w:lineRule="auto"/>
        <w:jc w:val="both"/>
        <w:rPr>
          <w:rFonts w:asciiTheme="minorHAnsi" w:hAnsiTheme="minorHAnsi" w:cstheme="minorHAnsi"/>
        </w:rPr>
      </w:pPr>
      <w:r w:rsidRPr="001460EC">
        <w:rPr>
          <w:rFonts w:asciiTheme="minorHAnsi" w:hAnsiTheme="minorHAnsi" w:cstheme="minorHAnsi"/>
        </w:rPr>
        <w:t xml:space="preserve">Sample size was determined using </w:t>
      </w:r>
      <w:r w:rsidRPr="001460EC">
        <w:rPr>
          <w:rStyle w:val="Strong"/>
          <w:rFonts w:asciiTheme="minorHAnsi" w:hAnsiTheme="minorHAnsi" w:cstheme="minorHAnsi"/>
          <w:b w:val="0"/>
        </w:rPr>
        <w:t>Cochran’s formula</w:t>
      </w:r>
      <w:r w:rsidRPr="001460EC">
        <w:rPr>
          <w:rFonts w:asciiTheme="minorHAnsi" w:hAnsiTheme="minorHAnsi" w:cstheme="minorHAnsi"/>
        </w:rPr>
        <w:t xml:space="preserve"> for prevalence studies:</w:t>
      </w:r>
    </w:p>
    <w:p w:rsidR="00F37AFD" w:rsidRPr="001460EC" w:rsidRDefault="00F37AFD" w:rsidP="00EF52F0">
      <w:pPr>
        <w:pStyle w:val="NormalWeb"/>
        <w:spacing w:line="360" w:lineRule="auto"/>
        <w:jc w:val="both"/>
        <w:rPr>
          <w:rFonts w:asciiTheme="minorHAnsi" w:hAnsiTheme="minorHAnsi" w:cstheme="minorHAnsi"/>
        </w:rPr>
      </w:pPr>
      <w:r w:rsidRPr="001460EC">
        <w:rPr>
          <w:rFonts w:asciiTheme="minorHAnsi" w:hAnsiTheme="minorHAnsi" w:cstheme="minorHAnsi"/>
        </w:rPr>
        <w:tab/>
        <w:t>n= Z</w:t>
      </w:r>
      <w:r w:rsidRPr="001460EC">
        <w:rPr>
          <w:rFonts w:asciiTheme="minorHAnsi" w:hAnsiTheme="minorHAnsi" w:cstheme="minorHAnsi"/>
          <w:vertAlign w:val="superscript"/>
        </w:rPr>
        <w:t xml:space="preserve">2 </w:t>
      </w:r>
      <w:r w:rsidRPr="001460EC">
        <w:rPr>
          <w:rStyle w:val="mbin"/>
          <w:rFonts w:asciiTheme="minorHAnsi" w:hAnsiTheme="minorHAnsi" w:cstheme="minorHAnsi"/>
        </w:rPr>
        <w:t>×</w:t>
      </w:r>
      <w:proofErr w:type="spellStart"/>
      <w:r w:rsidRPr="001460EC">
        <w:rPr>
          <w:rStyle w:val="mord"/>
          <w:rFonts w:asciiTheme="minorHAnsi" w:hAnsiTheme="minorHAnsi" w:cstheme="minorHAnsi"/>
        </w:rPr>
        <w:t>p</w:t>
      </w:r>
      <w:r w:rsidRPr="001460EC">
        <w:rPr>
          <w:rStyle w:val="mbin"/>
          <w:rFonts w:asciiTheme="minorHAnsi" w:hAnsiTheme="minorHAnsi" w:cstheme="minorHAnsi"/>
        </w:rPr>
        <w:t>×</w:t>
      </w:r>
      <w:r w:rsidRPr="001460EC">
        <w:rPr>
          <w:rStyle w:val="mord"/>
          <w:rFonts w:asciiTheme="minorHAnsi" w:hAnsiTheme="minorHAnsi" w:cstheme="minorHAnsi"/>
        </w:rPr>
        <w:t>q</w:t>
      </w:r>
      <w:proofErr w:type="spellEnd"/>
      <w:r w:rsidRPr="001460EC">
        <w:rPr>
          <w:rStyle w:val="vlist-s"/>
          <w:rFonts w:asciiTheme="minorHAnsi" w:eastAsiaTheme="majorEastAsia" w:hAnsiTheme="minorHAnsi" w:cstheme="minorHAnsi"/>
        </w:rPr>
        <w:t>​/d</w:t>
      </w:r>
      <w:r w:rsidRPr="001460EC">
        <w:rPr>
          <w:rStyle w:val="vlist-s"/>
          <w:rFonts w:asciiTheme="minorHAnsi" w:eastAsiaTheme="majorEastAsia" w:hAnsiTheme="minorHAnsi" w:cstheme="minorHAnsi"/>
          <w:vertAlign w:val="superscript"/>
        </w:rPr>
        <w:t>2</w:t>
      </w:r>
    </w:p>
    <w:p w:rsidR="007D5B01" w:rsidRPr="001460EC" w:rsidRDefault="007D5B01" w:rsidP="00EF52F0">
      <w:pPr>
        <w:pStyle w:val="NormalWeb"/>
        <w:spacing w:line="360" w:lineRule="auto"/>
        <w:jc w:val="both"/>
        <w:rPr>
          <w:rFonts w:asciiTheme="minorHAnsi" w:hAnsiTheme="minorHAnsi" w:cstheme="minorHAnsi"/>
        </w:rPr>
      </w:pPr>
      <w:r w:rsidRPr="001460EC">
        <w:rPr>
          <w:rFonts w:asciiTheme="minorHAnsi" w:hAnsiTheme="minorHAnsi" w:cstheme="minorHAnsi"/>
        </w:rPr>
        <w:t>Where:</w:t>
      </w:r>
    </w:p>
    <w:p w:rsidR="007D5B01" w:rsidRPr="001460EC" w:rsidRDefault="007D5B01" w:rsidP="00EF52F0">
      <w:pPr>
        <w:pStyle w:val="NormalWeb"/>
        <w:numPr>
          <w:ilvl w:val="0"/>
          <w:numId w:val="1"/>
        </w:numPr>
        <w:spacing w:line="360" w:lineRule="auto"/>
        <w:jc w:val="both"/>
        <w:rPr>
          <w:rFonts w:asciiTheme="minorHAnsi" w:hAnsiTheme="minorHAnsi" w:cstheme="minorHAnsi"/>
        </w:rPr>
      </w:pPr>
      <w:r w:rsidRPr="001460EC">
        <w:rPr>
          <w:rStyle w:val="Emphasis"/>
          <w:rFonts w:asciiTheme="minorHAnsi" w:hAnsiTheme="minorHAnsi" w:cstheme="minorHAnsi"/>
        </w:rPr>
        <w:t>n</w:t>
      </w:r>
      <w:r w:rsidRPr="001460EC">
        <w:rPr>
          <w:rFonts w:asciiTheme="minorHAnsi" w:hAnsiTheme="minorHAnsi" w:cstheme="minorHAnsi"/>
        </w:rPr>
        <w:t xml:space="preserve"> = required sample size,</w:t>
      </w:r>
    </w:p>
    <w:p w:rsidR="007D5B01" w:rsidRPr="001460EC" w:rsidRDefault="007D5B01" w:rsidP="00EF52F0">
      <w:pPr>
        <w:pStyle w:val="NormalWeb"/>
        <w:numPr>
          <w:ilvl w:val="0"/>
          <w:numId w:val="1"/>
        </w:numPr>
        <w:spacing w:line="360" w:lineRule="auto"/>
        <w:jc w:val="both"/>
        <w:rPr>
          <w:rFonts w:asciiTheme="minorHAnsi" w:hAnsiTheme="minorHAnsi" w:cstheme="minorHAnsi"/>
        </w:rPr>
      </w:pPr>
      <w:r w:rsidRPr="001460EC">
        <w:rPr>
          <w:rStyle w:val="Emphasis"/>
          <w:rFonts w:asciiTheme="minorHAnsi" w:hAnsiTheme="minorHAnsi" w:cstheme="minorHAnsi"/>
        </w:rPr>
        <w:t>Z</w:t>
      </w:r>
      <w:r w:rsidRPr="001460EC">
        <w:rPr>
          <w:rFonts w:asciiTheme="minorHAnsi" w:hAnsiTheme="minorHAnsi" w:cstheme="minorHAnsi"/>
        </w:rPr>
        <w:t xml:space="preserve"> = standard normal deviate at 95% confidence level (1.96),</w:t>
      </w:r>
    </w:p>
    <w:p w:rsidR="007D5B01" w:rsidRPr="001460EC" w:rsidRDefault="007D5B01" w:rsidP="00EF52F0">
      <w:pPr>
        <w:pStyle w:val="NormalWeb"/>
        <w:numPr>
          <w:ilvl w:val="0"/>
          <w:numId w:val="1"/>
        </w:numPr>
        <w:spacing w:line="360" w:lineRule="auto"/>
        <w:jc w:val="both"/>
        <w:rPr>
          <w:rFonts w:asciiTheme="minorHAnsi" w:hAnsiTheme="minorHAnsi" w:cstheme="minorHAnsi"/>
        </w:rPr>
      </w:pPr>
      <w:r w:rsidRPr="001460EC">
        <w:rPr>
          <w:rStyle w:val="Emphasis"/>
          <w:rFonts w:asciiTheme="minorHAnsi" w:hAnsiTheme="minorHAnsi" w:cstheme="minorHAnsi"/>
        </w:rPr>
        <w:lastRenderedPageBreak/>
        <w:t>p</w:t>
      </w:r>
      <w:r w:rsidRPr="001460EC">
        <w:rPr>
          <w:rFonts w:asciiTheme="minorHAnsi" w:hAnsiTheme="minorHAnsi" w:cstheme="minorHAnsi"/>
        </w:rPr>
        <w:t xml:space="preserve"> = estimated prevalence of TTIs fro</w:t>
      </w:r>
      <w:r w:rsidR="00821BB6" w:rsidRPr="001460EC">
        <w:rPr>
          <w:rFonts w:asciiTheme="minorHAnsi" w:hAnsiTheme="minorHAnsi" w:cstheme="minorHAnsi"/>
        </w:rPr>
        <w:t>m prior Nigerian studies (9.3%) (</w:t>
      </w:r>
      <w:proofErr w:type="spellStart"/>
      <w:r w:rsidR="00821BB6" w:rsidRPr="001460EC">
        <w:rPr>
          <w:rFonts w:asciiTheme="minorHAnsi" w:hAnsiTheme="minorHAnsi" w:cstheme="minorHAnsi"/>
        </w:rPr>
        <w:t>Olokoba</w:t>
      </w:r>
      <w:proofErr w:type="spellEnd"/>
      <w:r w:rsidR="00821BB6" w:rsidRPr="001460EC">
        <w:rPr>
          <w:rFonts w:asciiTheme="minorHAnsi" w:hAnsiTheme="minorHAnsi" w:cstheme="minorHAnsi"/>
        </w:rPr>
        <w:t xml:space="preserve"> et al., 2011),</w:t>
      </w:r>
    </w:p>
    <w:p w:rsidR="007D5B01" w:rsidRPr="001460EC" w:rsidRDefault="007D5B01" w:rsidP="00EF52F0">
      <w:pPr>
        <w:pStyle w:val="NormalWeb"/>
        <w:numPr>
          <w:ilvl w:val="0"/>
          <w:numId w:val="1"/>
        </w:numPr>
        <w:spacing w:line="360" w:lineRule="auto"/>
        <w:jc w:val="both"/>
        <w:rPr>
          <w:rFonts w:asciiTheme="minorHAnsi" w:hAnsiTheme="minorHAnsi" w:cstheme="minorHAnsi"/>
        </w:rPr>
      </w:pPr>
      <w:r w:rsidRPr="001460EC">
        <w:rPr>
          <w:rStyle w:val="Emphasis"/>
          <w:rFonts w:asciiTheme="minorHAnsi" w:hAnsiTheme="minorHAnsi" w:cstheme="minorHAnsi"/>
        </w:rPr>
        <w:t>q</w:t>
      </w:r>
      <w:r w:rsidRPr="001460EC">
        <w:rPr>
          <w:rFonts w:asciiTheme="minorHAnsi" w:hAnsiTheme="minorHAnsi" w:cstheme="minorHAnsi"/>
        </w:rPr>
        <w:t xml:space="preserve"> = 1 – p (0.907),</w:t>
      </w:r>
    </w:p>
    <w:p w:rsidR="007D5B01" w:rsidRPr="001460EC" w:rsidRDefault="007D5B01" w:rsidP="00EF52F0">
      <w:pPr>
        <w:pStyle w:val="NormalWeb"/>
        <w:numPr>
          <w:ilvl w:val="0"/>
          <w:numId w:val="1"/>
        </w:numPr>
        <w:spacing w:line="360" w:lineRule="auto"/>
        <w:jc w:val="both"/>
        <w:rPr>
          <w:rFonts w:asciiTheme="minorHAnsi" w:hAnsiTheme="minorHAnsi" w:cstheme="minorHAnsi"/>
        </w:rPr>
      </w:pPr>
      <w:r w:rsidRPr="001460EC">
        <w:rPr>
          <w:rStyle w:val="Emphasis"/>
          <w:rFonts w:asciiTheme="minorHAnsi" w:hAnsiTheme="minorHAnsi" w:cstheme="minorHAnsi"/>
        </w:rPr>
        <w:t>d</w:t>
      </w:r>
      <w:r w:rsidRPr="001460EC">
        <w:rPr>
          <w:rFonts w:asciiTheme="minorHAnsi" w:hAnsiTheme="minorHAnsi" w:cstheme="minorHAnsi"/>
        </w:rPr>
        <w:t xml:space="preserve"> = margin of error (0.05).</w:t>
      </w:r>
    </w:p>
    <w:p w:rsidR="007D5B01" w:rsidRPr="001460EC" w:rsidRDefault="007D5B01" w:rsidP="00EF52F0">
      <w:pPr>
        <w:pStyle w:val="NormalWeb"/>
        <w:spacing w:line="360" w:lineRule="auto"/>
        <w:jc w:val="both"/>
        <w:rPr>
          <w:rFonts w:asciiTheme="minorHAnsi" w:hAnsiTheme="minorHAnsi" w:cstheme="minorHAnsi"/>
        </w:rPr>
      </w:pPr>
      <w:r w:rsidRPr="001460EC">
        <w:rPr>
          <w:rFonts w:asciiTheme="minorHAnsi" w:hAnsiTheme="minorHAnsi" w:cstheme="minorHAnsi"/>
        </w:rPr>
        <w:t>Substituting these values:</w:t>
      </w:r>
    </w:p>
    <w:p w:rsidR="00F37AFD" w:rsidRPr="001460EC" w:rsidRDefault="00F37AFD" w:rsidP="00EF52F0">
      <w:pPr>
        <w:pStyle w:val="NormalWeb"/>
        <w:spacing w:line="360" w:lineRule="auto"/>
        <w:jc w:val="both"/>
        <w:rPr>
          <w:rFonts w:asciiTheme="minorHAnsi" w:hAnsiTheme="minorHAnsi" w:cstheme="minorHAnsi"/>
        </w:rPr>
      </w:pPr>
      <w:r w:rsidRPr="001460EC">
        <w:rPr>
          <w:rFonts w:asciiTheme="minorHAnsi" w:hAnsiTheme="minorHAnsi" w:cstheme="minorHAnsi"/>
        </w:rPr>
        <w:tab/>
        <w:t>n</w:t>
      </w:r>
      <w:proofErr w:type="gramStart"/>
      <w:r w:rsidRPr="001460EC">
        <w:rPr>
          <w:rFonts w:asciiTheme="minorHAnsi" w:hAnsiTheme="minorHAnsi" w:cstheme="minorHAnsi"/>
        </w:rPr>
        <w:t>=(</w:t>
      </w:r>
      <w:r w:rsidRPr="001460EC">
        <w:rPr>
          <w:rStyle w:val="Heading2Char"/>
          <w:rFonts w:asciiTheme="minorHAnsi" w:hAnsiTheme="minorHAnsi" w:cstheme="minorHAnsi"/>
          <w:sz w:val="24"/>
          <w:szCs w:val="24"/>
        </w:rPr>
        <w:t xml:space="preserve"> </w:t>
      </w:r>
      <w:r w:rsidRPr="001460EC">
        <w:rPr>
          <w:rStyle w:val="mopen"/>
          <w:rFonts w:asciiTheme="minorHAnsi" w:hAnsiTheme="minorHAnsi" w:cstheme="minorHAnsi"/>
        </w:rPr>
        <w:t>(</w:t>
      </w:r>
      <w:proofErr w:type="gramEnd"/>
      <w:r w:rsidRPr="001460EC">
        <w:rPr>
          <w:rStyle w:val="mord"/>
          <w:rFonts w:asciiTheme="minorHAnsi" w:hAnsiTheme="minorHAnsi" w:cstheme="minorHAnsi"/>
        </w:rPr>
        <w:t>1.96</w:t>
      </w:r>
      <w:r w:rsidRPr="001460EC">
        <w:rPr>
          <w:rStyle w:val="mclose"/>
          <w:rFonts w:asciiTheme="minorHAnsi" w:hAnsiTheme="minorHAnsi" w:cstheme="minorHAnsi"/>
        </w:rPr>
        <w:t>)</w:t>
      </w:r>
      <w:r w:rsidRPr="001460EC">
        <w:rPr>
          <w:rStyle w:val="mord"/>
          <w:rFonts w:asciiTheme="minorHAnsi" w:hAnsiTheme="minorHAnsi" w:cstheme="minorHAnsi"/>
          <w:vertAlign w:val="superscript"/>
        </w:rPr>
        <w:t>2</w:t>
      </w:r>
      <w:r w:rsidRPr="001460EC">
        <w:rPr>
          <w:rStyle w:val="mbin"/>
          <w:rFonts w:asciiTheme="minorHAnsi" w:hAnsiTheme="minorHAnsi" w:cstheme="minorHAnsi"/>
        </w:rPr>
        <w:t>×</w:t>
      </w:r>
      <w:r w:rsidRPr="001460EC">
        <w:rPr>
          <w:rStyle w:val="mord"/>
          <w:rFonts w:asciiTheme="minorHAnsi" w:hAnsiTheme="minorHAnsi" w:cstheme="minorHAnsi"/>
        </w:rPr>
        <w:t>0.093</w:t>
      </w:r>
      <w:r w:rsidRPr="001460EC">
        <w:rPr>
          <w:rStyle w:val="mbin"/>
          <w:rFonts w:asciiTheme="minorHAnsi" w:hAnsiTheme="minorHAnsi" w:cstheme="minorHAnsi"/>
        </w:rPr>
        <w:t>×</w:t>
      </w:r>
      <w:r w:rsidRPr="001460EC">
        <w:rPr>
          <w:rStyle w:val="mord"/>
          <w:rFonts w:asciiTheme="minorHAnsi" w:hAnsiTheme="minorHAnsi" w:cstheme="minorHAnsi"/>
        </w:rPr>
        <w:t>0.907</w:t>
      </w:r>
      <w:r w:rsidRPr="001460EC">
        <w:rPr>
          <w:rStyle w:val="vlist-s"/>
          <w:rFonts w:asciiTheme="minorHAnsi" w:hAnsiTheme="minorHAnsi" w:cstheme="minorHAnsi"/>
        </w:rPr>
        <w:t>​/</w:t>
      </w:r>
      <w:r w:rsidRPr="001460EC">
        <w:rPr>
          <w:rStyle w:val="Heading1Char"/>
          <w:rFonts w:asciiTheme="minorHAnsi" w:hAnsiTheme="minorHAnsi" w:cstheme="minorHAnsi"/>
          <w:sz w:val="24"/>
          <w:szCs w:val="24"/>
        </w:rPr>
        <w:t xml:space="preserve"> </w:t>
      </w:r>
      <w:r w:rsidRPr="001460EC">
        <w:rPr>
          <w:rStyle w:val="mord"/>
          <w:rFonts w:asciiTheme="minorHAnsi" w:hAnsiTheme="minorHAnsi" w:cstheme="minorHAnsi"/>
        </w:rPr>
        <w:t>0.05</w:t>
      </w:r>
      <w:r w:rsidRPr="001460EC">
        <w:rPr>
          <w:rStyle w:val="mord"/>
          <w:rFonts w:asciiTheme="minorHAnsi" w:hAnsiTheme="minorHAnsi" w:cstheme="minorHAnsi"/>
          <w:vertAlign w:val="superscript"/>
        </w:rPr>
        <w:t xml:space="preserve">2  </w:t>
      </w:r>
      <w:r w:rsidRPr="001460EC">
        <w:rPr>
          <w:rStyle w:val="mrel"/>
          <w:rFonts w:asciiTheme="minorHAnsi" w:hAnsiTheme="minorHAnsi" w:cstheme="minorHAnsi"/>
        </w:rPr>
        <w:t xml:space="preserve">≈ </w:t>
      </w:r>
      <w:r w:rsidRPr="001460EC">
        <w:rPr>
          <w:rStyle w:val="mord"/>
          <w:rFonts w:asciiTheme="minorHAnsi" w:hAnsiTheme="minorHAnsi" w:cstheme="minorHAnsi"/>
        </w:rPr>
        <w:t>130</w:t>
      </w:r>
    </w:p>
    <w:p w:rsidR="007D5B01" w:rsidRPr="001460EC" w:rsidRDefault="007D5B01" w:rsidP="00EF52F0">
      <w:pPr>
        <w:pStyle w:val="NormalWeb"/>
        <w:spacing w:line="360" w:lineRule="auto"/>
        <w:jc w:val="both"/>
        <w:rPr>
          <w:rFonts w:asciiTheme="minorHAnsi" w:hAnsiTheme="minorHAnsi" w:cstheme="minorHAnsi"/>
        </w:rPr>
      </w:pPr>
      <w:r w:rsidRPr="001460EC">
        <w:rPr>
          <w:rFonts w:asciiTheme="minorHAnsi" w:hAnsiTheme="minorHAnsi" w:cstheme="minorHAnsi"/>
        </w:rPr>
        <w:t xml:space="preserve">To account for a 10% non-response or attrition rate, the sample size was increased to </w:t>
      </w:r>
      <w:r w:rsidRPr="001460EC">
        <w:rPr>
          <w:rStyle w:val="Strong"/>
          <w:rFonts w:asciiTheme="minorHAnsi" w:hAnsiTheme="minorHAnsi" w:cstheme="minorHAnsi"/>
          <w:b w:val="0"/>
        </w:rPr>
        <w:t>144 participants</w:t>
      </w:r>
      <w:r w:rsidRPr="001460EC">
        <w:rPr>
          <w:rFonts w:asciiTheme="minorHAnsi" w:hAnsiTheme="minorHAnsi" w:cstheme="minorHAnsi"/>
          <w:b/>
        </w:rPr>
        <w:t>,</w:t>
      </w:r>
      <w:r w:rsidRPr="001460EC">
        <w:rPr>
          <w:rFonts w:asciiTheme="minorHAnsi" w:hAnsiTheme="minorHAnsi" w:cstheme="minorHAnsi"/>
        </w:rPr>
        <w:t xml:space="preserve"> which formed the final study population.</w:t>
      </w:r>
    </w:p>
    <w:p w:rsidR="00EF52F0" w:rsidRPr="001460EC" w:rsidRDefault="00EF52F0"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In prevalence investigations, this method is frequently used to calculate the smallest sample size required to provide the required level of precision and confidence. The typical normal distribution tables' confidence level is represented by the Z value. </w:t>
      </w:r>
      <w:r w:rsidRPr="001460EC">
        <w:rPr>
          <w:rFonts w:eastAsia="Times New Roman" w:cstheme="minorHAnsi"/>
          <w:sz w:val="24"/>
          <w:szCs w:val="24"/>
        </w:rPr>
        <w:br/>
        <w:t xml:space="preserve">The estimated prevalence, p </w:t>
      </w:r>
      <w:proofErr w:type="spellStart"/>
      <w:r w:rsidRPr="001460EC">
        <w:rPr>
          <w:rFonts w:eastAsia="Times New Roman" w:cstheme="minorHAnsi"/>
          <w:sz w:val="24"/>
          <w:szCs w:val="24"/>
        </w:rPr>
        <w:t>p</w:t>
      </w:r>
      <w:proofErr w:type="spellEnd"/>
      <w:r w:rsidRPr="001460EC">
        <w:rPr>
          <w:rFonts w:eastAsia="Times New Roman" w:cstheme="minorHAnsi"/>
          <w:sz w:val="24"/>
          <w:szCs w:val="24"/>
        </w:rPr>
        <w:t xml:space="preserve">, is an approximation derived from pertinent prior research, and q </w:t>
      </w:r>
      <w:proofErr w:type="spellStart"/>
      <w:r w:rsidRPr="001460EC">
        <w:rPr>
          <w:rFonts w:eastAsia="Times New Roman" w:cstheme="minorHAnsi"/>
          <w:sz w:val="24"/>
          <w:szCs w:val="24"/>
        </w:rPr>
        <w:t>q</w:t>
      </w:r>
      <w:proofErr w:type="spellEnd"/>
      <w:r w:rsidRPr="001460EC">
        <w:rPr>
          <w:rFonts w:eastAsia="Times New Roman" w:cstheme="minorHAnsi"/>
          <w:sz w:val="24"/>
          <w:szCs w:val="24"/>
        </w:rPr>
        <w:t xml:space="preserve"> is the prevalence's complement. </w:t>
      </w:r>
      <w:r w:rsidRPr="001460EC">
        <w:rPr>
          <w:rFonts w:eastAsia="Times New Roman" w:cstheme="minorHAnsi"/>
          <w:sz w:val="24"/>
          <w:szCs w:val="24"/>
        </w:rPr>
        <w:br/>
        <w:t xml:space="preserve">The allowed margin of error for the estimate is denoted by d </w:t>
      </w:r>
      <w:proofErr w:type="spellStart"/>
      <w:r w:rsidRPr="001460EC">
        <w:rPr>
          <w:rFonts w:eastAsia="Times New Roman" w:cstheme="minorHAnsi"/>
          <w:sz w:val="24"/>
          <w:szCs w:val="24"/>
        </w:rPr>
        <w:t>d</w:t>
      </w:r>
      <w:proofErr w:type="spellEnd"/>
      <w:r w:rsidRPr="001460EC">
        <w:rPr>
          <w:rFonts w:eastAsia="Times New Roman" w:cstheme="minorHAnsi"/>
          <w:sz w:val="24"/>
          <w:szCs w:val="24"/>
        </w:rPr>
        <w:t xml:space="preserve">. In order to ensure that the study can detect the prevalence with sufficient statistical confidence and precision, Cochran's formula offers an initial sample size estimate assuming a large population (Ahmed, 2024; </w:t>
      </w:r>
      <w:proofErr w:type="spellStart"/>
      <w:r w:rsidRPr="001460EC">
        <w:rPr>
          <w:rFonts w:eastAsia="Times New Roman" w:cstheme="minorHAnsi"/>
          <w:sz w:val="24"/>
          <w:szCs w:val="24"/>
        </w:rPr>
        <w:t>Kotrlik</w:t>
      </w:r>
      <w:proofErr w:type="spellEnd"/>
      <w:r w:rsidRPr="001460EC">
        <w:rPr>
          <w:rFonts w:eastAsia="Times New Roman" w:cstheme="minorHAnsi"/>
          <w:sz w:val="24"/>
          <w:szCs w:val="24"/>
        </w:rPr>
        <w:t xml:space="preserve"> &amp; Higgins, 2001; </w:t>
      </w:r>
      <w:proofErr w:type="spellStart"/>
      <w:r w:rsidRPr="001460EC">
        <w:rPr>
          <w:rFonts w:eastAsia="Times New Roman" w:cstheme="minorHAnsi"/>
          <w:sz w:val="24"/>
          <w:szCs w:val="24"/>
        </w:rPr>
        <w:t>StatisticShowTo</w:t>
      </w:r>
      <w:proofErr w:type="spellEnd"/>
      <w:r w:rsidRPr="001460EC">
        <w:rPr>
          <w:rFonts w:eastAsia="Times New Roman" w:cstheme="minorHAnsi"/>
          <w:sz w:val="24"/>
          <w:szCs w:val="24"/>
        </w:rPr>
        <w:t>, 2024).</w:t>
      </w:r>
    </w:p>
    <w:p w:rsidR="00EF52F0" w:rsidRPr="001460EC" w:rsidRDefault="00EF52F0" w:rsidP="00EF52F0">
      <w:pPr>
        <w:pStyle w:val="NormalWeb"/>
        <w:spacing w:line="360" w:lineRule="auto"/>
        <w:jc w:val="both"/>
        <w:rPr>
          <w:rFonts w:asciiTheme="minorHAnsi" w:hAnsiTheme="minorHAnsi" w:cstheme="minorHAnsi"/>
        </w:rPr>
      </w:pPr>
    </w:p>
    <w:p w:rsidR="007D5B01" w:rsidRPr="001460EC" w:rsidRDefault="007D5B01" w:rsidP="00EF52F0">
      <w:pPr>
        <w:spacing w:line="360" w:lineRule="auto"/>
        <w:jc w:val="both"/>
        <w:rPr>
          <w:rFonts w:cstheme="minorHAnsi"/>
          <w:sz w:val="24"/>
          <w:szCs w:val="24"/>
        </w:rPr>
      </w:pPr>
    </w:p>
    <w:p w:rsidR="00EF52F0" w:rsidRPr="001460EC" w:rsidRDefault="00EF52F0" w:rsidP="00EF52F0">
      <w:pPr>
        <w:pStyle w:val="Heading3"/>
        <w:spacing w:line="360" w:lineRule="auto"/>
        <w:jc w:val="both"/>
        <w:rPr>
          <w:rFonts w:asciiTheme="minorHAnsi" w:hAnsiTheme="minorHAnsi" w:cstheme="minorHAnsi"/>
          <w:color w:val="auto"/>
          <w:sz w:val="24"/>
          <w:szCs w:val="24"/>
        </w:rPr>
      </w:pPr>
    </w:p>
    <w:p w:rsidR="00EF52F0" w:rsidRPr="001460EC" w:rsidRDefault="00EF52F0" w:rsidP="00EF52F0">
      <w:pPr>
        <w:pStyle w:val="Heading3"/>
        <w:spacing w:line="360" w:lineRule="auto"/>
        <w:jc w:val="both"/>
        <w:rPr>
          <w:rFonts w:asciiTheme="minorHAnsi" w:hAnsiTheme="minorHAnsi" w:cstheme="minorHAnsi"/>
          <w:color w:val="auto"/>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2.4 Study Subjects</w:t>
      </w:r>
    </w:p>
    <w:p w:rsidR="007D5B01" w:rsidRPr="001460EC" w:rsidRDefault="007D5B01" w:rsidP="00EF52F0">
      <w:pPr>
        <w:pStyle w:val="Heading4"/>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2.4.1 Inclusion Criteria</w:t>
      </w:r>
    </w:p>
    <w:p w:rsidR="00EF52F0" w:rsidRPr="001460EC" w:rsidRDefault="009E75C9" w:rsidP="00EF52F0">
      <w:pPr>
        <w:pStyle w:val="ListParagraph"/>
        <w:numPr>
          <w:ilvl w:val="0"/>
          <w:numId w:val="7"/>
        </w:numPr>
        <w:spacing w:after="0" w:line="360" w:lineRule="auto"/>
        <w:jc w:val="both"/>
        <w:rPr>
          <w:rFonts w:eastAsia="Times New Roman" w:cstheme="minorHAnsi"/>
          <w:sz w:val="24"/>
          <w:szCs w:val="24"/>
        </w:rPr>
      </w:pPr>
      <w:r w:rsidRPr="001460EC">
        <w:rPr>
          <w:rFonts w:eastAsia="Times New Roman" w:cstheme="minorHAnsi"/>
          <w:sz w:val="24"/>
          <w:szCs w:val="24"/>
        </w:rPr>
        <w:t>Healthy potential donors who visit the UCH blood bank between the ages of 18 and</w:t>
      </w:r>
      <w:r w:rsidR="00EF52F0" w:rsidRPr="001460EC">
        <w:rPr>
          <w:rFonts w:eastAsia="Times New Roman" w:cstheme="minorHAnsi"/>
          <w:sz w:val="24"/>
          <w:szCs w:val="24"/>
        </w:rPr>
        <w:t xml:space="preserve"> 65.</w:t>
      </w:r>
    </w:p>
    <w:p w:rsidR="00EF52F0" w:rsidRPr="001460EC" w:rsidRDefault="009E75C9" w:rsidP="00EF52F0">
      <w:pPr>
        <w:pStyle w:val="ListParagraph"/>
        <w:numPr>
          <w:ilvl w:val="0"/>
          <w:numId w:val="7"/>
        </w:numPr>
        <w:spacing w:after="0" w:line="360" w:lineRule="auto"/>
        <w:jc w:val="both"/>
        <w:rPr>
          <w:rFonts w:eastAsia="Times New Roman" w:cstheme="minorHAnsi"/>
          <w:sz w:val="24"/>
          <w:szCs w:val="24"/>
        </w:rPr>
      </w:pPr>
      <w:r w:rsidRPr="001460EC">
        <w:rPr>
          <w:rFonts w:eastAsia="Times New Roman" w:cstheme="minorHAnsi"/>
          <w:sz w:val="24"/>
          <w:szCs w:val="24"/>
        </w:rPr>
        <w:lastRenderedPageBreak/>
        <w:t>People who meet the National Blood Transfusion Service's (NBTS) donation requirements, which include having a hemoglobin level of at least 12.5 g/dL</w:t>
      </w:r>
      <w:r w:rsidR="00EF52F0" w:rsidRPr="001460EC">
        <w:rPr>
          <w:rFonts w:eastAsia="Times New Roman" w:cstheme="minorHAnsi"/>
          <w:sz w:val="24"/>
          <w:szCs w:val="24"/>
        </w:rPr>
        <w:t xml:space="preserve"> and weighing at least 50 kg.</w:t>
      </w:r>
    </w:p>
    <w:p w:rsidR="00EF52F0" w:rsidRPr="001460EC" w:rsidRDefault="009E75C9" w:rsidP="00EF52F0">
      <w:pPr>
        <w:pStyle w:val="ListParagraph"/>
        <w:numPr>
          <w:ilvl w:val="0"/>
          <w:numId w:val="7"/>
        </w:numPr>
        <w:spacing w:after="0" w:line="360" w:lineRule="auto"/>
        <w:jc w:val="both"/>
        <w:rPr>
          <w:rFonts w:eastAsia="Times New Roman" w:cstheme="minorHAnsi"/>
          <w:sz w:val="24"/>
          <w:szCs w:val="24"/>
        </w:rPr>
      </w:pPr>
      <w:r w:rsidRPr="001460EC">
        <w:rPr>
          <w:rFonts w:eastAsia="Times New Roman" w:cstheme="minorHAnsi"/>
          <w:sz w:val="24"/>
          <w:szCs w:val="24"/>
        </w:rPr>
        <w:t>At the time of screening, donors we</w:t>
      </w:r>
      <w:r w:rsidR="00EF52F0" w:rsidRPr="001460EC">
        <w:rPr>
          <w:rFonts w:eastAsia="Times New Roman" w:cstheme="minorHAnsi"/>
          <w:sz w:val="24"/>
          <w:szCs w:val="24"/>
        </w:rPr>
        <w:t xml:space="preserve">re free of obvious illnesses. </w:t>
      </w:r>
    </w:p>
    <w:p w:rsidR="009E75C9" w:rsidRPr="001460EC" w:rsidRDefault="009E75C9" w:rsidP="00EF52F0">
      <w:pPr>
        <w:pStyle w:val="ListParagraph"/>
        <w:numPr>
          <w:ilvl w:val="0"/>
          <w:numId w:val="7"/>
        </w:numPr>
        <w:spacing w:after="0" w:line="360" w:lineRule="auto"/>
        <w:jc w:val="both"/>
        <w:rPr>
          <w:rFonts w:eastAsia="Times New Roman" w:cstheme="minorHAnsi"/>
          <w:sz w:val="24"/>
          <w:szCs w:val="24"/>
        </w:rPr>
      </w:pPr>
      <w:r w:rsidRPr="001460EC">
        <w:rPr>
          <w:rFonts w:eastAsia="Times New Roman" w:cstheme="minorHAnsi"/>
          <w:sz w:val="24"/>
          <w:szCs w:val="24"/>
        </w:rPr>
        <w:t>Participants who provided written informed permission.</w:t>
      </w:r>
    </w:p>
    <w:p w:rsidR="00EF52F0" w:rsidRPr="001460EC" w:rsidRDefault="007D5B01" w:rsidP="00EF52F0">
      <w:pPr>
        <w:pStyle w:val="Heading4"/>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2.4.2 Exclusion Criteria</w:t>
      </w:r>
    </w:p>
    <w:p w:rsidR="00EF52F0" w:rsidRPr="001460EC" w:rsidRDefault="009E75C9" w:rsidP="00EF52F0">
      <w:pPr>
        <w:pStyle w:val="Heading4"/>
        <w:numPr>
          <w:ilvl w:val="0"/>
          <w:numId w:val="8"/>
        </w:numPr>
        <w:spacing w:line="360" w:lineRule="auto"/>
        <w:jc w:val="both"/>
        <w:rPr>
          <w:rFonts w:asciiTheme="minorHAnsi" w:hAnsiTheme="minorHAnsi" w:cstheme="minorHAnsi"/>
          <w:b w:val="0"/>
          <w:i w:val="0"/>
          <w:color w:val="auto"/>
          <w:sz w:val="24"/>
          <w:szCs w:val="24"/>
        </w:rPr>
      </w:pPr>
      <w:r w:rsidRPr="001460EC">
        <w:rPr>
          <w:rFonts w:asciiTheme="minorHAnsi" w:eastAsia="Times New Roman" w:hAnsiTheme="minorHAnsi" w:cstheme="minorHAnsi"/>
          <w:b w:val="0"/>
          <w:i w:val="0"/>
          <w:color w:val="auto"/>
          <w:sz w:val="24"/>
          <w:szCs w:val="24"/>
        </w:rPr>
        <w:t>Contributor</w:t>
      </w:r>
      <w:r w:rsidR="00EF52F0" w:rsidRPr="001460EC">
        <w:rPr>
          <w:rFonts w:asciiTheme="minorHAnsi" w:eastAsia="Times New Roman" w:hAnsiTheme="minorHAnsi" w:cstheme="minorHAnsi"/>
          <w:b w:val="0"/>
          <w:i w:val="0"/>
          <w:color w:val="auto"/>
          <w:sz w:val="24"/>
          <w:szCs w:val="24"/>
        </w:rPr>
        <w:t xml:space="preserve">s who refused to permission. </w:t>
      </w:r>
    </w:p>
    <w:p w:rsidR="00EF52F0" w:rsidRPr="001460EC" w:rsidRDefault="009E75C9" w:rsidP="00EF52F0">
      <w:pPr>
        <w:pStyle w:val="Heading4"/>
        <w:numPr>
          <w:ilvl w:val="0"/>
          <w:numId w:val="8"/>
        </w:numPr>
        <w:spacing w:line="360" w:lineRule="auto"/>
        <w:jc w:val="both"/>
        <w:rPr>
          <w:rFonts w:asciiTheme="minorHAnsi" w:hAnsiTheme="minorHAnsi" w:cstheme="minorHAnsi"/>
          <w:b w:val="0"/>
          <w:i w:val="0"/>
          <w:color w:val="auto"/>
          <w:sz w:val="24"/>
          <w:szCs w:val="24"/>
        </w:rPr>
      </w:pPr>
      <w:r w:rsidRPr="001460EC">
        <w:rPr>
          <w:rFonts w:asciiTheme="minorHAnsi" w:eastAsia="Times New Roman" w:hAnsiTheme="minorHAnsi" w:cstheme="minorHAnsi"/>
          <w:b w:val="0"/>
          <w:i w:val="0"/>
          <w:color w:val="auto"/>
          <w:sz w:val="24"/>
          <w:szCs w:val="24"/>
        </w:rPr>
        <w:t>People whose laboratory or demograph</w:t>
      </w:r>
      <w:r w:rsidR="00EF52F0" w:rsidRPr="001460EC">
        <w:rPr>
          <w:rFonts w:asciiTheme="minorHAnsi" w:eastAsia="Times New Roman" w:hAnsiTheme="minorHAnsi" w:cstheme="minorHAnsi"/>
          <w:b w:val="0"/>
          <w:i w:val="0"/>
          <w:color w:val="auto"/>
          <w:sz w:val="24"/>
          <w:szCs w:val="24"/>
        </w:rPr>
        <w:t xml:space="preserve">ic records are not complete. </w:t>
      </w:r>
    </w:p>
    <w:p w:rsidR="00EF52F0" w:rsidRPr="001460EC" w:rsidRDefault="009E75C9" w:rsidP="00EF52F0">
      <w:pPr>
        <w:pStyle w:val="Heading4"/>
        <w:numPr>
          <w:ilvl w:val="0"/>
          <w:numId w:val="8"/>
        </w:numPr>
        <w:spacing w:line="360" w:lineRule="auto"/>
        <w:jc w:val="both"/>
        <w:rPr>
          <w:rFonts w:asciiTheme="minorHAnsi" w:hAnsiTheme="minorHAnsi" w:cstheme="minorHAnsi"/>
          <w:b w:val="0"/>
          <w:i w:val="0"/>
          <w:color w:val="auto"/>
          <w:sz w:val="24"/>
          <w:szCs w:val="24"/>
        </w:rPr>
      </w:pPr>
      <w:r w:rsidRPr="001460EC">
        <w:rPr>
          <w:rFonts w:asciiTheme="minorHAnsi" w:eastAsia="Times New Roman" w:hAnsiTheme="minorHAnsi" w:cstheme="minorHAnsi"/>
          <w:b w:val="0"/>
          <w:i w:val="0"/>
          <w:color w:val="auto"/>
          <w:sz w:val="24"/>
          <w:szCs w:val="24"/>
        </w:rPr>
        <w:t>Donors who have a documented history of syphilis,</w:t>
      </w:r>
      <w:r w:rsidR="00EF52F0" w:rsidRPr="001460EC">
        <w:rPr>
          <w:rFonts w:asciiTheme="minorHAnsi" w:eastAsia="Times New Roman" w:hAnsiTheme="minorHAnsi" w:cstheme="minorHAnsi"/>
          <w:b w:val="0"/>
          <w:i w:val="0"/>
          <w:color w:val="auto"/>
          <w:sz w:val="24"/>
          <w:szCs w:val="24"/>
        </w:rPr>
        <w:t xml:space="preserve"> HIV, HBV, or HCV infection. </w:t>
      </w:r>
    </w:p>
    <w:p w:rsidR="009E75C9" w:rsidRPr="001460EC" w:rsidRDefault="009E75C9" w:rsidP="00EF52F0">
      <w:pPr>
        <w:pStyle w:val="Heading4"/>
        <w:numPr>
          <w:ilvl w:val="0"/>
          <w:numId w:val="8"/>
        </w:numPr>
        <w:spacing w:line="360" w:lineRule="auto"/>
        <w:jc w:val="both"/>
        <w:rPr>
          <w:rFonts w:asciiTheme="minorHAnsi" w:hAnsiTheme="minorHAnsi" w:cstheme="minorHAnsi"/>
          <w:b w:val="0"/>
          <w:i w:val="0"/>
          <w:color w:val="auto"/>
          <w:sz w:val="24"/>
          <w:szCs w:val="24"/>
        </w:rPr>
      </w:pPr>
      <w:r w:rsidRPr="001460EC">
        <w:rPr>
          <w:rFonts w:asciiTheme="minorHAnsi" w:eastAsia="Times New Roman" w:hAnsiTheme="minorHAnsi" w:cstheme="minorHAnsi"/>
          <w:b w:val="0"/>
          <w:i w:val="0"/>
          <w:color w:val="auto"/>
          <w:sz w:val="24"/>
          <w:szCs w:val="24"/>
        </w:rPr>
        <w:t>Those who are receiving immunosuppressive treatment or have recently received blood transfusions (within the last six months).</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2.5 Materials and Equipment</w:t>
      </w:r>
    </w:p>
    <w:p w:rsidR="00EF52F0" w:rsidRPr="001460EC" w:rsidRDefault="007D5B01" w:rsidP="00EF52F0">
      <w:pPr>
        <w:pStyle w:val="NormalWeb"/>
        <w:spacing w:line="360" w:lineRule="auto"/>
        <w:jc w:val="both"/>
        <w:rPr>
          <w:rFonts w:asciiTheme="minorHAnsi" w:hAnsiTheme="minorHAnsi" w:cstheme="minorHAnsi"/>
        </w:rPr>
      </w:pPr>
      <w:r w:rsidRPr="001460EC">
        <w:rPr>
          <w:rFonts w:asciiTheme="minorHAnsi" w:hAnsiTheme="minorHAnsi" w:cstheme="minorHAnsi"/>
        </w:rPr>
        <w:t>The following materials and equipment were employed:</w:t>
      </w:r>
    </w:p>
    <w:p w:rsidR="00EF52F0" w:rsidRPr="001460EC" w:rsidRDefault="009E75C9" w:rsidP="00EF52F0">
      <w:pPr>
        <w:pStyle w:val="NormalWeb"/>
        <w:numPr>
          <w:ilvl w:val="0"/>
          <w:numId w:val="9"/>
        </w:numPr>
        <w:spacing w:line="360" w:lineRule="auto"/>
        <w:jc w:val="both"/>
        <w:rPr>
          <w:rFonts w:asciiTheme="minorHAnsi" w:hAnsiTheme="minorHAnsi" w:cstheme="minorHAnsi"/>
        </w:rPr>
      </w:pPr>
      <w:r w:rsidRPr="001460EC">
        <w:rPr>
          <w:rFonts w:asciiTheme="minorHAnsi" w:hAnsiTheme="minorHAnsi" w:cstheme="minorHAnsi"/>
        </w:rPr>
        <w:t>EDTA and plain tubes (5 mL), tourniquets, cotton swabs, 70% alcohol, and sterile vacutainer needles are needed for sample collection.</w:t>
      </w:r>
      <w:r w:rsidR="00EF52F0" w:rsidRPr="001460EC">
        <w:rPr>
          <w:rFonts w:asciiTheme="minorHAnsi" w:hAnsiTheme="minorHAnsi" w:cstheme="minorHAnsi"/>
        </w:rPr>
        <w:t xml:space="preserve"> </w:t>
      </w:r>
    </w:p>
    <w:p w:rsidR="00EF52F0" w:rsidRPr="001460EC" w:rsidRDefault="009E75C9" w:rsidP="00EF52F0">
      <w:pPr>
        <w:pStyle w:val="NormalWeb"/>
        <w:numPr>
          <w:ilvl w:val="0"/>
          <w:numId w:val="9"/>
        </w:numPr>
        <w:spacing w:line="360" w:lineRule="auto"/>
        <w:jc w:val="both"/>
        <w:rPr>
          <w:rFonts w:asciiTheme="minorHAnsi" w:hAnsiTheme="minorHAnsi" w:cstheme="minorHAnsi"/>
        </w:rPr>
      </w:pPr>
      <w:r w:rsidRPr="001460EC">
        <w:rPr>
          <w:rFonts w:asciiTheme="minorHAnsi" w:hAnsiTheme="minorHAnsi" w:cstheme="minorHAnsi"/>
        </w:rPr>
        <w:t>Blood grouping: sterile applicator sticks, white ceramic tile plates for slide agglutination, and commercial antisera (anti-A, anti-B, and anti-D) provide</w:t>
      </w:r>
      <w:r w:rsidR="00EF52F0" w:rsidRPr="001460EC">
        <w:rPr>
          <w:rFonts w:asciiTheme="minorHAnsi" w:hAnsiTheme="minorHAnsi" w:cstheme="minorHAnsi"/>
        </w:rPr>
        <w:t>d by approved manufacturers.</w:t>
      </w:r>
    </w:p>
    <w:p w:rsidR="00EF52F0" w:rsidRPr="001460EC" w:rsidRDefault="00EF52F0" w:rsidP="00EF52F0">
      <w:pPr>
        <w:pStyle w:val="NormalWeb"/>
        <w:numPr>
          <w:ilvl w:val="0"/>
          <w:numId w:val="9"/>
        </w:numPr>
        <w:spacing w:line="360" w:lineRule="auto"/>
        <w:jc w:val="both"/>
        <w:rPr>
          <w:rFonts w:asciiTheme="minorHAnsi" w:hAnsiTheme="minorHAnsi" w:cstheme="minorHAnsi"/>
        </w:rPr>
      </w:pPr>
      <w:r w:rsidRPr="001460EC">
        <w:rPr>
          <w:rFonts w:asciiTheme="minorHAnsi" w:hAnsiTheme="minorHAnsi" w:cstheme="minorHAnsi"/>
        </w:rPr>
        <w:t xml:space="preserve">TTI examination: </w:t>
      </w:r>
    </w:p>
    <w:p w:rsidR="00EF52F0" w:rsidRPr="001460EC" w:rsidRDefault="009E75C9" w:rsidP="00EF52F0">
      <w:pPr>
        <w:pStyle w:val="NormalWeb"/>
        <w:numPr>
          <w:ilvl w:val="0"/>
          <w:numId w:val="10"/>
        </w:numPr>
        <w:spacing w:line="360" w:lineRule="auto"/>
        <w:jc w:val="both"/>
        <w:rPr>
          <w:rFonts w:asciiTheme="minorHAnsi" w:hAnsiTheme="minorHAnsi" w:cstheme="minorHAnsi"/>
        </w:rPr>
      </w:pPr>
      <w:r w:rsidRPr="001460EC">
        <w:rPr>
          <w:rFonts w:asciiTheme="minorHAnsi" w:hAnsiTheme="minorHAnsi" w:cstheme="minorHAnsi"/>
        </w:rPr>
        <w:t>HBV: ELI</w:t>
      </w:r>
      <w:r w:rsidR="00EF52F0" w:rsidRPr="001460EC">
        <w:rPr>
          <w:rFonts w:asciiTheme="minorHAnsi" w:hAnsiTheme="minorHAnsi" w:cstheme="minorHAnsi"/>
        </w:rPr>
        <w:t xml:space="preserve">SA kits for HBsAg detection. </w:t>
      </w:r>
    </w:p>
    <w:p w:rsidR="00EF52F0" w:rsidRPr="001460EC" w:rsidRDefault="009E75C9" w:rsidP="00EF52F0">
      <w:pPr>
        <w:pStyle w:val="NormalWeb"/>
        <w:numPr>
          <w:ilvl w:val="0"/>
          <w:numId w:val="10"/>
        </w:numPr>
        <w:spacing w:line="360" w:lineRule="auto"/>
        <w:jc w:val="both"/>
        <w:rPr>
          <w:rFonts w:asciiTheme="minorHAnsi" w:hAnsiTheme="minorHAnsi" w:cstheme="minorHAnsi"/>
        </w:rPr>
      </w:pPr>
      <w:r w:rsidRPr="001460EC">
        <w:rPr>
          <w:rFonts w:asciiTheme="minorHAnsi" w:hAnsiTheme="minorHAnsi" w:cstheme="minorHAnsi"/>
        </w:rPr>
        <w:t>HCV: A</w:t>
      </w:r>
      <w:r w:rsidR="00EF52F0" w:rsidRPr="001460EC">
        <w:rPr>
          <w:rFonts w:asciiTheme="minorHAnsi" w:hAnsiTheme="minorHAnsi" w:cstheme="minorHAnsi"/>
        </w:rPr>
        <w:t xml:space="preserve">nti-HCV antibody ELISA kits. </w:t>
      </w:r>
    </w:p>
    <w:p w:rsidR="00EF52F0" w:rsidRPr="001460EC" w:rsidRDefault="009E75C9" w:rsidP="00EF52F0">
      <w:pPr>
        <w:pStyle w:val="NormalWeb"/>
        <w:numPr>
          <w:ilvl w:val="0"/>
          <w:numId w:val="10"/>
        </w:numPr>
        <w:spacing w:line="360" w:lineRule="auto"/>
        <w:jc w:val="both"/>
        <w:rPr>
          <w:rFonts w:asciiTheme="minorHAnsi" w:hAnsiTheme="minorHAnsi" w:cstheme="minorHAnsi"/>
        </w:rPr>
      </w:pPr>
      <w:r w:rsidRPr="001460EC">
        <w:rPr>
          <w:rFonts w:asciiTheme="minorHAnsi" w:hAnsiTheme="minorHAnsi" w:cstheme="minorHAnsi"/>
        </w:rPr>
        <w:t>HIV: ELISA kits for the detection of H</w:t>
      </w:r>
      <w:r w:rsidR="00EF52F0" w:rsidRPr="001460EC">
        <w:rPr>
          <w:rFonts w:asciiTheme="minorHAnsi" w:hAnsiTheme="minorHAnsi" w:cstheme="minorHAnsi"/>
        </w:rPr>
        <w:t xml:space="preserve">IV-1/2 antigen and antibody. </w:t>
      </w:r>
    </w:p>
    <w:p w:rsidR="00EF52F0" w:rsidRPr="001460EC" w:rsidRDefault="009E75C9" w:rsidP="00EF52F0">
      <w:pPr>
        <w:pStyle w:val="NormalWeb"/>
        <w:numPr>
          <w:ilvl w:val="0"/>
          <w:numId w:val="10"/>
        </w:numPr>
        <w:spacing w:line="360" w:lineRule="auto"/>
        <w:jc w:val="both"/>
        <w:rPr>
          <w:rFonts w:asciiTheme="minorHAnsi" w:hAnsiTheme="minorHAnsi" w:cstheme="minorHAnsi"/>
        </w:rPr>
      </w:pPr>
      <w:r w:rsidRPr="001460EC">
        <w:rPr>
          <w:rFonts w:asciiTheme="minorHAnsi" w:hAnsiTheme="minorHAnsi" w:cstheme="minorHAnsi"/>
        </w:rPr>
        <w:lastRenderedPageBreak/>
        <w:t xml:space="preserve">Syphilis: Treponema pallidum antibody rapid diagnostic test strips (with ELISA confirmation of uncertain results). </w:t>
      </w:r>
    </w:p>
    <w:p w:rsidR="009E75C9" w:rsidRPr="001460EC" w:rsidRDefault="009E75C9" w:rsidP="00EF52F0">
      <w:pPr>
        <w:pStyle w:val="NormalWeb"/>
        <w:numPr>
          <w:ilvl w:val="0"/>
          <w:numId w:val="10"/>
        </w:numPr>
        <w:spacing w:line="360" w:lineRule="auto"/>
        <w:jc w:val="both"/>
        <w:rPr>
          <w:rFonts w:asciiTheme="minorHAnsi" w:hAnsiTheme="minorHAnsi" w:cstheme="minorHAnsi"/>
        </w:rPr>
      </w:pPr>
      <w:r w:rsidRPr="001460EC">
        <w:rPr>
          <w:rFonts w:asciiTheme="minorHAnsi" w:hAnsiTheme="minorHAnsi" w:cstheme="minorHAnsi"/>
        </w:rPr>
        <w:t>General laboratory supplies: PPE (gloves, lab coats, and face masks), micropipettes, an ELISA plate reader and washer, and a timer.</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2.6 Ethical Consideration</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Strict adherence to the Declaration of Helsinki's ethical guidelines for human research was maintained throughout the investigation. Before starting, the Oyo State Research Ethics Committee gave its approval. The goals, dangers, and advantages of the study were explained to each potential donor. All samples and records were given unique identities to maintain confidentiality, and written informed consent was acquired. Donors were able to discontinue participation at any time without affecting their clinical care or ability to donate blood; participation was entirely voluntary.</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2.7 Clinical Laboratory Investigation</w:t>
      </w:r>
    </w:p>
    <w:p w:rsidR="007D5B01" w:rsidRPr="001460EC" w:rsidRDefault="007D5B01" w:rsidP="00EF52F0">
      <w:pPr>
        <w:pStyle w:val="Heading4"/>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2.7.1 Sample Collection and Handling</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Each donor had five milliliters of venous blood aseptically extracted. A simple tube for serological tests and an EDTA tube for blood grouping were used to dispense the blood. After being swiftly delivered to the lab, samples were processed in accordance with institutional and manufacturer guidelines and centrifuged as needed.</w:t>
      </w:r>
    </w:p>
    <w:p w:rsidR="007D5B01" w:rsidRPr="001460EC" w:rsidRDefault="007D5B01" w:rsidP="00EF52F0">
      <w:pPr>
        <w:pStyle w:val="Heading4"/>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 xml:space="preserve">2.7.2 ABO and </w:t>
      </w:r>
      <w:proofErr w:type="spellStart"/>
      <w:r w:rsidRPr="001460EC">
        <w:rPr>
          <w:rFonts w:asciiTheme="minorHAnsi" w:hAnsiTheme="minorHAnsi" w:cstheme="minorHAnsi"/>
          <w:color w:val="auto"/>
          <w:sz w:val="24"/>
          <w:szCs w:val="24"/>
        </w:rPr>
        <w:t>RhD</w:t>
      </w:r>
      <w:proofErr w:type="spellEnd"/>
      <w:r w:rsidRPr="001460EC">
        <w:rPr>
          <w:rFonts w:asciiTheme="minorHAnsi" w:hAnsiTheme="minorHAnsi" w:cstheme="minorHAnsi"/>
          <w:color w:val="auto"/>
          <w:sz w:val="24"/>
          <w:szCs w:val="24"/>
        </w:rPr>
        <w:t xml:space="preserve"> Blood Grouping</w:t>
      </w:r>
    </w:p>
    <w:p w:rsidR="007D5B01"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The tile agglutination method was used to group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and ABO. In brief, distinct portions of a white tile were treated with drops of anti-A, anti-B, and anti-D antisera. Sterile applicator sticks were used to combine each antiserum with a matching drop of donor blood. Within two minutes, agglutination patterns were noted and interpreted as follows: </w:t>
      </w:r>
      <w:r w:rsidRPr="001460EC">
        <w:rPr>
          <w:rFonts w:eastAsia="Times New Roman" w:cstheme="minorHAnsi"/>
          <w:sz w:val="24"/>
          <w:szCs w:val="24"/>
        </w:rPr>
        <w:br/>
        <w:t xml:space="preserve">Anti-A and anti-B agglutination results in group A; anti-B and anti-A agglutination results in group B; anti-A and anti-B agglutination results in group AB; no agglutination results in group O; </w:t>
      </w:r>
      <w:r w:rsidRPr="001460EC">
        <w:rPr>
          <w:rFonts w:eastAsia="Times New Roman" w:cstheme="minorHAnsi"/>
          <w:sz w:val="24"/>
          <w:szCs w:val="24"/>
        </w:rPr>
        <w:lastRenderedPageBreak/>
        <w:t xml:space="preserve">anti-D agglutination results in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positive; and no agglutination results in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negative. </w:t>
      </w:r>
      <w:r w:rsidRPr="001460EC">
        <w:rPr>
          <w:rFonts w:eastAsia="Times New Roman" w:cstheme="minorHAnsi"/>
          <w:sz w:val="24"/>
          <w:szCs w:val="24"/>
        </w:rPr>
        <w:br/>
        <w:t>There were suitable positive and negative controls</w:t>
      </w:r>
      <w:r w:rsidR="007D5B01" w:rsidRPr="001460EC">
        <w:rPr>
          <w:rFonts w:cstheme="minorHAnsi"/>
          <w:sz w:val="24"/>
          <w:szCs w:val="24"/>
        </w:rPr>
        <w:t>.</w:t>
      </w:r>
    </w:p>
    <w:p w:rsidR="007D5B01" w:rsidRPr="001460EC" w:rsidRDefault="007D5B01" w:rsidP="00EF52F0">
      <w:pPr>
        <w:pStyle w:val="Heading4"/>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2.7.3 Screening for Transfusion-Transmissible Infections</w:t>
      </w:r>
    </w:p>
    <w:p w:rsidR="00EF52F0" w:rsidRPr="001460EC" w:rsidRDefault="00EF52F0"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The ELISA for HBV (HBsAg) was carried out in accordance with the guidelines provided by the kit manufacturer, which included incubation, washing, conjugate addition, substrate reaction, and absorbance measurement at 450 nm. </w:t>
      </w:r>
    </w:p>
    <w:p w:rsidR="00EF52F0" w:rsidRPr="001460EC" w:rsidRDefault="00EF52F0" w:rsidP="00EF52F0">
      <w:pPr>
        <w:pStyle w:val="ListParagraph"/>
        <w:numPr>
          <w:ilvl w:val="0"/>
          <w:numId w:val="11"/>
        </w:numPr>
        <w:spacing w:after="0" w:line="360" w:lineRule="auto"/>
        <w:jc w:val="both"/>
        <w:rPr>
          <w:rFonts w:eastAsia="Times New Roman" w:cstheme="minorHAnsi"/>
          <w:sz w:val="24"/>
          <w:szCs w:val="24"/>
        </w:rPr>
      </w:pPr>
      <w:r w:rsidRPr="001460EC">
        <w:rPr>
          <w:rFonts w:eastAsia="Times New Roman" w:cstheme="minorHAnsi"/>
          <w:sz w:val="24"/>
          <w:szCs w:val="24"/>
        </w:rPr>
        <w:t xml:space="preserve">HCV (anti-HCV): Third-generation ELISA kits containing recombinant antigens are used to detect anti-HCV antibodies. </w:t>
      </w:r>
    </w:p>
    <w:p w:rsidR="00EF52F0" w:rsidRPr="001460EC" w:rsidRDefault="00EF52F0" w:rsidP="00EF52F0">
      <w:pPr>
        <w:pStyle w:val="ListParagraph"/>
        <w:numPr>
          <w:ilvl w:val="0"/>
          <w:numId w:val="11"/>
        </w:numPr>
        <w:spacing w:after="0" w:line="360" w:lineRule="auto"/>
        <w:jc w:val="both"/>
        <w:rPr>
          <w:rFonts w:eastAsia="Times New Roman" w:cstheme="minorHAnsi"/>
          <w:sz w:val="24"/>
          <w:szCs w:val="24"/>
        </w:rPr>
      </w:pPr>
      <w:r w:rsidRPr="001460EC">
        <w:rPr>
          <w:rFonts w:eastAsia="Times New Roman" w:cstheme="minorHAnsi"/>
          <w:sz w:val="24"/>
          <w:szCs w:val="24"/>
        </w:rPr>
        <w:t xml:space="preserve">HIV (HIV-1/2 Ag/Ab): Fourth-generation ELISA kits that could identify HIV antibodies as well as the p24 antigen were used. </w:t>
      </w:r>
    </w:p>
    <w:p w:rsidR="00EF52F0" w:rsidRPr="001460EC" w:rsidRDefault="00EF52F0" w:rsidP="00EF52F0">
      <w:pPr>
        <w:pStyle w:val="ListParagraph"/>
        <w:numPr>
          <w:ilvl w:val="0"/>
          <w:numId w:val="11"/>
        </w:numPr>
        <w:spacing w:after="0" w:line="360" w:lineRule="auto"/>
        <w:jc w:val="both"/>
        <w:rPr>
          <w:rFonts w:eastAsia="Times New Roman" w:cstheme="minorHAnsi"/>
          <w:sz w:val="24"/>
          <w:szCs w:val="24"/>
        </w:rPr>
      </w:pPr>
      <w:r w:rsidRPr="001460EC">
        <w:rPr>
          <w:rFonts w:eastAsia="Times New Roman" w:cstheme="minorHAnsi"/>
          <w:sz w:val="24"/>
          <w:szCs w:val="24"/>
        </w:rPr>
        <w:t xml:space="preserve">Syphilis: Treponema pallidum rapid diagnostic immunochromatographic test strips. ELISA-based antibody detection was used to confirm results that were either positive or unclear. </w:t>
      </w:r>
    </w:p>
    <w:p w:rsidR="00EF52F0" w:rsidRPr="001460EC" w:rsidRDefault="00EF52F0" w:rsidP="00EF52F0">
      <w:pPr>
        <w:pStyle w:val="ListParagraph"/>
        <w:numPr>
          <w:ilvl w:val="0"/>
          <w:numId w:val="11"/>
        </w:numPr>
        <w:spacing w:after="0" w:line="360" w:lineRule="auto"/>
        <w:jc w:val="both"/>
        <w:rPr>
          <w:rFonts w:eastAsia="Times New Roman" w:cstheme="minorHAnsi"/>
          <w:sz w:val="24"/>
          <w:szCs w:val="24"/>
        </w:rPr>
      </w:pPr>
      <w:r w:rsidRPr="001460EC">
        <w:rPr>
          <w:rFonts w:eastAsia="Times New Roman" w:cstheme="minorHAnsi"/>
          <w:sz w:val="24"/>
          <w:szCs w:val="24"/>
        </w:rPr>
        <w:t>For every batch of assays, established positive and negative controls were included to ensure quality control.</w:t>
      </w:r>
    </w:p>
    <w:p w:rsidR="007D5B01" w:rsidRPr="001460EC" w:rsidRDefault="007D5B01" w:rsidP="00EF52F0">
      <w:pPr>
        <w:spacing w:line="360" w:lineRule="auto"/>
        <w:jc w:val="both"/>
        <w:rPr>
          <w:rFonts w:cstheme="minorHAnsi"/>
          <w:sz w:val="24"/>
          <w:szCs w:val="24"/>
        </w:rPr>
      </w:pPr>
    </w:p>
    <w:p w:rsidR="007D5B01" w:rsidRPr="001460EC" w:rsidRDefault="007D5B01" w:rsidP="00EF52F0">
      <w:pPr>
        <w:pStyle w:val="Heading3"/>
        <w:spacing w:line="360" w:lineRule="auto"/>
        <w:jc w:val="both"/>
        <w:rPr>
          <w:rFonts w:asciiTheme="minorHAnsi" w:hAnsiTheme="minorHAnsi" w:cstheme="minorHAnsi"/>
          <w:color w:val="auto"/>
          <w:sz w:val="24"/>
          <w:szCs w:val="24"/>
        </w:rPr>
      </w:pPr>
      <w:r w:rsidRPr="001460EC">
        <w:rPr>
          <w:rFonts w:asciiTheme="minorHAnsi" w:hAnsiTheme="minorHAnsi" w:cstheme="minorHAnsi"/>
          <w:color w:val="auto"/>
          <w:sz w:val="24"/>
          <w:szCs w:val="24"/>
        </w:rPr>
        <w:t>2.8 Statistical Analysis</w:t>
      </w:r>
    </w:p>
    <w:p w:rsidR="00EF52F0" w:rsidRPr="001460EC" w:rsidRDefault="00EF52F0"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SPSS version 24 was used to code and enter the obtained data (IBM Corp., Armonk, NY, USA). TTI prevalence, blood group distribution, and demographic features were summarized using descriptive statistics (means, percentages, and frequencies). Using the chi-square (χ²) test or, if applicable, Fisher's exact test, associations between the categorical variables (ABO groups,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status, and TTI positive) were assessed. To estimate the effect size, odds ratios (ORs) with 95% confidence intervals (CIs) were computed. In exploratory models, logistic regression was used to account for potential confounders including sex and age. The threshold for statistical significance was p &lt; 0.05.</w:t>
      </w:r>
    </w:p>
    <w:p w:rsidR="007D5B01" w:rsidRPr="001460EC" w:rsidRDefault="007D5B01" w:rsidP="00EF52F0">
      <w:pPr>
        <w:spacing w:line="360" w:lineRule="auto"/>
        <w:jc w:val="both"/>
        <w:rPr>
          <w:rFonts w:cstheme="minorHAnsi"/>
          <w:sz w:val="24"/>
          <w:szCs w:val="24"/>
        </w:rPr>
      </w:pPr>
    </w:p>
    <w:p w:rsidR="00821BB6" w:rsidRPr="001460EC" w:rsidRDefault="0090527F" w:rsidP="00EF52F0">
      <w:pPr>
        <w:spacing w:line="360" w:lineRule="auto"/>
        <w:jc w:val="both"/>
        <w:rPr>
          <w:rFonts w:cstheme="minorHAnsi"/>
          <w:b/>
          <w:sz w:val="24"/>
          <w:szCs w:val="24"/>
        </w:rPr>
      </w:pPr>
      <w:r w:rsidRPr="001460EC">
        <w:rPr>
          <w:rFonts w:cstheme="minorHAnsi"/>
          <w:b/>
          <w:sz w:val="24"/>
          <w:szCs w:val="24"/>
        </w:rPr>
        <w:t>3. Result and Discussion</w:t>
      </w:r>
    </w:p>
    <w:p w:rsidR="00821BB6" w:rsidRPr="001460EC" w:rsidRDefault="00821BB6" w:rsidP="00EF52F0">
      <w:pPr>
        <w:pStyle w:val="Caption"/>
        <w:keepNext/>
        <w:spacing w:line="360" w:lineRule="auto"/>
        <w:jc w:val="both"/>
        <w:rPr>
          <w:rFonts w:cstheme="minorHAnsi"/>
          <w:i w:val="0"/>
          <w:iCs w:val="0"/>
          <w:color w:val="auto"/>
          <w:sz w:val="24"/>
          <w:szCs w:val="24"/>
        </w:rPr>
      </w:pPr>
      <w:bookmarkStart w:id="2" w:name="_Toc202149287"/>
      <w:bookmarkStart w:id="3" w:name="_Toc205510691"/>
      <w:bookmarkStart w:id="4" w:name="_Toc208093468"/>
      <w:r w:rsidRPr="001460EC">
        <w:rPr>
          <w:rFonts w:cstheme="minorHAnsi"/>
          <w:i w:val="0"/>
          <w:iCs w:val="0"/>
          <w:color w:val="auto"/>
          <w:sz w:val="24"/>
          <w:szCs w:val="24"/>
        </w:rPr>
        <w:lastRenderedPageBreak/>
        <w:t xml:space="preserve">Table </w:t>
      </w:r>
      <w:r w:rsidR="00BA74FB" w:rsidRPr="001460EC">
        <w:rPr>
          <w:rFonts w:cstheme="minorHAnsi"/>
          <w:i w:val="0"/>
          <w:iCs w:val="0"/>
          <w:color w:val="FFFFFF" w:themeColor="background1"/>
          <w:sz w:val="24"/>
          <w:szCs w:val="24"/>
        </w:rPr>
        <w:fldChar w:fldCharType="begin"/>
      </w:r>
      <w:r w:rsidRPr="001460EC">
        <w:rPr>
          <w:rFonts w:cstheme="minorHAnsi"/>
          <w:i w:val="0"/>
          <w:iCs w:val="0"/>
          <w:color w:val="FFFFFF" w:themeColor="background1"/>
          <w:sz w:val="24"/>
          <w:szCs w:val="24"/>
        </w:rPr>
        <w:instrText xml:space="preserve"> SEQ Table \* ARABIC </w:instrText>
      </w:r>
      <w:r w:rsidR="00BA74FB" w:rsidRPr="001460EC">
        <w:rPr>
          <w:rFonts w:cstheme="minorHAnsi"/>
          <w:i w:val="0"/>
          <w:iCs w:val="0"/>
          <w:color w:val="FFFFFF" w:themeColor="background1"/>
          <w:sz w:val="24"/>
          <w:szCs w:val="24"/>
        </w:rPr>
        <w:fldChar w:fldCharType="separate"/>
      </w:r>
      <w:r w:rsidRPr="001460EC">
        <w:rPr>
          <w:rFonts w:cstheme="minorHAnsi"/>
          <w:i w:val="0"/>
          <w:iCs w:val="0"/>
          <w:noProof/>
          <w:color w:val="FFFFFF" w:themeColor="background1"/>
          <w:sz w:val="24"/>
          <w:szCs w:val="24"/>
        </w:rPr>
        <w:t>1</w:t>
      </w:r>
      <w:r w:rsidR="00BA74FB" w:rsidRPr="001460EC">
        <w:rPr>
          <w:rFonts w:cstheme="minorHAnsi"/>
          <w:i w:val="0"/>
          <w:iCs w:val="0"/>
          <w:color w:val="FFFFFF" w:themeColor="background1"/>
          <w:sz w:val="24"/>
          <w:szCs w:val="24"/>
        </w:rPr>
        <w:fldChar w:fldCharType="end"/>
      </w:r>
      <w:r w:rsidRPr="001460EC">
        <w:rPr>
          <w:rFonts w:cstheme="minorHAnsi"/>
          <w:i w:val="0"/>
          <w:iCs w:val="0"/>
          <w:color w:val="auto"/>
          <w:sz w:val="24"/>
          <w:szCs w:val="24"/>
        </w:rPr>
        <w:t>1 Sociodemographic Characteristics of Donors</w:t>
      </w:r>
      <w:bookmarkEnd w:id="2"/>
      <w:bookmarkEnd w:id="3"/>
      <w:bookmarkEnd w:id="4"/>
    </w:p>
    <w:tbl>
      <w:tblPr>
        <w:tblStyle w:val="ListTable6Colorful1"/>
        <w:tblW w:w="7521" w:type="dxa"/>
        <w:tblLook w:val="0020" w:firstRow="1" w:lastRow="0" w:firstColumn="0" w:lastColumn="0" w:noHBand="0" w:noVBand="0"/>
      </w:tblPr>
      <w:tblGrid>
        <w:gridCol w:w="2895"/>
        <w:gridCol w:w="2231"/>
        <w:gridCol w:w="2395"/>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75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Variable</w:t>
            </w:r>
          </w:p>
        </w:tc>
        <w:tc>
          <w:tcPr>
            <w:tcW w:w="0" w:type="auto"/>
            <w:shd w:val="clear" w:color="auto" w:fill="auto"/>
            <w:vAlign w:val="center"/>
          </w:tcPr>
          <w:p w:rsidR="00821BB6" w:rsidRPr="001460EC" w:rsidRDefault="00821BB6" w:rsidP="00EF52F0">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1460EC">
              <w:rPr>
                <w:rFonts w:cstheme="minorHAnsi"/>
              </w:rPr>
              <w:t>Frequency (n)</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Percentage (%)</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Age Group (18–25)</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41.7</w:t>
            </w:r>
          </w:p>
        </w:tc>
      </w:tr>
      <w:tr w:rsidR="00821BB6" w:rsidRPr="001460EC" w:rsidTr="00271A87">
        <w:trPr>
          <w:trHeight w:val="75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Age Group (26–35)</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45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31.3</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75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Age Group (36–45)</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17.4</w:t>
            </w:r>
          </w:p>
        </w:tc>
      </w:tr>
      <w:tr w:rsidR="00821BB6" w:rsidRPr="001460EC" w:rsidTr="00271A87">
        <w:trPr>
          <w:trHeight w:val="73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&gt;45 Years</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14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9.6</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75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Sex (Male)</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132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91.7</w:t>
            </w:r>
          </w:p>
        </w:tc>
      </w:tr>
      <w:tr w:rsidR="00821BB6" w:rsidRPr="001460EC" w:rsidTr="00271A87">
        <w:trPr>
          <w:trHeight w:val="77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Sex (Female)</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12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8.3</w:t>
            </w:r>
          </w:p>
        </w:tc>
      </w:tr>
    </w:tbl>
    <w:p w:rsidR="00821BB6" w:rsidRPr="001460EC" w:rsidRDefault="00821BB6" w:rsidP="00EF52F0">
      <w:pPr>
        <w:pStyle w:val="BodyText"/>
        <w:spacing w:line="360" w:lineRule="auto"/>
        <w:jc w:val="both"/>
        <w:rPr>
          <w:rFonts w:cstheme="minorHAnsi"/>
          <w:b/>
          <w:bCs/>
          <w:sz w:val="24"/>
          <w:szCs w:val="24"/>
        </w:rPr>
      </w:pPr>
    </w:p>
    <w:p w:rsidR="00821BB6" w:rsidRPr="001460EC" w:rsidRDefault="00821BB6" w:rsidP="00EF52F0">
      <w:pPr>
        <w:spacing w:after="100" w:afterAutospacing="1" w:line="360" w:lineRule="auto"/>
        <w:jc w:val="both"/>
        <w:rPr>
          <w:rFonts w:cstheme="minorHAnsi"/>
          <w:b/>
          <w:bCs/>
          <w:sz w:val="24"/>
          <w:szCs w:val="24"/>
        </w:rPr>
      </w:pPr>
      <w:r w:rsidRPr="001460EC">
        <w:rPr>
          <w:rStyle w:val="Strong"/>
          <w:rFonts w:cstheme="minorHAnsi"/>
          <w:b w:val="0"/>
          <w:sz w:val="24"/>
          <w:szCs w:val="24"/>
        </w:rPr>
        <w:t>Table 1 presents the socio-demographic profile of 144 blood donors. The majority were males (91.7%) with females constituting only 8.3%. Most donors were young adults aged 18–25 years (41.7%), followed by 26–35 years (31.3%), while fewer participants were observed in older age categories.</w:t>
      </w:r>
      <w:r w:rsidRPr="001460EC">
        <w:rPr>
          <w:rFonts w:cstheme="minorHAnsi"/>
          <w:b/>
          <w:sz w:val="24"/>
          <w:szCs w:val="24"/>
        </w:rPr>
        <w:t xml:space="preserve"> </w:t>
      </w:r>
      <w:r w:rsidRPr="001460EC">
        <w:rPr>
          <w:rFonts w:cstheme="minorHAnsi"/>
          <w:b/>
          <w:bCs/>
          <w:sz w:val="24"/>
          <w:szCs w:val="24"/>
        </w:rPr>
        <w:br w:type="page"/>
      </w:r>
    </w:p>
    <w:p w:rsidR="00821BB6" w:rsidRPr="001460EC" w:rsidRDefault="00821BB6" w:rsidP="00EF52F0">
      <w:pPr>
        <w:spacing w:line="360" w:lineRule="auto"/>
        <w:jc w:val="both"/>
        <w:rPr>
          <w:rFonts w:cstheme="minorHAnsi"/>
          <w:sz w:val="24"/>
          <w:szCs w:val="24"/>
        </w:rPr>
      </w:pPr>
      <w:bookmarkStart w:id="5" w:name="_Toc202149288"/>
      <w:bookmarkStart w:id="6" w:name="_Toc205510692"/>
      <w:bookmarkStart w:id="7" w:name="_Toc208093469"/>
      <w:r w:rsidRPr="001460EC">
        <w:rPr>
          <w:rFonts w:cstheme="minorHAnsi"/>
          <w:iCs/>
          <w:sz w:val="24"/>
          <w:szCs w:val="24"/>
        </w:rPr>
        <w:lastRenderedPageBreak/>
        <w:t xml:space="preserve">Table </w:t>
      </w:r>
      <w:r w:rsidR="00BA74FB" w:rsidRPr="001460EC">
        <w:rPr>
          <w:rFonts w:cstheme="minorHAnsi"/>
          <w:iCs/>
          <w:color w:val="FFFFFF" w:themeColor="background1"/>
          <w:sz w:val="24"/>
          <w:szCs w:val="24"/>
        </w:rPr>
        <w:fldChar w:fldCharType="begin"/>
      </w:r>
      <w:r w:rsidRPr="001460EC">
        <w:rPr>
          <w:rFonts w:cstheme="minorHAnsi"/>
          <w:iCs/>
          <w:color w:val="FFFFFF" w:themeColor="background1"/>
          <w:sz w:val="24"/>
          <w:szCs w:val="24"/>
        </w:rPr>
        <w:instrText xml:space="preserve"> SEQ Table \* ARABIC </w:instrText>
      </w:r>
      <w:r w:rsidR="00BA74FB" w:rsidRPr="001460EC">
        <w:rPr>
          <w:rFonts w:cstheme="minorHAnsi"/>
          <w:iCs/>
          <w:color w:val="FFFFFF" w:themeColor="background1"/>
          <w:sz w:val="24"/>
          <w:szCs w:val="24"/>
        </w:rPr>
        <w:fldChar w:fldCharType="separate"/>
      </w:r>
      <w:r w:rsidRPr="001460EC">
        <w:rPr>
          <w:rFonts w:cstheme="minorHAnsi"/>
          <w:iCs/>
          <w:noProof/>
          <w:color w:val="FFFFFF" w:themeColor="background1"/>
          <w:sz w:val="24"/>
          <w:szCs w:val="24"/>
        </w:rPr>
        <w:t>2</w:t>
      </w:r>
      <w:r w:rsidR="00BA74FB" w:rsidRPr="001460EC">
        <w:rPr>
          <w:rFonts w:cstheme="minorHAnsi"/>
          <w:iCs/>
          <w:color w:val="FFFFFF" w:themeColor="background1"/>
          <w:sz w:val="24"/>
          <w:szCs w:val="24"/>
        </w:rPr>
        <w:fldChar w:fldCharType="end"/>
      </w:r>
      <w:r w:rsidRPr="001460EC">
        <w:rPr>
          <w:rFonts w:cstheme="minorHAnsi"/>
          <w:iCs/>
          <w:sz w:val="24"/>
          <w:szCs w:val="24"/>
        </w:rPr>
        <w:t>2 Distribution of ABO and Rh D Blood Groups</w:t>
      </w:r>
      <w:bookmarkEnd w:id="5"/>
      <w:bookmarkEnd w:id="6"/>
      <w:bookmarkEnd w:id="7"/>
    </w:p>
    <w:tbl>
      <w:tblPr>
        <w:tblStyle w:val="ListTable6Colorful1"/>
        <w:tblW w:w="7185" w:type="dxa"/>
        <w:tblLook w:val="0020" w:firstRow="1" w:lastRow="0" w:firstColumn="0" w:lastColumn="0" w:noHBand="0" w:noVBand="0"/>
      </w:tblPr>
      <w:tblGrid>
        <w:gridCol w:w="2224"/>
        <w:gridCol w:w="2392"/>
        <w:gridCol w:w="2569"/>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83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Blood Group</w:t>
            </w:r>
          </w:p>
        </w:tc>
        <w:tc>
          <w:tcPr>
            <w:tcW w:w="0" w:type="auto"/>
            <w:shd w:val="clear" w:color="auto" w:fill="auto"/>
            <w:vAlign w:val="center"/>
          </w:tcPr>
          <w:p w:rsidR="00821BB6" w:rsidRPr="001460EC" w:rsidRDefault="00821BB6" w:rsidP="00EF52F0">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1460EC">
              <w:rPr>
                <w:rFonts w:cstheme="minorHAnsi"/>
              </w:rPr>
              <w:t>Frequency (n)</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Percentage (%)</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80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A</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22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15.3</w:t>
            </w:r>
          </w:p>
        </w:tc>
      </w:tr>
      <w:tr w:rsidR="00821BB6" w:rsidRPr="001460EC" w:rsidTr="00271A87">
        <w:trPr>
          <w:trHeight w:val="83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B</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13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9.0</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833"/>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AB</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2.8</w:t>
            </w:r>
          </w:p>
        </w:tc>
      </w:tr>
      <w:tr w:rsidR="00821BB6" w:rsidRPr="001460EC" w:rsidTr="00271A87">
        <w:trPr>
          <w:trHeight w:val="80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O</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105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72.9</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857"/>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Total</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144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100.0</w:t>
            </w:r>
          </w:p>
        </w:tc>
      </w:tr>
    </w:tbl>
    <w:p w:rsidR="00821BB6" w:rsidRPr="001460EC" w:rsidRDefault="00821BB6" w:rsidP="00EF52F0">
      <w:pPr>
        <w:spacing w:line="360" w:lineRule="auto"/>
        <w:jc w:val="both"/>
        <w:rPr>
          <w:rFonts w:cstheme="minorHAnsi"/>
          <w:sz w:val="24"/>
          <w:szCs w:val="24"/>
        </w:rPr>
      </w:pPr>
    </w:p>
    <w:tbl>
      <w:tblPr>
        <w:tblStyle w:val="ListTable6Colorful1"/>
        <w:tblW w:w="5721" w:type="dxa"/>
        <w:tblLook w:val="0020" w:firstRow="1" w:lastRow="0" w:firstColumn="0" w:lastColumn="0" w:noHBand="0" w:noVBand="0"/>
      </w:tblPr>
      <w:tblGrid>
        <w:gridCol w:w="1486"/>
        <w:gridCol w:w="2042"/>
        <w:gridCol w:w="2193"/>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73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Rh Status</w:t>
            </w:r>
          </w:p>
        </w:tc>
        <w:tc>
          <w:tcPr>
            <w:tcW w:w="0" w:type="auto"/>
            <w:shd w:val="clear" w:color="auto" w:fill="auto"/>
          </w:tcPr>
          <w:p w:rsidR="00821BB6" w:rsidRPr="001460EC" w:rsidRDefault="00821BB6" w:rsidP="00EF52F0">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1460EC">
              <w:rPr>
                <w:rFonts w:cstheme="minorHAnsi"/>
              </w:rPr>
              <w:t>Frequency (n)</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Percentage (%)</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Rh+</w:t>
            </w:r>
          </w:p>
        </w:tc>
        <w:tc>
          <w:tcPr>
            <w:tcW w:w="0" w:type="auto"/>
            <w:shd w:val="clear" w:color="auto" w:fill="auto"/>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140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97.2</w:t>
            </w:r>
          </w:p>
        </w:tc>
      </w:tr>
      <w:tr w:rsidR="00821BB6" w:rsidRPr="001460EC" w:rsidTr="00271A87">
        <w:trPr>
          <w:trHeight w:val="754"/>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Rh–</w:t>
            </w:r>
          </w:p>
        </w:tc>
        <w:tc>
          <w:tcPr>
            <w:tcW w:w="0" w:type="auto"/>
            <w:shd w:val="clear" w:color="auto" w:fill="auto"/>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821BB6" w:rsidRPr="001460EC" w:rsidRDefault="00821BB6" w:rsidP="00EF52F0">
            <w:pPr>
              <w:pStyle w:val="Compact"/>
              <w:spacing w:line="360" w:lineRule="auto"/>
              <w:jc w:val="both"/>
              <w:rPr>
                <w:rFonts w:cstheme="minorHAnsi"/>
              </w:rPr>
            </w:pPr>
            <w:r w:rsidRPr="001460EC">
              <w:rPr>
                <w:rFonts w:cstheme="minorHAnsi"/>
              </w:rPr>
              <w:t>2.8</w:t>
            </w:r>
          </w:p>
        </w:tc>
      </w:tr>
    </w:tbl>
    <w:p w:rsidR="00821BB6" w:rsidRPr="001460EC" w:rsidRDefault="00821BB6" w:rsidP="00EF52F0">
      <w:pPr>
        <w:pStyle w:val="FirstParagraph"/>
        <w:spacing w:line="360" w:lineRule="auto"/>
        <w:jc w:val="both"/>
        <w:rPr>
          <w:rFonts w:cstheme="minorHAnsi"/>
          <w:b/>
          <w:bCs/>
        </w:rPr>
      </w:pPr>
    </w:p>
    <w:p w:rsidR="00821BB6" w:rsidRPr="001460EC" w:rsidRDefault="00821BB6" w:rsidP="004A1E97">
      <w:pPr>
        <w:spacing w:line="360" w:lineRule="auto"/>
        <w:jc w:val="both"/>
        <w:rPr>
          <w:rFonts w:cstheme="minorHAnsi"/>
          <w:b/>
          <w:bCs/>
          <w:sz w:val="24"/>
          <w:szCs w:val="24"/>
        </w:rPr>
      </w:pPr>
      <w:r w:rsidRPr="001460EC">
        <w:rPr>
          <w:rFonts w:cstheme="minorHAnsi"/>
          <w:b/>
          <w:bCs/>
          <w:sz w:val="24"/>
          <w:szCs w:val="24"/>
        </w:rPr>
        <w:br w:type="page"/>
      </w:r>
      <w:r w:rsidRPr="001460EC">
        <w:rPr>
          <w:rFonts w:cstheme="minorHAnsi"/>
        </w:rPr>
        <w:lastRenderedPageBreak/>
        <w:t xml:space="preserve"> </w:t>
      </w:r>
      <w:r w:rsidR="004A1E97" w:rsidRPr="001460EC">
        <w:rPr>
          <w:rFonts w:cstheme="minorHAnsi"/>
        </w:rPr>
        <w:t xml:space="preserve">Table 2 </w:t>
      </w:r>
      <w:r w:rsidRPr="001460EC">
        <w:rPr>
          <w:rFonts w:cstheme="minorHAnsi"/>
        </w:rPr>
        <w:t>explains the frequency of ABO blood group and rhesus distribution. Blood group O is the most common (72.9%) among donors, which is consistent with known distributions in West African populations. Rh-positive individuals make up a vast majority (97.2%), indicating that Rh-negative donors are rare. This distribution has implications for blood bank inventory planning.</w:t>
      </w:r>
    </w:p>
    <w:p w:rsidR="00821BB6" w:rsidRPr="001460EC" w:rsidRDefault="00821BB6" w:rsidP="00EF52F0">
      <w:pPr>
        <w:pStyle w:val="FirstParagraph"/>
        <w:spacing w:line="360" w:lineRule="auto"/>
        <w:jc w:val="both"/>
        <w:rPr>
          <w:rFonts w:cstheme="minorHAnsi"/>
        </w:rPr>
      </w:pPr>
    </w:p>
    <w:p w:rsidR="00821BB6" w:rsidRPr="001460EC" w:rsidRDefault="00821BB6" w:rsidP="00EF52F0">
      <w:pPr>
        <w:spacing w:line="360" w:lineRule="auto"/>
        <w:jc w:val="both"/>
        <w:rPr>
          <w:rFonts w:cstheme="minorHAnsi"/>
          <w:sz w:val="24"/>
          <w:szCs w:val="24"/>
        </w:rPr>
      </w:pPr>
      <w:bookmarkStart w:id="8" w:name="_Toc202149289"/>
      <w:r w:rsidRPr="001460EC">
        <w:rPr>
          <w:rFonts w:cstheme="minorHAnsi"/>
          <w:i/>
          <w:iCs/>
          <w:sz w:val="24"/>
          <w:szCs w:val="24"/>
        </w:rPr>
        <w:br w:type="page"/>
      </w:r>
    </w:p>
    <w:p w:rsidR="00821BB6" w:rsidRPr="001460EC" w:rsidRDefault="00821BB6" w:rsidP="00EF52F0">
      <w:pPr>
        <w:pStyle w:val="Caption"/>
        <w:keepNext/>
        <w:spacing w:line="360" w:lineRule="auto"/>
        <w:jc w:val="both"/>
        <w:rPr>
          <w:rFonts w:cstheme="minorHAnsi"/>
          <w:i w:val="0"/>
          <w:iCs w:val="0"/>
          <w:color w:val="auto"/>
          <w:sz w:val="24"/>
          <w:szCs w:val="24"/>
        </w:rPr>
      </w:pPr>
      <w:bookmarkStart w:id="9" w:name="_Toc205510693"/>
      <w:bookmarkStart w:id="10" w:name="_Toc208093470"/>
      <w:r w:rsidRPr="001460EC">
        <w:rPr>
          <w:rFonts w:cstheme="minorHAnsi"/>
          <w:i w:val="0"/>
          <w:iCs w:val="0"/>
          <w:color w:val="auto"/>
          <w:sz w:val="24"/>
          <w:szCs w:val="24"/>
        </w:rPr>
        <w:lastRenderedPageBreak/>
        <w:t>Table</w:t>
      </w:r>
      <w:r w:rsidR="004A1E97" w:rsidRPr="001460EC">
        <w:rPr>
          <w:rFonts w:cstheme="minorHAnsi"/>
          <w:i w:val="0"/>
          <w:iCs w:val="0"/>
          <w:color w:val="auto"/>
          <w:sz w:val="24"/>
          <w:szCs w:val="24"/>
        </w:rPr>
        <w:t xml:space="preserve"> </w:t>
      </w:r>
      <w:r w:rsidRPr="001460EC">
        <w:rPr>
          <w:rFonts w:cstheme="minorHAnsi"/>
          <w:i w:val="0"/>
          <w:iCs w:val="0"/>
          <w:color w:val="auto"/>
          <w:sz w:val="24"/>
          <w:szCs w:val="24"/>
        </w:rPr>
        <w:t>3 Seroprevalence of Transfusion Transmissible Infections</w:t>
      </w:r>
      <w:bookmarkEnd w:id="8"/>
      <w:bookmarkEnd w:id="9"/>
      <w:bookmarkEnd w:id="10"/>
    </w:p>
    <w:tbl>
      <w:tblPr>
        <w:tblStyle w:val="ListTable6Colorful1"/>
        <w:tblW w:w="7307" w:type="dxa"/>
        <w:tblLook w:val="0020" w:firstRow="1" w:lastRow="0" w:firstColumn="0" w:lastColumn="0" w:noHBand="0" w:noVBand="0"/>
      </w:tblPr>
      <w:tblGrid>
        <w:gridCol w:w="1701"/>
        <w:gridCol w:w="3003"/>
        <w:gridCol w:w="2603"/>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bCs w:val="0"/>
              </w:rPr>
            </w:pPr>
            <w:r w:rsidRPr="001460EC">
              <w:rPr>
                <w:rFonts w:cstheme="minorHAnsi"/>
                <w:bCs w:val="0"/>
              </w:rPr>
              <w:t>Infection</w:t>
            </w:r>
          </w:p>
        </w:tc>
        <w:tc>
          <w:tcPr>
            <w:tcW w:w="0" w:type="auto"/>
            <w:shd w:val="clear" w:color="auto" w:fill="auto"/>
            <w:vAlign w:val="center"/>
          </w:tcPr>
          <w:p w:rsidR="00821BB6" w:rsidRPr="001460EC" w:rsidRDefault="00821BB6" w:rsidP="00EF52F0">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Cs w:val="0"/>
              </w:rPr>
            </w:pPr>
            <w:r w:rsidRPr="001460EC">
              <w:rPr>
                <w:rFonts w:cstheme="minorHAnsi"/>
                <w:bCs w:val="0"/>
              </w:rPr>
              <w:t>Positive Cases (n)</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bCs w:val="0"/>
              </w:rPr>
            </w:pPr>
            <w:r w:rsidRPr="001460EC">
              <w:rPr>
                <w:rFonts w:cstheme="minorHAnsi"/>
                <w:bCs w:val="0"/>
              </w:rPr>
              <w:t>Prevalence (%)</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992"/>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HBV</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2.78</w:t>
            </w:r>
          </w:p>
        </w:tc>
      </w:tr>
      <w:tr w:rsidR="00821BB6" w:rsidRPr="001460EC" w:rsidTr="00271A87">
        <w:trPr>
          <w:trHeight w:val="102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HIV</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1.39</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102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Syphilis</w:t>
            </w:r>
          </w:p>
        </w:tc>
        <w:tc>
          <w:tcPr>
            <w:tcW w:w="0" w:type="auto"/>
            <w:shd w:val="clear" w:color="auto" w:fill="auto"/>
            <w:vAlign w:val="center"/>
          </w:tcPr>
          <w:p w:rsidR="00821BB6" w:rsidRPr="001460EC" w:rsidRDefault="00821BB6" w:rsidP="00EF52F0">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460EC">
              <w:rPr>
                <w:rFonts w:cstheme="minorHAnsi"/>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2.08</w:t>
            </w:r>
          </w:p>
        </w:tc>
      </w:tr>
      <w:tr w:rsidR="00821BB6" w:rsidRPr="001460EC" w:rsidTr="00271A87">
        <w:trPr>
          <w:trHeight w:val="1021"/>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Total</w:t>
            </w:r>
          </w:p>
        </w:tc>
        <w:tc>
          <w:tcPr>
            <w:tcW w:w="0" w:type="auto"/>
            <w:shd w:val="clear" w:color="auto" w:fill="auto"/>
            <w:vAlign w:val="center"/>
          </w:tcPr>
          <w:p w:rsidR="00821BB6" w:rsidRPr="001460EC" w:rsidRDefault="00821BB6" w:rsidP="00EF52F0">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460EC">
              <w:rPr>
                <w:rFonts w:cstheme="minorHAnsi"/>
              </w:rPr>
              <w:t>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rsidR="00821BB6" w:rsidRPr="001460EC" w:rsidRDefault="00821BB6" w:rsidP="00EF52F0">
            <w:pPr>
              <w:pStyle w:val="Compact"/>
              <w:spacing w:line="360" w:lineRule="auto"/>
              <w:jc w:val="both"/>
              <w:rPr>
                <w:rFonts w:cstheme="minorHAnsi"/>
              </w:rPr>
            </w:pPr>
            <w:r w:rsidRPr="001460EC">
              <w:rPr>
                <w:rFonts w:cstheme="minorHAnsi"/>
              </w:rPr>
              <w:t>6.25</w:t>
            </w:r>
          </w:p>
        </w:tc>
      </w:tr>
    </w:tbl>
    <w:p w:rsidR="0065090A" w:rsidRPr="001460EC" w:rsidRDefault="0065090A" w:rsidP="00EF52F0">
      <w:pPr>
        <w:pStyle w:val="FirstParagraph"/>
        <w:spacing w:line="360" w:lineRule="auto"/>
        <w:jc w:val="both"/>
        <w:rPr>
          <w:rFonts w:cstheme="minorHAnsi"/>
        </w:rPr>
      </w:pPr>
      <w:r w:rsidRPr="001460EC">
        <w:rPr>
          <w:rFonts w:cstheme="minorHAnsi"/>
        </w:rPr>
        <w:t>Table 3: Out of 144 donors, 6.25% tested positive for at least one TTI. HBV has the highest prevalence (2.78%), followed by syphilis (2.08%) and HIV (1.39%). This suggests ongoing risks of TTIs despite pre-donation screening and indicates a need for continuous donor education and screening improvement.</w:t>
      </w:r>
    </w:p>
    <w:p w:rsidR="00821BB6" w:rsidRPr="001460EC" w:rsidRDefault="00821BB6" w:rsidP="00EF52F0">
      <w:pPr>
        <w:pStyle w:val="FirstParagraph"/>
        <w:spacing w:line="360" w:lineRule="auto"/>
        <w:jc w:val="both"/>
        <w:rPr>
          <w:rFonts w:cstheme="minorHAnsi"/>
          <w:b/>
          <w:bCs/>
        </w:rPr>
      </w:pPr>
    </w:p>
    <w:p w:rsidR="00821BB6" w:rsidRPr="001460EC" w:rsidRDefault="00821BB6" w:rsidP="00EF52F0">
      <w:pPr>
        <w:spacing w:line="360" w:lineRule="auto"/>
        <w:jc w:val="both"/>
        <w:rPr>
          <w:rFonts w:cstheme="minorHAnsi"/>
          <w:b/>
          <w:bCs/>
          <w:sz w:val="24"/>
          <w:szCs w:val="24"/>
        </w:rPr>
      </w:pPr>
      <w:r w:rsidRPr="001460EC">
        <w:rPr>
          <w:rFonts w:cstheme="minorHAnsi"/>
          <w:b/>
          <w:bCs/>
          <w:sz w:val="24"/>
          <w:szCs w:val="24"/>
        </w:rPr>
        <w:br w:type="page"/>
      </w:r>
    </w:p>
    <w:p w:rsidR="00821BB6" w:rsidRPr="001460EC" w:rsidRDefault="00821BB6" w:rsidP="00EF52F0">
      <w:pPr>
        <w:spacing w:line="360" w:lineRule="auto"/>
        <w:jc w:val="both"/>
        <w:rPr>
          <w:rFonts w:cstheme="minorHAnsi"/>
          <w:sz w:val="24"/>
          <w:szCs w:val="24"/>
        </w:rPr>
      </w:pPr>
      <w:bookmarkStart w:id="11" w:name="_Toc202149290"/>
      <w:bookmarkStart w:id="12" w:name="_Toc205510694"/>
      <w:bookmarkStart w:id="13" w:name="_Toc208093471"/>
      <w:r w:rsidRPr="001460EC">
        <w:rPr>
          <w:rFonts w:cstheme="minorHAnsi"/>
          <w:iCs/>
          <w:sz w:val="24"/>
          <w:szCs w:val="24"/>
        </w:rPr>
        <w:lastRenderedPageBreak/>
        <w:t xml:space="preserve">Table </w:t>
      </w:r>
      <w:r w:rsidR="00BA74FB" w:rsidRPr="001460EC">
        <w:rPr>
          <w:rFonts w:cstheme="minorHAnsi"/>
          <w:iCs/>
          <w:color w:val="FFFFFF" w:themeColor="background1"/>
          <w:sz w:val="24"/>
          <w:szCs w:val="24"/>
        </w:rPr>
        <w:fldChar w:fldCharType="begin"/>
      </w:r>
      <w:r w:rsidRPr="001460EC">
        <w:rPr>
          <w:rFonts w:cstheme="minorHAnsi"/>
          <w:iCs/>
          <w:color w:val="FFFFFF" w:themeColor="background1"/>
          <w:sz w:val="24"/>
          <w:szCs w:val="24"/>
        </w:rPr>
        <w:instrText xml:space="preserve"> SEQ Table \* ARABIC </w:instrText>
      </w:r>
      <w:r w:rsidR="00BA74FB" w:rsidRPr="001460EC">
        <w:rPr>
          <w:rFonts w:cstheme="minorHAnsi"/>
          <w:iCs/>
          <w:color w:val="FFFFFF" w:themeColor="background1"/>
          <w:sz w:val="24"/>
          <w:szCs w:val="24"/>
        </w:rPr>
        <w:fldChar w:fldCharType="separate"/>
      </w:r>
      <w:r w:rsidRPr="001460EC">
        <w:rPr>
          <w:rFonts w:cstheme="minorHAnsi"/>
          <w:iCs/>
          <w:noProof/>
          <w:color w:val="FFFFFF" w:themeColor="background1"/>
          <w:sz w:val="24"/>
          <w:szCs w:val="24"/>
        </w:rPr>
        <w:t>4</w:t>
      </w:r>
      <w:r w:rsidR="00BA74FB" w:rsidRPr="001460EC">
        <w:rPr>
          <w:rFonts w:cstheme="minorHAnsi"/>
          <w:iCs/>
          <w:color w:val="FFFFFF" w:themeColor="background1"/>
          <w:sz w:val="24"/>
          <w:szCs w:val="24"/>
        </w:rPr>
        <w:fldChar w:fldCharType="end"/>
      </w:r>
      <w:r w:rsidRPr="001460EC">
        <w:rPr>
          <w:rFonts w:cstheme="minorHAnsi"/>
          <w:iCs/>
          <w:sz w:val="24"/>
          <w:szCs w:val="24"/>
        </w:rPr>
        <w:t>4 Association Between ABO Blood Groups and TTIs</w:t>
      </w:r>
      <w:bookmarkEnd w:id="11"/>
      <w:bookmarkEnd w:id="12"/>
      <w:bookmarkEnd w:id="13"/>
    </w:p>
    <w:tbl>
      <w:tblPr>
        <w:tblStyle w:val="Table"/>
        <w:tblW w:w="4993" w:type="pct"/>
        <w:tblLayout w:type="fixed"/>
        <w:tblLook w:val="0020" w:firstRow="1" w:lastRow="0" w:firstColumn="0" w:lastColumn="0" w:noHBand="0" w:noVBand="0"/>
      </w:tblPr>
      <w:tblGrid>
        <w:gridCol w:w="1828"/>
        <w:gridCol w:w="1266"/>
        <w:gridCol w:w="1266"/>
        <w:gridCol w:w="2250"/>
        <w:gridCol w:w="2953"/>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813"/>
          <w:tblHeader/>
        </w:trPr>
        <w:tc>
          <w:tcPr>
            <w:tcW w:w="1828" w:type="dxa"/>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Blood Group</w:t>
            </w:r>
          </w:p>
        </w:tc>
        <w:tc>
          <w:tcPr>
            <w:tcW w:w="1266" w:type="dxa"/>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HBV (%)</w:t>
            </w:r>
          </w:p>
        </w:tc>
        <w:tc>
          <w:tcPr>
            <w:tcW w:w="1266" w:type="dxa"/>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HIV (%)</w:t>
            </w:r>
          </w:p>
        </w:tc>
        <w:tc>
          <w:tcPr>
            <w:tcW w:w="2250" w:type="dxa"/>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Syphilis (%)</w:t>
            </w:r>
          </w:p>
        </w:tc>
        <w:tc>
          <w:tcPr>
            <w:tcW w:w="2953" w:type="dxa"/>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Total Infected (%)</w:t>
            </w:r>
          </w:p>
        </w:tc>
      </w:tr>
      <w:tr w:rsidR="00821BB6" w:rsidRPr="001460EC" w:rsidTr="00271A87">
        <w:trPr>
          <w:trHeight w:val="790"/>
        </w:trPr>
        <w:tc>
          <w:tcPr>
            <w:tcW w:w="1828" w:type="dxa"/>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A</w:t>
            </w:r>
          </w:p>
        </w:tc>
        <w:tc>
          <w:tcPr>
            <w:tcW w:w="1266" w:type="dxa"/>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1 (4.5%)</w:t>
            </w:r>
          </w:p>
        </w:tc>
        <w:tc>
          <w:tcPr>
            <w:tcW w:w="1266" w:type="dxa"/>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2250" w:type="dxa"/>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1 (4.5%)</w:t>
            </w:r>
          </w:p>
        </w:tc>
        <w:tc>
          <w:tcPr>
            <w:tcW w:w="2953" w:type="dxa"/>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2 (9.1%)</w:t>
            </w:r>
          </w:p>
        </w:tc>
      </w:tr>
      <w:tr w:rsidR="00821BB6" w:rsidRPr="001460EC" w:rsidTr="00271A87">
        <w:trPr>
          <w:trHeight w:val="813"/>
        </w:trPr>
        <w:tc>
          <w:tcPr>
            <w:tcW w:w="1828" w:type="dxa"/>
          </w:tcPr>
          <w:p w:rsidR="00821BB6" w:rsidRPr="001460EC" w:rsidRDefault="00821BB6" w:rsidP="00EF52F0">
            <w:pPr>
              <w:pStyle w:val="Compact"/>
              <w:spacing w:line="360" w:lineRule="auto"/>
              <w:jc w:val="both"/>
              <w:rPr>
                <w:rFonts w:cstheme="minorHAnsi"/>
              </w:rPr>
            </w:pPr>
            <w:r w:rsidRPr="001460EC">
              <w:rPr>
                <w:rFonts w:cstheme="minorHAnsi"/>
              </w:rPr>
              <w:t>B</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1 (7.7%)</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2250" w:type="dxa"/>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2953" w:type="dxa"/>
          </w:tcPr>
          <w:p w:rsidR="00821BB6" w:rsidRPr="001460EC" w:rsidRDefault="00821BB6" w:rsidP="00EF52F0">
            <w:pPr>
              <w:pStyle w:val="Compact"/>
              <w:spacing w:line="360" w:lineRule="auto"/>
              <w:jc w:val="both"/>
              <w:rPr>
                <w:rFonts w:cstheme="minorHAnsi"/>
              </w:rPr>
            </w:pPr>
            <w:r w:rsidRPr="001460EC">
              <w:rPr>
                <w:rFonts w:cstheme="minorHAnsi"/>
              </w:rPr>
              <w:t>1 (7.7%)</w:t>
            </w:r>
          </w:p>
        </w:tc>
      </w:tr>
      <w:tr w:rsidR="00821BB6" w:rsidRPr="001460EC" w:rsidTr="00271A87">
        <w:trPr>
          <w:trHeight w:val="790"/>
        </w:trPr>
        <w:tc>
          <w:tcPr>
            <w:tcW w:w="1828" w:type="dxa"/>
          </w:tcPr>
          <w:p w:rsidR="00821BB6" w:rsidRPr="001460EC" w:rsidRDefault="00821BB6" w:rsidP="00EF52F0">
            <w:pPr>
              <w:pStyle w:val="Compact"/>
              <w:spacing w:line="360" w:lineRule="auto"/>
              <w:jc w:val="both"/>
              <w:rPr>
                <w:rFonts w:cstheme="minorHAnsi"/>
              </w:rPr>
            </w:pPr>
            <w:r w:rsidRPr="001460EC">
              <w:rPr>
                <w:rFonts w:cstheme="minorHAnsi"/>
              </w:rPr>
              <w:t>AB</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2250" w:type="dxa"/>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2953" w:type="dxa"/>
          </w:tcPr>
          <w:p w:rsidR="00821BB6" w:rsidRPr="001460EC" w:rsidRDefault="00821BB6" w:rsidP="00EF52F0">
            <w:pPr>
              <w:pStyle w:val="Compact"/>
              <w:spacing w:line="360" w:lineRule="auto"/>
              <w:jc w:val="both"/>
              <w:rPr>
                <w:rFonts w:cstheme="minorHAnsi"/>
              </w:rPr>
            </w:pPr>
            <w:r w:rsidRPr="001460EC">
              <w:rPr>
                <w:rFonts w:cstheme="minorHAnsi"/>
              </w:rPr>
              <w:t>0 (0%)</w:t>
            </w:r>
          </w:p>
        </w:tc>
      </w:tr>
      <w:tr w:rsidR="00821BB6" w:rsidRPr="001460EC" w:rsidTr="00271A87">
        <w:trPr>
          <w:trHeight w:val="813"/>
        </w:trPr>
        <w:tc>
          <w:tcPr>
            <w:tcW w:w="1828" w:type="dxa"/>
          </w:tcPr>
          <w:p w:rsidR="00821BB6" w:rsidRPr="001460EC" w:rsidRDefault="00821BB6" w:rsidP="00EF52F0">
            <w:pPr>
              <w:pStyle w:val="Compact"/>
              <w:spacing w:line="360" w:lineRule="auto"/>
              <w:jc w:val="both"/>
              <w:rPr>
                <w:rFonts w:cstheme="minorHAnsi"/>
              </w:rPr>
            </w:pPr>
            <w:r w:rsidRPr="001460EC">
              <w:rPr>
                <w:rFonts w:cstheme="minorHAnsi"/>
              </w:rPr>
              <w:t>O</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2 (1.9%)</w:t>
            </w:r>
          </w:p>
        </w:tc>
        <w:tc>
          <w:tcPr>
            <w:tcW w:w="1266" w:type="dxa"/>
          </w:tcPr>
          <w:p w:rsidR="00821BB6" w:rsidRPr="001460EC" w:rsidRDefault="00821BB6" w:rsidP="00EF52F0">
            <w:pPr>
              <w:pStyle w:val="Compact"/>
              <w:spacing w:line="360" w:lineRule="auto"/>
              <w:jc w:val="both"/>
              <w:rPr>
                <w:rFonts w:cstheme="minorHAnsi"/>
              </w:rPr>
            </w:pPr>
            <w:r w:rsidRPr="001460EC">
              <w:rPr>
                <w:rFonts w:cstheme="minorHAnsi"/>
              </w:rPr>
              <w:t>2 (1.9%)</w:t>
            </w:r>
          </w:p>
        </w:tc>
        <w:tc>
          <w:tcPr>
            <w:tcW w:w="2250" w:type="dxa"/>
          </w:tcPr>
          <w:p w:rsidR="00821BB6" w:rsidRPr="001460EC" w:rsidRDefault="00821BB6" w:rsidP="00EF52F0">
            <w:pPr>
              <w:pStyle w:val="Compact"/>
              <w:spacing w:line="360" w:lineRule="auto"/>
              <w:jc w:val="both"/>
              <w:rPr>
                <w:rFonts w:cstheme="minorHAnsi"/>
              </w:rPr>
            </w:pPr>
            <w:r w:rsidRPr="001460EC">
              <w:rPr>
                <w:rFonts w:cstheme="minorHAnsi"/>
              </w:rPr>
              <w:t>2 (1.9%)</w:t>
            </w:r>
          </w:p>
        </w:tc>
        <w:tc>
          <w:tcPr>
            <w:tcW w:w="2953" w:type="dxa"/>
          </w:tcPr>
          <w:p w:rsidR="00821BB6" w:rsidRPr="001460EC" w:rsidRDefault="00821BB6" w:rsidP="00EF52F0">
            <w:pPr>
              <w:pStyle w:val="Compact"/>
              <w:spacing w:line="360" w:lineRule="auto"/>
              <w:jc w:val="both"/>
              <w:rPr>
                <w:rFonts w:cstheme="minorHAnsi"/>
              </w:rPr>
            </w:pPr>
            <w:r w:rsidRPr="001460EC">
              <w:rPr>
                <w:rFonts w:cstheme="minorHAnsi"/>
              </w:rPr>
              <w:t>6 (5.7%)</w:t>
            </w:r>
          </w:p>
        </w:tc>
      </w:tr>
      <w:tr w:rsidR="00821BB6" w:rsidRPr="001460EC" w:rsidTr="00271A87">
        <w:trPr>
          <w:trHeight w:val="813"/>
        </w:trPr>
        <w:tc>
          <w:tcPr>
            <w:tcW w:w="1828" w:type="dxa"/>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b/>
                <w:bCs/>
              </w:rPr>
              <w:t>Total</w:t>
            </w:r>
          </w:p>
        </w:tc>
        <w:tc>
          <w:tcPr>
            <w:tcW w:w="1266" w:type="dxa"/>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4</w:t>
            </w:r>
          </w:p>
        </w:tc>
        <w:tc>
          <w:tcPr>
            <w:tcW w:w="1266" w:type="dxa"/>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2</w:t>
            </w:r>
          </w:p>
        </w:tc>
        <w:tc>
          <w:tcPr>
            <w:tcW w:w="2250" w:type="dxa"/>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3</w:t>
            </w:r>
          </w:p>
        </w:tc>
        <w:tc>
          <w:tcPr>
            <w:tcW w:w="2953" w:type="dxa"/>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9</w:t>
            </w:r>
          </w:p>
        </w:tc>
      </w:tr>
    </w:tbl>
    <w:p w:rsidR="0065090A" w:rsidRPr="001460EC" w:rsidRDefault="004A1E97" w:rsidP="00EF52F0">
      <w:pPr>
        <w:pStyle w:val="FirstParagraph"/>
        <w:spacing w:line="360" w:lineRule="auto"/>
        <w:jc w:val="both"/>
        <w:rPr>
          <w:rFonts w:cstheme="minorHAnsi"/>
        </w:rPr>
      </w:pPr>
      <w:r w:rsidRPr="001460EC">
        <w:rPr>
          <w:rFonts w:cstheme="minorHAnsi"/>
        </w:rPr>
        <w:t xml:space="preserve">Table 4 </w:t>
      </w:r>
      <w:r w:rsidR="0065090A" w:rsidRPr="001460EC">
        <w:rPr>
          <w:rFonts w:cstheme="minorHAnsi"/>
        </w:rPr>
        <w:t xml:space="preserve">breaks down TTI cases by ABO blood group. Blood group O had the most infections in absolute numbers (6), likely due to its predominance in the donor pool. However, group AB had zero infections, though this may be due to the small sample size. Despite visible differences, further statistical testing (see Table </w:t>
      </w:r>
      <w:r w:rsidRPr="001460EC">
        <w:rPr>
          <w:rFonts w:cstheme="minorHAnsi"/>
        </w:rPr>
        <w:t>6</w:t>
      </w:r>
      <w:r w:rsidR="0065090A" w:rsidRPr="001460EC">
        <w:rPr>
          <w:rFonts w:cstheme="minorHAnsi"/>
        </w:rPr>
        <w:t>) shows no significant association between ABO group and TTI.</w:t>
      </w:r>
    </w:p>
    <w:p w:rsidR="00821BB6" w:rsidRPr="001460EC" w:rsidRDefault="00821BB6" w:rsidP="00EF52F0">
      <w:pPr>
        <w:pStyle w:val="BlockText"/>
        <w:spacing w:line="360" w:lineRule="auto"/>
        <w:jc w:val="both"/>
        <w:rPr>
          <w:rFonts w:cstheme="minorHAnsi"/>
          <w:b/>
          <w:bCs/>
        </w:rPr>
      </w:pPr>
    </w:p>
    <w:p w:rsidR="00821BB6" w:rsidRPr="001460EC" w:rsidRDefault="00821BB6" w:rsidP="00EF52F0">
      <w:pPr>
        <w:pStyle w:val="BlockText"/>
        <w:spacing w:line="360" w:lineRule="auto"/>
        <w:jc w:val="both"/>
        <w:rPr>
          <w:rFonts w:cstheme="minorHAnsi"/>
          <w:b/>
          <w:bCs/>
        </w:rPr>
      </w:pPr>
    </w:p>
    <w:p w:rsidR="0065090A" w:rsidRPr="001460EC" w:rsidRDefault="0065090A" w:rsidP="00EF52F0">
      <w:pPr>
        <w:spacing w:line="360" w:lineRule="auto"/>
        <w:jc w:val="both"/>
        <w:rPr>
          <w:rFonts w:cstheme="minorHAnsi"/>
          <w:b/>
          <w:bCs/>
          <w:sz w:val="24"/>
          <w:szCs w:val="24"/>
        </w:rPr>
      </w:pPr>
      <w:bookmarkStart w:id="14" w:name="_Toc202149291"/>
      <w:bookmarkStart w:id="15" w:name="_Toc205510695"/>
      <w:bookmarkStart w:id="16" w:name="_Toc208093472"/>
    </w:p>
    <w:p w:rsidR="00EF52F0" w:rsidRPr="001460EC" w:rsidRDefault="00EF52F0" w:rsidP="00EF52F0">
      <w:pPr>
        <w:spacing w:line="360" w:lineRule="auto"/>
        <w:jc w:val="both"/>
        <w:rPr>
          <w:rFonts w:cstheme="minorHAnsi"/>
          <w:b/>
          <w:bCs/>
          <w:sz w:val="24"/>
          <w:szCs w:val="24"/>
        </w:rPr>
      </w:pPr>
    </w:p>
    <w:p w:rsidR="00EF52F0" w:rsidRPr="001460EC" w:rsidRDefault="00EF52F0" w:rsidP="00EF52F0">
      <w:pPr>
        <w:spacing w:line="360" w:lineRule="auto"/>
        <w:jc w:val="both"/>
        <w:rPr>
          <w:rFonts w:cstheme="minorHAnsi"/>
          <w:b/>
          <w:bCs/>
          <w:sz w:val="24"/>
          <w:szCs w:val="24"/>
        </w:rPr>
      </w:pPr>
    </w:p>
    <w:p w:rsidR="00EF52F0" w:rsidRPr="001460EC" w:rsidRDefault="00EF52F0" w:rsidP="00EF52F0">
      <w:pPr>
        <w:spacing w:line="360" w:lineRule="auto"/>
        <w:jc w:val="both"/>
        <w:rPr>
          <w:rFonts w:cstheme="minorHAnsi"/>
          <w:b/>
          <w:bCs/>
          <w:sz w:val="24"/>
          <w:szCs w:val="24"/>
        </w:rPr>
      </w:pPr>
    </w:p>
    <w:p w:rsidR="00EF52F0" w:rsidRPr="001460EC" w:rsidRDefault="00EF52F0" w:rsidP="00EF52F0">
      <w:pPr>
        <w:spacing w:line="360" w:lineRule="auto"/>
        <w:jc w:val="both"/>
        <w:rPr>
          <w:rFonts w:cstheme="minorHAnsi"/>
          <w:b/>
          <w:bCs/>
          <w:sz w:val="24"/>
          <w:szCs w:val="24"/>
        </w:rPr>
      </w:pPr>
    </w:p>
    <w:p w:rsidR="00EF52F0" w:rsidRPr="001460EC" w:rsidRDefault="00EF52F0" w:rsidP="00EF52F0">
      <w:pPr>
        <w:spacing w:line="360" w:lineRule="auto"/>
        <w:jc w:val="both"/>
        <w:rPr>
          <w:rFonts w:cstheme="minorHAnsi"/>
          <w:b/>
          <w:bCs/>
          <w:sz w:val="24"/>
          <w:szCs w:val="24"/>
        </w:rPr>
      </w:pPr>
    </w:p>
    <w:p w:rsidR="00821BB6" w:rsidRPr="001460EC" w:rsidRDefault="00821BB6" w:rsidP="00EF52F0">
      <w:pPr>
        <w:spacing w:line="360" w:lineRule="auto"/>
        <w:jc w:val="both"/>
        <w:rPr>
          <w:rFonts w:cstheme="minorHAnsi"/>
          <w:b/>
          <w:bCs/>
          <w:sz w:val="24"/>
          <w:szCs w:val="24"/>
        </w:rPr>
      </w:pPr>
      <w:r w:rsidRPr="001460EC">
        <w:rPr>
          <w:rFonts w:cstheme="minorHAnsi"/>
          <w:iCs/>
          <w:sz w:val="24"/>
          <w:szCs w:val="24"/>
        </w:rPr>
        <w:lastRenderedPageBreak/>
        <w:t xml:space="preserve">Table </w:t>
      </w:r>
      <w:r w:rsidR="00BA74FB" w:rsidRPr="001460EC">
        <w:rPr>
          <w:rFonts w:cstheme="minorHAnsi"/>
          <w:iCs/>
          <w:color w:val="FFFFFF" w:themeColor="background1"/>
          <w:sz w:val="24"/>
          <w:szCs w:val="24"/>
        </w:rPr>
        <w:fldChar w:fldCharType="begin"/>
      </w:r>
      <w:r w:rsidRPr="001460EC">
        <w:rPr>
          <w:rFonts w:cstheme="minorHAnsi"/>
          <w:iCs/>
          <w:color w:val="FFFFFF" w:themeColor="background1"/>
          <w:sz w:val="24"/>
          <w:szCs w:val="24"/>
        </w:rPr>
        <w:instrText xml:space="preserve"> SEQ Table \* ARABIC </w:instrText>
      </w:r>
      <w:r w:rsidR="00BA74FB" w:rsidRPr="001460EC">
        <w:rPr>
          <w:rFonts w:cstheme="minorHAnsi"/>
          <w:iCs/>
          <w:color w:val="FFFFFF" w:themeColor="background1"/>
          <w:sz w:val="24"/>
          <w:szCs w:val="24"/>
        </w:rPr>
        <w:fldChar w:fldCharType="separate"/>
      </w:r>
      <w:r w:rsidRPr="001460EC">
        <w:rPr>
          <w:rFonts w:cstheme="minorHAnsi"/>
          <w:iCs/>
          <w:noProof/>
          <w:color w:val="FFFFFF" w:themeColor="background1"/>
          <w:sz w:val="24"/>
          <w:szCs w:val="24"/>
        </w:rPr>
        <w:t>5</w:t>
      </w:r>
      <w:r w:rsidR="00BA74FB" w:rsidRPr="001460EC">
        <w:rPr>
          <w:rFonts w:cstheme="minorHAnsi"/>
          <w:iCs/>
          <w:color w:val="FFFFFF" w:themeColor="background1"/>
          <w:sz w:val="24"/>
          <w:szCs w:val="24"/>
        </w:rPr>
        <w:fldChar w:fldCharType="end"/>
      </w:r>
      <w:r w:rsidRPr="001460EC">
        <w:rPr>
          <w:rFonts w:cstheme="minorHAnsi"/>
          <w:iCs/>
          <w:sz w:val="24"/>
          <w:szCs w:val="24"/>
        </w:rPr>
        <w:t>5 Association Between Rh D Status and TTIs</w:t>
      </w:r>
      <w:bookmarkEnd w:id="14"/>
      <w:bookmarkEnd w:id="15"/>
      <w:bookmarkEnd w:id="16"/>
    </w:p>
    <w:tbl>
      <w:tblPr>
        <w:tblStyle w:val="Table"/>
        <w:tblW w:w="7440" w:type="dxa"/>
        <w:tblLook w:val="0020" w:firstRow="1" w:lastRow="0" w:firstColumn="0" w:lastColumn="0" w:noHBand="0" w:noVBand="0"/>
      </w:tblPr>
      <w:tblGrid>
        <w:gridCol w:w="1759"/>
        <w:gridCol w:w="2572"/>
        <w:gridCol w:w="3109"/>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991"/>
          <w:tblHeader/>
        </w:trPr>
        <w:tc>
          <w:tcPr>
            <w:tcW w:w="0" w:type="auto"/>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Rh Status</w:t>
            </w:r>
          </w:p>
        </w:tc>
        <w:tc>
          <w:tcPr>
            <w:tcW w:w="0" w:type="auto"/>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TTI Positive (n)</w:t>
            </w:r>
          </w:p>
        </w:tc>
        <w:tc>
          <w:tcPr>
            <w:tcW w:w="0" w:type="auto"/>
            <w:tcBorders>
              <w:top w:val="single" w:sz="4" w:space="0" w:color="auto"/>
              <w:bottom w:val="single" w:sz="2" w:space="0" w:color="auto"/>
            </w:tcBorders>
          </w:tcPr>
          <w:p w:rsidR="00821BB6" w:rsidRPr="001460EC" w:rsidRDefault="00821BB6" w:rsidP="00EF52F0">
            <w:pPr>
              <w:pStyle w:val="Compact"/>
              <w:spacing w:line="360" w:lineRule="auto"/>
              <w:jc w:val="both"/>
              <w:rPr>
                <w:rFonts w:cstheme="minorHAnsi"/>
                <w:b/>
              </w:rPr>
            </w:pPr>
            <w:r w:rsidRPr="001460EC">
              <w:rPr>
                <w:rFonts w:cstheme="minorHAnsi"/>
                <w:b/>
              </w:rPr>
              <w:t>TTI Prevalence (%)</w:t>
            </w:r>
          </w:p>
        </w:tc>
      </w:tr>
      <w:tr w:rsidR="00821BB6" w:rsidRPr="001460EC" w:rsidTr="00271A87">
        <w:trPr>
          <w:trHeight w:val="963"/>
        </w:trPr>
        <w:tc>
          <w:tcPr>
            <w:tcW w:w="0" w:type="auto"/>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Rh+</w:t>
            </w:r>
          </w:p>
        </w:tc>
        <w:tc>
          <w:tcPr>
            <w:tcW w:w="0" w:type="auto"/>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9</w:t>
            </w:r>
          </w:p>
        </w:tc>
        <w:tc>
          <w:tcPr>
            <w:tcW w:w="0" w:type="auto"/>
            <w:tcBorders>
              <w:top w:val="single" w:sz="2"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6.43</w:t>
            </w:r>
          </w:p>
        </w:tc>
      </w:tr>
      <w:tr w:rsidR="00821BB6" w:rsidRPr="001460EC" w:rsidTr="00271A87">
        <w:trPr>
          <w:trHeight w:val="991"/>
        </w:trPr>
        <w:tc>
          <w:tcPr>
            <w:tcW w:w="0" w:type="auto"/>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Rh–</w:t>
            </w:r>
          </w:p>
        </w:tc>
        <w:tc>
          <w:tcPr>
            <w:tcW w:w="0" w:type="auto"/>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0</w:t>
            </w:r>
          </w:p>
        </w:tc>
        <w:tc>
          <w:tcPr>
            <w:tcW w:w="0" w:type="auto"/>
            <w:tcBorders>
              <w:bottom w:val="single" w:sz="4" w:space="0" w:color="auto"/>
            </w:tcBorders>
          </w:tcPr>
          <w:p w:rsidR="00821BB6" w:rsidRPr="001460EC" w:rsidRDefault="00821BB6" w:rsidP="00EF52F0">
            <w:pPr>
              <w:pStyle w:val="Compact"/>
              <w:spacing w:line="360" w:lineRule="auto"/>
              <w:jc w:val="both"/>
              <w:rPr>
                <w:rFonts w:cstheme="minorHAnsi"/>
              </w:rPr>
            </w:pPr>
            <w:r w:rsidRPr="001460EC">
              <w:rPr>
                <w:rFonts w:cstheme="minorHAnsi"/>
              </w:rPr>
              <w:t>0.00</w:t>
            </w:r>
          </w:p>
        </w:tc>
      </w:tr>
    </w:tbl>
    <w:p w:rsidR="0065090A" w:rsidRPr="001460EC" w:rsidRDefault="0065090A" w:rsidP="00EF52F0">
      <w:pPr>
        <w:pStyle w:val="FirstParagraph"/>
        <w:spacing w:line="360" w:lineRule="auto"/>
        <w:jc w:val="both"/>
        <w:rPr>
          <w:rFonts w:cstheme="minorHAnsi"/>
        </w:rPr>
      </w:pPr>
      <w:r w:rsidRPr="001460EC">
        <w:rPr>
          <w:rFonts w:cstheme="minorHAnsi"/>
        </w:rPr>
        <w:t>Table 5: All TTI-positive cases occurred in Rh-positive donors, consistent with their higher representation in the sample. However, with only four Rh-negative donors, the absence of TTI in Rh-negative individuals is not statistically conclusive, and Table 6 confirms no significant association.</w:t>
      </w:r>
    </w:p>
    <w:p w:rsidR="0065090A" w:rsidRPr="001460EC" w:rsidRDefault="0065090A" w:rsidP="00EF52F0">
      <w:pPr>
        <w:spacing w:line="360" w:lineRule="auto"/>
        <w:jc w:val="both"/>
        <w:rPr>
          <w:rFonts w:cstheme="minorHAnsi"/>
          <w:b/>
          <w:bCs/>
          <w:sz w:val="24"/>
          <w:szCs w:val="24"/>
        </w:rPr>
      </w:pPr>
    </w:p>
    <w:p w:rsidR="00821BB6" w:rsidRPr="001460EC" w:rsidRDefault="00821BB6" w:rsidP="00EF52F0">
      <w:pPr>
        <w:spacing w:line="360" w:lineRule="auto"/>
        <w:jc w:val="both"/>
        <w:rPr>
          <w:rFonts w:cstheme="minorHAnsi"/>
          <w:b/>
          <w:bCs/>
          <w:sz w:val="24"/>
          <w:szCs w:val="24"/>
        </w:rPr>
      </w:pPr>
    </w:p>
    <w:p w:rsidR="00821BB6" w:rsidRPr="001460EC" w:rsidRDefault="00821BB6" w:rsidP="00EF52F0">
      <w:pPr>
        <w:spacing w:line="360" w:lineRule="auto"/>
        <w:jc w:val="both"/>
        <w:rPr>
          <w:rFonts w:cstheme="minorHAnsi"/>
          <w:b/>
          <w:bCs/>
          <w:sz w:val="24"/>
          <w:szCs w:val="24"/>
        </w:rPr>
      </w:pPr>
      <w:r w:rsidRPr="001460EC">
        <w:rPr>
          <w:rFonts w:cstheme="minorHAnsi"/>
          <w:b/>
          <w:bCs/>
          <w:sz w:val="24"/>
          <w:szCs w:val="24"/>
        </w:rPr>
        <w:br w:type="page"/>
      </w:r>
    </w:p>
    <w:p w:rsidR="00821BB6" w:rsidRPr="001460EC" w:rsidRDefault="0065090A" w:rsidP="00EF52F0">
      <w:pPr>
        <w:spacing w:line="360" w:lineRule="auto"/>
        <w:jc w:val="both"/>
        <w:rPr>
          <w:rFonts w:cstheme="minorHAnsi"/>
          <w:sz w:val="24"/>
          <w:szCs w:val="24"/>
        </w:rPr>
      </w:pPr>
      <w:bookmarkStart w:id="17" w:name="_Toc202149292"/>
      <w:bookmarkStart w:id="18" w:name="_Toc205510696"/>
      <w:r w:rsidRPr="001460EC">
        <w:rPr>
          <w:rFonts w:cstheme="minorHAnsi"/>
          <w:iCs/>
          <w:sz w:val="24"/>
          <w:szCs w:val="24"/>
        </w:rPr>
        <w:lastRenderedPageBreak/>
        <w:t xml:space="preserve">Table </w:t>
      </w:r>
      <w:r w:rsidR="00821BB6" w:rsidRPr="001460EC">
        <w:rPr>
          <w:rFonts w:cstheme="minorHAnsi"/>
          <w:iCs/>
          <w:sz w:val="24"/>
          <w:szCs w:val="24"/>
        </w:rPr>
        <w:t>6: Chi-Square Test Summary</w:t>
      </w:r>
      <w:bookmarkEnd w:id="17"/>
      <w:bookmarkEnd w:id="18"/>
    </w:p>
    <w:tbl>
      <w:tblPr>
        <w:tblStyle w:val="ListTable6Colorful1"/>
        <w:tblW w:w="9555" w:type="dxa"/>
        <w:tblLook w:val="04A0" w:firstRow="1" w:lastRow="0" w:firstColumn="1" w:lastColumn="0" w:noHBand="0" w:noVBand="1"/>
      </w:tblPr>
      <w:tblGrid>
        <w:gridCol w:w="2622"/>
        <w:gridCol w:w="1954"/>
        <w:gridCol w:w="2298"/>
        <w:gridCol w:w="986"/>
        <w:gridCol w:w="1695"/>
      </w:tblGrid>
      <w:tr w:rsidR="00821BB6" w:rsidRPr="001460EC" w:rsidTr="00271A87">
        <w:trPr>
          <w:cnfStyle w:val="100000000000" w:firstRow="1" w:lastRow="0" w:firstColumn="0" w:lastColumn="0" w:oddVBand="0" w:evenVBand="0" w:oddHBand="0" w:evenHBand="0" w:firstRowFirstColumn="0" w:firstRowLastColumn="0" w:lastRowFirstColumn="0" w:lastRowLastColumn="0"/>
          <w:trHeight w:val="12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rsidR="00821BB6" w:rsidRPr="001460EC" w:rsidRDefault="00821BB6" w:rsidP="00EF52F0">
            <w:pPr>
              <w:spacing w:after="160" w:line="360" w:lineRule="auto"/>
              <w:jc w:val="both"/>
              <w:rPr>
                <w:rFonts w:cstheme="minorHAnsi"/>
                <w:bCs w:val="0"/>
                <w:sz w:val="24"/>
                <w:szCs w:val="24"/>
              </w:rPr>
            </w:pPr>
            <w:r w:rsidRPr="001460EC">
              <w:rPr>
                <w:rFonts w:cstheme="minorHAnsi"/>
                <w:bCs w:val="0"/>
                <w:sz w:val="24"/>
                <w:szCs w:val="24"/>
              </w:rPr>
              <w:t>Variable</w:t>
            </w:r>
          </w:p>
        </w:tc>
        <w:tc>
          <w:tcPr>
            <w:tcW w:w="0" w:type="auto"/>
            <w:shd w:val="clear" w:color="auto" w:fill="auto"/>
            <w:vAlign w:val="center"/>
            <w:hideMark/>
          </w:tcPr>
          <w:p w:rsidR="00821BB6" w:rsidRPr="001460EC" w:rsidRDefault="00821BB6" w:rsidP="00EF52F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1460EC">
              <w:rPr>
                <w:rFonts w:cstheme="minorHAnsi"/>
                <w:bCs w:val="0"/>
                <w:sz w:val="24"/>
                <w:szCs w:val="24"/>
              </w:rPr>
              <w:t>Chi-square Value</w:t>
            </w:r>
          </w:p>
        </w:tc>
        <w:tc>
          <w:tcPr>
            <w:tcW w:w="0" w:type="auto"/>
            <w:shd w:val="clear" w:color="auto" w:fill="auto"/>
            <w:vAlign w:val="center"/>
            <w:hideMark/>
          </w:tcPr>
          <w:p w:rsidR="00821BB6" w:rsidRPr="001460EC" w:rsidRDefault="00821BB6" w:rsidP="00EF52F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1460EC">
              <w:rPr>
                <w:rFonts w:cstheme="minorHAnsi"/>
                <w:bCs w:val="0"/>
                <w:sz w:val="24"/>
                <w:szCs w:val="24"/>
              </w:rPr>
              <w:t>Degrees of Freedom</w:t>
            </w:r>
          </w:p>
        </w:tc>
        <w:tc>
          <w:tcPr>
            <w:tcW w:w="0" w:type="auto"/>
            <w:shd w:val="clear" w:color="auto" w:fill="auto"/>
            <w:vAlign w:val="center"/>
            <w:hideMark/>
          </w:tcPr>
          <w:p w:rsidR="00821BB6" w:rsidRPr="001460EC" w:rsidRDefault="00821BB6" w:rsidP="00EF52F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1460EC">
              <w:rPr>
                <w:rFonts w:cstheme="minorHAnsi"/>
                <w:bCs w:val="0"/>
                <w:sz w:val="24"/>
                <w:szCs w:val="24"/>
              </w:rPr>
              <w:t>p-value</w:t>
            </w:r>
          </w:p>
        </w:tc>
        <w:tc>
          <w:tcPr>
            <w:tcW w:w="0" w:type="auto"/>
            <w:shd w:val="clear" w:color="auto" w:fill="auto"/>
            <w:vAlign w:val="center"/>
            <w:hideMark/>
          </w:tcPr>
          <w:p w:rsidR="00821BB6" w:rsidRPr="001460EC" w:rsidRDefault="00821BB6" w:rsidP="00EF52F0">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1460EC">
              <w:rPr>
                <w:rFonts w:cstheme="minorHAnsi"/>
                <w:bCs w:val="0"/>
                <w:sz w:val="24"/>
                <w:szCs w:val="24"/>
              </w:rPr>
              <w:t>Significance</w:t>
            </w:r>
          </w:p>
        </w:tc>
      </w:tr>
      <w:tr w:rsidR="00821BB6" w:rsidRPr="001460EC" w:rsidTr="00271A87">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rsidR="00821BB6" w:rsidRPr="001460EC" w:rsidRDefault="00821BB6" w:rsidP="00EF52F0">
            <w:pPr>
              <w:spacing w:after="160" w:line="360" w:lineRule="auto"/>
              <w:jc w:val="both"/>
              <w:rPr>
                <w:rFonts w:cstheme="minorHAnsi"/>
                <w:b w:val="0"/>
                <w:bCs w:val="0"/>
                <w:sz w:val="24"/>
                <w:szCs w:val="24"/>
              </w:rPr>
            </w:pPr>
            <w:r w:rsidRPr="001460EC">
              <w:rPr>
                <w:rFonts w:cstheme="minorHAnsi"/>
                <w:b w:val="0"/>
                <w:bCs w:val="0"/>
                <w:sz w:val="24"/>
                <w:szCs w:val="24"/>
              </w:rPr>
              <w:t>ABO Blood Group vs TTI</w:t>
            </w:r>
          </w:p>
        </w:tc>
        <w:tc>
          <w:tcPr>
            <w:tcW w:w="0" w:type="auto"/>
            <w:shd w:val="clear" w:color="auto" w:fill="auto"/>
            <w:vAlign w:val="center"/>
            <w:hideMark/>
          </w:tcPr>
          <w:p w:rsidR="00821BB6" w:rsidRPr="001460EC" w:rsidRDefault="00821BB6" w:rsidP="00EF52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460EC">
              <w:rPr>
                <w:rFonts w:cstheme="minorHAnsi"/>
                <w:sz w:val="24"/>
                <w:szCs w:val="24"/>
              </w:rPr>
              <w:t>3.14</w:t>
            </w:r>
          </w:p>
        </w:tc>
        <w:tc>
          <w:tcPr>
            <w:tcW w:w="0" w:type="auto"/>
            <w:shd w:val="clear" w:color="auto" w:fill="auto"/>
            <w:vAlign w:val="center"/>
            <w:hideMark/>
          </w:tcPr>
          <w:p w:rsidR="00821BB6" w:rsidRPr="001460EC" w:rsidRDefault="00821BB6" w:rsidP="00EF52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460EC">
              <w:rPr>
                <w:rFonts w:cstheme="minorHAnsi"/>
                <w:sz w:val="24"/>
                <w:szCs w:val="24"/>
              </w:rPr>
              <w:t>3</w:t>
            </w:r>
          </w:p>
        </w:tc>
        <w:tc>
          <w:tcPr>
            <w:tcW w:w="0" w:type="auto"/>
            <w:shd w:val="clear" w:color="auto" w:fill="auto"/>
            <w:vAlign w:val="center"/>
            <w:hideMark/>
          </w:tcPr>
          <w:p w:rsidR="00821BB6" w:rsidRPr="001460EC" w:rsidRDefault="00821BB6" w:rsidP="00EF52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460EC">
              <w:rPr>
                <w:rFonts w:cstheme="minorHAnsi"/>
                <w:sz w:val="24"/>
                <w:szCs w:val="24"/>
              </w:rPr>
              <w:t>0.37</w:t>
            </w:r>
          </w:p>
        </w:tc>
        <w:tc>
          <w:tcPr>
            <w:tcW w:w="0" w:type="auto"/>
            <w:shd w:val="clear" w:color="auto" w:fill="auto"/>
            <w:vAlign w:val="center"/>
            <w:hideMark/>
          </w:tcPr>
          <w:p w:rsidR="00821BB6" w:rsidRPr="001460EC" w:rsidRDefault="00821BB6" w:rsidP="00EF52F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460EC">
              <w:rPr>
                <w:rFonts w:cstheme="minorHAnsi"/>
                <w:sz w:val="24"/>
                <w:szCs w:val="24"/>
              </w:rPr>
              <w:t>Not Significant</w:t>
            </w:r>
          </w:p>
        </w:tc>
      </w:tr>
      <w:tr w:rsidR="00821BB6" w:rsidRPr="001460EC" w:rsidTr="00271A87">
        <w:trPr>
          <w:trHeight w:val="825"/>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rsidR="00821BB6" w:rsidRPr="001460EC" w:rsidRDefault="00821BB6" w:rsidP="00EF52F0">
            <w:pPr>
              <w:spacing w:line="360" w:lineRule="auto"/>
              <w:jc w:val="both"/>
              <w:rPr>
                <w:rFonts w:cstheme="minorHAnsi"/>
                <w:sz w:val="24"/>
                <w:szCs w:val="24"/>
              </w:rPr>
            </w:pPr>
            <w:r w:rsidRPr="001460EC">
              <w:rPr>
                <w:rFonts w:cstheme="minorHAnsi"/>
                <w:sz w:val="24"/>
                <w:szCs w:val="24"/>
              </w:rPr>
              <w:t>Rh Status vs TTI</w:t>
            </w:r>
          </w:p>
        </w:tc>
        <w:tc>
          <w:tcPr>
            <w:tcW w:w="0" w:type="auto"/>
            <w:shd w:val="clear" w:color="auto" w:fill="auto"/>
            <w:vAlign w:val="center"/>
            <w:hideMark/>
          </w:tcPr>
          <w:p w:rsidR="00821BB6" w:rsidRPr="001460EC" w:rsidRDefault="00821BB6" w:rsidP="00EF52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0EC">
              <w:rPr>
                <w:rFonts w:cstheme="minorHAnsi"/>
                <w:sz w:val="24"/>
                <w:szCs w:val="24"/>
              </w:rPr>
              <w:t>0.28</w:t>
            </w:r>
          </w:p>
        </w:tc>
        <w:tc>
          <w:tcPr>
            <w:tcW w:w="0" w:type="auto"/>
            <w:shd w:val="clear" w:color="auto" w:fill="auto"/>
            <w:vAlign w:val="center"/>
            <w:hideMark/>
          </w:tcPr>
          <w:p w:rsidR="00821BB6" w:rsidRPr="001460EC" w:rsidRDefault="00821BB6" w:rsidP="00EF52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0EC">
              <w:rPr>
                <w:rFonts w:cstheme="minorHAnsi"/>
                <w:sz w:val="24"/>
                <w:szCs w:val="24"/>
              </w:rPr>
              <w:t>1</w:t>
            </w:r>
          </w:p>
        </w:tc>
        <w:tc>
          <w:tcPr>
            <w:tcW w:w="0" w:type="auto"/>
            <w:shd w:val="clear" w:color="auto" w:fill="auto"/>
            <w:vAlign w:val="center"/>
            <w:hideMark/>
          </w:tcPr>
          <w:p w:rsidR="00821BB6" w:rsidRPr="001460EC" w:rsidRDefault="00821BB6" w:rsidP="00EF52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0EC">
              <w:rPr>
                <w:rFonts w:cstheme="minorHAnsi"/>
                <w:sz w:val="24"/>
                <w:szCs w:val="24"/>
              </w:rPr>
              <w:t>0.60</w:t>
            </w:r>
          </w:p>
        </w:tc>
        <w:tc>
          <w:tcPr>
            <w:tcW w:w="0" w:type="auto"/>
            <w:shd w:val="clear" w:color="auto" w:fill="auto"/>
            <w:vAlign w:val="center"/>
            <w:hideMark/>
          </w:tcPr>
          <w:p w:rsidR="00821BB6" w:rsidRPr="001460EC" w:rsidRDefault="00821BB6" w:rsidP="00EF52F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460EC">
              <w:rPr>
                <w:rFonts w:cstheme="minorHAnsi"/>
                <w:sz w:val="24"/>
                <w:szCs w:val="24"/>
              </w:rPr>
              <w:t>Not Significant</w:t>
            </w:r>
          </w:p>
        </w:tc>
      </w:tr>
    </w:tbl>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r w:rsidRPr="001460EC">
        <w:rPr>
          <w:rFonts w:cstheme="minorHAnsi"/>
          <w:sz w:val="24"/>
          <w:szCs w:val="24"/>
        </w:rPr>
        <w:t>Table 6: Chi-square tests were used to determine associations between blood group variables and TTI prevalence. The p-values for both ABO (0.37) and Rh (0.60) are greater than the conventional significance threshold (0.05), confirming no statistically significant association between blood group and TTI risk in this donor population.</w:t>
      </w:r>
    </w:p>
    <w:p w:rsidR="00821BB6" w:rsidRPr="001460EC" w:rsidRDefault="00821BB6" w:rsidP="00EF52F0">
      <w:pPr>
        <w:spacing w:line="360" w:lineRule="auto"/>
        <w:jc w:val="both"/>
        <w:rPr>
          <w:rFonts w:cstheme="minorHAnsi"/>
          <w:b/>
          <w:bCs/>
          <w:sz w:val="24"/>
          <w:szCs w:val="24"/>
        </w:rPr>
      </w:pPr>
    </w:p>
    <w:p w:rsidR="0065090A" w:rsidRPr="001460EC" w:rsidRDefault="0065090A" w:rsidP="00EF52F0">
      <w:pPr>
        <w:spacing w:line="360" w:lineRule="auto"/>
        <w:jc w:val="both"/>
        <w:rPr>
          <w:rFonts w:cstheme="minorHAnsi"/>
          <w:b/>
          <w:bCs/>
          <w:sz w:val="24"/>
          <w:szCs w:val="24"/>
        </w:rPr>
      </w:pPr>
    </w:p>
    <w:p w:rsidR="0065090A" w:rsidRPr="001460EC" w:rsidRDefault="0065090A" w:rsidP="00EF52F0">
      <w:pPr>
        <w:spacing w:line="360" w:lineRule="auto"/>
        <w:jc w:val="both"/>
        <w:rPr>
          <w:rFonts w:cstheme="minorHAnsi"/>
          <w:b/>
          <w:bCs/>
          <w:sz w:val="24"/>
          <w:szCs w:val="24"/>
        </w:rPr>
      </w:pPr>
    </w:p>
    <w:p w:rsidR="00821BB6" w:rsidRPr="001460EC" w:rsidRDefault="00821BB6" w:rsidP="00EF52F0">
      <w:pPr>
        <w:spacing w:line="360" w:lineRule="auto"/>
        <w:jc w:val="both"/>
        <w:rPr>
          <w:rFonts w:cstheme="minorHAnsi"/>
          <w:sz w:val="24"/>
          <w:szCs w:val="24"/>
        </w:rPr>
      </w:pPr>
      <w:r w:rsidRPr="001460EC">
        <w:rPr>
          <w:rFonts w:cstheme="minorHAnsi"/>
          <w:sz w:val="24"/>
          <w:szCs w:val="24"/>
        </w:rPr>
        <w:br w:type="page"/>
      </w:r>
    </w:p>
    <w:p w:rsidR="00821BB6" w:rsidRPr="001460EC" w:rsidRDefault="00821BB6" w:rsidP="00EF52F0">
      <w:pPr>
        <w:pStyle w:val="FirstParagraph"/>
        <w:keepNext/>
        <w:spacing w:line="360" w:lineRule="auto"/>
        <w:jc w:val="both"/>
        <w:rPr>
          <w:rFonts w:cstheme="minorHAnsi"/>
        </w:rPr>
      </w:pPr>
      <w:r w:rsidRPr="001460EC">
        <w:rPr>
          <w:rFonts w:cstheme="minorHAnsi"/>
          <w:noProof/>
        </w:rPr>
        <w:lastRenderedPageBreak/>
        <w:drawing>
          <wp:inline distT="0" distB="0" distL="0" distR="0">
            <wp:extent cx="5303423" cy="3289465"/>
            <wp:effectExtent l="0" t="0" r="0" b="6350"/>
            <wp:docPr id="1616181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61" cy="3304499"/>
                    </a:xfrm>
                    <a:prstGeom prst="rect">
                      <a:avLst/>
                    </a:prstGeom>
                    <a:noFill/>
                  </pic:spPr>
                </pic:pic>
              </a:graphicData>
            </a:graphic>
          </wp:inline>
        </w:drawing>
      </w:r>
    </w:p>
    <w:p w:rsidR="00821BB6" w:rsidRPr="001460EC" w:rsidRDefault="00821BB6" w:rsidP="00EF52F0">
      <w:pPr>
        <w:pStyle w:val="Caption"/>
        <w:spacing w:line="360" w:lineRule="auto"/>
        <w:jc w:val="both"/>
        <w:rPr>
          <w:rFonts w:cstheme="minorHAnsi"/>
          <w:i w:val="0"/>
          <w:iCs w:val="0"/>
          <w:color w:val="auto"/>
          <w:sz w:val="24"/>
          <w:szCs w:val="24"/>
        </w:rPr>
      </w:pPr>
      <w:bookmarkStart w:id="19" w:name="_Toc208093534"/>
      <w:r w:rsidRPr="001460EC">
        <w:rPr>
          <w:rFonts w:cstheme="minorHAnsi"/>
          <w:i w:val="0"/>
          <w:iCs w:val="0"/>
          <w:color w:val="auto"/>
          <w:sz w:val="24"/>
          <w:szCs w:val="24"/>
        </w:rPr>
        <w:t xml:space="preserve">Figure </w:t>
      </w:r>
      <w:r w:rsidR="00BA74FB" w:rsidRPr="001460EC">
        <w:rPr>
          <w:rFonts w:cstheme="minorHAnsi"/>
          <w:i w:val="0"/>
          <w:iCs w:val="0"/>
          <w:color w:val="FFFFFF" w:themeColor="background1"/>
          <w:sz w:val="24"/>
          <w:szCs w:val="24"/>
        </w:rPr>
        <w:fldChar w:fldCharType="begin"/>
      </w:r>
      <w:r w:rsidRPr="001460EC">
        <w:rPr>
          <w:rFonts w:cstheme="minorHAnsi"/>
          <w:i w:val="0"/>
          <w:iCs w:val="0"/>
          <w:color w:val="FFFFFF" w:themeColor="background1"/>
          <w:sz w:val="24"/>
          <w:szCs w:val="24"/>
        </w:rPr>
        <w:instrText xml:space="preserve"> SEQ Figure \* ARABIC </w:instrText>
      </w:r>
      <w:r w:rsidR="00BA74FB" w:rsidRPr="001460EC">
        <w:rPr>
          <w:rFonts w:cstheme="minorHAnsi"/>
          <w:i w:val="0"/>
          <w:iCs w:val="0"/>
          <w:color w:val="FFFFFF" w:themeColor="background1"/>
          <w:sz w:val="24"/>
          <w:szCs w:val="24"/>
        </w:rPr>
        <w:fldChar w:fldCharType="separate"/>
      </w:r>
      <w:r w:rsidRPr="001460EC">
        <w:rPr>
          <w:rFonts w:cstheme="minorHAnsi"/>
          <w:i w:val="0"/>
          <w:iCs w:val="0"/>
          <w:noProof/>
          <w:color w:val="FFFFFF" w:themeColor="background1"/>
          <w:sz w:val="24"/>
          <w:szCs w:val="24"/>
        </w:rPr>
        <w:t>3</w:t>
      </w:r>
      <w:r w:rsidR="00BA74FB" w:rsidRPr="001460EC">
        <w:rPr>
          <w:rFonts w:cstheme="minorHAnsi"/>
          <w:i w:val="0"/>
          <w:iCs w:val="0"/>
          <w:color w:val="FFFFFF" w:themeColor="background1"/>
          <w:sz w:val="24"/>
          <w:szCs w:val="24"/>
        </w:rPr>
        <w:fldChar w:fldCharType="end"/>
      </w:r>
      <w:r w:rsidRPr="001460EC">
        <w:rPr>
          <w:rFonts w:cstheme="minorHAnsi"/>
          <w:i w:val="0"/>
          <w:iCs w:val="0"/>
          <w:color w:val="auto"/>
          <w:sz w:val="24"/>
          <w:szCs w:val="24"/>
        </w:rPr>
        <w:t>1: distribution of total TTI cases by ABO blood group</w:t>
      </w:r>
      <w:bookmarkEnd w:id="19"/>
    </w:p>
    <w:p w:rsidR="0065090A" w:rsidRPr="001460EC" w:rsidRDefault="0065090A" w:rsidP="00EF52F0">
      <w:pPr>
        <w:pStyle w:val="BodyText"/>
        <w:spacing w:line="360" w:lineRule="auto"/>
        <w:jc w:val="both"/>
        <w:rPr>
          <w:rFonts w:cstheme="minorHAnsi"/>
          <w:sz w:val="24"/>
          <w:szCs w:val="24"/>
        </w:rPr>
      </w:pPr>
      <w:r w:rsidRPr="001460EC">
        <w:rPr>
          <w:rFonts w:cstheme="minorHAnsi"/>
          <w:sz w:val="24"/>
          <w:szCs w:val="24"/>
        </w:rPr>
        <w:t xml:space="preserve">Figure 1: This figure visualizes the distribution from Table 4, highlighting that group O accounts for most TTI cases. However, since group O donors dominate the sample, the relative risk must be interpreted cautiously and adjusted for sample </w:t>
      </w:r>
      <w:proofErr w:type="spellStart"/>
      <w:r w:rsidRPr="001460EC">
        <w:rPr>
          <w:rFonts w:cstheme="minorHAnsi"/>
          <w:sz w:val="24"/>
          <w:szCs w:val="24"/>
        </w:rPr>
        <w:t>sizeas</w:t>
      </w:r>
      <w:proofErr w:type="spellEnd"/>
      <w:r w:rsidRPr="001460EC">
        <w:rPr>
          <w:rFonts w:cstheme="minorHAnsi"/>
          <w:sz w:val="24"/>
          <w:szCs w:val="24"/>
        </w:rPr>
        <w:t xml:space="preserve"> done in the chi-square analysis.</w:t>
      </w:r>
    </w:p>
    <w:p w:rsidR="00821BB6" w:rsidRPr="001460EC" w:rsidRDefault="00821BB6" w:rsidP="00EF52F0">
      <w:pPr>
        <w:spacing w:after="0" w:line="360" w:lineRule="auto"/>
        <w:jc w:val="both"/>
        <w:rPr>
          <w:rFonts w:eastAsia="Times New Roman" w:cstheme="minorHAnsi"/>
          <w:b/>
          <w:bCs/>
          <w:sz w:val="24"/>
          <w:szCs w:val="24"/>
          <w:lang w:eastAsia="en-GB"/>
        </w:rPr>
      </w:pPr>
    </w:p>
    <w:p w:rsidR="00821BB6" w:rsidRPr="001460EC" w:rsidRDefault="00821BB6"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EF52F0" w:rsidRPr="001460EC" w:rsidRDefault="00EF52F0" w:rsidP="00EF52F0">
      <w:pPr>
        <w:spacing w:line="360" w:lineRule="auto"/>
        <w:jc w:val="both"/>
        <w:rPr>
          <w:rFonts w:cstheme="minorHAnsi"/>
          <w:sz w:val="24"/>
          <w:szCs w:val="24"/>
        </w:rPr>
      </w:pP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lastRenderedPageBreak/>
        <w:t xml:space="preserve">Among blood donors who visited University College Hospital (UCH), Ibadan, the study examined the distribution of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types, the frequency of transfusion-transmissible illnesses (TTIs), and any possible correlations between these blood group systems and TTIs. The study questions sought to characterize the distribution of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phenotypes, assess correlations between these phenotypes and TTI positive, and ascertain the prevalence of HBV, HCV, HIV, and syphilis. Within the larger framework of transfusion medicine, the study provides solutions to these queries.</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In line with typical donor demographics in Nigeria and many sub-Saharan African countries, where socio-cultural and biological factors limit female donation participation and youth dominate the donor base, the socio-demographic profile of the 144 donors showed a clear predominance of males (91.7%) and a concentration in younger age groups, particularly 18–25 years old (41.7%) and 26–35 years old (31.3%)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w:t>
      </w:r>
      <w:proofErr w:type="spellStart"/>
      <w:r w:rsidRPr="001460EC">
        <w:rPr>
          <w:rFonts w:eastAsia="Times New Roman" w:cstheme="minorHAnsi"/>
          <w:sz w:val="24"/>
          <w:szCs w:val="24"/>
        </w:rPr>
        <w:t>Ugwoke</w:t>
      </w:r>
      <w:proofErr w:type="spellEnd"/>
      <w:r w:rsidRPr="001460EC">
        <w:rPr>
          <w:rFonts w:eastAsia="Times New Roman" w:cstheme="minorHAnsi"/>
          <w:sz w:val="24"/>
          <w:szCs w:val="24"/>
        </w:rPr>
        <w:t xml:space="preserve">, </w:t>
      </w:r>
      <w:proofErr w:type="spellStart"/>
      <w:r w:rsidRPr="001460EC">
        <w:rPr>
          <w:rFonts w:eastAsia="Times New Roman" w:cstheme="minorHAnsi"/>
          <w:sz w:val="24"/>
          <w:szCs w:val="24"/>
        </w:rPr>
        <w:t>Olayemi</w:t>
      </w:r>
      <w:proofErr w:type="spellEnd"/>
      <w:r w:rsidRPr="001460EC">
        <w:rPr>
          <w:rFonts w:eastAsia="Times New Roman" w:cstheme="minorHAnsi"/>
          <w:sz w:val="24"/>
          <w:szCs w:val="24"/>
        </w:rPr>
        <w:t xml:space="preserve">, &amp; </w:t>
      </w:r>
      <w:proofErr w:type="spellStart"/>
      <w:r w:rsidRPr="001460EC">
        <w:rPr>
          <w:rFonts w:eastAsia="Times New Roman" w:cstheme="minorHAnsi"/>
          <w:sz w:val="24"/>
          <w:szCs w:val="24"/>
        </w:rPr>
        <w:t>Alassan</w:t>
      </w:r>
      <w:proofErr w:type="spellEnd"/>
      <w:r w:rsidRPr="001460EC">
        <w:rPr>
          <w:rFonts w:eastAsia="Times New Roman" w:cstheme="minorHAnsi"/>
          <w:sz w:val="24"/>
          <w:szCs w:val="24"/>
        </w:rPr>
        <w:t>, 2025). Although this encourages a consistent pool of donors, the donor base has to be diversified by encouraging older and female donors.</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The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group distribution was in line with typical West African trends, with blood group </w:t>
      </w:r>
      <w:proofErr w:type="spellStart"/>
      <w:r w:rsidRPr="001460EC">
        <w:rPr>
          <w:rFonts w:eastAsia="Times New Roman" w:cstheme="minorHAnsi"/>
          <w:sz w:val="24"/>
          <w:szCs w:val="24"/>
        </w:rPr>
        <w:t>O</w:t>
      </w:r>
      <w:proofErr w:type="spellEnd"/>
      <w:r w:rsidRPr="001460EC">
        <w:rPr>
          <w:rFonts w:eastAsia="Times New Roman" w:cstheme="minorHAnsi"/>
          <w:sz w:val="24"/>
          <w:szCs w:val="24"/>
        </w:rPr>
        <w:t xml:space="preserve"> accounting for the majority (72.9%), followed by A (15.3%), B (9.0%), and AB (2.8%). The genetic background where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negativity is uncommon was confirmed by the extremely high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positivity (97.2%) and low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negative rate (2.8%). This distribution is consistent with earlier research conducted in Nigeria and emphasizes the difficulties in preserving a sufficient supply of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-negative blood, which is particularly important for obstetric care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w:t>
      </w:r>
      <w:proofErr w:type="spellStart"/>
      <w:r w:rsidRPr="001460EC">
        <w:rPr>
          <w:rFonts w:eastAsia="Times New Roman" w:cstheme="minorHAnsi"/>
          <w:sz w:val="24"/>
          <w:szCs w:val="24"/>
        </w:rPr>
        <w:t>Efobi</w:t>
      </w:r>
      <w:proofErr w:type="spellEnd"/>
      <w:r w:rsidRPr="001460EC">
        <w:rPr>
          <w:rFonts w:eastAsia="Times New Roman" w:cstheme="minorHAnsi"/>
          <w:sz w:val="24"/>
          <w:szCs w:val="24"/>
        </w:rPr>
        <w:t xml:space="preserve">, Nwankwo, &amp; </w:t>
      </w:r>
      <w:proofErr w:type="spellStart"/>
      <w:r w:rsidRPr="001460EC">
        <w:rPr>
          <w:rFonts w:eastAsia="Times New Roman" w:cstheme="minorHAnsi"/>
          <w:sz w:val="24"/>
          <w:szCs w:val="24"/>
        </w:rPr>
        <w:t>Eze</w:t>
      </w:r>
      <w:proofErr w:type="spellEnd"/>
      <w:r w:rsidRPr="001460EC">
        <w:rPr>
          <w:rFonts w:eastAsia="Times New Roman" w:cstheme="minorHAnsi"/>
          <w:sz w:val="24"/>
          <w:szCs w:val="24"/>
        </w:rPr>
        <w:t>, 2025).</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With no HCV cases found, the overall TTI prevalence was 6.25%, followed by HBV at 2.78%, syphilis at 2.08%, and HIV at 1.39%. HBV was the most common transfusion risk, followed by syphilis and HIV; the lack of HCV is encouraging, but because of the small sample size and dependence on serological testing, it should be read with caution. These rates reflect better donor selection and screening at UCH, as they seem lower than previous Nigerian data from Jos and Port Harcourt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 Amaechi, Okeke, &amp; Abubakar, 2025).</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Although group O donors had the most infections in terms of blood group and TTI connections, this </w:t>
      </w:r>
      <w:proofErr w:type="gramStart"/>
      <w:r w:rsidRPr="001460EC">
        <w:rPr>
          <w:rFonts w:eastAsia="Times New Roman" w:cstheme="minorHAnsi"/>
          <w:sz w:val="24"/>
          <w:szCs w:val="24"/>
        </w:rPr>
        <w:t>was a reflection of</w:t>
      </w:r>
      <w:proofErr w:type="gramEnd"/>
      <w:r w:rsidRPr="001460EC">
        <w:rPr>
          <w:rFonts w:eastAsia="Times New Roman" w:cstheme="minorHAnsi"/>
          <w:sz w:val="24"/>
          <w:szCs w:val="24"/>
        </w:rPr>
        <w:t xml:space="preserve"> their numerical superiority. Groups A (9.1%) and B (7.7%) had </w:t>
      </w:r>
      <w:r w:rsidRPr="001460EC">
        <w:rPr>
          <w:rFonts w:eastAsia="Times New Roman" w:cstheme="minorHAnsi"/>
          <w:sz w:val="24"/>
          <w:szCs w:val="24"/>
        </w:rPr>
        <w:lastRenderedPageBreak/>
        <w:t xml:space="preserve">proportionately greater infection rates than group O (5.7%), while group AB donors had no illnesses. None of the nine infections happened in donors who were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-negative. ABO blood group (χ² = 3.14, p = 0.37)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status (χ² = 0.28, p = 0.60) did not significantly correlate with TTI prevalence, according to statistical studies. This is probably because of the limited sample size and the underrepresentation of AB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-negative groups (</w:t>
      </w:r>
      <w:proofErr w:type="spellStart"/>
      <w:r w:rsidRPr="001460EC">
        <w:rPr>
          <w:rFonts w:eastAsia="Times New Roman" w:cstheme="minorHAnsi"/>
          <w:sz w:val="24"/>
          <w:szCs w:val="24"/>
        </w:rPr>
        <w:t>Habibu</w:t>
      </w:r>
      <w:proofErr w:type="spellEnd"/>
      <w:r w:rsidRPr="001460EC">
        <w:rPr>
          <w:rFonts w:eastAsia="Times New Roman" w:cstheme="minorHAnsi"/>
          <w:sz w:val="24"/>
          <w:szCs w:val="24"/>
        </w:rPr>
        <w:t xml:space="preserve"> et al., 2025).</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Given that HBV entry depends on sodium taurocholate co-transporting polypeptide (NTCP), HCV uses CD81 and other receptors, HIV infects through CD4 and co-receptors CCR5/CXCR4, and syphilis uses immune evasion unrelated to ABO or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antigens, this absence of relationship is biologically feasible. Therefore, ABO and Rh antigens are not mechanistically associated with the TTIs under study, even if they influence susceptibility to other infections (such as Plasmodium falciparum and SARS-CoV-2). Small sample sizes may be the cause of the apparent increased infection rates in groups A and B (Shaikh, Farooq, &amp; Ahmed, 2024; </w:t>
      </w:r>
      <w:proofErr w:type="spellStart"/>
      <w:r w:rsidRPr="001460EC">
        <w:rPr>
          <w:rFonts w:eastAsia="Times New Roman" w:cstheme="minorHAnsi"/>
          <w:sz w:val="24"/>
          <w:szCs w:val="24"/>
        </w:rPr>
        <w:t>Legese</w:t>
      </w:r>
      <w:proofErr w:type="spellEnd"/>
      <w:r w:rsidRPr="001460EC">
        <w:rPr>
          <w:rFonts w:eastAsia="Times New Roman" w:cstheme="minorHAnsi"/>
          <w:sz w:val="24"/>
          <w:szCs w:val="24"/>
        </w:rPr>
        <w:t xml:space="preserve">, </w:t>
      </w:r>
      <w:proofErr w:type="spellStart"/>
      <w:r w:rsidRPr="001460EC">
        <w:rPr>
          <w:rFonts w:eastAsia="Times New Roman" w:cstheme="minorHAnsi"/>
          <w:sz w:val="24"/>
          <w:szCs w:val="24"/>
        </w:rPr>
        <w:t>Parretti</w:t>
      </w:r>
      <w:proofErr w:type="spellEnd"/>
      <w:r w:rsidRPr="001460EC">
        <w:rPr>
          <w:rFonts w:eastAsia="Times New Roman" w:cstheme="minorHAnsi"/>
          <w:sz w:val="24"/>
          <w:szCs w:val="24"/>
        </w:rPr>
        <w:t xml:space="preserve">, &amp; </w:t>
      </w:r>
      <w:proofErr w:type="spellStart"/>
      <w:r w:rsidRPr="001460EC">
        <w:rPr>
          <w:rFonts w:eastAsia="Times New Roman" w:cstheme="minorHAnsi"/>
          <w:sz w:val="24"/>
          <w:szCs w:val="24"/>
        </w:rPr>
        <w:t>Tsega</w:t>
      </w:r>
      <w:proofErr w:type="spellEnd"/>
      <w:r w:rsidRPr="001460EC">
        <w:rPr>
          <w:rFonts w:eastAsia="Times New Roman" w:cstheme="minorHAnsi"/>
          <w:sz w:val="24"/>
          <w:szCs w:val="24"/>
        </w:rPr>
        <w:t>, 2022).</w:t>
      </w:r>
    </w:p>
    <w:p w:rsidR="0059164A" w:rsidRPr="001460EC" w:rsidRDefault="0059164A"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Implications for public health highlight the encouragingly low prevalence of TTI, which is indicative of better donor screening. However, chronic syphilis, HIV, and HBV infections warrant further attention. While universal serological testing is still necessary, nucleic acid testing should be </w:t>
      </w:r>
      <w:proofErr w:type="gramStart"/>
      <w:r w:rsidRPr="001460EC">
        <w:rPr>
          <w:rFonts w:eastAsia="Times New Roman" w:cstheme="minorHAnsi"/>
          <w:sz w:val="24"/>
          <w:szCs w:val="24"/>
        </w:rPr>
        <w:t>taken into account</w:t>
      </w:r>
      <w:proofErr w:type="gramEnd"/>
      <w:r w:rsidRPr="001460EC">
        <w:rPr>
          <w:rFonts w:eastAsia="Times New Roman" w:cstheme="minorHAnsi"/>
          <w:sz w:val="24"/>
          <w:szCs w:val="24"/>
        </w:rPr>
        <w:t xml:space="preserve"> when possible to decrease window period and occult infections (WHO, 2025; </w:t>
      </w:r>
      <w:proofErr w:type="spellStart"/>
      <w:r w:rsidRPr="001460EC">
        <w:rPr>
          <w:rFonts w:eastAsia="Times New Roman" w:cstheme="minorHAnsi"/>
          <w:sz w:val="24"/>
          <w:szCs w:val="24"/>
        </w:rPr>
        <w:t>Candotti</w:t>
      </w:r>
      <w:proofErr w:type="spellEnd"/>
      <w:r w:rsidRPr="001460EC">
        <w:rPr>
          <w:rFonts w:eastAsia="Times New Roman" w:cstheme="minorHAnsi"/>
          <w:sz w:val="24"/>
          <w:szCs w:val="24"/>
        </w:rPr>
        <w:t xml:space="preserve">, 2021). The need for intentional recruitment of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-negative donors to prevent shortages in critical care is highlighted by the preponderance of group 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-positive donors.</w:t>
      </w:r>
    </w:p>
    <w:p w:rsidR="00EF52F0"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Reliance on serology without nucleic acid testing, few AB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-negative donors that limit subgroup analysis, and tiny infection numbers that limit statistical power are some of the limitations. Although generalizability is limited by the preponderance of young male donors, the results add to the limited body of knowledge on blood group–infection connections in Nigeria</w:t>
      </w:r>
      <w:r w:rsidR="00EF52F0" w:rsidRPr="001460EC">
        <w:rPr>
          <w:rFonts w:eastAsia="Times New Roman" w:cstheme="minorHAnsi"/>
          <w:sz w:val="24"/>
          <w:szCs w:val="24"/>
        </w:rPr>
        <w:t xml:space="preserve"> and offer useful local data. </w:t>
      </w:r>
    </w:p>
    <w:p w:rsidR="009E75C9" w:rsidRPr="001460EC" w:rsidRDefault="00EF52F0" w:rsidP="00EF52F0">
      <w:pPr>
        <w:spacing w:after="0" w:line="360" w:lineRule="auto"/>
        <w:jc w:val="both"/>
        <w:rPr>
          <w:rFonts w:eastAsia="Times New Roman" w:cstheme="minorHAnsi"/>
          <w:sz w:val="24"/>
          <w:szCs w:val="24"/>
        </w:rPr>
      </w:pPr>
      <w:r w:rsidRPr="001460EC">
        <w:rPr>
          <w:rFonts w:eastAsia="Times New Roman" w:cstheme="minorHAnsi"/>
          <w:sz w:val="24"/>
          <w:szCs w:val="24"/>
        </w:rPr>
        <w:t>Y</w:t>
      </w:r>
      <w:r w:rsidR="009E75C9" w:rsidRPr="001460EC">
        <w:rPr>
          <w:rFonts w:eastAsia="Times New Roman" w:cstheme="minorHAnsi"/>
          <w:sz w:val="24"/>
          <w:szCs w:val="24"/>
        </w:rPr>
        <w:t xml:space="preserve">oung men with blood group O and </w:t>
      </w:r>
      <w:proofErr w:type="spellStart"/>
      <w:r w:rsidR="009E75C9" w:rsidRPr="001460EC">
        <w:rPr>
          <w:rFonts w:eastAsia="Times New Roman" w:cstheme="minorHAnsi"/>
          <w:sz w:val="24"/>
          <w:szCs w:val="24"/>
        </w:rPr>
        <w:t>RhD</w:t>
      </w:r>
      <w:proofErr w:type="spellEnd"/>
      <w:r w:rsidR="009E75C9" w:rsidRPr="001460EC">
        <w:rPr>
          <w:rFonts w:eastAsia="Times New Roman" w:cstheme="minorHAnsi"/>
          <w:sz w:val="24"/>
          <w:szCs w:val="24"/>
        </w:rPr>
        <w:t xml:space="preserve"> positive make up the majority of the donor pool at UCH Ibadan. The prevalence of syphilis, HIV, and HBV is quite low; HCV was not present. The significance of blood grouping for compatibility—but not for predicting TTI risk—was confirmed by the lack of significant correlations between ABO or </w:t>
      </w:r>
      <w:proofErr w:type="spellStart"/>
      <w:r w:rsidR="009E75C9" w:rsidRPr="001460EC">
        <w:rPr>
          <w:rFonts w:eastAsia="Times New Roman" w:cstheme="minorHAnsi"/>
          <w:sz w:val="24"/>
          <w:szCs w:val="24"/>
        </w:rPr>
        <w:t>RhD</w:t>
      </w:r>
      <w:proofErr w:type="spellEnd"/>
      <w:r w:rsidR="009E75C9" w:rsidRPr="001460EC">
        <w:rPr>
          <w:rFonts w:eastAsia="Times New Roman" w:cstheme="minorHAnsi"/>
          <w:sz w:val="24"/>
          <w:szCs w:val="24"/>
        </w:rPr>
        <w:t xml:space="preserve"> blood types and TTI prevalence. </w:t>
      </w:r>
      <w:r w:rsidR="009E75C9" w:rsidRPr="001460EC">
        <w:rPr>
          <w:rFonts w:eastAsia="Times New Roman" w:cstheme="minorHAnsi"/>
          <w:sz w:val="24"/>
          <w:szCs w:val="24"/>
        </w:rPr>
        <w:lastRenderedPageBreak/>
        <w:t xml:space="preserve">Strict donor selection, sensitive screening, and increasing the recruitment of underrepresented groups—particularly </w:t>
      </w:r>
      <w:proofErr w:type="spellStart"/>
      <w:r w:rsidR="009E75C9" w:rsidRPr="001460EC">
        <w:rPr>
          <w:rFonts w:eastAsia="Times New Roman" w:cstheme="minorHAnsi"/>
          <w:sz w:val="24"/>
          <w:szCs w:val="24"/>
        </w:rPr>
        <w:t>RhD</w:t>
      </w:r>
      <w:proofErr w:type="spellEnd"/>
      <w:r w:rsidR="009E75C9" w:rsidRPr="001460EC">
        <w:rPr>
          <w:rFonts w:eastAsia="Times New Roman" w:cstheme="minorHAnsi"/>
          <w:sz w:val="24"/>
          <w:szCs w:val="24"/>
        </w:rPr>
        <w:t>-negative donors—should continue to be prioritized.</w:t>
      </w: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spacing w:line="360" w:lineRule="auto"/>
        <w:jc w:val="both"/>
        <w:rPr>
          <w:rFonts w:cstheme="minorHAnsi"/>
          <w:sz w:val="24"/>
          <w:szCs w:val="24"/>
        </w:rPr>
      </w:pPr>
    </w:p>
    <w:p w:rsidR="0065090A" w:rsidRPr="001460EC" w:rsidRDefault="0065090A" w:rsidP="00EF52F0">
      <w:pPr>
        <w:pStyle w:val="Heading2"/>
        <w:spacing w:line="360" w:lineRule="auto"/>
        <w:jc w:val="both"/>
        <w:rPr>
          <w:rFonts w:asciiTheme="minorHAnsi" w:hAnsiTheme="minorHAnsi" w:cstheme="minorHAnsi"/>
          <w:sz w:val="24"/>
          <w:szCs w:val="24"/>
        </w:rPr>
      </w:pPr>
      <w:r w:rsidRPr="001460EC">
        <w:rPr>
          <w:rFonts w:asciiTheme="minorHAnsi" w:hAnsiTheme="minorHAnsi" w:cstheme="minorHAnsi"/>
          <w:sz w:val="24"/>
          <w:szCs w:val="24"/>
        </w:rPr>
        <w:t>5.0 Conclusion</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lastRenderedPageBreak/>
        <w:t>This study evaluated the relationship between specific transfusion-transmissible infections (TTIs) and ABO/</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types in blood donors at University College Hospital in Ibadan. The majority of the donor population was young and male, and the most prevalent phenotypes were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positive (97.2%) and blood group O (72.9%). With HBV (2.78%) being the most common, followed by syphilis (2.08%) and HIV (1.39%), the overall prevalence of TTIs was low at 6.25%. HCV was not found.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types did not statistically significantly correlate with the occurrence of TTI, according to the analysis.</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These results imply that the risk of TTIs in this context is unaffected by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phenotypes. The inclusion of HBV, HIV, and syphilis cases indicates that transfusion-transmitted illnesses are still a possible hazard, even if the prevalence of infections was lower than many previous Nigerian studies. Thus, sensitive laboratory testing and stringent donor screening are still essential for guaranteeing blood safety.</w:t>
      </w:r>
    </w:p>
    <w:p w:rsidR="000364D7" w:rsidRPr="001460EC" w:rsidRDefault="000364D7" w:rsidP="00EF52F0">
      <w:pPr>
        <w:pStyle w:val="Heading2"/>
        <w:spacing w:line="360" w:lineRule="auto"/>
        <w:jc w:val="both"/>
        <w:rPr>
          <w:rFonts w:asciiTheme="minorHAnsi" w:hAnsiTheme="minorHAnsi" w:cstheme="minorHAnsi"/>
          <w:sz w:val="24"/>
          <w:szCs w:val="24"/>
        </w:rPr>
      </w:pPr>
      <w:r w:rsidRPr="001460EC">
        <w:rPr>
          <w:rFonts w:asciiTheme="minorHAnsi" w:hAnsiTheme="minorHAnsi" w:cstheme="minorHAnsi"/>
          <w:sz w:val="24"/>
          <w:szCs w:val="24"/>
        </w:rPr>
        <w:t>6.0 Recommendations</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The results of this study suggest that, in order to reduce window-period and occult infections, universal screening for transfusion-transmissible infections should be maintained and enhanced. More sensitive diagnostic techniques, like nucleic acid testing (NAT), should be gradually incorporated. Since volunteer, unpaid, and repeat donors are consistently linked to lower infection risks than family replacement donors, recruitment and retention of these groups should be given priority. Given their extremely low incidence in this study, special attention should be paid to the intentional recruitment and registration of Rh-negative people in order to guarantee that hospitals can satisfy the urgent demand for transfusions, especially in obstetric and pediatric crises.</w:t>
      </w:r>
    </w:p>
    <w:p w:rsidR="009E75C9" w:rsidRPr="001460EC" w:rsidRDefault="009E75C9" w:rsidP="00EF52F0">
      <w:pPr>
        <w:spacing w:after="0" w:line="360" w:lineRule="auto"/>
        <w:jc w:val="both"/>
        <w:rPr>
          <w:rFonts w:eastAsia="Times New Roman" w:cstheme="minorHAnsi"/>
          <w:sz w:val="24"/>
          <w:szCs w:val="24"/>
        </w:rPr>
      </w:pPr>
      <w:r w:rsidRPr="001460EC">
        <w:rPr>
          <w:rFonts w:eastAsia="Times New Roman" w:cstheme="minorHAnsi"/>
          <w:sz w:val="24"/>
          <w:szCs w:val="24"/>
        </w:rPr>
        <w:t xml:space="preserve">At-risk populations should be the target of expanded and strengthened public health initiatives, such as HBV vaccination campaigns and ongoing efforts to prevent HIV and syphilis. Furthermore, to confirm these results and allow for more thorough subgroup analysis, especially for uncommon blood groups like AB and Rh-negative donors, larger, multi-center studies with greater sample sizes and a wider geographic representation are encouraged. Donors who test positive for any transfusion-transmissible infection should be referred for </w:t>
      </w:r>
      <w:r w:rsidRPr="001460EC">
        <w:rPr>
          <w:rFonts w:eastAsia="Times New Roman" w:cstheme="minorHAnsi"/>
          <w:sz w:val="24"/>
          <w:szCs w:val="24"/>
        </w:rPr>
        <w:lastRenderedPageBreak/>
        <w:t xml:space="preserve">clinical care, get appropriate post-test counseling, and be educated on preventative techniques to lower transmission in the community. In conclusion, next studies should look into additional genetic and immunological variables that can affect infection susceptibility in addition to ABO and </w:t>
      </w:r>
      <w:proofErr w:type="spellStart"/>
      <w:r w:rsidRPr="001460EC">
        <w:rPr>
          <w:rFonts w:eastAsia="Times New Roman" w:cstheme="minorHAnsi"/>
          <w:sz w:val="24"/>
          <w:szCs w:val="24"/>
        </w:rPr>
        <w:t>RhD</w:t>
      </w:r>
      <w:proofErr w:type="spellEnd"/>
      <w:r w:rsidRPr="001460EC">
        <w:rPr>
          <w:rFonts w:eastAsia="Times New Roman" w:cstheme="minorHAnsi"/>
          <w:sz w:val="24"/>
          <w:szCs w:val="24"/>
        </w:rPr>
        <w:t xml:space="preserve"> blood types. This will help us better understand host–pathogen interactions in transfusion medicine.</w:t>
      </w:r>
    </w:p>
    <w:p w:rsidR="0025421B" w:rsidRPr="001460EC" w:rsidRDefault="0025421B" w:rsidP="00EF52F0">
      <w:pPr>
        <w:spacing w:line="360" w:lineRule="auto"/>
        <w:jc w:val="both"/>
        <w:rPr>
          <w:rFonts w:cstheme="minorHAnsi"/>
          <w:sz w:val="24"/>
          <w:szCs w:val="24"/>
        </w:rPr>
      </w:pPr>
    </w:p>
    <w:p w:rsidR="0025421B" w:rsidRPr="001460EC" w:rsidRDefault="0025421B" w:rsidP="00EF52F0">
      <w:pPr>
        <w:spacing w:line="360" w:lineRule="auto"/>
        <w:jc w:val="both"/>
        <w:rPr>
          <w:rFonts w:cstheme="minorHAnsi"/>
          <w:b/>
          <w:sz w:val="24"/>
          <w:szCs w:val="24"/>
        </w:rPr>
      </w:pPr>
      <w:r w:rsidRPr="001460EC">
        <w:rPr>
          <w:rFonts w:cstheme="minorHAnsi"/>
          <w:b/>
          <w:sz w:val="24"/>
          <w:szCs w:val="24"/>
        </w:rPr>
        <w:t>References</w:t>
      </w:r>
    </w:p>
    <w:p w:rsidR="0025421B" w:rsidRPr="001460EC" w:rsidRDefault="0025421B" w:rsidP="0025421B">
      <w:pPr>
        <w:ind w:left="720" w:hanging="720"/>
        <w:jc w:val="both"/>
        <w:rPr>
          <w:sz w:val="24"/>
          <w:szCs w:val="24"/>
        </w:rPr>
      </w:pPr>
      <w:r w:rsidRPr="001460EC">
        <w:rPr>
          <w:sz w:val="24"/>
          <w:szCs w:val="24"/>
        </w:rPr>
        <w:t>Ahmed, S. K. (2024). How to choose a sampling technique and determine sample size for health research: A practical guide. ScienceDirect. </w:t>
      </w:r>
      <w:hyperlink r:id="rId8" w:tgtFrame="_blank" w:history="1">
        <w:r w:rsidRPr="001460EC">
          <w:rPr>
            <w:rStyle w:val="Hyperlink"/>
            <w:sz w:val="24"/>
            <w:szCs w:val="24"/>
          </w:rPr>
          <w:t>https://www.sciencedirect.com/science/article/pii/S2772906024005089</w:t>
        </w:r>
      </w:hyperlink>
    </w:p>
    <w:p w:rsidR="0025421B" w:rsidRPr="001460EC" w:rsidRDefault="0025421B" w:rsidP="0025421B">
      <w:pPr>
        <w:ind w:left="720" w:hanging="720"/>
        <w:jc w:val="both"/>
        <w:rPr>
          <w:sz w:val="24"/>
          <w:szCs w:val="24"/>
        </w:rPr>
      </w:pPr>
      <w:r w:rsidRPr="001460EC">
        <w:rPr>
          <w:sz w:val="24"/>
          <w:szCs w:val="24"/>
        </w:rPr>
        <w:t xml:space="preserve">Amaechi, R. A., et al. (2025). </w:t>
      </w:r>
      <w:proofErr w:type="spellStart"/>
      <w:r w:rsidRPr="001460EC">
        <w:rPr>
          <w:sz w:val="24"/>
          <w:szCs w:val="24"/>
        </w:rPr>
        <w:t>Sero</w:t>
      </w:r>
      <w:proofErr w:type="spellEnd"/>
      <w:r w:rsidRPr="001460EC">
        <w:rPr>
          <w:sz w:val="24"/>
          <w:szCs w:val="24"/>
        </w:rPr>
        <w:t xml:space="preserve">-prevalence of transfusion transmissible infections among prospective blood donors in </w:t>
      </w:r>
      <w:proofErr w:type="spellStart"/>
      <w:r w:rsidRPr="001460EC">
        <w:rPr>
          <w:sz w:val="24"/>
          <w:szCs w:val="24"/>
        </w:rPr>
        <w:t>Ekpoma</w:t>
      </w:r>
      <w:proofErr w:type="spellEnd"/>
      <w:r w:rsidRPr="001460EC">
        <w:rPr>
          <w:sz w:val="24"/>
          <w:szCs w:val="24"/>
        </w:rPr>
        <w:t>, Nigeria. </w:t>
      </w:r>
      <w:proofErr w:type="spellStart"/>
      <w:r w:rsidRPr="001460EC">
        <w:rPr>
          <w:sz w:val="24"/>
          <w:szCs w:val="24"/>
        </w:rPr>
        <w:t>Iberoamerican</w:t>
      </w:r>
      <w:proofErr w:type="spellEnd"/>
      <w:r w:rsidRPr="001460EC">
        <w:rPr>
          <w:sz w:val="24"/>
          <w:szCs w:val="24"/>
        </w:rPr>
        <w:t xml:space="preserve"> Journal of Medicine, 7(3), 78-90. </w:t>
      </w:r>
      <w:hyperlink r:id="rId9" w:tgtFrame="_blank" w:history="1">
        <w:r w:rsidRPr="001460EC">
          <w:rPr>
            <w:rStyle w:val="Hyperlink"/>
            <w:sz w:val="24"/>
            <w:szCs w:val="24"/>
          </w:rPr>
          <w:t>http://www.iberoamericanjm.periodikos.com.br/article/10.53986/ibjm.2025.0018/pdf/iberoamericanjm-7-3-78.pdf</w:t>
        </w:r>
      </w:hyperlink>
    </w:p>
    <w:p w:rsidR="0025421B" w:rsidRPr="001460EC" w:rsidRDefault="0025421B" w:rsidP="0025421B">
      <w:pPr>
        <w:ind w:left="720" w:hanging="720"/>
        <w:jc w:val="both"/>
        <w:rPr>
          <w:sz w:val="24"/>
          <w:szCs w:val="24"/>
        </w:rPr>
      </w:pPr>
      <w:r w:rsidRPr="001460EC">
        <w:rPr>
          <w:sz w:val="24"/>
          <w:szCs w:val="24"/>
        </w:rPr>
        <w:t>Amaechi, R. A., Okeke, E. J., &amp; Abubakar, S. (2025). Prevalence of transfusion-transmissible infections among blood donors in Port Harcourt, Nigeria. African Journal of Laboratory Medicine, 14(1), 1-10. </w:t>
      </w:r>
      <w:hyperlink r:id="rId10" w:tgtFrame="_blank" w:history="1">
        <w:r w:rsidRPr="001460EC">
          <w:rPr>
            <w:rStyle w:val="Hyperlink"/>
            <w:sz w:val="24"/>
            <w:szCs w:val="24"/>
          </w:rPr>
          <w:t>https://doi.org/10.4102/ajlm.v14i1.1234</w:t>
        </w:r>
      </w:hyperlink>
    </w:p>
    <w:p w:rsidR="0025421B" w:rsidRPr="001460EC" w:rsidRDefault="0025421B" w:rsidP="0025421B">
      <w:pPr>
        <w:ind w:left="720" w:hanging="720"/>
        <w:jc w:val="both"/>
        <w:rPr>
          <w:sz w:val="24"/>
          <w:szCs w:val="24"/>
        </w:rPr>
      </w:pPr>
      <w:proofErr w:type="spellStart"/>
      <w:r w:rsidRPr="001460EC">
        <w:rPr>
          <w:sz w:val="24"/>
          <w:szCs w:val="24"/>
        </w:rPr>
        <w:t>Buseri</w:t>
      </w:r>
      <w:proofErr w:type="spellEnd"/>
      <w:r w:rsidRPr="001460EC">
        <w:rPr>
          <w:sz w:val="24"/>
          <w:szCs w:val="24"/>
        </w:rPr>
        <w:t xml:space="preserve">, Felix I. (2009). </w:t>
      </w:r>
      <w:proofErr w:type="spellStart"/>
      <w:r w:rsidRPr="001460EC">
        <w:rPr>
          <w:sz w:val="24"/>
          <w:szCs w:val="24"/>
        </w:rPr>
        <w:t>Sero</w:t>
      </w:r>
      <w:proofErr w:type="spellEnd"/>
      <w:r w:rsidRPr="001460EC">
        <w:rPr>
          <w:sz w:val="24"/>
          <w:szCs w:val="24"/>
        </w:rPr>
        <w:t>-epidemiology of transfusion-transmissible infectious agents among blood donors in South West Nigeria. Annals of Tropical Medicine and Parasitology. </w:t>
      </w:r>
      <w:hyperlink r:id="rId11" w:tgtFrame="_blank" w:history="1">
        <w:r w:rsidRPr="001460EC">
          <w:rPr>
            <w:rStyle w:val="Hyperlink"/>
            <w:sz w:val="24"/>
            <w:szCs w:val="24"/>
          </w:rPr>
          <w:t>https://www.ncbi.nlm.nih.gov/pmc/articles/PMC2782806/</w:t>
        </w:r>
      </w:hyperlink>
    </w:p>
    <w:p w:rsidR="0025421B" w:rsidRPr="001460EC" w:rsidRDefault="0025421B" w:rsidP="0025421B">
      <w:pPr>
        <w:ind w:left="720" w:hanging="720"/>
        <w:jc w:val="both"/>
        <w:rPr>
          <w:sz w:val="24"/>
          <w:szCs w:val="24"/>
        </w:rPr>
      </w:pPr>
      <w:proofErr w:type="spellStart"/>
      <w:r w:rsidRPr="001460EC">
        <w:rPr>
          <w:sz w:val="24"/>
          <w:szCs w:val="24"/>
        </w:rPr>
        <w:t>Candotti</w:t>
      </w:r>
      <w:proofErr w:type="spellEnd"/>
      <w:r w:rsidRPr="001460EC">
        <w:rPr>
          <w:sz w:val="24"/>
          <w:szCs w:val="24"/>
        </w:rPr>
        <w:t>, D. (2021). Challenges in transfusion-transmitted infection screening in Sub-Saharan Africa. Transfusion, 61(1), 6-10. </w:t>
      </w:r>
      <w:hyperlink r:id="rId12" w:tgtFrame="_blank" w:history="1">
        <w:r w:rsidRPr="001460EC">
          <w:rPr>
            <w:rStyle w:val="Hyperlink"/>
            <w:sz w:val="24"/>
            <w:szCs w:val="24"/>
          </w:rPr>
          <w:t>https://www.sciencedirect.com/science/article/abs/pii/S1246782021000252</w:t>
        </w:r>
      </w:hyperlink>
    </w:p>
    <w:p w:rsidR="0025421B" w:rsidRPr="001460EC" w:rsidRDefault="0025421B" w:rsidP="0025421B">
      <w:pPr>
        <w:ind w:left="720" w:hanging="720"/>
        <w:jc w:val="both"/>
        <w:rPr>
          <w:sz w:val="24"/>
          <w:szCs w:val="24"/>
        </w:rPr>
      </w:pPr>
      <w:r w:rsidRPr="001460EC">
        <w:rPr>
          <w:sz w:val="24"/>
          <w:szCs w:val="24"/>
        </w:rPr>
        <w:t>da Silva Santos, Lucas, et al. (2024). The link between ABO and Rh(D) blood groups with transfusion-transmitted infections: A systematic review. Blood Transfusion, 22(3), 345-357. </w:t>
      </w:r>
      <w:hyperlink r:id="rId13" w:tgtFrame="_blank" w:history="1">
        <w:r w:rsidRPr="001460EC">
          <w:rPr>
            <w:rStyle w:val="Hyperlink"/>
            <w:sz w:val="24"/>
            <w:szCs w:val="24"/>
          </w:rPr>
          <w:t>https://www.sciencedirect.com/science/article/pii/S2950194624001845</w:t>
        </w:r>
      </w:hyperlink>
    </w:p>
    <w:p w:rsidR="0025421B" w:rsidRPr="001460EC" w:rsidRDefault="0025421B" w:rsidP="0025421B">
      <w:pPr>
        <w:ind w:left="720" w:hanging="720"/>
        <w:jc w:val="both"/>
        <w:rPr>
          <w:sz w:val="24"/>
          <w:szCs w:val="24"/>
        </w:rPr>
      </w:pPr>
      <w:proofErr w:type="spellStart"/>
      <w:r w:rsidRPr="001460EC">
        <w:rPr>
          <w:sz w:val="24"/>
          <w:szCs w:val="24"/>
        </w:rPr>
        <w:t>Efobi</w:t>
      </w:r>
      <w:proofErr w:type="spellEnd"/>
      <w:r w:rsidRPr="001460EC">
        <w:rPr>
          <w:sz w:val="24"/>
          <w:szCs w:val="24"/>
        </w:rPr>
        <w:t xml:space="preserve">, C. C., Nwankwo, E. O., &amp; </w:t>
      </w:r>
      <w:proofErr w:type="spellStart"/>
      <w:r w:rsidRPr="001460EC">
        <w:rPr>
          <w:sz w:val="24"/>
          <w:szCs w:val="24"/>
        </w:rPr>
        <w:t>Eze</w:t>
      </w:r>
      <w:proofErr w:type="spellEnd"/>
      <w:r w:rsidRPr="001460EC">
        <w:rPr>
          <w:sz w:val="24"/>
          <w:szCs w:val="24"/>
        </w:rPr>
        <w:t xml:space="preserve">, C. C. (2025). The impact of ABO blood group on the prevalence of transfusion transmissible infections among blood donors in </w:t>
      </w:r>
      <w:r w:rsidRPr="001460EC">
        <w:rPr>
          <w:sz w:val="24"/>
          <w:szCs w:val="24"/>
        </w:rPr>
        <w:lastRenderedPageBreak/>
        <w:t>Nigeria. Journal of Blood Medicine, 4(1), 1-8. </w:t>
      </w:r>
      <w:hyperlink r:id="rId14" w:tgtFrame="_blank" w:history="1">
        <w:r w:rsidRPr="001460EC">
          <w:rPr>
            <w:rStyle w:val="Hyperlink"/>
            <w:sz w:val="24"/>
            <w:szCs w:val="24"/>
          </w:rPr>
          <w:t>https://pubmed.ncbi.nlm.nih.gov/39761234/</w:t>
        </w:r>
      </w:hyperlink>
    </w:p>
    <w:p w:rsidR="0025421B" w:rsidRPr="001460EC" w:rsidRDefault="0025421B" w:rsidP="0025421B">
      <w:pPr>
        <w:ind w:left="720" w:hanging="720"/>
        <w:jc w:val="both"/>
        <w:rPr>
          <w:sz w:val="24"/>
          <w:szCs w:val="24"/>
        </w:rPr>
      </w:pPr>
      <w:proofErr w:type="spellStart"/>
      <w:r w:rsidRPr="001460EC">
        <w:rPr>
          <w:sz w:val="24"/>
          <w:szCs w:val="24"/>
        </w:rPr>
        <w:t>Habibu</w:t>
      </w:r>
      <w:proofErr w:type="spellEnd"/>
      <w:r w:rsidRPr="001460EC">
        <w:rPr>
          <w:sz w:val="24"/>
          <w:szCs w:val="24"/>
        </w:rPr>
        <w:t xml:space="preserve">, I., </w:t>
      </w:r>
      <w:proofErr w:type="spellStart"/>
      <w:r w:rsidRPr="001460EC">
        <w:rPr>
          <w:sz w:val="24"/>
          <w:szCs w:val="24"/>
        </w:rPr>
        <w:t>Ugwoke</w:t>
      </w:r>
      <w:proofErr w:type="spellEnd"/>
      <w:r w:rsidRPr="001460EC">
        <w:rPr>
          <w:sz w:val="24"/>
          <w:szCs w:val="24"/>
        </w:rPr>
        <w:t xml:space="preserve">, F. O., </w:t>
      </w:r>
      <w:proofErr w:type="spellStart"/>
      <w:r w:rsidRPr="001460EC">
        <w:rPr>
          <w:sz w:val="24"/>
          <w:szCs w:val="24"/>
        </w:rPr>
        <w:t>Olayemi</w:t>
      </w:r>
      <w:proofErr w:type="spellEnd"/>
      <w:r w:rsidRPr="001460EC">
        <w:rPr>
          <w:sz w:val="24"/>
          <w:szCs w:val="24"/>
        </w:rPr>
        <w:t xml:space="preserve">, E. O., &amp; </w:t>
      </w:r>
      <w:proofErr w:type="spellStart"/>
      <w:r w:rsidRPr="001460EC">
        <w:rPr>
          <w:sz w:val="24"/>
          <w:szCs w:val="24"/>
        </w:rPr>
        <w:t>Alassan</w:t>
      </w:r>
      <w:proofErr w:type="spellEnd"/>
      <w:r w:rsidRPr="001460EC">
        <w:rPr>
          <w:sz w:val="24"/>
          <w:szCs w:val="24"/>
        </w:rPr>
        <w:t>, A. A. (2025). Seroprevalence of HIV, HBV, HCV, and Syphilis among Blood Donors in Nigeria. Nigerian Medical Journal, 66(1), 45-56. </w:t>
      </w:r>
      <w:hyperlink r:id="rId15" w:tgtFrame="_blank" w:history="1">
        <w:r w:rsidRPr="001460EC">
          <w:rPr>
            <w:rStyle w:val="Hyperlink"/>
            <w:sz w:val="24"/>
            <w:szCs w:val="24"/>
          </w:rPr>
          <w:t>https://pubmed.ncbi.nlm.nih.gov/40307693/</w:t>
        </w:r>
      </w:hyperlink>
    </w:p>
    <w:p w:rsidR="0025421B" w:rsidRPr="001460EC" w:rsidRDefault="0025421B" w:rsidP="0025421B">
      <w:pPr>
        <w:ind w:left="720" w:hanging="720"/>
        <w:jc w:val="both"/>
        <w:rPr>
          <w:sz w:val="24"/>
          <w:szCs w:val="24"/>
        </w:rPr>
      </w:pPr>
      <w:r w:rsidRPr="001460EC">
        <w:rPr>
          <w:sz w:val="24"/>
          <w:szCs w:val="24"/>
        </w:rPr>
        <w:t>Hadfield, P. Y., Nnamdi, M. I., &amp; Okeke, N. J. (2024). Transfusion-Transmissible Infections among Blood Donors in Sub-Saharan Africa: Trends and Challenges. African Journal of Medical Sciences, 57(2), 83-95. </w:t>
      </w:r>
      <w:hyperlink r:id="rId16" w:tgtFrame="_blank" w:history="1">
        <w:r w:rsidRPr="001460EC">
          <w:rPr>
            <w:rStyle w:val="Hyperlink"/>
            <w:sz w:val="24"/>
            <w:szCs w:val="24"/>
          </w:rPr>
          <w:t>https://journals.sagepub.com/doi/10.1177/23259582241274305</w:t>
        </w:r>
      </w:hyperlink>
    </w:p>
    <w:p w:rsidR="0025421B" w:rsidRPr="001460EC" w:rsidRDefault="0025421B" w:rsidP="0025421B">
      <w:pPr>
        <w:ind w:left="720" w:hanging="720"/>
        <w:jc w:val="both"/>
        <w:rPr>
          <w:sz w:val="24"/>
          <w:szCs w:val="24"/>
        </w:rPr>
      </w:pPr>
      <w:proofErr w:type="spellStart"/>
      <w:r w:rsidRPr="001460EC">
        <w:rPr>
          <w:sz w:val="24"/>
          <w:szCs w:val="24"/>
        </w:rPr>
        <w:t>Kanyike</w:t>
      </w:r>
      <w:proofErr w:type="spellEnd"/>
      <w:r w:rsidRPr="001460EC">
        <w:rPr>
          <w:sz w:val="24"/>
          <w:szCs w:val="24"/>
        </w:rPr>
        <w:t xml:space="preserve">, A. M., </w:t>
      </w:r>
      <w:proofErr w:type="spellStart"/>
      <w:r w:rsidRPr="001460EC">
        <w:rPr>
          <w:sz w:val="24"/>
          <w:szCs w:val="24"/>
        </w:rPr>
        <w:t>Tumwesigye</w:t>
      </w:r>
      <w:proofErr w:type="spellEnd"/>
      <w:r w:rsidRPr="001460EC">
        <w:rPr>
          <w:sz w:val="24"/>
          <w:szCs w:val="24"/>
        </w:rPr>
        <w:t xml:space="preserve">, N. M., &amp; </w:t>
      </w:r>
      <w:proofErr w:type="spellStart"/>
      <w:r w:rsidRPr="001460EC">
        <w:rPr>
          <w:sz w:val="24"/>
          <w:szCs w:val="24"/>
        </w:rPr>
        <w:t>Kamya</w:t>
      </w:r>
      <w:proofErr w:type="spellEnd"/>
      <w:r w:rsidRPr="001460EC">
        <w:rPr>
          <w:sz w:val="24"/>
          <w:szCs w:val="24"/>
        </w:rPr>
        <w:t>, M. R. (2025). Prevalence trends of transfusion-transmitted infections at a tertiary hospital blood bank in Uganda. BMC Infectious Diseases, 25(1), 301. </w:t>
      </w:r>
      <w:hyperlink r:id="rId17" w:tgtFrame="_blank" w:history="1">
        <w:r w:rsidRPr="001460EC">
          <w:rPr>
            <w:rStyle w:val="Hyperlink"/>
            <w:sz w:val="24"/>
            <w:szCs w:val="24"/>
          </w:rPr>
          <w:t>https://pmc.ncbi.nlm.nih.gov/articles/PMC12060397/</w:t>
        </w:r>
      </w:hyperlink>
    </w:p>
    <w:p w:rsidR="0025421B" w:rsidRPr="001460EC" w:rsidRDefault="0025421B" w:rsidP="0025421B">
      <w:pPr>
        <w:ind w:left="720" w:hanging="720"/>
        <w:jc w:val="both"/>
        <w:rPr>
          <w:sz w:val="24"/>
          <w:szCs w:val="24"/>
        </w:rPr>
      </w:pPr>
      <w:proofErr w:type="spellStart"/>
      <w:r w:rsidRPr="001460EC">
        <w:rPr>
          <w:sz w:val="24"/>
          <w:szCs w:val="24"/>
        </w:rPr>
        <w:t>Kotrlik</w:t>
      </w:r>
      <w:proofErr w:type="spellEnd"/>
      <w:r w:rsidRPr="001460EC">
        <w:rPr>
          <w:sz w:val="24"/>
          <w:szCs w:val="24"/>
        </w:rPr>
        <w:t>, J. W., &amp; Higgins, C. C. (2001). Determining appropriate sample size in survey research. Journal of Agricultural Education, 42(1), 43-53. </w:t>
      </w:r>
      <w:hyperlink r:id="rId18" w:tgtFrame="_blank" w:history="1">
        <w:r w:rsidRPr="001460EC">
          <w:rPr>
            <w:rStyle w:val="Hyperlink"/>
            <w:sz w:val="24"/>
            <w:szCs w:val="24"/>
          </w:rPr>
          <w:t>https://www.opalco.com/wp-content/uploads/2014/10/Reading-Sample-Size1.pdf</w:t>
        </w:r>
      </w:hyperlink>
    </w:p>
    <w:p w:rsidR="0025421B" w:rsidRPr="001460EC" w:rsidRDefault="0025421B" w:rsidP="0025421B">
      <w:pPr>
        <w:ind w:left="720" w:hanging="720"/>
        <w:jc w:val="both"/>
        <w:rPr>
          <w:sz w:val="24"/>
          <w:szCs w:val="24"/>
        </w:rPr>
      </w:pPr>
      <w:proofErr w:type="spellStart"/>
      <w:r w:rsidRPr="001460EC">
        <w:rPr>
          <w:sz w:val="24"/>
          <w:szCs w:val="24"/>
        </w:rPr>
        <w:t>Legese</w:t>
      </w:r>
      <w:proofErr w:type="spellEnd"/>
      <w:r w:rsidRPr="001460EC">
        <w:rPr>
          <w:sz w:val="24"/>
          <w:szCs w:val="24"/>
        </w:rPr>
        <w:t xml:space="preserve">, B., </w:t>
      </w:r>
      <w:proofErr w:type="spellStart"/>
      <w:r w:rsidRPr="001460EC">
        <w:rPr>
          <w:sz w:val="24"/>
          <w:szCs w:val="24"/>
        </w:rPr>
        <w:t>Parretti</w:t>
      </w:r>
      <w:proofErr w:type="spellEnd"/>
      <w:r w:rsidRPr="001460EC">
        <w:rPr>
          <w:sz w:val="24"/>
          <w:szCs w:val="24"/>
        </w:rPr>
        <w:t xml:space="preserve">, H. M., &amp; </w:t>
      </w:r>
      <w:proofErr w:type="spellStart"/>
      <w:r w:rsidRPr="001460EC">
        <w:rPr>
          <w:sz w:val="24"/>
          <w:szCs w:val="24"/>
        </w:rPr>
        <w:t>Tsega</w:t>
      </w:r>
      <w:proofErr w:type="spellEnd"/>
      <w:r w:rsidRPr="001460EC">
        <w:rPr>
          <w:sz w:val="24"/>
          <w:szCs w:val="24"/>
        </w:rPr>
        <w:t>, A. (2022). Association of ABO and Rhesus Blood Types with Transfusion-Transmissible Infections: A Cross-Sectional Study. Journal of Blood Medicine, 13, 429-437. </w:t>
      </w:r>
      <w:hyperlink r:id="rId19" w:tgtFrame="_blank" w:history="1">
        <w:r w:rsidRPr="001460EC">
          <w:rPr>
            <w:rStyle w:val="Hyperlink"/>
            <w:sz w:val="24"/>
            <w:szCs w:val="24"/>
          </w:rPr>
          <w:t>https://www.ncbi.nlm.nih.gov/pmc/articles/PMC9552785/</w:t>
        </w:r>
      </w:hyperlink>
    </w:p>
    <w:p w:rsidR="0025421B" w:rsidRPr="001460EC" w:rsidRDefault="0025421B" w:rsidP="0025421B">
      <w:pPr>
        <w:ind w:left="720" w:hanging="720"/>
        <w:jc w:val="both"/>
        <w:rPr>
          <w:sz w:val="24"/>
          <w:szCs w:val="24"/>
        </w:rPr>
      </w:pPr>
      <w:proofErr w:type="spellStart"/>
      <w:r w:rsidRPr="001460EC">
        <w:rPr>
          <w:sz w:val="24"/>
          <w:szCs w:val="24"/>
        </w:rPr>
        <w:t>Olokoba</w:t>
      </w:r>
      <w:proofErr w:type="spellEnd"/>
      <w:r w:rsidRPr="001460EC">
        <w:rPr>
          <w:sz w:val="24"/>
          <w:szCs w:val="24"/>
        </w:rPr>
        <w:t xml:space="preserve">, A. B., Musa, B. O., &amp; </w:t>
      </w:r>
      <w:proofErr w:type="spellStart"/>
      <w:r w:rsidRPr="001460EC">
        <w:rPr>
          <w:sz w:val="24"/>
          <w:szCs w:val="24"/>
        </w:rPr>
        <w:t>Olokoba</w:t>
      </w:r>
      <w:proofErr w:type="spellEnd"/>
      <w:r w:rsidRPr="001460EC">
        <w:rPr>
          <w:sz w:val="24"/>
          <w:szCs w:val="24"/>
        </w:rPr>
        <w:t>, L. B. (2011). Prevalence of transfusion transmissible infections in blood donors in a Nigerian tertiary hospital. Asian Journal of Transfusion Science, 5(2), 155-159.</w:t>
      </w:r>
    </w:p>
    <w:p w:rsidR="0025421B" w:rsidRPr="001460EC" w:rsidRDefault="0025421B" w:rsidP="0025421B">
      <w:pPr>
        <w:ind w:left="720" w:hanging="720"/>
        <w:jc w:val="both"/>
        <w:rPr>
          <w:sz w:val="24"/>
          <w:szCs w:val="24"/>
        </w:rPr>
      </w:pPr>
      <w:r w:rsidRPr="001460EC">
        <w:rPr>
          <w:sz w:val="24"/>
          <w:szCs w:val="24"/>
        </w:rPr>
        <w:t>Shaikh, A. A., Farooq, S., &amp; Ahmed, S. (2024). Association of ABO, Rh-D and Kell blood groups with transfusion transmitted infections among blood donors. Transfusion Medicine, 34(1), 55-63. </w:t>
      </w:r>
      <w:hyperlink r:id="rId20" w:tgtFrame="_blank" w:history="1">
        <w:r w:rsidRPr="001460EC">
          <w:rPr>
            <w:rStyle w:val="Hyperlink"/>
            <w:sz w:val="24"/>
            <w:szCs w:val="24"/>
          </w:rPr>
          <w:t>https://pmc.ncbi.nlm.nih.gov/articles/PMC11147570/</w:t>
        </w:r>
      </w:hyperlink>
    </w:p>
    <w:p w:rsidR="0025421B" w:rsidRPr="001460EC" w:rsidRDefault="0025421B" w:rsidP="0025421B">
      <w:pPr>
        <w:ind w:left="720" w:hanging="720"/>
        <w:jc w:val="both"/>
        <w:rPr>
          <w:sz w:val="24"/>
          <w:szCs w:val="24"/>
        </w:rPr>
      </w:pPr>
      <w:proofErr w:type="spellStart"/>
      <w:r w:rsidRPr="001460EC">
        <w:rPr>
          <w:sz w:val="24"/>
          <w:szCs w:val="24"/>
        </w:rPr>
        <w:t>Singogo</w:t>
      </w:r>
      <w:proofErr w:type="spellEnd"/>
      <w:r w:rsidRPr="001460EC">
        <w:rPr>
          <w:sz w:val="24"/>
          <w:szCs w:val="24"/>
        </w:rPr>
        <w:t xml:space="preserve">, E., Zulu, P., &amp; </w:t>
      </w:r>
      <w:proofErr w:type="spellStart"/>
      <w:r w:rsidRPr="001460EC">
        <w:rPr>
          <w:sz w:val="24"/>
          <w:szCs w:val="24"/>
        </w:rPr>
        <w:t>Mukonka</w:t>
      </w:r>
      <w:proofErr w:type="spellEnd"/>
      <w:r w:rsidRPr="001460EC">
        <w:rPr>
          <w:sz w:val="24"/>
          <w:szCs w:val="24"/>
        </w:rPr>
        <w:t>, V. (2023). Prevalence and incidence of transfusion‐transmissible infections among blood donors in Sub-Saharan Africa: A systematic review and meta-analysis. Transfusion Medicine, 33(4), 345-357. </w:t>
      </w:r>
      <w:hyperlink r:id="rId21" w:tgtFrame="_blank" w:history="1">
        <w:r w:rsidRPr="001460EC">
          <w:rPr>
            <w:rStyle w:val="Hyperlink"/>
            <w:sz w:val="24"/>
            <w:szCs w:val="24"/>
          </w:rPr>
          <w:t>https://onlinelibrary.wiley.com/doi/10.1111/tme.13006</w:t>
        </w:r>
      </w:hyperlink>
    </w:p>
    <w:p w:rsidR="0025421B" w:rsidRPr="001460EC" w:rsidRDefault="0025421B" w:rsidP="0025421B">
      <w:pPr>
        <w:ind w:left="720" w:hanging="720"/>
        <w:jc w:val="both"/>
        <w:rPr>
          <w:sz w:val="24"/>
          <w:szCs w:val="24"/>
        </w:rPr>
      </w:pPr>
      <w:proofErr w:type="spellStart"/>
      <w:r w:rsidRPr="001460EC">
        <w:rPr>
          <w:sz w:val="24"/>
          <w:szCs w:val="24"/>
        </w:rPr>
        <w:t>StatisticShowTo</w:t>
      </w:r>
      <w:proofErr w:type="spellEnd"/>
      <w:r w:rsidRPr="001460EC">
        <w:rPr>
          <w:sz w:val="24"/>
          <w:szCs w:val="24"/>
        </w:rPr>
        <w:t>. (2024). Cochran’s formula sample size calculator explained. </w:t>
      </w:r>
      <w:hyperlink r:id="rId22" w:tgtFrame="_blank" w:history="1">
        <w:r w:rsidRPr="001460EC">
          <w:rPr>
            <w:rStyle w:val="Hyperlink"/>
            <w:sz w:val="24"/>
            <w:szCs w:val="24"/>
          </w:rPr>
          <w:t>https://www.statisticshowto.com/probability-and-statistics/find-sample-size/</w:t>
        </w:r>
      </w:hyperlink>
    </w:p>
    <w:p w:rsidR="0025421B" w:rsidRPr="001460EC" w:rsidRDefault="0025421B" w:rsidP="0025421B">
      <w:pPr>
        <w:ind w:left="720" w:hanging="720"/>
        <w:jc w:val="both"/>
        <w:rPr>
          <w:sz w:val="24"/>
          <w:szCs w:val="24"/>
        </w:rPr>
      </w:pPr>
      <w:r w:rsidRPr="001460EC">
        <w:rPr>
          <w:sz w:val="24"/>
          <w:szCs w:val="24"/>
        </w:rPr>
        <w:t xml:space="preserve">Umar, </w:t>
      </w:r>
      <w:proofErr w:type="spellStart"/>
      <w:r w:rsidRPr="001460EC">
        <w:rPr>
          <w:sz w:val="24"/>
          <w:szCs w:val="24"/>
        </w:rPr>
        <w:t>Garba</w:t>
      </w:r>
      <w:proofErr w:type="spellEnd"/>
      <w:r w:rsidRPr="001460EC">
        <w:rPr>
          <w:sz w:val="24"/>
          <w:szCs w:val="24"/>
        </w:rPr>
        <w:t xml:space="preserve">, </w:t>
      </w:r>
      <w:proofErr w:type="spellStart"/>
      <w:r w:rsidRPr="001460EC">
        <w:rPr>
          <w:sz w:val="24"/>
          <w:szCs w:val="24"/>
        </w:rPr>
        <w:t>Abdulqadir</w:t>
      </w:r>
      <w:proofErr w:type="spellEnd"/>
      <w:r w:rsidRPr="001460EC">
        <w:rPr>
          <w:sz w:val="24"/>
          <w:szCs w:val="24"/>
        </w:rPr>
        <w:t xml:space="preserve">, Ibrahim, </w:t>
      </w:r>
      <w:proofErr w:type="spellStart"/>
      <w:r w:rsidRPr="001460EC">
        <w:rPr>
          <w:sz w:val="24"/>
          <w:szCs w:val="24"/>
        </w:rPr>
        <w:t>Ugwu</w:t>
      </w:r>
      <w:proofErr w:type="spellEnd"/>
      <w:r w:rsidRPr="001460EC">
        <w:rPr>
          <w:sz w:val="24"/>
          <w:szCs w:val="24"/>
        </w:rPr>
        <w:t xml:space="preserve">, Ngozi, Adeyemo, </w:t>
      </w:r>
      <w:proofErr w:type="spellStart"/>
      <w:r w:rsidRPr="001460EC">
        <w:rPr>
          <w:sz w:val="24"/>
          <w:szCs w:val="24"/>
        </w:rPr>
        <w:t>Titilope</w:t>
      </w:r>
      <w:proofErr w:type="spellEnd"/>
      <w:r w:rsidRPr="001460EC">
        <w:rPr>
          <w:sz w:val="24"/>
          <w:szCs w:val="24"/>
        </w:rPr>
        <w:t xml:space="preserve">, </w:t>
      </w:r>
      <w:proofErr w:type="spellStart"/>
      <w:r w:rsidRPr="001460EC">
        <w:rPr>
          <w:sz w:val="24"/>
          <w:szCs w:val="24"/>
        </w:rPr>
        <w:t>Yau</w:t>
      </w:r>
      <w:proofErr w:type="spellEnd"/>
      <w:r w:rsidRPr="001460EC">
        <w:rPr>
          <w:sz w:val="24"/>
          <w:szCs w:val="24"/>
        </w:rPr>
        <w:t xml:space="preserve">, Nabila, Hassan, </w:t>
      </w:r>
      <w:proofErr w:type="spellStart"/>
      <w:r w:rsidRPr="001460EC">
        <w:rPr>
          <w:sz w:val="24"/>
          <w:szCs w:val="24"/>
        </w:rPr>
        <w:t>Abdulazziz</w:t>
      </w:r>
      <w:proofErr w:type="spellEnd"/>
      <w:r w:rsidRPr="001460EC">
        <w:rPr>
          <w:sz w:val="24"/>
          <w:szCs w:val="24"/>
        </w:rPr>
        <w:t xml:space="preserve">, </w:t>
      </w:r>
      <w:proofErr w:type="spellStart"/>
      <w:r w:rsidRPr="001460EC">
        <w:rPr>
          <w:sz w:val="24"/>
          <w:szCs w:val="24"/>
        </w:rPr>
        <w:t>Olaniyi</w:t>
      </w:r>
      <w:proofErr w:type="spellEnd"/>
      <w:r w:rsidRPr="001460EC">
        <w:rPr>
          <w:sz w:val="24"/>
          <w:szCs w:val="24"/>
        </w:rPr>
        <w:t xml:space="preserve">, John, Musa, Abubakar, &amp; Okonkwo, Chinedu. (2023). Blood donation </w:t>
      </w:r>
      <w:r w:rsidRPr="001460EC">
        <w:rPr>
          <w:sz w:val="24"/>
          <w:szCs w:val="24"/>
        </w:rPr>
        <w:lastRenderedPageBreak/>
        <w:t xml:space="preserve">practices, processing and utilization of blood components in government tertiary hospitals in Nigeria: a multicenter cooperative study. International Journal of </w:t>
      </w:r>
      <w:proofErr w:type="spellStart"/>
      <w:r w:rsidRPr="001460EC">
        <w:rPr>
          <w:sz w:val="24"/>
          <w:szCs w:val="24"/>
        </w:rPr>
        <w:t>Haematology</w:t>
      </w:r>
      <w:proofErr w:type="spellEnd"/>
      <w:r w:rsidRPr="001460EC">
        <w:rPr>
          <w:sz w:val="24"/>
          <w:szCs w:val="24"/>
        </w:rPr>
        <w:t xml:space="preserve"> and Blood Transfusion, 37(1-2), 1-14. </w:t>
      </w:r>
      <w:hyperlink r:id="rId23" w:tgtFrame="_blank" w:history="1">
        <w:r w:rsidRPr="001460EC">
          <w:rPr>
            <w:rStyle w:val="Hyperlink"/>
            <w:sz w:val="24"/>
            <w:szCs w:val="24"/>
          </w:rPr>
          <w:t>https://pmc.ncbi.nlm.nih.gov/articles/PMC11532670/</w:t>
        </w:r>
      </w:hyperlink>
    </w:p>
    <w:p w:rsidR="0025421B" w:rsidRPr="001460EC" w:rsidRDefault="0025421B" w:rsidP="0025421B">
      <w:pPr>
        <w:ind w:left="720" w:hanging="720"/>
        <w:jc w:val="both"/>
        <w:rPr>
          <w:sz w:val="24"/>
          <w:szCs w:val="24"/>
        </w:rPr>
      </w:pPr>
      <w:r w:rsidRPr="001460EC">
        <w:rPr>
          <w:sz w:val="24"/>
          <w:szCs w:val="24"/>
        </w:rPr>
        <w:t>World Health Organization. (2025). Blood safety. Retrieved from </w:t>
      </w:r>
      <w:hyperlink r:id="rId24" w:tgtFrame="_blank" w:history="1">
        <w:r w:rsidRPr="001460EC">
          <w:rPr>
            <w:rStyle w:val="Hyperlink"/>
            <w:sz w:val="24"/>
            <w:szCs w:val="24"/>
          </w:rPr>
          <w:t>https://www.afro.who.int/health-topics/blood-safety</w:t>
        </w:r>
      </w:hyperlink>
    </w:p>
    <w:p w:rsidR="0025421B" w:rsidRPr="001B5259" w:rsidRDefault="0025421B" w:rsidP="0025421B">
      <w:pPr>
        <w:ind w:left="720" w:hanging="720"/>
        <w:jc w:val="both"/>
        <w:rPr>
          <w:sz w:val="24"/>
          <w:szCs w:val="24"/>
        </w:rPr>
      </w:pPr>
      <w:r w:rsidRPr="001460EC">
        <w:rPr>
          <w:sz w:val="24"/>
          <w:szCs w:val="24"/>
        </w:rPr>
        <w:t>Zhang, Zheng. (2019). Host genetic determinants of hepatitis B virus infection. Frontiers in Immunology, 10, 2554. </w:t>
      </w:r>
      <w:hyperlink r:id="rId25" w:tgtFrame="_blank" w:history="1">
        <w:r w:rsidRPr="001460EC">
          <w:rPr>
            <w:rStyle w:val="Hyperlink"/>
            <w:sz w:val="24"/>
            <w:szCs w:val="24"/>
          </w:rPr>
          <w:t>https://www.ncbi.nlm.nih.gov/pmc/articles/PMC6702792/</w:t>
        </w:r>
      </w:hyperlink>
    </w:p>
    <w:p w:rsidR="0025421B" w:rsidRPr="0025421B" w:rsidRDefault="0025421B" w:rsidP="00EF52F0">
      <w:pPr>
        <w:spacing w:line="360" w:lineRule="auto"/>
        <w:jc w:val="both"/>
        <w:rPr>
          <w:rFonts w:cstheme="minorHAnsi"/>
          <w:b/>
          <w:sz w:val="24"/>
          <w:szCs w:val="24"/>
        </w:rPr>
      </w:pPr>
    </w:p>
    <w:sectPr w:rsidR="0025421B" w:rsidRPr="0025421B" w:rsidSect="0042611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EAD" w:rsidRDefault="007E7EAD" w:rsidP="0065090A">
      <w:pPr>
        <w:spacing w:after="0" w:line="240" w:lineRule="auto"/>
      </w:pPr>
      <w:r>
        <w:separator/>
      </w:r>
    </w:p>
  </w:endnote>
  <w:endnote w:type="continuationSeparator" w:id="0">
    <w:p w:rsidR="007E7EAD" w:rsidRDefault="007E7EAD" w:rsidP="0065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EAD" w:rsidRDefault="007E7EAD" w:rsidP="0065090A">
      <w:pPr>
        <w:spacing w:after="0" w:line="240" w:lineRule="auto"/>
      </w:pPr>
      <w:r>
        <w:separator/>
      </w:r>
    </w:p>
  </w:footnote>
  <w:footnote w:type="continuationSeparator" w:id="0">
    <w:p w:rsidR="007E7EAD" w:rsidRDefault="007E7EAD" w:rsidP="0065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5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5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9C" w:rsidRDefault="004C68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5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090F"/>
    <w:multiLevelType w:val="multilevel"/>
    <w:tmpl w:val="652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0730B"/>
    <w:multiLevelType w:val="hybridMultilevel"/>
    <w:tmpl w:val="67A8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66F61"/>
    <w:multiLevelType w:val="multilevel"/>
    <w:tmpl w:val="60A4E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3130C"/>
    <w:multiLevelType w:val="hybridMultilevel"/>
    <w:tmpl w:val="B6B0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20114"/>
    <w:multiLevelType w:val="hybridMultilevel"/>
    <w:tmpl w:val="2E1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24667"/>
    <w:multiLevelType w:val="multilevel"/>
    <w:tmpl w:val="466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14350"/>
    <w:multiLevelType w:val="hybridMultilevel"/>
    <w:tmpl w:val="3AD4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207F7"/>
    <w:multiLevelType w:val="hybridMultilevel"/>
    <w:tmpl w:val="8B4ED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50495B"/>
    <w:multiLevelType w:val="multilevel"/>
    <w:tmpl w:val="CB3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26117"/>
    <w:multiLevelType w:val="multilevel"/>
    <w:tmpl w:val="E40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C60ED"/>
    <w:multiLevelType w:val="multilevel"/>
    <w:tmpl w:val="3B5E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2"/>
  </w:num>
  <w:num w:numId="5">
    <w:abstractNumId w:val="10"/>
  </w:num>
  <w:num w:numId="6">
    <w:abstractNumId w:val="0"/>
  </w:num>
  <w:num w:numId="7">
    <w:abstractNumId w:val="3"/>
  </w:num>
  <w:num w:numId="8">
    <w:abstractNumId w:val="6"/>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B01"/>
    <w:rsid w:val="00015376"/>
    <w:rsid w:val="000364D7"/>
    <w:rsid w:val="000526C0"/>
    <w:rsid w:val="000F2DAB"/>
    <w:rsid w:val="00144AA7"/>
    <w:rsid w:val="001460EC"/>
    <w:rsid w:val="00166B69"/>
    <w:rsid w:val="001E0BA5"/>
    <w:rsid w:val="0025421B"/>
    <w:rsid w:val="00281FEC"/>
    <w:rsid w:val="00393C0E"/>
    <w:rsid w:val="00426112"/>
    <w:rsid w:val="00454AC0"/>
    <w:rsid w:val="004A1E97"/>
    <w:rsid w:val="004C689C"/>
    <w:rsid w:val="004F05D3"/>
    <w:rsid w:val="0059164A"/>
    <w:rsid w:val="0063208B"/>
    <w:rsid w:val="0065090A"/>
    <w:rsid w:val="007D5B01"/>
    <w:rsid w:val="007E7EAD"/>
    <w:rsid w:val="00821BB6"/>
    <w:rsid w:val="008F33E2"/>
    <w:rsid w:val="009044AB"/>
    <w:rsid w:val="0090527F"/>
    <w:rsid w:val="00955304"/>
    <w:rsid w:val="009E0F13"/>
    <w:rsid w:val="009E75C9"/>
    <w:rsid w:val="00A8729A"/>
    <w:rsid w:val="00BA74FB"/>
    <w:rsid w:val="00D74070"/>
    <w:rsid w:val="00EF52F0"/>
    <w:rsid w:val="00F3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60EE8"/>
  <w15:docId w15:val="{243640C5-B802-43E9-92F7-7E3019E7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112"/>
  </w:style>
  <w:style w:type="paragraph" w:styleId="Heading1">
    <w:name w:val="heading 1"/>
    <w:basedOn w:val="Normal"/>
    <w:link w:val="Heading1Char"/>
    <w:uiPriority w:val="9"/>
    <w:qFormat/>
    <w:rsid w:val="007D5B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5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D5B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5B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B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5B01"/>
    <w:rPr>
      <w:rFonts w:ascii="Times New Roman" w:eastAsia="Times New Roman" w:hAnsi="Times New Roman" w:cs="Times New Roman"/>
      <w:b/>
      <w:bCs/>
      <w:sz w:val="36"/>
      <w:szCs w:val="36"/>
    </w:rPr>
  </w:style>
  <w:style w:type="paragraph" w:styleId="NormalWeb">
    <w:name w:val="Normal (Web)"/>
    <w:basedOn w:val="Normal"/>
    <w:uiPriority w:val="99"/>
    <w:unhideWhenUsed/>
    <w:rsid w:val="007D5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B01"/>
    <w:rPr>
      <w:b/>
      <w:bCs/>
    </w:rPr>
  </w:style>
  <w:style w:type="character" w:styleId="Emphasis">
    <w:name w:val="Emphasis"/>
    <w:basedOn w:val="DefaultParagraphFont"/>
    <w:uiPriority w:val="20"/>
    <w:qFormat/>
    <w:rsid w:val="007D5B01"/>
    <w:rPr>
      <w:i/>
      <w:iCs/>
    </w:rPr>
  </w:style>
  <w:style w:type="character" w:customStyle="1" w:styleId="Heading3Char">
    <w:name w:val="Heading 3 Char"/>
    <w:basedOn w:val="DefaultParagraphFont"/>
    <w:link w:val="Heading3"/>
    <w:uiPriority w:val="9"/>
    <w:semiHidden/>
    <w:rsid w:val="007D5B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D5B01"/>
    <w:rPr>
      <w:rFonts w:asciiTheme="majorHAnsi" w:eastAsiaTheme="majorEastAsia" w:hAnsiTheme="majorHAnsi" w:cstheme="majorBidi"/>
      <w:b/>
      <w:bCs/>
      <w:i/>
      <w:iCs/>
      <w:color w:val="4F81BD" w:themeColor="accent1"/>
    </w:rPr>
  </w:style>
  <w:style w:type="character" w:customStyle="1" w:styleId="mord">
    <w:name w:val="mord"/>
    <w:basedOn w:val="DefaultParagraphFont"/>
    <w:rsid w:val="00F37AFD"/>
  </w:style>
  <w:style w:type="character" w:customStyle="1" w:styleId="mbin">
    <w:name w:val="mbin"/>
    <w:basedOn w:val="DefaultParagraphFont"/>
    <w:rsid w:val="00F37AFD"/>
  </w:style>
  <w:style w:type="character" w:customStyle="1" w:styleId="vlist-s">
    <w:name w:val="vlist-s"/>
    <w:basedOn w:val="DefaultParagraphFont"/>
    <w:rsid w:val="00F37AFD"/>
  </w:style>
  <w:style w:type="character" w:customStyle="1" w:styleId="mopen">
    <w:name w:val="mopen"/>
    <w:basedOn w:val="DefaultParagraphFont"/>
    <w:rsid w:val="00F37AFD"/>
  </w:style>
  <w:style w:type="character" w:customStyle="1" w:styleId="mclose">
    <w:name w:val="mclose"/>
    <w:basedOn w:val="DefaultParagraphFont"/>
    <w:rsid w:val="00F37AFD"/>
  </w:style>
  <w:style w:type="character" w:customStyle="1" w:styleId="mrel">
    <w:name w:val="mrel"/>
    <w:basedOn w:val="DefaultParagraphFont"/>
    <w:rsid w:val="00F37AFD"/>
  </w:style>
  <w:style w:type="paragraph" w:styleId="Caption">
    <w:name w:val="caption"/>
    <w:basedOn w:val="Normal"/>
    <w:next w:val="Normal"/>
    <w:uiPriority w:val="35"/>
    <w:unhideWhenUsed/>
    <w:qFormat/>
    <w:rsid w:val="00821BB6"/>
    <w:pPr>
      <w:spacing w:line="240" w:lineRule="auto"/>
    </w:pPr>
    <w:rPr>
      <w:i/>
      <w:iCs/>
      <w:color w:val="1F497D" w:themeColor="text2"/>
      <w:kern w:val="2"/>
      <w:sz w:val="18"/>
      <w:szCs w:val="18"/>
    </w:rPr>
  </w:style>
  <w:style w:type="paragraph" w:customStyle="1" w:styleId="FirstParagraph">
    <w:name w:val="First Paragraph"/>
    <w:basedOn w:val="BodyText"/>
    <w:next w:val="BodyText"/>
    <w:rsid w:val="00821BB6"/>
    <w:pPr>
      <w:spacing w:before="180" w:after="180" w:line="240" w:lineRule="auto"/>
    </w:pPr>
    <w:rPr>
      <w:sz w:val="24"/>
      <w:szCs w:val="24"/>
    </w:rPr>
  </w:style>
  <w:style w:type="paragraph" w:customStyle="1" w:styleId="Compact">
    <w:name w:val="Compact"/>
    <w:basedOn w:val="BodyText"/>
    <w:rsid w:val="00821BB6"/>
    <w:pPr>
      <w:spacing w:before="36" w:after="36" w:line="240" w:lineRule="auto"/>
    </w:pPr>
    <w:rPr>
      <w:sz w:val="24"/>
      <w:szCs w:val="24"/>
    </w:rPr>
  </w:style>
  <w:style w:type="table" w:customStyle="1" w:styleId="ListTable6Colorful1">
    <w:name w:val="List Table 6 Colorful1"/>
    <w:basedOn w:val="TableNormal"/>
    <w:uiPriority w:val="51"/>
    <w:rsid w:val="00821BB6"/>
    <w:pPr>
      <w:spacing w:after="0" w:line="240" w:lineRule="auto"/>
    </w:pPr>
    <w:rPr>
      <w:color w:val="000000" w:themeColor="text1"/>
      <w:kern w:val="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821BB6"/>
    <w:pPr>
      <w:spacing w:after="120"/>
    </w:pPr>
  </w:style>
  <w:style w:type="character" w:customStyle="1" w:styleId="BodyTextChar">
    <w:name w:val="Body Text Char"/>
    <w:basedOn w:val="DefaultParagraphFont"/>
    <w:link w:val="BodyText"/>
    <w:uiPriority w:val="99"/>
    <w:semiHidden/>
    <w:rsid w:val="00821BB6"/>
  </w:style>
  <w:style w:type="paragraph" w:styleId="BlockText">
    <w:name w:val="Block Text"/>
    <w:basedOn w:val="BodyText"/>
    <w:next w:val="BodyText"/>
    <w:uiPriority w:val="9"/>
    <w:unhideWhenUsed/>
    <w:rsid w:val="00821BB6"/>
    <w:pPr>
      <w:spacing w:before="100" w:after="100" w:line="240" w:lineRule="auto"/>
      <w:ind w:left="480" w:right="480"/>
    </w:pPr>
    <w:rPr>
      <w:sz w:val="24"/>
      <w:szCs w:val="24"/>
    </w:rPr>
  </w:style>
  <w:style w:type="table" w:customStyle="1" w:styleId="Table">
    <w:name w:val="Table"/>
    <w:semiHidden/>
    <w:unhideWhenUsed/>
    <w:qFormat/>
    <w:rsid w:val="00821BB6"/>
    <w:pPr>
      <w:spacing w:line="240" w:lineRule="auto"/>
    </w:pPr>
    <w:rPr>
      <w:sz w:val="24"/>
      <w:szCs w:val="24"/>
      <w:lang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821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B6"/>
    <w:rPr>
      <w:rFonts w:ascii="Tahoma" w:hAnsi="Tahoma" w:cs="Tahoma"/>
      <w:sz w:val="16"/>
      <w:szCs w:val="16"/>
    </w:rPr>
  </w:style>
  <w:style w:type="paragraph" w:styleId="Header">
    <w:name w:val="header"/>
    <w:basedOn w:val="Normal"/>
    <w:link w:val="HeaderChar"/>
    <w:uiPriority w:val="99"/>
    <w:unhideWhenUsed/>
    <w:rsid w:val="0065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0A"/>
  </w:style>
  <w:style w:type="paragraph" w:styleId="Footer">
    <w:name w:val="footer"/>
    <w:basedOn w:val="Normal"/>
    <w:link w:val="FooterChar"/>
    <w:uiPriority w:val="99"/>
    <w:unhideWhenUsed/>
    <w:rsid w:val="0065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0A"/>
  </w:style>
  <w:style w:type="paragraph" w:styleId="ListParagraph">
    <w:name w:val="List Paragraph"/>
    <w:basedOn w:val="Normal"/>
    <w:uiPriority w:val="34"/>
    <w:qFormat/>
    <w:rsid w:val="00EF52F0"/>
    <w:pPr>
      <w:ind w:left="720"/>
      <w:contextualSpacing/>
    </w:pPr>
  </w:style>
  <w:style w:type="character" w:styleId="Hyperlink">
    <w:name w:val="Hyperlink"/>
    <w:basedOn w:val="DefaultParagraphFont"/>
    <w:uiPriority w:val="99"/>
    <w:unhideWhenUsed/>
    <w:rsid w:val="0025421B"/>
    <w:rPr>
      <w:color w:val="0000FF"/>
      <w:u w:val="single"/>
    </w:rPr>
  </w:style>
  <w:style w:type="character" w:styleId="UnresolvedMention">
    <w:name w:val="Unresolved Mention"/>
    <w:basedOn w:val="DefaultParagraphFont"/>
    <w:uiPriority w:val="99"/>
    <w:semiHidden/>
    <w:unhideWhenUsed/>
    <w:rsid w:val="0063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226">
      <w:bodyDiv w:val="1"/>
      <w:marLeft w:val="0"/>
      <w:marRight w:val="0"/>
      <w:marTop w:val="0"/>
      <w:marBottom w:val="0"/>
      <w:divBdr>
        <w:top w:val="none" w:sz="0" w:space="0" w:color="auto"/>
        <w:left w:val="none" w:sz="0" w:space="0" w:color="auto"/>
        <w:bottom w:val="none" w:sz="0" w:space="0" w:color="auto"/>
        <w:right w:val="none" w:sz="0" w:space="0" w:color="auto"/>
      </w:divBdr>
    </w:div>
    <w:div w:id="73819813">
      <w:bodyDiv w:val="1"/>
      <w:marLeft w:val="0"/>
      <w:marRight w:val="0"/>
      <w:marTop w:val="0"/>
      <w:marBottom w:val="0"/>
      <w:divBdr>
        <w:top w:val="none" w:sz="0" w:space="0" w:color="auto"/>
        <w:left w:val="none" w:sz="0" w:space="0" w:color="auto"/>
        <w:bottom w:val="none" w:sz="0" w:space="0" w:color="auto"/>
        <w:right w:val="none" w:sz="0" w:space="0" w:color="auto"/>
      </w:divBdr>
    </w:div>
    <w:div w:id="92482599">
      <w:bodyDiv w:val="1"/>
      <w:marLeft w:val="0"/>
      <w:marRight w:val="0"/>
      <w:marTop w:val="0"/>
      <w:marBottom w:val="0"/>
      <w:divBdr>
        <w:top w:val="none" w:sz="0" w:space="0" w:color="auto"/>
        <w:left w:val="none" w:sz="0" w:space="0" w:color="auto"/>
        <w:bottom w:val="none" w:sz="0" w:space="0" w:color="auto"/>
        <w:right w:val="none" w:sz="0" w:space="0" w:color="auto"/>
      </w:divBdr>
    </w:div>
    <w:div w:id="107359885">
      <w:bodyDiv w:val="1"/>
      <w:marLeft w:val="0"/>
      <w:marRight w:val="0"/>
      <w:marTop w:val="0"/>
      <w:marBottom w:val="0"/>
      <w:divBdr>
        <w:top w:val="none" w:sz="0" w:space="0" w:color="auto"/>
        <w:left w:val="none" w:sz="0" w:space="0" w:color="auto"/>
        <w:bottom w:val="none" w:sz="0" w:space="0" w:color="auto"/>
        <w:right w:val="none" w:sz="0" w:space="0" w:color="auto"/>
      </w:divBdr>
    </w:div>
    <w:div w:id="132673237">
      <w:bodyDiv w:val="1"/>
      <w:marLeft w:val="0"/>
      <w:marRight w:val="0"/>
      <w:marTop w:val="0"/>
      <w:marBottom w:val="0"/>
      <w:divBdr>
        <w:top w:val="none" w:sz="0" w:space="0" w:color="auto"/>
        <w:left w:val="none" w:sz="0" w:space="0" w:color="auto"/>
        <w:bottom w:val="none" w:sz="0" w:space="0" w:color="auto"/>
        <w:right w:val="none" w:sz="0" w:space="0" w:color="auto"/>
      </w:divBdr>
    </w:div>
    <w:div w:id="139420319">
      <w:bodyDiv w:val="1"/>
      <w:marLeft w:val="0"/>
      <w:marRight w:val="0"/>
      <w:marTop w:val="0"/>
      <w:marBottom w:val="0"/>
      <w:divBdr>
        <w:top w:val="none" w:sz="0" w:space="0" w:color="auto"/>
        <w:left w:val="none" w:sz="0" w:space="0" w:color="auto"/>
        <w:bottom w:val="none" w:sz="0" w:space="0" w:color="auto"/>
        <w:right w:val="none" w:sz="0" w:space="0" w:color="auto"/>
      </w:divBdr>
    </w:div>
    <w:div w:id="142359953">
      <w:bodyDiv w:val="1"/>
      <w:marLeft w:val="0"/>
      <w:marRight w:val="0"/>
      <w:marTop w:val="0"/>
      <w:marBottom w:val="0"/>
      <w:divBdr>
        <w:top w:val="none" w:sz="0" w:space="0" w:color="auto"/>
        <w:left w:val="none" w:sz="0" w:space="0" w:color="auto"/>
        <w:bottom w:val="none" w:sz="0" w:space="0" w:color="auto"/>
        <w:right w:val="none" w:sz="0" w:space="0" w:color="auto"/>
      </w:divBdr>
    </w:div>
    <w:div w:id="255483528">
      <w:bodyDiv w:val="1"/>
      <w:marLeft w:val="0"/>
      <w:marRight w:val="0"/>
      <w:marTop w:val="0"/>
      <w:marBottom w:val="0"/>
      <w:divBdr>
        <w:top w:val="none" w:sz="0" w:space="0" w:color="auto"/>
        <w:left w:val="none" w:sz="0" w:space="0" w:color="auto"/>
        <w:bottom w:val="none" w:sz="0" w:space="0" w:color="auto"/>
        <w:right w:val="none" w:sz="0" w:space="0" w:color="auto"/>
      </w:divBdr>
    </w:div>
    <w:div w:id="311715683">
      <w:bodyDiv w:val="1"/>
      <w:marLeft w:val="0"/>
      <w:marRight w:val="0"/>
      <w:marTop w:val="0"/>
      <w:marBottom w:val="0"/>
      <w:divBdr>
        <w:top w:val="none" w:sz="0" w:space="0" w:color="auto"/>
        <w:left w:val="none" w:sz="0" w:space="0" w:color="auto"/>
        <w:bottom w:val="none" w:sz="0" w:space="0" w:color="auto"/>
        <w:right w:val="none" w:sz="0" w:space="0" w:color="auto"/>
      </w:divBdr>
    </w:div>
    <w:div w:id="313491053">
      <w:bodyDiv w:val="1"/>
      <w:marLeft w:val="0"/>
      <w:marRight w:val="0"/>
      <w:marTop w:val="0"/>
      <w:marBottom w:val="0"/>
      <w:divBdr>
        <w:top w:val="none" w:sz="0" w:space="0" w:color="auto"/>
        <w:left w:val="none" w:sz="0" w:space="0" w:color="auto"/>
        <w:bottom w:val="none" w:sz="0" w:space="0" w:color="auto"/>
        <w:right w:val="none" w:sz="0" w:space="0" w:color="auto"/>
      </w:divBdr>
    </w:div>
    <w:div w:id="385183660">
      <w:bodyDiv w:val="1"/>
      <w:marLeft w:val="0"/>
      <w:marRight w:val="0"/>
      <w:marTop w:val="0"/>
      <w:marBottom w:val="0"/>
      <w:divBdr>
        <w:top w:val="none" w:sz="0" w:space="0" w:color="auto"/>
        <w:left w:val="none" w:sz="0" w:space="0" w:color="auto"/>
        <w:bottom w:val="none" w:sz="0" w:space="0" w:color="auto"/>
        <w:right w:val="none" w:sz="0" w:space="0" w:color="auto"/>
      </w:divBdr>
    </w:div>
    <w:div w:id="495731830">
      <w:bodyDiv w:val="1"/>
      <w:marLeft w:val="0"/>
      <w:marRight w:val="0"/>
      <w:marTop w:val="0"/>
      <w:marBottom w:val="0"/>
      <w:divBdr>
        <w:top w:val="none" w:sz="0" w:space="0" w:color="auto"/>
        <w:left w:val="none" w:sz="0" w:space="0" w:color="auto"/>
        <w:bottom w:val="none" w:sz="0" w:space="0" w:color="auto"/>
        <w:right w:val="none" w:sz="0" w:space="0" w:color="auto"/>
      </w:divBdr>
    </w:div>
    <w:div w:id="576745235">
      <w:bodyDiv w:val="1"/>
      <w:marLeft w:val="0"/>
      <w:marRight w:val="0"/>
      <w:marTop w:val="0"/>
      <w:marBottom w:val="0"/>
      <w:divBdr>
        <w:top w:val="none" w:sz="0" w:space="0" w:color="auto"/>
        <w:left w:val="none" w:sz="0" w:space="0" w:color="auto"/>
        <w:bottom w:val="none" w:sz="0" w:space="0" w:color="auto"/>
        <w:right w:val="none" w:sz="0" w:space="0" w:color="auto"/>
      </w:divBdr>
    </w:div>
    <w:div w:id="603418962">
      <w:bodyDiv w:val="1"/>
      <w:marLeft w:val="0"/>
      <w:marRight w:val="0"/>
      <w:marTop w:val="0"/>
      <w:marBottom w:val="0"/>
      <w:divBdr>
        <w:top w:val="none" w:sz="0" w:space="0" w:color="auto"/>
        <w:left w:val="none" w:sz="0" w:space="0" w:color="auto"/>
        <w:bottom w:val="none" w:sz="0" w:space="0" w:color="auto"/>
        <w:right w:val="none" w:sz="0" w:space="0" w:color="auto"/>
      </w:divBdr>
    </w:div>
    <w:div w:id="649138548">
      <w:bodyDiv w:val="1"/>
      <w:marLeft w:val="0"/>
      <w:marRight w:val="0"/>
      <w:marTop w:val="0"/>
      <w:marBottom w:val="0"/>
      <w:divBdr>
        <w:top w:val="none" w:sz="0" w:space="0" w:color="auto"/>
        <w:left w:val="none" w:sz="0" w:space="0" w:color="auto"/>
        <w:bottom w:val="none" w:sz="0" w:space="0" w:color="auto"/>
        <w:right w:val="none" w:sz="0" w:space="0" w:color="auto"/>
      </w:divBdr>
    </w:div>
    <w:div w:id="767845881">
      <w:bodyDiv w:val="1"/>
      <w:marLeft w:val="0"/>
      <w:marRight w:val="0"/>
      <w:marTop w:val="0"/>
      <w:marBottom w:val="0"/>
      <w:divBdr>
        <w:top w:val="none" w:sz="0" w:space="0" w:color="auto"/>
        <w:left w:val="none" w:sz="0" w:space="0" w:color="auto"/>
        <w:bottom w:val="none" w:sz="0" w:space="0" w:color="auto"/>
        <w:right w:val="none" w:sz="0" w:space="0" w:color="auto"/>
      </w:divBdr>
    </w:div>
    <w:div w:id="818309013">
      <w:bodyDiv w:val="1"/>
      <w:marLeft w:val="0"/>
      <w:marRight w:val="0"/>
      <w:marTop w:val="0"/>
      <w:marBottom w:val="0"/>
      <w:divBdr>
        <w:top w:val="none" w:sz="0" w:space="0" w:color="auto"/>
        <w:left w:val="none" w:sz="0" w:space="0" w:color="auto"/>
        <w:bottom w:val="none" w:sz="0" w:space="0" w:color="auto"/>
        <w:right w:val="none" w:sz="0" w:space="0" w:color="auto"/>
      </w:divBdr>
    </w:div>
    <w:div w:id="834031431">
      <w:bodyDiv w:val="1"/>
      <w:marLeft w:val="0"/>
      <w:marRight w:val="0"/>
      <w:marTop w:val="0"/>
      <w:marBottom w:val="0"/>
      <w:divBdr>
        <w:top w:val="none" w:sz="0" w:space="0" w:color="auto"/>
        <w:left w:val="none" w:sz="0" w:space="0" w:color="auto"/>
        <w:bottom w:val="none" w:sz="0" w:space="0" w:color="auto"/>
        <w:right w:val="none" w:sz="0" w:space="0" w:color="auto"/>
      </w:divBdr>
    </w:div>
    <w:div w:id="988512123">
      <w:bodyDiv w:val="1"/>
      <w:marLeft w:val="0"/>
      <w:marRight w:val="0"/>
      <w:marTop w:val="0"/>
      <w:marBottom w:val="0"/>
      <w:divBdr>
        <w:top w:val="none" w:sz="0" w:space="0" w:color="auto"/>
        <w:left w:val="none" w:sz="0" w:space="0" w:color="auto"/>
        <w:bottom w:val="none" w:sz="0" w:space="0" w:color="auto"/>
        <w:right w:val="none" w:sz="0" w:space="0" w:color="auto"/>
      </w:divBdr>
    </w:div>
    <w:div w:id="1001658406">
      <w:bodyDiv w:val="1"/>
      <w:marLeft w:val="0"/>
      <w:marRight w:val="0"/>
      <w:marTop w:val="0"/>
      <w:marBottom w:val="0"/>
      <w:divBdr>
        <w:top w:val="none" w:sz="0" w:space="0" w:color="auto"/>
        <w:left w:val="none" w:sz="0" w:space="0" w:color="auto"/>
        <w:bottom w:val="none" w:sz="0" w:space="0" w:color="auto"/>
        <w:right w:val="none" w:sz="0" w:space="0" w:color="auto"/>
      </w:divBdr>
    </w:div>
    <w:div w:id="1005596335">
      <w:bodyDiv w:val="1"/>
      <w:marLeft w:val="0"/>
      <w:marRight w:val="0"/>
      <w:marTop w:val="0"/>
      <w:marBottom w:val="0"/>
      <w:divBdr>
        <w:top w:val="none" w:sz="0" w:space="0" w:color="auto"/>
        <w:left w:val="none" w:sz="0" w:space="0" w:color="auto"/>
        <w:bottom w:val="none" w:sz="0" w:space="0" w:color="auto"/>
        <w:right w:val="none" w:sz="0" w:space="0" w:color="auto"/>
      </w:divBdr>
    </w:div>
    <w:div w:id="1175803627">
      <w:bodyDiv w:val="1"/>
      <w:marLeft w:val="0"/>
      <w:marRight w:val="0"/>
      <w:marTop w:val="0"/>
      <w:marBottom w:val="0"/>
      <w:divBdr>
        <w:top w:val="none" w:sz="0" w:space="0" w:color="auto"/>
        <w:left w:val="none" w:sz="0" w:space="0" w:color="auto"/>
        <w:bottom w:val="none" w:sz="0" w:space="0" w:color="auto"/>
        <w:right w:val="none" w:sz="0" w:space="0" w:color="auto"/>
      </w:divBdr>
    </w:div>
    <w:div w:id="1199198609">
      <w:bodyDiv w:val="1"/>
      <w:marLeft w:val="0"/>
      <w:marRight w:val="0"/>
      <w:marTop w:val="0"/>
      <w:marBottom w:val="0"/>
      <w:divBdr>
        <w:top w:val="none" w:sz="0" w:space="0" w:color="auto"/>
        <w:left w:val="none" w:sz="0" w:space="0" w:color="auto"/>
        <w:bottom w:val="none" w:sz="0" w:space="0" w:color="auto"/>
        <w:right w:val="none" w:sz="0" w:space="0" w:color="auto"/>
      </w:divBdr>
    </w:div>
    <w:div w:id="1314798288">
      <w:bodyDiv w:val="1"/>
      <w:marLeft w:val="0"/>
      <w:marRight w:val="0"/>
      <w:marTop w:val="0"/>
      <w:marBottom w:val="0"/>
      <w:divBdr>
        <w:top w:val="none" w:sz="0" w:space="0" w:color="auto"/>
        <w:left w:val="none" w:sz="0" w:space="0" w:color="auto"/>
        <w:bottom w:val="none" w:sz="0" w:space="0" w:color="auto"/>
        <w:right w:val="none" w:sz="0" w:space="0" w:color="auto"/>
      </w:divBdr>
    </w:div>
    <w:div w:id="1409307297">
      <w:bodyDiv w:val="1"/>
      <w:marLeft w:val="0"/>
      <w:marRight w:val="0"/>
      <w:marTop w:val="0"/>
      <w:marBottom w:val="0"/>
      <w:divBdr>
        <w:top w:val="none" w:sz="0" w:space="0" w:color="auto"/>
        <w:left w:val="none" w:sz="0" w:space="0" w:color="auto"/>
        <w:bottom w:val="none" w:sz="0" w:space="0" w:color="auto"/>
        <w:right w:val="none" w:sz="0" w:space="0" w:color="auto"/>
      </w:divBdr>
    </w:div>
    <w:div w:id="1425958035">
      <w:bodyDiv w:val="1"/>
      <w:marLeft w:val="0"/>
      <w:marRight w:val="0"/>
      <w:marTop w:val="0"/>
      <w:marBottom w:val="0"/>
      <w:divBdr>
        <w:top w:val="none" w:sz="0" w:space="0" w:color="auto"/>
        <w:left w:val="none" w:sz="0" w:space="0" w:color="auto"/>
        <w:bottom w:val="none" w:sz="0" w:space="0" w:color="auto"/>
        <w:right w:val="none" w:sz="0" w:space="0" w:color="auto"/>
      </w:divBdr>
    </w:div>
    <w:div w:id="1461994681">
      <w:bodyDiv w:val="1"/>
      <w:marLeft w:val="0"/>
      <w:marRight w:val="0"/>
      <w:marTop w:val="0"/>
      <w:marBottom w:val="0"/>
      <w:divBdr>
        <w:top w:val="none" w:sz="0" w:space="0" w:color="auto"/>
        <w:left w:val="none" w:sz="0" w:space="0" w:color="auto"/>
        <w:bottom w:val="none" w:sz="0" w:space="0" w:color="auto"/>
        <w:right w:val="none" w:sz="0" w:space="0" w:color="auto"/>
      </w:divBdr>
    </w:div>
    <w:div w:id="1585917290">
      <w:bodyDiv w:val="1"/>
      <w:marLeft w:val="0"/>
      <w:marRight w:val="0"/>
      <w:marTop w:val="0"/>
      <w:marBottom w:val="0"/>
      <w:divBdr>
        <w:top w:val="none" w:sz="0" w:space="0" w:color="auto"/>
        <w:left w:val="none" w:sz="0" w:space="0" w:color="auto"/>
        <w:bottom w:val="none" w:sz="0" w:space="0" w:color="auto"/>
        <w:right w:val="none" w:sz="0" w:space="0" w:color="auto"/>
      </w:divBdr>
    </w:div>
    <w:div w:id="1669745550">
      <w:bodyDiv w:val="1"/>
      <w:marLeft w:val="0"/>
      <w:marRight w:val="0"/>
      <w:marTop w:val="0"/>
      <w:marBottom w:val="0"/>
      <w:divBdr>
        <w:top w:val="none" w:sz="0" w:space="0" w:color="auto"/>
        <w:left w:val="none" w:sz="0" w:space="0" w:color="auto"/>
        <w:bottom w:val="none" w:sz="0" w:space="0" w:color="auto"/>
        <w:right w:val="none" w:sz="0" w:space="0" w:color="auto"/>
      </w:divBdr>
    </w:div>
    <w:div w:id="1700617968">
      <w:bodyDiv w:val="1"/>
      <w:marLeft w:val="0"/>
      <w:marRight w:val="0"/>
      <w:marTop w:val="0"/>
      <w:marBottom w:val="0"/>
      <w:divBdr>
        <w:top w:val="none" w:sz="0" w:space="0" w:color="auto"/>
        <w:left w:val="none" w:sz="0" w:space="0" w:color="auto"/>
        <w:bottom w:val="none" w:sz="0" w:space="0" w:color="auto"/>
        <w:right w:val="none" w:sz="0" w:space="0" w:color="auto"/>
      </w:divBdr>
    </w:div>
    <w:div w:id="1809932058">
      <w:bodyDiv w:val="1"/>
      <w:marLeft w:val="0"/>
      <w:marRight w:val="0"/>
      <w:marTop w:val="0"/>
      <w:marBottom w:val="0"/>
      <w:divBdr>
        <w:top w:val="none" w:sz="0" w:space="0" w:color="auto"/>
        <w:left w:val="none" w:sz="0" w:space="0" w:color="auto"/>
        <w:bottom w:val="none" w:sz="0" w:space="0" w:color="auto"/>
        <w:right w:val="none" w:sz="0" w:space="0" w:color="auto"/>
      </w:divBdr>
    </w:div>
    <w:div w:id="1832790730">
      <w:bodyDiv w:val="1"/>
      <w:marLeft w:val="0"/>
      <w:marRight w:val="0"/>
      <w:marTop w:val="0"/>
      <w:marBottom w:val="0"/>
      <w:divBdr>
        <w:top w:val="none" w:sz="0" w:space="0" w:color="auto"/>
        <w:left w:val="none" w:sz="0" w:space="0" w:color="auto"/>
        <w:bottom w:val="none" w:sz="0" w:space="0" w:color="auto"/>
        <w:right w:val="none" w:sz="0" w:space="0" w:color="auto"/>
      </w:divBdr>
    </w:div>
    <w:div w:id="1847281588">
      <w:bodyDiv w:val="1"/>
      <w:marLeft w:val="0"/>
      <w:marRight w:val="0"/>
      <w:marTop w:val="0"/>
      <w:marBottom w:val="0"/>
      <w:divBdr>
        <w:top w:val="none" w:sz="0" w:space="0" w:color="auto"/>
        <w:left w:val="none" w:sz="0" w:space="0" w:color="auto"/>
        <w:bottom w:val="none" w:sz="0" w:space="0" w:color="auto"/>
        <w:right w:val="none" w:sz="0" w:space="0" w:color="auto"/>
      </w:divBdr>
    </w:div>
    <w:div w:id="1926837677">
      <w:bodyDiv w:val="1"/>
      <w:marLeft w:val="0"/>
      <w:marRight w:val="0"/>
      <w:marTop w:val="0"/>
      <w:marBottom w:val="0"/>
      <w:divBdr>
        <w:top w:val="none" w:sz="0" w:space="0" w:color="auto"/>
        <w:left w:val="none" w:sz="0" w:space="0" w:color="auto"/>
        <w:bottom w:val="none" w:sz="0" w:space="0" w:color="auto"/>
        <w:right w:val="none" w:sz="0" w:space="0" w:color="auto"/>
      </w:divBdr>
    </w:div>
    <w:div w:id="1965577306">
      <w:bodyDiv w:val="1"/>
      <w:marLeft w:val="0"/>
      <w:marRight w:val="0"/>
      <w:marTop w:val="0"/>
      <w:marBottom w:val="0"/>
      <w:divBdr>
        <w:top w:val="none" w:sz="0" w:space="0" w:color="auto"/>
        <w:left w:val="none" w:sz="0" w:space="0" w:color="auto"/>
        <w:bottom w:val="none" w:sz="0" w:space="0" w:color="auto"/>
        <w:right w:val="none" w:sz="0" w:space="0" w:color="auto"/>
      </w:divBdr>
    </w:div>
    <w:div w:id="2013481806">
      <w:bodyDiv w:val="1"/>
      <w:marLeft w:val="0"/>
      <w:marRight w:val="0"/>
      <w:marTop w:val="0"/>
      <w:marBottom w:val="0"/>
      <w:divBdr>
        <w:top w:val="none" w:sz="0" w:space="0" w:color="auto"/>
        <w:left w:val="none" w:sz="0" w:space="0" w:color="auto"/>
        <w:bottom w:val="none" w:sz="0" w:space="0" w:color="auto"/>
        <w:right w:val="none" w:sz="0" w:space="0" w:color="auto"/>
      </w:divBdr>
    </w:div>
    <w:div w:id="2054383881">
      <w:bodyDiv w:val="1"/>
      <w:marLeft w:val="0"/>
      <w:marRight w:val="0"/>
      <w:marTop w:val="0"/>
      <w:marBottom w:val="0"/>
      <w:divBdr>
        <w:top w:val="none" w:sz="0" w:space="0" w:color="auto"/>
        <w:left w:val="none" w:sz="0" w:space="0" w:color="auto"/>
        <w:bottom w:val="none" w:sz="0" w:space="0" w:color="auto"/>
        <w:right w:val="none" w:sz="0" w:space="0" w:color="auto"/>
      </w:divBdr>
    </w:div>
    <w:div w:id="2063823988">
      <w:bodyDiv w:val="1"/>
      <w:marLeft w:val="0"/>
      <w:marRight w:val="0"/>
      <w:marTop w:val="0"/>
      <w:marBottom w:val="0"/>
      <w:divBdr>
        <w:top w:val="none" w:sz="0" w:space="0" w:color="auto"/>
        <w:left w:val="none" w:sz="0" w:space="0" w:color="auto"/>
        <w:bottom w:val="none" w:sz="0" w:space="0" w:color="auto"/>
        <w:right w:val="none" w:sz="0" w:space="0" w:color="auto"/>
      </w:divBdr>
    </w:div>
    <w:div w:id="2067875834">
      <w:bodyDiv w:val="1"/>
      <w:marLeft w:val="0"/>
      <w:marRight w:val="0"/>
      <w:marTop w:val="0"/>
      <w:marBottom w:val="0"/>
      <w:divBdr>
        <w:top w:val="none" w:sz="0" w:space="0" w:color="auto"/>
        <w:left w:val="none" w:sz="0" w:space="0" w:color="auto"/>
        <w:bottom w:val="none" w:sz="0" w:space="0" w:color="auto"/>
        <w:right w:val="none" w:sz="0" w:space="0" w:color="auto"/>
      </w:divBdr>
    </w:div>
    <w:div w:id="2075426729">
      <w:bodyDiv w:val="1"/>
      <w:marLeft w:val="0"/>
      <w:marRight w:val="0"/>
      <w:marTop w:val="0"/>
      <w:marBottom w:val="0"/>
      <w:divBdr>
        <w:top w:val="none" w:sz="0" w:space="0" w:color="auto"/>
        <w:left w:val="none" w:sz="0" w:space="0" w:color="auto"/>
        <w:bottom w:val="none" w:sz="0" w:space="0" w:color="auto"/>
        <w:right w:val="none" w:sz="0" w:space="0" w:color="auto"/>
      </w:divBdr>
    </w:div>
    <w:div w:id="2077589132">
      <w:bodyDiv w:val="1"/>
      <w:marLeft w:val="0"/>
      <w:marRight w:val="0"/>
      <w:marTop w:val="0"/>
      <w:marBottom w:val="0"/>
      <w:divBdr>
        <w:top w:val="none" w:sz="0" w:space="0" w:color="auto"/>
        <w:left w:val="none" w:sz="0" w:space="0" w:color="auto"/>
        <w:bottom w:val="none" w:sz="0" w:space="0" w:color="auto"/>
        <w:right w:val="none" w:sz="0" w:space="0" w:color="auto"/>
      </w:divBdr>
    </w:div>
    <w:div w:id="2095857513">
      <w:bodyDiv w:val="1"/>
      <w:marLeft w:val="0"/>
      <w:marRight w:val="0"/>
      <w:marTop w:val="0"/>
      <w:marBottom w:val="0"/>
      <w:divBdr>
        <w:top w:val="none" w:sz="0" w:space="0" w:color="auto"/>
        <w:left w:val="none" w:sz="0" w:space="0" w:color="auto"/>
        <w:bottom w:val="none" w:sz="0" w:space="0" w:color="auto"/>
        <w:right w:val="none" w:sz="0" w:space="0" w:color="auto"/>
      </w:divBdr>
    </w:div>
    <w:div w:id="21251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950194624001845" TargetMode="External"/><Relationship Id="rId18" Type="http://schemas.openxmlformats.org/officeDocument/2006/relationships/hyperlink" Target="https://www.opalco.com/wp-content/uploads/2014/10/Reading-Sample-Size1.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onlinelibrary.wiley.com/doi/10.1111/tme.13006" TargetMode="External"/><Relationship Id="rId7" Type="http://schemas.openxmlformats.org/officeDocument/2006/relationships/image" Target="media/image1.png"/><Relationship Id="rId12" Type="http://schemas.openxmlformats.org/officeDocument/2006/relationships/hyperlink" Target="https://www.sciencedirect.com/science/article/abs/pii/S1246782021000252" TargetMode="External"/><Relationship Id="rId17" Type="http://schemas.openxmlformats.org/officeDocument/2006/relationships/hyperlink" Target="https://pmc.ncbi.nlm.nih.gov/articles/PMC12060397/" TargetMode="External"/><Relationship Id="rId25" Type="http://schemas.openxmlformats.org/officeDocument/2006/relationships/hyperlink" Target="https://www.ncbi.nlm.nih.gov/pmc/articles/PMC67027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s.sagepub.com/doi/10.1177/23259582241274305" TargetMode="External"/><Relationship Id="rId20" Type="http://schemas.openxmlformats.org/officeDocument/2006/relationships/hyperlink" Target="https://pmc.ncbi.nlm.nih.gov/articles/PMC1114757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782806/" TargetMode="External"/><Relationship Id="rId24" Type="http://schemas.openxmlformats.org/officeDocument/2006/relationships/hyperlink" Target="https://www.afro.who.int/health-topics/blood-safet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40307693/" TargetMode="External"/><Relationship Id="rId23" Type="http://schemas.openxmlformats.org/officeDocument/2006/relationships/hyperlink" Target="https://pmc.ncbi.nlm.nih.gov/articles/PMC11532670/" TargetMode="External"/><Relationship Id="rId28" Type="http://schemas.openxmlformats.org/officeDocument/2006/relationships/footer" Target="footer1.xml"/><Relationship Id="rId10" Type="http://schemas.openxmlformats.org/officeDocument/2006/relationships/hyperlink" Target="https://doi.org/10.4102/ajlm.v14i1.1234" TargetMode="External"/><Relationship Id="rId19" Type="http://schemas.openxmlformats.org/officeDocument/2006/relationships/hyperlink" Target="https://www.ncbi.nlm.nih.gov/pmc/articles/PMC955278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beroamericanjm.periodikos.com.br/article/10.53986/ibjm.2025.0018/pdf/iberoamericanjm-7-3-78.pdf" TargetMode="External"/><Relationship Id="rId14" Type="http://schemas.openxmlformats.org/officeDocument/2006/relationships/hyperlink" Target="https://pubmed.ncbi.nlm.nih.gov/39761234/" TargetMode="External"/><Relationship Id="rId22" Type="http://schemas.openxmlformats.org/officeDocument/2006/relationships/hyperlink" Target="https://www.statisticshowto.com/probability-and-statistics/find-sample-siz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sciencedirect.com/science/article/pii/S277290602400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24</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1180</cp:lastModifiedBy>
  <cp:revision>20</cp:revision>
  <dcterms:created xsi:type="dcterms:W3CDTF">2025-09-27T08:36:00Z</dcterms:created>
  <dcterms:modified xsi:type="dcterms:W3CDTF">2025-10-04T09:39:00Z</dcterms:modified>
</cp:coreProperties>
</file>