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A6A5C8" w14:textId="3D442C45" w:rsidR="00CB0E89" w:rsidRPr="00CB0E89" w:rsidRDefault="00CB0E89" w:rsidP="00CB0E89">
      <w:pPr>
        <w:ind w:left="0" w:firstLine="0"/>
        <w:jc w:val="left"/>
        <w:rPr>
          <w:b/>
          <w:bCs/>
          <w:sz w:val="32"/>
          <w:szCs w:val="32"/>
          <w:u w:val="single"/>
          <w:lang w:val="en-US"/>
        </w:rPr>
      </w:pPr>
      <w:r w:rsidRPr="00CB0E89">
        <w:rPr>
          <w:b/>
          <w:bCs/>
          <w:sz w:val="32"/>
          <w:szCs w:val="32"/>
          <w:u w:val="single"/>
          <w:lang w:val="en-US"/>
        </w:rPr>
        <w:t>Original Research Article</w:t>
      </w:r>
    </w:p>
    <w:p w14:paraId="031133E3" w14:textId="65103AA5" w:rsidR="004B5E6C" w:rsidRPr="00AE48F9" w:rsidRDefault="00692F5D" w:rsidP="00AE48F9">
      <w:pPr>
        <w:ind w:left="0" w:firstLine="0"/>
        <w:jc w:val="center"/>
        <w:rPr>
          <w:b/>
          <w:bCs/>
          <w:sz w:val="32"/>
          <w:szCs w:val="32"/>
          <w:lang w:val="en-US"/>
        </w:rPr>
      </w:pPr>
      <w:r w:rsidRPr="00AE48F9">
        <w:rPr>
          <w:b/>
          <w:bCs/>
          <w:sz w:val="32"/>
          <w:szCs w:val="32"/>
          <w:lang w:val="en-US"/>
        </w:rPr>
        <w:t>Soil-site</w:t>
      </w:r>
      <w:r w:rsidR="00AE48F9">
        <w:rPr>
          <w:b/>
          <w:bCs/>
          <w:sz w:val="32"/>
          <w:szCs w:val="32"/>
          <w:lang w:val="en-US"/>
        </w:rPr>
        <w:t xml:space="preserve"> </w:t>
      </w:r>
      <w:r w:rsidR="00AE48F9" w:rsidRPr="00AE48F9">
        <w:rPr>
          <w:b/>
          <w:bCs/>
          <w:sz w:val="32"/>
          <w:szCs w:val="32"/>
          <w:lang w:val="en-US"/>
        </w:rPr>
        <w:t>suitability assessment for horticulture crops acros</w:t>
      </w:r>
      <w:r w:rsidR="00AE48F9">
        <w:rPr>
          <w:b/>
          <w:bCs/>
          <w:sz w:val="32"/>
          <w:szCs w:val="32"/>
          <w:lang w:val="en-US"/>
        </w:rPr>
        <w:t xml:space="preserve">s </w:t>
      </w:r>
      <w:r w:rsidR="00AE48F9" w:rsidRPr="00AE48F9">
        <w:rPr>
          <w:b/>
          <w:bCs/>
          <w:sz w:val="32"/>
          <w:szCs w:val="32"/>
          <w:lang w:val="en-US"/>
        </w:rPr>
        <w:t>different land use systems in</w:t>
      </w:r>
      <w:r w:rsidRPr="00AE48F9">
        <w:rPr>
          <w:b/>
          <w:bCs/>
          <w:sz w:val="32"/>
          <w:szCs w:val="32"/>
          <w:lang w:val="en-US"/>
        </w:rPr>
        <w:t xml:space="preserve"> Bada </w:t>
      </w:r>
      <w:r w:rsidR="00AE48F9" w:rsidRPr="00AE48F9">
        <w:rPr>
          <w:b/>
          <w:bCs/>
          <w:sz w:val="32"/>
          <w:szCs w:val="32"/>
          <w:lang w:val="en-US"/>
        </w:rPr>
        <w:t>micro watershed</w:t>
      </w:r>
      <w:r w:rsidR="00AE48F9">
        <w:rPr>
          <w:b/>
          <w:bCs/>
          <w:sz w:val="32"/>
          <w:szCs w:val="32"/>
          <w:lang w:val="en-US"/>
        </w:rPr>
        <w:t xml:space="preserve"> </w:t>
      </w:r>
      <w:r w:rsidRPr="00AE48F9">
        <w:rPr>
          <w:b/>
          <w:bCs/>
          <w:sz w:val="32"/>
          <w:szCs w:val="32"/>
          <w:lang w:val="en-US"/>
        </w:rPr>
        <w:t xml:space="preserve">(4D4F2j05) of Haveri </w:t>
      </w:r>
      <w:r w:rsidR="00AE48F9">
        <w:rPr>
          <w:b/>
          <w:bCs/>
          <w:sz w:val="32"/>
          <w:szCs w:val="32"/>
          <w:lang w:val="en-US"/>
        </w:rPr>
        <w:t>d</w:t>
      </w:r>
      <w:r w:rsidRPr="00AE48F9">
        <w:rPr>
          <w:b/>
          <w:bCs/>
          <w:sz w:val="32"/>
          <w:szCs w:val="32"/>
          <w:lang w:val="en-US"/>
        </w:rPr>
        <w:t>istrict, Karnataka</w:t>
      </w:r>
    </w:p>
    <w:p w14:paraId="43A63378" w14:textId="4E1FD2CF" w:rsidR="00CB0E89" w:rsidRDefault="00CB0E89" w:rsidP="001D3691">
      <w:pPr>
        <w:spacing w:line="360" w:lineRule="auto"/>
        <w:ind w:left="0" w:firstLine="0"/>
        <w:rPr>
          <w:rFonts w:eastAsia="Calibri" w:cs="Times New Roman"/>
          <w:b/>
          <w:bCs/>
          <w:color w:val="000000" w:themeColor="text1"/>
          <w:kern w:val="0"/>
          <w:szCs w:val="24"/>
          <w:lang w:val="en-US"/>
          <w14:ligatures w14:val="none"/>
        </w:rPr>
      </w:pPr>
    </w:p>
    <w:p w14:paraId="35E72C09" w14:textId="77777777" w:rsidR="00066191" w:rsidRDefault="00066191" w:rsidP="001D3691">
      <w:pPr>
        <w:spacing w:line="360" w:lineRule="auto"/>
        <w:ind w:left="0" w:firstLine="0"/>
        <w:rPr>
          <w:rFonts w:eastAsia="Calibri" w:cs="Times New Roman"/>
          <w:b/>
          <w:bCs/>
          <w:color w:val="000000" w:themeColor="text1"/>
          <w:kern w:val="0"/>
          <w:szCs w:val="24"/>
          <w:lang w:val="en-US"/>
          <w14:ligatures w14:val="none"/>
        </w:rPr>
      </w:pPr>
    </w:p>
    <w:p w14:paraId="546DD5FF" w14:textId="1D0E2B77" w:rsidR="007D4839" w:rsidRPr="007C30DD" w:rsidRDefault="007C30DD" w:rsidP="001D3691">
      <w:pPr>
        <w:spacing w:line="360" w:lineRule="auto"/>
        <w:ind w:left="0" w:firstLine="0"/>
        <w:rPr>
          <w:rFonts w:eastAsia="Calibri" w:cs="Times New Roman"/>
          <w:b/>
          <w:bCs/>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ABSTRACT:</w:t>
      </w:r>
    </w:p>
    <w:p w14:paraId="31E4265B" w14:textId="07907377" w:rsidR="000552BE" w:rsidRPr="000552BE" w:rsidRDefault="000552BE" w:rsidP="001D3691">
      <w:pPr>
        <w:spacing w:line="360" w:lineRule="auto"/>
        <w:ind w:left="0" w:firstLine="720"/>
        <w:rPr>
          <w:rFonts w:eastAsia="Calibri" w:cs="Times New Roman"/>
          <w:color w:val="000000" w:themeColor="text1"/>
          <w:kern w:val="0"/>
          <w:szCs w:val="24"/>
          <w:lang w:val="en-US"/>
          <w14:ligatures w14:val="none"/>
        </w:rPr>
      </w:pPr>
      <w:r w:rsidRPr="000552BE">
        <w:rPr>
          <w:rFonts w:eastAsia="Calibri" w:cs="Times New Roman"/>
          <w:color w:val="000000" w:themeColor="text1"/>
          <w:kern w:val="0"/>
          <w:szCs w:val="24"/>
          <w:lang w:val="en-US"/>
          <w14:ligatures w14:val="none"/>
        </w:rPr>
        <w:t xml:space="preserve">A research study was undertaken to evaluate the suitability of </w:t>
      </w:r>
      <w:r>
        <w:rPr>
          <w:rFonts w:eastAsia="Calibri" w:cs="Times New Roman"/>
          <w:color w:val="000000" w:themeColor="text1"/>
          <w:kern w:val="0"/>
          <w:szCs w:val="24"/>
          <w:lang w:val="en-US"/>
          <w14:ligatures w14:val="none"/>
        </w:rPr>
        <w:t xml:space="preserve">four land uses (forest, barren land, agriculture and horticulture) </w:t>
      </w:r>
      <w:r w:rsidRPr="000552BE">
        <w:rPr>
          <w:rFonts w:eastAsia="Calibri" w:cs="Times New Roman"/>
          <w:color w:val="000000" w:themeColor="text1"/>
          <w:kern w:val="0"/>
          <w:szCs w:val="24"/>
          <w:lang w:val="en-US"/>
          <w14:ligatures w14:val="none"/>
        </w:rPr>
        <w:t xml:space="preserve">within the </w:t>
      </w:r>
      <w:r>
        <w:rPr>
          <w:rFonts w:eastAsia="Calibri" w:cs="Times New Roman"/>
          <w:color w:val="000000" w:themeColor="text1"/>
          <w:kern w:val="0"/>
          <w:szCs w:val="24"/>
          <w:lang w:val="en-US"/>
          <w14:ligatures w14:val="none"/>
        </w:rPr>
        <w:t xml:space="preserve">Bada </w:t>
      </w:r>
      <w:r w:rsidRPr="000552BE">
        <w:rPr>
          <w:rFonts w:eastAsia="Calibri" w:cs="Times New Roman"/>
          <w:color w:val="000000" w:themeColor="text1"/>
          <w:kern w:val="0"/>
          <w:szCs w:val="24"/>
          <w:lang w:val="en-US"/>
          <w14:ligatures w14:val="none"/>
        </w:rPr>
        <w:t>micro</w:t>
      </w:r>
      <w:r>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 xml:space="preserve">watershed of </w:t>
      </w:r>
      <w:r w:rsidR="0094235D">
        <w:rPr>
          <w:rFonts w:eastAsia="Calibri" w:cs="Times New Roman"/>
          <w:color w:val="000000" w:themeColor="text1"/>
          <w:kern w:val="0"/>
          <w:szCs w:val="24"/>
          <w:lang w:val="en-US"/>
          <w14:ligatures w14:val="none"/>
        </w:rPr>
        <w:t>Haveri</w:t>
      </w:r>
      <w:r w:rsidRPr="000552BE">
        <w:rPr>
          <w:rFonts w:eastAsia="Calibri" w:cs="Times New Roman"/>
          <w:color w:val="000000" w:themeColor="text1"/>
          <w:kern w:val="0"/>
          <w:szCs w:val="24"/>
          <w:lang w:val="en-US"/>
          <w14:ligatures w14:val="none"/>
        </w:rPr>
        <w:t xml:space="preserve"> district, situated in the Northern </w:t>
      </w:r>
      <w:r>
        <w:rPr>
          <w:rFonts w:eastAsia="Calibri" w:cs="Times New Roman"/>
          <w:color w:val="000000" w:themeColor="text1"/>
          <w:kern w:val="0"/>
          <w:szCs w:val="24"/>
          <w:lang w:val="en-US"/>
          <w14:ligatures w14:val="none"/>
        </w:rPr>
        <w:t>transition</w:t>
      </w:r>
      <w:r w:rsidRPr="000552BE">
        <w:rPr>
          <w:rFonts w:eastAsia="Calibri" w:cs="Times New Roman"/>
          <w:color w:val="000000" w:themeColor="text1"/>
          <w:kern w:val="0"/>
          <w:szCs w:val="24"/>
          <w:lang w:val="en-US"/>
          <w14:ligatures w14:val="none"/>
        </w:rPr>
        <w:t xml:space="preserve"> zone (Zone-</w:t>
      </w:r>
      <w:r>
        <w:rPr>
          <w:rFonts w:eastAsia="Calibri" w:cs="Times New Roman"/>
          <w:color w:val="000000" w:themeColor="text1"/>
          <w:kern w:val="0"/>
          <w:szCs w:val="24"/>
          <w:lang w:val="en-US"/>
          <w14:ligatures w14:val="none"/>
        </w:rPr>
        <w:t>8</w:t>
      </w:r>
      <w:r w:rsidRPr="000552BE">
        <w:rPr>
          <w:rFonts w:eastAsia="Calibri" w:cs="Times New Roman"/>
          <w:color w:val="000000" w:themeColor="text1"/>
          <w:kern w:val="0"/>
          <w:szCs w:val="24"/>
          <w:lang w:val="en-US"/>
          <w14:ligatures w14:val="none"/>
        </w:rPr>
        <w:t>) of Karnataka.</w:t>
      </w:r>
      <w:r w:rsidR="0094235D">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Utilizing</w:t>
      </w:r>
      <w:r w:rsidRPr="006C2F5D">
        <w:rPr>
          <w:rFonts w:cs="Times New Roman"/>
          <w:spacing w:val="2"/>
        </w:rPr>
        <w:t xml:space="preserve"> base map in conjunction with satellite imagery</w:t>
      </w:r>
      <w:r>
        <w:rPr>
          <w:rFonts w:cs="Times New Roman"/>
          <w:spacing w:val="2"/>
        </w:rPr>
        <w:t xml:space="preserve"> total of eight profiles, two from each land use system were identified</w:t>
      </w:r>
      <w:r w:rsidR="0094235D">
        <w:rPr>
          <w:rFonts w:cs="Times New Roman"/>
          <w:spacing w:val="2"/>
        </w:rPr>
        <w:t xml:space="preserve"> and assessed</w:t>
      </w:r>
      <w:r>
        <w:rPr>
          <w:rFonts w:cs="Times New Roman"/>
          <w:spacing w:val="2"/>
        </w:rPr>
        <w:t>.</w:t>
      </w:r>
      <w:r w:rsidR="0094235D">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 xml:space="preserve">Subsequently, the potential of these </w:t>
      </w:r>
      <w:r>
        <w:rPr>
          <w:rFonts w:eastAsia="Calibri" w:cs="Times New Roman"/>
          <w:color w:val="000000" w:themeColor="text1"/>
          <w:kern w:val="0"/>
          <w:szCs w:val="24"/>
          <w:lang w:val="en-US"/>
          <w14:ligatures w14:val="none"/>
        </w:rPr>
        <w:t>land use systems</w:t>
      </w:r>
      <w:r w:rsidRPr="000552BE">
        <w:rPr>
          <w:rFonts w:eastAsia="Calibri" w:cs="Times New Roman"/>
          <w:color w:val="000000" w:themeColor="text1"/>
          <w:kern w:val="0"/>
          <w:szCs w:val="24"/>
          <w:lang w:val="en-US"/>
          <w14:ligatures w14:val="none"/>
        </w:rPr>
        <w:t xml:space="preserve"> for the cultivation of key </w:t>
      </w:r>
      <w:r>
        <w:rPr>
          <w:rFonts w:eastAsia="Calibri" w:cs="Times New Roman"/>
          <w:color w:val="000000" w:themeColor="text1"/>
          <w:kern w:val="0"/>
          <w:szCs w:val="24"/>
          <w:lang w:val="en-US"/>
          <w14:ligatures w14:val="none"/>
        </w:rPr>
        <w:t>ho</w:t>
      </w:r>
      <w:r w:rsidR="00695A05">
        <w:rPr>
          <w:rFonts w:eastAsia="Calibri" w:cs="Times New Roman"/>
          <w:color w:val="000000" w:themeColor="text1"/>
          <w:kern w:val="0"/>
          <w:szCs w:val="24"/>
          <w:lang w:val="en-US"/>
          <w14:ligatures w14:val="none"/>
        </w:rPr>
        <w:t>rticulture</w:t>
      </w:r>
      <w:r w:rsidRPr="000552BE">
        <w:rPr>
          <w:rFonts w:eastAsia="Calibri" w:cs="Times New Roman"/>
          <w:color w:val="000000" w:themeColor="text1"/>
          <w:kern w:val="0"/>
          <w:szCs w:val="24"/>
          <w:lang w:val="en-US"/>
          <w14:ligatures w14:val="none"/>
        </w:rPr>
        <w:t xml:space="preserve"> crops, namely </w:t>
      </w:r>
      <w:r w:rsidR="00695A05">
        <w:rPr>
          <w:rFonts w:eastAsia="Calibri" w:cs="Times New Roman"/>
          <w:color w:val="000000" w:themeColor="text1"/>
          <w:kern w:val="0"/>
          <w:szCs w:val="24"/>
          <w:lang w:val="en-US"/>
          <w14:ligatures w14:val="none"/>
        </w:rPr>
        <w:t xml:space="preserve">chilli, tomato, coconut, </w:t>
      </w:r>
      <w:r w:rsidRPr="000552BE">
        <w:rPr>
          <w:rFonts w:eastAsia="Calibri" w:cs="Times New Roman"/>
          <w:color w:val="000000" w:themeColor="text1"/>
          <w:kern w:val="0"/>
          <w:szCs w:val="24"/>
          <w:lang w:val="en-US"/>
          <w14:ligatures w14:val="none"/>
        </w:rPr>
        <w:t>mango,</w:t>
      </w:r>
      <w:r w:rsidR="00695A05">
        <w:rPr>
          <w:rFonts w:eastAsia="Calibri" w:cs="Times New Roman"/>
          <w:color w:val="000000" w:themeColor="text1"/>
          <w:kern w:val="0"/>
          <w:szCs w:val="24"/>
          <w:lang w:val="en-US"/>
          <w14:ligatures w14:val="none"/>
        </w:rPr>
        <w:t xml:space="preserve"> sapota and </w:t>
      </w:r>
      <w:r w:rsidRPr="000552BE">
        <w:rPr>
          <w:rFonts w:eastAsia="Calibri" w:cs="Times New Roman"/>
          <w:color w:val="000000" w:themeColor="text1"/>
          <w:kern w:val="0"/>
          <w:szCs w:val="24"/>
          <w:lang w:val="en-US"/>
          <w14:ligatures w14:val="none"/>
        </w:rPr>
        <w:t>guava</w:t>
      </w:r>
      <w:r w:rsidR="00695A05">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w</w:t>
      </w:r>
      <w:r w:rsidR="0094235D">
        <w:rPr>
          <w:rFonts w:eastAsia="Calibri" w:cs="Times New Roman"/>
          <w:color w:val="000000" w:themeColor="text1"/>
          <w:kern w:val="0"/>
          <w:szCs w:val="24"/>
          <w:lang w:val="en-US"/>
          <w14:ligatures w14:val="none"/>
        </w:rPr>
        <w:t>ere</w:t>
      </w:r>
      <w:r w:rsidRPr="000552BE">
        <w:rPr>
          <w:rFonts w:eastAsia="Calibri" w:cs="Times New Roman"/>
          <w:color w:val="000000" w:themeColor="text1"/>
          <w:kern w:val="0"/>
          <w:szCs w:val="24"/>
          <w:lang w:val="en-US"/>
          <w14:ligatures w14:val="none"/>
        </w:rPr>
        <w:t xml:space="preserve"> assessed. The results indicated that</w:t>
      </w:r>
      <w:r w:rsidR="00695A05">
        <w:rPr>
          <w:rFonts w:eastAsia="Calibri" w:cs="Times New Roman"/>
          <w:color w:val="000000" w:themeColor="text1"/>
          <w:kern w:val="0"/>
          <w:szCs w:val="24"/>
          <w:lang w:val="en-US"/>
          <w14:ligatures w14:val="none"/>
        </w:rPr>
        <w:t xml:space="preserve"> across the forest, agri</w:t>
      </w:r>
      <w:r w:rsidR="0094235D">
        <w:rPr>
          <w:rFonts w:eastAsia="Calibri" w:cs="Times New Roman"/>
          <w:color w:val="000000" w:themeColor="text1"/>
          <w:kern w:val="0"/>
          <w:szCs w:val="24"/>
          <w:lang w:val="en-US"/>
          <w14:ligatures w14:val="none"/>
        </w:rPr>
        <w:t>culture and horticulture</w:t>
      </w:r>
      <w:r w:rsidR="00695A05">
        <w:rPr>
          <w:rFonts w:eastAsia="Calibri" w:cs="Times New Roman"/>
          <w:color w:val="000000" w:themeColor="text1"/>
          <w:kern w:val="0"/>
          <w:szCs w:val="24"/>
          <w:lang w:val="en-US"/>
          <w14:ligatures w14:val="none"/>
        </w:rPr>
        <w:t xml:space="preserve"> land use systems suit</w:t>
      </w:r>
      <w:r w:rsidR="0094235D">
        <w:rPr>
          <w:rFonts w:eastAsia="Calibri" w:cs="Times New Roman"/>
          <w:color w:val="000000" w:themeColor="text1"/>
          <w:kern w:val="0"/>
          <w:szCs w:val="24"/>
          <w:lang w:val="en-US"/>
          <w14:ligatures w14:val="none"/>
        </w:rPr>
        <w:t>ability for crops was classified from moderately suitable (S2) to marginally suitable (S3). Whereas,</w:t>
      </w:r>
      <w:r w:rsidRPr="000552BE">
        <w:rPr>
          <w:rFonts w:eastAsia="Calibri" w:cs="Times New Roman"/>
          <w:color w:val="000000" w:themeColor="text1"/>
          <w:kern w:val="0"/>
          <w:szCs w:val="24"/>
          <w:lang w:val="en-US"/>
          <w14:ligatures w14:val="none"/>
        </w:rPr>
        <w:t xml:space="preserve"> the </w:t>
      </w:r>
      <w:r w:rsidR="00695A05">
        <w:rPr>
          <w:rFonts w:eastAsia="Calibri" w:cs="Times New Roman"/>
          <w:color w:val="000000" w:themeColor="text1"/>
          <w:kern w:val="0"/>
          <w:szCs w:val="24"/>
          <w:lang w:val="en-US"/>
          <w14:ligatures w14:val="none"/>
        </w:rPr>
        <w:t>barren land use is</w:t>
      </w:r>
      <w:r w:rsidRPr="000552BE">
        <w:rPr>
          <w:rFonts w:eastAsia="Calibri" w:cs="Times New Roman"/>
          <w:color w:val="000000" w:themeColor="text1"/>
          <w:kern w:val="0"/>
          <w:szCs w:val="24"/>
          <w:lang w:val="en-US"/>
          <w14:ligatures w14:val="none"/>
        </w:rPr>
        <w:t xml:space="preserve"> </w:t>
      </w:r>
      <w:r w:rsidR="0094235D">
        <w:rPr>
          <w:rFonts w:eastAsia="Calibri" w:cs="Times New Roman"/>
          <w:color w:val="000000" w:themeColor="text1"/>
          <w:kern w:val="0"/>
          <w:szCs w:val="24"/>
          <w:lang w:val="en-US"/>
          <w14:ligatures w14:val="none"/>
        </w:rPr>
        <w:t>not suitable (N)</w:t>
      </w:r>
      <w:r w:rsidRPr="000552BE">
        <w:rPr>
          <w:rFonts w:eastAsia="Calibri" w:cs="Times New Roman"/>
          <w:color w:val="000000" w:themeColor="text1"/>
          <w:kern w:val="0"/>
          <w:szCs w:val="24"/>
          <w:lang w:val="en-US"/>
          <w14:ligatures w14:val="none"/>
        </w:rPr>
        <w:t xml:space="preserve"> for mango</w:t>
      </w:r>
      <w:r w:rsidR="00695A05">
        <w:rPr>
          <w:rFonts w:eastAsia="Calibri" w:cs="Times New Roman"/>
          <w:color w:val="000000" w:themeColor="text1"/>
          <w:kern w:val="0"/>
          <w:szCs w:val="24"/>
          <w:lang w:val="en-US"/>
          <w14:ligatures w14:val="none"/>
        </w:rPr>
        <w:t>, sapota and guava</w:t>
      </w:r>
      <w:r w:rsidRPr="000552BE">
        <w:rPr>
          <w:rFonts w:eastAsia="Calibri" w:cs="Times New Roman"/>
          <w:color w:val="000000" w:themeColor="text1"/>
          <w:kern w:val="0"/>
          <w:szCs w:val="24"/>
          <w:lang w:val="en-US"/>
          <w14:ligatures w14:val="none"/>
        </w:rPr>
        <w:t xml:space="preserve"> cultivation due to pronounced physical limitation</w:t>
      </w:r>
      <w:r w:rsidR="00695A05">
        <w:rPr>
          <w:rFonts w:eastAsia="Calibri" w:cs="Times New Roman"/>
          <w:color w:val="000000" w:themeColor="text1"/>
          <w:kern w:val="0"/>
          <w:szCs w:val="24"/>
          <w:lang w:val="en-US"/>
          <w14:ligatures w14:val="none"/>
        </w:rPr>
        <w:t xml:space="preserve"> that</w:t>
      </w:r>
      <w:r w:rsidRPr="000552BE">
        <w:rPr>
          <w:rFonts w:eastAsia="Calibri" w:cs="Times New Roman"/>
          <w:color w:val="000000" w:themeColor="text1"/>
          <w:kern w:val="0"/>
          <w:szCs w:val="24"/>
          <w:lang w:val="en-US"/>
          <w14:ligatures w14:val="none"/>
        </w:rPr>
        <w:t xml:space="preserve"> affecting rooting</w:t>
      </w:r>
      <w:r w:rsidR="0094235D">
        <w:rPr>
          <w:rFonts w:eastAsia="Calibri" w:cs="Times New Roman"/>
          <w:color w:val="000000" w:themeColor="text1"/>
          <w:kern w:val="0"/>
          <w:szCs w:val="24"/>
          <w:lang w:val="en-US"/>
          <w14:ligatures w14:val="none"/>
        </w:rPr>
        <w:t xml:space="preserve"> of crops</w:t>
      </w:r>
      <w:r w:rsidRPr="000552BE">
        <w:rPr>
          <w:rFonts w:eastAsia="Calibri" w:cs="Times New Roman"/>
          <w:color w:val="000000" w:themeColor="text1"/>
          <w:kern w:val="0"/>
          <w:szCs w:val="24"/>
          <w:lang w:val="en-US"/>
          <w14:ligatures w14:val="none"/>
        </w:rPr>
        <w:t xml:space="preserve">. Conversely, the </w:t>
      </w:r>
      <w:r w:rsidR="00695A05">
        <w:rPr>
          <w:rFonts w:eastAsia="Calibri" w:cs="Times New Roman"/>
          <w:color w:val="000000" w:themeColor="text1"/>
          <w:kern w:val="0"/>
          <w:szCs w:val="24"/>
          <w:lang w:val="en-US"/>
          <w14:ligatures w14:val="none"/>
        </w:rPr>
        <w:t>barren land</w:t>
      </w:r>
      <w:r w:rsidRPr="000552BE">
        <w:rPr>
          <w:rFonts w:eastAsia="Calibri" w:cs="Times New Roman"/>
          <w:color w:val="000000" w:themeColor="text1"/>
          <w:kern w:val="0"/>
          <w:szCs w:val="24"/>
          <w:lang w:val="en-US"/>
          <w14:ligatures w14:val="none"/>
        </w:rPr>
        <w:t xml:space="preserve"> exhibits marginal suitability</w:t>
      </w:r>
      <w:r w:rsidR="0094235D">
        <w:rPr>
          <w:rFonts w:eastAsia="Calibri" w:cs="Times New Roman"/>
          <w:color w:val="000000" w:themeColor="text1"/>
          <w:kern w:val="0"/>
          <w:szCs w:val="24"/>
          <w:lang w:val="en-US"/>
          <w14:ligatures w14:val="none"/>
        </w:rPr>
        <w:t xml:space="preserve"> (S3)</w:t>
      </w:r>
      <w:r w:rsidRPr="000552BE">
        <w:rPr>
          <w:rFonts w:eastAsia="Calibri" w:cs="Times New Roman"/>
          <w:color w:val="000000" w:themeColor="text1"/>
          <w:kern w:val="0"/>
          <w:szCs w:val="24"/>
          <w:lang w:val="en-US"/>
          <w14:ligatures w14:val="none"/>
        </w:rPr>
        <w:t xml:space="preserve"> for the production of </w:t>
      </w:r>
      <w:r w:rsidR="007C30DD">
        <w:rPr>
          <w:rFonts w:eastAsia="Calibri" w:cs="Times New Roman"/>
          <w:color w:val="000000" w:themeColor="text1"/>
          <w:kern w:val="0"/>
          <w:szCs w:val="24"/>
          <w:lang w:val="en-US"/>
          <w14:ligatures w14:val="none"/>
        </w:rPr>
        <w:t>chilli</w:t>
      </w:r>
      <w:r w:rsidR="00695A05">
        <w:rPr>
          <w:rFonts w:eastAsia="Calibri" w:cs="Times New Roman"/>
          <w:color w:val="000000" w:themeColor="text1"/>
          <w:kern w:val="0"/>
          <w:szCs w:val="24"/>
          <w:lang w:val="en-US"/>
          <w14:ligatures w14:val="none"/>
        </w:rPr>
        <w:t>, tomato and coconut</w:t>
      </w:r>
      <w:r w:rsidRPr="000552BE">
        <w:rPr>
          <w:rFonts w:eastAsia="Calibri" w:cs="Times New Roman"/>
          <w:color w:val="000000" w:themeColor="text1"/>
          <w:kern w:val="0"/>
          <w:szCs w:val="24"/>
          <w:lang w:val="en-US"/>
          <w14:ligatures w14:val="none"/>
        </w:rPr>
        <w:t>.</w:t>
      </w:r>
      <w:r w:rsidR="00695A05">
        <w:rPr>
          <w:rFonts w:eastAsia="Calibri" w:cs="Times New Roman"/>
          <w:color w:val="000000" w:themeColor="text1"/>
          <w:kern w:val="0"/>
          <w:szCs w:val="24"/>
          <w:lang w:val="en-US"/>
          <w14:ligatures w14:val="none"/>
        </w:rPr>
        <w:t xml:space="preserve"> </w:t>
      </w:r>
      <w:r w:rsidRPr="000552BE">
        <w:rPr>
          <w:rFonts w:eastAsia="Calibri" w:cs="Times New Roman"/>
          <w:color w:val="000000" w:themeColor="text1"/>
          <w:kern w:val="0"/>
          <w:szCs w:val="24"/>
          <w:lang w:val="en-US"/>
          <w14:ligatures w14:val="none"/>
        </w:rPr>
        <w:t xml:space="preserve">These outcomes </w:t>
      </w:r>
      <w:proofErr w:type="gramStart"/>
      <w:r w:rsidRPr="000552BE">
        <w:rPr>
          <w:rFonts w:eastAsia="Calibri" w:cs="Times New Roman"/>
          <w:color w:val="000000" w:themeColor="text1"/>
          <w:kern w:val="0"/>
          <w:szCs w:val="24"/>
          <w:lang w:val="en-US"/>
          <w14:ligatures w14:val="none"/>
        </w:rPr>
        <w:t>provide</w:t>
      </w:r>
      <w:r w:rsidR="0094235D">
        <w:rPr>
          <w:rFonts w:eastAsia="Calibri" w:cs="Times New Roman"/>
          <w:color w:val="000000" w:themeColor="text1"/>
          <w:kern w:val="0"/>
          <w:szCs w:val="24"/>
          <w:lang w:val="en-US"/>
          <w14:ligatures w14:val="none"/>
        </w:rPr>
        <w:t>s</w:t>
      </w:r>
      <w:proofErr w:type="gramEnd"/>
      <w:r w:rsidR="0094235D">
        <w:rPr>
          <w:rFonts w:eastAsia="Calibri" w:cs="Times New Roman"/>
          <w:color w:val="000000" w:themeColor="text1"/>
          <w:kern w:val="0"/>
          <w:szCs w:val="24"/>
          <w:lang w:val="en-US"/>
          <w14:ligatures w14:val="none"/>
        </w:rPr>
        <w:t xml:space="preserve"> an </w:t>
      </w:r>
      <w:r w:rsidRPr="000552BE">
        <w:rPr>
          <w:rFonts w:eastAsia="Calibri" w:cs="Times New Roman"/>
          <w:color w:val="000000" w:themeColor="text1"/>
          <w:kern w:val="0"/>
          <w:szCs w:val="24"/>
          <w:lang w:val="en-US"/>
          <w14:ligatures w14:val="none"/>
        </w:rPr>
        <w:t>essential baseline information for identifying specific soil constraints and support the formulation of sustainable crop production strategies within the study region.</w:t>
      </w:r>
    </w:p>
    <w:p w14:paraId="7B1C9407" w14:textId="77777777" w:rsidR="007C30DD" w:rsidRDefault="007C30DD" w:rsidP="001D3691">
      <w:pPr>
        <w:spacing w:line="360" w:lineRule="auto"/>
        <w:ind w:left="0" w:firstLine="0"/>
        <w:rPr>
          <w:rFonts w:eastAsia="Calibri" w:cs="Times New Roman"/>
          <w:color w:val="000000" w:themeColor="text1"/>
          <w:kern w:val="0"/>
          <w:szCs w:val="24"/>
          <w:lang w:val="en-US"/>
          <w14:ligatures w14:val="none"/>
        </w:rPr>
      </w:pPr>
      <w:r w:rsidRPr="007C30DD">
        <w:rPr>
          <w:rFonts w:eastAsia="Calibri" w:cs="Times New Roman"/>
          <w:b/>
          <w:bCs/>
          <w:color w:val="000000" w:themeColor="text1"/>
          <w:kern w:val="0"/>
          <w:szCs w:val="24"/>
          <w:lang w:val="en-US"/>
          <w14:ligatures w14:val="none"/>
        </w:rPr>
        <w:t>KEYWORDS:</w:t>
      </w:r>
      <w:r>
        <w:rPr>
          <w:rFonts w:eastAsia="Calibri" w:cs="Times New Roman"/>
          <w:b/>
          <w:bCs/>
          <w:color w:val="000000" w:themeColor="text1"/>
          <w:kern w:val="0"/>
          <w:szCs w:val="24"/>
          <w:lang w:val="en-US"/>
          <w14:ligatures w14:val="none"/>
        </w:rPr>
        <w:t xml:space="preserve"> </w:t>
      </w:r>
      <w:r>
        <w:rPr>
          <w:rFonts w:eastAsia="Calibri" w:cs="Times New Roman"/>
          <w:color w:val="000000" w:themeColor="text1"/>
          <w:kern w:val="0"/>
          <w:szCs w:val="24"/>
          <w:lang w:val="en-US"/>
          <w14:ligatures w14:val="none"/>
        </w:rPr>
        <w:t>Soil-site suitability; Bada micro watershed; Land use system</w:t>
      </w:r>
    </w:p>
    <w:p w14:paraId="1F1AF05E" w14:textId="31A6BA4B" w:rsidR="007D4839" w:rsidRPr="00E8130B" w:rsidRDefault="00E8130B" w:rsidP="001D3691">
      <w:pPr>
        <w:spacing w:line="360" w:lineRule="auto"/>
        <w:ind w:left="0" w:firstLine="0"/>
        <w:rPr>
          <w:rFonts w:eastAsia="Calibri" w:cs="Times New Roman"/>
          <w:b/>
          <w:bCs/>
          <w:kern w:val="0"/>
          <w:szCs w:val="24"/>
          <w:lang w:val="en-US"/>
          <w14:ligatures w14:val="none"/>
        </w:rPr>
      </w:pPr>
      <w:r w:rsidRPr="00E8130B">
        <w:rPr>
          <w:rFonts w:eastAsia="Calibri" w:cs="Times New Roman"/>
          <w:b/>
          <w:bCs/>
          <w:kern w:val="0"/>
          <w:szCs w:val="24"/>
          <w:lang w:val="en-US"/>
          <w14:ligatures w14:val="none"/>
        </w:rPr>
        <w:t>1.</w:t>
      </w:r>
      <w:r>
        <w:rPr>
          <w:rFonts w:eastAsia="Calibri" w:cs="Times New Roman"/>
          <w:b/>
          <w:bCs/>
          <w:kern w:val="0"/>
          <w:szCs w:val="24"/>
          <w:lang w:val="en-US"/>
          <w14:ligatures w14:val="none"/>
        </w:rPr>
        <w:t xml:space="preserve"> </w:t>
      </w:r>
      <w:r w:rsidR="007C30DD" w:rsidRPr="00E8130B">
        <w:rPr>
          <w:rFonts w:eastAsia="Calibri" w:cs="Times New Roman"/>
          <w:b/>
          <w:bCs/>
          <w:kern w:val="0"/>
          <w:szCs w:val="24"/>
          <w:lang w:val="en-US"/>
          <w14:ligatures w14:val="none"/>
        </w:rPr>
        <w:t xml:space="preserve">INTRODUCTION: </w:t>
      </w:r>
    </w:p>
    <w:p w14:paraId="2D81AEE0" w14:textId="3FF61076" w:rsidR="00790FB2" w:rsidRPr="002D01ED" w:rsidRDefault="00647315"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The world’s arable land is experiencing significant pressure, characterized by rapid urbanization, accelerated desertification and over exploitation driven by anthropogenic activities.</w:t>
      </w:r>
      <w:r w:rsidR="007C30DD">
        <w:rPr>
          <w:rFonts w:eastAsia="Calibri" w:cs="Times New Roman"/>
          <w:kern w:val="0"/>
          <w:szCs w:val="24"/>
          <w:lang w:val="en-US"/>
          <w14:ligatures w14:val="none"/>
        </w:rPr>
        <w:t xml:space="preserve"> </w:t>
      </w:r>
      <w:r w:rsidRPr="002D01ED">
        <w:rPr>
          <w:rFonts w:eastAsia="Calibri" w:cs="Times New Roman"/>
          <w:kern w:val="0"/>
          <w:szCs w:val="24"/>
          <w:lang w:val="en-US"/>
          <w14:ligatures w14:val="none"/>
        </w:rPr>
        <w:t xml:space="preserve">The poor soil management practices </w:t>
      </w:r>
      <w:r w:rsidR="00D124BF" w:rsidRPr="002D01ED">
        <w:rPr>
          <w:rFonts w:eastAsia="Calibri" w:cs="Times New Roman"/>
          <w:kern w:val="0"/>
          <w:szCs w:val="24"/>
          <w:lang w:val="en-US"/>
          <w14:ligatures w14:val="none"/>
        </w:rPr>
        <w:t>across</w:t>
      </w:r>
      <w:r w:rsidRPr="002D01ED">
        <w:rPr>
          <w:rFonts w:eastAsia="Calibri" w:cs="Times New Roman"/>
          <w:kern w:val="0"/>
          <w:szCs w:val="24"/>
          <w:lang w:val="en-US"/>
          <w14:ligatures w14:val="none"/>
        </w:rPr>
        <w:t xml:space="preserve"> cultivated lands have resulted in increased soil erosion, diminished crop productivity </w:t>
      </w:r>
      <w:proofErr w:type="gramStart"/>
      <w:r w:rsidRPr="002D01ED">
        <w:rPr>
          <w:rFonts w:eastAsia="Calibri" w:cs="Times New Roman"/>
          <w:kern w:val="0"/>
          <w:szCs w:val="24"/>
          <w:lang w:val="en-US"/>
          <w14:ligatures w14:val="none"/>
        </w:rPr>
        <w:t>and  deterioration</w:t>
      </w:r>
      <w:proofErr w:type="gramEnd"/>
      <w:r w:rsidRPr="002D01ED">
        <w:rPr>
          <w:rFonts w:eastAsia="Calibri" w:cs="Times New Roman"/>
          <w:kern w:val="0"/>
          <w:szCs w:val="24"/>
          <w:lang w:val="en-US"/>
          <w14:ligatures w14:val="none"/>
        </w:rPr>
        <w:t xml:space="preserve"> of soil quality </w:t>
      </w:r>
      <w:r w:rsidRPr="0004376F">
        <w:rPr>
          <w:rFonts w:eastAsia="Calibri" w:cs="Times New Roman"/>
          <w:color w:val="000000" w:themeColor="text1"/>
          <w:kern w:val="0"/>
          <w:szCs w:val="24"/>
          <w:lang w:val="en-US"/>
          <w14:ligatures w14:val="none"/>
        </w:rPr>
        <w:t>(Pimentel and Burgess, 2013).</w:t>
      </w:r>
      <w:r w:rsidR="00790FB2" w:rsidRPr="0004376F">
        <w:rPr>
          <w:rFonts w:eastAsia="Calibri" w:cs="Times New Roman"/>
          <w:color w:val="000000" w:themeColor="text1"/>
          <w:kern w:val="0"/>
          <w:szCs w:val="24"/>
          <w:lang w:val="en-US"/>
          <w14:ligatures w14:val="none"/>
        </w:rPr>
        <w:t xml:space="preserve"> </w:t>
      </w:r>
      <w:r w:rsidR="00D124BF" w:rsidRPr="002D01ED">
        <w:rPr>
          <w:rFonts w:eastAsia="Calibri" w:cs="Times New Roman"/>
          <w:kern w:val="0"/>
          <w:szCs w:val="24"/>
          <w:lang w:val="en-US"/>
          <w14:ligatures w14:val="none"/>
        </w:rPr>
        <w:t>As the sustainability of agricultural practices fundamentally depends on the effective utilization of land resources</w:t>
      </w:r>
      <w:r w:rsidR="00790FB2" w:rsidRPr="002D01ED">
        <w:rPr>
          <w:rFonts w:eastAsia="Calibri" w:cs="Times New Roman"/>
          <w:kern w:val="0"/>
          <w:szCs w:val="24"/>
          <w:lang w:val="en-US"/>
          <w14:ligatures w14:val="none"/>
        </w:rPr>
        <w:t>, there is a heightened focus on land evaluation to identify the most suitable land use alternatives.</w:t>
      </w:r>
      <w:r w:rsidR="002D01ED" w:rsidRPr="002D01ED">
        <w:rPr>
          <w:rFonts w:eastAsia="Calibri" w:cs="Times New Roman"/>
          <w:kern w:val="0"/>
          <w:szCs w:val="24"/>
          <w:lang w:val="en-US"/>
          <w14:ligatures w14:val="none"/>
        </w:rPr>
        <w:t xml:space="preserve"> </w:t>
      </w:r>
      <w:r w:rsidR="00D124BF" w:rsidRPr="002D01ED">
        <w:rPr>
          <w:rFonts w:eastAsia="Calibri" w:cs="Times New Roman"/>
          <w:kern w:val="0"/>
          <w:szCs w:val="24"/>
          <w:lang w:val="en-US"/>
          <w14:ligatures w14:val="none"/>
        </w:rPr>
        <w:t xml:space="preserve">Land evaluation constitutes a systematic assessment of land </w:t>
      </w:r>
      <w:r w:rsidR="00D124BF" w:rsidRPr="002D01ED">
        <w:rPr>
          <w:szCs w:val="24"/>
        </w:rPr>
        <w:t>suitability for specific purposes such as cultivation of crops.</w:t>
      </w:r>
      <w:r w:rsidR="00D124BF" w:rsidRPr="002D01ED">
        <w:rPr>
          <w:rFonts w:eastAsia="Calibri" w:cs="Times New Roman"/>
          <w:kern w:val="0"/>
          <w:szCs w:val="24"/>
          <w:lang w:val="en-US"/>
          <w14:ligatures w14:val="none"/>
        </w:rPr>
        <w:t xml:space="preserve"> This process entails a comprehensive analysis of various factors including soil and topographical properties </w:t>
      </w:r>
      <w:r w:rsidR="00D124BF" w:rsidRPr="002D01ED">
        <w:rPr>
          <w:rFonts w:eastAsia="Calibri" w:cs="Times New Roman"/>
          <w:kern w:val="0"/>
          <w:szCs w:val="24"/>
          <w:lang w:val="en-US"/>
          <w14:ligatures w14:val="none"/>
        </w:rPr>
        <w:lastRenderedPageBreak/>
        <w:t>to inform sustainable and effective land use planning. The primary objective of land evaluation is to align the inherent characteristics of the land with the specific demands of intended uses, thereby optimizing productivity while concurrently mitigating adverse environmental effects.</w:t>
      </w:r>
      <w:r w:rsidR="002D01ED" w:rsidRPr="002D01ED">
        <w:rPr>
          <w:rFonts w:eastAsia="Calibri" w:cs="Times New Roman"/>
          <w:kern w:val="0"/>
          <w:szCs w:val="24"/>
          <w:lang w:val="en-US"/>
          <w14:ligatures w14:val="none"/>
        </w:rPr>
        <w:t xml:space="preserve"> </w:t>
      </w:r>
      <w:r w:rsidR="00790FB2" w:rsidRPr="002D01ED">
        <w:rPr>
          <w:rFonts w:cs="Times New Roman"/>
          <w:spacing w:val="2"/>
        </w:rPr>
        <w:t xml:space="preserve">To evaluate the suitability and limitations of a specific piece of land for cultivation purposes, it is </w:t>
      </w:r>
      <w:r w:rsidR="00174390" w:rsidRPr="002D01ED">
        <w:rPr>
          <w:rFonts w:cs="Times New Roman"/>
          <w:spacing w:val="2"/>
        </w:rPr>
        <w:t>imperative</w:t>
      </w:r>
      <w:r w:rsidR="00790FB2" w:rsidRPr="002D01ED">
        <w:rPr>
          <w:rFonts w:cs="Times New Roman"/>
          <w:spacing w:val="2"/>
        </w:rPr>
        <w:t xml:space="preserve"> to employ a scientific </w:t>
      </w:r>
      <w:r w:rsidR="00174390" w:rsidRPr="002D01ED">
        <w:rPr>
          <w:rFonts w:cs="Times New Roman"/>
          <w:spacing w:val="2"/>
        </w:rPr>
        <w:t>approach</w:t>
      </w:r>
      <w:r w:rsidR="00790FB2" w:rsidRPr="002D01ED">
        <w:rPr>
          <w:rFonts w:cs="Times New Roman"/>
          <w:spacing w:val="2"/>
        </w:rPr>
        <w:t xml:space="preserve"> of land evaluation</w:t>
      </w:r>
      <w:r w:rsidR="002D01ED" w:rsidRPr="002D01ED">
        <w:rPr>
          <w:rFonts w:cs="Times New Roman"/>
          <w:spacing w:val="2"/>
        </w:rPr>
        <w:t>.</w:t>
      </w:r>
    </w:p>
    <w:p w14:paraId="4D8D7232" w14:textId="20A1129A" w:rsidR="00174390" w:rsidRPr="002D01ED" w:rsidRDefault="00174390" w:rsidP="001D3691">
      <w:pPr>
        <w:spacing w:line="360" w:lineRule="auto"/>
        <w:ind w:left="0" w:firstLine="720"/>
        <w:rPr>
          <w:rFonts w:cs="Times New Roman"/>
          <w:spacing w:val="2"/>
        </w:rPr>
      </w:pPr>
      <w:r w:rsidRPr="002D01ED">
        <w:rPr>
          <w:kern w:val="0"/>
          <w:szCs w:val="24"/>
        </w:rPr>
        <w:t>Land suitability</w:t>
      </w:r>
      <w:r w:rsidRPr="002D01ED">
        <w:rPr>
          <w:szCs w:val="24"/>
        </w:rPr>
        <w:t xml:space="preserve"> </w:t>
      </w:r>
      <w:r w:rsidRPr="002D01ED">
        <w:rPr>
          <w:kern w:val="0"/>
          <w:szCs w:val="24"/>
        </w:rPr>
        <w:t>evaluation is</w:t>
      </w:r>
      <w:r w:rsidRPr="002D01ED">
        <w:rPr>
          <w:rFonts w:cs="Times New Roman"/>
          <w:spacing w:val="2"/>
        </w:rPr>
        <w:t xml:space="preserve"> a critical component in land use planning, as it entails the assessment of land’s capacity to support various </w:t>
      </w:r>
      <w:r w:rsidRPr="0004376F">
        <w:rPr>
          <w:rFonts w:cs="Times New Roman"/>
          <w:color w:val="000000" w:themeColor="text1"/>
          <w:spacing w:val="2"/>
        </w:rPr>
        <w:t xml:space="preserve">existing and potential uses (Sehgal, 1995). Soil </w:t>
      </w:r>
      <w:r w:rsidRPr="002D01ED">
        <w:rPr>
          <w:rFonts w:cs="Times New Roman"/>
          <w:spacing w:val="2"/>
        </w:rPr>
        <w:t xml:space="preserve">properties and site characteristics are pivotal in categorizing land suitability into classes such as Highly Suitable (S1), Moderately Suitable (S2), Marginally Suitable (S3) and Not Suitable (N) for specific crops. This classification facilitates strategic planning aimed at expanding the cultivation area of the </w:t>
      </w:r>
      <w:r w:rsidRPr="0004376F">
        <w:rPr>
          <w:rFonts w:cs="Times New Roman"/>
          <w:color w:val="000000" w:themeColor="text1"/>
          <w:spacing w:val="2"/>
        </w:rPr>
        <w:t xml:space="preserve">respective crop. Sharma </w:t>
      </w:r>
      <w:r w:rsidRPr="0004376F">
        <w:rPr>
          <w:rFonts w:cs="Times New Roman"/>
          <w:i/>
          <w:iCs/>
          <w:color w:val="000000" w:themeColor="text1"/>
          <w:spacing w:val="2"/>
        </w:rPr>
        <w:t>et al</w:t>
      </w:r>
      <w:r w:rsidRPr="0004376F">
        <w:rPr>
          <w:rFonts w:cs="Times New Roman"/>
          <w:color w:val="000000" w:themeColor="text1"/>
          <w:spacing w:val="2"/>
        </w:rPr>
        <w:t>. (2001) emphasize</w:t>
      </w:r>
      <w:r w:rsidR="007C30DD" w:rsidRPr="0004376F">
        <w:rPr>
          <w:rFonts w:cs="Times New Roman"/>
          <w:color w:val="000000" w:themeColor="text1"/>
          <w:spacing w:val="2"/>
        </w:rPr>
        <w:t>d</w:t>
      </w:r>
      <w:r w:rsidRPr="0004376F">
        <w:rPr>
          <w:rFonts w:cs="Times New Roman"/>
          <w:color w:val="000000" w:themeColor="text1"/>
          <w:spacing w:val="2"/>
        </w:rPr>
        <w:t xml:space="preserve"> that </w:t>
      </w:r>
      <w:proofErr w:type="spellStart"/>
      <w:r w:rsidRPr="002D01ED">
        <w:rPr>
          <w:rFonts w:cs="Times New Roman"/>
          <w:spacing w:val="2"/>
        </w:rPr>
        <w:t>analyzing</w:t>
      </w:r>
      <w:proofErr w:type="spellEnd"/>
      <w:r w:rsidRPr="002D01ED">
        <w:rPr>
          <w:rFonts w:cs="Times New Roman"/>
          <w:spacing w:val="2"/>
        </w:rPr>
        <w:t xml:space="preserve"> the interplay between soil and site attributes alongside crop requirements forms the basis for determining soil suitability and formulating effective land use plans.</w:t>
      </w:r>
      <w:r w:rsidR="002D01ED" w:rsidRPr="002D01ED">
        <w:rPr>
          <w:rFonts w:cs="Times New Roman"/>
          <w:spacing w:val="2"/>
        </w:rPr>
        <w:t xml:space="preserve"> </w:t>
      </w:r>
      <w:r w:rsidRPr="002D01ED">
        <w:rPr>
          <w:rFonts w:cs="Times New Roman"/>
          <w:spacing w:val="2"/>
        </w:rPr>
        <w:t>The process of land evaluation comprises four key stages: (a) the characterization of existing soil, climatic and land use conditions; (b) the development of soil-site criteria based on crop requirements; (c) the comparison of crop requirements with prevailing soil and climate conditions; and (d) the final selection of the most appropriate crop as an alternative cropping strategy. Consequently, the assessment of soil-site suitability is essential for determining viable crop options within a specific region and its associated climatic context.</w:t>
      </w:r>
    </w:p>
    <w:p w14:paraId="669E4743" w14:textId="16FCEB0E" w:rsidR="00D124BF" w:rsidRPr="002D01ED" w:rsidRDefault="002D01ED" w:rsidP="001D3691">
      <w:pPr>
        <w:spacing w:line="360" w:lineRule="auto"/>
        <w:ind w:left="0" w:firstLine="720"/>
        <w:rPr>
          <w:rFonts w:eastAsia="Calibri" w:cs="Times New Roman"/>
          <w:kern w:val="0"/>
          <w:szCs w:val="24"/>
          <w:lang w:val="en-US"/>
          <w14:ligatures w14:val="none"/>
        </w:rPr>
      </w:pPr>
      <w:r w:rsidRPr="002D01ED">
        <w:rPr>
          <w:rFonts w:eastAsia="Calibri" w:cs="Times New Roman"/>
          <w:kern w:val="0"/>
          <w:szCs w:val="24"/>
          <w:lang w:val="en-US"/>
          <w14:ligatures w14:val="none"/>
        </w:rPr>
        <w:t xml:space="preserve">A land use system can be defined as the practices adopted on a particular tract of land, which substantially impacts soil fertility. Assessing the various land use systems for soil-site suitability is crucial for determining optimal management strategies to site specific conditions. </w:t>
      </w:r>
      <w:r w:rsidR="00D124BF" w:rsidRPr="002D01ED">
        <w:rPr>
          <w:szCs w:val="24"/>
        </w:rPr>
        <w:t xml:space="preserve">The Bada micro watershed (4D4F2j05) with an area of </w:t>
      </w:r>
      <w:r w:rsidR="00D124BF" w:rsidRPr="002D01ED">
        <w:rPr>
          <w:rFonts w:eastAsia="TimesNewRomanPSMT"/>
          <w:kern w:val="0"/>
          <w:szCs w:val="24"/>
        </w:rPr>
        <w:t>592.62 ha is</w:t>
      </w:r>
      <w:r w:rsidR="00D124BF" w:rsidRPr="002D01ED">
        <w:rPr>
          <w:szCs w:val="24"/>
        </w:rPr>
        <w:t xml:space="preserve"> situated in the Haveri district of Karnataka state was selected as a representative unit for evaluating soil-site suitability for horticulture crops across different land use</w:t>
      </w:r>
      <w:r>
        <w:rPr>
          <w:szCs w:val="24"/>
        </w:rPr>
        <w:t xml:space="preserve"> systems</w:t>
      </w:r>
      <w:r w:rsidR="00D124BF" w:rsidRPr="002D01ED">
        <w:rPr>
          <w:szCs w:val="24"/>
        </w:rPr>
        <w:t>.</w:t>
      </w:r>
    </w:p>
    <w:p w14:paraId="384EA72D" w14:textId="46C8B892" w:rsidR="007D4839" w:rsidRDefault="00E8130B" w:rsidP="001D3691">
      <w:pPr>
        <w:spacing w:line="360" w:lineRule="auto"/>
        <w:ind w:left="0" w:firstLine="0"/>
        <w:rPr>
          <w:rFonts w:eastAsia="Calibri" w:cs="Times New Roman"/>
          <w:b/>
          <w:bCs/>
          <w:kern w:val="0"/>
          <w:szCs w:val="24"/>
          <w:lang w:val="en-US"/>
          <w14:ligatures w14:val="none"/>
        </w:rPr>
      </w:pPr>
      <w:r>
        <w:rPr>
          <w:rFonts w:eastAsia="Calibri" w:cs="Times New Roman"/>
          <w:b/>
          <w:bCs/>
          <w:kern w:val="0"/>
          <w:szCs w:val="24"/>
          <w:lang w:val="en-US"/>
          <w14:ligatures w14:val="none"/>
        </w:rPr>
        <w:t xml:space="preserve">2. </w:t>
      </w:r>
      <w:r w:rsidR="006A1EA3">
        <w:rPr>
          <w:rFonts w:eastAsia="Calibri" w:cs="Times New Roman"/>
          <w:b/>
          <w:bCs/>
          <w:kern w:val="0"/>
          <w:szCs w:val="24"/>
          <w:lang w:val="en-US"/>
          <w14:ligatures w14:val="none"/>
        </w:rPr>
        <w:t>MATERIALS AND METHODS</w:t>
      </w:r>
    </w:p>
    <w:p w14:paraId="310BBE0B" w14:textId="0DB4BD29" w:rsidR="006C326C" w:rsidRDefault="006C326C" w:rsidP="001D3691">
      <w:pPr>
        <w:spacing w:line="360" w:lineRule="auto"/>
        <w:ind w:left="0" w:firstLine="720"/>
        <w:rPr>
          <w:szCs w:val="24"/>
        </w:rPr>
      </w:pPr>
      <w:r w:rsidRPr="006C326C">
        <w:rPr>
          <w:szCs w:val="24"/>
        </w:rPr>
        <w:t xml:space="preserve">The </w:t>
      </w:r>
      <w:r w:rsidRPr="006930A8">
        <w:rPr>
          <w:rFonts w:cs="Times New Roman"/>
          <w:spacing w:val="2"/>
        </w:rPr>
        <w:t xml:space="preserve">research was carried out </w:t>
      </w:r>
      <w:r w:rsidRPr="006C326C">
        <w:rPr>
          <w:szCs w:val="24"/>
        </w:rPr>
        <w:t>during the years 2024 to</w:t>
      </w:r>
      <w:r w:rsidR="00B50E4C">
        <w:rPr>
          <w:szCs w:val="24"/>
        </w:rPr>
        <w:t xml:space="preserve"> </w:t>
      </w:r>
      <w:r w:rsidRPr="006C326C">
        <w:rPr>
          <w:szCs w:val="24"/>
        </w:rPr>
        <w:t>2025 in the Bada micro watershed (4D4F2j05), located in the Haveri district of Karnataka</w:t>
      </w:r>
      <w:r>
        <w:rPr>
          <w:szCs w:val="24"/>
        </w:rPr>
        <w:t xml:space="preserve"> state</w:t>
      </w:r>
      <w:r w:rsidR="00807E8B">
        <w:rPr>
          <w:szCs w:val="24"/>
        </w:rPr>
        <w:t xml:space="preserve"> (Figure-1)</w:t>
      </w:r>
      <w:r w:rsidRPr="006C326C">
        <w:rPr>
          <w:szCs w:val="24"/>
        </w:rPr>
        <w:t>.</w:t>
      </w:r>
      <w:r>
        <w:rPr>
          <w:szCs w:val="24"/>
        </w:rPr>
        <w:t xml:space="preserve"> </w:t>
      </w:r>
      <w:r w:rsidRPr="006C326C">
        <w:rPr>
          <w:szCs w:val="24"/>
        </w:rPr>
        <w:t>Geographically, the micro watershed lies between 14˚</w:t>
      </w:r>
      <w:r>
        <w:rPr>
          <w:szCs w:val="24"/>
        </w:rPr>
        <w:t xml:space="preserve"> </w:t>
      </w:r>
      <w:r w:rsidRPr="006C326C">
        <w:rPr>
          <w:szCs w:val="24"/>
        </w:rPr>
        <w:t>55'</w:t>
      </w:r>
      <w:r>
        <w:rPr>
          <w:szCs w:val="24"/>
        </w:rPr>
        <w:t xml:space="preserve"> </w:t>
      </w:r>
      <w:r w:rsidRPr="006C326C">
        <w:rPr>
          <w:szCs w:val="24"/>
        </w:rPr>
        <w:t>30"</w:t>
      </w:r>
      <w:r>
        <w:rPr>
          <w:szCs w:val="24"/>
        </w:rPr>
        <w:t xml:space="preserve"> -</w:t>
      </w:r>
      <w:r w:rsidRPr="006C326C">
        <w:rPr>
          <w:szCs w:val="24"/>
        </w:rPr>
        <w:t xml:space="preserve"> 14˚</w:t>
      </w:r>
      <w:r>
        <w:rPr>
          <w:szCs w:val="24"/>
        </w:rPr>
        <w:t xml:space="preserve"> </w:t>
      </w:r>
      <w:r w:rsidRPr="006C326C">
        <w:rPr>
          <w:szCs w:val="24"/>
        </w:rPr>
        <w:t>58'</w:t>
      </w:r>
      <w:r>
        <w:rPr>
          <w:szCs w:val="24"/>
        </w:rPr>
        <w:t xml:space="preserve"> </w:t>
      </w:r>
      <w:r w:rsidRPr="006C326C">
        <w:rPr>
          <w:szCs w:val="24"/>
        </w:rPr>
        <w:t>0" North latitudes</w:t>
      </w:r>
      <w:r>
        <w:rPr>
          <w:szCs w:val="24"/>
        </w:rPr>
        <w:t xml:space="preserve"> </w:t>
      </w:r>
      <w:r w:rsidRPr="006C326C">
        <w:rPr>
          <w:szCs w:val="24"/>
        </w:rPr>
        <w:t>and 75˚</w:t>
      </w:r>
      <w:r>
        <w:rPr>
          <w:szCs w:val="24"/>
        </w:rPr>
        <w:t xml:space="preserve"> </w:t>
      </w:r>
      <w:r w:rsidRPr="006C326C">
        <w:rPr>
          <w:szCs w:val="24"/>
        </w:rPr>
        <w:t>11'</w:t>
      </w:r>
      <w:r>
        <w:rPr>
          <w:szCs w:val="24"/>
        </w:rPr>
        <w:t xml:space="preserve"> </w:t>
      </w:r>
      <w:r w:rsidRPr="006C326C">
        <w:rPr>
          <w:szCs w:val="24"/>
        </w:rPr>
        <w:t>45" and 75˚</w:t>
      </w:r>
      <w:r>
        <w:rPr>
          <w:szCs w:val="24"/>
        </w:rPr>
        <w:t xml:space="preserve"> </w:t>
      </w:r>
      <w:r w:rsidRPr="006C326C">
        <w:rPr>
          <w:szCs w:val="24"/>
        </w:rPr>
        <w:t>14'</w:t>
      </w:r>
      <w:r>
        <w:rPr>
          <w:szCs w:val="24"/>
        </w:rPr>
        <w:t xml:space="preserve"> </w:t>
      </w:r>
      <w:r w:rsidRPr="006C326C">
        <w:rPr>
          <w:szCs w:val="24"/>
        </w:rPr>
        <w:t>0" East</w:t>
      </w:r>
      <w:r>
        <w:rPr>
          <w:szCs w:val="24"/>
        </w:rPr>
        <w:t xml:space="preserve"> </w:t>
      </w:r>
      <w:r w:rsidRPr="006C326C">
        <w:rPr>
          <w:szCs w:val="24"/>
        </w:rPr>
        <w:t>longitudes. The total area encompassed by the micro watershed is approximately 592.62 hectares. Th</w:t>
      </w:r>
      <w:r>
        <w:rPr>
          <w:szCs w:val="24"/>
        </w:rPr>
        <w:t>e study area</w:t>
      </w:r>
      <w:r w:rsidRPr="006C326C">
        <w:rPr>
          <w:szCs w:val="24"/>
        </w:rPr>
        <w:t xml:space="preserve"> is classified within the Northern Transition Zone (Agroclimatic Zone 8) of Karnataka</w:t>
      </w:r>
      <w:r>
        <w:rPr>
          <w:szCs w:val="24"/>
        </w:rPr>
        <w:t xml:space="preserve"> state</w:t>
      </w:r>
      <w:r w:rsidRPr="006C326C">
        <w:rPr>
          <w:szCs w:val="24"/>
        </w:rPr>
        <w:t xml:space="preserve">, characterized by an elevation range of 450 to </w:t>
      </w:r>
      <w:r w:rsidRPr="006C326C">
        <w:rPr>
          <w:szCs w:val="24"/>
        </w:rPr>
        <w:lastRenderedPageBreak/>
        <w:t>900 meters above mean sea level. The zone experiences an average annual rainfall varying between 620 and 1025</w:t>
      </w:r>
      <w:r>
        <w:rPr>
          <w:szCs w:val="24"/>
        </w:rPr>
        <w:t xml:space="preserve"> mm</w:t>
      </w:r>
      <w:r w:rsidRPr="006C326C">
        <w:rPr>
          <w:szCs w:val="24"/>
        </w:rPr>
        <w:t>.</w:t>
      </w:r>
    </w:p>
    <w:p w14:paraId="372AD9BD" w14:textId="77777777" w:rsidR="004B1D76" w:rsidRDefault="006C2F5D" w:rsidP="001D3691">
      <w:pPr>
        <w:spacing w:line="360" w:lineRule="auto"/>
        <w:ind w:left="0" w:firstLine="720"/>
        <w:rPr>
          <w:rFonts w:cs="Times New Roman"/>
          <w:spacing w:val="2"/>
        </w:rPr>
      </w:pPr>
      <w:r>
        <w:rPr>
          <w:rFonts w:cs="Times New Roman"/>
          <w:spacing w:val="2"/>
        </w:rPr>
        <w:t>A</w:t>
      </w:r>
      <w:r w:rsidRPr="006C2F5D">
        <w:rPr>
          <w:rFonts w:cs="Times New Roman"/>
          <w:spacing w:val="2"/>
        </w:rPr>
        <w:t xml:space="preserve"> preliminary survey of the entire micro</w:t>
      </w:r>
      <w:r>
        <w:rPr>
          <w:rFonts w:cs="Times New Roman"/>
          <w:spacing w:val="2"/>
        </w:rPr>
        <w:t xml:space="preserve"> </w:t>
      </w:r>
      <w:r w:rsidRPr="006C2F5D">
        <w:rPr>
          <w:rFonts w:cs="Times New Roman"/>
          <w:spacing w:val="2"/>
        </w:rPr>
        <w:t>watershed</w:t>
      </w:r>
      <w:r>
        <w:rPr>
          <w:rFonts w:cs="Times New Roman"/>
          <w:spacing w:val="2"/>
        </w:rPr>
        <w:t xml:space="preserve"> was </w:t>
      </w:r>
      <w:r w:rsidRPr="006C2F5D">
        <w:rPr>
          <w:rFonts w:cs="Times New Roman"/>
          <w:spacing w:val="2"/>
        </w:rPr>
        <w:t>conducted using a 1:7,920 scale base map in conjunction with satellite imagery</w:t>
      </w:r>
      <w:r>
        <w:rPr>
          <w:rFonts w:cs="Times New Roman"/>
          <w:spacing w:val="2"/>
        </w:rPr>
        <w:t>. Total of</w:t>
      </w:r>
      <w:r w:rsidRPr="006C2F5D">
        <w:rPr>
          <w:rFonts w:cs="Times New Roman"/>
          <w:spacing w:val="2"/>
        </w:rPr>
        <w:t xml:space="preserve"> four distinct land use systems were </w:t>
      </w:r>
      <w:r>
        <w:rPr>
          <w:rFonts w:cs="Times New Roman"/>
          <w:spacing w:val="2"/>
        </w:rPr>
        <w:t>identified</w:t>
      </w:r>
      <w:r w:rsidR="00807E8B">
        <w:rPr>
          <w:rFonts w:cs="Times New Roman"/>
          <w:spacing w:val="2"/>
        </w:rPr>
        <w:t xml:space="preserve"> (Figure-2)</w:t>
      </w:r>
      <w:r w:rsidRPr="006C2F5D">
        <w:rPr>
          <w:rFonts w:cs="Times New Roman"/>
          <w:spacing w:val="2"/>
        </w:rPr>
        <w:t>. Within each land use system, two representative soil profiles were selected for detailed</w:t>
      </w:r>
      <w:r>
        <w:rPr>
          <w:rFonts w:cs="Times New Roman"/>
          <w:spacing w:val="2"/>
        </w:rPr>
        <w:t xml:space="preserve"> examination and </w:t>
      </w:r>
      <w:r w:rsidRPr="006C2F5D">
        <w:rPr>
          <w:rFonts w:cs="Times New Roman"/>
          <w:spacing w:val="2"/>
        </w:rPr>
        <w:t xml:space="preserve">analysis. The morphological attributes of </w:t>
      </w:r>
      <w:r>
        <w:rPr>
          <w:rFonts w:cs="Times New Roman"/>
          <w:spacing w:val="2"/>
        </w:rPr>
        <w:t>excavated</w:t>
      </w:r>
      <w:r w:rsidRPr="006C2F5D">
        <w:rPr>
          <w:rFonts w:cs="Times New Roman"/>
          <w:spacing w:val="2"/>
        </w:rPr>
        <w:t xml:space="preserve"> soil profiles were systematically recorded and their physical and chemical properties were </w:t>
      </w:r>
    </w:p>
    <w:p w14:paraId="55327E6E" w14:textId="77777777"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Pr>
          <w:rFonts w:eastAsia="Calibri" w:cs="Times New Roman"/>
          <w:b/>
          <w:bCs/>
          <w:kern w:val="0"/>
          <w:szCs w:val="24"/>
          <w:lang w:eastAsia="en-IN"/>
          <w14:ligatures w14:val="none"/>
        </w:rPr>
        <w:t>Figure-1</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Location of the study area</w:t>
      </w:r>
    </w:p>
    <w:p w14:paraId="0D293055" w14:textId="77777777" w:rsidR="004B1D76" w:rsidRDefault="004B1D76" w:rsidP="009B2772">
      <w:pPr>
        <w:jc w:val="center"/>
      </w:pPr>
      <w:r>
        <w:rPr>
          <w:noProof/>
        </w:rPr>
        <w:drawing>
          <wp:inline distT="0" distB="0" distL="0" distR="0" wp14:anchorId="4357C62A" wp14:editId="195A0D8E">
            <wp:extent cx="4428877" cy="3848100"/>
            <wp:effectExtent l="0" t="0" r="0" b="0"/>
            <wp:docPr id="1219603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40381" cy="3858095"/>
                    </a:xfrm>
                    <a:prstGeom prst="rect">
                      <a:avLst/>
                    </a:prstGeom>
                    <a:noFill/>
                    <a:ln>
                      <a:noFill/>
                    </a:ln>
                  </pic:spPr>
                </pic:pic>
              </a:graphicData>
            </a:graphic>
          </wp:inline>
        </w:drawing>
      </w:r>
    </w:p>
    <w:p w14:paraId="337A2C85" w14:textId="77777777" w:rsidR="009B2772" w:rsidRDefault="009B2772" w:rsidP="004B1D76">
      <w:pPr>
        <w:spacing w:before="0" w:after="0" w:line="240" w:lineRule="auto"/>
        <w:ind w:left="1050" w:hanging="1050"/>
        <w:rPr>
          <w:rFonts w:eastAsia="Calibri" w:cs="Times New Roman"/>
          <w:b/>
          <w:bCs/>
          <w:kern w:val="0"/>
          <w:szCs w:val="24"/>
          <w:lang w:eastAsia="en-IN"/>
          <w14:ligatures w14:val="none"/>
        </w:rPr>
      </w:pPr>
    </w:p>
    <w:p w14:paraId="002FF5B7" w14:textId="57495622"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Figure-2</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Land use systems of the Bada micro watershed</w:t>
      </w:r>
    </w:p>
    <w:p w14:paraId="4AF20FDF" w14:textId="77777777" w:rsidR="004B1D76" w:rsidRPr="00DA41B9" w:rsidRDefault="004B1D76" w:rsidP="009B2772">
      <w:pPr>
        <w:spacing w:before="0" w:after="0" w:line="240" w:lineRule="auto"/>
        <w:ind w:left="1050" w:hanging="1050"/>
        <w:jc w:val="center"/>
        <w:rPr>
          <w:rFonts w:eastAsia="Calibri" w:cs="Times New Roman"/>
          <w:b/>
          <w:bCs/>
          <w:kern w:val="0"/>
          <w:szCs w:val="24"/>
          <w:lang w:val="en-US" w:eastAsia="en-IN"/>
          <w14:ligatures w14:val="none"/>
        </w:rPr>
      </w:pPr>
      <w:r>
        <w:rPr>
          <w:noProof/>
        </w:rPr>
        <w:lastRenderedPageBreak/>
        <w:drawing>
          <wp:inline distT="0" distB="0" distL="0" distR="0" wp14:anchorId="2EC6C153" wp14:editId="19F36499">
            <wp:extent cx="5731510" cy="4051300"/>
            <wp:effectExtent l="0" t="0" r="2540" b="6350"/>
            <wp:docPr id="352816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FCCFA72" w14:textId="0A7EA273" w:rsidR="006C2F5D" w:rsidRDefault="006C2F5D" w:rsidP="004B1D76">
      <w:pPr>
        <w:spacing w:line="360" w:lineRule="auto"/>
        <w:ind w:left="0" w:firstLine="0"/>
        <w:rPr>
          <w:rFonts w:cs="Times New Roman"/>
          <w:spacing w:val="2"/>
        </w:rPr>
      </w:pPr>
      <w:r>
        <w:rPr>
          <w:rFonts w:cs="Times New Roman"/>
          <w:spacing w:val="2"/>
        </w:rPr>
        <w:t>analyzed by</w:t>
      </w:r>
      <w:r w:rsidRPr="006C2F5D">
        <w:rPr>
          <w:rFonts w:cs="Times New Roman"/>
          <w:spacing w:val="2"/>
        </w:rPr>
        <w:t xml:space="preserve"> employing </w:t>
      </w:r>
      <w:r w:rsidRPr="0084587C">
        <w:rPr>
          <w:rFonts w:cs="Times New Roman"/>
          <w:spacing w:val="2"/>
        </w:rPr>
        <w:t>standard procedures</w:t>
      </w:r>
      <w:r w:rsidR="00E8130B">
        <w:rPr>
          <w:rFonts w:cs="Times New Roman"/>
          <w:spacing w:val="2"/>
        </w:rPr>
        <w:t xml:space="preserve"> by following Keys to soil taxonomy </w:t>
      </w:r>
      <w:r>
        <w:rPr>
          <w:rFonts w:cs="Times New Roman"/>
          <w:spacing w:val="2"/>
        </w:rPr>
        <w:t>(</w:t>
      </w:r>
      <w:r w:rsidR="00E8130B">
        <w:rPr>
          <w:rFonts w:cs="Times New Roman"/>
          <w:spacing w:val="2"/>
        </w:rPr>
        <w:t>Anon., 2022</w:t>
      </w:r>
      <w:r>
        <w:rPr>
          <w:rFonts w:cs="Times New Roman"/>
          <w:spacing w:val="2"/>
        </w:rPr>
        <w:t>)</w:t>
      </w:r>
      <w:r w:rsidR="00E8130B">
        <w:rPr>
          <w:rFonts w:cs="Times New Roman"/>
          <w:spacing w:val="2"/>
        </w:rPr>
        <w:t>.</w:t>
      </w:r>
    </w:p>
    <w:p w14:paraId="43A4A512" w14:textId="74ECA162" w:rsidR="006C2F5D" w:rsidRDefault="006C2F5D" w:rsidP="001D3691">
      <w:pPr>
        <w:spacing w:line="360" w:lineRule="auto"/>
        <w:ind w:left="0" w:firstLine="720"/>
        <w:rPr>
          <w:rFonts w:eastAsia="Times New Roman"/>
          <w:kern w:val="0"/>
          <w:szCs w:val="24"/>
          <w:lang w:val="en-US"/>
        </w:rPr>
      </w:pPr>
      <w:r w:rsidRPr="006C2F5D">
        <w:rPr>
          <w:rFonts w:eastAsia="Times New Roman"/>
          <w:kern w:val="0"/>
          <w:szCs w:val="24"/>
          <w:lang w:val="en-US"/>
        </w:rPr>
        <w:t>Subsequent</w:t>
      </w:r>
      <w:r>
        <w:rPr>
          <w:rFonts w:eastAsia="Times New Roman"/>
          <w:kern w:val="0"/>
          <w:szCs w:val="24"/>
          <w:lang w:val="en-US"/>
        </w:rPr>
        <w:t xml:space="preserve"> to </w:t>
      </w:r>
      <w:r w:rsidRPr="006C2F5D">
        <w:rPr>
          <w:rFonts w:eastAsia="Times New Roman"/>
          <w:kern w:val="0"/>
          <w:szCs w:val="24"/>
          <w:lang w:val="en-US"/>
        </w:rPr>
        <w:t>comprehensive soil survey</w:t>
      </w:r>
      <w:r>
        <w:rPr>
          <w:rFonts w:eastAsia="Times New Roman"/>
          <w:kern w:val="0"/>
          <w:szCs w:val="24"/>
          <w:lang w:val="en-US"/>
        </w:rPr>
        <w:t xml:space="preserve">, </w:t>
      </w:r>
      <w:r>
        <w:rPr>
          <w:rFonts w:cs="Times New Roman"/>
          <w:spacing w:val="2"/>
        </w:rPr>
        <w:t>crop suitability maps for major horticulture crops in the Bada micro watershed were generated across the land uses.</w:t>
      </w:r>
      <w:r>
        <w:rPr>
          <w:rFonts w:eastAsia="Times New Roman"/>
          <w:kern w:val="0"/>
          <w:szCs w:val="24"/>
          <w:lang w:val="en-US"/>
        </w:rPr>
        <w:t xml:space="preserve"> </w:t>
      </w:r>
      <w:r w:rsidRPr="006C2F5D">
        <w:rPr>
          <w:rFonts w:eastAsia="Times New Roman"/>
          <w:kern w:val="0"/>
          <w:szCs w:val="24"/>
          <w:lang w:val="en-US"/>
        </w:rPr>
        <w:t xml:space="preserve">This mapping was performed utilizing ArcGIS </w:t>
      </w:r>
      <w:r w:rsidRPr="00AA4F42">
        <w:rPr>
          <w:rFonts w:eastAsia="Times New Roman"/>
          <w:color w:val="000000" w:themeColor="text1"/>
          <w:kern w:val="0"/>
          <w:szCs w:val="24"/>
          <w:lang w:val="en-US"/>
        </w:rPr>
        <w:t xml:space="preserve">version 10.8.2. The assessment </w:t>
      </w:r>
      <w:r w:rsidRPr="006C2F5D">
        <w:rPr>
          <w:rFonts w:eastAsia="Times New Roman"/>
          <w:kern w:val="0"/>
          <w:szCs w:val="24"/>
          <w:lang w:val="en-US"/>
        </w:rPr>
        <w:t xml:space="preserve">of crop suitability </w:t>
      </w:r>
      <w:r>
        <w:rPr>
          <w:rFonts w:eastAsia="Times New Roman"/>
          <w:kern w:val="0"/>
          <w:szCs w:val="24"/>
          <w:lang w:val="en-US"/>
        </w:rPr>
        <w:t xml:space="preserve">was </w:t>
      </w:r>
      <w:r w:rsidRPr="006C2F5D">
        <w:rPr>
          <w:rFonts w:eastAsia="Times New Roman"/>
          <w:kern w:val="0"/>
          <w:szCs w:val="24"/>
          <w:lang w:val="en-US"/>
        </w:rPr>
        <w:t xml:space="preserve">employed </w:t>
      </w:r>
      <w:r>
        <w:rPr>
          <w:rFonts w:eastAsia="Times New Roman"/>
          <w:kern w:val="0"/>
          <w:szCs w:val="24"/>
          <w:lang w:val="en-US"/>
        </w:rPr>
        <w:t xml:space="preserve">using </w:t>
      </w:r>
      <w:r w:rsidRPr="006C2F5D">
        <w:rPr>
          <w:rFonts w:eastAsia="Times New Roman"/>
          <w:kern w:val="0"/>
          <w:szCs w:val="24"/>
          <w:lang w:val="en-US"/>
        </w:rPr>
        <w:t xml:space="preserve">the limitation method, which considers both the quantity and </w:t>
      </w:r>
      <w:r>
        <w:rPr>
          <w:rFonts w:eastAsia="Times New Roman"/>
          <w:kern w:val="0"/>
          <w:szCs w:val="24"/>
          <w:lang w:val="en-US"/>
        </w:rPr>
        <w:t>intensity</w:t>
      </w:r>
      <w:r w:rsidRPr="006C2F5D">
        <w:rPr>
          <w:rFonts w:eastAsia="Times New Roman"/>
          <w:kern w:val="0"/>
          <w:szCs w:val="24"/>
          <w:lang w:val="en-US"/>
        </w:rPr>
        <w:t xml:space="preserve"> of limiting factors, as </w:t>
      </w:r>
      <w:r w:rsidRPr="0004376F">
        <w:rPr>
          <w:rFonts w:eastAsia="Times New Roman"/>
          <w:color w:val="000000" w:themeColor="text1"/>
          <w:kern w:val="0"/>
          <w:szCs w:val="24"/>
          <w:lang w:val="en-US"/>
        </w:rPr>
        <w:t xml:space="preserve">described by Naidu </w:t>
      </w:r>
      <w:r w:rsidRPr="0004376F">
        <w:rPr>
          <w:rFonts w:eastAsia="Times New Roman"/>
          <w:i/>
          <w:iCs/>
          <w:color w:val="000000" w:themeColor="text1"/>
          <w:kern w:val="0"/>
          <w:szCs w:val="24"/>
          <w:lang w:val="en-US"/>
        </w:rPr>
        <w:t>et al</w:t>
      </w:r>
      <w:r w:rsidRPr="0004376F">
        <w:rPr>
          <w:rFonts w:eastAsia="Times New Roman"/>
          <w:color w:val="000000" w:themeColor="text1"/>
          <w:kern w:val="0"/>
          <w:szCs w:val="24"/>
          <w:lang w:val="en-US"/>
        </w:rPr>
        <w:t xml:space="preserve">. </w:t>
      </w:r>
      <w:r w:rsidR="00E8130B" w:rsidRPr="0004376F">
        <w:rPr>
          <w:rFonts w:eastAsia="Times New Roman"/>
          <w:color w:val="000000" w:themeColor="text1"/>
          <w:kern w:val="0"/>
          <w:szCs w:val="24"/>
          <w:lang w:val="en-US"/>
        </w:rPr>
        <w:t>(2006)</w:t>
      </w:r>
      <w:r w:rsidRPr="0004376F">
        <w:rPr>
          <w:rFonts w:eastAsia="Times New Roman"/>
          <w:color w:val="000000" w:themeColor="text1"/>
          <w:kern w:val="0"/>
          <w:szCs w:val="24"/>
          <w:lang w:val="en-US"/>
        </w:rPr>
        <w:t xml:space="preserve">. The evaluation process </w:t>
      </w:r>
      <w:r w:rsidRPr="006C2F5D">
        <w:rPr>
          <w:rFonts w:eastAsia="Times New Roman"/>
          <w:kern w:val="0"/>
          <w:szCs w:val="24"/>
          <w:lang w:val="en-US"/>
        </w:rPr>
        <w:t xml:space="preserve">comprises three distinct </w:t>
      </w:r>
      <w:r>
        <w:rPr>
          <w:rFonts w:eastAsia="Times New Roman"/>
          <w:kern w:val="0"/>
          <w:szCs w:val="24"/>
          <w:lang w:val="en-US"/>
        </w:rPr>
        <w:t>phases</w:t>
      </w:r>
      <w:r w:rsidRPr="006C2F5D">
        <w:rPr>
          <w:rFonts w:eastAsia="Times New Roman"/>
          <w:kern w:val="0"/>
          <w:szCs w:val="24"/>
          <w:lang w:val="en-US"/>
        </w:rPr>
        <w:t>.</w:t>
      </w:r>
    </w:p>
    <w:p w14:paraId="679F1853" w14:textId="3CEE95AB" w:rsidR="00AB5D4C" w:rsidRDefault="006C2F5D" w:rsidP="001D3691">
      <w:pPr>
        <w:spacing w:line="360" w:lineRule="auto"/>
        <w:ind w:left="0" w:firstLine="720"/>
        <w:rPr>
          <w:rFonts w:cs="Times New Roman"/>
          <w:spacing w:val="2"/>
        </w:rPr>
      </w:pPr>
      <w:r w:rsidRPr="006C2F5D">
        <w:rPr>
          <w:rFonts w:cs="Times New Roman"/>
          <w:spacing w:val="2"/>
        </w:rPr>
        <w:t xml:space="preserve">In the initial phase, data collection </w:t>
      </w:r>
      <w:r>
        <w:rPr>
          <w:rFonts w:cs="Times New Roman"/>
          <w:spacing w:val="2"/>
        </w:rPr>
        <w:t>focused</w:t>
      </w:r>
      <w:r w:rsidRPr="006C2F5D">
        <w:rPr>
          <w:rFonts w:cs="Times New Roman"/>
          <w:spacing w:val="2"/>
        </w:rPr>
        <w:t xml:space="preserve"> on a range of attributes </w:t>
      </w:r>
      <w:r>
        <w:rPr>
          <w:rFonts w:cs="Times New Roman"/>
          <w:spacing w:val="2"/>
        </w:rPr>
        <w:t xml:space="preserve">as </w:t>
      </w:r>
      <w:r w:rsidRPr="006C2F5D">
        <w:rPr>
          <w:rFonts w:cs="Times New Roman"/>
          <w:spacing w:val="2"/>
        </w:rPr>
        <w:t xml:space="preserve">detailed in </w:t>
      </w:r>
      <w:r w:rsidRPr="00AA4F42">
        <w:rPr>
          <w:rFonts w:cs="Times New Roman"/>
          <w:color w:val="000000" w:themeColor="text1"/>
          <w:spacing w:val="2"/>
        </w:rPr>
        <w:t>Table</w:t>
      </w:r>
      <w:r w:rsidR="006439CE">
        <w:rPr>
          <w:rFonts w:cs="Times New Roman"/>
          <w:color w:val="000000" w:themeColor="text1"/>
          <w:spacing w:val="2"/>
        </w:rPr>
        <w:t>-</w:t>
      </w:r>
      <w:r w:rsidRPr="00AA4F42">
        <w:rPr>
          <w:rFonts w:cs="Times New Roman"/>
          <w:color w:val="000000" w:themeColor="text1"/>
          <w:spacing w:val="2"/>
        </w:rPr>
        <w:t>1</w:t>
      </w:r>
      <w:r w:rsidR="00AB5D4C">
        <w:rPr>
          <w:rFonts w:cs="Times New Roman"/>
          <w:color w:val="000000" w:themeColor="text1"/>
          <w:spacing w:val="2"/>
        </w:rPr>
        <w:t xml:space="preserve">. Soil site characteristics categorized as oxygen availability to roots (soil drainage), nutrient availability (surface texture, soil pH, cation exchange capacity, base saturation, free calcium carbonate and organic carbon), rooting conditions (soil depth and coarse fragments), soil toxicity (salinity and </w:t>
      </w:r>
      <w:proofErr w:type="spellStart"/>
      <w:r w:rsidR="00AB5D4C">
        <w:rPr>
          <w:rFonts w:cs="Times New Roman"/>
          <w:color w:val="000000" w:themeColor="text1"/>
          <w:spacing w:val="2"/>
        </w:rPr>
        <w:t>sodicity</w:t>
      </w:r>
      <w:proofErr w:type="spellEnd"/>
      <w:r w:rsidR="00AB5D4C">
        <w:rPr>
          <w:rFonts w:cs="Times New Roman"/>
          <w:color w:val="000000" w:themeColor="text1"/>
          <w:spacing w:val="2"/>
        </w:rPr>
        <w:t xml:space="preserve">) and erosion (slope). </w:t>
      </w:r>
      <w:r w:rsidR="00AB5D4C" w:rsidRPr="006C2F5D">
        <w:rPr>
          <w:rFonts w:cs="Times New Roman"/>
          <w:spacing w:val="2"/>
        </w:rPr>
        <w:t xml:space="preserve">The </w:t>
      </w:r>
      <w:r w:rsidR="00AB5D4C" w:rsidRPr="00DB2DF4">
        <w:rPr>
          <w:rFonts w:cs="Times New Roman"/>
          <w:color w:val="000000" w:themeColor="text1"/>
          <w:spacing w:val="2"/>
        </w:rPr>
        <w:t xml:space="preserve">study area was characterized by </w:t>
      </w:r>
      <w:r w:rsidR="00DB2DF4" w:rsidRPr="00DB2DF4">
        <w:rPr>
          <w:rFonts w:cs="Times New Roman"/>
          <w:color w:val="000000" w:themeColor="text1"/>
          <w:spacing w:val="2"/>
        </w:rPr>
        <w:t>nearly level (agriculture) to gently sloping (barren land)</w:t>
      </w:r>
      <w:r w:rsidR="00AB5D4C" w:rsidRPr="00DB2DF4">
        <w:rPr>
          <w:rFonts w:cs="Times New Roman"/>
          <w:color w:val="000000" w:themeColor="text1"/>
          <w:spacing w:val="2"/>
        </w:rPr>
        <w:t xml:space="preserve"> slopes and had no </w:t>
      </w:r>
      <w:r w:rsidR="00AB5D4C" w:rsidRPr="006C2F5D">
        <w:rPr>
          <w:rFonts w:cs="Times New Roman"/>
          <w:spacing w:val="2"/>
        </w:rPr>
        <w:t xml:space="preserve">history of flooding. Drainage conditions were </w:t>
      </w:r>
      <w:r w:rsidR="00DB2DF4">
        <w:rPr>
          <w:rFonts w:cs="Times New Roman"/>
          <w:spacing w:val="2"/>
        </w:rPr>
        <w:t>identified as moderately well drained and</w:t>
      </w:r>
      <w:r w:rsidR="00DB2DF4" w:rsidRPr="00DB2DF4">
        <w:rPr>
          <w:rFonts w:cs="Times New Roman"/>
          <w:color w:val="EE0000"/>
          <w:spacing w:val="2"/>
        </w:rPr>
        <w:t xml:space="preserve"> </w:t>
      </w:r>
      <w:r w:rsidR="00DB2DF4" w:rsidRPr="00DB2DF4">
        <w:rPr>
          <w:rFonts w:cs="Times New Roman"/>
          <w:color w:val="000000" w:themeColor="text1"/>
          <w:spacing w:val="2"/>
        </w:rPr>
        <w:t xml:space="preserve">the soil had a clay texture </w:t>
      </w:r>
      <w:r w:rsidR="00DB2DF4">
        <w:rPr>
          <w:rFonts w:cs="Times New Roman"/>
          <w:spacing w:val="2"/>
        </w:rPr>
        <w:t>across all land uses.</w:t>
      </w:r>
    </w:p>
    <w:p w14:paraId="193C9F06" w14:textId="19642D18" w:rsidR="00067EA7" w:rsidRPr="0004376F" w:rsidRDefault="00067EA7" w:rsidP="001D3691">
      <w:pPr>
        <w:spacing w:line="360" w:lineRule="auto"/>
        <w:ind w:left="0" w:firstLine="720"/>
        <w:rPr>
          <w:rFonts w:cs="Times New Roman"/>
          <w:color w:val="000000" w:themeColor="text1"/>
          <w:spacing w:val="2"/>
        </w:rPr>
      </w:pPr>
      <w:r w:rsidRPr="00067EA7">
        <w:rPr>
          <w:rFonts w:cs="Times New Roman"/>
          <w:spacing w:val="2"/>
        </w:rPr>
        <w:t xml:space="preserve">In the second phase of the study, the </w:t>
      </w:r>
      <w:r w:rsidRPr="0004376F">
        <w:rPr>
          <w:rFonts w:cs="Times New Roman"/>
          <w:color w:val="000000" w:themeColor="text1"/>
          <w:spacing w:val="2"/>
        </w:rPr>
        <w:t xml:space="preserve">landscape and soil requirements for six crops were derived from the NBSS and LUP manual by </w:t>
      </w:r>
      <w:r w:rsidR="00E8130B" w:rsidRPr="0004376F">
        <w:rPr>
          <w:rFonts w:eastAsia="Times New Roman"/>
          <w:color w:val="000000" w:themeColor="text1"/>
          <w:kern w:val="0"/>
          <w:szCs w:val="24"/>
          <w:lang w:val="en-US"/>
        </w:rPr>
        <w:t xml:space="preserve">Naidu </w:t>
      </w:r>
      <w:r w:rsidR="00E8130B" w:rsidRPr="0004376F">
        <w:rPr>
          <w:rFonts w:eastAsia="Times New Roman"/>
          <w:i/>
          <w:iCs/>
          <w:color w:val="000000" w:themeColor="text1"/>
          <w:kern w:val="0"/>
          <w:szCs w:val="24"/>
          <w:lang w:val="en-US"/>
        </w:rPr>
        <w:t>et al</w:t>
      </w:r>
      <w:r w:rsidR="00E8130B" w:rsidRPr="0004376F">
        <w:rPr>
          <w:rFonts w:eastAsia="Times New Roman"/>
          <w:color w:val="000000" w:themeColor="text1"/>
          <w:kern w:val="0"/>
          <w:szCs w:val="24"/>
          <w:lang w:val="en-US"/>
        </w:rPr>
        <w:t>. (2006)</w:t>
      </w:r>
      <w:r w:rsidRPr="0004376F">
        <w:rPr>
          <w:rFonts w:cs="Times New Roman"/>
          <w:color w:val="000000" w:themeColor="text1"/>
          <w:spacing w:val="2"/>
        </w:rPr>
        <w:t>.</w:t>
      </w:r>
      <w:r w:rsidR="00945513" w:rsidRPr="0004376F">
        <w:rPr>
          <w:rFonts w:cs="Times New Roman"/>
          <w:color w:val="000000" w:themeColor="text1"/>
          <w:spacing w:val="2"/>
        </w:rPr>
        <w:t xml:space="preserve"> The </w:t>
      </w:r>
      <w:r w:rsidR="00945513" w:rsidRPr="006439CE">
        <w:rPr>
          <w:rFonts w:cs="Times New Roman"/>
          <w:color w:val="000000" w:themeColor="text1"/>
          <w:spacing w:val="2"/>
        </w:rPr>
        <w:t xml:space="preserve">third phase </w:t>
      </w:r>
      <w:r w:rsidR="00945513" w:rsidRPr="006439CE">
        <w:rPr>
          <w:rFonts w:cs="Times New Roman"/>
          <w:color w:val="000000" w:themeColor="text1"/>
          <w:spacing w:val="2"/>
        </w:rPr>
        <w:lastRenderedPageBreak/>
        <w:t xml:space="preserve">involves assessing soil-site suitability by comparing landscape and soil characteristics with crop requirements, considering different suitability orders: Highly suitable (S1), Moderately suitable (S2), Marginally suitable (S3) and Not suitable (N) </w:t>
      </w:r>
      <w:r w:rsidRPr="006439CE">
        <w:rPr>
          <w:rFonts w:cs="Times New Roman"/>
          <w:color w:val="000000" w:themeColor="text1"/>
          <w:spacing w:val="2"/>
        </w:rPr>
        <w:t xml:space="preserve">in </w:t>
      </w:r>
      <w:r w:rsidRPr="0004376F">
        <w:rPr>
          <w:rFonts w:cs="Times New Roman"/>
          <w:color w:val="000000" w:themeColor="text1"/>
          <w:spacing w:val="2"/>
        </w:rPr>
        <w:t xml:space="preserve">accordance with </w:t>
      </w:r>
      <w:r w:rsidR="00945513" w:rsidRPr="0004376F">
        <w:rPr>
          <w:rFonts w:cs="Times New Roman"/>
          <w:color w:val="000000" w:themeColor="text1"/>
          <w:spacing w:val="2"/>
        </w:rPr>
        <w:t>FAO</w:t>
      </w:r>
      <w:r w:rsidRPr="0004376F">
        <w:rPr>
          <w:rFonts w:cs="Times New Roman"/>
          <w:color w:val="000000" w:themeColor="text1"/>
          <w:spacing w:val="2"/>
        </w:rPr>
        <w:t xml:space="preserve"> framework</w:t>
      </w:r>
      <w:r w:rsidR="00945513" w:rsidRPr="0004376F">
        <w:rPr>
          <w:rFonts w:cs="Times New Roman"/>
          <w:color w:val="000000" w:themeColor="text1"/>
          <w:spacing w:val="2"/>
        </w:rPr>
        <w:t xml:space="preserve"> (Anon., 1976)</w:t>
      </w:r>
      <w:r w:rsidRPr="0004376F">
        <w:rPr>
          <w:rFonts w:cs="Times New Roman"/>
          <w:color w:val="000000" w:themeColor="text1"/>
          <w:spacing w:val="2"/>
        </w:rPr>
        <w:t>.</w:t>
      </w:r>
    </w:p>
    <w:p w14:paraId="652F57C3" w14:textId="6BA038FB" w:rsidR="003128A4" w:rsidRDefault="00E8130B" w:rsidP="001D3691">
      <w:pPr>
        <w:spacing w:line="360" w:lineRule="auto"/>
        <w:ind w:left="0" w:firstLine="0"/>
        <w:rPr>
          <w:rFonts w:cs="Times New Roman"/>
          <w:b/>
          <w:bCs/>
          <w:spacing w:val="2"/>
        </w:rPr>
      </w:pPr>
      <w:r>
        <w:rPr>
          <w:rFonts w:cs="Times New Roman"/>
          <w:b/>
          <w:bCs/>
          <w:spacing w:val="2"/>
        </w:rPr>
        <w:t>3. RESULTS AND DISCUSSION</w:t>
      </w:r>
    </w:p>
    <w:p w14:paraId="08D33982" w14:textId="27EF2CC9" w:rsidR="003C6670" w:rsidRPr="005D1DA6" w:rsidRDefault="003C6670" w:rsidP="001D3691">
      <w:pPr>
        <w:spacing w:line="360" w:lineRule="auto"/>
        <w:ind w:left="0" w:firstLine="720"/>
        <w:rPr>
          <w:rFonts w:cs="Times New Roman"/>
          <w:spacing w:val="2"/>
        </w:rPr>
      </w:pPr>
      <w:r w:rsidRPr="003C6670">
        <w:rPr>
          <w:rFonts w:cs="Times New Roman"/>
          <w:spacing w:val="2"/>
        </w:rPr>
        <w:t>The soil</w:t>
      </w:r>
      <w:r>
        <w:rPr>
          <w:rFonts w:cs="Times New Roman"/>
          <w:spacing w:val="2"/>
        </w:rPr>
        <w:t xml:space="preserve"> </w:t>
      </w:r>
      <w:r w:rsidRPr="003C6670">
        <w:rPr>
          <w:rFonts w:cs="Times New Roman"/>
          <w:spacing w:val="2"/>
        </w:rPr>
        <w:t xml:space="preserve">characteristics within the study region were evaluated in relation to the soil-site suitability criteria established for </w:t>
      </w:r>
      <w:r>
        <w:rPr>
          <w:rFonts w:cs="Times New Roman"/>
          <w:spacing w:val="2"/>
        </w:rPr>
        <w:t>few</w:t>
      </w:r>
      <w:r w:rsidRPr="003C6670">
        <w:rPr>
          <w:rFonts w:cs="Times New Roman"/>
          <w:spacing w:val="2"/>
        </w:rPr>
        <w:t xml:space="preserve"> horticultural crops grown in North Karnataka. Table</w:t>
      </w:r>
      <w:r w:rsidR="00E8130B">
        <w:rPr>
          <w:rFonts w:cs="Times New Roman"/>
          <w:spacing w:val="2"/>
        </w:rPr>
        <w:t>-</w:t>
      </w:r>
      <w:r w:rsidRPr="003C6670">
        <w:rPr>
          <w:rFonts w:cs="Times New Roman"/>
          <w:spacing w:val="2"/>
        </w:rPr>
        <w:t xml:space="preserve">2 presents the assessment of soil-site suitability </w:t>
      </w:r>
      <w:r>
        <w:rPr>
          <w:rFonts w:cs="Times New Roman"/>
          <w:spacing w:val="2"/>
        </w:rPr>
        <w:t>for major</w:t>
      </w:r>
      <w:r w:rsidRPr="003C6670">
        <w:rPr>
          <w:rFonts w:cs="Times New Roman"/>
          <w:spacing w:val="2"/>
        </w:rPr>
        <w:t xml:space="preserve"> horticultural crops.</w:t>
      </w:r>
    </w:p>
    <w:p w14:paraId="7B888179" w14:textId="3EDBE60F" w:rsidR="005D1DA6" w:rsidRPr="00E8130B" w:rsidRDefault="003128A4" w:rsidP="001D3691">
      <w:pPr>
        <w:spacing w:line="360" w:lineRule="auto"/>
        <w:ind w:left="0" w:firstLine="0"/>
        <w:rPr>
          <w:rFonts w:cs="Times New Roman"/>
          <w:b/>
          <w:bCs/>
          <w:spacing w:val="2"/>
        </w:rPr>
      </w:pPr>
      <w:r w:rsidRPr="00E8130B">
        <w:rPr>
          <w:rFonts w:cs="Times New Roman"/>
          <w:b/>
          <w:bCs/>
          <w:spacing w:val="2"/>
        </w:rPr>
        <w:t>3.1 Chilli</w:t>
      </w:r>
    </w:p>
    <w:p w14:paraId="134F88C4" w14:textId="50949A48" w:rsidR="00B76FD8" w:rsidRDefault="00B76FD8" w:rsidP="001D3691">
      <w:pPr>
        <w:spacing w:line="360" w:lineRule="auto"/>
        <w:ind w:left="0" w:firstLine="720"/>
        <w:rPr>
          <w:szCs w:val="24"/>
        </w:rPr>
      </w:pPr>
      <w:r w:rsidRPr="00B76FD8">
        <w:rPr>
          <w:szCs w:val="24"/>
        </w:rPr>
        <w:t>Chilli (</w:t>
      </w:r>
      <w:r w:rsidRPr="009A7757">
        <w:rPr>
          <w:i/>
          <w:iCs/>
          <w:szCs w:val="24"/>
        </w:rPr>
        <w:t>Capsicum annuum</w:t>
      </w:r>
      <w:r w:rsidRPr="00B76FD8">
        <w:rPr>
          <w:szCs w:val="24"/>
        </w:rPr>
        <w:t xml:space="preserve"> L.) is a widely cultivated and </w:t>
      </w:r>
      <w:r>
        <w:rPr>
          <w:szCs w:val="24"/>
        </w:rPr>
        <w:t>adaptable</w:t>
      </w:r>
      <w:r w:rsidRPr="00B76FD8">
        <w:rPr>
          <w:szCs w:val="24"/>
        </w:rPr>
        <w:t xml:space="preserve"> spice crop, recognized for its pungency and </w:t>
      </w:r>
      <w:r>
        <w:rPr>
          <w:szCs w:val="24"/>
        </w:rPr>
        <w:t xml:space="preserve">its </w:t>
      </w:r>
      <w:r w:rsidRPr="00B76FD8">
        <w:rPr>
          <w:szCs w:val="24"/>
        </w:rPr>
        <w:t>unique flavour</w:t>
      </w:r>
      <w:r>
        <w:rPr>
          <w:szCs w:val="24"/>
        </w:rPr>
        <w:t xml:space="preserve">. It </w:t>
      </w:r>
      <w:r w:rsidRPr="00B76FD8">
        <w:rPr>
          <w:szCs w:val="24"/>
        </w:rPr>
        <w:t xml:space="preserve">is extensively employed in culinary applications worldwide. In India, chilli cultivation is distributed across several states, with significant production concentrated in Andhra Pradesh, Maharashtra, Karnataka, Tamil Nadu and Gujarat. These regions offer favourable warm climatic conditions and soil properties </w:t>
      </w:r>
      <w:r>
        <w:rPr>
          <w:szCs w:val="24"/>
        </w:rPr>
        <w:t>suitable</w:t>
      </w:r>
      <w:r w:rsidRPr="00B76FD8">
        <w:rPr>
          <w:szCs w:val="24"/>
        </w:rPr>
        <w:t xml:space="preserve"> </w:t>
      </w:r>
      <w:r>
        <w:rPr>
          <w:szCs w:val="24"/>
        </w:rPr>
        <w:t xml:space="preserve">for </w:t>
      </w:r>
      <w:r w:rsidRPr="00B76FD8">
        <w:rPr>
          <w:szCs w:val="24"/>
        </w:rPr>
        <w:t>chilli cultivation.</w:t>
      </w:r>
    </w:p>
    <w:p w14:paraId="4F151FA8" w14:textId="77777777" w:rsidR="004B1D76" w:rsidRPr="00DA41B9" w:rsidRDefault="004B1D76" w:rsidP="004B1D76">
      <w:pPr>
        <w:spacing w:before="0" w:after="0" w:line="240" w:lineRule="auto"/>
        <w:ind w:left="0" w:firstLine="0"/>
        <w:jc w:val="left"/>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w:t>
      </w:r>
      <w:r w:rsidRPr="00DA41B9">
        <w:rPr>
          <w:rFonts w:eastAsia="Calibri" w:cs="Times New Roman"/>
          <w:b/>
          <w:bCs/>
          <w:kern w:val="0"/>
          <w:szCs w:val="24"/>
          <w:lang w:eastAsia="en-IN"/>
          <w14:ligatures w14:val="none"/>
        </w:rPr>
        <w:t xml:space="preserve">1. </w:t>
      </w:r>
      <w:r w:rsidRPr="00DA41B9">
        <w:rPr>
          <w:rFonts w:eastAsia="Calibri" w:cs="Times New Roman"/>
          <w:b/>
          <w:bCs/>
          <w:kern w:val="0"/>
          <w:szCs w:val="24"/>
          <w:lang w:val="en-US" w:eastAsia="en-IN"/>
          <w14:ligatures w14:val="none"/>
        </w:rPr>
        <w:t>Soil site characteristics of pedons under different land use systems for soil site suitability evaluation</w:t>
      </w:r>
    </w:p>
    <w:p w14:paraId="786C4B38" w14:textId="77777777" w:rsidR="004B1D76" w:rsidRPr="00DA41B9" w:rsidRDefault="004B1D76" w:rsidP="004B1D76">
      <w:pPr>
        <w:spacing w:before="0" w:after="0" w:line="240" w:lineRule="auto"/>
        <w:ind w:left="0" w:firstLine="0"/>
        <w:jc w:val="left"/>
        <w:rPr>
          <w:rFonts w:eastAsia="Calibri" w:cs="Times New Roman"/>
          <w:kern w:val="0"/>
          <w:szCs w:val="24"/>
          <w:lang w:eastAsia="en-IN"/>
          <w14:ligatures w14:val="none"/>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256"/>
        <w:gridCol w:w="1701"/>
        <w:gridCol w:w="1701"/>
        <w:gridCol w:w="1701"/>
        <w:gridCol w:w="1701"/>
      </w:tblGrid>
      <w:tr w:rsidR="004B1D76" w:rsidRPr="00DA41B9" w14:paraId="1A9F64FD" w14:textId="77777777" w:rsidTr="004B1D76">
        <w:trPr>
          <w:trHeight w:hRule="exact" w:val="567"/>
          <w:jc w:val="center"/>
        </w:trPr>
        <w:tc>
          <w:tcPr>
            <w:tcW w:w="3256" w:type="dxa"/>
            <w:vMerge w:val="restart"/>
            <w:vAlign w:val="center"/>
          </w:tcPr>
          <w:p w14:paraId="6D8E965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properties</w:t>
            </w:r>
          </w:p>
        </w:tc>
        <w:tc>
          <w:tcPr>
            <w:tcW w:w="6804" w:type="dxa"/>
            <w:gridSpan w:val="4"/>
            <w:vAlign w:val="center"/>
          </w:tcPr>
          <w:p w14:paraId="122B1A5F"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7FC9757" w14:textId="77777777" w:rsidTr="004B1D76">
        <w:trPr>
          <w:trHeight w:hRule="exact" w:val="567"/>
          <w:jc w:val="center"/>
        </w:trPr>
        <w:tc>
          <w:tcPr>
            <w:tcW w:w="3256" w:type="dxa"/>
            <w:vMerge/>
            <w:vAlign w:val="center"/>
          </w:tcPr>
          <w:p w14:paraId="6FF1F368" w14:textId="77777777" w:rsidR="004B1D76" w:rsidRPr="00DA41B9" w:rsidRDefault="004B1D76" w:rsidP="00953C70">
            <w:pPr>
              <w:spacing w:before="40" w:after="40" w:line="240" w:lineRule="auto"/>
              <w:ind w:left="0" w:firstLine="0"/>
              <w:jc w:val="left"/>
              <w:rPr>
                <w:rFonts w:eastAsia="Times New Roman" w:cs="Times New Roman"/>
                <w:kern w:val="0"/>
                <w:szCs w:val="24"/>
                <w:lang w:eastAsia="en-IN"/>
                <w14:ligatures w14:val="none"/>
              </w:rPr>
            </w:pPr>
          </w:p>
        </w:tc>
        <w:tc>
          <w:tcPr>
            <w:tcW w:w="1701" w:type="dxa"/>
            <w:vAlign w:val="center"/>
          </w:tcPr>
          <w:p w14:paraId="3013D125"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701" w:type="dxa"/>
            <w:vAlign w:val="center"/>
          </w:tcPr>
          <w:p w14:paraId="034B55BB"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1701" w:type="dxa"/>
            <w:vAlign w:val="center"/>
          </w:tcPr>
          <w:p w14:paraId="7C249FE0"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1701" w:type="dxa"/>
            <w:vAlign w:val="center"/>
          </w:tcPr>
          <w:p w14:paraId="24165661"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304503CB" w14:textId="77777777" w:rsidTr="004B1D76">
        <w:trPr>
          <w:trHeight w:hRule="exact" w:val="567"/>
          <w:jc w:val="center"/>
        </w:trPr>
        <w:tc>
          <w:tcPr>
            <w:tcW w:w="10060" w:type="dxa"/>
            <w:gridSpan w:val="5"/>
            <w:vAlign w:val="center"/>
          </w:tcPr>
          <w:p w14:paraId="00469EC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Oxygen availability to roots</w:t>
            </w:r>
          </w:p>
        </w:tc>
      </w:tr>
      <w:tr w:rsidR="004B1D76" w:rsidRPr="00DA41B9" w14:paraId="213DC722" w14:textId="77777777" w:rsidTr="004B1D76">
        <w:trPr>
          <w:trHeight w:hRule="exact" w:val="567"/>
          <w:jc w:val="center"/>
        </w:trPr>
        <w:tc>
          <w:tcPr>
            <w:tcW w:w="3256" w:type="dxa"/>
            <w:vAlign w:val="center"/>
          </w:tcPr>
          <w:p w14:paraId="62AF46A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drainage</w:t>
            </w:r>
          </w:p>
        </w:tc>
        <w:tc>
          <w:tcPr>
            <w:tcW w:w="1701" w:type="dxa"/>
            <w:vAlign w:val="center"/>
          </w:tcPr>
          <w:p w14:paraId="79358C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659B1D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0A08DA2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c>
          <w:tcPr>
            <w:tcW w:w="1701" w:type="dxa"/>
            <w:vAlign w:val="center"/>
          </w:tcPr>
          <w:p w14:paraId="10A4E6F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Moderately well</w:t>
            </w:r>
          </w:p>
        </w:tc>
      </w:tr>
      <w:tr w:rsidR="004B1D76" w:rsidRPr="00DA41B9" w14:paraId="478442E6" w14:textId="77777777" w:rsidTr="004B1D76">
        <w:trPr>
          <w:trHeight w:hRule="exact" w:val="567"/>
          <w:jc w:val="center"/>
        </w:trPr>
        <w:tc>
          <w:tcPr>
            <w:tcW w:w="10060" w:type="dxa"/>
            <w:gridSpan w:val="5"/>
            <w:vAlign w:val="center"/>
          </w:tcPr>
          <w:p w14:paraId="5A0D33AC" w14:textId="77777777" w:rsidR="004B1D76" w:rsidRPr="00DA41B9" w:rsidRDefault="004B1D76" w:rsidP="00953C70">
            <w:pPr>
              <w:spacing w:before="40" w:after="40" w:line="240" w:lineRule="auto"/>
              <w:ind w:left="0" w:firstLine="0"/>
              <w:jc w:val="center"/>
              <w:rPr>
                <w:rFonts w:eastAsia="Times New Roman" w:cs="Times New Roman"/>
                <w:kern w:val="0"/>
                <w:szCs w:val="24"/>
                <w:lang w:eastAsia="en-IN"/>
                <w14:ligatures w14:val="none"/>
              </w:rPr>
            </w:pPr>
            <w:r w:rsidRPr="00DA41B9">
              <w:rPr>
                <w:rFonts w:eastAsia="Times New Roman" w:cs="Times New Roman"/>
                <w:b/>
                <w:bCs/>
                <w:kern w:val="24"/>
                <w:szCs w:val="24"/>
                <w:lang w:val="en-US" w:eastAsia="en-IN"/>
                <w14:ligatures w14:val="none"/>
              </w:rPr>
              <w:t>Nutrient availability</w:t>
            </w:r>
          </w:p>
        </w:tc>
      </w:tr>
      <w:tr w:rsidR="004B1D76" w:rsidRPr="00DA41B9" w14:paraId="07A18832" w14:textId="77777777" w:rsidTr="004B1D76">
        <w:trPr>
          <w:trHeight w:hRule="exact" w:val="567"/>
          <w:jc w:val="center"/>
        </w:trPr>
        <w:tc>
          <w:tcPr>
            <w:tcW w:w="3256" w:type="dxa"/>
            <w:vAlign w:val="center"/>
          </w:tcPr>
          <w:p w14:paraId="38073D3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Surface texture</w:t>
            </w:r>
          </w:p>
        </w:tc>
        <w:tc>
          <w:tcPr>
            <w:tcW w:w="1701" w:type="dxa"/>
            <w:vAlign w:val="center"/>
          </w:tcPr>
          <w:p w14:paraId="08C4EBC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059722D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1220664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c>
          <w:tcPr>
            <w:tcW w:w="1701" w:type="dxa"/>
            <w:vAlign w:val="center"/>
          </w:tcPr>
          <w:p w14:paraId="7FFF7E6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Clay</w:t>
            </w:r>
          </w:p>
        </w:tc>
      </w:tr>
      <w:tr w:rsidR="004B1D76" w:rsidRPr="00DA41B9" w14:paraId="1176E1E5" w14:textId="77777777" w:rsidTr="004B1D76">
        <w:trPr>
          <w:trHeight w:hRule="exact" w:val="567"/>
          <w:jc w:val="center"/>
        </w:trPr>
        <w:tc>
          <w:tcPr>
            <w:tcW w:w="3256" w:type="dxa"/>
            <w:vAlign w:val="center"/>
          </w:tcPr>
          <w:p w14:paraId="5AF297F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pH</w:t>
            </w:r>
            <w:r>
              <w:rPr>
                <w:rFonts w:eastAsia="Times New Roman" w:cs="Times New Roman"/>
                <w:b/>
                <w:bCs/>
                <w:kern w:val="24"/>
                <w:szCs w:val="24"/>
                <w:vertAlign w:val="superscript"/>
                <w:lang w:eastAsia="en-IN"/>
                <w14:ligatures w14:val="none"/>
              </w:rPr>
              <w:t>*</w:t>
            </w:r>
          </w:p>
        </w:tc>
        <w:tc>
          <w:tcPr>
            <w:tcW w:w="1701" w:type="dxa"/>
            <w:vAlign w:val="center"/>
          </w:tcPr>
          <w:p w14:paraId="27BDBD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6.43</w:t>
            </w:r>
          </w:p>
        </w:tc>
        <w:tc>
          <w:tcPr>
            <w:tcW w:w="1701" w:type="dxa"/>
            <w:vAlign w:val="center"/>
          </w:tcPr>
          <w:p w14:paraId="350C290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8.39</w:t>
            </w:r>
          </w:p>
        </w:tc>
        <w:tc>
          <w:tcPr>
            <w:tcW w:w="1701" w:type="dxa"/>
            <w:vAlign w:val="center"/>
          </w:tcPr>
          <w:p w14:paraId="2E8F775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7.68</w:t>
            </w:r>
          </w:p>
        </w:tc>
        <w:tc>
          <w:tcPr>
            <w:tcW w:w="1701" w:type="dxa"/>
            <w:vAlign w:val="center"/>
          </w:tcPr>
          <w:p w14:paraId="50E2377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7.31</w:t>
            </w:r>
          </w:p>
        </w:tc>
      </w:tr>
      <w:tr w:rsidR="004B1D76" w:rsidRPr="00DA41B9" w14:paraId="2D558576" w14:textId="77777777" w:rsidTr="004B1D76">
        <w:trPr>
          <w:trHeight w:hRule="exact" w:val="567"/>
          <w:jc w:val="center"/>
        </w:trPr>
        <w:tc>
          <w:tcPr>
            <w:tcW w:w="3256" w:type="dxa"/>
            <w:vAlign w:val="center"/>
          </w:tcPr>
          <w:p w14:paraId="18C4C5DE"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CEC [cmol (p</w:t>
            </w:r>
            <w:r w:rsidRPr="00DA41B9">
              <w:rPr>
                <w:rFonts w:eastAsia="Times New Roman" w:cs="Times New Roman"/>
                <w:b/>
                <w:bCs/>
                <w:kern w:val="24"/>
                <w:szCs w:val="24"/>
                <w:vertAlign w:val="superscript"/>
                <w:lang w:eastAsia="en-IN"/>
                <w14:ligatures w14:val="none"/>
              </w:rPr>
              <w:t>+</w:t>
            </w:r>
            <w:r w:rsidRPr="00DA41B9">
              <w:rPr>
                <w:rFonts w:eastAsia="Times New Roman" w:cs="Times New Roman"/>
                <w:b/>
                <w:bCs/>
                <w:kern w:val="24"/>
                <w:szCs w:val="24"/>
                <w:lang w:eastAsia="en-IN"/>
                <w14:ligatures w14:val="none"/>
              </w:rPr>
              <w:t>) kg</w:t>
            </w:r>
            <w:r w:rsidRPr="00DA41B9">
              <w:rPr>
                <w:rFonts w:eastAsia="Times New Roman" w:cs="Times New Roman"/>
                <w:b/>
                <w:bCs/>
                <w:kern w:val="24"/>
                <w:szCs w:val="24"/>
                <w:vertAlign w:val="superscript"/>
                <w:lang w:eastAsia="en-IN"/>
                <w14:ligatures w14:val="none"/>
              </w:rPr>
              <w:t>-</w:t>
            </w:r>
            <w:proofErr w:type="gramStart"/>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roofErr w:type="gramEnd"/>
          </w:p>
        </w:tc>
        <w:tc>
          <w:tcPr>
            <w:tcW w:w="1701" w:type="dxa"/>
            <w:vAlign w:val="center"/>
          </w:tcPr>
          <w:p w14:paraId="4FE7878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56.97</w:t>
            </w:r>
          </w:p>
        </w:tc>
        <w:tc>
          <w:tcPr>
            <w:tcW w:w="1701" w:type="dxa"/>
            <w:vAlign w:val="center"/>
          </w:tcPr>
          <w:p w14:paraId="0048050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16.34</w:t>
            </w:r>
          </w:p>
        </w:tc>
        <w:tc>
          <w:tcPr>
            <w:tcW w:w="1701" w:type="dxa"/>
            <w:vAlign w:val="center"/>
          </w:tcPr>
          <w:p w14:paraId="65F5274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46.95</w:t>
            </w:r>
          </w:p>
        </w:tc>
        <w:tc>
          <w:tcPr>
            <w:tcW w:w="1701" w:type="dxa"/>
            <w:vAlign w:val="center"/>
          </w:tcPr>
          <w:p w14:paraId="08F154F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48.21</w:t>
            </w:r>
          </w:p>
        </w:tc>
      </w:tr>
      <w:tr w:rsidR="004B1D76" w:rsidRPr="00DA41B9" w14:paraId="3B642361" w14:textId="77777777" w:rsidTr="004B1D76">
        <w:trPr>
          <w:trHeight w:hRule="exact" w:val="567"/>
          <w:jc w:val="center"/>
        </w:trPr>
        <w:tc>
          <w:tcPr>
            <w:tcW w:w="3256" w:type="dxa"/>
            <w:vAlign w:val="center"/>
          </w:tcPr>
          <w:p w14:paraId="44EDD1C4"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BS (</w:t>
            </w:r>
            <w:proofErr w:type="gramStart"/>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roofErr w:type="gramEnd"/>
          </w:p>
        </w:tc>
        <w:tc>
          <w:tcPr>
            <w:tcW w:w="1701" w:type="dxa"/>
            <w:vAlign w:val="center"/>
          </w:tcPr>
          <w:p w14:paraId="7295142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53.16</w:t>
            </w:r>
          </w:p>
        </w:tc>
        <w:tc>
          <w:tcPr>
            <w:tcW w:w="1701" w:type="dxa"/>
            <w:vAlign w:val="center"/>
          </w:tcPr>
          <w:p w14:paraId="5C324493"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77.20</w:t>
            </w:r>
          </w:p>
        </w:tc>
        <w:tc>
          <w:tcPr>
            <w:tcW w:w="1701" w:type="dxa"/>
            <w:vAlign w:val="center"/>
          </w:tcPr>
          <w:p w14:paraId="0F7DAEB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86.07</w:t>
            </w:r>
          </w:p>
        </w:tc>
        <w:tc>
          <w:tcPr>
            <w:tcW w:w="1701" w:type="dxa"/>
            <w:vAlign w:val="center"/>
          </w:tcPr>
          <w:p w14:paraId="63A4913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81.80</w:t>
            </w:r>
          </w:p>
        </w:tc>
      </w:tr>
      <w:tr w:rsidR="004B1D76" w:rsidRPr="00DA41B9" w14:paraId="61E123AD" w14:textId="77777777" w:rsidTr="004B1D76">
        <w:trPr>
          <w:trHeight w:hRule="exact" w:val="567"/>
          <w:jc w:val="center"/>
        </w:trPr>
        <w:tc>
          <w:tcPr>
            <w:tcW w:w="3256" w:type="dxa"/>
            <w:vAlign w:val="center"/>
          </w:tcPr>
          <w:p w14:paraId="0BAE1AC1"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Free CaCO</w:t>
            </w:r>
            <w:r w:rsidRPr="00DA41B9">
              <w:rPr>
                <w:rFonts w:eastAsia="Times New Roman" w:cs="Times New Roman"/>
                <w:b/>
                <w:bCs/>
                <w:kern w:val="24"/>
                <w:szCs w:val="24"/>
                <w:vertAlign w:val="subscript"/>
                <w:lang w:eastAsia="en-IN"/>
                <w14:ligatures w14:val="none"/>
              </w:rPr>
              <w:t>3</w:t>
            </w:r>
            <w:r w:rsidRPr="00DA41B9">
              <w:rPr>
                <w:rFonts w:eastAsia="Times New Roman" w:cs="Times New Roman"/>
                <w:b/>
                <w:bCs/>
                <w:kern w:val="24"/>
                <w:position w:val="-9"/>
                <w:szCs w:val="24"/>
                <w:vertAlign w:val="subscript"/>
                <w:lang w:eastAsia="en-IN"/>
                <w14:ligatures w14:val="none"/>
              </w:rPr>
              <w:t xml:space="preserve"> </w:t>
            </w:r>
            <w:r w:rsidRPr="00DA41B9">
              <w:rPr>
                <w:rFonts w:eastAsia="Times New Roman" w:cs="Times New Roman"/>
                <w:b/>
                <w:bCs/>
                <w:kern w:val="24"/>
                <w:szCs w:val="24"/>
                <w:lang w:eastAsia="en-IN"/>
                <w14:ligatures w14:val="none"/>
              </w:rPr>
              <w:t>(g kg</w:t>
            </w:r>
            <w:r w:rsidRPr="00DA41B9">
              <w:rPr>
                <w:rFonts w:eastAsia="Times New Roman" w:cs="Times New Roman"/>
                <w:b/>
                <w:bCs/>
                <w:kern w:val="24"/>
                <w:szCs w:val="24"/>
                <w:vertAlign w:val="superscript"/>
                <w:lang w:eastAsia="en-IN"/>
                <w14:ligatures w14:val="none"/>
              </w:rPr>
              <w:t>-</w:t>
            </w:r>
            <w:proofErr w:type="gramStart"/>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roofErr w:type="gramEnd"/>
          </w:p>
        </w:tc>
        <w:tc>
          <w:tcPr>
            <w:tcW w:w="1701" w:type="dxa"/>
            <w:vAlign w:val="center"/>
          </w:tcPr>
          <w:p w14:paraId="314521C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1.29</w:t>
            </w:r>
          </w:p>
        </w:tc>
        <w:tc>
          <w:tcPr>
            <w:tcW w:w="1701" w:type="dxa"/>
            <w:vAlign w:val="center"/>
          </w:tcPr>
          <w:p w14:paraId="442D839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4.33</w:t>
            </w:r>
          </w:p>
        </w:tc>
        <w:tc>
          <w:tcPr>
            <w:tcW w:w="1701" w:type="dxa"/>
            <w:vAlign w:val="center"/>
          </w:tcPr>
          <w:p w14:paraId="211E2FD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w:t>
            </w:r>
          </w:p>
        </w:tc>
        <w:tc>
          <w:tcPr>
            <w:tcW w:w="1701" w:type="dxa"/>
            <w:vAlign w:val="center"/>
          </w:tcPr>
          <w:p w14:paraId="1E1D375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2.64</w:t>
            </w:r>
          </w:p>
        </w:tc>
      </w:tr>
      <w:tr w:rsidR="004B1D76" w:rsidRPr="00DA41B9" w14:paraId="17A4F019" w14:textId="77777777" w:rsidTr="004B1D76">
        <w:trPr>
          <w:trHeight w:hRule="exact" w:val="567"/>
          <w:jc w:val="center"/>
        </w:trPr>
        <w:tc>
          <w:tcPr>
            <w:tcW w:w="3256" w:type="dxa"/>
            <w:vAlign w:val="center"/>
          </w:tcPr>
          <w:p w14:paraId="1522959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OC (g kg</w:t>
            </w:r>
            <w:r w:rsidRPr="00DA41B9">
              <w:rPr>
                <w:rFonts w:eastAsia="Times New Roman" w:cs="Times New Roman"/>
                <w:b/>
                <w:bCs/>
                <w:kern w:val="24"/>
                <w:szCs w:val="24"/>
                <w:vertAlign w:val="superscript"/>
                <w:lang w:eastAsia="en-IN"/>
                <w14:ligatures w14:val="none"/>
              </w:rPr>
              <w:t>-</w:t>
            </w:r>
            <w:proofErr w:type="gramStart"/>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roofErr w:type="gramEnd"/>
          </w:p>
        </w:tc>
        <w:tc>
          <w:tcPr>
            <w:tcW w:w="1701" w:type="dxa"/>
            <w:vAlign w:val="center"/>
          </w:tcPr>
          <w:p w14:paraId="6AD1915A"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7.79</w:t>
            </w:r>
          </w:p>
        </w:tc>
        <w:tc>
          <w:tcPr>
            <w:tcW w:w="1701" w:type="dxa"/>
            <w:vAlign w:val="center"/>
          </w:tcPr>
          <w:p w14:paraId="04C21F3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1.88</w:t>
            </w:r>
          </w:p>
        </w:tc>
        <w:tc>
          <w:tcPr>
            <w:tcW w:w="1701" w:type="dxa"/>
            <w:vAlign w:val="center"/>
          </w:tcPr>
          <w:p w14:paraId="263320B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4.38</w:t>
            </w:r>
          </w:p>
        </w:tc>
        <w:tc>
          <w:tcPr>
            <w:tcW w:w="1701" w:type="dxa"/>
            <w:vAlign w:val="center"/>
          </w:tcPr>
          <w:p w14:paraId="127B1A19"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5.53</w:t>
            </w:r>
          </w:p>
        </w:tc>
      </w:tr>
      <w:tr w:rsidR="004B1D76" w:rsidRPr="00DA41B9" w14:paraId="4B164750" w14:textId="77777777" w:rsidTr="004B1D76">
        <w:trPr>
          <w:trHeight w:hRule="exact" w:val="567"/>
          <w:jc w:val="center"/>
        </w:trPr>
        <w:tc>
          <w:tcPr>
            <w:tcW w:w="10060" w:type="dxa"/>
            <w:gridSpan w:val="5"/>
            <w:vAlign w:val="center"/>
          </w:tcPr>
          <w:p w14:paraId="2D9BBFB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lastRenderedPageBreak/>
              <w:t>Rooting conditions</w:t>
            </w:r>
          </w:p>
        </w:tc>
      </w:tr>
      <w:tr w:rsidR="004B1D76" w:rsidRPr="00DA41B9" w14:paraId="5C306739" w14:textId="77777777" w:rsidTr="004B1D76">
        <w:trPr>
          <w:trHeight w:hRule="exact" w:val="567"/>
          <w:jc w:val="center"/>
        </w:trPr>
        <w:tc>
          <w:tcPr>
            <w:tcW w:w="3256" w:type="dxa"/>
            <w:vAlign w:val="center"/>
          </w:tcPr>
          <w:p w14:paraId="30BAA99F"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sidRPr="00DA41B9">
              <w:rPr>
                <w:rFonts w:eastAsia="Times New Roman" w:cs="Times New Roman"/>
                <w:b/>
                <w:bCs/>
                <w:kern w:val="24"/>
                <w:szCs w:val="24"/>
                <w:lang w:eastAsia="en-IN"/>
                <w14:ligatures w14:val="none"/>
              </w:rPr>
              <w:t>Soil Depth (cm)</w:t>
            </w:r>
            <w:r>
              <w:rPr>
                <w:rFonts w:eastAsia="Times New Roman" w:cs="Times New Roman"/>
                <w:b/>
                <w:bCs/>
                <w:kern w:val="24"/>
                <w:szCs w:val="24"/>
                <w:vertAlign w:val="superscript"/>
                <w:lang w:eastAsia="en-IN"/>
                <w14:ligatures w14:val="none"/>
              </w:rPr>
              <w:t>*</w:t>
            </w:r>
          </w:p>
        </w:tc>
        <w:tc>
          <w:tcPr>
            <w:tcW w:w="1701" w:type="dxa"/>
            <w:vAlign w:val="center"/>
          </w:tcPr>
          <w:p w14:paraId="0409FF4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103</w:t>
            </w:r>
          </w:p>
        </w:tc>
        <w:tc>
          <w:tcPr>
            <w:tcW w:w="1701" w:type="dxa"/>
            <w:vAlign w:val="center"/>
          </w:tcPr>
          <w:p w14:paraId="0E92D0F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85</w:t>
            </w:r>
          </w:p>
        </w:tc>
        <w:tc>
          <w:tcPr>
            <w:tcW w:w="1701" w:type="dxa"/>
            <w:vAlign w:val="center"/>
          </w:tcPr>
          <w:p w14:paraId="316821F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135</w:t>
            </w:r>
          </w:p>
        </w:tc>
        <w:tc>
          <w:tcPr>
            <w:tcW w:w="1701" w:type="dxa"/>
            <w:vAlign w:val="center"/>
          </w:tcPr>
          <w:p w14:paraId="02ED144C"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105</w:t>
            </w:r>
          </w:p>
        </w:tc>
      </w:tr>
      <w:tr w:rsidR="004B1D76" w:rsidRPr="00DA41B9" w14:paraId="26FFACB3" w14:textId="77777777" w:rsidTr="004B1D76">
        <w:trPr>
          <w:trHeight w:hRule="exact" w:val="567"/>
          <w:jc w:val="center"/>
        </w:trPr>
        <w:tc>
          <w:tcPr>
            <w:tcW w:w="3256" w:type="dxa"/>
            <w:vAlign w:val="center"/>
          </w:tcPr>
          <w:p w14:paraId="47F4D7B7"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proofErr w:type="gramStart"/>
            <w:r w:rsidRPr="00DA41B9">
              <w:rPr>
                <w:rFonts w:eastAsia="Times New Roman" w:cs="Times New Roman"/>
                <w:b/>
                <w:bCs/>
                <w:kern w:val="24"/>
                <w:szCs w:val="24"/>
                <w:lang w:eastAsia="en-IN"/>
                <w14:ligatures w14:val="none"/>
              </w:rPr>
              <w:t>Coarse  fragments</w:t>
            </w:r>
            <w:proofErr w:type="gramEnd"/>
            <w:r w:rsidRPr="00DA41B9">
              <w:rPr>
                <w:rFonts w:eastAsia="Times New Roman" w:cs="Times New Roman"/>
                <w:b/>
                <w:bCs/>
                <w:kern w:val="24"/>
                <w:szCs w:val="24"/>
                <w:lang w:eastAsia="en-IN"/>
                <w14:ligatures w14:val="none"/>
              </w:rPr>
              <w:t xml:space="preserve"> (%)</w:t>
            </w:r>
          </w:p>
        </w:tc>
        <w:tc>
          <w:tcPr>
            <w:tcW w:w="1701" w:type="dxa"/>
            <w:vAlign w:val="center"/>
          </w:tcPr>
          <w:p w14:paraId="1704687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15-35</w:t>
            </w:r>
          </w:p>
        </w:tc>
        <w:tc>
          <w:tcPr>
            <w:tcW w:w="1701" w:type="dxa"/>
            <w:vAlign w:val="center"/>
          </w:tcPr>
          <w:p w14:paraId="1F276C2D"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35-60</w:t>
            </w:r>
          </w:p>
        </w:tc>
        <w:tc>
          <w:tcPr>
            <w:tcW w:w="1701" w:type="dxa"/>
            <w:vAlign w:val="center"/>
          </w:tcPr>
          <w:p w14:paraId="466DCBDF"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c>
          <w:tcPr>
            <w:tcW w:w="1701" w:type="dxa"/>
            <w:vAlign w:val="center"/>
          </w:tcPr>
          <w:p w14:paraId="7D32F57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&lt;15</w:t>
            </w:r>
          </w:p>
        </w:tc>
      </w:tr>
      <w:tr w:rsidR="004B1D76" w:rsidRPr="00DA41B9" w14:paraId="0EA637AC" w14:textId="77777777" w:rsidTr="004B1D76">
        <w:trPr>
          <w:trHeight w:hRule="exact" w:val="567"/>
          <w:jc w:val="center"/>
        </w:trPr>
        <w:tc>
          <w:tcPr>
            <w:tcW w:w="10060" w:type="dxa"/>
            <w:gridSpan w:val="5"/>
            <w:vAlign w:val="center"/>
          </w:tcPr>
          <w:p w14:paraId="39911A2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Soil toxicity</w:t>
            </w:r>
          </w:p>
        </w:tc>
      </w:tr>
      <w:tr w:rsidR="004B1D76" w:rsidRPr="00DA41B9" w14:paraId="51BB0EBA" w14:textId="77777777" w:rsidTr="004B1D76">
        <w:trPr>
          <w:trHeight w:hRule="exact" w:val="567"/>
          <w:jc w:val="center"/>
        </w:trPr>
        <w:tc>
          <w:tcPr>
            <w:tcW w:w="3256" w:type="dxa"/>
            <w:vAlign w:val="center"/>
          </w:tcPr>
          <w:p w14:paraId="19B2769C"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Salinity - </w:t>
            </w:r>
            <w:r w:rsidRPr="00DA41B9">
              <w:rPr>
                <w:rFonts w:eastAsia="Times New Roman" w:cs="Times New Roman"/>
                <w:b/>
                <w:bCs/>
                <w:kern w:val="24"/>
                <w:szCs w:val="24"/>
                <w:lang w:eastAsia="en-IN"/>
                <w14:ligatures w14:val="none"/>
              </w:rPr>
              <w:t>EC (1:2.5) (dS m</w:t>
            </w:r>
            <w:r w:rsidRPr="00DA41B9">
              <w:rPr>
                <w:rFonts w:eastAsia="Times New Roman" w:cs="Times New Roman"/>
                <w:b/>
                <w:bCs/>
                <w:kern w:val="24"/>
                <w:szCs w:val="24"/>
                <w:vertAlign w:val="superscript"/>
                <w:lang w:eastAsia="en-IN"/>
                <w14:ligatures w14:val="none"/>
              </w:rPr>
              <w:t>-</w:t>
            </w:r>
            <w:proofErr w:type="gramStart"/>
            <w:r w:rsidRPr="00DA41B9">
              <w:rPr>
                <w:rFonts w:eastAsia="Times New Roman" w:cs="Times New Roman"/>
                <w:b/>
                <w:bCs/>
                <w:kern w:val="24"/>
                <w:szCs w:val="24"/>
                <w:vertAlign w:val="superscript"/>
                <w:lang w:eastAsia="en-IN"/>
                <w14:ligatures w14:val="none"/>
              </w:rPr>
              <w:t>1</w:t>
            </w:r>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roofErr w:type="gramEnd"/>
          </w:p>
        </w:tc>
        <w:tc>
          <w:tcPr>
            <w:tcW w:w="1701" w:type="dxa"/>
            <w:vAlign w:val="center"/>
          </w:tcPr>
          <w:p w14:paraId="6E7D103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0.15</w:t>
            </w:r>
          </w:p>
        </w:tc>
        <w:tc>
          <w:tcPr>
            <w:tcW w:w="1701" w:type="dxa"/>
            <w:vAlign w:val="center"/>
          </w:tcPr>
          <w:p w14:paraId="4EE3199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0.40</w:t>
            </w:r>
          </w:p>
        </w:tc>
        <w:tc>
          <w:tcPr>
            <w:tcW w:w="1701" w:type="dxa"/>
            <w:vAlign w:val="center"/>
          </w:tcPr>
          <w:p w14:paraId="795A98F0"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0.24</w:t>
            </w:r>
          </w:p>
        </w:tc>
        <w:tc>
          <w:tcPr>
            <w:tcW w:w="1701" w:type="dxa"/>
            <w:vAlign w:val="center"/>
          </w:tcPr>
          <w:p w14:paraId="23AA2786"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0.28</w:t>
            </w:r>
          </w:p>
        </w:tc>
      </w:tr>
      <w:tr w:rsidR="004B1D76" w:rsidRPr="00DA41B9" w14:paraId="2E417FFE" w14:textId="77777777" w:rsidTr="004B1D76">
        <w:trPr>
          <w:trHeight w:hRule="exact" w:val="567"/>
          <w:jc w:val="center"/>
        </w:trPr>
        <w:tc>
          <w:tcPr>
            <w:tcW w:w="3256" w:type="dxa"/>
            <w:vAlign w:val="center"/>
          </w:tcPr>
          <w:p w14:paraId="1030E79D"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vertAlign w:val="superscript"/>
                <w:lang w:eastAsia="en-IN"/>
                <w14:ligatures w14:val="none"/>
              </w:rPr>
            </w:pPr>
            <w:r>
              <w:rPr>
                <w:rFonts w:eastAsia="Times New Roman" w:cs="Times New Roman"/>
                <w:b/>
                <w:bCs/>
                <w:kern w:val="24"/>
                <w:szCs w:val="24"/>
                <w:lang w:eastAsia="en-IN"/>
                <w14:ligatures w14:val="none"/>
              </w:rPr>
              <w:t xml:space="preserve">Sodicity - </w:t>
            </w:r>
            <w:r w:rsidRPr="00DA41B9">
              <w:rPr>
                <w:rFonts w:eastAsia="Times New Roman" w:cs="Times New Roman"/>
                <w:b/>
                <w:bCs/>
                <w:kern w:val="24"/>
                <w:szCs w:val="24"/>
                <w:lang w:eastAsia="en-IN"/>
                <w14:ligatures w14:val="none"/>
              </w:rPr>
              <w:t>ESP (</w:t>
            </w:r>
            <w:proofErr w:type="gramStart"/>
            <w:r w:rsidRPr="00DA41B9">
              <w:rPr>
                <w:rFonts w:eastAsia="Times New Roman" w:cs="Times New Roman"/>
                <w:b/>
                <w:bCs/>
                <w:kern w:val="24"/>
                <w:szCs w:val="24"/>
                <w:lang w:eastAsia="en-IN"/>
                <w14:ligatures w14:val="none"/>
              </w:rPr>
              <w:t>%)</w:t>
            </w:r>
            <w:r>
              <w:rPr>
                <w:rFonts w:eastAsia="Times New Roman" w:cs="Times New Roman"/>
                <w:b/>
                <w:bCs/>
                <w:kern w:val="24"/>
                <w:szCs w:val="24"/>
                <w:vertAlign w:val="superscript"/>
                <w:lang w:eastAsia="en-IN"/>
                <w14:ligatures w14:val="none"/>
              </w:rPr>
              <w:t>*</w:t>
            </w:r>
            <w:proofErr w:type="gramEnd"/>
          </w:p>
        </w:tc>
        <w:tc>
          <w:tcPr>
            <w:tcW w:w="1701" w:type="dxa"/>
            <w:vAlign w:val="center"/>
          </w:tcPr>
          <w:p w14:paraId="3F32370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3.14</w:t>
            </w:r>
          </w:p>
        </w:tc>
        <w:tc>
          <w:tcPr>
            <w:tcW w:w="1701" w:type="dxa"/>
            <w:vAlign w:val="center"/>
          </w:tcPr>
          <w:p w14:paraId="04768601"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2.89</w:t>
            </w:r>
          </w:p>
        </w:tc>
        <w:tc>
          <w:tcPr>
            <w:tcW w:w="1701" w:type="dxa"/>
            <w:vAlign w:val="center"/>
          </w:tcPr>
          <w:p w14:paraId="51FF8225"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4.28</w:t>
            </w:r>
          </w:p>
        </w:tc>
        <w:tc>
          <w:tcPr>
            <w:tcW w:w="1701" w:type="dxa"/>
            <w:vAlign w:val="center"/>
          </w:tcPr>
          <w:p w14:paraId="52309E9B"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5.25</w:t>
            </w:r>
          </w:p>
        </w:tc>
      </w:tr>
      <w:tr w:rsidR="004B1D76" w:rsidRPr="00DA41B9" w14:paraId="7839C62E" w14:textId="77777777" w:rsidTr="004B1D76">
        <w:trPr>
          <w:trHeight w:hRule="exact" w:val="567"/>
          <w:jc w:val="center"/>
        </w:trPr>
        <w:tc>
          <w:tcPr>
            <w:tcW w:w="10060" w:type="dxa"/>
            <w:gridSpan w:val="5"/>
            <w:vAlign w:val="center"/>
          </w:tcPr>
          <w:p w14:paraId="21D80B64"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Erosion</w:t>
            </w:r>
          </w:p>
        </w:tc>
      </w:tr>
      <w:tr w:rsidR="004B1D76" w:rsidRPr="00DA41B9" w14:paraId="4F0E64D4" w14:textId="77777777" w:rsidTr="004B1D76">
        <w:trPr>
          <w:trHeight w:hRule="exact" w:val="567"/>
          <w:jc w:val="center"/>
        </w:trPr>
        <w:tc>
          <w:tcPr>
            <w:tcW w:w="3256" w:type="dxa"/>
            <w:vAlign w:val="center"/>
          </w:tcPr>
          <w:p w14:paraId="5B74BE28" w14:textId="77777777" w:rsidR="004B1D76" w:rsidRPr="00DA41B9" w:rsidRDefault="004B1D76" w:rsidP="00953C70">
            <w:pPr>
              <w:spacing w:before="40" w:after="40" w:line="240" w:lineRule="auto"/>
              <w:ind w:left="0"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Slope (%)</w:t>
            </w:r>
          </w:p>
        </w:tc>
        <w:tc>
          <w:tcPr>
            <w:tcW w:w="1701" w:type="dxa"/>
            <w:vAlign w:val="center"/>
          </w:tcPr>
          <w:p w14:paraId="28AFF0A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c>
          <w:tcPr>
            <w:tcW w:w="1701" w:type="dxa"/>
            <w:vAlign w:val="center"/>
          </w:tcPr>
          <w:p w14:paraId="00B014A2"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3-5</w:t>
            </w:r>
          </w:p>
        </w:tc>
        <w:tc>
          <w:tcPr>
            <w:tcW w:w="1701" w:type="dxa"/>
            <w:vAlign w:val="center"/>
          </w:tcPr>
          <w:p w14:paraId="7E1435C8"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0-1</w:t>
            </w:r>
          </w:p>
        </w:tc>
        <w:tc>
          <w:tcPr>
            <w:tcW w:w="1701" w:type="dxa"/>
            <w:vAlign w:val="center"/>
          </w:tcPr>
          <w:p w14:paraId="68603CEE" w14:textId="77777777" w:rsidR="004B1D76" w:rsidRPr="00DA41B9" w:rsidRDefault="004B1D76" w:rsidP="00953C70">
            <w:pPr>
              <w:spacing w:before="40" w:after="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1-3</w:t>
            </w:r>
          </w:p>
        </w:tc>
      </w:tr>
      <w:tr w:rsidR="004B1D76" w:rsidRPr="00DA41B9" w14:paraId="6B2AC85F" w14:textId="77777777" w:rsidTr="004B1D76">
        <w:trPr>
          <w:trHeight w:hRule="exact" w:val="567"/>
          <w:jc w:val="center"/>
        </w:trPr>
        <w:tc>
          <w:tcPr>
            <w:tcW w:w="10060" w:type="dxa"/>
            <w:gridSpan w:val="5"/>
            <w:vAlign w:val="center"/>
          </w:tcPr>
          <w:p w14:paraId="763F0835" w14:textId="77777777" w:rsidR="004B1D76" w:rsidRPr="00DA41B9" w:rsidRDefault="004B1D76" w:rsidP="00953C70">
            <w:pPr>
              <w:spacing w:before="40" w:after="40" w:line="240" w:lineRule="auto"/>
              <w:ind w:left="0" w:firstLine="0"/>
              <w:jc w:val="left"/>
              <w:textAlignment w:val="center"/>
              <w:rPr>
                <w:rFonts w:eastAsia="Times New Roman" w:cs="Times New Roman"/>
                <w:kern w:val="24"/>
                <w:szCs w:val="24"/>
                <w:lang w:eastAsia="en-IN"/>
                <w14:ligatures w14:val="none"/>
              </w:rPr>
            </w:pPr>
            <w:r>
              <w:rPr>
                <w:rFonts w:eastAsia="Times New Roman" w:cs="Times New Roman"/>
                <w:kern w:val="24"/>
                <w:szCs w:val="24"/>
                <w:vertAlign w:val="superscript"/>
                <w:lang w:eastAsia="en-IN"/>
                <w14:ligatures w14:val="none"/>
              </w:rPr>
              <w:t>*</w:t>
            </w:r>
            <w:r>
              <w:rPr>
                <w:rFonts w:eastAsia="Times New Roman" w:cs="Times New Roman"/>
                <w:kern w:val="24"/>
                <w:szCs w:val="24"/>
                <w:lang w:eastAsia="en-IN"/>
                <w14:ligatures w14:val="none"/>
              </w:rPr>
              <w:t>Weighted average value of two profiles in respective land use</w:t>
            </w:r>
          </w:p>
        </w:tc>
      </w:tr>
    </w:tbl>
    <w:p w14:paraId="1EADE7B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199A6A25"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5A5ADCD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E0ABD8A"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3064450"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5775E988"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5E39FCDB" w14:textId="5E5ACA87" w:rsidR="004B1D76" w:rsidRPr="00DA41B9" w:rsidRDefault="004B1D76" w:rsidP="004B1D76">
      <w:pPr>
        <w:spacing w:before="0" w:after="0" w:line="240" w:lineRule="auto"/>
        <w:ind w:left="1050" w:hanging="1050"/>
        <w:rPr>
          <w:rFonts w:eastAsia="Calibri" w:cs="Times New Roman"/>
          <w:b/>
          <w:bCs/>
          <w:kern w:val="0"/>
          <w:szCs w:val="24"/>
          <w:lang w:val="en-US" w:eastAsia="en-IN"/>
          <w14:ligatures w14:val="none"/>
        </w:rPr>
      </w:pPr>
      <w:r w:rsidRPr="00DA41B9">
        <w:rPr>
          <w:rFonts w:eastAsia="Calibri" w:cs="Times New Roman"/>
          <w:b/>
          <w:bCs/>
          <w:kern w:val="0"/>
          <w:szCs w:val="24"/>
          <w:lang w:eastAsia="en-IN"/>
          <w14:ligatures w14:val="none"/>
        </w:rPr>
        <w:t>Table</w:t>
      </w:r>
      <w:r>
        <w:rPr>
          <w:rFonts w:eastAsia="Calibri" w:cs="Times New Roman"/>
          <w:b/>
          <w:bCs/>
          <w:kern w:val="0"/>
          <w:szCs w:val="24"/>
          <w:lang w:eastAsia="en-IN"/>
          <w14:ligatures w14:val="none"/>
        </w:rPr>
        <w:t>-2</w:t>
      </w:r>
      <w:r w:rsidRPr="00DA41B9">
        <w:rPr>
          <w:rFonts w:eastAsia="Calibri" w:cs="Times New Roman"/>
          <w:b/>
          <w:bCs/>
          <w:kern w:val="0"/>
          <w:szCs w:val="24"/>
          <w:lang w:eastAsia="en-IN"/>
          <w14:ligatures w14:val="none"/>
        </w:rPr>
        <w:t>. S</w:t>
      </w:r>
      <w:r w:rsidRPr="00DA41B9">
        <w:rPr>
          <w:rFonts w:eastAsia="Calibri" w:cs="Times New Roman"/>
          <w:b/>
          <w:bCs/>
          <w:kern w:val="0"/>
          <w:szCs w:val="24"/>
          <w:lang w:val="en-US" w:eastAsia="en-IN"/>
          <w14:ligatures w14:val="none"/>
        </w:rPr>
        <w:t>oil</w:t>
      </w:r>
      <w:r>
        <w:rPr>
          <w:rFonts w:eastAsia="Calibri" w:cs="Times New Roman"/>
          <w:b/>
          <w:bCs/>
          <w:kern w:val="0"/>
          <w:szCs w:val="24"/>
          <w:lang w:val="en-US" w:eastAsia="en-IN"/>
          <w14:ligatures w14:val="none"/>
        </w:rPr>
        <w:t>-</w:t>
      </w:r>
      <w:r w:rsidRPr="00DA41B9">
        <w:rPr>
          <w:rFonts w:eastAsia="Calibri" w:cs="Times New Roman"/>
          <w:b/>
          <w:bCs/>
          <w:kern w:val="0"/>
          <w:szCs w:val="24"/>
          <w:lang w:val="en-US" w:eastAsia="en-IN"/>
          <w14:ligatures w14:val="none"/>
        </w:rPr>
        <w:t>site suitability classification for major horticulture crops in Bada micro watershed</w:t>
      </w:r>
    </w:p>
    <w:p w14:paraId="71A653B8" w14:textId="77777777" w:rsidR="004B1D76" w:rsidRPr="00DA41B9" w:rsidRDefault="004B1D76" w:rsidP="004B1D76">
      <w:pPr>
        <w:spacing w:before="0" w:after="0" w:line="240" w:lineRule="auto"/>
        <w:ind w:left="0" w:firstLine="0"/>
        <w:rPr>
          <w:rFonts w:eastAsia="Calibri" w:cs="Times New Roman"/>
          <w:kern w:val="0"/>
          <w:szCs w:val="24"/>
          <w:lang w:eastAsia="en-IN"/>
          <w14:ligatures w14:val="none"/>
        </w:rPr>
      </w:pP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63"/>
        <w:gridCol w:w="1262"/>
        <w:gridCol w:w="1599"/>
        <w:gridCol w:w="2154"/>
        <w:gridCol w:w="2330"/>
      </w:tblGrid>
      <w:tr w:rsidR="004B1D76" w:rsidRPr="00DA41B9" w14:paraId="39746D3D" w14:textId="77777777" w:rsidTr="004B1D76">
        <w:trPr>
          <w:trHeight w:val="431"/>
          <w:jc w:val="center"/>
        </w:trPr>
        <w:tc>
          <w:tcPr>
            <w:tcW w:w="1763" w:type="dxa"/>
            <w:vMerge w:val="restart"/>
            <w:tcMar>
              <w:top w:w="10" w:type="dxa"/>
              <w:left w:w="10" w:type="dxa"/>
              <w:bottom w:w="0" w:type="dxa"/>
              <w:right w:w="10" w:type="dxa"/>
            </w:tcMar>
            <w:vAlign w:val="center"/>
          </w:tcPr>
          <w:p w14:paraId="14E6A4D8"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Crop</w:t>
            </w:r>
          </w:p>
        </w:tc>
        <w:tc>
          <w:tcPr>
            <w:tcW w:w="7345" w:type="dxa"/>
            <w:gridSpan w:val="4"/>
            <w:tcMar>
              <w:top w:w="10" w:type="dxa"/>
              <w:left w:w="10" w:type="dxa"/>
              <w:bottom w:w="0" w:type="dxa"/>
              <w:right w:w="10" w:type="dxa"/>
            </w:tcMar>
            <w:vAlign w:val="center"/>
          </w:tcPr>
          <w:p w14:paraId="6F4EB4A1"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Land use</w:t>
            </w:r>
          </w:p>
        </w:tc>
      </w:tr>
      <w:tr w:rsidR="004B1D76" w:rsidRPr="00DA41B9" w14:paraId="04666301" w14:textId="77777777" w:rsidTr="004B1D76">
        <w:trPr>
          <w:trHeight w:val="475"/>
          <w:jc w:val="center"/>
        </w:trPr>
        <w:tc>
          <w:tcPr>
            <w:tcW w:w="0" w:type="auto"/>
            <w:vMerge/>
            <w:vAlign w:val="center"/>
          </w:tcPr>
          <w:p w14:paraId="428F949A" w14:textId="77777777" w:rsidR="004B1D76" w:rsidRPr="00DA41B9" w:rsidRDefault="004B1D76" w:rsidP="00953C70">
            <w:pPr>
              <w:spacing w:before="240" w:after="240" w:line="240" w:lineRule="auto"/>
              <w:ind w:left="0" w:firstLine="0"/>
              <w:jc w:val="left"/>
              <w:rPr>
                <w:rFonts w:eastAsia="Times New Roman" w:cs="Times New Roman"/>
                <w:kern w:val="0"/>
                <w:szCs w:val="24"/>
                <w:lang w:eastAsia="en-IN"/>
                <w14:ligatures w14:val="none"/>
              </w:rPr>
            </w:pPr>
          </w:p>
        </w:tc>
        <w:tc>
          <w:tcPr>
            <w:tcW w:w="1262" w:type="dxa"/>
            <w:tcMar>
              <w:top w:w="10" w:type="dxa"/>
              <w:left w:w="10" w:type="dxa"/>
              <w:bottom w:w="0" w:type="dxa"/>
              <w:right w:w="10" w:type="dxa"/>
            </w:tcMar>
            <w:vAlign w:val="center"/>
          </w:tcPr>
          <w:p w14:paraId="1944B0D0"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Forest</w:t>
            </w:r>
          </w:p>
        </w:tc>
        <w:tc>
          <w:tcPr>
            <w:tcW w:w="1599" w:type="dxa"/>
            <w:tcMar>
              <w:top w:w="10" w:type="dxa"/>
              <w:left w:w="10" w:type="dxa"/>
              <w:bottom w:w="0" w:type="dxa"/>
              <w:right w:w="10" w:type="dxa"/>
            </w:tcMar>
            <w:vAlign w:val="center"/>
          </w:tcPr>
          <w:p w14:paraId="7B3FDF5F"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Barren land</w:t>
            </w:r>
          </w:p>
        </w:tc>
        <w:tc>
          <w:tcPr>
            <w:tcW w:w="2154" w:type="dxa"/>
            <w:tcMar>
              <w:top w:w="10" w:type="dxa"/>
              <w:left w:w="10" w:type="dxa"/>
              <w:bottom w:w="0" w:type="dxa"/>
              <w:right w:w="10" w:type="dxa"/>
            </w:tcMar>
            <w:vAlign w:val="center"/>
          </w:tcPr>
          <w:p w14:paraId="5C69281C"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Agriculture</w:t>
            </w:r>
          </w:p>
        </w:tc>
        <w:tc>
          <w:tcPr>
            <w:tcW w:w="2330" w:type="dxa"/>
            <w:tcMar>
              <w:top w:w="10" w:type="dxa"/>
              <w:left w:w="10" w:type="dxa"/>
              <w:bottom w:w="0" w:type="dxa"/>
              <w:right w:w="10" w:type="dxa"/>
            </w:tcMar>
            <w:vAlign w:val="center"/>
          </w:tcPr>
          <w:p w14:paraId="4934A9E4" w14:textId="77777777" w:rsidR="004B1D76" w:rsidRPr="00DA41B9" w:rsidRDefault="004B1D76" w:rsidP="00953C70">
            <w:pPr>
              <w:spacing w:before="240" w:after="240" w:line="240" w:lineRule="auto"/>
              <w:ind w:left="0" w:firstLine="0"/>
              <w:jc w:val="center"/>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Horticulture</w:t>
            </w:r>
          </w:p>
        </w:tc>
      </w:tr>
      <w:tr w:rsidR="004B1D76" w:rsidRPr="00DA41B9" w14:paraId="2F4E7C33" w14:textId="77777777" w:rsidTr="004B1D76">
        <w:trPr>
          <w:trHeight w:val="284"/>
          <w:jc w:val="center"/>
        </w:trPr>
        <w:tc>
          <w:tcPr>
            <w:tcW w:w="1763" w:type="dxa"/>
            <w:tcMar>
              <w:top w:w="10" w:type="dxa"/>
              <w:left w:w="10" w:type="dxa"/>
              <w:bottom w:w="0" w:type="dxa"/>
              <w:right w:w="10" w:type="dxa"/>
            </w:tcMar>
            <w:vAlign w:val="center"/>
          </w:tcPr>
          <w:p w14:paraId="66F0C24D"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Chilli</w:t>
            </w:r>
          </w:p>
        </w:tc>
        <w:tc>
          <w:tcPr>
            <w:tcW w:w="1262" w:type="dxa"/>
            <w:tcMar>
              <w:top w:w="10" w:type="dxa"/>
              <w:left w:w="10" w:type="dxa"/>
              <w:bottom w:w="0" w:type="dxa"/>
              <w:right w:w="10" w:type="dxa"/>
            </w:tcMar>
            <w:vAlign w:val="center"/>
          </w:tcPr>
          <w:p w14:paraId="3D5AF2D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652401E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3169807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377219A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38EA0848" w14:textId="77777777" w:rsidTr="004B1D76">
        <w:trPr>
          <w:trHeight w:val="132"/>
          <w:jc w:val="center"/>
        </w:trPr>
        <w:tc>
          <w:tcPr>
            <w:tcW w:w="1763" w:type="dxa"/>
            <w:tcMar>
              <w:top w:w="10" w:type="dxa"/>
              <w:left w:w="10" w:type="dxa"/>
              <w:bottom w:w="0" w:type="dxa"/>
              <w:right w:w="10" w:type="dxa"/>
            </w:tcMar>
            <w:vAlign w:val="center"/>
          </w:tcPr>
          <w:p w14:paraId="70FF7F46"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Tomato</w:t>
            </w:r>
          </w:p>
        </w:tc>
        <w:tc>
          <w:tcPr>
            <w:tcW w:w="1262" w:type="dxa"/>
            <w:tcMar>
              <w:top w:w="10" w:type="dxa"/>
              <w:left w:w="10" w:type="dxa"/>
              <w:bottom w:w="0" w:type="dxa"/>
              <w:right w:w="10" w:type="dxa"/>
            </w:tcMar>
            <w:vAlign w:val="center"/>
          </w:tcPr>
          <w:p w14:paraId="14C29CF7"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090C5F0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2154" w:type="dxa"/>
            <w:tcMar>
              <w:top w:w="10" w:type="dxa"/>
              <w:left w:w="10" w:type="dxa"/>
              <w:bottom w:w="0" w:type="dxa"/>
              <w:right w:w="10" w:type="dxa"/>
            </w:tcMar>
            <w:vAlign w:val="center"/>
          </w:tcPr>
          <w:p w14:paraId="3AA5C12B"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c>
          <w:tcPr>
            <w:tcW w:w="2330" w:type="dxa"/>
            <w:tcMar>
              <w:top w:w="10" w:type="dxa"/>
              <w:left w:w="10" w:type="dxa"/>
              <w:bottom w:w="0" w:type="dxa"/>
              <w:right w:w="10" w:type="dxa"/>
            </w:tcMar>
            <w:vAlign w:val="center"/>
          </w:tcPr>
          <w:p w14:paraId="03F0689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140482EF" w14:textId="77777777" w:rsidTr="004B1D76">
        <w:trPr>
          <w:trHeight w:val="132"/>
          <w:jc w:val="center"/>
        </w:trPr>
        <w:tc>
          <w:tcPr>
            <w:tcW w:w="1763" w:type="dxa"/>
            <w:tcMar>
              <w:top w:w="10" w:type="dxa"/>
              <w:left w:w="10" w:type="dxa"/>
              <w:bottom w:w="0" w:type="dxa"/>
              <w:right w:w="10" w:type="dxa"/>
            </w:tcMar>
            <w:vAlign w:val="center"/>
          </w:tcPr>
          <w:p w14:paraId="054C834F"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Coconut</w:t>
            </w:r>
          </w:p>
        </w:tc>
        <w:tc>
          <w:tcPr>
            <w:tcW w:w="1262" w:type="dxa"/>
            <w:tcMar>
              <w:top w:w="10" w:type="dxa"/>
              <w:left w:w="10" w:type="dxa"/>
              <w:bottom w:w="0" w:type="dxa"/>
              <w:right w:w="10" w:type="dxa"/>
            </w:tcMar>
            <w:vAlign w:val="center"/>
          </w:tcPr>
          <w:p w14:paraId="6356164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c>
          <w:tcPr>
            <w:tcW w:w="1599" w:type="dxa"/>
            <w:tcMar>
              <w:top w:w="10" w:type="dxa"/>
              <w:left w:w="10" w:type="dxa"/>
              <w:bottom w:w="0" w:type="dxa"/>
              <w:right w:w="10" w:type="dxa"/>
            </w:tcMar>
            <w:vAlign w:val="center"/>
          </w:tcPr>
          <w:p w14:paraId="78A2BFC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S3gn</w:t>
            </w:r>
          </w:p>
        </w:tc>
        <w:tc>
          <w:tcPr>
            <w:tcW w:w="2154" w:type="dxa"/>
            <w:tcMar>
              <w:top w:w="10" w:type="dxa"/>
              <w:left w:w="10" w:type="dxa"/>
              <w:bottom w:w="0" w:type="dxa"/>
              <w:right w:w="10" w:type="dxa"/>
            </w:tcMar>
            <w:vAlign w:val="center"/>
          </w:tcPr>
          <w:p w14:paraId="16A3D810"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S3n</w:t>
            </w:r>
          </w:p>
        </w:tc>
        <w:tc>
          <w:tcPr>
            <w:tcW w:w="2330" w:type="dxa"/>
            <w:tcMar>
              <w:top w:w="10" w:type="dxa"/>
              <w:left w:w="10" w:type="dxa"/>
              <w:bottom w:w="0" w:type="dxa"/>
              <w:right w:w="10" w:type="dxa"/>
            </w:tcMar>
            <w:vAlign w:val="center"/>
          </w:tcPr>
          <w:p w14:paraId="26A49C1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S2nt</w:t>
            </w:r>
          </w:p>
        </w:tc>
      </w:tr>
      <w:tr w:rsidR="004B1D76" w:rsidRPr="00DA41B9" w14:paraId="06173368" w14:textId="77777777" w:rsidTr="004B1D76">
        <w:trPr>
          <w:trHeight w:val="462"/>
          <w:jc w:val="center"/>
        </w:trPr>
        <w:tc>
          <w:tcPr>
            <w:tcW w:w="1763" w:type="dxa"/>
            <w:tcMar>
              <w:top w:w="10" w:type="dxa"/>
              <w:left w:w="10" w:type="dxa"/>
              <w:bottom w:w="0" w:type="dxa"/>
              <w:right w:w="10" w:type="dxa"/>
            </w:tcMar>
            <w:vAlign w:val="center"/>
          </w:tcPr>
          <w:p w14:paraId="0C1FD23C"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Mango</w:t>
            </w:r>
          </w:p>
        </w:tc>
        <w:tc>
          <w:tcPr>
            <w:tcW w:w="1262" w:type="dxa"/>
            <w:tcMar>
              <w:top w:w="10" w:type="dxa"/>
              <w:left w:w="10" w:type="dxa"/>
              <w:bottom w:w="0" w:type="dxa"/>
              <w:right w:w="10" w:type="dxa"/>
            </w:tcMar>
            <w:vAlign w:val="center"/>
          </w:tcPr>
          <w:p w14:paraId="3BD0FF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S3gr</w:t>
            </w:r>
          </w:p>
        </w:tc>
        <w:tc>
          <w:tcPr>
            <w:tcW w:w="1599" w:type="dxa"/>
            <w:tcMar>
              <w:top w:w="10" w:type="dxa"/>
              <w:left w:w="10" w:type="dxa"/>
              <w:bottom w:w="0" w:type="dxa"/>
              <w:right w:w="10" w:type="dxa"/>
            </w:tcMar>
            <w:vAlign w:val="center"/>
          </w:tcPr>
          <w:p w14:paraId="5BDCD73F"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23A710A"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570F6EB6"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S3r</w:t>
            </w:r>
          </w:p>
        </w:tc>
      </w:tr>
      <w:tr w:rsidR="004B1D76" w:rsidRPr="00DA41B9" w14:paraId="1D0F39E0" w14:textId="77777777" w:rsidTr="004B1D76">
        <w:trPr>
          <w:trHeight w:val="517"/>
          <w:jc w:val="center"/>
        </w:trPr>
        <w:tc>
          <w:tcPr>
            <w:tcW w:w="1763" w:type="dxa"/>
            <w:tcMar>
              <w:top w:w="10" w:type="dxa"/>
              <w:left w:w="10" w:type="dxa"/>
              <w:bottom w:w="0" w:type="dxa"/>
              <w:right w:w="10" w:type="dxa"/>
            </w:tcMar>
            <w:vAlign w:val="center"/>
          </w:tcPr>
          <w:p w14:paraId="431BD6DA"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Sapota</w:t>
            </w:r>
          </w:p>
        </w:tc>
        <w:tc>
          <w:tcPr>
            <w:tcW w:w="1262" w:type="dxa"/>
            <w:tcMar>
              <w:top w:w="10" w:type="dxa"/>
              <w:left w:w="10" w:type="dxa"/>
              <w:bottom w:w="0" w:type="dxa"/>
              <w:right w:w="10" w:type="dxa"/>
            </w:tcMar>
            <w:vAlign w:val="center"/>
          </w:tcPr>
          <w:p w14:paraId="1E0E3A45"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22DE3113"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410D6EBC"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S2gnrt</w:t>
            </w:r>
          </w:p>
        </w:tc>
        <w:tc>
          <w:tcPr>
            <w:tcW w:w="2330" w:type="dxa"/>
            <w:tcMar>
              <w:top w:w="10" w:type="dxa"/>
              <w:left w:w="10" w:type="dxa"/>
              <w:bottom w:w="0" w:type="dxa"/>
              <w:right w:w="10" w:type="dxa"/>
            </w:tcMar>
            <w:vAlign w:val="center"/>
          </w:tcPr>
          <w:p w14:paraId="3B5DEB0E"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S2grt</w:t>
            </w:r>
          </w:p>
        </w:tc>
      </w:tr>
      <w:tr w:rsidR="004B1D76" w:rsidRPr="00DA41B9" w14:paraId="7A4510B2" w14:textId="77777777" w:rsidTr="004B1D76">
        <w:trPr>
          <w:trHeight w:val="132"/>
          <w:jc w:val="center"/>
        </w:trPr>
        <w:tc>
          <w:tcPr>
            <w:tcW w:w="1763" w:type="dxa"/>
            <w:tcMar>
              <w:top w:w="10" w:type="dxa"/>
              <w:left w:w="10" w:type="dxa"/>
              <w:bottom w:w="0" w:type="dxa"/>
              <w:right w:w="10" w:type="dxa"/>
            </w:tcMar>
            <w:vAlign w:val="center"/>
          </w:tcPr>
          <w:p w14:paraId="6C2C0C48" w14:textId="77777777" w:rsidR="004B1D76" w:rsidRPr="00DA41B9" w:rsidRDefault="004B1D76" w:rsidP="00953C70">
            <w:pPr>
              <w:spacing w:before="240" w:after="240" w:line="240" w:lineRule="auto"/>
              <w:ind w:left="219" w:firstLine="0"/>
              <w:jc w:val="left"/>
              <w:textAlignment w:val="center"/>
              <w:rPr>
                <w:rFonts w:eastAsia="Times New Roman" w:cs="Times New Roman"/>
                <w:kern w:val="0"/>
                <w:szCs w:val="24"/>
                <w:lang w:eastAsia="en-IN"/>
                <w14:ligatures w14:val="none"/>
              </w:rPr>
            </w:pPr>
            <w:r w:rsidRPr="00DA41B9">
              <w:rPr>
                <w:rFonts w:eastAsia="Times New Roman" w:cs="Times New Roman"/>
                <w:b/>
                <w:bCs/>
                <w:kern w:val="24"/>
                <w:szCs w:val="24"/>
                <w:lang w:eastAsia="en-IN"/>
                <w14:ligatures w14:val="none"/>
              </w:rPr>
              <w:t>Guava</w:t>
            </w:r>
          </w:p>
        </w:tc>
        <w:tc>
          <w:tcPr>
            <w:tcW w:w="1262" w:type="dxa"/>
            <w:tcMar>
              <w:top w:w="10" w:type="dxa"/>
              <w:left w:w="10" w:type="dxa"/>
              <w:bottom w:w="0" w:type="dxa"/>
              <w:right w:w="10" w:type="dxa"/>
            </w:tcMar>
            <w:vAlign w:val="center"/>
          </w:tcPr>
          <w:p w14:paraId="70E0120D"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S3g</w:t>
            </w:r>
          </w:p>
        </w:tc>
        <w:tc>
          <w:tcPr>
            <w:tcW w:w="1599" w:type="dxa"/>
            <w:tcMar>
              <w:top w:w="10" w:type="dxa"/>
              <w:left w:w="10" w:type="dxa"/>
              <w:bottom w:w="0" w:type="dxa"/>
              <w:right w:w="10" w:type="dxa"/>
            </w:tcMar>
            <w:vAlign w:val="center"/>
          </w:tcPr>
          <w:p w14:paraId="5F216C24"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N</w:t>
            </w:r>
          </w:p>
        </w:tc>
        <w:tc>
          <w:tcPr>
            <w:tcW w:w="2154" w:type="dxa"/>
            <w:tcMar>
              <w:top w:w="10" w:type="dxa"/>
              <w:left w:w="10" w:type="dxa"/>
              <w:bottom w:w="0" w:type="dxa"/>
              <w:right w:w="10" w:type="dxa"/>
            </w:tcMar>
            <w:vAlign w:val="center"/>
          </w:tcPr>
          <w:p w14:paraId="203E7ED1"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S2gnt</w:t>
            </w:r>
          </w:p>
        </w:tc>
        <w:tc>
          <w:tcPr>
            <w:tcW w:w="2330" w:type="dxa"/>
            <w:tcMar>
              <w:top w:w="10" w:type="dxa"/>
              <w:left w:w="10" w:type="dxa"/>
              <w:bottom w:w="0" w:type="dxa"/>
              <w:right w:w="10" w:type="dxa"/>
            </w:tcMar>
            <w:vAlign w:val="center"/>
          </w:tcPr>
          <w:p w14:paraId="1893D452" w14:textId="77777777" w:rsidR="004B1D76" w:rsidRPr="00DA41B9" w:rsidRDefault="004B1D76" w:rsidP="00953C70">
            <w:pPr>
              <w:spacing w:before="240" w:after="240" w:line="240" w:lineRule="auto"/>
              <w:ind w:left="0" w:firstLine="0"/>
              <w:jc w:val="center"/>
              <w:textAlignment w:val="bottom"/>
              <w:rPr>
                <w:rFonts w:eastAsia="Times New Roman" w:cs="Times New Roman"/>
                <w:kern w:val="0"/>
                <w:szCs w:val="24"/>
                <w:lang w:eastAsia="en-IN"/>
                <w14:ligatures w14:val="none"/>
              </w:rPr>
            </w:pPr>
            <w:r w:rsidRPr="00DA41B9">
              <w:rPr>
                <w:rFonts w:eastAsia="Times New Roman" w:cs="Times New Roman"/>
                <w:kern w:val="24"/>
                <w:szCs w:val="24"/>
                <w:lang w:eastAsia="en-IN"/>
                <w14:ligatures w14:val="none"/>
              </w:rPr>
              <w:t>S2gt</w:t>
            </w:r>
          </w:p>
        </w:tc>
      </w:tr>
      <w:tr w:rsidR="004B1D76" w:rsidRPr="00DA41B9" w14:paraId="04F7EBB4" w14:textId="77777777" w:rsidTr="004B1D76">
        <w:trPr>
          <w:trHeight w:val="132"/>
          <w:jc w:val="center"/>
        </w:trPr>
        <w:tc>
          <w:tcPr>
            <w:tcW w:w="9108" w:type="dxa"/>
            <w:gridSpan w:val="5"/>
            <w:tcMar>
              <w:top w:w="10" w:type="dxa"/>
              <w:left w:w="10" w:type="dxa"/>
              <w:bottom w:w="0" w:type="dxa"/>
              <w:right w:w="10" w:type="dxa"/>
            </w:tcMar>
            <w:vAlign w:val="center"/>
          </w:tcPr>
          <w:p w14:paraId="469E84BC"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lastRenderedPageBreak/>
              <w:t xml:space="preserve">Note: S1 – Suitable, S2 – Moderately suitable, S3 – Marginally suitable, N – Not suitable;       </w:t>
            </w:r>
          </w:p>
          <w:p w14:paraId="4A56F4BE" w14:textId="77777777" w:rsidR="004B1D76" w:rsidRPr="00DA41B9" w:rsidRDefault="004B1D76" w:rsidP="00953C70">
            <w:pPr>
              <w:spacing w:before="0" w:after="0" w:line="240" w:lineRule="auto"/>
              <w:ind w:left="720" w:hanging="720"/>
              <w:rPr>
                <w:rFonts w:eastAsia="Calibri" w:cs="Times New Roman"/>
                <w:kern w:val="0"/>
                <w:sz w:val="22"/>
                <w:lang w:eastAsia="en-IN"/>
                <w14:ligatures w14:val="none"/>
              </w:rPr>
            </w:pPr>
            <w:r w:rsidRPr="00DA41B9">
              <w:rPr>
                <w:rFonts w:eastAsia="Calibri" w:cs="Times New Roman"/>
                <w:kern w:val="0"/>
                <w:sz w:val="22"/>
                <w:lang w:eastAsia="en-IN"/>
                <w14:ligatures w14:val="none"/>
              </w:rPr>
              <w:t xml:space="preserve"> g – Gravelliness, l – Topography, n – Nutrient availability, r – Rooting condition, t – Texture.</w:t>
            </w:r>
          </w:p>
        </w:tc>
      </w:tr>
    </w:tbl>
    <w:p w14:paraId="315745B2" w14:textId="77777777" w:rsidR="004B1D76" w:rsidRDefault="004B1D76" w:rsidP="004B1D76">
      <w:pPr>
        <w:spacing w:line="360" w:lineRule="auto"/>
        <w:rPr>
          <w:szCs w:val="24"/>
        </w:rPr>
      </w:pPr>
    </w:p>
    <w:p w14:paraId="2E6BD585" w14:textId="14A1BD6F" w:rsidR="00A52BED" w:rsidRPr="00A52BED" w:rsidRDefault="00A52BED" w:rsidP="001D3691">
      <w:pPr>
        <w:spacing w:line="360" w:lineRule="auto"/>
        <w:ind w:left="0" w:firstLine="720"/>
      </w:pPr>
      <w:r w:rsidRPr="00A52BED">
        <w:t>This study evaluated the suitability of pedons across various land use systems for chilli cultivation, classifying them within the range of moderately suitable (S2) to marginally suitable (S3)</w:t>
      </w:r>
      <w:r w:rsidR="00807E8B">
        <w:t xml:space="preserve"> </w:t>
      </w:r>
      <w:r w:rsidR="00807E8B">
        <w:rPr>
          <w:rFonts w:cs="Times New Roman"/>
          <w:spacing w:val="2"/>
        </w:rPr>
        <w:t>(Figure-3)</w:t>
      </w:r>
      <w:r w:rsidRPr="00A52BED">
        <w:t xml:space="preserve">. The findings indicated that </w:t>
      </w:r>
      <w:r>
        <w:t xml:space="preserve">pedons under </w:t>
      </w:r>
      <w:r w:rsidRPr="00A52BED">
        <w:t xml:space="preserve">forest land were categorized as suitability class S2, subclass S2gt, with principal limitations related to soil drainage, texture and gravelliness. Pedons under agricultural and horticultural land uses were also assigned to class S2, subclass S2nt, reflecting significant constraints including soil drainage, texture, pH and organic carbon content. Conversely, barren land pedons were classified as suitability class S3, subclass S3gn, </w:t>
      </w:r>
      <w:r w:rsidRPr="0004376F">
        <w:rPr>
          <w:color w:val="000000" w:themeColor="text1"/>
        </w:rPr>
        <w:t xml:space="preserve">primarily restricted by soil pH, organic carbon and gravelliness. Supporting these results, Narsaiah </w:t>
      </w:r>
      <w:r w:rsidRPr="0004376F">
        <w:rPr>
          <w:i/>
          <w:iCs/>
          <w:color w:val="000000" w:themeColor="text1"/>
        </w:rPr>
        <w:t>et al</w:t>
      </w:r>
      <w:r w:rsidRPr="0004376F">
        <w:rPr>
          <w:color w:val="000000" w:themeColor="text1"/>
        </w:rPr>
        <w:t xml:space="preserve">. (2020) reported that </w:t>
      </w:r>
      <w:r w:rsidRPr="00A52BED">
        <w:t>soils in the central and eastern regions of Warangal district, Telangana, exhibited marginal suitability (S3) for chilli cultivation. This marginal classification was mainly due to factors such as medium soil texture, slight variations in pedon depth and clay content, the presence or absence of coarse fragments and soil physical and fertility characteristics including pH and organic carbon levels.</w:t>
      </w:r>
    </w:p>
    <w:p w14:paraId="65C53EBE"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Figure-3</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chilli crop in Bada micro watershed</w:t>
      </w:r>
    </w:p>
    <w:p w14:paraId="5B04E5AD"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121A223A" wp14:editId="0F9FB69B">
            <wp:extent cx="5731510" cy="4051300"/>
            <wp:effectExtent l="0" t="0" r="2540" b="6350"/>
            <wp:docPr id="1751754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5EBF1D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27A9B6B3"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Figure-4</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tomato crop in Bada micro watershed</w:t>
      </w:r>
    </w:p>
    <w:p w14:paraId="34D2B297" w14:textId="77777777" w:rsidR="004B1D76" w:rsidRDefault="004B1D76" w:rsidP="004B1D76">
      <w:r>
        <w:rPr>
          <w:noProof/>
        </w:rPr>
        <w:lastRenderedPageBreak/>
        <w:drawing>
          <wp:inline distT="0" distB="0" distL="0" distR="0" wp14:anchorId="7D2D203D" wp14:editId="473AAC63">
            <wp:extent cx="5731510" cy="4051300"/>
            <wp:effectExtent l="0" t="0" r="2540" b="6350"/>
            <wp:docPr id="20718409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6ED2513F" w14:textId="60BFC174" w:rsidR="003128A4" w:rsidRPr="00E8130B" w:rsidRDefault="003128A4" w:rsidP="001D3691">
      <w:pPr>
        <w:spacing w:line="360" w:lineRule="auto"/>
        <w:ind w:left="0" w:firstLine="0"/>
        <w:rPr>
          <w:rFonts w:cs="Times New Roman"/>
          <w:b/>
          <w:bCs/>
          <w:spacing w:val="2"/>
        </w:rPr>
      </w:pPr>
      <w:r w:rsidRPr="00E8130B">
        <w:rPr>
          <w:rFonts w:cs="Times New Roman"/>
          <w:b/>
          <w:bCs/>
          <w:spacing w:val="2"/>
        </w:rPr>
        <w:t>3.2</w:t>
      </w:r>
      <w:r w:rsidR="00EB0785" w:rsidRPr="00E8130B">
        <w:rPr>
          <w:rFonts w:cs="Times New Roman"/>
          <w:b/>
          <w:bCs/>
          <w:spacing w:val="2"/>
        </w:rPr>
        <w:t xml:space="preserve"> Tomato</w:t>
      </w:r>
    </w:p>
    <w:p w14:paraId="72F38736" w14:textId="4AFBCD03" w:rsidR="009A7757" w:rsidRDefault="009A7757" w:rsidP="001D3691">
      <w:pPr>
        <w:spacing w:line="360" w:lineRule="auto"/>
        <w:ind w:left="0" w:firstLine="720"/>
        <w:rPr>
          <w:szCs w:val="24"/>
        </w:rPr>
      </w:pPr>
      <w:r w:rsidRPr="009A7757">
        <w:rPr>
          <w:szCs w:val="24"/>
        </w:rPr>
        <w:t>Tomato (</w:t>
      </w:r>
      <w:r w:rsidRPr="009A7757">
        <w:rPr>
          <w:i/>
          <w:iCs/>
          <w:szCs w:val="24"/>
        </w:rPr>
        <w:t xml:space="preserve">Solanum </w:t>
      </w:r>
      <w:proofErr w:type="spellStart"/>
      <w:r w:rsidRPr="009A7757">
        <w:rPr>
          <w:i/>
          <w:iCs/>
          <w:szCs w:val="24"/>
        </w:rPr>
        <w:t>lycopersicum</w:t>
      </w:r>
      <w:proofErr w:type="spellEnd"/>
      <w:r w:rsidRPr="009A7757">
        <w:rPr>
          <w:szCs w:val="24"/>
        </w:rPr>
        <w:t xml:space="preserve">) represents a significant vegetable crop widely cultivated throughout India, fulfilling demands for both fresh consumption and processing. It is </w:t>
      </w:r>
      <w:r>
        <w:rPr>
          <w:szCs w:val="24"/>
        </w:rPr>
        <w:t>highly valued</w:t>
      </w:r>
      <w:r w:rsidRPr="009A7757">
        <w:rPr>
          <w:szCs w:val="24"/>
        </w:rPr>
        <w:t xml:space="preserve"> for its considerable nutritional value, notably its content of vitamin A and ascorbic acid. The cultivation of tomato is feasible across the majority of Indian states and demonstrates optimal growth in fertile loam soils characterized by a moderate sand fraction in the topsoil, which facilitates sufficient drainage and aeration.</w:t>
      </w:r>
    </w:p>
    <w:p w14:paraId="0FAA4D75" w14:textId="19559646" w:rsidR="006F2F82" w:rsidRPr="00CB3BDB" w:rsidRDefault="006F2F82" w:rsidP="001D3691">
      <w:pPr>
        <w:spacing w:line="360" w:lineRule="auto"/>
        <w:ind w:left="0" w:firstLine="720"/>
        <w:rPr>
          <w:szCs w:val="24"/>
        </w:rPr>
      </w:pPr>
      <w:r w:rsidRPr="006F2F82">
        <w:rPr>
          <w:szCs w:val="24"/>
        </w:rPr>
        <w:t>An assessment of soil suitability for tomato cultivation across various land use systems indicated classifications ranging from moderately suitable (S2) to marginally suitable (S3)</w:t>
      </w:r>
      <w:r w:rsidR="00807E8B">
        <w:rPr>
          <w:szCs w:val="24"/>
        </w:rPr>
        <w:t xml:space="preserve"> </w:t>
      </w:r>
      <w:r w:rsidR="00807E8B">
        <w:rPr>
          <w:rFonts w:cs="Times New Roman"/>
          <w:spacing w:val="2"/>
        </w:rPr>
        <w:t>(Figure-4)</w:t>
      </w:r>
      <w:r w:rsidRPr="006F2F82">
        <w:rPr>
          <w:szCs w:val="24"/>
        </w:rPr>
        <w:t>. Agricultural and horticultural lands were categorized under suitability class S2, subclass S2nt, with primary limiting factors identified as soil drainage, texture</w:t>
      </w:r>
      <w:r w:rsidR="00807E8B">
        <w:rPr>
          <w:szCs w:val="24"/>
        </w:rPr>
        <w:t xml:space="preserve"> and</w:t>
      </w:r>
      <w:r w:rsidRPr="006F2F82">
        <w:rPr>
          <w:szCs w:val="24"/>
        </w:rPr>
        <w:t xml:space="preserve"> pH. Forest</w:t>
      </w:r>
      <w:r>
        <w:rPr>
          <w:szCs w:val="24"/>
        </w:rPr>
        <w:t xml:space="preserve"> land use was</w:t>
      </w:r>
      <w:r w:rsidRPr="006F2F82">
        <w:rPr>
          <w:szCs w:val="24"/>
        </w:rPr>
        <w:t xml:space="preserve"> also assigned to class S2, subclass S2gt, where key constraints included soil drainage, texture</w:t>
      </w:r>
      <w:r w:rsidR="00807E8B">
        <w:rPr>
          <w:szCs w:val="24"/>
        </w:rPr>
        <w:t xml:space="preserve"> and</w:t>
      </w:r>
      <w:r w:rsidRPr="006F2F82">
        <w:rPr>
          <w:szCs w:val="24"/>
        </w:rPr>
        <w:t xml:space="preserve"> gravelliness. Barren lands fell into class S3, subclass S3g, predominantly limited by gravelliness</w:t>
      </w:r>
      <w:r w:rsidRPr="0004376F">
        <w:rPr>
          <w:color w:val="000000" w:themeColor="text1"/>
          <w:szCs w:val="24"/>
        </w:rPr>
        <w:t xml:space="preserve">. Yadav and Patil (2025) reported that the </w:t>
      </w:r>
      <w:r w:rsidRPr="006F2F82">
        <w:rPr>
          <w:szCs w:val="24"/>
        </w:rPr>
        <w:t>majority of the Ganjigatti sub-watershed was classified as moderately (S2) to marginally suitable (S3) for tomato cultivation, exhibiting moderate to severe limitations related to soil drainage, texture, depth</w:t>
      </w:r>
      <w:r>
        <w:rPr>
          <w:szCs w:val="24"/>
        </w:rPr>
        <w:t xml:space="preserve"> </w:t>
      </w:r>
      <w:r w:rsidRPr="006F2F82">
        <w:rPr>
          <w:szCs w:val="24"/>
        </w:rPr>
        <w:t>and gravelliness.</w:t>
      </w:r>
    </w:p>
    <w:p w14:paraId="7C2BC220" w14:textId="40310185" w:rsidR="00EB0785" w:rsidRPr="001D3691" w:rsidRDefault="00EB0785" w:rsidP="001D3691">
      <w:pPr>
        <w:spacing w:line="360" w:lineRule="auto"/>
        <w:ind w:left="0" w:firstLine="0"/>
        <w:rPr>
          <w:rFonts w:cs="Times New Roman"/>
          <w:b/>
          <w:bCs/>
          <w:spacing w:val="2"/>
        </w:rPr>
      </w:pPr>
      <w:r w:rsidRPr="001D3691">
        <w:rPr>
          <w:rFonts w:cs="Times New Roman"/>
          <w:b/>
          <w:bCs/>
          <w:spacing w:val="2"/>
        </w:rPr>
        <w:lastRenderedPageBreak/>
        <w:t>3.3 Coconut</w:t>
      </w:r>
    </w:p>
    <w:p w14:paraId="552FD7C3" w14:textId="77777777" w:rsidR="009B2772" w:rsidRDefault="00C760F5" w:rsidP="009B2772">
      <w:pPr>
        <w:spacing w:line="360" w:lineRule="auto"/>
        <w:ind w:left="0" w:firstLine="720"/>
        <w:rPr>
          <w:szCs w:val="24"/>
        </w:rPr>
      </w:pPr>
      <w:r w:rsidRPr="00C760F5">
        <w:rPr>
          <w:szCs w:val="24"/>
        </w:rPr>
        <w:t>Coconut (</w:t>
      </w:r>
      <w:r w:rsidRPr="00C760F5">
        <w:rPr>
          <w:i/>
          <w:iCs/>
          <w:szCs w:val="24"/>
        </w:rPr>
        <w:t>Cocos nucifera</w:t>
      </w:r>
      <w:r w:rsidRPr="00C760F5">
        <w:rPr>
          <w:szCs w:val="24"/>
        </w:rPr>
        <w:t xml:space="preserve"> L.) is a plantation crop primarily grown for its oil and edible products. It is chiefly cultivated in tropical coastal regions and island ecosystems. The coconut palm demonstrates adaptability to a wide range of soil types, encompassing coastal sandy and clay soils, lateritic, loamy, black, reclaimed marshy</w:t>
      </w:r>
      <w:r w:rsidR="00622D21">
        <w:rPr>
          <w:szCs w:val="24"/>
        </w:rPr>
        <w:t xml:space="preserve"> </w:t>
      </w:r>
      <w:r w:rsidRPr="00C760F5">
        <w:rPr>
          <w:szCs w:val="24"/>
        </w:rPr>
        <w:t xml:space="preserve">and coral soils. </w:t>
      </w:r>
      <w:r w:rsidR="00622D21" w:rsidRPr="00CB3BDB">
        <w:rPr>
          <w:szCs w:val="24"/>
        </w:rPr>
        <w:t>Optimal growth conditions necessitate a water table depth within three meters, effective soil drainage and the absence of a hard substratum within one meter of the soil surface.</w:t>
      </w:r>
    </w:p>
    <w:p w14:paraId="446D4BB4" w14:textId="1AEB6FE1" w:rsidR="009B2772" w:rsidRPr="009B2772" w:rsidRDefault="00B96312" w:rsidP="009B2772">
      <w:pPr>
        <w:spacing w:line="360" w:lineRule="auto"/>
        <w:ind w:left="0" w:firstLine="720"/>
        <w:rPr>
          <w:szCs w:val="24"/>
        </w:rPr>
      </w:pPr>
      <w:r w:rsidRPr="00B96312">
        <w:t xml:space="preserve">A comprehensive evaluation of soil and </w:t>
      </w:r>
      <w:r>
        <w:t xml:space="preserve">its </w:t>
      </w:r>
      <w:r w:rsidRPr="00B96312">
        <w:t xml:space="preserve">site characteristics across </w:t>
      </w:r>
      <w:r>
        <w:t>diverse</w:t>
      </w:r>
      <w:r w:rsidRPr="00B96312">
        <w:t xml:space="preserve"> land use systems </w:t>
      </w:r>
      <w:r w:rsidRPr="00B96312">
        <w:rPr>
          <w:color w:val="000000" w:themeColor="text1"/>
        </w:rPr>
        <w:t xml:space="preserve">was undertaken to ascertain their </w:t>
      </w:r>
      <w:r w:rsidRPr="00B96312">
        <w:t>suitability for coconut cultivation. The suitability classifications ranged from moderately suitable (S2) to marginally suitable (S3)</w:t>
      </w:r>
      <w:r w:rsidR="00807E8B">
        <w:t xml:space="preserve"> </w:t>
      </w:r>
      <w:r w:rsidR="00807E8B">
        <w:rPr>
          <w:rFonts w:cs="Times New Roman"/>
          <w:spacing w:val="2"/>
        </w:rPr>
        <w:t>(Figure-5)</w:t>
      </w:r>
      <w:r w:rsidRPr="00B96312">
        <w:t xml:space="preserve">. Notably, forest and horticultural lands were categorized within the S2 class, with subclasses S2gt and S2nt, respectively. In both land use types, soil texture and drainage were identified as primary limiting factors, accompanied by gravelliness in forest soils and soil pH constraints in horticultural soils. Conversely, agricultural and barren lands were assigned to the S3 class, with subclasses S3n and S3gn, respectively, indicating soil pH and gravelliness as critical limiting </w:t>
      </w:r>
    </w:p>
    <w:p w14:paraId="6AACB407" w14:textId="5B552731"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Figure-5</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coconut crop in Bada micro watershed</w:t>
      </w:r>
    </w:p>
    <w:p w14:paraId="7E836341"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435B2F13" wp14:editId="1C29CDD6">
            <wp:extent cx="5731510" cy="4051300"/>
            <wp:effectExtent l="0" t="0" r="2540" b="6350"/>
            <wp:docPr id="32050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1183B857"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p>
    <w:p w14:paraId="0543A1AC"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Figure-6</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mango crop in Bada micro watershed</w:t>
      </w:r>
    </w:p>
    <w:p w14:paraId="0E9E0294" w14:textId="77777777" w:rsidR="004B1D76" w:rsidRDefault="004B1D76" w:rsidP="004B1D76">
      <w:pPr>
        <w:spacing w:before="0" w:after="0" w:line="240" w:lineRule="auto"/>
        <w:ind w:left="1050" w:hanging="1050"/>
        <w:rPr>
          <w:rFonts w:eastAsia="Calibri" w:cs="Times New Roman"/>
          <w:b/>
          <w:bCs/>
          <w:kern w:val="0"/>
          <w:szCs w:val="24"/>
          <w:lang w:eastAsia="en-IN"/>
          <w14:ligatures w14:val="none"/>
        </w:rPr>
      </w:pPr>
      <w:r>
        <w:rPr>
          <w:noProof/>
        </w:rPr>
        <w:lastRenderedPageBreak/>
        <w:drawing>
          <wp:inline distT="0" distB="0" distL="0" distR="0" wp14:anchorId="0ACA4DBB" wp14:editId="0E14C140">
            <wp:extent cx="5731510" cy="4051300"/>
            <wp:effectExtent l="0" t="0" r="2540" b="6350"/>
            <wp:docPr id="4566136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7693C9E" w14:textId="5ED598FE" w:rsidR="00B96312" w:rsidRPr="00B96312" w:rsidRDefault="00B96312" w:rsidP="004B1D76">
      <w:pPr>
        <w:spacing w:line="360" w:lineRule="auto"/>
        <w:ind w:left="0" w:firstLine="0"/>
      </w:pPr>
      <w:r w:rsidRPr="00B96312">
        <w:t xml:space="preserve">factors for coconut cultivation. The </w:t>
      </w:r>
      <w:r w:rsidRPr="0004376F">
        <w:rPr>
          <w:color w:val="000000" w:themeColor="text1"/>
        </w:rPr>
        <w:t xml:space="preserve">findings of </w:t>
      </w:r>
      <w:proofErr w:type="spellStart"/>
      <w:r w:rsidRPr="0004376F">
        <w:rPr>
          <w:color w:val="000000" w:themeColor="text1"/>
        </w:rPr>
        <w:t>Kabber</w:t>
      </w:r>
      <w:proofErr w:type="spellEnd"/>
      <w:r w:rsidRPr="0004376F">
        <w:rPr>
          <w:color w:val="000000" w:themeColor="text1"/>
        </w:rPr>
        <w:t xml:space="preserve"> </w:t>
      </w:r>
      <w:r w:rsidRPr="0004376F">
        <w:rPr>
          <w:i/>
          <w:iCs/>
          <w:color w:val="000000" w:themeColor="text1"/>
        </w:rPr>
        <w:t>et al</w:t>
      </w:r>
      <w:r w:rsidRPr="0004376F">
        <w:rPr>
          <w:color w:val="000000" w:themeColor="text1"/>
        </w:rPr>
        <w:t xml:space="preserve">. (2024) corroborate </w:t>
      </w:r>
      <w:r w:rsidRPr="00B96312">
        <w:t xml:space="preserve">these results, demonstrating that areas such as </w:t>
      </w:r>
      <w:proofErr w:type="spellStart"/>
      <w:r w:rsidRPr="00B96312">
        <w:t>Krishnarajapete</w:t>
      </w:r>
      <w:proofErr w:type="spellEnd"/>
      <w:r w:rsidRPr="00B96312">
        <w:t xml:space="preserve"> and </w:t>
      </w:r>
      <w:proofErr w:type="spellStart"/>
      <w:r w:rsidRPr="00B96312">
        <w:t>Arasikere</w:t>
      </w:r>
      <w:proofErr w:type="spellEnd"/>
      <w:r w:rsidRPr="00B96312">
        <w:t xml:space="preserve"> possess moderately suitable (S2) lands for coconut, whereas other regions exhibit more pronounced limitations related to drainage or soil fertility, thereby resulting in marginal suitability classifications.</w:t>
      </w:r>
    </w:p>
    <w:p w14:paraId="2660E706" w14:textId="7887C532" w:rsidR="00EB0785" w:rsidRPr="001D3691" w:rsidRDefault="00EB0785" w:rsidP="001D3691">
      <w:pPr>
        <w:spacing w:line="360" w:lineRule="auto"/>
        <w:ind w:left="0" w:firstLine="0"/>
        <w:rPr>
          <w:rFonts w:cs="Times New Roman"/>
          <w:b/>
          <w:bCs/>
          <w:spacing w:val="2"/>
        </w:rPr>
      </w:pPr>
      <w:r w:rsidRPr="001D3691">
        <w:rPr>
          <w:rFonts w:cs="Times New Roman"/>
          <w:b/>
          <w:bCs/>
          <w:spacing w:val="2"/>
        </w:rPr>
        <w:t>3.4 Mango</w:t>
      </w:r>
    </w:p>
    <w:p w14:paraId="7C174967" w14:textId="2C517F40" w:rsidR="00E36B1A" w:rsidRDefault="00E36B1A" w:rsidP="001D3691">
      <w:pPr>
        <w:spacing w:line="360" w:lineRule="auto"/>
        <w:ind w:left="0" w:firstLine="720"/>
        <w:rPr>
          <w:rFonts w:cs="Times New Roman"/>
          <w:spacing w:val="2"/>
        </w:rPr>
      </w:pPr>
      <w:r w:rsidRPr="00E36B1A">
        <w:rPr>
          <w:rFonts w:cs="Times New Roman"/>
          <w:spacing w:val="2"/>
        </w:rPr>
        <w:t>Mango (</w:t>
      </w:r>
      <w:r w:rsidRPr="00E36B1A">
        <w:rPr>
          <w:rFonts w:cs="Times New Roman"/>
          <w:i/>
          <w:iCs/>
          <w:spacing w:val="2"/>
        </w:rPr>
        <w:t>Mangifera indica</w:t>
      </w:r>
      <w:r w:rsidRPr="00E36B1A">
        <w:rPr>
          <w:rFonts w:cs="Times New Roman"/>
          <w:spacing w:val="2"/>
        </w:rPr>
        <w:t>), often referred to as the "king of fruits," is well-suited to tropical and subtropical environments and can grow at altitudes up to 1500 meters above sea level. This fruit is cultivated across nearly all Indian states, contributing to approximately 56</w:t>
      </w:r>
      <w:r>
        <w:rPr>
          <w:rFonts w:cs="Times New Roman"/>
          <w:spacing w:val="2"/>
        </w:rPr>
        <w:t xml:space="preserve"> per cent</w:t>
      </w:r>
      <w:r w:rsidRPr="00E36B1A">
        <w:rPr>
          <w:rFonts w:cs="Times New Roman"/>
          <w:spacing w:val="2"/>
        </w:rPr>
        <w:t xml:space="preserve"> of the world's total mango production. The states of Andhra Pradesh, Uttar Pradesh, Bihar, Karnataka, Maharashtra, West Bengal and Gujarat collectively account for about 82</w:t>
      </w:r>
      <w:r>
        <w:rPr>
          <w:rFonts w:cs="Times New Roman"/>
          <w:spacing w:val="2"/>
        </w:rPr>
        <w:t xml:space="preserve"> per cent</w:t>
      </w:r>
      <w:r w:rsidRPr="00E36B1A">
        <w:rPr>
          <w:rFonts w:cs="Times New Roman"/>
          <w:spacing w:val="2"/>
        </w:rPr>
        <w:t xml:space="preserve"> of India's mango </w:t>
      </w:r>
      <w:r>
        <w:rPr>
          <w:rFonts w:cs="Times New Roman"/>
          <w:spacing w:val="2"/>
        </w:rPr>
        <w:t>production</w:t>
      </w:r>
      <w:r w:rsidRPr="00E36B1A">
        <w:rPr>
          <w:rFonts w:cs="Times New Roman"/>
          <w:spacing w:val="2"/>
        </w:rPr>
        <w:t xml:space="preserve">. </w:t>
      </w:r>
    </w:p>
    <w:p w14:paraId="005F004E" w14:textId="632B1AC0" w:rsidR="00AD79D3" w:rsidRPr="0004376F" w:rsidRDefault="00AD79D3" w:rsidP="001D3691">
      <w:pPr>
        <w:spacing w:line="360" w:lineRule="auto"/>
        <w:ind w:left="0" w:firstLine="0"/>
        <w:rPr>
          <w:color w:val="000000" w:themeColor="text1"/>
          <w:szCs w:val="24"/>
        </w:rPr>
      </w:pPr>
      <w:r w:rsidRPr="00AD79D3">
        <w:rPr>
          <w:color w:val="000000" w:themeColor="text1"/>
          <w:szCs w:val="24"/>
        </w:rPr>
        <w:t>A comprehensive evaluation of soil pedons across different land use</w:t>
      </w:r>
      <w:r>
        <w:rPr>
          <w:color w:val="000000" w:themeColor="text1"/>
          <w:szCs w:val="24"/>
        </w:rPr>
        <w:t xml:space="preserve">s </w:t>
      </w:r>
      <w:r w:rsidRPr="00AD79D3">
        <w:rPr>
          <w:color w:val="000000" w:themeColor="text1"/>
          <w:szCs w:val="24"/>
        </w:rPr>
        <w:t>was conducted to assess their suitability for mango cultivation. The suitability was classified on a scale ranging from moderately suitable (S2) to not suitable (N)</w:t>
      </w:r>
      <w:r w:rsidR="00807E8B">
        <w:rPr>
          <w:color w:val="000000" w:themeColor="text1"/>
          <w:szCs w:val="24"/>
        </w:rPr>
        <w:t xml:space="preserve"> </w:t>
      </w:r>
      <w:r w:rsidR="00807E8B">
        <w:rPr>
          <w:rFonts w:cs="Times New Roman"/>
          <w:spacing w:val="2"/>
        </w:rPr>
        <w:t>(Figure-6)</w:t>
      </w:r>
      <w:r w:rsidRPr="00AD79D3">
        <w:rPr>
          <w:color w:val="000000" w:themeColor="text1"/>
          <w:szCs w:val="24"/>
        </w:rPr>
        <w:t>. Soils under agricultural land use were classified as S2, with a subclass designation of S2gnrt, indicating primary limitations related to soil drainage, texture, pH, organic carbon content, depth</w:t>
      </w:r>
      <w:r w:rsidR="00807E8B">
        <w:rPr>
          <w:color w:val="000000" w:themeColor="text1"/>
          <w:szCs w:val="24"/>
        </w:rPr>
        <w:t xml:space="preserve"> and</w:t>
      </w:r>
      <w:r w:rsidRPr="00AD79D3">
        <w:rPr>
          <w:color w:val="000000" w:themeColor="text1"/>
          <w:szCs w:val="24"/>
        </w:rPr>
        <w:t xml:space="preserve"> gravelliness. In contrast, soils from horticultural and forest land uses were assigned to class S3, with subclasses S3r and S3gr, </w:t>
      </w:r>
      <w:r w:rsidRPr="00AD79D3">
        <w:rPr>
          <w:color w:val="000000" w:themeColor="text1"/>
          <w:szCs w:val="24"/>
        </w:rPr>
        <w:lastRenderedPageBreak/>
        <w:t xml:space="preserve">respectively, reflecting significant constraints such as limited soil depth in horticultural lands and both restricted depth and high gravelliness in forest lands. Barren land pedons were categorized as not suitable (N), with gravelliness identified as the principal limitation, followed by deficiencies in organic carbon and soil depth. Furthermore, soil series from the Chikkumbi-3 micro watershed in Dharwad district have been classified as unsuitable (N) for mango cultivation due to pronounced physical constraints, including inadequate rooting conditions and insufficient </w:t>
      </w:r>
      <w:r w:rsidRPr="0004376F">
        <w:rPr>
          <w:color w:val="000000" w:themeColor="text1"/>
          <w:szCs w:val="24"/>
        </w:rPr>
        <w:t xml:space="preserve">moisture availability (Vyas </w:t>
      </w:r>
      <w:r w:rsidRPr="0004376F">
        <w:rPr>
          <w:i/>
          <w:iCs/>
          <w:color w:val="000000" w:themeColor="text1"/>
          <w:szCs w:val="24"/>
        </w:rPr>
        <w:t>et al</w:t>
      </w:r>
      <w:r w:rsidRPr="0004376F">
        <w:rPr>
          <w:color w:val="000000" w:themeColor="text1"/>
          <w:szCs w:val="24"/>
        </w:rPr>
        <w:t>., 2024).</w:t>
      </w:r>
    </w:p>
    <w:p w14:paraId="52A804CC" w14:textId="5FA79425" w:rsidR="00EB0785" w:rsidRPr="001D3691" w:rsidRDefault="00EB0785" w:rsidP="001D3691">
      <w:pPr>
        <w:spacing w:line="360" w:lineRule="auto"/>
        <w:ind w:left="0" w:firstLine="0"/>
        <w:rPr>
          <w:rFonts w:cs="Times New Roman"/>
          <w:b/>
          <w:bCs/>
          <w:spacing w:val="2"/>
        </w:rPr>
      </w:pPr>
      <w:r w:rsidRPr="001D3691">
        <w:rPr>
          <w:rFonts w:cs="Times New Roman"/>
          <w:b/>
          <w:bCs/>
          <w:spacing w:val="2"/>
        </w:rPr>
        <w:t>3.5 Sapota</w:t>
      </w:r>
    </w:p>
    <w:p w14:paraId="68899F67" w14:textId="017DE3A9" w:rsidR="00E36B1A" w:rsidRPr="00E36B1A" w:rsidRDefault="00E36B1A" w:rsidP="001D3691">
      <w:pPr>
        <w:spacing w:line="360" w:lineRule="auto"/>
        <w:ind w:left="0" w:firstLine="720"/>
        <w:rPr>
          <w:color w:val="000000" w:themeColor="text1"/>
          <w:szCs w:val="24"/>
        </w:rPr>
      </w:pPr>
      <w:r w:rsidRPr="00E36B1A">
        <w:rPr>
          <w:color w:val="000000" w:themeColor="text1"/>
          <w:szCs w:val="24"/>
        </w:rPr>
        <w:t>Sapota (</w:t>
      </w:r>
      <w:r w:rsidRPr="00E36B1A">
        <w:rPr>
          <w:i/>
          <w:iCs/>
          <w:color w:val="000000" w:themeColor="text1"/>
          <w:szCs w:val="24"/>
        </w:rPr>
        <w:t>Manilkara zapota</w:t>
      </w:r>
      <w:r w:rsidRPr="00E36B1A">
        <w:rPr>
          <w:color w:val="000000" w:themeColor="text1"/>
          <w:szCs w:val="24"/>
        </w:rPr>
        <w:t xml:space="preserve">), commonly known as </w:t>
      </w:r>
      <w:proofErr w:type="spellStart"/>
      <w:r w:rsidRPr="00E36B1A">
        <w:rPr>
          <w:color w:val="000000" w:themeColor="text1"/>
          <w:szCs w:val="24"/>
        </w:rPr>
        <w:t>chiku</w:t>
      </w:r>
      <w:proofErr w:type="spellEnd"/>
      <w:r w:rsidRPr="00E36B1A">
        <w:rPr>
          <w:color w:val="000000" w:themeColor="text1"/>
          <w:szCs w:val="24"/>
        </w:rPr>
        <w:t>, is a tropical fruit bearing tree native to Central America and widely cultivated in various regions worldwide. In India, sapota cultivation is predominantly concentrated in the states of Maharashtra, Gujarat, Tamil Nadu, Karnataka and Andhra Pradesh. These regions provide the ideal environmental conditions preferred by sapota trees, characterized by warm climatic temperatures and well</w:t>
      </w:r>
      <w:r>
        <w:rPr>
          <w:color w:val="000000" w:themeColor="text1"/>
          <w:szCs w:val="24"/>
        </w:rPr>
        <w:t xml:space="preserve"> </w:t>
      </w:r>
      <w:r w:rsidRPr="00E36B1A">
        <w:rPr>
          <w:color w:val="000000" w:themeColor="text1"/>
          <w:szCs w:val="24"/>
        </w:rPr>
        <w:t>drained sandy loam soils with a pH between 6.0 and 8.0.</w:t>
      </w:r>
    </w:p>
    <w:p w14:paraId="44D88295" w14:textId="3FED911A" w:rsidR="00AD79D3" w:rsidRPr="0004376F" w:rsidRDefault="00AD79D3" w:rsidP="001D3691">
      <w:pPr>
        <w:spacing w:line="360" w:lineRule="auto"/>
        <w:ind w:left="0" w:firstLine="720"/>
        <w:rPr>
          <w:color w:val="000000" w:themeColor="text1"/>
        </w:rPr>
      </w:pPr>
      <w:r w:rsidRPr="00AD79D3">
        <w:t xml:space="preserve">The study </w:t>
      </w:r>
      <w:r>
        <w:t>analyzed</w:t>
      </w:r>
      <w:r w:rsidRPr="00AD79D3">
        <w:t xml:space="preserve"> soil-site suitability for sapota cultivation across various land use systems, categorizing the land from moderately suitable (S2) to not suitable (N)</w:t>
      </w:r>
      <w:r w:rsidR="00807E8B">
        <w:t xml:space="preserve"> </w:t>
      </w:r>
      <w:r w:rsidR="00807E8B">
        <w:rPr>
          <w:rFonts w:cs="Times New Roman"/>
          <w:spacing w:val="2"/>
        </w:rPr>
        <w:t>(Figure-7)</w:t>
      </w:r>
      <w:r w:rsidRPr="00AD79D3">
        <w:t>. Findings indicated that horticultural and agricultural lands were classified within the S2 suitability class, specifically subclasses S2grt and S2gnrt, respectively. These classifications were predominantly influenced by limitations related to soil drainage, texture, depth</w:t>
      </w:r>
      <w:r>
        <w:t xml:space="preserve"> </w:t>
      </w:r>
      <w:r w:rsidRPr="00AD79D3">
        <w:t>and gravelliness in both land uses, with soil pH additionally constraining agricultural lands. Forest areas were assigned to suitability class S3, subclass S3g, characterized by significant gravelliness</w:t>
      </w:r>
      <w:r>
        <w:t xml:space="preserve"> </w:t>
      </w:r>
      <w:r w:rsidRPr="00AD79D3">
        <w:t xml:space="preserve">related limitations. Barren lands were designated as class N, deemed unsuitable for sapota cultivation due to high gravelliness impeding land productivity. Within the </w:t>
      </w:r>
      <w:proofErr w:type="spellStart"/>
      <w:r w:rsidRPr="00AD79D3">
        <w:t>Bantanahalli</w:t>
      </w:r>
      <w:proofErr w:type="spellEnd"/>
      <w:r w:rsidRPr="00AD79D3">
        <w:t xml:space="preserve"> micro-watershed of </w:t>
      </w:r>
      <w:proofErr w:type="spellStart"/>
      <w:r w:rsidRPr="00AD79D3">
        <w:t>Davangere</w:t>
      </w:r>
      <w:proofErr w:type="spellEnd"/>
      <w:r w:rsidRPr="00AD79D3">
        <w:t xml:space="preserve"> district, soils were identified as moderately suitable (S2) for sapota cultivation over 254 hectares</w:t>
      </w:r>
      <w:r w:rsidR="00807E8B">
        <w:t xml:space="preserve"> and</w:t>
      </w:r>
      <w:r w:rsidRPr="00AD79D3">
        <w:t xml:space="preserve"> marginally suitable (S3) over 212 hectares, primarily constrained by factors such as limited rooting depth and gravel </w:t>
      </w:r>
      <w:r w:rsidRPr="0004376F">
        <w:rPr>
          <w:color w:val="000000" w:themeColor="text1"/>
        </w:rPr>
        <w:t xml:space="preserve">presence (Anilkumar </w:t>
      </w:r>
      <w:r w:rsidRPr="0004376F">
        <w:rPr>
          <w:i/>
          <w:iCs/>
          <w:color w:val="000000" w:themeColor="text1"/>
        </w:rPr>
        <w:t>et al</w:t>
      </w:r>
      <w:r w:rsidRPr="0004376F">
        <w:rPr>
          <w:color w:val="000000" w:themeColor="text1"/>
        </w:rPr>
        <w:t>., 2017).</w:t>
      </w:r>
    </w:p>
    <w:p w14:paraId="6F6CA958" w14:textId="6C0D3967" w:rsidR="00EB0785" w:rsidRPr="001D3691" w:rsidRDefault="001D3691" w:rsidP="001D3691">
      <w:pPr>
        <w:spacing w:line="360" w:lineRule="auto"/>
        <w:ind w:left="0" w:firstLine="0"/>
        <w:rPr>
          <w:rFonts w:cs="Times New Roman"/>
          <w:b/>
          <w:bCs/>
          <w:spacing w:val="2"/>
        </w:rPr>
      </w:pPr>
      <w:r w:rsidRPr="001D3691">
        <w:rPr>
          <w:rFonts w:cs="Times New Roman"/>
          <w:b/>
          <w:bCs/>
          <w:spacing w:val="2"/>
        </w:rPr>
        <w:t>3.6 Guava</w:t>
      </w:r>
    </w:p>
    <w:p w14:paraId="449DFA0E" w14:textId="3A937FF3" w:rsidR="00E36B1A" w:rsidRDefault="00E36B1A" w:rsidP="001D3691">
      <w:pPr>
        <w:spacing w:line="360" w:lineRule="auto"/>
        <w:ind w:left="0" w:firstLine="720"/>
        <w:rPr>
          <w:szCs w:val="24"/>
        </w:rPr>
      </w:pPr>
      <w:r w:rsidRPr="00E36B1A">
        <w:rPr>
          <w:szCs w:val="24"/>
        </w:rPr>
        <w:t>In India, guava (</w:t>
      </w:r>
      <w:r w:rsidRPr="00E36B1A">
        <w:rPr>
          <w:i/>
          <w:iCs/>
          <w:szCs w:val="24"/>
        </w:rPr>
        <w:t>Psidium guajava</w:t>
      </w:r>
      <w:r w:rsidRPr="00E36B1A">
        <w:rPr>
          <w:szCs w:val="24"/>
        </w:rPr>
        <w:t>) is widely cultivated in multiple states such as Uttar Pradesh, Maharashtra, Gujarat, Karnataka</w:t>
      </w:r>
      <w:r>
        <w:rPr>
          <w:szCs w:val="24"/>
        </w:rPr>
        <w:t xml:space="preserve"> </w:t>
      </w:r>
      <w:r w:rsidRPr="00E36B1A">
        <w:rPr>
          <w:szCs w:val="24"/>
        </w:rPr>
        <w:t>and Tamil Nadu. These regions provide optimal conditions for guava cultivation, featuring warm climatic temperatures and well</w:t>
      </w:r>
      <w:r>
        <w:rPr>
          <w:szCs w:val="24"/>
        </w:rPr>
        <w:t xml:space="preserve"> </w:t>
      </w:r>
      <w:r w:rsidRPr="00E36B1A">
        <w:rPr>
          <w:szCs w:val="24"/>
        </w:rPr>
        <w:t>drained soils that vary from sandy loam to clay loam, with pH levels between 5.5 and 7.5.</w:t>
      </w:r>
    </w:p>
    <w:p w14:paraId="4CC418EE" w14:textId="2DCB0458" w:rsidR="00AD79D3" w:rsidRDefault="00AD79D3" w:rsidP="001D3691">
      <w:pPr>
        <w:spacing w:line="360" w:lineRule="auto"/>
        <w:ind w:left="0" w:firstLine="720"/>
        <w:rPr>
          <w:szCs w:val="24"/>
        </w:rPr>
      </w:pPr>
      <w:r w:rsidRPr="00AD79D3">
        <w:rPr>
          <w:szCs w:val="24"/>
        </w:rPr>
        <w:lastRenderedPageBreak/>
        <w:t>Evaluation</w:t>
      </w:r>
      <w:r>
        <w:rPr>
          <w:szCs w:val="24"/>
        </w:rPr>
        <w:t xml:space="preserve"> </w:t>
      </w:r>
      <w:r w:rsidRPr="00AD79D3">
        <w:rPr>
          <w:szCs w:val="24"/>
        </w:rPr>
        <w:t>of soil-site suitability for guava orchard cultivation across various land use types indicated a classification range from moderately suitable (S2) to not suitable (N)</w:t>
      </w:r>
      <w:r w:rsidR="00807E8B">
        <w:rPr>
          <w:szCs w:val="24"/>
        </w:rPr>
        <w:t xml:space="preserve"> </w:t>
      </w:r>
      <w:r w:rsidR="00807E8B">
        <w:rPr>
          <w:rFonts w:cs="Times New Roman"/>
          <w:spacing w:val="2"/>
        </w:rPr>
        <w:t>(Figure-8)</w:t>
      </w:r>
      <w:r w:rsidRPr="00AD79D3">
        <w:rPr>
          <w:szCs w:val="24"/>
        </w:rPr>
        <w:t>. The analysis identified horticultural and agricultural lands as falling within the S2 suitability class, specifically subclasses S2gt and S2gnt, with primary limitations associated with soil drainage, texture, pH</w:t>
      </w:r>
      <w:r w:rsidR="00807E8B">
        <w:rPr>
          <w:szCs w:val="24"/>
        </w:rPr>
        <w:t xml:space="preserve"> and</w:t>
      </w:r>
      <w:r w:rsidRPr="00AD79D3">
        <w:rPr>
          <w:szCs w:val="24"/>
        </w:rPr>
        <w:t xml:space="preserve"> gravelliness. Forest lands were classified under suitability class S3, subclass S3g, where gravelliness was recognized as the principal constraint. Soils in barren land use areas were categorized as class N, denoting unsuitability for guava cultivation, primarily due to a high </w:t>
      </w:r>
      <w:r w:rsidRPr="0004376F">
        <w:rPr>
          <w:color w:val="000000" w:themeColor="text1"/>
          <w:szCs w:val="24"/>
        </w:rPr>
        <w:t xml:space="preserve">gravel content. Vyas </w:t>
      </w:r>
      <w:r w:rsidRPr="0004376F">
        <w:rPr>
          <w:i/>
          <w:iCs/>
          <w:color w:val="000000" w:themeColor="text1"/>
          <w:szCs w:val="24"/>
        </w:rPr>
        <w:t>et al</w:t>
      </w:r>
      <w:r w:rsidRPr="0004376F">
        <w:rPr>
          <w:color w:val="000000" w:themeColor="text1"/>
          <w:szCs w:val="24"/>
        </w:rPr>
        <w:t xml:space="preserve">. (2024) reported </w:t>
      </w:r>
      <w:r w:rsidRPr="00AD79D3">
        <w:rPr>
          <w:szCs w:val="24"/>
        </w:rPr>
        <w:t>that the Chikkumbi-3 micro watershed in Dharwad district demonstrates moderate to marginal suitability for guava cultivation.</w:t>
      </w:r>
    </w:p>
    <w:p w14:paraId="7A4BE7B4" w14:textId="77777777" w:rsidR="00394B8F" w:rsidRDefault="001D3691" w:rsidP="00394B8F">
      <w:pPr>
        <w:spacing w:line="360" w:lineRule="auto"/>
        <w:ind w:left="0" w:firstLine="0"/>
        <w:rPr>
          <w:b/>
          <w:bCs/>
          <w:szCs w:val="24"/>
        </w:rPr>
      </w:pPr>
      <w:r w:rsidRPr="001641BA">
        <w:rPr>
          <w:b/>
          <w:bCs/>
          <w:szCs w:val="24"/>
        </w:rPr>
        <w:t>4. CONCLUSION</w:t>
      </w:r>
    </w:p>
    <w:p w14:paraId="6FF9664D" w14:textId="32E491C5" w:rsidR="00394B8F" w:rsidRPr="00394B8F" w:rsidRDefault="00AD79D3" w:rsidP="00394B8F">
      <w:pPr>
        <w:spacing w:line="360" w:lineRule="auto"/>
        <w:ind w:left="0" w:firstLine="720"/>
        <w:rPr>
          <w:b/>
          <w:bCs/>
          <w:szCs w:val="24"/>
        </w:rPr>
      </w:pPr>
      <w:r w:rsidRPr="006766F1">
        <w:rPr>
          <w:color w:val="000000" w:themeColor="text1"/>
          <w:szCs w:val="24"/>
        </w:rPr>
        <w:t>The study concluded that soils within various land use systems of the Bada micro watershed exhibit varying levels of suitability for cultivating crops such as chilli, tomato, coconut, mango, sapota and guava. Specifically, barren land use systems were</w:t>
      </w:r>
      <w:r w:rsidR="00394B8F">
        <w:rPr>
          <w:color w:val="000000" w:themeColor="text1"/>
          <w:szCs w:val="24"/>
        </w:rPr>
        <w:t xml:space="preserve"> </w:t>
      </w:r>
      <w:r w:rsidRPr="006766F1">
        <w:rPr>
          <w:color w:val="000000" w:themeColor="text1"/>
          <w:szCs w:val="24"/>
        </w:rPr>
        <w:t>deemed</w:t>
      </w:r>
      <w:r w:rsidR="00394B8F">
        <w:rPr>
          <w:color w:val="000000" w:themeColor="text1"/>
          <w:szCs w:val="24"/>
        </w:rPr>
        <w:t xml:space="preserve">            </w:t>
      </w:r>
      <w:r w:rsidRPr="006766F1">
        <w:rPr>
          <w:color w:val="000000" w:themeColor="text1"/>
          <w:szCs w:val="24"/>
        </w:rPr>
        <w:t xml:space="preserve"> </w:t>
      </w:r>
    </w:p>
    <w:p w14:paraId="467B6ACF" w14:textId="1669B2B4"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Figure-7</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sapota crop in Bada micro watershed</w:t>
      </w:r>
    </w:p>
    <w:p w14:paraId="07BD72A6"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noProof/>
        </w:rPr>
        <w:drawing>
          <wp:inline distT="0" distB="0" distL="0" distR="0" wp14:anchorId="0F9D8E6E" wp14:editId="2A6DC643">
            <wp:extent cx="5731510" cy="4051300"/>
            <wp:effectExtent l="0" t="0" r="2540" b="6350"/>
            <wp:docPr id="15172575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09E40FEB"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p>
    <w:p w14:paraId="0D435409" w14:textId="77777777" w:rsidR="00394B8F" w:rsidRDefault="00394B8F" w:rsidP="00394B8F">
      <w:pPr>
        <w:spacing w:before="0" w:after="0" w:line="240" w:lineRule="auto"/>
        <w:ind w:left="1050" w:hanging="1050"/>
        <w:rPr>
          <w:rFonts w:eastAsia="Calibri" w:cs="Times New Roman"/>
          <w:b/>
          <w:bCs/>
          <w:kern w:val="0"/>
          <w:szCs w:val="24"/>
          <w:lang w:eastAsia="en-IN"/>
          <w14:ligatures w14:val="none"/>
        </w:rPr>
      </w:pPr>
      <w:r>
        <w:rPr>
          <w:rFonts w:eastAsia="Calibri" w:cs="Times New Roman"/>
          <w:b/>
          <w:bCs/>
          <w:kern w:val="0"/>
          <w:szCs w:val="24"/>
          <w:lang w:eastAsia="en-IN"/>
          <w14:ligatures w14:val="none"/>
        </w:rPr>
        <w:t>Figure-8</w:t>
      </w:r>
      <w:r w:rsidRPr="00DA41B9">
        <w:rPr>
          <w:rFonts w:eastAsia="Calibri" w:cs="Times New Roman"/>
          <w:b/>
          <w:bCs/>
          <w:kern w:val="0"/>
          <w:szCs w:val="24"/>
          <w:lang w:eastAsia="en-IN"/>
          <w14:ligatures w14:val="none"/>
        </w:rPr>
        <w:t xml:space="preserve">. </w:t>
      </w:r>
      <w:r>
        <w:rPr>
          <w:rFonts w:eastAsia="Calibri" w:cs="Times New Roman"/>
          <w:b/>
          <w:bCs/>
          <w:kern w:val="0"/>
          <w:szCs w:val="24"/>
          <w:lang w:eastAsia="en-IN"/>
          <w14:ligatures w14:val="none"/>
        </w:rPr>
        <w:t>Soil-site suitability map for guava crop in Bada micro watershed</w:t>
      </w:r>
    </w:p>
    <w:p w14:paraId="6AFB9071" w14:textId="77777777" w:rsidR="00394B8F" w:rsidRPr="00F06175" w:rsidRDefault="00394B8F" w:rsidP="00394B8F">
      <w:pPr>
        <w:spacing w:before="0" w:after="0" w:line="240" w:lineRule="auto"/>
        <w:ind w:left="1050" w:hanging="1050"/>
        <w:rPr>
          <w:rFonts w:eastAsia="Calibri" w:cs="Times New Roman"/>
          <w:b/>
          <w:bCs/>
          <w:kern w:val="0"/>
          <w:szCs w:val="24"/>
          <w:lang w:eastAsia="en-IN"/>
          <w14:ligatures w14:val="none"/>
        </w:rPr>
      </w:pPr>
      <w:r w:rsidRPr="006B6DB1">
        <w:rPr>
          <w:rFonts w:eastAsia="Calibri" w:cs="Times New Roman"/>
          <w:b/>
          <w:bCs/>
          <w:noProof/>
          <w:kern w:val="0"/>
          <w:szCs w:val="24"/>
          <w:lang w:eastAsia="en-IN"/>
          <w14:ligatures w14:val="none"/>
        </w:rPr>
        <w:lastRenderedPageBreak/>
        <w:drawing>
          <wp:inline distT="0" distB="0" distL="0" distR="0" wp14:anchorId="505BC9F0" wp14:editId="6C5ECE9B">
            <wp:extent cx="5731510" cy="4051300"/>
            <wp:effectExtent l="0" t="0" r="2540" b="6350"/>
            <wp:docPr id="20352742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051300"/>
                    </a:xfrm>
                    <a:prstGeom prst="rect">
                      <a:avLst/>
                    </a:prstGeom>
                    <a:noFill/>
                    <a:ln>
                      <a:noFill/>
                    </a:ln>
                  </pic:spPr>
                </pic:pic>
              </a:graphicData>
            </a:graphic>
          </wp:inline>
        </w:drawing>
      </w:r>
    </w:p>
    <w:p w14:paraId="4AF91BB7" w14:textId="4FE14193" w:rsidR="005D1DA6" w:rsidRPr="00394B8F" w:rsidRDefault="00AD79D3" w:rsidP="00394B8F">
      <w:pPr>
        <w:spacing w:line="360" w:lineRule="auto"/>
        <w:ind w:left="0" w:firstLine="0"/>
        <w:rPr>
          <w:b/>
          <w:bCs/>
          <w:szCs w:val="24"/>
        </w:rPr>
      </w:pPr>
      <w:r w:rsidRPr="006766F1">
        <w:rPr>
          <w:color w:val="000000" w:themeColor="text1"/>
          <w:szCs w:val="24"/>
        </w:rPr>
        <w:t xml:space="preserve">unsuitable for the production of fruit crops including mango, sapota and guava, while </w:t>
      </w:r>
      <w:r w:rsidR="006766F1" w:rsidRPr="006766F1">
        <w:rPr>
          <w:color w:val="000000" w:themeColor="text1"/>
          <w:szCs w:val="24"/>
        </w:rPr>
        <w:t>forest land use was</w:t>
      </w:r>
      <w:r w:rsidRPr="006766F1">
        <w:rPr>
          <w:color w:val="000000" w:themeColor="text1"/>
          <w:szCs w:val="24"/>
        </w:rPr>
        <w:t xml:space="preserve"> classified as marginally suitable for growing </w:t>
      </w:r>
      <w:r w:rsidR="006766F1" w:rsidRPr="006766F1">
        <w:rPr>
          <w:color w:val="000000" w:themeColor="text1"/>
          <w:szCs w:val="24"/>
        </w:rPr>
        <w:t>mango, sapota and guava</w:t>
      </w:r>
      <w:r w:rsidRPr="006766F1">
        <w:rPr>
          <w:color w:val="000000" w:themeColor="text1"/>
          <w:szCs w:val="24"/>
        </w:rPr>
        <w:t xml:space="preserve">. The primary constraints identified across all </w:t>
      </w:r>
      <w:r w:rsidR="006766F1" w:rsidRPr="006766F1">
        <w:rPr>
          <w:color w:val="000000" w:themeColor="text1"/>
          <w:szCs w:val="24"/>
        </w:rPr>
        <w:t>the land uses</w:t>
      </w:r>
      <w:r w:rsidRPr="006766F1">
        <w:rPr>
          <w:color w:val="000000" w:themeColor="text1"/>
          <w:szCs w:val="24"/>
        </w:rPr>
        <w:t xml:space="preserve"> were </w:t>
      </w:r>
      <w:r w:rsidR="006766F1" w:rsidRPr="006766F1">
        <w:rPr>
          <w:color w:val="000000" w:themeColor="text1"/>
          <w:szCs w:val="24"/>
        </w:rPr>
        <w:t>gravelliness and nutrient availability</w:t>
      </w:r>
      <w:r w:rsidRPr="006766F1">
        <w:rPr>
          <w:color w:val="000000" w:themeColor="text1"/>
          <w:szCs w:val="24"/>
        </w:rPr>
        <w:t xml:space="preserve">. The severity of these limitations ranged from slight to very severe depending on the </w:t>
      </w:r>
      <w:r w:rsidR="006766F1" w:rsidRPr="006766F1">
        <w:rPr>
          <w:color w:val="000000" w:themeColor="text1"/>
          <w:szCs w:val="24"/>
        </w:rPr>
        <w:t>land use system</w:t>
      </w:r>
      <w:r w:rsidRPr="006766F1">
        <w:rPr>
          <w:color w:val="000000" w:themeColor="text1"/>
          <w:szCs w:val="24"/>
        </w:rPr>
        <w:t>. Moreover, the integrated application of organic manures alongside inorganic fertilizers is recommended, as this approach not only facilitates sustainable crop yields but also preserves soil health for future generations, thereby mitigating soil degradation and contributing to the enhancement of farmers’ income.</w:t>
      </w:r>
    </w:p>
    <w:p w14:paraId="6A37DC83" w14:textId="77777777" w:rsidR="00196E32" w:rsidRDefault="00196E32" w:rsidP="00023038">
      <w:pPr>
        <w:spacing w:line="360" w:lineRule="auto"/>
        <w:ind w:left="0" w:firstLine="0"/>
        <w:rPr>
          <w:rFonts w:cs="Times New Roman"/>
          <w:b/>
          <w:bCs/>
          <w:szCs w:val="24"/>
        </w:rPr>
      </w:pPr>
      <w:bookmarkStart w:id="0" w:name="_GoBack"/>
      <w:bookmarkEnd w:id="0"/>
    </w:p>
    <w:p w14:paraId="253DCE0F" w14:textId="77777777" w:rsidR="00196E32" w:rsidRPr="00196E32" w:rsidRDefault="00196E32" w:rsidP="00196E32">
      <w:pPr>
        <w:spacing w:before="0" w:after="200" w:line="276" w:lineRule="auto"/>
        <w:ind w:left="0" w:firstLine="0"/>
        <w:outlineLvl w:val="0"/>
        <w:rPr>
          <w:rFonts w:ascii="Arial" w:eastAsia="Times New Roman" w:hAnsi="Arial" w:cs="Arial"/>
          <w:kern w:val="0"/>
          <w:sz w:val="22"/>
          <w:lang w:val="en-GB" w:eastAsia="en-GB"/>
          <w14:ligatures w14:val="none"/>
        </w:rPr>
      </w:pPr>
      <w:r w:rsidRPr="00196E32">
        <w:rPr>
          <w:rFonts w:ascii="Arial" w:eastAsia="Times New Roman" w:hAnsi="Arial" w:cs="Arial"/>
          <w:b/>
          <w:bCs/>
          <w:kern w:val="0"/>
          <w:sz w:val="22"/>
          <w:lang w:val="en-GB" w:eastAsia="en-GB"/>
          <w14:ligatures w14:val="none"/>
        </w:rPr>
        <w:t>COMPETING INTERESTS DISCLAIMER:</w:t>
      </w:r>
    </w:p>
    <w:p w14:paraId="4F16E758" w14:textId="77777777" w:rsidR="00196E32" w:rsidRPr="00196E32" w:rsidRDefault="00196E32" w:rsidP="00196E32">
      <w:pPr>
        <w:spacing w:before="0" w:after="200" w:line="276" w:lineRule="auto"/>
        <w:ind w:left="0" w:firstLine="0"/>
        <w:jc w:val="left"/>
        <w:rPr>
          <w:rFonts w:ascii="Calibri" w:eastAsia="Times New Roman" w:hAnsi="Calibri" w:cs="Times New Roman"/>
          <w:kern w:val="0"/>
          <w:sz w:val="22"/>
          <w:lang w:val="en-GB" w:eastAsia="en-GB"/>
          <w14:ligatures w14:val="none"/>
        </w:rPr>
      </w:pPr>
      <w:r w:rsidRPr="00196E32">
        <w:rPr>
          <w:rFonts w:ascii="Calibri" w:eastAsia="Times New Roman" w:hAnsi="Calibri" w:cs="Times New Roman"/>
          <w:kern w:val="0"/>
          <w:sz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12CC5219" w14:textId="77777777" w:rsidR="00196E32" w:rsidRDefault="00196E32" w:rsidP="00023038">
      <w:pPr>
        <w:spacing w:line="360" w:lineRule="auto"/>
        <w:ind w:left="0" w:firstLine="0"/>
        <w:rPr>
          <w:rFonts w:cs="Times New Roman"/>
          <w:b/>
          <w:bCs/>
          <w:szCs w:val="24"/>
        </w:rPr>
      </w:pPr>
    </w:p>
    <w:p w14:paraId="775D94F2" w14:textId="77777777" w:rsidR="00196E32" w:rsidRDefault="00196E32" w:rsidP="00023038">
      <w:pPr>
        <w:spacing w:line="360" w:lineRule="auto"/>
        <w:ind w:left="0" w:firstLine="0"/>
        <w:rPr>
          <w:rFonts w:cs="Times New Roman"/>
          <w:b/>
          <w:bCs/>
          <w:szCs w:val="24"/>
        </w:rPr>
      </w:pPr>
    </w:p>
    <w:p w14:paraId="75D96EF1" w14:textId="77777777" w:rsidR="00196E32" w:rsidRDefault="00196E32" w:rsidP="00023038">
      <w:pPr>
        <w:spacing w:line="360" w:lineRule="auto"/>
        <w:ind w:left="0" w:firstLine="0"/>
        <w:rPr>
          <w:rFonts w:cs="Times New Roman"/>
          <w:b/>
          <w:bCs/>
          <w:szCs w:val="24"/>
        </w:rPr>
      </w:pPr>
    </w:p>
    <w:p w14:paraId="6E2572A8" w14:textId="38FA0C54" w:rsidR="00023038" w:rsidRDefault="00023038" w:rsidP="00023038">
      <w:pPr>
        <w:spacing w:line="360" w:lineRule="auto"/>
        <w:ind w:left="0" w:firstLine="0"/>
        <w:rPr>
          <w:rFonts w:cs="Times New Roman"/>
          <w:b/>
          <w:bCs/>
          <w:szCs w:val="24"/>
        </w:rPr>
      </w:pPr>
      <w:bookmarkStart w:id="1" w:name="_Hlk210456560"/>
      <w:r>
        <w:rPr>
          <w:rFonts w:cs="Times New Roman"/>
          <w:b/>
          <w:bCs/>
          <w:szCs w:val="24"/>
        </w:rPr>
        <w:lastRenderedPageBreak/>
        <w:t>REFERENCES</w:t>
      </w:r>
    </w:p>
    <w:p w14:paraId="4CF2EF8F" w14:textId="77777777" w:rsidR="000208FA" w:rsidRDefault="000208FA" w:rsidP="008C6BAD">
      <w:pPr>
        <w:spacing w:line="360" w:lineRule="auto"/>
      </w:pPr>
      <w:r w:rsidRPr="007A60F5">
        <w:rPr>
          <w:rFonts w:cs="Times New Roman"/>
          <w:color w:val="222222"/>
          <w:szCs w:val="24"/>
          <w:shd w:val="clear" w:color="auto" w:fill="FFFFFF"/>
        </w:rPr>
        <w:t xml:space="preserve">Anilkumar, S., </w:t>
      </w:r>
      <w:proofErr w:type="spellStart"/>
      <w:r w:rsidRPr="007A60F5">
        <w:rPr>
          <w:rFonts w:cs="Times New Roman"/>
          <w:color w:val="222222"/>
          <w:szCs w:val="24"/>
          <w:shd w:val="clear" w:color="auto" w:fill="FFFFFF"/>
        </w:rPr>
        <w:t>Dhumgond</w:t>
      </w:r>
      <w:proofErr w:type="spellEnd"/>
      <w:r w:rsidRPr="007A60F5">
        <w:rPr>
          <w:rFonts w:cs="Times New Roman"/>
          <w:color w:val="222222"/>
          <w:szCs w:val="24"/>
          <w:shd w:val="clear" w:color="auto" w:fill="FFFFFF"/>
        </w:rPr>
        <w:t xml:space="preserve">, P., Satish, A., &amp; </w:t>
      </w:r>
      <w:r>
        <w:rPr>
          <w:rFonts w:cs="Times New Roman"/>
          <w:color w:val="222222"/>
          <w:szCs w:val="24"/>
          <w:shd w:val="clear" w:color="auto" w:fill="FFFFFF"/>
        </w:rPr>
        <w:t>P</w:t>
      </w:r>
      <w:r w:rsidRPr="007A60F5">
        <w:rPr>
          <w:rFonts w:cs="Times New Roman"/>
          <w:color w:val="222222"/>
          <w:szCs w:val="24"/>
          <w:shd w:val="clear" w:color="auto" w:fill="FFFFFF"/>
        </w:rPr>
        <w:t xml:space="preserve">arama, V. R. (2017). Soil resource inventory, land capability and crop suitability assessment of </w:t>
      </w:r>
      <w:proofErr w:type="spellStart"/>
      <w:r w:rsidRPr="007A60F5">
        <w:rPr>
          <w:rFonts w:cs="Times New Roman"/>
          <w:color w:val="222222"/>
          <w:szCs w:val="24"/>
          <w:shd w:val="clear" w:color="auto" w:fill="FFFFFF"/>
        </w:rPr>
        <w:t>Bantanahalli</w:t>
      </w:r>
      <w:proofErr w:type="spellEnd"/>
      <w:r w:rsidRPr="007A60F5">
        <w:rPr>
          <w:rFonts w:cs="Times New Roman"/>
          <w:color w:val="222222"/>
          <w:szCs w:val="24"/>
          <w:shd w:val="clear" w:color="auto" w:fill="FFFFFF"/>
        </w:rPr>
        <w:t xml:space="preserve"> micro-watershed under semi-arid regions of Karnataka. </w:t>
      </w:r>
      <w:r w:rsidRPr="007A60F5">
        <w:rPr>
          <w:rFonts w:cs="Times New Roman"/>
          <w:i/>
          <w:iCs/>
          <w:color w:val="222222"/>
          <w:szCs w:val="24"/>
          <w:shd w:val="clear" w:color="auto" w:fill="FFFFFF"/>
        </w:rPr>
        <w:t>Journal of Soil and Water Conservation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16</w:t>
      </w:r>
      <w:r w:rsidRPr="007A60F5">
        <w:rPr>
          <w:rFonts w:cs="Times New Roman"/>
          <w:color w:val="222222"/>
          <w:szCs w:val="24"/>
          <w:shd w:val="clear" w:color="auto" w:fill="FFFFFF"/>
        </w:rPr>
        <w:t>(3), 201-211.</w:t>
      </w:r>
      <w:r>
        <w:rPr>
          <w:rFonts w:cs="Times New Roman"/>
          <w:color w:val="222222"/>
          <w:szCs w:val="24"/>
          <w:shd w:val="clear" w:color="auto" w:fill="FFFFFF"/>
        </w:rPr>
        <w:t xml:space="preserve"> </w:t>
      </w:r>
      <w:hyperlink r:id="rId15" w:history="1">
        <w:r w:rsidRPr="00163A18">
          <w:rPr>
            <w:rStyle w:val="Hyperlink"/>
            <w:rFonts w:cs="Times New Roman"/>
            <w:szCs w:val="24"/>
            <w:shd w:val="clear" w:color="auto" w:fill="FFFFFF"/>
          </w:rPr>
          <w:t>https://doi.org/</w:t>
        </w:r>
        <w:r w:rsidRPr="00163A18">
          <w:rPr>
            <w:rStyle w:val="Hyperlink"/>
          </w:rPr>
          <w:t>10.5958/2455-7145.2017.00030.3</w:t>
        </w:r>
      </w:hyperlink>
    </w:p>
    <w:p w14:paraId="1EDD2235" w14:textId="77777777" w:rsidR="000208FA" w:rsidRDefault="000208FA" w:rsidP="008C6BAD">
      <w:pPr>
        <w:spacing w:line="360" w:lineRule="auto"/>
        <w:rPr>
          <w:rFonts w:cs="Times New Roman"/>
          <w:color w:val="000000"/>
          <w:szCs w:val="24"/>
        </w:rPr>
      </w:pPr>
      <w:r w:rsidRPr="007A60F5">
        <w:rPr>
          <w:rFonts w:cs="Times New Roman"/>
          <w:color w:val="000000"/>
          <w:szCs w:val="24"/>
        </w:rPr>
        <w:t xml:space="preserve">Anonymous. (1976). A Framework for Land Evaluation. </w:t>
      </w:r>
      <w:r w:rsidRPr="007A60F5">
        <w:rPr>
          <w:rFonts w:cs="Times New Roman"/>
          <w:i/>
          <w:iCs/>
          <w:color w:val="000000"/>
          <w:szCs w:val="24"/>
        </w:rPr>
        <w:t>Food and Agriculture Organization of the United Nations</w:t>
      </w:r>
      <w:r w:rsidRPr="007A60F5">
        <w:rPr>
          <w:rFonts w:cs="Times New Roman"/>
          <w:color w:val="000000"/>
          <w:szCs w:val="24"/>
        </w:rPr>
        <w:t>, Rome, Italy, p.72.</w:t>
      </w:r>
    </w:p>
    <w:p w14:paraId="24761C41" w14:textId="77777777" w:rsidR="000208FA" w:rsidRPr="007A60F5" w:rsidRDefault="000208FA" w:rsidP="008C6BAD">
      <w:pPr>
        <w:autoSpaceDE w:val="0"/>
        <w:autoSpaceDN w:val="0"/>
        <w:adjustRightInd w:val="0"/>
        <w:spacing w:line="360" w:lineRule="auto"/>
        <w:rPr>
          <w:rFonts w:cs="Times New Roman"/>
          <w:color w:val="000000"/>
          <w:kern w:val="0"/>
          <w:szCs w:val="24"/>
        </w:rPr>
      </w:pPr>
      <w:r w:rsidRPr="007A60F5">
        <w:rPr>
          <w:rFonts w:cs="Times New Roman"/>
          <w:color w:val="000000"/>
          <w:kern w:val="0"/>
          <w:szCs w:val="24"/>
        </w:rPr>
        <w:t xml:space="preserve">Anonymous. (2022). Keys to Soil Taxonomy. Soil Survey Staff, </w:t>
      </w:r>
      <w:r w:rsidRPr="007A60F5">
        <w:rPr>
          <w:rFonts w:cs="Times New Roman"/>
          <w:i/>
          <w:iCs/>
          <w:color w:val="000000"/>
          <w:kern w:val="0"/>
          <w:szCs w:val="24"/>
        </w:rPr>
        <w:t>United States Department of Agriculture</w:t>
      </w:r>
      <w:r w:rsidRPr="007A60F5">
        <w:rPr>
          <w:rFonts w:cs="Times New Roman"/>
          <w:color w:val="000000"/>
          <w:kern w:val="0"/>
          <w:szCs w:val="24"/>
        </w:rPr>
        <w:t>, Washington DC, USA.</w:t>
      </w:r>
    </w:p>
    <w:p w14:paraId="6226AAA6" w14:textId="77777777" w:rsidR="000208FA" w:rsidRDefault="000208FA" w:rsidP="008C6BAD">
      <w:pPr>
        <w:spacing w:line="360" w:lineRule="auto"/>
      </w:pPr>
      <w:proofErr w:type="spellStart"/>
      <w:r w:rsidRPr="007A60F5">
        <w:rPr>
          <w:rFonts w:cs="Times New Roman"/>
          <w:color w:val="222222"/>
          <w:szCs w:val="24"/>
          <w:shd w:val="clear" w:color="auto" w:fill="FFFFFF"/>
        </w:rPr>
        <w:t>Kabber</w:t>
      </w:r>
      <w:proofErr w:type="spellEnd"/>
      <w:r w:rsidRPr="007A60F5">
        <w:rPr>
          <w:rFonts w:cs="Times New Roman"/>
          <w:color w:val="222222"/>
          <w:szCs w:val="24"/>
          <w:shd w:val="clear" w:color="auto" w:fill="FFFFFF"/>
        </w:rPr>
        <w:t>, A., Kumar, K. A., &amp; Harsha, B. R. (2024). Assessment of Land Suitability for Coconut Cultivation in Southern Karnataka, India. </w:t>
      </w:r>
      <w:r w:rsidRPr="007A60F5">
        <w:rPr>
          <w:rFonts w:cs="Times New Roman"/>
          <w:i/>
          <w:iCs/>
          <w:color w:val="222222"/>
          <w:szCs w:val="24"/>
          <w:shd w:val="clear" w:color="auto" w:fill="FFFFFF"/>
        </w:rPr>
        <w:t>Asian Journal of Soil Science and Plant Nutrition</w:t>
      </w:r>
      <w:r w:rsidRPr="007A60F5">
        <w:rPr>
          <w:rFonts w:cs="Times New Roman"/>
          <w:color w:val="222222"/>
          <w:szCs w:val="24"/>
          <w:shd w:val="clear" w:color="auto" w:fill="FFFFFF"/>
        </w:rPr>
        <w:t>, </w:t>
      </w:r>
      <w:r w:rsidRPr="007A60F5">
        <w:rPr>
          <w:rFonts w:cs="Times New Roman"/>
          <w:i/>
          <w:iCs/>
          <w:color w:val="222222"/>
          <w:szCs w:val="24"/>
          <w:shd w:val="clear" w:color="auto" w:fill="FFFFFF"/>
        </w:rPr>
        <w:t>10</w:t>
      </w:r>
      <w:r w:rsidRPr="007A60F5">
        <w:rPr>
          <w:rFonts w:cs="Times New Roman"/>
          <w:color w:val="222222"/>
          <w:szCs w:val="24"/>
          <w:shd w:val="clear" w:color="auto" w:fill="FFFFFF"/>
        </w:rPr>
        <w:t>(1), 420-428.</w:t>
      </w:r>
      <w:r>
        <w:rPr>
          <w:rFonts w:cs="Times New Roman"/>
          <w:color w:val="222222"/>
          <w:szCs w:val="24"/>
          <w:shd w:val="clear" w:color="auto" w:fill="FFFFFF"/>
        </w:rPr>
        <w:t xml:space="preserve"> </w:t>
      </w:r>
      <w:hyperlink r:id="rId16" w:history="1">
        <w:r w:rsidRPr="00163A18">
          <w:rPr>
            <w:rStyle w:val="Hyperlink"/>
          </w:rPr>
          <w:t>https://doi.org/10.9734/AJSSPN/2024/v10i1247</w:t>
        </w:r>
      </w:hyperlink>
    </w:p>
    <w:p w14:paraId="006D95A0" w14:textId="77777777" w:rsidR="000208FA" w:rsidRPr="007A60F5" w:rsidRDefault="000208FA" w:rsidP="008C6BAD">
      <w:pPr>
        <w:spacing w:line="360" w:lineRule="auto"/>
        <w:rPr>
          <w:rFonts w:cs="Times New Roman"/>
          <w:color w:val="000000"/>
          <w:kern w:val="0"/>
          <w:szCs w:val="24"/>
        </w:rPr>
      </w:pPr>
      <w:r w:rsidRPr="007A60F5">
        <w:rPr>
          <w:rFonts w:cs="Times New Roman"/>
          <w:color w:val="222222"/>
          <w:szCs w:val="24"/>
          <w:shd w:val="clear" w:color="auto" w:fill="FFFFFF"/>
        </w:rPr>
        <w:t>Naidu, L. G. K., Ramamurthy, V., Challa, O., Hegde, R., &amp; Krishnan, P. (2006). Manual soil-site suitability criteria for major crops. </w:t>
      </w:r>
      <w:r w:rsidRPr="007A60F5">
        <w:rPr>
          <w:rFonts w:cs="Times New Roman"/>
          <w:i/>
          <w:iCs/>
          <w:color w:val="000000"/>
          <w:kern w:val="0"/>
          <w:szCs w:val="24"/>
        </w:rPr>
        <w:t>NBSS Publication No 129</w:t>
      </w:r>
      <w:r w:rsidRPr="007A60F5">
        <w:rPr>
          <w:rFonts w:cs="Times New Roman"/>
          <w:color w:val="000000"/>
          <w:kern w:val="0"/>
          <w:szCs w:val="24"/>
        </w:rPr>
        <w:t>, NBSS and LUP, Nagpur, India, pp. 118.</w:t>
      </w:r>
    </w:p>
    <w:p w14:paraId="0711BD25" w14:textId="77777777" w:rsidR="000208FA" w:rsidRDefault="000208FA"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t xml:space="preserve">Narsaiah, E., Raj, G. B., Prakash, T. R., Reddy, D. V., &amp; Patnaik, M. C. (2020). Land suitability evaluation for crops in Warangal district of Telangana under </w:t>
      </w:r>
      <w:proofErr w:type="spellStart"/>
      <w:r w:rsidRPr="007A60F5">
        <w:rPr>
          <w:rFonts w:cs="Times New Roman"/>
          <w:color w:val="222222"/>
          <w:szCs w:val="24"/>
          <w:shd w:val="clear" w:color="auto" w:fill="FFFFFF"/>
        </w:rPr>
        <w:t>Raghunathapally</w:t>
      </w:r>
      <w:proofErr w:type="spellEnd"/>
      <w:r w:rsidRPr="007A60F5">
        <w:rPr>
          <w:rFonts w:cs="Times New Roman"/>
          <w:color w:val="222222"/>
          <w:szCs w:val="24"/>
          <w:shd w:val="clear" w:color="auto" w:fill="FFFFFF"/>
        </w:rPr>
        <w:t xml:space="preserve"> division. </w:t>
      </w:r>
      <w:r w:rsidRPr="007A60F5">
        <w:rPr>
          <w:rFonts w:cs="Times New Roman"/>
          <w:i/>
          <w:iCs/>
          <w:color w:val="222222"/>
          <w:szCs w:val="24"/>
          <w:shd w:val="clear" w:color="auto" w:fill="FFFFFF"/>
        </w:rPr>
        <w:t>Journal of Pharmacognosy and Phytochemistry</w:t>
      </w:r>
      <w:r w:rsidRPr="007A60F5">
        <w:rPr>
          <w:rFonts w:cs="Times New Roman"/>
          <w:color w:val="222222"/>
          <w:szCs w:val="24"/>
          <w:shd w:val="clear" w:color="auto" w:fill="FFFFFF"/>
        </w:rPr>
        <w:t>, </w:t>
      </w:r>
      <w:r w:rsidRPr="007A60F5">
        <w:rPr>
          <w:rFonts w:cs="Times New Roman"/>
          <w:i/>
          <w:iCs/>
          <w:color w:val="222222"/>
          <w:szCs w:val="24"/>
          <w:shd w:val="clear" w:color="auto" w:fill="FFFFFF"/>
        </w:rPr>
        <w:t>9</w:t>
      </w:r>
      <w:r w:rsidRPr="007A60F5">
        <w:rPr>
          <w:rFonts w:cs="Times New Roman"/>
          <w:color w:val="222222"/>
          <w:szCs w:val="24"/>
          <w:shd w:val="clear" w:color="auto" w:fill="FFFFFF"/>
        </w:rPr>
        <w:t>(4), 874-881.</w:t>
      </w:r>
    </w:p>
    <w:p w14:paraId="4E91F9C0" w14:textId="77777777" w:rsidR="000208FA" w:rsidRDefault="000208FA"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Pimentel, D., &amp; Burgess, M. (2013). Soil erosion threatens food production. </w:t>
      </w:r>
      <w:r w:rsidRPr="00023038">
        <w:rPr>
          <w:rFonts w:cs="Times New Roman"/>
          <w:i/>
          <w:iCs/>
          <w:color w:val="222222"/>
          <w:szCs w:val="24"/>
          <w:shd w:val="clear" w:color="auto" w:fill="FFFFFF"/>
        </w:rPr>
        <w:t>Agriculture</w:t>
      </w:r>
      <w:r w:rsidRPr="00023038">
        <w:rPr>
          <w:rFonts w:cs="Times New Roman"/>
          <w:color w:val="222222"/>
          <w:szCs w:val="24"/>
          <w:shd w:val="clear" w:color="auto" w:fill="FFFFFF"/>
        </w:rPr>
        <w:t>, </w:t>
      </w:r>
      <w:r w:rsidRPr="00023038">
        <w:rPr>
          <w:rFonts w:cs="Times New Roman"/>
          <w:i/>
          <w:iCs/>
          <w:color w:val="222222"/>
          <w:szCs w:val="24"/>
          <w:shd w:val="clear" w:color="auto" w:fill="FFFFFF"/>
        </w:rPr>
        <w:t>3</w:t>
      </w:r>
      <w:r w:rsidRPr="00023038">
        <w:rPr>
          <w:rFonts w:cs="Times New Roman"/>
          <w:color w:val="222222"/>
          <w:szCs w:val="24"/>
          <w:shd w:val="clear" w:color="auto" w:fill="FFFFFF"/>
        </w:rPr>
        <w:t>(3), 443-463.</w:t>
      </w:r>
      <w:r>
        <w:rPr>
          <w:rFonts w:cs="Times New Roman"/>
          <w:color w:val="222222"/>
          <w:szCs w:val="24"/>
          <w:shd w:val="clear" w:color="auto" w:fill="FFFFFF"/>
        </w:rPr>
        <w:t xml:space="preserve"> </w:t>
      </w:r>
      <w:hyperlink r:id="rId17" w:history="1">
        <w:r w:rsidRPr="00163A18">
          <w:rPr>
            <w:rStyle w:val="Hyperlink"/>
            <w:rFonts w:cs="Times New Roman"/>
            <w:szCs w:val="24"/>
            <w:shd w:val="clear" w:color="auto" w:fill="FFFFFF"/>
          </w:rPr>
          <w:t>https://doi.org/10.3390/agriculture3030443</w:t>
        </w:r>
      </w:hyperlink>
    </w:p>
    <w:p w14:paraId="512720C4" w14:textId="77777777" w:rsidR="000208FA" w:rsidRDefault="000208FA" w:rsidP="008C6BAD">
      <w:pPr>
        <w:spacing w:line="360" w:lineRule="auto"/>
        <w:rPr>
          <w:rFonts w:cs="Times New Roman"/>
          <w:color w:val="222222"/>
          <w:szCs w:val="24"/>
          <w:shd w:val="clear" w:color="auto" w:fill="FFFFFF"/>
        </w:rPr>
      </w:pPr>
      <w:r w:rsidRPr="00023038">
        <w:rPr>
          <w:rFonts w:cs="Times New Roman"/>
          <w:color w:val="222222"/>
          <w:szCs w:val="24"/>
          <w:shd w:val="clear" w:color="auto" w:fill="FFFFFF"/>
        </w:rPr>
        <w:t>Sehgal, J. (1995). Land resources appraisal for land use planning to meet the challenges of 21st century. </w:t>
      </w:r>
      <w:r w:rsidRPr="00023038">
        <w:rPr>
          <w:rFonts w:cs="Times New Roman"/>
          <w:i/>
          <w:iCs/>
          <w:color w:val="222222"/>
          <w:szCs w:val="24"/>
          <w:shd w:val="clear" w:color="auto" w:fill="FFFFFF"/>
        </w:rPr>
        <w:t>Journal of the Indian Society of Soil Science</w:t>
      </w:r>
      <w:r w:rsidRPr="00023038">
        <w:rPr>
          <w:rFonts w:cs="Times New Roman"/>
          <w:color w:val="222222"/>
          <w:szCs w:val="24"/>
          <w:shd w:val="clear" w:color="auto" w:fill="FFFFFF"/>
        </w:rPr>
        <w:t>, </w:t>
      </w:r>
      <w:r w:rsidRPr="00023038">
        <w:rPr>
          <w:rFonts w:cs="Times New Roman"/>
          <w:i/>
          <w:iCs/>
          <w:color w:val="222222"/>
          <w:szCs w:val="24"/>
          <w:shd w:val="clear" w:color="auto" w:fill="FFFFFF"/>
        </w:rPr>
        <w:t>43</w:t>
      </w:r>
      <w:r w:rsidRPr="00023038">
        <w:rPr>
          <w:rFonts w:cs="Times New Roman"/>
          <w:color w:val="222222"/>
          <w:szCs w:val="24"/>
          <w:shd w:val="clear" w:color="auto" w:fill="FFFFFF"/>
        </w:rPr>
        <w:t>(4), 504-528.</w:t>
      </w:r>
    </w:p>
    <w:p w14:paraId="6520D179" w14:textId="77777777" w:rsidR="000208FA" w:rsidRPr="00023038" w:rsidRDefault="000208FA" w:rsidP="008C6BAD">
      <w:pPr>
        <w:spacing w:line="360" w:lineRule="auto"/>
        <w:rPr>
          <w:rFonts w:cs="Times New Roman"/>
          <w:color w:val="000000"/>
          <w:kern w:val="0"/>
          <w:szCs w:val="24"/>
        </w:rPr>
      </w:pPr>
      <w:r w:rsidRPr="00023038">
        <w:rPr>
          <w:rFonts w:cs="Times New Roman"/>
          <w:color w:val="222222"/>
          <w:szCs w:val="24"/>
          <w:shd w:val="clear" w:color="auto" w:fill="FFFFFF"/>
        </w:rPr>
        <w:t xml:space="preserve">Sharma, J. P., Landey, R. J., </w:t>
      </w:r>
      <w:proofErr w:type="spellStart"/>
      <w:r w:rsidRPr="00023038">
        <w:rPr>
          <w:rFonts w:cs="Times New Roman"/>
          <w:color w:val="222222"/>
          <w:szCs w:val="24"/>
          <w:shd w:val="clear" w:color="auto" w:fill="FFFFFF"/>
        </w:rPr>
        <w:t>Kalbande</w:t>
      </w:r>
      <w:proofErr w:type="spellEnd"/>
      <w:r w:rsidRPr="00023038">
        <w:rPr>
          <w:rFonts w:cs="Times New Roman"/>
          <w:color w:val="222222"/>
          <w:szCs w:val="24"/>
          <w:shd w:val="clear" w:color="auto" w:fill="FFFFFF"/>
        </w:rPr>
        <w:t xml:space="preserve">, A. R., &amp; Mandal, C. (2001). Characteristics and classification of soils of Kathiawar region of Gujarat as influenced by topography. </w:t>
      </w:r>
      <w:proofErr w:type="spellStart"/>
      <w:r w:rsidRPr="00023038">
        <w:rPr>
          <w:rFonts w:cs="Times New Roman"/>
          <w:i/>
          <w:iCs/>
          <w:color w:val="000000"/>
          <w:kern w:val="0"/>
          <w:szCs w:val="24"/>
        </w:rPr>
        <w:t>Agropedology</w:t>
      </w:r>
      <w:proofErr w:type="spellEnd"/>
      <w:r w:rsidRPr="00023038">
        <w:rPr>
          <w:rFonts w:cs="Times New Roman"/>
          <w:color w:val="000000"/>
          <w:kern w:val="0"/>
          <w:szCs w:val="24"/>
        </w:rPr>
        <w:t xml:space="preserve">, </w:t>
      </w:r>
      <w:r w:rsidRPr="00023038">
        <w:rPr>
          <w:rFonts w:cs="Times New Roman"/>
          <w:i/>
          <w:iCs/>
          <w:color w:val="000000"/>
          <w:kern w:val="0"/>
          <w:szCs w:val="24"/>
        </w:rPr>
        <w:t>11</w:t>
      </w:r>
      <w:r w:rsidRPr="00023038">
        <w:rPr>
          <w:rFonts w:cs="Times New Roman"/>
          <w:color w:val="000000"/>
          <w:kern w:val="0"/>
          <w:szCs w:val="24"/>
        </w:rPr>
        <w:t>(2), 83-90.</w:t>
      </w:r>
    </w:p>
    <w:p w14:paraId="3710F9BB" w14:textId="77777777" w:rsidR="000208FA" w:rsidRDefault="000208FA" w:rsidP="008C6BAD">
      <w:pPr>
        <w:spacing w:line="360" w:lineRule="auto"/>
      </w:pPr>
      <w:r w:rsidRPr="007A60F5">
        <w:rPr>
          <w:rFonts w:cs="Times New Roman"/>
          <w:color w:val="222222"/>
          <w:szCs w:val="24"/>
          <w:shd w:val="clear" w:color="auto" w:fill="FFFFFF"/>
        </w:rPr>
        <w:t xml:space="preserve">Vyas, R. D. V., Patil, P. L., </w:t>
      </w:r>
      <w:proofErr w:type="spellStart"/>
      <w:r w:rsidRPr="007A60F5">
        <w:rPr>
          <w:rFonts w:cs="Times New Roman"/>
          <w:color w:val="222222"/>
          <w:szCs w:val="24"/>
          <w:shd w:val="clear" w:color="auto" w:fill="FFFFFF"/>
        </w:rPr>
        <w:t>Hebbara</w:t>
      </w:r>
      <w:proofErr w:type="spellEnd"/>
      <w:r w:rsidRPr="007A60F5">
        <w:rPr>
          <w:rFonts w:cs="Times New Roman"/>
          <w:color w:val="222222"/>
          <w:szCs w:val="24"/>
          <w:shd w:val="clear" w:color="auto" w:fill="FFFFFF"/>
        </w:rPr>
        <w:t>, M., &amp; Rajkumara, S. (2024). Soil-site Suitability Assessment for Major Fruit Crops in Chikkumbi-3 Micro-watershed (4D7C5O2f), Karnataka Using Remote Sensing and GIS Techniques. </w:t>
      </w:r>
      <w:r w:rsidRPr="007A60F5">
        <w:rPr>
          <w:rFonts w:cs="Times New Roman"/>
          <w:i/>
          <w:iCs/>
          <w:color w:val="222222"/>
          <w:szCs w:val="24"/>
          <w:shd w:val="clear" w:color="auto" w:fill="FFFFFF"/>
        </w:rPr>
        <w:t>International Journal of Plant &amp; Soil Science</w:t>
      </w:r>
      <w:r w:rsidRPr="007A60F5">
        <w:rPr>
          <w:rFonts w:cs="Times New Roman"/>
          <w:color w:val="222222"/>
          <w:szCs w:val="24"/>
          <w:shd w:val="clear" w:color="auto" w:fill="FFFFFF"/>
        </w:rPr>
        <w:t>, </w:t>
      </w:r>
      <w:r w:rsidRPr="007A60F5">
        <w:rPr>
          <w:rFonts w:cs="Times New Roman"/>
          <w:i/>
          <w:iCs/>
          <w:color w:val="222222"/>
          <w:szCs w:val="24"/>
          <w:shd w:val="clear" w:color="auto" w:fill="FFFFFF"/>
        </w:rPr>
        <w:t>36</w:t>
      </w:r>
      <w:r w:rsidRPr="007A60F5">
        <w:rPr>
          <w:rFonts w:cs="Times New Roman"/>
          <w:color w:val="222222"/>
          <w:szCs w:val="24"/>
          <w:shd w:val="clear" w:color="auto" w:fill="FFFFFF"/>
        </w:rPr>
        <w:t>(3), 99-110.</w:t>
      </w:r>
      <w:r>
        <w:rPr>
          <w:rFonts w:cs="Times New Roman"/>
          <w:color w:val="222222"/>
          <w:szCs w:val="24"/>
          <w:shd w:val="clear" w:color="auto" w:fill="FFFFFF"/>
        </w:rPr>
        <w:t xml:space="preserve"> </w:t>
      </w:r>
      <w:hyperlink r:id="rId18" w:history="1">
        <w:r w:rsidRPr="00163A18">
          <w:rPr>
            <w:rStyle w:val="Hyperlink"/>
            <w:rFonts w:cs="Times New Roman"/>
            <w:szCs w:val="24"/>
            <w:shd w:val="clear" w:color="auto" w:fill="FFFFFF"/>
          </w:rPr>
          <w:t>https://doi.org/</w:t>
        </w:r>
        <w:r w:rsidRPr="00163A18">
          <w:rPr>
            <w:rStyle w:val="Hyperlink"/>
          </w:rPr>
          <w:t>10.9734/IJPSS/2024/v36i34404</w:t>
        </w:r>
      </w:hyperlink>
    </w:p>
    <w:p w14:paraId="21494E8E" w14:textId="77777777" w:rsidR="000208FA" w:rsidRDefault="000208FA" w:rsidP="008C6BAD">
      <w:pPr>
        <w:spacing w:line="360" w:lineRule="auto"/>
        <w:rPr>
          <w:rFonts w:cs="Times New Roman"/>
          <w:color w:val="222222"/>
          <w:szCs w:val="24"/>
          <w:shd w:val="clear" w:color="auto" w:fill="FFFFFF"/>
        </w:rPr>
      </w:pPr>
      <w:r w:rsidRPr="007A60F5">
        <w:rPr>
          <w:rFonts w:cs="Times New Roman"/>
          <w:color w:val="222222"/>
          <w:szCs w:val="24"/>
          <w:shd w:val="clear" w:color="auto" w:fill="FFFFFF"/>
        </w:rPr>
        <w:lastRenderedPageBreak/>
        <w:t>Yadav, M. B. N., &amp; Patil, P. L. (2025). Soil-Site Suitability Assessment of Horticultural Crops Grown in the Ganjigatti Sub-watershed of Karnataka. </w:t>
      </w:r>
      <w:r w:rsidRPr="007A60F5">
        <w:rPr>
          <w:rFonts w:cs="Times New Roman"/>
          <w:i/>
          <w:iCs/>
          <w:color w:val="222222"/>
          <w:szCs w:val="24"/>
          <w:shd w:val="clear" w:color="auto" w:fill="FFFFFF"/>
        </w:rPr>
        <w:t>Indian Journal of Ecology</w:t>
      </w:r>
      <w:r w:rsidRPr="007A60F5">
        <w:rPr>
          <w:rFonts w:cs="Times New Roman"/>
          <w:color w:val="222222"/>
          <w:szCs w:val="24"/>
          <w:shd w:val="clear" w:color="auto" w:fill="FFFFFF"/>
        </w:rPr>
        <w:t>, </w:t>
      </w:r>
      <w:r w:rsidRPr="007A60F5">
        <w:rPr>
          <w:rFonts w:cs="Times New Roman"/>
          <w:i/>
          <w:iCs/>
          <w:color w:val="222222"/>
          <w:szCs w:val="24"/>
          <w:shd w:val="clear" w:color="auto" w:fill="FFFFFF"/>
        </w:rPr>
        <w:t>52</w:t>
      </w:r>
      <w:r w:rsidRPr="007A60F5">
        <w:rPr>
          <w:rFonts w:cs="Times New Roman"/>
          <w:color w:val="222222"/>
          <w:szCs w:val="24"/>
          <w:shd w:val="clear" w:color="auto" w:fill="FFFFFF"/>
        </w:rPr>
        <w:t>(1), 47-56.</w:t>
      </w:r>
      <w:r>
        <w:rPr>
          <w:rFonts w:cs="Times New Roman"/>
          <w:color w:val="222222"/>
          <w:szCs w:val="24"/>
          <w:shd w:val="clear" w:color="auto" w:fill="FFFFFF"/>
        </w:rPr>
        <w:t xml:space="preserve"> </w:t>
      </w:r>
      <w:hyperlink r:id="rId19" w:history="1">
        <w:r w:rsidRPr="00163A18">
          <w:rPr>
            <w:rStyle w:val="Hyperlink"/>
            <w:rFonts w:cs="Times New Roman"/>
            <w:szCs w:val="24"/>
            <w:shd w:val="clear" w:color="auto" w:fill="FFFFFF"/>
          </w:rPr>
          <w:t>https://doi.org/10.55362/IJE/2025/4454</w:t>
        </w:r>
      </w:hyperlink>
    </w:p>
    <w:bookmarkEnd w:id="1"/>
    <w:p w14:paraId="12C7C111" w14:textId="77777777" w:rsidR="00D95214" w:rsidRPr="007A60F5" w:rsidRDefault="00D95214" w:rsidP="00023038">
      <w:pPr>
        <w:rPr>
          <w:rFonts w:cs="Times New Roman"/>
          <w:color w:val="000000"/>
          <w:szCs w:val="24"/>
        </w:rPr>
      </w:pPr>
    </w:p>
    <w:sectPr w:rsidR="00D95214" w:rsidRPr="007A60F5">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37303" w14:textId="77777777" w:rsidR="006167B4" w:rsidRDefault="006167B4" w:rsidP="00066191">
      <w:pPr>
        <w:spacing w:before="0" w:after="0" w:line="240" w:lineRule="auto"/>
      </w:pPr>
      <w:r>
        <w:separator/>
      </w:r>
    </w:p>
  </w:endnote>
  <w:endnote w:type="continuationSeparator" w:id="0">
    <w:p w14:paraId="2DB461FD" w14:textId="77777777" w:rsidR="006167B4" w:rsidRDefault="006167B4" w:rsidP="0006619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0E7BD" w14:textId="77777777" w:rsidR="00066191" w:rsidRDefault="000661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E53EE" w14:textId="77777777" w:rsidR="00066191" w:rsidRDefault="000661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D5944" w14:textId="77777777" w:rsidR="00066191" w:rsidRDefault="00066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AD015" w14:textId="77777777" w:rsidR="006167B4" w:rsidRDefault="006167B4" w:rsidP="00066191">
      <w:pPr>
        <w:spacing w:before="0" w:after="0" w:line="240" w:lineRule="auto"/>
      </w:pPr>
      <w:r>
        <w:separator/>
      </w:r>
    </w:p>
  </w:footnote>
  <w:footnote w:type="continuationSeparator" w:id="0">
    <w:p w14:paraId="436922AB" w14:textId="77777777" w:rsidR="006167B4" w:rsidRDefault="006167B4" w:rsidP="0006619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D02F9" w14:textId="15EFF826" w:rsidR="00066191" w:rsidRDefault="00066191">
    <w:pPr>
      <w:pStyle w:val="Header"/>
    </w:pPr>
    <w:r>
      <w:rPr>
        <w:noProof/>
      </w:rPr>
      <w:pict w14:anchorId="0C5437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0" o:spid="_x0000_s2050"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6B973" w14:textId="7C1E7068" w:rsidR="00066191" w:rsidRDefault="00066191">
    <w:pPr>
      <w:pStyle w:val="Header"/>
    </w:pPr>
    <w:r>
      <w:rPr>
        <w:noProof/>
      </w:rPr>
      <w:pict w14:anchorId="644D1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11" o:spid="_x0000_s2051"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3C75" w14:textId="4CDF8A0A" w:rsidR="00066191" w:rsidRDefault="00066191">
    <w:pPr>
      <w:pStyle w:val="Header"/>
    </w:pPr>
    <w:r>
      <w:rPr>
        <w:noProof/>
      </w:rPr>
      <w:pict w14:anchorId="2EE2C6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14444609" o:spid="_x0000_s2049"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96FD5"/>
    <w:multiLevelType w:val="hybridMultilevel"/>
    <w:tmpl w:val="1D5CB6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6242343"/>
    <w:multiLevelType w:val="hybridMultilevel"/>
    <w:tmpl w:val="BB820F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2961653"/>
    <w:multiLevelType w:val="hybridMultilevel"/>
    <w:tmpl w:val="CD76B6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F603929"/>
    <w:multiLevelType w:val="hybridMultilevel"/>
    <w:tmpl w:val="BD0623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Q2MDAwMbQ0A2JTEyUdpeDU4uLM/DyQAkOTWgBELAqpLQAAAA=="/>
  </w:docVars>
  <w:rsids>
    <w:rsidRoot w:val="00FF0FF4"/>
    <w:rsid w:val="00015270"/>
    <w:rsid w:val="000208FA"/>
    <w:rsid w:val="00023038"/>
    <w:rsid w:val="00037358"/>
    <w:rsid w:val="0004376F"/>
    <w:rsid w:val="000552BE"/>
    <w:rsid w:val="00066191"/>
    <w:rsid w:val="00067EA7"/>
    <w:rsid w:val="00072EB3"/>
    <w:rsid w:val="001118AD"/>
    <w:rsid w:val="00151D5F"/>
    <w:rsid w:val="001641BA"/>
    <w:rsid w:val="00174390"/>
    <w:rsid w:val="00196E32"/>
    <w:rsid w:val="001D3691"/>
    <w:rsid w:val="001D7C85"/>
    <w:rsid w:val="002762F8"/>
    <w:rsid w:val="002D01ED"/>
    <w:rsid w:val="002E09C8"/>
    <w:rsid w:val="003128A4"/>
    <w:rsid w:val="00327A95"/>
    <w:rsid w:val="00394B8F"/>
    <w:rsid w:val="003C6670"/>
    <w:rsid w:val="00402948"/>
    <w:rsid w:val="00416E15"/>
    <w:rsid w:val="004B1D76"/>
    <w:rsid w:val="004B5E6C"/>
    <w:rsid w:val="004D0469"/>
    <w:rsid w:val="005D1DA6"/>
    <w:rsid w:val="005D1F6A"/>
    <w:rsid w:val="006167B4"/>
    <w:rsid w:val="00622D21"/>
    <w:rsid w:val="006439CE"/>
    <w:rsid w:val="00647315"/>
    <w:rsid w:val="00667F7D"/>
    <w:rsid w:val="006766F1"/>
    <w:rsid w:val="00692F5D"/>
    <w:rsid w:val="006930A8"/>
    <w:rsid w:val="00695A05"/>
    <w:rsid w:val="006A1EA3"/>
    <w:rsid w:val="006C2F5D"/>
    <w:rsid w:val="006C326C"/>
    <w:rsid w:val="006E70A8"/>
    <w:rsid w:val="006E7A3E"/>
    <w:rsid w:val="006F2F82"/>
    <w:rsid w:val="00716E6B"/>
    <w:rsid w:val="00746AE9"/>
    <w:rsid w:val="00783216"/>
    <w:rsid w:val="00790FB2"/>
    <w:rsid w:val="007A60F5"/>
    <w:rsid w:val="007C30DD"/>
    <w:rsid w:val="007D4839"/>
    <w:rsid w:val="00807E8B"/>
    <w:rsid w:val="0084587C"/>
    <w:rsid w:val="008A244E"/>
    <w:rsid w:val="008C6BAD"/>
    <w:rsid w:val="0094235D"/>
    <w:rsid w:val="00945513"/>
    <w:rsid w:val="0099153B"/>
    <w:rsid w:val="009A7757"/>
    <w:rsid w:val="009B2772"/>
    <w:rsid w:val="00A14338"/>
    <w:rsid w:val="00A3708E"/>
    <w:rsid w:val="00A52BED"/>
    <w:rsid w:val="00A76D08"/>
    <w:rsid w:val="00A774B8"/>
    <w:rsid w:val="00AA4F42"/>
    <w:rsid w:val="00AB5D4C"/>
    <w:rsid w:val="00AD79D3"/>
    <w:rsid w:val="00AE48F9"/>
    <w:rsid w:val="00B31BE1"/>
    <w:rsid w:val="00B50E4C"/>
    <w:rsid w:val="00B54A93"/>
    <w:rsid w:val="00B7079F"/>
    <w:rsid w:val="00B76FD8"/>
    <w:rsid w:val="00B96312"/>
    <w:rsid w:val="00C760F5"/>
    <w:rsid w:val="00CB0E89"/>
    <w:rsid w:val="00CD2465"/>
    <w:rsid w:val="00CF3FD9"/>
    <w:rsid w:val="00D124BF"/>
    <w:rsid w:val="00D95214"/>
    <w:rsid w:val="00DB2DF4"/>
    <w:rsid w:val="00DD7A8A"/>
    <w:rsid w:val="00DD7F06"/>
    <w:rsid w:val="00DF2825"/>
    <w:rsid w:val="00E34104"/>
    <w:rsid w:val="00E36B1A"/>
    <w:rsid w:val="00E65CED"/>
    <w:rsid w:val="00E7551F"/>
    <w:rsid w:val="00E8130B"/>
    <w:rsid w:val="00EB0785"/>
    <w:rsid w:val="00F06175"/>
    <w:rsid w:val="00FF0FF4"/>
    <w:rsid w:val="00FF38D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383D"/>
  <w15:chartTrackingRefBased/>
  <w15:docId w15:val="{D553BCF3-2C0C-4D42-9953-650B3B25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kern w:val="2"/>
        <w:sz w:val="24"/>
        <w:szCs w:val="22"/>
        <w:lang w:val="en-IN" w:eastAsia="en-US" w:bidi="ar-SA"/>
        <w14:ligatures w14:val="standardContextual"/>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D76"/>
    <w:pPr>
      <w:spacing w:before="120" w:after="120" w:line="420" w:lineRule="atLeast"/>
      <w:ind w:left="1077" w:hanging="1077"/>
    </w:pPr>
  </w:style>
  <w:style w:type="paragraph" w:styleId="Heading1">
    <w:name w:val="heading 1"/>
    <w:basedOn w:val="Normal"/>
    <w:next w:val="Normal"/>
    <w:link w:val="Heading1Char"/>
    <w:uiPriority w:val="9"/>
    <w:qFormat/>
    <w:rsid w:val="00FF0FF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F0FF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F0FF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F0FF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FF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F0FF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F0FF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F0FF4"/>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F0FF4"/>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0FF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F0FF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F0FF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F0FF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F0FF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F0FF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F0FF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F0FF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F0FF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F0FF4"/>
    <w:pPr>
      <w:spacing w:before="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0F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0FF4"/>
    <w:pPr>
      <w:numPr>
        <w:ilvl w:val="1"/>
      </w:numPr>
      <w:spacing w:after="160"/>
      <w:ind w:left="1077" w:hanging="1077"/>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0FF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F0FF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F0FF4"/>
    <w:rPr>
      <w:i/>
      <w:iCs/>
      <w:color w:val="404040" w:themeColor="text1" w:themeTint="BF"/>
    </w:rPr>
  </w:style>
  <w:style w:type="paragraph" w:styleId="ListParagraph">
    <w:name w:val="List Paragraph"/>
    <w:basedOn w:val="Normal"/>
    <w:uiPriority w:val="34"/>
    <w:qFormat/>
    <w:rsid w:val="00FF0FF4"/>
    <w:pPr>
      <w:ind w:left="720"/>
      <w:contextualSpacing/>
    </w:pPr>
  </w:style>
  <w:style w:type="character" w:styleId="IntenseEmphasis">
    <w:name w:val="Intense Emphasis"/>
    <w:basedOn w:val="DefaultParagraphFont"/>
    <w:uiPriority w:val="21"/>
    <w:qFormat/>
    <w:rsid w:val="00FF0FF4"/>
    <w:rPr>
      <w:i/>
      <w:iCs/>
      <w:color w:val="2F5496" w:themeColor="accent1" w:themeShade="BF"/>
    </w:rPr>
  </w:style>
  <w:style w:type="paragraph" w:styleId="IntenseQuote">
    <w:name w:val="Intense Quote"/>
    <w:basedOn w:val="Normal"/>
    <w:next w:val="Normal"/>
    <w:link w:val="IntenseQuoteChar"/>
    <w:uiPriority w:val="30"/>
    <w:qFormat/>
    <w:rsid w:val="00FF0FF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F0FF4"/>
    <w:rPr>
      <w:i/>
      <w:iCs/>
      <w:color w:val="2F5496" w:themeColor="accent1" w:themeShade="BF"/>
    </w:rPr>
  </w:style>
  <w:style w:type="character" w:styleId="IntenseReference">
    <w:name w:val="Intense Reference"/>
    <w:basedOn w:val="DefaultParagraphFont"/>
    <w:uiPriority w:val="32"/>
    <w:qFormat/>
    <w:rsid w:val="00FF0FF4"/>
    <w:rPr>
      <w:b/>
      <w:bCs/>
      <w:smallCaps/>
      <w:color w:val="2F5496" w:themeColor="accent1" w:themeShade="BF"/>
      <w:spacing w:val="5"/>
    </w:rPr>
  </w:style>
  <w:style w:type="character" w:styleId="Hyperlink">
    <w:name w:val="Hyperlink"/>
    <w:basedOn w:val="DefaultParagraphFont"/>
    <w:uiPriority w:val="99"/>
    <w:unhideWhenUsed/>
    <w:rsid w:val="00AE48F9"/>
    <w:rPr>
      <w:color w:val="0563C1" w:themeColor="hyperlink"/>
      <w:u w:val="single"/>
    </w:rPr>
  </w:style>
  <w:style w:type="character" w:styleId="UnresolvedMention">
    <w:name w:val="Unresolved Mention"/>
    <w:basedOn w:val="DefaultParagraphFont"/>
    <w:uiPriority w:val="99"/>
    <w:semiHidden/>
    <w:unhideWhenUsed/>
    <w:rsid w:val="00AE48F9"/>
    <w:rPr>
      <w:color w:val="605E5C"/>
      <w:shd w:val="clear" w:color="auto" w:fill="E1DFDD"/>
    </w:rPr>
  </w:style>
  <w:style w:type="paragraph" w:styleId="Header">
    <w:name w:val="header"/>
    <w:basedOn w:val="Normal"/>
    <w:link w:val="HeaderChar"/>
    <w:uiPriority w:val="99"/>
    <w:unhideWhenUsed/>
    <w:rsid w:val="0006619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66191"/>
  </w:style>
  <w:style w:type="paragraph" w:styleId="Footer">
    <w:name w:val="footer"/>
    <w:basedOn w:val="Normal"/>
    <w:link w:val="FooterChar"/>
    <w:uiPriority w:val="99"/>
    <w:unhideWhenUsed/>
    <w:rsid w:val="0006619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66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885115">
      <w:bodyDiv w:val="1"/>
      <w:marLeft w:val="0"/>
      <w:marRight w:val="0"/>
      <w:marTop w:val="0"/>
      <w:marBottom w:val="0"/>
      <w:divBdr>
        <w:top w:val="none" w:sz="0" w:space="0" w:color="auto"/>
        <w:left w:val="none" w:sz="0" w:space="0" w:color="auto"/>
        <w:bottom w:val="none" w:sz="0" w:space="0" w:color="auto"/>
        <w:right w:val="none" w:sz="0" w:space="0" w:color="auto"/>
      </w:divBdr>
      <w:divsChild>
        <w:div w:id="1424256542">
          <w:marLeft w:val="0"/>
          <w:marRight w:val="0"/>
          <w:marTop w:val="0"/>
          <w:marBottom w:val="0"/>
          <w:divBdr>
            <w:top w:val="none" w:sz="0" w:space="0" w:color="auto"/>
            <w:left w:val="none" w:sz="0" w:space="0" w:color="auto"/>
            <w:bottom w:val="none" w:sz="0" w:space="0" w:color="auto"/>
            <w:right w:val="none" w:sz="0" w:space="0" w:color="auto"/>
          </w:divBdr>
        </w:div>
      </w:divsChild>
    </w:div>
    <w:div w:id="905651752">
      <w:bodyDiv w:val="1"/>
      <w:marLeft w:val="0"/>
      <w:marRight w:val="0"/>
      <w:marTop w:val="0"/>
      <w:marBottom w:val="0"/>
      <w:divBdr>
        <w:top w:val="none" w:sz="0" w:space="0" w:color="auto"/>
        <w:left w:val="none" w:sz="0" w:space="0" w:color="auto"/>
        <w:bottom w:val="none" w:sz="0" w:space="0" w:color="auto"/>
        <w:right w:val="none" w:sz="0" w:space="0" w:color="auto"/>
      </w:divBdr>
      <w:divsChild>
        <w:div w:id="834564879">
          <w:marLeft w:val="0"/>
          <w:marRight w:val="0"/>
          <w:marTop w:val="0"/>
          <w:marBottom w:val="0"/>
          <w:divBdr>
            <w:top w:val="none" w:sz="0" w:space="0" w:color="auto"/>
            <w:left w:val="none" w:sz="0" w:space="0" w:color="auto"/>
            <w:bottom w:val="none" w:sz="0" w:space="0" w:color="auto"/>
            <w:right w:val="none" w:sz="0" w:space="0" w:color="auto"/>
          </w:divBdr>
        </w:div>
      </w:divsChild>
    </w:div>
    <w:div w:id="1908761673">
      <w:bodyDiv w:val="1"/>
      <w:marLeft w:val="0"/>
      <w:marRight w:val="0"/>
      <w:marTop w:val="0"/>
      <w:marBottom w:val="0"/>
      <w:divBdr>
        <w:top w:val="none" w:sz="0" w:space="0" w:color="auto"/>
        <w:left w:val="none" w:sz="0" w:space="0" w:color="auto"/>
        <w:bottom w:val="none" w:sz="0" w:space="0" w:color="auto"/>
        <w:right w:val="none" w:sz="0" w:space="0" w:color="auto"/>
      </w:divBdr>
      <w:divsChild>
        <w:div w:id="90803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doi.org/10.9734/IJPSS/2024/v36i34404"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3390/agriculture3030443"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9734/AJSSPN/2024/v10i124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5958/2455-7145.2017.00030.3" TargetMode="External"/><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55362/IJE/2025/4454"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363</TotalTime>
  <Pages>15</Pages>
  <Words>3401</Words>
  <Characters>19391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 Surya Bhimala</dc:creator>
  <cp:keywords/>
  <dc:description/>
  <cp:lastModifiedBy>SDI 1084</cp:lastModifiedBy>
  <cp:revision>61</cp:revision>
  <dcterms:created xsi:type="dcterms:W3CDTF">2025-09-02T15:20:00Z</dcterms:created>
  <dcterms:modified xsi:type="dcterms:W3CDTF">2025-10-09T08:45:00Z</dcterms:modified>
</cp:coreProperties>
</file>